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6FA112">
      <w:pPr>
        <w:jc w:val="center"/>
        <w:outlineLvl w:val="0"/>
        <w:rPr>
          <w:b/>
          <w:bCs/>
          <w:sz w:val="24"/>
          <w:szCs w:val="24"/>
          <w:highlight w:val="none"/>
          <w:lang w:eastAsia="zh-CN"/>
        </w:rPr>
      </w:pPr>
      <w:bookmarkStart w:id="0" w:name="_Toc103461377"/>
      <w:bookmarkStart w:id="1" w:name="_Toc103462366"/>
      <w:bookmarkStart w:id="2" w:name="_Toc25035"/>
      <w:bookmarkStart w:id="3" w:name="_Toc103461606"/>
      <w:bookmarkStart w:id="4" w:name="_Toc103462392"/>
      <w:r>
        <w:rPr>
          <w:rFonts w:hint="eastAsia"/>
          <w:b/>
          <w:bCs/>
          <w:sz w:val="24"/>
          <w:szCs w:val="24"/>
          <w:highlight w:val="none"/>
          <w:lang w:eastAsia="zh-CN"/>
        </w:rPr>
        <w:t>采购需求</w:t>
      </w:r>
      <w:bookmarkEnd w:id="0"/>
      <w:bookmarkEnd w:id="1"/>
      <w:bookmarkEnd w:id="2"/>
      <w:bookmarkEnd w:id="3"/>
      <w:bookmarkEnd w:id="4"/>
    </w:p>
    <w:p w14:paraId="39787761">
      <w:pPr>
        <w:pStyle w:val="3"/>
        <w:ind w:left="0"/>
        <w:rPr>
          <w:rFonts w:hint="eastAsia"/>
          <w:highlight w:val="none"/>
          <w:lang w:eastAsia="zh-CN"/>
        </w:rPr>
      </w:pPr>
      <w:bookmarkStart w:id="5" w:name="_Toc103462393"/>
      <w:bookmarkStart w:id="6" w:name="_Toc103461607"/>
      <w:bookmarkStart w:id="7" w:name="_Toc21994"/>
      <w:bookmarkStart w:id="8" w:name="_Toc103462489"/>
      <w:bookmarkStart w:id="9" w:name="_Toc103462367"/>
      <w:bookmarkStart w:id="10" w:name="_Toc103461378"/>
    </w:p>
    <w:p w14:paraId="38141EAC">
      <w:pPr>
        <w:pStyle w:val="3"/>
        <w:ind w:left="0"/>
        <w:rPr>
          <w:highlight w:val="none"/>
          <w:lang w:eastAsia="zh-CN"/>
        </w:rPr>
      </w:pPr>
      <w:r>
        <w:rPr>
          <w:rFonts w:hint="eastAsia"/>
          <w:highlight w:val="none"/>
          <w:lang w:eastAsia="zh-CN"/>
        </w:rPr>
        <w:t>一、项目概况</w:t>
      </w:r>
      <w:bookmarkEnd w:id="5"/>
      <w:bookmarkEnd w:id="6"/>
      <w:bookmarkEnd w:id="7"/>
      <w:bookmarkEnd w:id="8"/>
      <w:bookmarkEnd w:id="9"/>
      <w:bookmarkEnd w:id="10"/>
    </w:p>
    <w:p w14:paraId="76E98B57">
      <w:pPr>
        <w:rPr>
          <w:highlight w:val="none"/>
          <w:lang w:eastAsia="zh-CN"/>
        </w:rPr>
      </w:pPr>
      <w:r>
        <w:rPr>
          <w:highlight w:val="none"/>
          <w:lang w:eastAsia="zh-CN"/>
        </w:rPr>
        <w:t>1.项目及范围名称：</w:t>
      </w:r>
      <w:r>
        <w:rPr>
          <w:rFonts w:hint="eastAsia"/>
          <w:highlight w:val="none"/>
          <w:lang w:eastAsia="zh-CN"/>
        </w:rPr>
        <w:t>中山市东升医院</w:t>
      </w:r>
      <w:r>
        <w:rPr>
          <w:highlight w:val="none"/>
          <w:lang w:eastAsia="zh-CN"/>
        </w:rPr>
        <w:t>食堂服务</w:t>
      </w:r>
      <w:r>
        <w:rPr>
          <w:rFonts w:hint="eastAsia"/>
          <w:highlight w:val="none"/>
          <w:lang w:eastAsia="zh-CN"/>
        </w:rPr>
        <w:t>项目</w:t>
      </w:r>
    </w:p>
    <w:p w14:paraId="78938728">
      <w:pPr>
        <w:rPr>
          <w:highlight w:val="none"/>
          <w:lang w:eastAsia="zh-CN"/>
        </w:rPr>
      </w:pPr>
      <w:r>
        <w:rPr>
          <w:highlight w:val="none"/>
          <w:lang w:eastAsia="zh-CN"/>
        </w:rPr>
        <w:t>2.服务期限：服务期为</w:t>
      </w:r>
      <w:r>
        <w:rPr>
          <w:rFonts w:hint="eastAsia"/>
          <w:highlight w:val="none"/>
          <w:lang w:eastAsia="zh-CN"/>
        </w:rPr>
        <w:t>三</w:t>
      </w:r>
      <w:r>
        <w:rPr>
          <w:highlight w:val="none"/>
          <w:lang w:eastAsia="zh-CN"/>
        </w:rPr>
        <w:t>年，</w:t>
      </w:r>
      <w:r>
        <w:rPr>
          <w:rFonts w:hint="eastAsia"/>
          <w:highlight w:val="none"/>
          <w:lang w:val="en-US" w:eastAsia="zh-CN"/>
        </w:rPr>
        <w:t>合同期限为一年，合同到期后未出现采购终止合同情形可续签。</w:t>
      </w:r>
      <w:r>
        <w:rPr>
          <w:highlight w:val="none"/>
          <w:lang w:eastAsia="zh-CN"/>
        </w:rPr>
        <w:t>具体起止期限以采购人与中标人签订的合同约定为准。</w:t>
      </w:r>
    </w:p>
    <w:p w14:paraId="4EB501CA">
      <w:pPr>
        <w:rPr>
          <w:highlight w:val="none"/>
          <w:lang w:eastAsia="zh-CN"/>
        </w:rPr>
      </w:pPr>
      <w:r>
        <w:rPr>
          <w:highlight w:val="none"/>
          <w:lang w:eastAsia="zh-CN"/>
        </w:rPr>
        <w:t>3.项目预算金额：</w:t>
      </w:r>
    </w:p>
    <w:p w14:paraId="111290C1">
      <w:pPr>
        <w:rPr>
          <w:highlight w:val="none"/>
          <w:lang w:eastAsia="zh-CN"/>
        </w:rPr>
      </w:pPr>
      <w:r>
        <w:rPr>
          <w:highlight w:val="none"/>
          <w:lang w:eastAsia="zh-CN"/>
        </w:rPr>
        <w:t>4.本项目由中标人负责招标文件对中标人要求的一切事宜及责任，如果投标人在中标并签署合同后，在项目实施过程中出现报价内容的任何遗漏，均由中标人负责，采购人将不再支付任何费用。</w:t>
      </w:r>
      <w:r>
        <w:rPr>
          <w:highlight w:val="none"/>
          <w:lang w:eastAsia="zh-CN"/>
        </w:rPr>
        <w:br w:type="textWrapping"/>
      </w:r>
      <w:r>
        <w:rPr>
          <w:highlight w:val="none"/>
          <w:lang w:eastAsia="zh-CN"/>
        </w:rPr>
        <w:t>（一）本项目由中标人承包及负责招标文件对中标人要求的一切事宜及责任。</w:t>
      </w:r>
      <w:r>
        <w:rPr>
          <w:highlight w:val="none"/>
          <w:lang w:eastAsia="zh-CN"/>
        </w:rPr>
        <w:br w:type="textWrapping"/>
      </w:r>
      <w:r>
        <w:rPr>
          <w:highlight w:val="none"/>
          <w:lang w:eastAsia="zh-CN"/>
        </w:rPr>
        <w:t>（二）本项目不接受联合体投标。</w:t>
      </w:r>
      <w:r>
        <w:rPr>
          <w:highlight w:val="none"/>
          <w:lang w:eastAsia="zh-CN"/>
        </w:rPr>
        <w:br w:type="textWrapping"/>
      </w:r>
      <w:r>
        <w:rPr>
          <w:highlight w:val="none"/>
          <w:lang w:eastAsia="zh-CN"/>
        </w:rPr>
        <w:t>（三）中标人不得以任何方式转包本项目。</w:t>
      </w:r>
    </w:p>
    <w:p w14:paraId="104804F2">
      <w:pPr>
        <w:pStyle w:val="3"/>
        <w:ind w:left="0"/>
        <w:rPr>
          <w:highlight w:val="none"/>
          <w:lang w:eastAsia="zh-CN"/>
        </w:rPr>
      </w:pPr>
      <w:bookmarkStart w:id="11" w:name="_Toc19286"/>
      <w:r>
        <w:rPr>
          <w:highlight w:val="none"/>
          <w:lang w:eastAsia="zh-CN"/>
        </w:rPr>
        <w:t>二、项目具体要求</w:t>
      </w:r>
      <w:bookmarkEnd w:id="11"/>
    </w:p>
    <w:p w14:paraId="142D2B57">
      <w:pPr>
        <w:rPr>
          <w:b/>
          <w:bCs/>
          <w:highlight w:val="none"/>
          <w:lang w:eastAsia="zh-CN"/>
        </w:rPr>
      </w:pPr>
      <w:r>
        <w:rPr>
          <w:b/>
          <w:bCs/>
          <w:highlight w:val="none"/>
          <w:lang w:eastAsia="zh-CN"/>
        </w:rPr>
        <w:t>（一）食堂经营及管理</w:t>
      </w:r>
    </w:p>
    <w:p w14:paraId="23E46E24">
      <w:pPr>
        <w:rPr>
          <w:highlight w:val="none"/>
          <w:lang w:eastAsia="zh-CN"/>
        </w:rPr>
      </w:pPr>
      <w:r>
        <w:rPr>
          <w:highlight w:val="none"/>
          <w:lang w:eastAsia="zh-CN"/>
        </w:rPr>
        <w:t>1.中标人自主管理，自负盈亏。</w:t>
      </w:r>
    </w:p>
    <w:p w14:paraId="0D622423">
      <w:pPr>
        <w:rPr>
          <w:highlight w:val="none"/>
          <w:lang w:eastAsia="zh-CN"/>
        </w:rPr>
      </w:pPr>
      <w:r>
        <w:rPr>
          <w:highlight w:val="none"/>
          <w:lang w:eastAsia="zh-CN"/>
        </w:rPr>
        <w:t>2.中标人自行负责原材料的采购、验收和配送，并保证品质。</w:t>
      </w:r>
    </w:p>
    <w:p w14:paraId="09110A04">
      <w:pPr>
        <w:rPr>
          <w:highlight w:val="none"/>
          <w:lang w:eastAsia="zh-CN"/>
        </w:rPr>
      </w:pPr>
      <w:r>
        <w:rPr>
          <w:highlight w:val="none"/>
          <w:lang w:eastAsia="zh-CN"/>
        </w:rPr>
        <w:t>3.采购人协助中标人对食堂秩序的管理，采购人可要求中标人对采购人的相关监督、检查活动</w:t>
      </w:r>
      <w:r>
        <w:rPr>
          <w:rFonts w:hint="eastAsia"/>
          <w:highlight w:val="none"/>
          <w:lang w:eastAsia="zh-CN"/>
        </w:rPr>
        <w:t>、数据上报（包括但不限于肉菜溯源等内容）</w:t>
      </w:r>
      <w:r>
        <w:rPr>
          <w:highlight w:val="none"/>
          <w:lang w:eastAsia="zh-CN"/>
        </w:rPr>
        <w:t>予以全力配合。</w:t>
      </w:r>
    </w:p>
    <w:p w14:paraId="6DB9F0E0">
      <w:pPr>
        <w:rPr>
          <w:highlight w:val="none"/>
          <w:lang w:eastAsia="zh-CN"/>
        </w:rPr>
      </w:pPr>
      <w:r>
        <w:rPr>
          <w:highlight w:val="none"/>
          <w:lang w:eastAsia="zh-CN"/>
        </w:rPr>
        <w:t>4.采购人可随时对中标人经营的食堂作价格、卫生、服务、菜品质量的抽样检查，对于发现的问题具有处罚权力，采购人可随时要求中标人对不完善的事情进行限期改善。若中标人不按要求进行整改的，采购人有权终止合同。</w:t>
      </w:r>
    </w:p>
    <w:p w14:paraId="115AAEC6">
      <w:pPr>
        <w:rPr>
          <w:highlight w:val="none"/>
          <w:lang w:eastAsia="zh-CN"/>
        </w:rPr>
      </w:pPr>
      <w:r>
        <w:rPr>
          <w:highlight w:val="none"/>
          <w:lang w:eastAsia="zh-CN"/>
        </w:rPr>
        <w:t>5.配餐、分餐、收拾餐具、餐具消毒、食堂清洁、分餐点清洁等均由中标人负责。</w:t>
      </w:r>
    </w:p>
    <w:p w14:paraId="5EEF9CE6">
      <w:pPr>
        <w:rPr>
          <w:highlight w:val="none"/>
          <w:lang w:eastAsia="zh-CN"/>
        </w:rPr>
      </w:pPr>
      <w:r>
        <w:rPr>
          <w:highlight w:val="none"/>
          <w:lang w:eastAsia="zh-CN"/>
        </w:rPr>
        <w:t>6.中标人应对餐具进行定期检查，餐具不能出现变形、凹凸、破裂、不保温等情况，一经发现，马上更换。</w:t>
      </w:r>
    </w:p>
    <w:p w14:paraId="2962FB86">
      <w:pPr>
        <w:rPr>
          <w:highlight w:val="none"/>
          <w:lang w:eastAsia="zh-CN"/>
        </w:rPr>
      </w:pPr>
      <w:r>
        <w:rPr>
          <w:highlight w:val="none"/>
          <w:lang w:eastAsia="zh-CN"/>
        </w:rPr>
        <w:t>7.中标人每次餐前、餐中、餐后应及时擦洗饭桌上的残渣、剩饭、油污，打扫食堂清洁卫生，并把餐桌椅摆放整齐，每周规定二次大扫除（门窗、电扇及各个角落都要清洗干净：清除食堂、厨房、仓库内的老鼠、蟑螂、蚂蚁等不洁物）。</w:t>
      </w:r>
    </w:p>
    <w:p w14:paraId="55580098">
      <w:pPr>
        <w:rPr>
          <w:highlight w:val="none"/>
          <w:lang w:eastAsia="zh-CN"/>
        </w:rPr>
      </w:pPr>
      <w:r>
        <w:rPr>
          <w:highlight w:val="none"/>
          <w:lang w:eastAsia="zh-CN"/>
        </w:rPr>
        <w:t>8.本项目主要服务范围：要求在医院全年无休，每天负责早、中、晚餐饮供应，保证周末、法定节假日正常供餐；提供熟食主食凉菜外卖服务；提供下送手术室午餐</w:t>
      </w:r>
      <w:r>
        <w:rPr>
          <w:rFonts w:hint="eastAsia"/>
          <w:highlight w:val="none"/>
          <w:lang w:eastAsia="zh-CN"/>
        </w:rPr>
        <w:t>及晚餐</w:t>
      </w:r>
      <w:r>
        <w:rPr>
          <w:highlight w:val="none"/>
          <w:lang w:eastAsia="zh-CN"/>
        </w:rPr>
        <w:t>服务；如遇医院学术交流会议，须</w:t>
      </w:r>
      <w:r>
        <w:rPr>
          <w:rFonts w:hint="eastAsia"/>
          <w:highlight w:val="none"/>
          <w:lang w:eastAsia="zh-CN"/>
        </w:rPr>
        <w:t>提供</w:t>
      </w:r>
      <w:r>
        <w:rPr>
          <w:highlight w:val="none"/>
          <w:lang w:eastAsia="zh-CN"/>
        </w:rPr>
        <w:t>会议用餐等服务。</w:t>
      </w:r>
    </w:p>
    <w:p w14:paraId="2C1BBAE9">
      <w:pPr>
        <w:rPr>
          <w:highlight w:val="none"/>
          <w:lang w:eastAsia="zh-CN"/>
        </w:rPr>
      </w:pPr>
      <w:r>
        <w:rPr>
          <w:highlight w:val="none"/>
          <w:lang w:eastAsia="zh-CN"/>
        </w:rPr>
        <w:t>（二）食堂工作人员</w:t>
      </w:r>
    </w:p>
    <w:p w14:paraId="3EDE4181">
      <w:pPr>
        <w:rPr>
          <w:highlight w:val="none"/>
          <w:lang w:eastAsia="zh-CN"/>
        </w:rPr>
      </w:pPr>
      <w:r>
        <w:rPr>
          <w:highlight w:val="none"/>
          <w:lang w:eastAsia="zh-CN"/>
        </w:rPr>
        <w:t>1.在承包合同期满后，所有食堂工作人员的劳务关系由中标人负责。</w:t>
      </w:r>
    </w:p>
    <w:p w14:paraId="6F83C8ED">
      <w:pPr>
        <w:rPr>
          <w:highlight w:val="none"/>
          <w:lang w:eastAsia="zh-CN"/>
        </w:rPr>
      </w:pPr>
      <w:r>
        <w:rPr>
          <w:highlight w:val="none"/>
          <w:lang w:eastAsia="zh-CN"/>
        </w:rPr>
        <w:t>2.中标人自行负责所有食堂工作人员的招聘、任免、薪资、住宿、福利以及工伤保险、医疗保险等。</w:t>
      </w:r>
    </w:p>
    <w:p w14:paraId="2DC02ED9">
      <w:pPr>
        <w:rPr>
          <w:highlight w:val="none"/>
          <w:lang w:eastAsia="zh-CN"/>
        </w:rPr>
      </w:pPr>
      <w:r>
        <w:rPr>
          <w:highlight w:val="none"/>
          <w:lang w:eastAsia="zh-CN"/>
        </w:rPr>
        <w:t>3.中标人员工需遵循采购人的相关制度，并配合、服从采购人管理。</w:t>
      </w:r>
    </w:p>
    <w:p w14:paraId="40D21353">
      <w:pPr>
        <w:rPr>
          <w:rFonts w:hint="eastAsia"/>
          <w:highlight w:val="none"/>
          <w:lang w:eastAsia="zh-CN"/>
        </w:rPr>
      </w:pPr>
      <w:r>
        <w:rPr>
          <w:highlight w:val="none"/>
          <w:lang w:eastAsia="zh-CN"/>
        </w:rPr>
        <w:t>4.中标人对食堂工作人员的要求：</w:t>
      </w:r>
      <w:r>
        <w:rPr>
          <w:rFonts w:hint="eastAsia"/>
          <w:highlight w:val="none"/>
          <w:lang w:eastAsia="zh-CN"/>
        </w:rPr>
        <w:t>保证投入不少于</w:t>
      </w:r>
      <w:r>
        <w:rPr>
          <w:rFonts w:hint="eastAsia"/>
          <w:highlight w:val="none"/>
          <w:lang w:val="en-US" w:eastAsia="zh-CN"/>
        </w:rPr>
        <w:t>7</w:t>
      </w:r>
      <w:r>
        <w:rPr>
          <w:rFonts w:hint="eastAsia"/>
          <w:highlight w:val="none"/>
          <w:lang w:eastAsia="zh-CN"/>
        </w:rPr>
        <w:t>名的专业工作人员；不少于</w:t>
      </w:r>
      <w:r>
        <w:rPr>
          <w:highlight w:val="none"/>
          <w:lang w:eastAsia="zh-CN"/>
        </w:rPr>
        <w:t>2</w:t>
      </w:r>
      <w:r>
        <w:rPr>
          <w:rFonts w:hint="eastAsia"/>
          <w:highlight w:val="none"/>
          <w:lang w:eastAsia="zh-CN"/>
        </w:rPr>
        <w:t>名具有饭堂烹饪经验的厨师；不少于3名其他服务人员；设置1名项目</w:t>
      </w:r>
      <w:r>
        <w:rPr>
          <w:rFonts w:hint="eastAsia"/>
          <w:highlight w:val="none"/>
          <w:lang w:val="en-US" w:eastAsia="zh-CN"/>
        </w:rPr>
        <w:t>经理</w:t>
      </w:r>
      <w:r>
        <w:rPr>
          <w:rFonts w:hint="eastAsia"/>
          <w:highlight w:val="none"/>
          <w:lang w:eastAsia="zh-CN"/>
        </w:rPr>
        <w:t>，</w:t>
      </w:r>
      <w:r>
        <w:rPr>
          <w:highlight w:val="none"/>
          <w:lang w:eastAsia="zh-CN"/>
        </w:rPr>
        <w:t>负责饭堂食材监督及卫生管理，以及饭堂全天候日常管理，制定落实各项管理制度，明确落实各项操作流程</w:t>
      </w:r>
      <w:r>
        <w:rPr>
          <w:rFonts w:hint="eastAsia"/>
          <w:highlight w:val="none"/>
          <w:lang w:eastAsia="zh-CN"/>
        </w:rPr>
        <w:t>，负责饭堂全面管理，对卫生、品质、出品、厨房工作人员的管理，具有该餐饮行业经验，负责用餐人员的售前售后沟通相关事宜，</w:t>
      </w:r>
      <w:r>
        <w:rPr>
          <w:rFonts w:hint="eastAsia"/>
          <w:b w:val="0"/>
          <w:bCs w:val="0"/>
          <w:highlight w:val="none"/>
          <w:lang w:val="en-US" w:eastAsia="zh-CN"/>
        </w:rPr>
        <w:t>设置1名项目总负责人，负责食品安全监督和</w:t>
      </w:r>
      <w:r>
        <w:rPr>
          <w:rFonts w:hint="eastAsia"/>
          <w:b w:val="0"/>
          <w:bCs w:val="0"/>
          <w:color w:val="000000"/>
          <w:sz w:val="21"/>
          <w:szCs w:val="21"/>
          <w:highlight w:val="none"/>
          <w:lang w:val="en-US" w:eastAsia="zh-CN"/>
        </w:rPr>
        <w:t>营养餐配制</w:t>
      </w:r>
      <w:r>
        <w:rPr>
          <w:b w:val="0"/>
          <w:bCs w:val="0"/>
          <w:highlight w:val="none"/>
          <w:lang w:eastAsia="zh-CN"/>
        </w:rPr>
        <w:t>。</w:t>
      </w:r>
      <w:r>
        <w:rPr>
          <w:rFonts w:hint="eastAsia"/>
          <w:highlight w:val="none"/>
          <w:lang w:eastAsia="zh-CN"/>
        </w:rPr>
        <w:t>（提供承诺函，格式自拟。）</w:t>
      </w:r>
    </w:p>
    <w:p w14:paraId="563C1E7C">
      <w:pPr>
        <w:rPr>
          <w:highlight w:val="none"/>
          <w:lang w:eastAsia="zh-CN"/>
        </w:rPr>
      </w:pPr>
      <w:r>
        <w:rPr>
          <w:highlight w:val="none"/>
          <w:lang w:eastAsia="zh-CN"/>
        </w:rPr>
        <w:t>5.中标人员工进驻采购人场所服务之前，须到采购人指定医院进行体检，</w:t>
      </w:r>
      <w:r>
        <w:rPr>
          <w:rFonts w:hint="eastAsia"/>
          <w:highlight w:val="none"/>
          <w:lang w:eastAsia="zh-CN"/>
        </w:rPr>
        <w:t>办理健康证明</w:t>
      </w:r>
      <w:r>
        <w:rPr>
          <w:highlight w:val="none"/>
          <w:lang w:eastAsia="zh-CN"/>
        </w:rPr>
        <w:t>并将结果反馈给采购人，合格者方可为采购人提供服务</w:t>
      </w:r>
      <w:r>
        <w:rPr>
          <w:rFonts w:hint="eastAsia"/>
          <w:highlight w:val="none"/>
          <w:lang w:eastAsia="zh-CN"/>
        </w:rPr>
        <w:t>，同时工作期间保证个人健康证明在有效期内。</w:t>
      </w:r>
    </w:p>
    <w:p w14:paraId="5B6A51E3">
      <w:pPr>
        <w:rPr>
          <w:highlight w:val="none"/>
          <w:lang w:eastAsia="zh-CN"/>
        </w:rPr>
      </w:pPr>
      <w:r>
        <w:rPr>
          <w:highlight w:val="none"/>
          <w:lang w:eastAsia="zh-CN"/>
        </w:rPr>
        <w:t>6.中标人要认真落实岗位责任制，食堂工作人员不准带首饰，不准涂指甲油，进操作间必须穿工作服，戴工作帽，进行分餐、盛饭和配送餐具时必须带口罩和一次性手套。</w:t>
      </w:r>
    </w:p>
    <w:p w14:paraId="18D45F50">
      <w:pPr>
        <w:rPr>
          <w:highlight w:val="none"/>
          <w:lang w:eastAsia="zh-CN"/>
        </w:rPr>
      </w:pPr>
      <w:r>
        <w:rPr>
          <w:highlight w:val="none"/>
          <w:lang w:eastAsia="zh-CN"/>
        </w:rPr>
        <w:t>7.中标人员工如有感冒、皮肤划伤及其他传染病等，不得带病上班；在工作期间患有传染病者，应立即调离工作岗位，康复后方可上岗。</w:t>
      </w:r>
    </w:p>
    <w:p w14:paraId="26593E7B">
      <w:pPr>
        <w:rPr>
          <w:highlight w:val="none"/>
          <w:lang w:eastAsia="zh-CN"/>
        </w:rPr>
      </w:pPr>
      <w:r>
        <w:rPr>
          <w:highlight w:val="none"/>
          <w:lang w:eastAsia="zh-CN"/>
        </w:rPr>
        <w:t>8.食堂工作人员在进行餐具洁净、消毒、饭菜制作以及给学生打饭菜过程中应该严格遵守工作卫生流程和要求，例如食材必须洗净、餐盘消毒达标、员工头发不能过长、严禁指甲过长或不戴口罩和头套等违背食堂卫生工作要求的情况；</w:t>
      </w:r>
    </w:p>
    <w:p w14:paraId="48BEB3EC">
      <w:pPr>
        <w:rPr>
          <w:highlight w:val="none"/>
          <w:lang w:eastAsia="zh-CN"/>
        </w:rPr>
      </w:pPr>
      <w:r>
        <w:rPr>
          <w:highlight w:val="none"/>
          <w:lang w:eastAsia="zh-CN"/>
        </w:rPr>
        <w:t>9.中标人员工应文明用语，服务热情周到，不得与采购人就餐人员有言语冲突或其它过激行为。一经发生尚未造成恶劣影响和后果的，中标人须向有相关人员赔礼道歉；一经发生且造成恶劣影响和后果的，中标人须解雇责任人，并依法承担相关法律责任。</w:t>
      </w:r>
    </w:p>
    <w:p w14:paraId="57094A43">
      <w:pPr>
        <w:rPr>
          <w:b/>
          <w:bCs/>
          <w:highlight w:val="none"/>
          <w:lang w:eastAsia="zh-CN"/>
        </w:rPr>
      </w:pPr>
      <w:r>
        <w:rPr>
          <w:b/>
          <w:bCs/>
          <w:highlight w:val="none"/>
          <w:lang w:eastAsia="zh-CN"/>
        </w:rPr>
        <w:t>（三）食堂设备</w:t>
      </w:r>
    </w:p>
    <w:p w14:paraId="1A72CAE7">
      <w:pPr>
        <w:rPr>
          <w:highlight w:val="none"/>
          <w:lang w:eastAsia="zh-CN"/>
        </w:rPr>
      </w:pPr>
      <w:r>
        <w:rPr>
          <w:highlight w:val="none"/>
          <w:lang w:eastAsia="zh-CN"/>
        </w:rPr>
        <w:t>1.</w:t>
      </w:r>
      <w:r>
        <w:rPr>
          <w:rFonts w:hint="eastAsia"/>
          <w:highlight w:val="none"/>
          <w:lang w:eastAsia="zh-CN"/>
        </w:rPr>
        <w:t>中标人须</w:t>
      </w:r>
      <w:r>
        <w:rPr>
          <w:highlight w:val="none"/>
          <w:lang w:eastAsia="zh-CN"/>
        </w:rPr>
        <w:t>配备各功能区和</w:t>
      </w:r>
      <w:r>
        <w:rPr>
          <w:rFonts w:hint="eastAsia"/>
          <w:highlight w:val="none"/>
          <w:lang w:eastAsia="zh-CN"/>
        </w:rPr>
        <w:t>大</w:t>
      </w:r>
      <w:r>
        <w:rPr>
          <w:highlight w:val="none"/>
          <w:lang w:eastAsia="zh-CN"/>
        </w:rPr>
        <w:t>部分主要的设施设备。合同结束后，中标人</w:t>
      </w:r>
      <w:r>
        <w:rPr>
          <w:rFonts w:hint="eastAsia"/>
          <w:highlight w:val="none"/>
          <w:lang w:eastAsia="zh-CN"/>
        </w:rPr>
        <w:t>有权收</w:t>
      </w:r>
      <w:r>
        <w:rPr>
          <w:highlight w:val="none"/>
          <w:lang w:eastAsia="zh-CN"/>
        </w:rPr>
        <w:t>回的设施设备应完好并能使用。</w:t>
      </w:r>
    </w:p>
    <w:p w14:paraId="40DEBC3C">
      <w:pPr>
        <w:rPr>
          <w:highlight w:val="none"/>
          <w:lang w:eastAsia="zh-CN"/>
        </w:rPr>
      </w:pPr>
      <w:r>
        <w:rPr>
          <w:highlight w:val="none"/>
          <w:lang w:eastAsia="zh-CN"/>
        </w:rPr>
        <w:t>2.中标人需自行配备除“厨房设施设备清单”之外的所有符合国家食品卫生标准的食堂用品，主要包括食物保温设备、盛放各种物品的容器、砧板、菜刀、就餐用具、清洁用具、配送车辆及其用具等。</w:t>
      </w:r>
    </w:p>
    <w:p w14:paraId="3BE82C1A">
      <w:pPr>
        <w:rPr>
          <w:highlight w:val="none"/>
          <w:lang w:eastAsia="zh-CN"/>
        </w:rPr>
      </w:pPr>
      <w:r>
        <w:rPr>
          <w:highlight w:val="none"/>
          <w:lang w:eastAsia="zh-CN"/>
        </w:rPr>
        <w:t>3.承包期间，食堂设施设备的维护及维修（包括空调、冰箱、消毒柜、风扇、蒸饭机、电子锅、电饭煲、餐具、纱窗、灯、水管等）费用由中标人负责。</w:t>
      </w:r>
    </w:p>
    <w:p w14:paraId="54F0C746">
      <w:pPr>
        <w:rPr>
          <w:highlight w:val="none"/>
          <w:lang w:eastAsia="zh-CN"/>
        </w:rPr>
      </w:pPr>
      <w:r>
        <w:rPr>
          <w:highlight w:val="none"/>
          <w:lang w:eastAsia="zh-CN"/>
        </w:rPr>
        <w:t>4.若医院食堂存在设施设备不足的情况下，中标人应自行补齐。（详见附件一：厨房设施设备清单）</w:t>
      </w:r>
    </w:p>
    <w:p w14:paraId="34199C80">
      <w:pPr>
        <w:rPr>
          <w:highlight w:val="none"/>
          <w:lang w:eastAsia="zh-CN"/>
        </w:rPr>
      </w:pPr>
      <w:r>
        <w:rPr>
          <w:highlight w:val="none"/>
          <w:lang w:eastAsia="zh-CN"/>
        </w:rPr>
        <w:t>5.采购人和中标人共同努力，在开餐前一周完成各项准备工作，保证所有硬件设备运作正常。在规定的时间准时、正常的开餐。如有延误，查明确属中标人责任，由中标人全部承担因此产生的经济及相关责任。</w:t>
      </w:r>
    </w:p>
    <w:p w14:paraId="5595ACB2">
      <w:pPr>
        <w:jc w:val="both"/>
        <w:rPr>
          <w:highlight w:val="none"/>
          <w:lang w:eastAsia="zh-CN"/>
        </w:rPr>
      </w:pPr>
      <w:r>
        <w:rPr>
          <w:b/>
          <w:highlight w:val="none"/>
          <w:lang w:eastAsia="zh-CN"/>
        </w:rPr>
        <w:t>附件一：</w:t>
      </w:r>
    </w:p>
    <w:p w14:paraId="6A0F0C77">
      <w:pPr>
        <w:jc w:val="center"/>
        <w:rPr>
          <w:highlight w:val="none"/>
          <w:lang w:eastAsia="zh-CN"/>
        </w:rPr>
      </w:pPr>
      <w:r>
        <w:rPr>
          <w:b/>
          <w:highlight w:val="none"/>
          <w:lang w:eastAsia="zh-CN"/>
        </w:rPr>
        <w:t>厨房设施设备清单</w:t>
      </w:r>
    </w:p>
    <w:tbl>
      <w:tblPr>
        <w:tblStyle w:val="12"/>
        <w:tblW w:w="4163" w:type="pct"/>
        <w:tblInd w:w="84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702"/>
        <w:gridCol w:w="3637"/>
        <w:gridCol w:w="1264"/>
        <w:gridCol w:w="1492"/>
      </w:tblGrid>
      <w:tr w14:paraId="3F9568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95" w:type="pct"/>
          </w:tcPr>
          <w:p w14:paraId="3D1831D4">
            <w:pPr>
              <w:jc w:val="center"/>
              <w:rPr>
                <w:highlight w:val="none"/>
              </w:rPr>
            </w:pPr>
            <w:r>
              <w:rPr>
                <w:b/>
                <w:highlight w:val="none"/>
              </w:rPr>
              <w:t>序号</w:t>
            </w:r>
          </w:p>
        </w:tc>
        <w:tc>
          <w:tcPr>
            <w:tcW w:w="2563" w:type="pct"/>
          </w:tcPr>
          <w:p w14:paraId="643C6974">
            <w:pPr>
              <w:jc w:val="center"/>
              <w:rPr>
                <w:highlight w:val="none"/>
              </w:rPr>
            </w:pPr>
            <w:r>
              <w:rPr>
                <w:b/>
                <w:highlight w:val="none"/>
              </w:rPr>
              <w:t>物资名称</w:t>
            </w:r>
          </w:p>
        </w:tc>
        <w:tc>
          <w:tcPr>
            <w:tcW w:w="891" w:type="pct"/>
          </w:tcPr>
          <w:p w14:paraId="7CA6865E">
            <w:pPr>
              <w:jc w:val="center"/>
              <w:rPr>
                <w:highlight w:val="none"/>
              </w:rPr>
            </w:pPr>
            <w:r>
              <w:rPr>
                <w:b/>
                <w:highlight w:val="none"/>
              </w:rPr>
              <w:t>单位</w:t>
            </w:r>
          </w:p>
        </w:tc>
        <w:tc>
          <w:tcPr>
            <w:tcW w:w="1051" w:type="pct"/>
          </w:tcPr>
          <w:p w14:paraId="1B7DAE53">
            <w:pPr>
              <w:jc w:val="center"/>
              <w:rPr>
                <w:highlight w:val="none"/>
              </w:rPr>
            </w:pPr>
            <w:r>
              <w:rPr>
                <w:b/>
                <w:highlight w:val="none"/>
              </w:rPr>
              <w:t>数量</w:t>
            </w:r>
          </w:p>
        </w:tc>
      </w:tr>
      <w:tr w14:paraId="33F7EA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95" w:type="pct"/>
          </w:tcPr>
          <w:p w14:paraId="61D56D8D">
            <w:pPr>
              <w:jc w:val="center"/>
              <w:rPr>
                <w:highlight w:val="none"/>
              </w:rPr>
            </w:pPr>
            <w:r>
              <w:rPr>
                <w:highlight w:val="none"/>
              </w:rPr>
              <w:t>1</w:t>
            </w:r>
          </w:p>
        </w:tc>
        <w:tc>
          <w:tcPr>
            <w:tcW w:w="2563" w:type="pct"/>
          </w:tcPr>
          <w:p w14:paraId="53D8AFA2">
            <w:pPr>
              <w:jc w:val="center"/>
              <w:rPr>
                <w:highlight w:val="none"/>
              </w:rPr>
            </w:pPr>
            <w:r>
              <w:rPr>
                <w:rFonts w:hint="eastAsia"/>
                <w:highlight w:val="none"/>
              </w:rPr>
              <w:t>大电炒炉</w:t>
            </w:r>
          </w:p>
        </w:tc>
        <w:tc>
          <w:tcPr>
            <w:tcW w:w="891" w:type="pct"/>
          </w:tcPr>
          <w:p w14:paraId="3AD6CBE5">
            <w:pPr>
              <w:jc w:val="center"/>
              <w:rPr>
                <w:highlight w:val="none"/>
              </w:rPr>
            </w:pPr>
            <w:r>
              <w:rPr>
                <w:color w:val="000000"/>
                <w:highlight w:val="none"/>
              </w:rPr>
              <w:t>套</w:t>
            </w:r>
          </w:p>
        </w:tc>
        <w:tc>
          <w:tcPr>
            <w:tcW w:w="1051" w:type="pct"/>
          </w:tcPr>
          <w:p w14:paraId="5D58D533">
            <w:pPr>
              <w:jc w:val="center"/>
              <w:rPr>
                <w:highlight w:val="none"/>
              </w:rPr>
            </w:pPr>
            <w:r>
              <w:rPr>
                <w:color w:val="000000"/>
                <w:highlight w:val="none"/>
              </w:rPr>
              <w:t>1</w:t>
            </w:r>
          </w:p>
        </w:tc>
      </w:tr>
      <w:tr w14:paraId="5547B8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95" w:type="pct"/>
          </w:tcPr>
          <w:p w14:paraId="48ED378D">
            <w:pPr>
              <w:jc w:val="center"/>
              <w:rPr>
                <w:highlight w:val="none"/>
              </w:rPr>
            </w:pPr>
            <w:r>
              <w:rPr>
                <w:highlight w:val="none"/>
              </w:rPr>
              <w:t>2</w:t>
            </w:r>
          </w:p>
        </w:tc>
        <w:tc>
          <w:tcPr>
            <w:tcW w:w="2563" w:type="pct"/>
          </w:tcPr>
          <w:p w14:paraId="4F78F563">
            <w:pPr>
              <w:jc w:val="center"/>
              <w:rPr>
                <w:highlight w:val="none"/>
              </w:rPr>
            </w:pPr>
            <w:r>
              <w:rPr>
                <w:rFonts w:hint="eastAsia"/>
                <w:highlight w:val="none"/>
              </w:rPr>
              <w:t>小电炒炉</w:t>
            </w:r>
          </w:p>
        </w:tc>
        <w:tc>
          <w:tcPr>
            <w:tcW w:w="891" w:type="pct"/>
          </w:tcPr>
          <w:p w14:paraId="6E6AB6A5">
            <w:pPr>
              <w:jc w:val="center"/>
              <w:rPr>
                <w:highlight w:val="none"/>
              </w:rPr>
            </w:pPr>
            <w:r>
              <w:rPr>
                <w:color w:val="000000"/>
                <w:highlight w:val="none"/>
              </w:rPr>
              <w:t>套</w:t>
            </w:r>
          </w:p>
        </w:tc>
        <w:tc>
          <w:tcPr>
            <w:tcW w:w="1051" w:type="pct"/>
          </w:tcPr>
          <w:p w14:paraId="0EEDD66C">
            <w:pPr>
              <w:jc w:val="center"/>
              <w:rPr>
                <w:highlight w:val="none"/>
              </w:rPr>
            </w:pPr>
            <w:r>
              <w:rPr>
                <w:color w:val="000000"/>
                <w:highlight w:val="none"/>
              </w:rPr>
              <w:t>1</w:t>
            </w:r>
          </w:p>
        </w:tc>
      </w:tr>
      <w:tr w14:paraId="1906F0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95" w:type="pct"/>
          </w:tcPr>
          <w:p w14:paraId="3B6E0F71">
            <w:pPr>
              <w:jc w:val="center"/>
              <w:rPr>
                <w:highlight w:val="none"/>
              </w:rPr>
            </w:pPr>
            <w:r>
              <w:rPr>
                <w:highlight w:val="none"/>
              </w:rPr>
              <w:t>3</w:t>
            </w:r>
          </w:p>
        </w:tc>
        <w:tc>
          <w:tcPr>
            <w:tcW w:w="2563" w:type="pct"/>
          </w:tcPr>
          <w:p w14:paraId="085327AA">
            <w:pPr>
              <w:jc w:val="center"/>
              <w:rPr>
                <w:highlight w:val="none"/>
              </w:rPr>
            </w:pPr>
            <w:r>
              <w:rPr>
                <w:rFonts w:hint="eastAsia"/>
                <w:highlight w:val="none"/>
              </w:rPr>
              <w:t>餐台</w:t>
            </w:r>
          </w:p>
        </w:tc>
        <w:tc>
          <w:tcPr>
            <w:tcW w:w="891" w:type="pct"/>
          </w:tcPr>
          <w:p w14:paraId="79254E6A">
            <w:pPr>
              <w:jc w:val="center"/>
              <w:rPr>
                <w:highlight w:val="none"/>
              </w:rPr>
            </w:pPr>
            <w:r>
              <w:rPr>
                <w:rFonts w:hint="eastAsia"/>
                <w:color w:val="000000"/>
                <w:highlight w:val="none"/>
                <w:lang w:eastAsia="zh-CN"/>
              </w:rPr>
              <w:t>张</w:t>
            </w:r>
          </w:p>
        </w:tc>
        <w:tc>
          <w:tcPr>
            <w:tcW w:w="1051" w:type="pct"/>
          </w:tcPr>
          <w:p w14:paraId="273E386A">
            <w:pPr>
              <w:jc w:val="center"/>
              <w:rPr>
                <w:highlight w:val="none"/>
              </w:rPr>
            </w:pPr>
            <w:r>
              <w:rPr>
                <w:color w:val="000000"/>
                <w:highlight w:val="none"/>
              </w:rPr>
              <w:t>10</w:t>
            </w:r>
          </w:p>
        </w:tc>
      </w:tr>
      <w:tr w14:paraId="699BB4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95" w:type="pct"/>
          </w:tcPr>
          <w:p w14:paraId="3A40AA15">
            <w:pPr>
              <w:jc w:val="center"/>
              <w:rPr>
                <w:highlight w:val="none"/>
              </w:rPr>
            </w:pPr>
            <w:r>
              <w:rPr>
                <w:highlight w:val="none"/>
              </w:rPr>
              <w:t>4</w:t>
            </w:r>
          </w:p>
        </w:tc>
        <w:tc>
          <w:tcPr>
            <w:tcW w:w="2563" w:type="pct"/>
          </w:tcPr>
          <w:p w14:paraId="5DC9B03C">
            <w:pPr>
              <w:jc w:val="center"/>
              <w:rPr>
                <w:highlight w:val="none"/>
              </w:rPr>
            </w:pPr>
            <w:r>
              <w:rPr>
                <w:rFonts w:hint="eastAsia"/>
                <w:highlight w:val="none"/>
              </w:rPr>
              <w:t>餐椅</w:t>
            </w:r>
          </w:p>
        </w:tc>
        <w:tc>
          <w:tcPr>
            <w:tcW w:w="891" w:type="pct"/>
          </w:tcPr>
          <w:p w14:paraId="1D7AC803">
            <w:pPr>
              <w:jc w:val="center"/>
              <w:rPr>
                <w:highlight w:val="none"/>
              </w:rPr>
            </w:pPr>
            <w:r>
              <w:rPr>
                <w:rFonts w:hint="eastAsia"/>
                <w:highlight w:val="none"/>
                <w:lang w:eastAsia="zh-CN"/>
              </w:rPr>
              <w:t>张</w:t>
            </w:r>
          </w:p>
        </w:tc>
        <w:tc>
          <w:tcPr>
            <w:tcW w:w="1051" w:type="pct"/>
          </w:tcPr>
          <w:p w14:paraId="0A57E93E">
            <w:pPr>
              <w:jc w:val="center"/>
              <w:rPr>
                <w:highlight w:val="none"/>
              </w:rPr>
            </w:pPr>
            <w:r>
              <w:rPr>
                <w:color w:val="000000"/>
                <w:highlight w:val="none"/>
              </w:rPr>
              <w:t>80</w:t>
            </w:r>
          </w:p>
        </w:tc>
      </w:tr>
      <w:tr w14:paraId="0C6C3B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95" w:type="pct"/>
          </w:tcPr>
          <w:p w14:paraId="15610ACD">
            <w:pPr>
              <w:jc w:val="center"/>
              <w:rPr>
                <w:highlight w:val="none"/>
              </w:rPr>
            </w:pPr>
            <w:r>
              <w:rPr>
                <w:highlight w:val="none"/>
              </w:rPr>
              <w:t>5</w:t>
            </w:r>
          </w:p>
        </w:tc>
        <w:tc>
          <w:tcPr>
            <w:tcW w:w="2563" w:type="pct"/>
          </w:tcPr>
          <w:p w14:paraId="46E8149E">
            <w:pPr>
              <w:jc w:val="center"/>
              <w:rPr>
                <w:highlight w:val="none"/>
              </w:rPr>
            </w:pPr>
            <w:r>
              <w:rPr>
                <w:rFonts w:hint="eastAsia"/>
                <w:highlight w:val="none"/>
              </w:rPr>
              <w:t>蒸饭柜炬栊</w:t>
            </w:r>
          </w:p>
        </w:tc>
        <w:tc>
          <w:tcPr>
            <w:tcW w:w="891" w:type="pct"/>
          </w:tcPr>
          <w:p w14:paraId="506BC970">
            <w:pPr>
              <w:jc w:val="center"/>
              <w:rPr>
                <w:highlight w:val="none"/>
              </w:rPr>
            </w:pPr>
            <w:r>
              <w:rPr>
                <w:rFonts w:hint="eastAsia"/>
                <w:color w:val="000000"/>
                <w:highlight w:val="none"/>
                <w:lang w:eastAsia="zh-CN"/>
              </w:rPr>
              <w:t>套</w:t>
            </w:r>
          </w:p>
        </w:tc>
        <w:tc>
          <w:tcPr>
            <w:tcW w:w="1051" w:type="pct"/>
          </w:tcPr>
          <w:p w14:paraId="521BB7EF">
            <w:pPr>
              <w:jc w:val="center"/>
              <w:rPr>
                <w:highlight w:val="none"/>
              </w:rPr>
            </w:pPr>
            <w:r>
              <w:rPr>
                <w:color w:val="000000"/>
                <w:highlight w:val="none"/>
              </w:rPr>
              <w:t>1</w:t>
            </w:r>
          </w:p>
        </w:tc>
      </w:tr>
      <w:tr w14:paraId="108776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95" w:type="pct"/>
          </w:tcPr>
          <w:p w14:paraId="2F2F56ED">
            <w:pPr>
              <w:jc w:val="center"/>
              <w:rPr>
                <w:highlight w:val="none"/>
              </w:rPr>
            </w:pPr>
            <w:r>
              <w:rPr>
                <w:highlight w:val="none"/>
              </w:rPr>
              <w:t>6</w:t>
            </w:r>
          </w:p>
        </w:tc>
        <w:tc>
          <w:tcPr>
            <w:tcW w:w="2563" w:type="pct"/>
          </w:tcPr>
          <w:p w14:paraId="462695A5">
            <w:pPr>
              <w:jc w:val="center"/>
              <w:rPr>
                <w:highlight w:val="none"/>
              </w:rPr>
            </w:pPr>
            <w:r>
              <w:rPr>
                <w:rFonts w:hint="eastAsia"/>
                <w:highlight w:val="none"/>
              </w:rPr>
              <w:t>电汤炉</w:t>
            </w:r>
          </w:p>
        </w:tc>
        <w:tc>
          <w:tcPr>
            <w:tcW w:w="891" w:type="pct"/>
          </w:tcPr>
          <w:p w14:paraId="5147A2B9">
            <w:pPr>
              <w:jc w:val="center"/>
              <w:rPr>
                <w:highlight w:val="none"/>
              </w:rPr>
            </w:pPr>
            <w:r>
              <w:rPr>
                <w:rFonts w:hint="eastAsia"/>
                <w:color w:val="000000"/>
                <w:highlight w:val="none"/>
                <w:lang w:eastAsia="zh-CN"/>
              </w:rPr>
              <w:t>个</w:t>
            </w:r>
          </w:p>
        </w:tc>
        <w:tc>
          <w:tcPr>
            <w:tcW w:w="1051" w:type="pct"/>
          </w:tcPr>
          <w:p w14:paraId="443A6D7F">
            <w:pPr>
              <w:jc w:val="center"/>
              <w:rPr>
                <w:highlight w:val="none"/>
              </w:rPr>
            </w:pPr>
            <w:r>
              <w:rPr>
                <w:color w:val="000000"/>
                <w:highlight w:val="none"/>
              </w:rPr>
              <w:t>1</w:t>
            </w:r>
          </w:p>
        </w:tc>
      </w:tr>
      <w:tr w14:paraId="67D9EF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95" w:type="pct"/>
          </w:tcPr>
          <w:p w14:paraId="37D082A4">
            <w:pPr>
              <w:jc w:val="center"/>
              <w:rPr>
                <w:highlight w:val="none"/>
              </w:rPr>
            </w:pPr>
            <w:r>
              <w:rPr>
                <w:highlight w:val="none"/>
              </w:rPr>
              <w:t>7</w:t>
            </w:r>
          </w:p>
        </w:tc>
        <w:tc>
          <w:tcPr>
            <w:tcW w:w="2563" w:type="pct"/>
          </w:tcPr>
          <w:p w14:paraId="55309E0D">
            <w:pPr>
              <w:jc w:val="center"/>
              <w:rPr>
                <w:highlight w:val="none"/>
              </w:rPr>
            </w:pPr>
            <w:r>
              <w:rPr>
                <w:rFonts w:hint="eastAsia"/>
                <w:highlight w:val="none"/>
              </w:rPr>
              <w:t>蒸包机</w:t>
            </w:r>
          </w:p>
        </w:tc>
        <w:tc>
          <w:tcPr>
            <w:tcW w:w="891" w:type="pct"/>
          </w:tcPr>
          <w:p w14:paraId="452C35B5">
            <w:pPr>
              <w:jc w:val="center"/>
              <w:rPr>
                <w:highlight w:val="none"/>
              </w:rPr>
            </w:pPr>
            <w:r>
              <w:rPr>
                <w:rFonts w:hint="eastAsia"/>
                <w:color w:val="000000"/>
                <w:highlight w:val="none"/>
                <w:lang w:eastAsia="zh-CN"/>
              </w:rPr>
              <w:t>个</w:t>
            </w:r>
          </w:p>
        </w:tc>
        <w:tc>
          <w:tcPr>
            <w:tcW w:w="1051" w:type="pct"/>
          </w:tcPr>
          <w:p w14:paraId="4C154A8D">
            <w:pPr>
              <w:jc w:val="center"/>
              <w:rPr>
                <w:highlight w:val="none"/>
              </w:rPr>
            </w:pPr>
            <w:r>
              <w:rPr>
                <w:color w:val="000000"/>
                <w:highlight w:val="none"/>
              </w:rPr>
              <w:t>1</w:t>
            </w:r>
          </w:p>
        </w:tc>
      </w:tr>
      <w:tr w14:paraId="52BD21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95" w:type="pct"/>
          </w:tcPr>
          <w:p w14:paraId="2EBFE0EE">
            <w:pPr>
              <w:jc w:val="center"/>
              <w:rPr>
                <w:highlight w:val="none"/>
              </w:rPr>
            </w:pPr>
            <w:r>
              <w:rPr>
                <w:highlight w:val="none"/>
              </w:rPr>
              <w:t>8</w:t>
            </w:r>
          </w:p>
        </w:tc>
        <w:tc>
          <w:tcPr>
            <w:tcW w:w="2563" w:type="pct"/>
          </w:tcPr>
          <w:p w14:paraId="1224DBC3">
            <w:pPr>
              <w:jc w:val="center"/>
              <w:rPr>
                <w:highlight w:val="none"/>
              </w:rPr>
            </w:pPr>
            <w:r>
              <w:rPr>
                <w:rFonts w:hint="eastAsia"/>
                <w:highlight w:val="none"/>
              </w:rPr>
              <w:t>保温台</w:t>
            </w:r>
          </w:p>
        </w:tc>
        <w:tc>
          <w:tcPr>
            <w:tcW w:w="891" w:type="pct"/>
          </w:tcPr>
          <w:p w14:paraId="2B0F7E64">
            <w:pPr>
              <w:jc w:val="center"/>
              <w:rPr>
                <w:highlight w:val="none"/>
              </w:rPr>
            </w:pPr>
            <w:r>
              <w:rPr>
                <w:rFonts w:hint="eastAsia"/>
                <w:color w:val="000000"/>
                <w:highlight w:val="none"/>
                <w:lang w:eastAsia="zh-CN"/>
              </w:rPr>
              <w:t>个</w:t>
            </w:r>
          </w:p>
        </w:tc>
        <w:tc>
          <w:tcPr>
            <w:tcW w:w="1051" w:type="pct"/>
          </w:tcPr>
          <w:p w14:paraId="0C707ECC">
            <w:pPr>
              <w:jc w:val="center"/>
              <w:rPr>
                <w:highlight w:val="none"/>
              </w:rPr>
            </w:pPr>
            <w:r>
              <w:rPr>
                <w:color w:val="000000"/>
                <w:highlight w:val="none"/>
              </w:rPr>
              <w:t>1</w:t>
            </w:r>
          </w:p>
        </w:tc>
      </w:tr>
      <w:tr w14:paraId="5045FB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95" w:type="pct"/>
          </w:tcPr>
          <w:p w14:paraId="3CCDC47F">
            <w:pPr>
              <w:jc w:val="center"/>
              <w:rPr>
                <w:highlight w:val="none"/>
              </w:rPr>
            </w:pPr>
            <w:r>
              <w:rPr>
                <w:highlight w:val="none"/>
              </w:rPr>
              <w:t>9</w:t>
            </w:r>
          </w:p>
        </w:tc>
        <w:tc>
          <w:tcPr>
            <w:tcW w:w="2563" w:type="pct"/>
          </w:tcPr>
          <w:p w14:paraId="3CF810F5">
            <w:pPr>
              <w:jc w:val="center"/>
              <w:rPr>
                <w:highlight w:val="none"/>
              </w:rPr>
            </w:pPr>
            <w:r>
              <w:rPr>
                <w:rFonts w:hint="eastAsia"/>
                <w:highlight w:val="none"/>
              </w:rPr>
              <w:t>煮面炉</w:t>
            </w:r>
          </w:p>
        </w:tc>
        <w:tc>
          <w:tcPr>
            <w:tcW w:w="891" w:type="pct"/>
          </w:tcPr>
          <w:p w14:paraId="13AF5229">
            <w:pPr>
              <w:jc w:val="center"/>
              <w:rPr>
                <w:highlight w:val="none"/>
              </w:rPr>
            </w:pPr>
            <w:r>
              <w:rPr>
                <w:rFonts w:hint="eastAsia"/>
                <w:color w:val="000000"/>
                <w:highlight w:val="none"/>
                <w:lang w:eastAsia="zh-CN"/>
              </w:rPr>
              <w:t>个</w:t>
            </w:r>
          </w:p>
        </w:tc>
        <w:tc>
          <w:tcPr>
            <w:tcW w:w="1051" w:type="pct"/>
          </w:tcPr>
          <w:p w14:paraId="47EFA97D">
            <w:pPr>
              <w:jc w:val="center"/>
              <w:rPr>
                <w:highlight w:val="none"/>
              </w:rPr>
            </w:pPr>
            <w:r>
              <w:rPr>
                <w:color w:val="000000"/>
                <w:highlight w:val="none"/>
              </w:rPr>
              <w:t>1</w:t>
            </w:r>
          </w:p>
        </w:tc>
      </w:tr>
      <w:tr w14:paraId="223B21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95" w:type="pct"/>
          </w:tcPr>
          <w:p w14:paraId="27DD7814">
            <w:pPr>
              <w:jc w:val="center"/>
              <w:rPr>
                <w:highlight w:val="none"/>
              </w:rPr>
            </w:pPr>
            <w:r>
              <w:rPr>
                <w:highlight w:val="none"/>
              </w:rPr>
              <w:t>10</w:t>
            </w:r>
          </w:p>
        </w:tc>
        <w:tc>
          <w:tcPr>
            <w:tcW w:w="2563" w:type="pct"/>
          </w:tcPr>
          <w:p w14:paraId="765462B7">
            <w:pPr>
              <w:jc w:val="center"/>
              <w:rPr>
                <w:highlight w:val="none"/>
              </w:rPr>
            </w:pPr>
            <w:r>
              <w:rPr>
                <w:rFonts w:hint="eastAsia"/>
                <w:highlight w:val="none"/>
              </w:rPr>
              <w:t>蒸柜</w:t>
            </w:r>
          </w:p>
        </w:tc>
        <w:tc>
          <w:tcPr>
            <w:tcW w:w="891" w:type="pct"/>
          </w:tcPr>
          <w:p w14:paraId="1E5C0350">
            <w:pPr>
              <w:jc w:val="center"/>
              <w:rPr>
                <w:highlight w:val="none"/>
              </w:rPr>
            </w:pPr>
            <w:r>
              <w:rPr>
                <w:rFonts w:hint="eastAsia"/>
                <w:color w:val="000000"/>
                <w:highlight w:val="none"/>
                <w:lang w:eastAsia="zh-CN"/>
              </w:rPr>
              <w:t>个</w:t>
            </w:r>
          </w:p>
        </w:tc>
        <w:tc>
          <w:tcPr>
            <w:tcW w:w="1051" w:type="pct"/>
          </w:tcPr>
          <w:p w14:paraId="4AF7DF37">
            <w:pPr>
              <w:jc w:val="center"/>
              <w:rPr>
                <w:highlight w:val="none"/>
              </w:rPr>
            </w:pPr>
            <w:r>
              <w:rPr>
                <w:color w:val="000000"/>
                <w:highlight w:val="none"/>
              </w:rPr>
              <w:t>1</w:t>
            </w:r>
          </w:p>
        </w:tc>
      </w:tr>
      <w:tr w14:paraId="6074D5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95" w:type="pct"/>
          </w:tcPr>
          <w:p w14:paraId="5191CFAD">
            <w:pPr>
              <w:jc w:val="center"/>
              <w:rPr>
                <w:highlight w:val="none"/>
              </w:rPr>
            </w:pPr>
            <w:r>
              <w:rPr>
                <w:highlight w:val="none"/>
              </w:rPr>
              <w:t>11</w:t>
            </w:r>
          </w:p>
        </w:tc>
        <w:tc>
          <w:tcPr>
            <w:tcW w:w="2563" w:type="pct"/>
          </w:tcPr>
          <w:p w14:paraId="61D8F15E">
            <w:pPr>
              <w:jc w:val="center"/>
              <w:rPr>
                <w:highlight w:val="none"/>
              </w:rPr>
            </w:pPr>
            <w:r>
              <w:rPr>
                <w:rFonts w:hint="eastAsia"/>
                <w:highlight w:val="none"/>
              </w:rPr>
              <w:t>冷藏柜</w:t>
            </w:r>
          </w:p>
        </w:tc>
        <w:tc>
          <w:tcPr>
            <w:tcW w:w="891" w:type="pct"/>
          </w:tcPr>
          <w:p w14:paraId="5AB094F7">
            <w:pPr>
              <w:jc w:val="center"/>
              <w:rPr>
                <w:highlight w:val="none"/>
              </w:rPr>
            </w:pPr>
            <w:r>
              <w:rPr>
                <w:rFonts w:hint="eastAsia"/>
                <w:color w:val="000000"/>
                <w:highlight w:val="none"/>
                <w:lang w:eastAsia="zh-CN"/>
              </w:rPr>
              <w:t>个</w:t>
            </w:r>
          </w:p>
        </w:tc>
        <w:tc>
          <w:tcPr>
            <w:tcW w:w="1051" w:type="pct"/>
          </w:tcPr>
          <w:p w14:paraId="434F9E33">
            <w:pPr>
              <w:jc w:val="center"/>
              <w:rPr>
                <w:highlight w:val="none"/>
              </w:rPr>
            </w:pPr>
            <w:r>
              <w:rPr>
                <w:color w:val="000000"/>
                <w:highlight w:val="none"/>
              </w:rPr>
              <w:t>1</w:t>
            </w:r>
          </w:p>
        </w:tc>
      </w:tr>
      <w:tr w14:paraId="065B12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95" w:type="pct"/>
          </w:tcPr>
          <w:p w14:paraId="7D30956C">
            <w:pPr>
              <w:jc w:val="center"/>
              <w:rPr>
                <w:highlight w:val="none"/>
              </w:rPr>
            </w:pPr>
            <w:r>
              <w:rPr>
                <w:highlight w:val="none"/>
              </w:rPr>
              <w:t>12</w:t>
            </w:r>
          </w:p>
        </w:tc>
        <w:tc>
          <w:tcPr>
            <w:tcW w:w="2563" w:type="pct"/>
          </w:tcPr>
          <w:p w14:paraId="4BE15A54">
            <w:pPr>
              <w:jc w:val="center"/>
              <w:rPr>
                <w:highlight w:val="none"/>
              </w:rPr>
            </w:pPr>
            <w:r>
              <w:rPr>
                <w:rFonts w:hint="eastAsia"/>
                <w:highlight w:val="none"/>
              </w:rPr>
              <w:t>消毒柜</w:t>
            </w:r>
          </w:p>
        </w:tc>
        <w:tc>
          <w:tcPr>
            <w:tcW w:w="891" w:type="pct"/>
          </w:tcPr>
          <w:p w14:paraId="1F53195E">
            <w:pPr>
              <w:jc w:val="center"/>
              <w:rPr>
                <w:highlight w:val="none"/>
              </w:rPr>
            </w:pPr>
            <w:r>
              <w:rPr>
                <w:rFonts w:hint="eastAsia"/>
                <w:color w:val="000000"/>
                <w:highlight w:val="none"/>
                <w:lang w:eastAsia="zh-CN"/>
              </w:rPr>
              <w:t>个</w:t>
            </w:r>
          </w:p>
        </w:tc>
        <w:tc>
          <w:tcPr>
            <w:tcW w:w="1051" w:type="pct"/>
          </w:tcPr>
          <w:p w14:paraId="5200DE40">
            <w:pPr>
              <w:jc w:val="center"/>
              <w:rPr>
                <w:highlight w:val="none"/>
              </w:rPr>
            </w:pPr>
            <w:r>
              <w:rPr>
                <w:color w:val="000000"/>
                <w:highlight w:val="none"/>
              </w:rPr>
              <w:t>1</w:t>
            </w:r>
          </w:p>
        </w:tc>
      </w:tr>
      <w:tr w14:paraId="12C96F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95" w:type="pct"/>
          </w:tcPr>
          <w:p w14:paraId="6EDF670B">
            <w:pPr>
              <w:jc w:val="center"/>
              <w:rPr>
                <w:highlight w:val="none"/>
              </w:rPr>
            </w:pPr>
            <w:r>
              <w:rPr>
                <w:highlight w:val="none"/>
              </w:rPr>
              <w:t>13</w:t>
            </w:r>
          </w:p>
        </w:tc>
        <w:tc>
          <w:tcPr>
            <w:tcW w:w="2563" w:type="pct"/>
          </w:tcPr>
          <w:p w14:paraId="0B8103B7">
            <w:pPr>
              <w:jc w:val="center"/>
              <w:rPr>
                <w:highlight w:val="none"/>
              </w:rPr>
            </w:pPr>
            <w:r>
              <w:rPr>
                <w:rFonts w:hint="eastAsia"/>
                <w:highlight w:val="none"/>
              </w:rPr>
              <w:t>保鲜柜</w:t>
            </w:r>
          </w:p>
        </w:tc>
        <w:tc>
          <w:tcPr>
            <w:tcW w:w="891" w:type="pct"/>
          </w:tcPr>
          <w:p w14:paraId="6F783A8D">
            <w:pPr>
              <w:jc w:val="center"/>
              <w:rPr>
                <w:highlight w:val="none"/>
              </w:rPr>
            </w:pPr>
            <w:r>
              <w:rPr>
                <w:rFonts w:hint="eastAsia"/>
                <w:color w:val="000000"/>
                <w:highlight w:val="none"/>
                <w:lang w:eastAsia="zh-CN"/>
              </w:rPr>
              <w:t>个</w:t>
            </w:r>
          </w:p>
        </w:tc>
        <w:tc>
          <w:tcPr>
            <w:tcW w:w="1051" w:type="pct"/>
          </w:tcPr>
          <w:p w14:paraId="726B2077">
            <w:pPr>
              <w:jc w:val="center"/>
              <w:rPr>
                <w:highlight w:val="none"/>
              </w:rPr>
            </w:pPr>
            <w:r>
              <w:rPr>
                <w:color w:val="000000"/>
                <w:highlight w:val="none"/>
              </w:rPr>
              <w:t>1</w:t>
            </w:r>
          </w:p>
        </w:tc>
      </w:tr>
      <w:tr w14:paraId="79A2F3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95" w:type="pct"/>
          </w:tcPr>
          <w:p w14:paraId="54B97FEF">
            <w:pPr>
              <w:jc w:val="center"/>
              <w:rPr>
                <w:highlight w:val="none"/>
              </w:rPr>
            </w:pPr>
            <w:r>
              <w:rPr>
                <w:highlight w:val="none"/>
              </w:rPr>
              <w:t>14</w:t>
            </w:r>
          </w:p>
        </w:tc>
        <w:tc>
          <w:tcPr>
            <w:tcW w:w="2563" w:type="pct"/>
          </w:tcPr>
          <w:p w14:paraId="6B6DD514">
            <w:pPr>
              <w:jc w:val="center"/>
              <w:rPr>
                <w:highlight w:val="none"/>
              </w:rPr>
            </w:pPr>
            <w:r>
              <w:rPr>
                <w:rFonts w:hint="eastAsia"/>
                <w:highlight w:val="none"/>
              </w:rPr>
              <w:t>洗菜池</w:t>
            </w:r>
          </w:p>
        </w:tc>
        <w:tc>
          <w:tcPr>
            <w:tcW w:w="891" w:type="pct"/>
          </w:tcPr>
          <w:p w14:paraId="6F9457A0">
            <w:pPr>
              <w:jc w:val="center"/>
              <w:rPr>
                <w:highlight w:val="none"/>
              </w:rPr>
            </w:pPr>
            <w:r>
              <w:rPr>
                <w:rFonts w:hint="eastAsia"/>
                <w:color w:val="000000"/>
                <w:highlight w:val="none"/>
                <w:lang w:eastAsia="zh-CN"/>
              </w:rPr>
              <w:t>套</w:t>
            </w:r>
          </w:p>
        </w:tc>
        <w:tc>
          <w:tcPr>
            <w:tcW w:w="1051" w:type="pct"/>
          </w:tcPr>
          <w:p w14:paraId="28F27C9A">
            <w:pPr>
              <w:jc w:val="center"/>
              <w:rPr>
                <w:highlight w:val="none"/>
              </w:rPr>
            </w:pPr>
            <w:r>
              <w:rPr>
                <w:color w:val="000000"/>
                <w:highlight w:val="none"/>
              </w:rPr>
              <w:t>1</w:t>
            </w:r>
          </w:p>
        </w:tc>
      </w:tr>
      <w:tr w14:paraId="5768D7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95" w:type="pct"/>
          </w:tcPr>
          <w:p w14:paraId="7B752FC7">
            <w:pPr>
              <w:jc w:val="center"/>
              <w:rPr>
                <w:highlight w:val="none"/>
              </w:rPr>
            </w:pPr>
            <w:r>
              <w:rPr>
                <w:highlight w:val="none"/>
              </w:rPr>
              <w:t>15</w:t>
            </w:r>
          </w:p>
        </w:tc>
        <w:tc>
          <w:tcPr>
            <w:tcW w:w="2563" w:type="pct"/>
          </w:tcPr>
          <w:p w14:paraId="59B6CD38">
            <w:pPr>
              <w:jc w:val="center"/>
              <w:rPr>
                <w:highlight w:val="none"/>
              </w:rPr>
            </w:pPr>
            <w:r>
              <w:rPr>
                <w:rFonts w:hint="eastAsia"/>
                <w:highlight w:val="none"/>
              </w:rPr>
              <w:t>大荷台</w:t>
            </w:r>
          </w:p>
        </w:tc>
        <w:tc>
          <w:tcPr>
            <w:tcW w:w="891" w:type="pct"/>
          </w:tcPr>
          <w:p w14:paraId="54EBB4C9">
            <w:pPr>
              <w:jc w:val="center"/>
              <w:rPr>
                <w:highlight w:val="none"/>
              </w:rPr>
            </w:pPr>
            <w:r>
              <w:rPr>
                <w:rFonts w:hint="eastAsia"/>
                <w:color w:val="000000"/>
                <w:highlight w:val="none"/>
                <w:lang w:eastAsia="zh-CN"/>
              </w:rPr>
              <w:t>张</w:t>
            </w:r>
          </w:p>
        </w:tc>
        <w:tc>
          <w:tcPr>
            <w:tcW w:w="1051" w:type="pct"/>
          </w:tcPr>
          <w:p w14:paraId="71835BE2">
            <w:pPr>
              <w:jc w:val="center"/>
              <w:rPr>
                <w:highlight w:val="none"/>
              </w:rPr>
            </w:pPr>
            <w:r>
              <w:rPr>
                <w:color w:val="000000"/>
                <w:highlight w:val="none"/>
              </w:rPr>
              <w:t>1</w:t>
            </w:r>
          </w:p>
        </w:tc>
      </w:tr>
      <w:tr w14:paraId="51F8EF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95" w:type="pct"/>
          </w:tcPr>
          <w:p w14:paraId="6C17811A">
            <w:pPr>
              <w:jc w:val="center"/>
              <w:rPr>
                <w:highlight w:val="none"/>
              </w:rPr>
            </w:pPr>
            <w:r>
              <w:rPr>
                <w:highlight w:val="none"/>
              </w:rPr>
              <w:t>16</w:t>
            </w:r>
          </w:p>
        </w:tc>
        <w:tc>
          <w:tcPr>
            <w:tcW w:w="2563" w:type="pct"/>
          </w:tcPr>
          <w:p w14:paraId="5CC0B921">
            <w:pPr>
              <w:jc w:val="center"/>
              <w:rPr>
                <w:highlight w:val="none"/>
              </w:rPr>
            </w:pPr>
            <w:r>
              <w:rPr>
                <w:rFonts w:hint="eastAsia"/>
                <w:highlight w:val="none"/>
              </w:rPr>
              <w:t>小荷台</w:t>
            </w:r>
          </w:p>
        </w:tc>
        <w:tc>
          <w:tcPr>
            <w:tcW w:w="891" w:type="pct"/>
          </w:tcPr>
          <w:p w14:paraId="688B1C66">
            <w:pPr>
              <w:jc w:val="center"/>
              <w:rPr>
                <w:highlight w:val="none"/>
              </w:rPr>
            </w:pPr>
            <w:r>
              <w:rPr>
                <w:color w:val="000000"/>
                <w:highlight w:val="none"/>
              </w:rPr>
              <w:t>张</w:t>
            </w:r>
          </w:p>
        </w:tc>
        <w:tc>
          <w:tcPr>
            <w:tcW w:w="1051" w:type="pct"/>
          </w:tcPr>
          <w:p w14:paraId="3BCD6719">
            <w:pPr>
              <w:jc w:val="center"/>
              <w:rPr>
                <w:highlight w:val="none"/>
              </w:rPr>
            </w:pPr>
            <w:r>
              <w:rPr>
                <w:color w:val="000000"/>
                <w:highlight w:val="none"/>
              </w:rPr>
              <w:t>6</w:t>
            </w:r>
          </w:p>
        </w:tc>
      </w:tr>
      <w:tr w14:paraId="17213E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95" w:type="pct"/>
          </w:tcPr>
          <w:p w14:paraId="55F92A5C">
            <w:pPr>
              <w:jc w:val="center"/>
              <w:rPr>
                <w:highlight w:val="none"/>
              </w:rPr>
            </w:pPr>
            <w:r>
              <w:rPr>
                <w:highlight w:val="none"/>
              </w:rPr>
              <w:t>17</w:t>
            </w:r>
          </w:p>
        </w:tc>
        <w:tc>
          <w:tcPr>
            <w:tcW w:w="2563" w:type="pct"/>
          </w:tcPr>
          <w:p w14:paraId="52DADF91">
            <w:pPr>
              <w:jc w:val="center"/>
              <w:rPr>
                <w:highlight w:val="none"/>
              </w:rPr>
            </w:pPr>
            <w:r>
              <w:rPr>
                <w:rFonts w:hint="eastAsia"/>
                <w:highlight w:val="none"/>
              </w:rPr>
              <w:t>雪柜</w:t>
            </w:r>
          </w:p>
        </w:tc>
        <w:tc>
          <w:tcPr>
            <w:tcW w:w="891" w:type="pct"/>
          </w:tcPr>
          <w:p w14:paraId="31BF96D7">
            <w:pPr>
              <w:jc w:val="center"/>
              <w:rPr>
                <w:highlight w:val="none"/>
              </w:rPr>
            </w:pPr>
            <w:r>
              <w:rPr>
                <w:color w:val="000000"/>
                <w:highlight w:val="none"/>
              </w:rPr>
              <w:t>个</w:t>
            </w:r>
          </w:p>
        </w:tc>
        <w:tc>
          <w:tcPr>
            <w:tcW w:w="1051" w:type="pct"/>
          </w:tcPr>
          <w:p w14:paraId="1E0A95CB">
            <w:pPr>
              <w:jc w:val="center"/>
              <w:rPr>
                <w:highlight w:val="none"/>
              </w:rPr>
            </w:pPr>
            <w:r>
              <w:rPr>
                <w:color w:val="000000"/>
                <w:highlight w:val="none"/>
              </w:rPr>
              <w:t>1</w:t>
            </w:r>
          </w:p>
        </w:tc>
      </w:tr>
      <w:tr w14:paraId="2D6916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95" w:type="pct"/>
          </w:tcPr>
          <w:p w14:paraId="71677F5A">
            <w:pPr>
              <w:jc w:val="center"/>
              <w:rPr>
                <w:highlight w:val="none"/>
              </w:rPr>
            </w:pPr>
            <w:r>
              <w:rPr>
                <w:highlight w:val="none"/>
              </w:rPr>
              <w:t>18</w:t>
            </w:r>
          </w:p>
        </w:tc>
        <w:tc>
          <w:tcPr>
            <w:tcW w:w="2563" w:type="pct"/>
          </w:tcPr>
          <w:p w14:paraId="2A8D8B25">
            <w:pPr>
              <w:jc w:val="center"/>
              <w:rPr>
                <w:highlight w:val="none"/>
              </w:rPr>
            </w:pPr>
            <w:r>
              <w:rPr>
                <w:rFonts w:hint="eastAsia"/>
                <w:highlight w:val="none"/>
              </w:rPr>
              <w:t>冷藏蔬菜柜</w:t>
            </w:r>
          </w:p>
        </w:tc>
        <w:tc>
          <w:tcPr>
            <w:tcW w:w="891" w:type="pct"/>
          </w:tcPr>
          <w:p w14:paraId="131FD034">
            <w:pPr>
              <w:jc w:val="center"/>
              <w:rPr>
                <w:highlight w:val="none"/>
              </w:rPr>
            </w:pPr>
            <w:r>
              <w:rPr>
                <w:rFonts w:hint="eastAsia"/>
                <w:color w:val="000000"/>
                <w:highlight w:val="none"/>
                <w:lang w:eastAsia="zh-CN"/>
              </w:rPr>
              <w:t>个</w:t>
            </w:r>
          </w:p>
        </w:tc>
        <w:tc>
          <w:tcPr>
            <w:tcW w:w="1051" w:type="pct"/>
          </w:tcPr>
          <w:p w14:paraId="4683127D">
            <w:pPr>
              <w:jc w:val="center"/>
              <w:rPr>
                <w:highlight w:val="none"/>
              </w:rPr>
            </w:pPr>
            <w:r>
              <w:rPr>
                <w:color w:val="000000"/>
                <w:highlight w:val="none"/>
              </w:rPr>
              <w:t>1</w:t>
            </w:r>
          </w:p>
        </w:tc>
      </w:tr>
      <w:tr w14:paraId="5A9717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95" w:type="pct"/>
          </w:tcPr>
          <w:p w14:paraId="3398FAAB">
            <w:pPr>
              <w:jc w:val="center"/>
              <w:rPr>
                <w:highlight w:val="none"/>
              </w:rPr>
            </w:pPr>
            <w:r>
              <w:rPr>
                <w:highlight w:val="none"/>
              </w:rPr>
              <w:t>19</w:t>
            </w:r>
          </w:p>
        </w:tc>
        <w:tc>
          <w:tcPr>
            <w:tcW w:w="2563" w:type="pct"/>
          </w:tcPr>
          <w:p w14:paraId="0ED52E97">
            <w:pPr>
              <w:jc w:val="center"/>
              <w:rPr>
                <w:highlight w:val="none"/>
              </w:rPr>
            </w:pPr>
            <w:r>
              <w:rPr>
                <w:rFonts w:hint="eastAsia"/>
                <w:highlight w:val="none"/>
              </w:rPr>
              <w:t>隔油处理系统</w:t>
            </w:r>
          </w:p>
        </w:tc>
        <w:tc>
          <w:tcPr>
            <w:tcW w:w="891" w:type="pct"/>
          </w:tcPr>
          <w:p w14:paraId="236920BD">
            <w:pPr>
              <w:jc w:val="center"/>
              <w:rPr>
                <w:highlight w:val="none"/>
              </w:rPr>
            </w:pPr>
            <w:r>
              <w:rPr>
                <w:rFonts w:hint="eastAsia"/>
                <w:color w:val="000000"/>
                <w:highlight w:val="none"/>
                <w:lang w:eastAsia="zh-CN"/>
              </w:rPr>
              <w:t>个</w:t>
            </w:r>
          </w:p>
        </w:tc>
        <w:tc>
          <w:tcPr>
            <w:tcW w:w="1051" w:type="pct"/>
          </w:tcPr>
          <w:p w14:paraId="1319A9E3">
            <w:pPr>
              <w:jc w:val="center"/>
              <w:rPr>
                <w:highlight w:val="none"/>
              </w:rPr>
            </w:pPr>
            <w:r>
              <w:rPr>
                <w:color w:val="000000"/>
                <w:highlight w:val="none"/>
              </w:rPr>
              <w:t>1</w:t>
            </w:r>
          </w:p>
        </w:tc>
      </w:tr>
      <w:tr w14:paraId="7B1CED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95" w:type="pct"/>
          </w:tcPr>
          <w:p w14:paraId="717D83E2">
            <w:pPr>
              <w:jc w:val="center"/>
              <w:rPr>
                <w:highlight w:val="none"/>
              </w:rPr>
            </w:pPr>
            <w:r>
              <w:rPr>
                <w:highlight w:val="none"/>
              </w:rPr>
              <w:t>21</w:t>
            </w:r>
          </w:p>
        </w:tc>
        <w:tc>
          <w:tcPr>
            <w:tcW w:w="2563" w:type="pct"/>
          </w:tcPr>
          <w:p w14:paraId="77397C6B">
            <w:pPr>
              <w:jc w:val="center"/>
              <w:rPr>
                <w:highlight w:val="none"/>
              </w:rPr>
            </w:pPr>
            <w:r>
              <w:rPr>
                <w:rFonts w:hint="eastAsia"/>
                <w:highlight w:val="none"/>
              </w:rPr>
              <w:t>手推车</w:t>
            </w:r>
          </w:p>
        </w:tc>
        <w:tc>
          <w:tcPr>
            <w:tcW w:w="891" w:type="pct"/>
          </w:tcPr>
          <w:p w14:paraId="736716DE">
            <w:pPr>
              <w:jc w:val="center"/>
              <w:rPr>
                <w:highlight w:val="none"/>
              </w:rPr>
            </w:pPr>
            <w:r>
              <w:rPr>
                <w:color w:val="000000"/>
                <w:highlight w:val="none"/>
              </w:rPr>
              <w:t>个</w:t>
            </w:r>
          </w:p>
        </w:tc>
        <w:tc>
          <w:tcPr>
            <w:tcW w:w="1051" w:type="pct"/>
          </w:tcPr>
          <w:p w14:paraId="54E5488B">
            <w:pPr>
              <w:jc w:val="center"/>
              <w:rPr>
                <w:highlight w:val="none"/>
              </w:rPr>
            </w:pPr>
            <w:r>
              <w:rPr>
                <w:color w:val="000000"/>
                <w:highlight w:val="none"/>
              </w:rPr>
              <w:t>6</w:t>
            </w:r>
          </w:p>
        </w:tc>
      </w:tr>
      <w:tr w14:paraId="08F19E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95" w:type="pct"/>
          </w:tcPr>
          <w:p w14:paraId="1FC14B9A">
            <w:pPr>
              <w:jc w:val="center"/>
              <w:rPr>
                <w:highlight w:val="none"/>
              </w:rPr>
            </w:pPr>
            <w:r>
              <w:rPr>
                <w:highlight w:val="none"/>
              </w:rPr>
              <w:t>22</w:t>
            </w:r>
          </w:p>
        </w:tc>
        <w:tc>
          <w:tcPr>
            <w:tcW w:w="2563" w:type="pct"/>
          </w:tcPr>
          <w:p w14:paraId="557E134F">
            <w:pPr>
              <w:jc w:val="center"/>
              <w:rPr>
                <w:highlight w:val="none"/>
              </w:rPr>
            </w:pPr>
            <w:r>
              <w:rPr>
                <w:rFonts w:hint="eastAsia"/>
                <w:highlight w:val="none"/>
              </w:rPr>
              <w:t>热水器</w:t>
            </w:r>
          </w:p>
        </w:tc>
        <w:tc>
          <w:tcPr>
            <w:tcW w:w="891" w:type="pct"/>
          </w:tcPr>
          <w:p w14:paraId="60B798A9">
            <w:pPr>
              <w:jc w:val="center"/>
              <w:rPr>
                <w:highlight w:val="none"/>
              </w:rPr>
            </w:pPr>
            <w:r>
              <w:rPr>
                <w:rFonts w:hint="eastAsia"/>
                <w:color w:val="000000"/>
                <w:highlight w:val="none"/>
                <w:lang w:eastAsia="zh-CN"/>
              </w:rPr>
              <w:t>台</w:t>
            </w:r>
          </w:p>
        </w:tc>
        <w:tc>
          <w:tcPr>
            <w:tcW w:w="1051" w:type="pct"/>
          </w:tcPr>
          <w:p w14:paraId="7E6878DC">
            <w:pPr>
              <w:jc w:val="center"/>
              <w:rPr>
                <w:highlight w:val="none"/>
              </w:rPr>
            </w:pPr>
            <w:r>
              <w:rPr>
                <w:color w:val="000000"/>
                <w:highlight w:val="none"/>
              </w:rPr>
              <w:t>1</w:t>
            </w:r>
          </w:p>
        </w:tc>
      </w:tr>
      <w:tr w14:paraId="35B133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95" w:type="pct"/>
          </w:tcPr>
          <w:p w14:paraId="385DB456">
            <w:pPr>
              <w:jc w:val="center"/>
              <w:rPr>
                <w:highlight w:val="none"/>
              </w:rPr>
            </w:pPr>
            <w:r>
              <w:rPr>
                <w:highlight w:val="none"/>
              </w:rPr>
              <w:t>23</w:t>
            </w:r>
          </w:p>
        </w:tc>
        <w:tc>
          <w:tcPr>
            <w:tcW w:w="2563" w:type="pct"/>
          </w:tcPr>
          <w:p w14:paraId="7DDC2AE5">
            <w:pPr>
              <w:jc w:val="center"/>
              <w:rPr>
                <w:highlight w:val="none"/>
                <w:lang w:eastAsia="zh-CN"/>
              </w:rPr>
            </w:pPr>
            <w:r>
              <w:rPr>
                <w:rFonts w:hint="eastAsia"/>
                <w:highlight w:val="none"/>
                <w:lang w:eastAsia="zh-CN"/>
              </w:rPr>
              <w:t>油烟过滤系统（软硬件）</w:t>
            </w:r>
          </w:p>
        </w:tc>
        <w:tc>
          <w:tcPr>
            <w:tcW w:w="891" w:type="pct"/>
          </w:tcPr>
          <w:p w14:paraId="0266835D">
            <w:pPr>
              <w:jc w:val="center"/>
              <w:rPr>
                <w:highlight w:val="none"/>
              </w:rPr>
            </w:pPr>
            <w:r>
              <w:rPr>
                <w:rFonts w:hint="eastAsia"/>
                <w:color w:val="000000"/>
                <w:highlight w:val="none"/>
                <w:lang w:eastAsia="zh-CN"/>
              </w:rPr>
              <w:t>套</w:t>
            </w:r>
          </w:p>
        </w:tc>
        <w:tc>
          <w:tcPr>
            <w:tcW w:w="1051" w:type="pct"/>
          </w:tcPr>
          <w:p w14:paraId="31CA371D">
            <w:pPr>
              <w:jc w:val="center"/>
              <w:rPr>
                <w:highlight w:val="none"/>
              </w:rPr>
            </w:pPr>
            <w:r>
              <w:rPr>
                <w:color w:val="000000"/>
                <w:highlight w:val="none"/>
              </w:rPr>
              <w:t>1</w:t>
            </w:r>
          </w:p>
        </w:tc>
      </w:tr>
      <w:tr w14:paraId="4232E8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95" w:type="pct"/>
          </w:tcPr>
          <w:p w14:paraId="6A0F7A12">
            <w:pPr>
              <w:jc w:val="center"/>
              <w:rPr>
                <w:highlight w:val="none"/>
              </w:rPr>
            </w:pPr>
            <w:r>
              <w:rPr>
                <w:highlight w:val="none"/>
              </w:rPr>
              <w:t>24</w:t>
            </w:r>
          </w:p>
        </w:tc>
        <w:tc>
          <w:tcPr>
            <w:tcW w:w="2563" w:type="pct"/>
          </w:tcPr>
          <w:p w14:paraId="6ECB06B0">
            <w:pPr>
              <w:jc w:val="center"/>
              <w:rPr>
                <w:highlight w:val="none"/>
              </w:rPr>
            </w:pPr>
            <w:r>
              <w:rPr>
                <w:rFonts w:hint="eastAsia"/>
                <w:highlight w:val="none"/>
              </w:rPr>
              <w:t>微波炉</w:t>
            </w:r>
          </w:p>
        </w:tc>
        <w:tc>
          <w:tcPr>
            <w:tcW w:w="891" w:type="pct"/>
          </w:tcPr>
          <w:p w14:paraId="7DCC7B54">
            <w:pPr>
              <w:jc w:val="center"/>
              <w:rPr>
                <w:highlight w:val="none"/>
              </w:rPr>
            </w:pPr>
            <w:r>
              <w:rPr>
                <w:color w:val="000000"/>
                <w:highlight w:val="none"/>
              </w:rPr>
              <w:t>台</w:t>
            </w:r>
          </w:p>
        </w:tc>
        <w:tc>
          <w:tcPr>
            <w:tcW w:w="1051" w:type="pct"/>
          </w:tcPr>
          <w:p w14:paraId="28A44D36">
            <w:pPr>
              <w:jc w:val="center"/>
              <w:rPr>
                <w:highlight w:val="none"/>
              </w:rPr>
            </w:pPr>
            <w:r>
              <w:rPr>
                <w:color w:val="000000"/>
                <w:highlight w:val="none"/>
              </w:rPr>
              <w:t>1</w:t>
            </w:r>
          </w:p>
        </w:tc>
      </w:tr>
      <w:tr w14:paraId="519CA9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95" w:type="pct"/>
          </w:tcPr>
          <w:p w14:paraId="36145F48">
            <w:pPr>
              <w:jc w:val="center"/>
              <w:rPr>
                <w:highlight w:val="none"/>
              </w:rPr>
            </w:pPr>
            <w:r>
              <w:rPr>
                <w:highlight w:val="none"/>
              </w:rPr>
              <w:t>25</w:t>
            </w:r>
          </w:p>
        </w:tc>
        <w:tc>
          <w:tcPr>
            <w:tcW w:w="2563" w:type="pct"/>
          </w:tcPr>
          <w:p w14:paraId="4698165C">
            <w:pPr>
              <w:jc w:val="center"/>
              <w:rPr>
                <w:highlight w:val="none"/>
              </w:rPr>
            </w:pPr>
            <w:r>
              <w:rPr>
                <w:highlight w:val="none"/>
              </w:rPr>
              <w:t xml:space="preserve"> 留样柜</w:t>
            </w:r>
          </w:p>
        </w:tc>
        <w:tc>
          <w:tcPr>
            <w:tcW w:w="891" w:type="pct"/>
          </w:tcPr>
          <w:p w14:paraId="539EB305">
            <w:pPr>
              <w:jc w:val="center"/>
              <w:rPr>
                <w:highlight w:val="none"/>
              </w:rPr>
            </w:pPr>
            <w:r>
              <w:rPr>
                <w:color w:val="000000"/>
                <w:highlight w:val="none"/>
              </w:rPr>
              <w:t>台</w:t>
            </w:r>
          </w:p>
        </w:tc>
        <w:tc>
          <w:tcPr>
            <w:tcW w:w="1051" w:type="pct"/>
          </w:tcPr>
          <w:p w14:paraId="0A469A5D">
            <w:pPr>
              <w:jc w:val="center"/>
              <w:rPr>
                <w:highlight w:val="none"/>
              </w:rPr>
            </w:pPr>
            <w:r>
              <w:rPr>
                <w:color w:val="000000"/>
                <w:highlight w:val="none"/>
              </w:rPr>
              <w:t>1</w:t>
            </w:r>
          </w:p>
        </w:tc>
      </w:tr>
      <w:tr w14:paraId="072CA4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95" w:type="pct"/>
          </w:tcPr>
          <w:p w14:paraId="0221F9F8">
            <w:pPr>
              <w:jc w:val="center"/>
              <w:rPr>
                <w:highlight w:val="none"/>
              </w:rPr>
            </w:pPr>
            <w:r>
              <w:rPr>
                <w:highlight w:val="none"/>
              </w:rPr>
              <w:t>26</w:t>
            </w:r>
          </w:p>
        </w:tc>
        <w:tc>
          <w:tcPr>
            <w:tcW w:w="2563" w:type="pct"/>
          </w:tcPr>
          <w:p w14:paraId="6C7F4DD9">
            <w:pPr>
              <w:jc w:val="center"/>
              <w:rPr>
                <w:highlight w:val="none"/>
              </w:rPr>
            </w:pPr>
            <w:r>
              <w:rPr>
                <w:highlight w:val="none"/>
              </w:rPr>
              <w:t xml:space="preserve">  胶凳</w:t>
            </w:r>
          </w:p>
        </w:tc>
        <w:tc>
          <w:tcPr>
            <w:tcW w:w="891" w:type="pct"/>
          </w:tcPr>
          <w:p w14:paraId="6ADA64DC">
            <w:pPr>
              <w:jc w:val="center"/>
              <w:rPr>
                <w:highlight w:val="none"/>
              </w:rPr>
            </w:pPr>
            <w:r>
              <w:rPr>
                <w:rFonts w:hint="eastAsia"/>
                <w:color w:val="000000"/>
                <w:highlight w:val="none"/>
                <w:lang w:eastAsia="zh-CN"/>
              </w:rPr>
              <w:t>张</w:t>
            </w:r>
          </w:p>
        </w:tc>
        <w:tc>
          <w:tcPr>
            <w:tcW w:w="1051" w:type="pct"/>
          </w:tcPr>
          <w:p w14:paraId="575C3366">
            <w:pPr>
              <w:jc w:val="center"/>
              <w:rPr>
                <w:highlight w:val="none"/>
              </w:rPr>
            </w:pPr>
            <w:r>
              <w:rPr>
                <w:color w:val="000000"/>
                <w:highlight w:val="none"/>
              </w:rPr>
              <w:t>8</w:t>
            </w:r>
          </w:p>
        </w:tc>
      </w:tr>
      <w:tr w14:paraId="5DF707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95" w:type="pct"/>
          </w:tcPr>
          <w:p w14:paraId="569E51F3">
            <w:pPr>
              <w:jc w:val="center"/>
              <w:rPr>
                <w:highlight w:val="none"/>
              </w:rPr>
            </w:pPr>
            <w:r>
              <w:rPr>
                <w:highlight w:val="none"/>
              </w:rPr>
              <w:t>27</w:t>
            </w:r>
          </w:p>
        </w:tc>
        <w:tc>
          <w:tcPr>
            <w:tcW w:w="2563" w:type="pct"/>
          </w:tcPr>
          <w:p w14:paraId="12BABF35">
            <w:pPr>
              <w:jc w:val="center"/>
              <w:rPr>
                <w:highlight w:val="none"/>
                <w:lang w:eastAsia="zh-CN"/>
              </w:rPr>
            </w:pPr>
            <w:r>
              <w:rPr>
                <w:highlight w:val="none"/>
                <w:lang w:eastAsia="zh-CN"/>
              </w:rPr>
              <w:t>380伏供电系统</w:t>
            </w:r>
          </w:p>
        </w:tc>
        <w:tc>
          <w:tcPr>
            <w:tcW w:w="891" w:type="pct"/>
          </w:tcPr>
          <w:p w14:paraId="21460542">
            <w:pPr>
              <w:jc w:val="center"/>
              <w:rPr>
                <w:highlight w:val="none"/>
              </w:rPr>
            </w:pPr>
            <w:r>
              <w:rPr>
                <w:rFonts w:hint="eastAsia"/>
                <w:color w:val="000000"/>
                <w:highlight w:val="none"/>
                <w:lang w:eastAsia="zh-CN"/>
              </w:rPr>
              <w:t>套</w:t>
            </w:r>
          </w:p>
        </w:tc>
        <w:tc>
          <w:tcPr>
            <w:tcW w:w="1051" w:type="pct"/>
          </w:tcPr>
          <w:p w14:paraId="164486E0">
            <w:pPr>
              <w:jc w:val="center"/>
              <w:rPr>
                <w:highlight w:val="none"/>
              </w:rPr>
            </w:pPr>
            <w:r>
              <w:rPr>
                <w:color w:val="000000"/>
                <w:highlight w:val="none"/>
              </w:rPr>
              <w:t>1</w:t>
            </w:r>
          </w:p>
        </w:tc>
      </w:tr>
      <w:tr w14:paraId="548F1A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95" w:type="pct"/>
          </w:tcPr>
          <w:p w14:paraId="68E0238F">
            <w:pPr>
              <w:jc w:val="center"/>
              <w:rPr>
                <w:highlight w:val="none"/>
              </w:rPr>
            </w:pPr>
            <w:r>
              <w:rPr>
                <w:highlight w:val="none"/>
              </w:rPr>
              <w:t>28</w:t>
            </w:r>
          </w:p>
        </w:tc>
        <w:tc>
          <w:tcPr>
            <w:tcW w:w="2563" w:type="pct"/>
          </w:tcPr>
          <w:p w14:paraId="79C11830">
            <w:pPr>
              <w:jc w:val="center"/>
              <w:rPr>
                <w:highlight w:val="none"/>
              </w:rPr>
            </w:pPr>
            <w:r>
              <w:rPr>
                <w:rFonts w:hint="eastAsia"/>
                <w:highlight w:val="none"/>
              </w:rPr>
              <w:t>不锈钢送餐柜</w:t>
            </w:r>
          </w:p>
        </w:tc>
        <w:tc>
          <w:tcPr>
            <w:tcW w:w="891" w:type="pct"/>
          </w:tcPr>
          <w:p w14:paraId="7FC9D136">
            <w:pPr>
              <w:jc w:val="center"/>
              <w:rPr>
                <w:highlight w:val="none"/>
              </w:rPr>
            </w:pPr>
            <w:r>
              <w:rPr>
                <w:rFonts w:hint="eastAsia"/>
                <w:color w:val="000000"/>
                <w:highlight w:val="none"/>
                <w:lang w:eastAsia="zh-CN"/>
              </w:rPr>
              <w:t>个</w:t>
            </w:r>
          </w:p>
        </w:tc>
        <w:tc>
          <w:tcPr>
            <w:tcW w:w="1051" w:type="pct"/>
          </w:tcPr>
          <w:p w14:paraId="7C6BF47B">
            <w:pPr>
              <w:jc w:val="center"/>
              <w:rPr>
                <w:highlight w:val="none"/>
              </w:rPr>
            </w:pPr>
            <w:r>
              <w:rPr>
                <w:color w:val="000000"/>
                <w:highlight w:val="none"/>
              </w:rPr>
              <w:t>1</w:t>
            </w:r>
          </w:p>
        </w:tc>
      </w:tr>
      <w:tr w14:paraId="6EBF99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95" w:type="pct"/>
          </w:tcPr>
          <w:p w14:paraId="10EE138A">
            <w:pPr>
              <w:jc w:val="center"/>
              <w:rPr>
                <w:highlight w:val="none"/>
              </w:rPr>
            </w:pPr>
            <w:r>
              <w:rPr>
                <w:highlight w:val="none"/>
              </w:rPr>
              <w:t>29</w:t>
            </w:r>
          </w:p>
        </w:tc>
        <w:tc>
          <w:tcPr>
            <w:tcW w:w="2563" w:type="pct"/>
          </w:tcPr>
          <w:p w14:paraId="18706143">
            <w:pPr>
              <w:jc w:val="center"/>
              <w:rPr>
                <w:highlight w:val="none"/>
              </w:rPr>
            </w:pPr>
            <w:r>
              <w:rPr>
                <w:rFonts w:hint="eastAsia"/>
                <w:highlight w:val="none"/>
              </w:rPr>
              <w:t>货架</w:t>
            </w:r>
          </w:p>
        </w:tc>
        <w:tc>
          <w:tcPr>
            <w:tcW w:w="891" w:type="pct"/>
          </w:tcPr>
          <w:p w14:paraId="2A500FCC">
            <w:pPr>
              <w:jc w:val="center"/>
              <w:rPr>
                <w:highlight w:val="none"/>
              </w:rPr>
            </w:pPr>
            <w:r>
              <w:rPr>
                <w:color w:val="000000"/>
                <w:highlight w:val="none"/>
              </w:rPr>
              <w:t>个</w:t>
            </w:r>
          </w:p>
        </w:tc>
        <w:tc>
          <w:tcPr>
            <w:tcW w:w="1051" w:type="pct"/>
          </w:tcPr>
          <w:p w14:paraId="5C7AD163">
            <w:pPr>
              <w:jc w:val="center"/>
              <w:rPr>
                <w:highlight w:val="none"/>
              </w:rPr>
            </w:pPr>
            <w:r>
              <w:rPr>
                <w:color w:val="000000"/>
                <w:highlight w:val="none"/>
              </w:rPr>
              <w:t>4</w:t>
            </w:r>
          </w:p>
        </w:tc>
      </w:tr>
    </w:tbl>
    <w:p w14:paraId="7B7302CA">
      <w:pPr>
        <w:rPr>
          <w:highlight w:val="none"/>
          <w:lang w:eastAsia="zh-CN"/>
        </w:rPr>
      </w:pPr>
      <w:r>
        <w:rPr>
          <w:highlight w:val="none"/>
          <w:lang w:eastAsia="zh-CN"/>
        </w:rPr>
        <w:t>注：以实际实施时现有设备为准。</w:t>
      </w:r>
      <w:bookmarkStart w:id="12" w:name="_Hlk104035686"/>
    </w:p>
    <w:p w14:paraId="3953E993">
      <w:pPr>
        <w:pStyle w:val="3"/>
        <w:ind w:left="0"/>
        <w:rPr>
          <w:highlight w:val="none"/>
          <w:lang w:eastAsia="zh-CN"/>
        </w:rPr>
      </w:pPr>
      <w:bookmarkStart w:id="13" w:name="_Toc8235"/>
      <w:r>
        <w:rPr>
          <w:rFonts w:hint="eastAsia"/>
          <w:highlight w:val="none"/>
          <w:lang w:eastAsia="zh-CN"/>
        </w:rPr>
        <w:t>二、主要商务要求</w:t>
      </w:r>
      <w:bookmarkEnd w:id="13"/>
    </w:p>
    <w:p w14:paraId="3FF37C85">
      <w:pPr>
        <w:pStyle w:val="11"/>
        <w:numPr>
          <w:ilvl w:val="0"/>
          <w:numId w:val="1"/>
        </w:numPr>
        <w:spacing w:after="0"/>
        <w:ind w:left="0" w:leftChars="0" w:firstLine="420"/>
        <w:rPr>
          <w:szCs w:val="21"/>
          <w:highlight w:val="none"/>
          <w:lang w:eastAsia="zh-CN"/>
        </w:rPr>
      </w:pPr>
      <w:r>
        <w:rPr>
          <w:rFonts w:hint="eastAsia"/>
          <w:szCs w:val="21"/>
          <w:highlight w:val="none"/>
          <w:lang w:eastAsia="zh-CN"/>
        </w:rPr>
        <w:t>标的提供的时间：</w:t>
      </w:r>
      <w:r>
        <w:rPr>
          <w:highlight w:val="none"/>
          <w:lang w:eastAsia="zh-CN"/>
        </w:rPr>
        <w:t>自合同签订之日起</w:t>
      </w:r>
      <w:r>
        <w:rPr>
          <w:rFonts w:hint="eastAsia"/>
          <w:highlight w:val="none"/>
          <w:lang w:eastAsia="zh-CN"/>
        </w:rPr>
        <w:t>三年。</w:t>
      </w:r>
    </w:p>
    <w:p w14:paraId="6D5FF49D">
      <w:pPr>
        <w:pStyle w:val="11"/>
        <w:numPr>
          <w:ilvl w:val="0"/>
          <w:numId w:val="1"/>
        </w:numPr>
        <w:spacing w:after="0"/>
        <w:ind w:left="0" w:leftChars="0" w:firstLine="420"/>
        <w:rPr>
          <w:szCs w:val="21"/>
          <w:highlight w:val="none"/>
          <w:lang w:eastAsia="zh-CN"/>
        </w:rPr>
      </w:pPr>
      <w:r>
        <w:rPr>
          <w:rFonts w:hint="eastAsia"/>
          <w:szCs w:val="21"/>
          <w:highlight w:val="none"/>
          <w:lang w:eastAsia="zh-CN"/>
        </w:rPr>
        <w:t>标的提供的地点：采购人指定地点</w:t>
      </w:r>
    </w:p>
    <w:p w14:paraId="15380D6B">
      <w:pPr>
        <w:pStyle w:val="11"/>
        <w:numPr>
          <w:ilvl w:val="0"/>
          <w:numId w:val="1"/>
        </w:numPr>
        <w:spacing w:after="0"/>
        <w:ind w:left="0" w:leftChars="0" w:firstLine="420"/>
        <w:rPr>
          <w:szCs w:val="21"/>
          <w:highlight w:val="none"/>
          <w:lang w:eastAsia="zh-CN"/>
        </w:rPr>
      </w:pPr>
      <w:r>
        <w:rPr>
          <w:rFonts w:hint="eastAsia"/>
          <w:szCs w:val="21"/>
          <w:highlight w:val="none"/>
          <w:lang w:eastAsia="zh-CN"/>
        </w:rPr>
        <w:t>投标有效期：从提交投标（响应）文件的截止之日起90日历天</w:t>
      </w:r>
    </w:p>
    <w:p w14:paraId="22678861">
      <w:pPr>
        <w:pStyle w:val="11"/>
        <w:numPr>
          <w:ilvl w:val="0"/>
          <w:numId w:val="1"/>
        </w:numPr>
        <w:spacing w:after="0"/>
        <w:ind w:left="0" w:leftChars="0" w:firstLine="420"/>
        <w:rPr>
          <w:szCs w:val="21"/>
          <w:highlight w:val="none"/>
          <w:lang w:eastAsia="zh-CN"/>
        </w:rPr>
      </w:pPr>
      <w:r>
        <w:rPr>
          <w:rFonts w:hint="eastAsia"/>
          <w:szCs w:val="21"/>
          <w:highlight w:val="none"/>
          <w:lang w:eastAsia="zh-CN"/>
        </w:rPr>
        <w:t>付款方式：1期：支付比例100%,支付比例100%按月度结算,按月度结算，采购人人员负责结算、统计等工作，双方在每个月初对上月人员用餐数据进行书面确认。采购人按照上月职工饭卡刷卡记录计算职工餐费补助费用，以转账方式向中标人支付费用。每月初中标人将上月经采购人财务部门确认后的费用金额开具正式发票，采购人以汇款方式支付给中标人。</w:t>
      </w:r>
    </w:p>
    <w:p w14:paraId="78E7C827">
      <w:pPr>
        <w:pStyle w:val="11"/>
        <w:numPr>
          <w:ilvl w:val="0"/>
          <w:numId w:val="1"/>
        </w:numPr>
        <w:spacing w:after="0"/>
        <w:ind w:left="0" w:leftChars="0" w:firstLine="420"/>
        <w:rPr>
          <w:szCs w:val="21"/>
          <w:highlight w:val="none"/>
          <w:lang w:eastAsia="zh-CN"/>
        </w:rPr>
      </w:pPr>
      <w:r>
        <w:rPr>
          <w:rFonts w:hint="eastAsia"/>
          <w:szCs w:val="21"/>
          <w:highlight w:val="none"/>
        </w:rPr>
        <w:t>验收要求</w:t>
      </w:r>
      <w:r>
        <w:rPr>
          <w:rFonts w:hint="eastAsia"/>
          <w:szCs w:val="21"/>
          <w:highlight w:val="none"/>
          <w:lang w:eastAsia="zh-CN"/>
        </w:rPr>
        <w:t>：</w:t>
      </w:r>
    </w:p>
    <w:p w14:paraId="6EF674FB">
      <w:pPr>
        <w:pStyle w:val="11"/>
        <w:spacing w:after="0"/>
        <w:ind w:left="0" w:leftChars="0"/>
        <w:rPr>
          <w:szCs w:val="21"/>
          <w:highlight w:val="none"/>
          <w:lang w:eastAsia="zh-CN"/>
        </w:rPr>
      </w:pPr>
      <w:r>
        <w:rPr>
          <w:szCs w:val="21"/>
          <w:highlight w:val="none"/>
          <w:lang w:eastAsia="zh-CN"/>
        </w:rPr>
        <w:t>验收方式：由采购人组织的项目验收小组进行验收。</w:t>
      </w:r>
    </w:p>
    <w:p w14:paraId="7FF2A1EA">
      <w:pPr>
        <w:pStyle w:val="11"/>
        <w:spacing w:after="0"/>
        <w:ind w:left="0" w:leftChars="0"/>
        <w:rPr>
          <w:szCs w:val="21"/>
          <w:highlight w:val="none"/>
          <w:lang w:eastAsia="zh-CN"/>
        </w:rPr>
      </w:pPr>
      <w:r>
        <w:rPr>
          <w:szCs w:val="21"/>
          <w:highlight w:val="none"/>
          <w:lang w:eastAsia="zh-CN"/>
        </w:rPr>
        <w:t>验收标准：</w:t>
      </w:r>
      <w:r>
        <w:rPr>
          <w:rFonts w:hint="eastAsia"/>
          <w:szCs w:val="21"/>
          <w:highlight w:val="none"/>
          <w:lang w:eastAsia="zh-CN"/>
        </w:rPr>
        <w:t>供应商提供的货物或服务质量符合国家及行业强制标准，采购文件要求、投标（响应）文件承诺及合同要求</w:t>
      </w:r>
      <w:r>
        <w:rPr>
          <w:szCs w:val="21"/>
          <w:highlight w:val="none"/>
          <w:lang w:eastAsia="zh-CN"/>
        </w:rPr>
        <w:t>。</w:t>
      </w:r>
    </w:p>
    <w:p w14:paraId="7BF44979">
      <w:pPr>
        <w:pStyle w:val="11"/>
        <w:numPr>
          <w:ilvl w:val="0"/>
          <w:numId w:val="1"/>
        </w:numPr>
        <w:spacing w:after="0"/>
        <w:ind w:left="0" w:leftChars="0" w:firstLine="420" w:firstLineChars="200"/>
        <w:rPr>
          <w:rFonts w:hint="eastAsia"/>
          <w:szCs w:val="21"/>
          <w:highlight w:val="none"/>
          <w:lang w:val="en-US" w:eastAsia="zh-CN"/>
        </w:rPr>
      </w:pPr>
      <w:r>
        <w:rPr>
          <w:rFonts w:hint="eastAsia"/>
          <w:szCs w:val="21"/>
          <w:highlight w:val="none"/>
          <w:lang w:val="en-US" w:eastAsia="zh-CN"/>
        </w:rPr>
        <w:t>服务经验：中标人需具有医院食堂管理相关服务经验。</w:t>
      </w:r>
    </w:p>
    <w:p w14:paraId="0C110E87">
      <w:pPr>
        <w:pStyle w:val="11"/>
        <w:numPr>
          <w:ilvl w:val="0"/>
          <w:numId w:val="1"/>
        </w:numPr>
        <w:spacing w:after="0"/>
        <w:ind w:left="0" w:leftChars="0" w:firstLine="420" w:firstLineChars="200"/>
        <w:rPr>
          <w:rFonts w:hint="default"/>
          <w:szCs w:val="21"/>
          <w:highlight w:val="none"/>
          <w:lang w:val="en-US" w:eastAsia="zh-CN"/>
        </w:rPr>
      </w:pPr>
      <w:r>
        <w:rPr>
          <w:rFonts w:hint="eastAsia"/>
          <w:szCs w:val="21"/>
          <w:highlight w:val="none"/>
          <w:lang w:val="en-US" w:eastAsia="zh-CN"/>
        </w:rPr>
        <w:t>履约保证金:本项目履约保证金：叁万元整（30000元）</w:t>
      </w:r>
    </w:p>
    <w:p w14:paraId="1A3A7B08">
      <w:pPr>
        <w:pStyle w:val="3"/>
        <w:ind w:left="0"/>
        <w:rPr>
          <w:highlight w:val="none"/>
          <w:lang w:eastAsia="zh-CN"/>
        </w:rPr>
      </w:pPr>
      <w:bookmarkStart w:id="14" w:name="_Toc17170"/>
      <w:r>
        <w:rPr>
          <w:rFonts w:hint="eastAsia"/>
          <w:highlight w:val="none"/>
          <w:lang w:eastAsia="zh-CN"/>
        </w:rPr>
        <w:t>三、技术标准与要求</w:t>
      </w:r>
      <w:bookmarkEnd w:id="14"/>
    </w:p>
    <w:p w14:paraId="0AAF0F23">
      <w:pPr>
        <w:rPr>
          <w:b/>
          <w:bCs/>
          <w:highlight w:val="none"/>
          <w:lang w:eastAsia="zh-CN"/>
        </w:rPr>
      </w:pPr>
      <w:r>
        <w:rPr>
          <w:rFonts w:hint="eastAsia"/>
          <w:b/>
          <w:bCs/>
          <w:highlight w:val="none"/>
          <w:lang w:eastAsia="zh-CN"/>
        </w:rPr>
        <w:t>（一）服务期间事项及有关费用</w:t>
      </w:r>
    </w:p>
    <w:p w14:paraId="78E468A2">
      <w:pPr>
        <w:rPr>
          <w:highlight w:val="none"/>
          <w:lang w:eastAsia="zh-CN"/>
        </w:rPr>
      </w:pPr>
      <w:r>
        <w:rPr>
          <w:highlight w:val="none"/>
          <w:lang w:eastAsia="zh-CN"/>
        </w:rPr>
        <w:t>1</w:t>
      </w:r>
      <w:r>
        <w:rPr>
          <w:rFonts w:hint="eastAsia"/>
          <w:highlight w:val="none"/>
          <w:lang w:eastAsia="zh-CN"/>
        </w:rPr>
        <w:t>、保证供配餐正点、足量(每份饭菜数量)、优质(质量保证体系)、制作的菜肴需多样化，菜式搭配合理，调配比例均匀，味道可口，保证营养；禁止出售变质、变味以及剩饭菜。</w:t>
      </w:r>
    </w:p>
    <w:p w14:paraId="6D8F1485">
      <w:pPr>
        <w:rPr>
          <w:highlight w:val="none"/>
          <w:lang w:eastAsia="zh-CN"/>
        </w:rPr>
      </w:pPr>
      <w:r>
        <w:rPr>
          <w:highlight w:val="none"/>
          <w:lang w:eastAsia="zh-CN"/>
        </w:rPr>
        <w:t>2</w:t>
      </w:r>
      <w:r>
        <w:rPr>
          <w:rFonts w:hint="eastAsia"/>
          <w:highlight w:val="none"/>
          <w:lang w:eastAsia="zh-CN"/>
        </w:rPr>
        <w:t>、午餐、晚餐提供的荤菜（肉）至少达到2两，如有发现份量不足，每次扣中标人300元。</w:t>
      </w:r>
    </w:p>
    <w:p w14:paraId="25133452">
      <w:pPr>
        <w:rPr>
          <w:rFonts w:hint="eastAsia"/>
          <w:highlight w:val="none"/>
          <w:lang w:eastAsia="zh-CN"/>
        </w:rPr>
      </w:pPr>
      <w:r>
        <w:rPr>
          <w:highlight w:val="none"/>
          <w:lang w:eastAsia="zh-CN"/>
        </w:rPr>
        <w:t>3</w:t>
      </w:r>
      <w:r>
        <w:rPr>
          <w:rFonts w:hint="eastAsia"/>
          <w:highlight w:val="none"/>
          <w:lang w:eastAsia="zh-CN"/>
        </w:rPr>
        <w:t>、中标人人员若违背卫生工作流程和要求的情形，被发现一次扣100元。</w:t>
      </w:r>
    </w:p>
    <w:p w14:paraId="6CCAE6F5">
      <w:pPr>
        <w:rPr>
          <w:highlight w:val="none"/>
          <w:lang w:eastAsia="zh-CN"/>
        </w:rPr>
      </w:pPr>
      <w:r>
        <w:rPr>
          <w:rFonts w:hint="eastAsia"/>
          <w:highlight w:val="none"/>
          <w:lang w:val="en-US" w:eastAsia="zh-CN"/>
        </w:rPr>
        <w:t>4</w:t>
      </w:r>
      <w:r>
        <w:rPr>
          <w:rFonts w:hint="eastAsia"/>
          <w:highlight w:val="none"/>
          <w:lang w:eastAsia="zh-CN"/>
        </w:rPr>
        <w:t>、投标人须承诺，“我司承诺若我司为中标人，在合同签订之日起3个工作日内向保险公司投保饮食安全责任险（保险保额须为人民币</w:t>
      </w:r>
      <w:r>
        <w:rPr>
          <w:highlight w:val="none"/>
          <w:lang w:eastAsia="zh-CN"/>
        </w:rPr>
        <w:t>500</w:t>
      </w:r>
      <w:r>
        <w:rPr>
          <w:rFonts w:hint="eastAsia"/>
          <w:highlight w:val="none"/>
          <w:lang w:eastAsia="zh-CN"/>
        </w:rPr>
        <w:t>万元或以上），并于合同签订后5个工作日将责任保险原件交给采购人验明，同时向采购人上交责任保险复印件，否则视为放弃中标。”（提供承诺函并加盖公章）</w:t>
      </w:r>
    </w:p>
    <w:p w14:paraId="3F0B358C">
      <w:pPr>
        <w:rPr>
          <w:highlight w:val="none"/>
          <w:lang w:eastAsia="zh-CN"/>
        </w:rPr>
      </w:pPr>
      <w:r>
        <w:rPr>
          <w:rFonts w:hint="eastAsia"/>
          <w:highlight w:val="none"/>
          <w:lang w:val="en-US" w:eastAsia="zh-CN"/>
        </w:rPr>
        <w:t>5</w:t>
      </w:r>
      <w:r>
        <w:rPr>
          <w:rFonts w:hint="eastAsia"/>
          <w:highlight w:val="none"/>
          <w:lang w:eastAsia="zh-CN"/>
        </w:rPr>
        <w:t>、在服务期间，负责承担食堂水、电等能源费用的50%。在停水、停电、设备故障、食物中毒等各种紧急情况下，能利用公司的资源，保证正常供餐。</w:t>
      </w:r>
    </w:p>
    <w:p w14:paraId="2C120F1B">
      <w:pPr>
        <w:rPr>
          <w:highlight w:val="none"/>
          <w:lang w:eastAsia="zh-CN"/>
        </w:rPr>
      </w:pPr>
      <w:r>
        <w:rPr>
          <w:rFonts w:hint="eastAsia"/>
          <w:highlight w:val="none"/>
          <w:lang w:val="en-US" w:eastAsia="zh-CN"/>
        </w:rPr>
        <w:t>6</w:t>
      </w:r>
      <w:r>
        <w:rPr>
          <w:rFonts w:hint="eastAsia"/>
          <w:highlight w:val="none"/>
          <w:lang w:eastAsia="zh-CN"/>
        </w:rPr>
        <w:t>、中标人至少投入1辆配送车辆，保证卫生清洁，每日配送食材前须消毒，确保食材未被二次污染，采购人有权不定期检查消毒记录。</w:t>
      </w:r>
    </w:p>
    <w:p w14:paraId="4BDA5114">
      <w:pPr>
        <w:rPr>
          <w:highlight w:val="none"/>
          <w:lang w:eastAsia="zh-CN"/>
        </w:rPr>
      </w:pPr>
      <w:r>
        <w:rPr>
          <w:rFonts w:hint="eastAsia"/>
          <w:highlight w:val="none"/>
          <w:lang w:val="en-US" w:eastAsia="zh-CN"/>
        </w:rPr>
        <w:t>7</w:t>
      </w:r>
      <w:r>
        <w:rPr>
          <w:rFonts w:hint="eastAsia"/>
          <w:highlight w:val="none"/>
          <w:lang w:eastAsia="zh-CN"/>
        </w:rPr>
        <w:t>、中标人须在场所内配备2-4个灭火器，配备与炉灶数量对应的灭火毯，经营过程中发生任何安全事故，由中标人负全责；用餐人员及院内工作人员在餐厅内的人身安全，由中标人负责。</w:t>
      </w:r>
    </w:p>
    <w:p w14:paraId="39A26066">
      <w:pPr>
        <w:rPr>
          <w:rFonts w:hint="eastAsia"/>
          <w:highlight w:val="none"/>
          <w:lang w:eastAsia="zh-CN"/>
        </w:rPr>
      </w:pPr>
      <w:r>
        <w:rPr>
          <w:rFonts w:hint="eastAsia"/>
          <w:highlight w:val="none"/>
          <w:lang w:val="en-US" w:eastAsia="zh-CN"/>
        </w:rPr>
        <w:t>8</w:t>
      </w:r>
      <w:r>
        <w:rPr>
          <w:rFonts w:hint="eastAsia"/>
          <w:highlight w:val="none"/>
          <w:lang w:eastAsia="zh-CN"/>
        </w:rPr>
        <w:t>、院区内仅允许使用电作为相关生产能源，若中标人未按照采购人规定使用其他能源（如：煤气、天然气等）作为相关生产能源的，因此造成的安全隐患或引发的安全事故，由中标人负全责。</w:t>
      </w:r>
    </w:p>
    <w:p w14:paraId="1165570B">
      <w:pPr>
        <w:rPr>
          <w:b/>
          <w:bCs/>
          <w:highlight w:val="none"/>
          <w:lang w:eastAsia="zh-CN"/>
        </w:rPr>
      </w:pPr>
      <w:r>
        <w:rPr>
          <w:rFonts w:hint="eastAsia"/>
          <w:b/>
          <w:bCs/>
          <w:highlight w:val="none"/>
          <w:lang w:eastAsia="zh-CN"/>
        </w:rPr>
        <w:t>（二）食堂供餐对象及其就餐方式</w:t>
      </w:r>
    </w:p>
    <w:p w14:paraId="7C1471FE">
      <w:pPr>
        <w:rPr>
          <w:rFonts w:hint="eastAsia"/>
          <w:highlight w:val="none"/>
          <w:lang w:eastAsia="zh-CN"/>
        </w:rPr>
      </w:pPr>
      <w:r>
        <w:rPr>
          <w:rFonts w:hint="eastAsia"/>
          <w:highlight w:val="none"/>
          <w:lang w:eastAsia="zh-CN"/>
        </w:rPr>
        <w:t>1、食堂就餐对象为在职就餐职工共计约</w:t>
      </w:r>
      <w:r>
        <w:rPr>
          <w:rFonts w:hint="eastAsia"/>
          <w:highlight w:val="none"/>
          <w:lang w:val="en-US" w:eastAsia="zh-CN"/>
        </w:rPr>
        <w:t>530</w:t>
      </w:r>
      <w:r>
        <w:rPr>
          <w:rFonts w:hint="eastAsia"/>
          <w:highlight w:val="none"/>
          <w:lang w:eastAsia="zh-CN"/>
        </w:rPr>
        <w:t>人。餐饮设备齐全，职工自愿就餐，目前工作日日均就餐人数约为：早餐约100人，午餐约</w:t>
      </w:r>
      <w:r>
        <w:rPr>
          <w:highlight w:val="none"/>
          <w:lang w:eastAsia="zh-CN"/>
        </w:rPr>
        <w:t>16</w:t>
      </w:r>
      <w:r>
        <w:rPr>
          <w:rFonts w:hint="eastAsia"/>
          <w:highlight w:val="none"/>
          <w:lang w:eastAsia="zh-CN"/>
        </w:rPr>
        <w:t>0人，晚餐约</w:t>
      </w:r>
      <w:r>
        <w:rPr>
          <w:highlight w:val="none"/>
          <w:lang w:eastAsia="zh-CN"/>
        </w:rPr>
        <w:t>50</w:t>
      </w:r>
      <w:r>
        <w:rPr>
          <w:rFonts w:hint="eastAsia"/>
          <w:highlight w:val="none"/>
          <w:lang w:eastAsia="zh-CN"/>
        </w:rPr>
        <w:t>人（全年无休）。</w:t>
      </w:r>
    </w:p>
    <w:p w14:paraId="33775A4C">
      <w:pPr>
        <w:rPr>
          <w:rFonts w:hint="eastAsia"/>
          <w:highlight w:val="none"/>
          <w:lang w:eastAsia="zh-CN"/>
        </w:rPr>
      </w:pPr>
      <w:r>
        <w:rPr>
          <w:rFonts w:hint="eastAsia"/>
          <w:highlight w:val="none"/>
          <w:lang w:eastAsia="zh-CN"/>
        </w:rPr>
        <w:t>2、就餐方式为：早餐应于早上0</w:t>
      </w:r>
      <w:r>
        <w:rPr>
          <w:highlight w:val="none"/>
          <w:lang w:eastAsia="zh-CN"/>
        </w:rPr>
        <w:t>6</w:t>
      </w:r>
      <w:r>
        <w:rPr>
          <w:rFonts w:hint="eastAsia"/>
          <w:highlight w:val="none"/>
          <w:lang w:eastAsia="zh-CN"/>
        </w:rPr>
        <w:t>：</w:t>
      </w:r>
      <w:r>
        <w:rPr>
          <w:highlight w:val="none"/>
          <w:lang w:eastAsia="zh-CN"/>
        </w:rPr>
        <w:t>45</w:t>
      </w:r>
      <w:r>
        <w:rPr>
          <w:rFonts w:hint="eastAsia"/>
          <w:highlight w:val="none"/>
          <w:lang w:eastAsia="zh-CN"/>
        </w:rPr>
        <w:t>分出餐、中餐应于中午11：00分出餐、晚餐应于下午</w:t>
      </w:r>
      <w:r>
        <w:rPr>
          <w:highlight w:val="none"/>
          <w:lang w:eastAsia="zh-CN"/>
        </w:rPr>
        <w:t>4</w:t>
      </w:r>
      <w:r>
        <w:rPr>
          <w:rFonts w:hint="eastAsia"/>
          <w:highlight w:val="none"/>
          <w:lang w:eastAsia="zh-CN"/>
        </w:rPr>
        <w:t>:30分出餐。（中标人必须提供环保材料的餐具）。</w:t>
      </w:r>
    </w:p>
    <w:p w14:paraId="418C8007">
      <w:pPr>
        <w:rPr>
          <w:highlight w:val="none"/>
          <w:lang w:eastAsia="zh-CN"/>
        </w:rPr>
      </w:pPr>
      <w:r>
        <w:rPr>
          <w:rFonts w:hint="eastAsia"/>
          <w:highlight w:val="none"/>
          <w:lang w:val="en-US" w:eastAsia="zh-CN"/>
        </w:rPr>
        <w:t>3</w:t>
      </w:r>
      <w:r>
        <w:rPr>
          <w:rFonts w:hint="eastAsia"/>
          <w:highlight w:val="none"/>
          <w:lang w:eastAsia="zh-CN"/>
        </w:rPr>
        <w:t>、严禁在食堂区域内进行非法经营活动和作其它用途。（例:经营小卖部）</w:t>
      </w:r>
    </w:p>
    <w:p w14:paraId="46186914">
      <w:pPr>
        <w:rPr>
          <w:b/>
          <w:bCs/>
          <w:highlight w:val="none"/>
          <w:lang w:eastAsia="zh-CN"/>
        </w:rPr>
      </w:pPr>
      <w:r>
        <w:rPr>
          <w:rFonts w:hint="eastAsia"/>
          <w:b/>
          <w:bCs/>
          <w:highlight w:val="none"/>
          <w:lang w:eastAsia="zh-CN"/>
        </w:rPr>
        <w:t>（三）供餐标准要求</w:t>
      </w:r>
    </w:p>
    <w:p w14:paraId="31840A9E">
      <w:pPr>
        <w:rPr>
          <w:highlight w:val="none"/>
          <w:lang w:eastAsia="zh-CN"/>
        </w:rPr>
      </w:pPr>
      <w:r>
        <w:rPr>
          <w:rFonts w:hint="eastAsia"/>
          <w:highlight w:val="none"/>
          <w:lang w:eastAsia="zh-CN"/>
        </w:rPr>
        <w:t>1、饭菜供应采用固定餐形式。</w:t>
      </w:r>
    </w:p>
    <w:p w14:paraId="31982DE2">
      <w:pPr>
        <w:rPr>
          <w:highlight w:val="none"/>
          <w:lang w:eastAsia="zh-CN"/>
        </w:rPr>
      </w:pPr>
      <w:r>
        <w:rPr>
          <w:rFonts w:hint="eastAsia"/>
          <w:highlight w:val="none"/>
          <w:lang w:eastAsia="zh-CN"/>
        </w:rPr>
        <w:t>2、采购人保留对饭菜质量的监督权利和最终定价权、限价权。职工早餐基础餐标5元（可选择2种品种）【其中医院补助3元，员工自付2元】，午餐及晚餐餐标可参考：一主荤菜、二荤素菜、一素菜、米饭、汤，即四菜一汤共计15元【其中医院补助</w:t>
      </w:r>
      <w:r>
        <w:rPr>
          <w:highlight w:val="none"/>
          <w:lang w:eastAsia="zh-CN"/>
        </w:rPr>
        <w:t>10</w:t>
      </w:r>
      <w:r>
        <w:rPr>
          <w:rFonts w:hint="eastAsia"/>
          <w:highlight w:val="none"/>
          <w:lang w:eastAsia="zh-CN"/>
        </w:rPr>
        <w:t>元，员工自付</w:t>
      </w:r>
      <w:r>
        <w:rPr>
          <w:highlight w:val="none"/>
          <w:lang w:eastAsia="zh-CN"/>
        </w:rPr>
        <w:t>5</w:t>
      </w:r>
      <w:r>
        <w:rPr>
          <w:rFonts w:hint="eastAsia"/>
          <w:highlight w:val="none"/>
          <w:lang w:eastAsia="zh-CN"/>
        </w:rPr>
        <w:t>元】。</w:t>
      </w:r>
    </w:p>
    <w:p w14:paraId="362512D1">
      <w:pPr>
        <w:rPr>
          <w:highlight w:val="none"/>
          <w:lang w:eastAsia="zh-CN"/>
        </w:rPr>
      </w:pPr>
      <w:r>
        <w:rPr>
          <w:rFonts w:hint="eastAsia"/>
          <w:highlight w:val="none"/>
          <w:lang w:eastAsia="zh-CN"/>
        </w:rPr>
        <w:t>3、菜式品种要经常轮换，中标人须提前一周定制出下周合理菜谱，于每周六将下周的菜谱交到采购人总务科处，经与采购人协商后按菜谱进行供餐。</w:t>
      </w:r>
    </w:p>
    <w:p w14:paraId="474F9BFD">
      <w:pPr>
        <w:rPr>
          <w:highlight w:val="none"/>
          <w:lang w:eastAsia="zh-CN"/>
        </w:rPr>
      </w:pPr>
      <w:r>
        <w:rPr>
          <w:rFonts w:hint="eastAsia"/>
          <w:highlight w:val="none"/>
          <w:lang w:eastAsia="zh-CN"/>
        </w:rPr>
        <w:t>4、早餐主食包括但不限于馒头、花卷、糖油饼、包子等面点类，炒粉、炒面、粥类、馄炖、牛腩粉、汤面类，咸菜等，每天不少于10个品种。应免费提供调味品。</w:t>
      </w:r>
    </w:p>
    <w:p w14:paraId="54201E5D">
      <w:pPr>
        <w:rPr>
          <w:highlight w:val="none"/>
          <w:lang w:eastAsia="zh-CN"/>
        </w:rPr>
      </w:pPr>
      <w:r>
        <w:rPr>
          <w:rFonts w:hint="eastAsia"/>
          <w:highlight w:val="none"/>
          <w:lang w:eastAsia="zh-CN"/>
        </w:rPr>
        <w:t>6、早餐、午餐菜类品种报主管部门批准后可根据实际就餐人数进行调整。</w:t>
      </w:r>
    </w:p>
    <w:p w14:paraId="6F39AD60">
      <w:pPr>
        <w:rPr>
          <w:highlight w:val="none"/>
          <w:lang w:eastAsia="zh-CN"/>
        </w:rPr>
      </w:pPr>
      <w:r>
        <w:rPr>
          <w:rFonts w:hint="eastAsia"/>
          <w:highlight w:val="none"/>
          <w:lang w:eastAsia="zh-CN"/>
        </w:rPr>
        <w:t>7、每月提供不少于2次糖水。</w:t>
      </w:r>
    </w:p>
    <w:p w14:paraId="12BD22AE">
      <w:pPr>
        <w:rPr>
          <w:highlight w:val="none"/>
          <w:lang w:eastAsia="zh-CN"/>
        </w:rPr>
      </w:pPr>
      <w:r>
        <w:rPr>
          <w:rFonts w:hint="eastAsia"/>
          <w:highlight w:val="none"/>
          <w:lang w:eastAsia="zh-CN"/>
        </w:rPr>
        <w:t>8、职工就餐时必须刷卡消费，饭卡系统终端由采购人提供，不得出现现金交易，现金交易只限外卖活动。</w:t>
      </w:r>
    </w:p>
    <w:p w14:paraId="7CE828C7">
      <w:pPr>
        <w:rPr>
          <w:highlight w:val="none"/>
          <w:lang w:eastAsia="zh-CN"/>
        </w:rPr>
      </w:pPr>
      <w:r>
        <w:rPr>
          <w:rFonts w:hint="eastAsia"/>
          <w:highlight w:val="none"/>
          <w:lang w:eastAsia="zh-CN"/>
        </w:rPr>
        <w:t>9、采购人做好与上一经营单位职工充值金额的对接，确保职工充值金额能正常使用。采购人员负责饭卡充值、结算、统计等工作，双方在每个月初对上月人员用餐数据进行书面确认。</w:t>
      </w:r>
    </w:p>
    <w:p w14:paraId="717143A4">
      <w:pPr>
        <w:rPr>
          <w:highlight w:val="none"/>
          <w:lang w:eastAsia="zh-CN"/>
        </w:rPr>
      </w:pPr>
      <w:r>
        <w:rPr>
          <w:rFonts w:hint="eastAsia"/>
          <w:highlight w:val="none"/>
          <w:lang w:eastAsia="zh-CN"/>
        </w:rPr>
        <w:t>11、采购人按照上月职工饭卡刷卡记录计算职工餐费补助费用，以转账方式向中标人支付费用。每月初中标人将上月经采购人主管部门确认后的费用金额开具正式发票，采购人以汇款方式支付给中标人。</w:t>
      </w:r>
    </w:p>
    <w:p w14:paraId="213CD368">
      <w:pPr>
        <w:rPr>
          <w:highlight w:val="none"/>
          <w:lang w:eastAsia="zh-CN"/>
        </w:rPr>
      </w:pPr>
      <w:r>
        <w:rPr>
          <w:rFonts w:hint="eastAsia"/>
          <w:highlight w:val="none"/>
          <w:lang w:eastAsia="zh-CN"/>
        </w:rPr>
        <w:t>12、原材料要求：</w:t>
      </w:r>
    </w:p>
    <w:p w14:paraId="3586F4C1">
      <w:pPr>
        <w:rPr>
          <w:highlight w:val="none"/>
          <w:lang w:eastAsia="zh-CN"/>
        </w:rPr>
      </w:pPr>
      <w:r>
        <w:rPr>
          <w:rFonts w:hint="eastAsia"/>
          <w:highlight w:val="none"/>
          <w:lang w:eastAsia="zh-CN"/>
        </w:rPr>
        <w:t>(1)中标人必须严格按《中华人民共和国食品安全法》要求制作各种食品，做到食材新鲜、饭熟菜香，营养搭配科学合理。中标人在承包期间应注意保证提供每天每餐的质量、份量，菜式要经常更新，兼顾南北方特色口味，品种要齐全，保证每餐有新鲜鱼/肉/禽/蛋、蔬菜等菜品供应，每周提前公示菜单。中标人应全力协助采购人实施营养膳食，认真完成采购人提出的其他膳食要求或开膳方式。</w:t>
      </w:r>
    </w:p>
    <w:p w14:paraId="15685DE4">
      <w:pPr>
        <w:rPr>
          <w:highlight w:val="none"/>
          <w:lang w:eastAsia="zh-CN"/>
        </w:rPr>
      </w:pPr>
      <w:r>
        <w:rPr>
          <w:rFonts w:hint="eastAsia"/>
          <w:highlight w:val="none"/>
          <w:lang w:eastAsia="zh-CN"/>
        </w:rPr>
        <w:t>(2)中标人保证不使用过期食品，一切原料、辅料须正规渠道供应，不能采用散装原料，不采用非法生产的食盐，采购票据妥善保存，以备检查。</w:t>
      </w:r>
    </w:p>
    <w:p w14:paraId="4C5D27F5">
      <w:pPr>
        <w:rPr>
          <w:highlight w:val="none"/>
          <w:lang w:eastAsia="zh-CN"/>
        </w:rPr>
      </w:pPr>
      <w:r>
        <w:rPr>
          <w:rFonts w:hint="eastAsia"/>
          <w:highlight w:val="none"/>
          <w:lang w:eastAsia="zh-CN"/>
        </w:rPr>
        <w:t>(</w:t>
      </w:r>
      <w:r>
        <w:rPr>
          <w:rFonts w:hint="eastAsia"/>
          <w:highlight w:val="none"/>
          <w:lang w:val="en-US" w:eastAsia="zh-CN"/>
        </w:rPr>
        <w:t>3</w:t>
      </w:r>
      <w:r>
        <w:rPr>
          <w:rFonts w:hint="eastAsia"/>
          <w:highlight w:val="none"/>
          <w:lang w:eastAsia="zh-CN"/>
        </w:rPr>
        <w:t>)严格限制采购：①冰冻骨、肉；②动物内脏；③火腿肠、腊味、咸鱼等不利健康的深加工食品；④采购人提出禁止采购的其他食材（如：预制菜等）。</w:t>
      </w:r>
    </w:p>
    <w:p w14:paraId="2CD2C835">
      <w:pPr>
        <w:rPr>
          <w:highlight w:val="none"/>
          <w:lang w:eastAsia="zh-CN"/>
        </w:rPr>
      </w:pPr>
      <w:r>
        <w:rPr>
          <w:rFonts w:hint="eastAsia"/>
          <w:highlight w:val="none"/>
          <w:lang w:eastAsia="zh-CN"/>
        </w:rPr>
        <w:t>(</w:t>
      </w:r>
      <w:r>
        <w:rPr>
          <w:rFonts w:hint="eastAsia"/>
          <w:highlight w:val="none"/>
          <w:lang w:val="en-US" w:eastAsia="zh-CN"/>
        </w:rPr>
        <w:t>4</w:t>
      </w:r>
      <w:r>
        <w:rPr>
          <w:rFonts w:hint="eastAsia"/>
          <w:highlight w:val="none"/>
          <w:lang w:eastAsia="zh-CN"/>
        </w:rPr>
        <w:t>)熟食：未经采购人许可不得采购。</w:t>
      </w:r>
    </w:p>
    <w:p w14:paraId="2D5769CE">
      <w:pPr>
        <w:rPr>
          <w:highlight w:val="none"/>
          <w:lang w:eastAsia="zh-CN"/>
        </w:rPr>
      </w:pPr>
      <w:r>
        <w:rPr>
          <w:rFonts w:hint="eastAsia"/>
          <w:highlight w:val="none"/>
          <w:lang w:eastAsia="zh-CN"/>
        </w:rPr>
        <w:t>(</w:t>
      </w:r>
      <w:r>
        <w:rPr>
          <w:rFonts w:hint="eastAsia"/>
          <w:highlight w:val="none"/>
          <w:lang w:val="en-US" w:eastAsia="zh-CN"/>
        </w:rPr>
        <w:t>5</w:t>
      </w:r>
      <w:r>
        <w:rPr>
          <w:rFonts w:hint="eastAsia"/>
          <w:highlight w:val="none"/>
          <w:lang w:eastAsia="zh-CN"/>
        </w:rPr>
        <w:t>)每天饭菜按要求留样24小时，以备查检。</w:t>
      </w:r>
    </w:p>
    <w:p w14:paraId="0D82C16E">
      <w:pPr>
        <w:rPr>
          <w:highlight w:val="none"/>
          <w:lang w:eastAsia="zh-CN"/>
        </w:rPr>
      </w:pPr>
      <w:r>
        <w:rPr>
          <w:rFonts w:hint="eastAsia"/>
          <w:highlight w:val="none"/>
          <w:lang w:eastAsia="zh-CN"/>
        </w:rPr>
        <w:t>(</w:t>
      </w:r>
      <w:r>
        <w:rPr>
          <w:rFonts w:hint="eastAsia"/>
          <w:highlight w:val="none"/>
          <w:lang w:val="en-US" w:eastAsia="zh-CN"/>
        </w:rPr>
        <w:t>6</w:t>
      </w:r>
      <w:r>
        <w:rPr>
          <w:rFonts w:hint="eastAsia"/>
          <w:highlight w:val="none"/>
          <w:lang w:eastAsia="zh-CN"/>
        </w:rPr>
        <w:t>)中标人供应的各类食品必须符合国家《产品质量法》、《食品安全法》等相关法律法规的要求，确保所供食品优质新鲜，符合食品安全规定的各项合格指标，并有完整的销售合格凭证。中标人供应的食品，如出现不符合国家、省、市有关食品安全规定的，须承担全部法律责任。</w:t>
      </w:r>
    </w:p>
    <w:p w14:paraId="6C435846">
      <w:pPr>
        <w:rPr>
          <w:rFonts w:hint="eastAsia"/>
          <w:highlight w:val="none"/>
          <w:lang w:eastAsia="zh-CN"/>
        </w:rPr>
      </w:pPr>
      <w:r>
        <w:rPr>
          <w:rFonts w:hint="eastAsia"/>
          <w:highlight w:val="none"/>
          <w:lang w:eastAsia="zh-CN"/>
        </w:rPr>
        <w:t>(</w:t>
      </w:r>
      <w:r>
        <w:rPr>
          <w:rFonts w:hint="eastAsia"/>
          <w:highlight w:val="none"/>
          <w:lang w:val="en-US" w:eastAsia="zh-CN"/>
        </w:rPr>
        <w:t>7</w:t>
      </w:r>
      <w:r>
        <w:rPr>
          <w:rFonts w:hint="eastAsia"/>
          <w:highlight w:val="none"/>
          <w:lang w:eastAsia="zh-CN"/>
        </w:rPr>
        <w:t>)中标人须承诺按照采购人的要求，根据相关政策要求采购贫困地区农副产品，具体采购额度以实际政策为准。</w:t>
      </w:r>
    </w:p>
    <w:p w14:paraId="737132CE">
      <w:pPr>
        <w:tabs>
          <w:tab w:val="left" w:pos="567"/>
        </w:tabs>
        <w:spacing w:line="460" w:lineRule="exac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13、</w:t>
      </w:r>
      <w:r>
        <w:rPr>
          <w:rFonts w:hint="eastAsia" w:ascii="宋体" w:hAnsi="宋体" w:cs="宋体"/>
          <w:b/>
          <w:bCs/>
          <w:color w:val="000000" w:themeColor="text1"/>
          <w:szCs w:val="21"/>
          <w:highlight w:val="none"/>
          <w14:textFill>
            <w14:solidFill>
              <w14:schemeClr w14:val="tx1"/>
            </w14:solidFill>
          </w14:textFill>
        </w:rPr>
        <w:t>食材采购</w:t>
      </w:r>
    </w:p>
    <w:p w14:paraId="450AF6BC">
      <w:pPr>
        <w:tabs>
          <w:tab w:val="left" w:pos="567"/>
        </w:tabs>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（1）食材干净、新鲜、营养丰富；</w:t>
      </w:r>
    </w:p>
    <w:p w14:paraId="74846585">
      <w:pPr>
        <w:tabs>
          <w:tab w:val="left" w:pos="567"/>
        </w:tabs>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（2）供应商许可证件齐全，产品信息、产地信息完整可溯源；</w:t>
      </w:r>
    </w:p>
    <w:p w14:paraId="60E505D2">
      <w:pPr>
        <w:tabs>
          <w:tab w:val="left" w:pos="567"/>
        </w:tabs>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（3）具备相应产品合格证明，如检验（检疫）合格证明等待；</w:t>
      </w:r>
    </w:p>
    <w:p w14:paraId="43960AF8">
      <w:pPr>
        <w:tabs>
          <w:tab w:val="left" w:pos="567"/>
        </w:tabs>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（4）建立进货台账，利用信息化手段采集、留存生产经营信息，建立食品安全追溯体系（食品、食材、食品添加剂及食品相关产品）；</w:t>
      </w:r>
    </w:p>
    <w:p w14:paraId="7A4B3A79">
      <w:pPr>
        <w:tabs>
          <w:tab w:val="left" w:pos="567"/>
        </w:tabs>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（5）蔬菜类</w:t>
      </w:r>
    </w:p>
    <w:p w14:paraId="3F59FEBA">
      <w:pPr>
        <w:tabs>
          <w:tab w:val="left" w:pos="567"/>
        </w:tabs>
        <w:spacing w:line="460" w:lineRule="exact"/>
        <w:ind w:left="142"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①所有蔬菜必须符合国家有关标准，保证新鲜、无异味、无霉烂变质、无农药等有害物质的留存；</w:t>
      </w:r>
    </w:p>
    <w:p w14:paraId="5CDDC154">
      <w:pPr>
        <w:tabs>
          <w:tab w:val="left" w:pos="567"/>
        </w:tabs>
        <w:spacing w:line="460" w:lineRule="exact"/>
        <w:ind w:left="142"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②所有蔬菜必须经过前期处理后再进入食堂，使用率达到95%以上；</w:t>
      </w:r>
    </w:p>
    <w:p w14:paraId="0A864A25">
      <w:pPr>
        <w:tabs>
          <w:tab w:val="left" w:pos="567"/>
        </w:tabs>
        <w:spacing w:line="460" w:lineRule="exact"/>
        <w:ind w:left="142"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③从蔬菜色泽判别，各种蔬菜都应具有本品种固有的颜色，大多数有发亮的光泽，以此显示蔬菜的成熟度及鲜嫩程度；</w:t>
      </w:r>
    </w:p>
    <w:p w14:paraId="1937D06E">
      <w:pPr>
        <w:tabs>
          <w:tab w:val="left" w:pos="567"/>
        </w:tabs>
        <w:spacing w:line="460" w:lineRule="exact"/>
        <w:ind w:left="142"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④从蔬菜气味判别，多数蔬菜具有清馨、甘辛香、甜酸香等气味，可凭嗅觉识别不同品种的质量，不允许有腐烂变质的亚硝酸盐味和其他异常气味；</w:t>
      </w:r>
    </w:p>
    <w:p w14:paraId="596FA75A">
      <w:pPr>
        <w:tabs>
          <w:tab w:val="left" w:pos="567"/>
        </w:tabs>
        <w:spacing w:line="460" w:lineRule="exact"/>
        <w:ind w:left="142"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⑤从蔬菜形态判别，应尽量避免由于客观因素而造成的各种非正常、不新鲜的蔬菜，例如萎蔫、枯塌、损伤、病变、虫害侵蚀等引起的形态异常；</w:t>
      </w:r>
    </w:p>
    <w:p w14:paraId="665CB9C5">
      <w:pPr>
        <w:tabs>
          <w:tab w:val="left" w:pos="567"/>
        </w:tabs>
        <w:spacing w:line="460" w:lineRule="exact"/>
        <w:ind w:left="142"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⑥质量标准：</w:t>
      </w:r>
    </w:p>
    <w:tbl>
      <w:tblPr>
        <w:tblStyle w:val="12"/>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95"/>
        <w:gridCol w:w="7293"/>
      </w:tblGrid>
      <w:tr w14:paraId="4B4465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rPr>
          <w:trHeight w:val="429" w:hRule="atLeast"/>
          <w:tblHeader/>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34C1FDC1">
            <w:pPr>
              <w:spacing w:line="360" w:lineRule="auto"/>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种类</w:t>
            </w:r>
          </w:p>
        </w:tc>
        <w:tc>
          <w:tcPr>
            <w:tcW w:w="7293" w:type="dxa"/>
            <w:tcBorders>
              <w:top w:val="single" w:color="000000" w:sz="4" w:space="0"/>
              <w:left w:val="single" w:color="000000" w:sz="4" w:space="0"/>
              <w:bottom w:val="single" w:color="000000" w:sz="4" w:space="0"/>
              <w:right w:val="single" w:color="000000" w:sz="4" w:space="0"/>
            </w:tcBorders>
            <w:vAlign w:val="center"/>
          </w:tcPr>
          <w:p w14:paraId="7254C65D">
            <w:pPr>
              <w:spacing w:line="360" w:lineRule="auto"/>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质量标准</w:t>
            </w:r>
          </w:p>
        </w:tc>
      </w:tr>
      <w:tr w14:paraId="689509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nil"/>
              <w:left w:val="single" w:color="000000" w:sz="4" w:space="0"/>
              <w:bottom w:val="single" w:color="000000" w:sz="4" w:space="0"/>
              <w:right w:val="single" w:color="000000" w:sz="4" w:space="0"/>
            </w:tcBorders>
            <w:vAlign w:val="center"/>
          </w:tcPr>
          <w:p w14:paraId="7FAC97BB">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叶菜类</w:t>
            </w:r>
          </w:p>
        </w:tc>
        <w:tc>
          <w:tcPr>
            <w:tcW w:w="7293" w:type="dxa"/>
            <w:tcBorders>
              <w:top w:val="nil"/>
              <w:left w:val="single" w:color="000000" w:sz="4" w:space="0"/>
              <w:bottom w:val="single" w:color="000000" w:sz="4" w:space="0"/>
              <w:right w:val="single" w:color="000000" w:sz="4" w:space="0"/>
            </w:tcBorders>
            <w:vAlign w:val="center"/>
          </w:tcPr>
          <w:p w14:paraId="34B0E575">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菜心、生菜、大白菜、小白菜、空心菜、芹菜等绿叶菜类。属同一品种规格，鲜嫩形态好，色泽正常，茎基部削平，无枯黄叶、病叶、泥土、明显机械伤和病虫害伤，无腐烂现象，花椰菜应新鲜洁白，无畸形花。</w:t>
            </w:r>
          </w:p>
        </w:tc>
      </w:tr>
      <w:tr w14:paraId="096A2E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nil"/>
              <w:left w:val="single" w:color="000000" w:sz="4" w:space="0"/>
              <w:bottom w:val="single" w:color="000000" w:sz="4" w:space="0"/>
              <w:right w:val="single" w:color="000000" w:sz="4" w:space="0"/>
            </w:tcBorders>
            <w:vAlign w:val="center"/>
          </w:tcPr>
          <w:p w14:paraId="6D632969">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茄果类</w:t>
            </w:r>
          </w:p>
        </w:tc>
        <w:tc>
          <w:tcPr>
            <w:tcW w:w="7293" w:type="dxa"/>
            <w:tcBorders>
              <w:top w:val="nil"/>
              <w:left w:val="single" w:color="000000" w:sz="4" w:space="0"/>
              <w:bottom w:val="single" w:color="000000" w:sz="4" w:space="0"/>
              <w:right w:val="single" w:color="000000" w:sz="4" w:space="0"/>
            </w:tcBorders>
            <w:vAlign w:val="center"/>
          </w:tcPr>
          <w:p w14:paraId="7B3A1A79">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番茄、茄子等。属同一品种规格，果实整洁，成熟度适中，无裂果及空洞现象，茄果不能有裂蒂及果皮变硬现象，无腐烂、无畸形、异味、无明显机械伤。</w:t>
            </w:r>
          </w:p>
        </w:tc>
      </w:tr>
      <w:tr w14:paraId="6108E4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nil"/>
              <w:left w:val="single" w:color="000000" w:sz="4" w:space="0"/>
              <w:bottom w:val="single" w:color="000000" w:sz="4" w:space="0"/>
              <w:right w:val="single" w:color="000000" w:sz="4" w:space="0"/>
            </w:tcBorders>
            <w:vAlign w:val="center"/>
          </w:tcPr>
          <w:p w14:paraId="0736D2AE">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瓜果类</w:t>
            </w:r>
          </w:p>
        </w:tc>
        <w:tc>
          <w:tcPr>
            <w:tcW w:w="7293" w:type="dxa"/>
            <w:tcBorders>
              <w:top w:val="nil"/>
              <w:left w:val="single" w:color="000000" w:sz="4" w:space="0"/>
              <w:bottom w:val="single" w:color="000000" w:sz="4" w:space="0"/>
              <w:right w:val="single" w:color="000000" w:sz="4" w:space="0"/>
            </w:tcBorders>
            <w:vAlign w:val="center"/>
          </w:tcPr>
          <w:p w14:paraId="7C3F6B8E">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黄瓜、冬瓜、丝瓜、苦瓜、南瓜等。属同一品种规格，形状、色泽一致，瓜条均匀，无疤点，无断裂、无腐烂、畸形，异味、无明显机械伤，不带泥土。</w:t>
            </w:r>
          </w:p>
        </w:tc>
      </w:tr>
      <w:tr w14:paraId="7DCD2E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nil"/>
              <w:left w:val="single" w:color="000000" w:sz="4" w:space="0"/>
              <w:bottom w:val="single" w:color="000000" w:sz="4" w:space="0"/>
              <w:right w:val="single" w:color="000000" w:sz="4" w:space="0"/>
            </w:tcBorders>
            <w:vAlign w:val="center"/>
          </w:tcPr>
          <w:p w14:paraId="5CDDC5D5">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根菜类</w:t>
            </w:r>
          </w:p>
        </w:tc>
        <w:tc>
          <w:tcPr>
            <w:tcW w:w="7293" w:type="dxa"/>
            <w:tcBorders>
              <w:top w:val="nil"/>
              <w:left w:val="single" w:color="000000" w:sz="4" w:space="0"/>
              <w:bottom w:val="single" w:color="000000" w:sz="4" w:space="0"/>
              <w:right w:val="single" w:color="000000" w:sz="4" w:space="0"/>
            </w:tcBorders>
            <w:vAlign w:val="center"/>
          </w:tcPr>
          <w:p w14:paraId="1B44A197">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萝卜、大头菜、沙葛等。属同一品种规格，皮细光滑，大小均匀，肉质脆嫩致密新鲜，无腐烂、畸形、裂痕、异味，不带泥沙，不带茎叶和须根。</w:t>
            </w:r>
          </w:p>
        </w:tc>
      </w:tr>
      <w:tr w14:paraId="1DC8FF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nil"/>
              <w:left w:val="single" w:color="000000" w:sz="4" w:space="0"/>
              <w:bottom w:val="single" w:color="000000" w:sz="4" w:space="0"/>
              <w:right w:val="single" w:color="000000" w:sz="4" w:space="0"/>
            </w:tcBorders>
            <w:vAlign w:val="center"/>
          </w:tcPr>
          <w:p w14:paraId="6C7CC4EB">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薯芋类</w:t>
            </w:r>
          </w:p>
        </w:tc>
        <w:tc>
          <w:tcPr>
            <w:tcW w:w="7293" w:type="dxa"/>
            <w:tcBorders>
              <w:top w:val="nil"/>
              <w:left w:val="single" w:color="000000" w:sz="4" w:space="0"/>
              <w:bottom w:val="single" w:color="000000" w:sz="4" w:space="0"/>
              <w:right w:val="single" w:color="000000" w:sz="4" w:space="0"/>
            </w:tcBorders>
            <w:vAlign w:val="center"/>
          </w:tcPr>
          <w:p w14:paraId="64FBAFAA">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马铃薯。属同一品种规格，色泽一致，不带泥沙，不带须根、茎叶，无腐烂、畸形、异味、明显机械伤、病虫害斑，马铃薯无发芽。</w:t>
            </w:r>
          </w:p>
        </w:tc>
      </w:tr>
      <w:tr w14:paraId="3B44DC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nil"/>
              <w:left w:val="single" w:color="000000" w:sz="4" w:space="0"/>
              <w:bottom w:val="single" w:color="000000" w:sz="4" w:space="0"/>
              <w:right w:val="single" w:color="000000" w:sz="4" w:space="0"/>
            </w:tcBorders>
            <w:vAlign w:val="center"/>
          </w:tcPr>
          <w:p w14:paraId="490FBE81">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葱蒜类</w:t>
            </w:r>
          </w:p>
        </w:tc>
        <w:tc>
          <w:tcPr>
            <w:tcW w:w="7293" w:type="dxa"/>
            <w:tcBorders>
              <w:top w:val="nil"/>
              <w:left w:val="single" w:color="000000" w:sz="4" w:space="0"/>
              <w:bottom w:val="single" w:color="000000" w:sz="4" w:space="0"/>
              <w:right w:val="single" w:color="000000" w:sz="4" w:space="0"/>
            </w:tcBorders>
            <w:vAlign w:val="center"/>
          </w:tcPr>
          <w:p w14:paraId="39A3BF5A">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葱、蒜、韭菜、洋葱等。属同一品种规格，允许葱、青蒜类保留干净须根，葱、蒜、韭菜不带老叶，蒜头、洋葱去根去枯叶，可食部分新鲜幼嫩，无腐烂、畸形、异味。</w:t>
            </w:r>
          </w:p>
        </w:tc>
      </w:tr>
      <w:tr w14:paraId="55E516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nil"/>
              <w:left w:val="single" w:color="000000" w:sz="4" w:space="0"/>
              <w:bottom w:val="single" w:color="000000" w:sz="4" w:space="0"/>
              <w:right w:val="single" w:color="000000" w:sz="4" w:space="0"/>
            </w:tcBorders>
            <w:vAlign w:val="center"/>
          </w:tcPr>
          <w:p w14:paraId="7C9387BC">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豆类</w:t>
            </w:r>
          </w:p>
        </w:tc>
        <w:tc>
          <w:tcPr>
            <w:tcW w:w="7293" w:type="dxa"/>
            <w:tcBorders>
              <w:top w:val="nil"/>
              <w:left w:val="single" w:color="000000" w:sz="4" w:space="0"/>
              <w:bottom w:val="single" w:color="000000" w:sz="4" w:space="0"/>
              <w:right w:val="single" w:color="000000" w:sz="4" w:space="0"/>
            </w:tcBorders>
            <w:vAlign w:val="center"/>
          </w:tcPr>
          <w:p w14:paraId="79DA2841">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扁豆、豌豆、豆角等。形态完整，成熟度适中，无腐烂、畸形、异味，豆荚新鲜、幼嫩、均匀，豆仁籽粒饱满，较均匀，无发芽，不带泥土杂质。</w:t>
            </w:r>
          </w:p>
        </w:tc>
      </w:tr>
      <w:tr w14:paraId="399D6E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nil"/>
              <w:left w:val="single" w:color="000000" w:sz="4" w:space="0"/>
              <w:bottom w:val="single" w:color="000000" w:sz="4" w:space="0"/>
              <w:right w:val="single" w:color="000000" w:sz="4" w:space="0"/>
            </w:tcBorders>
            <w:vAlign w:val="center"/>
          </w:tcPr>
          <w:p w14:paraId="12942A77">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水生菜类</w:t>
            </w:r>
          </w:p>
        </w:tc>
        <w:tc>
          <w:tcPr>
            <w:tcW w:w="7293" w:type="dxa"/>
            <w:tcBorders>
              <w:top w:val="nil"/>
              <w:left w:val="single" w:color="000000" w:sz="4" w:space="0"/>
              <w:bottom w:val="single" w:color="000000" w:sz="4" w:space="0"/>
              <w:right w:val="single" w:color="000000" w:sz="4" w:space="0"/>
            </w:tcBorders>
            <w:vAlign w:val="center"/>
          </w:tcPr>
          <w:p w14:paraId="4AB8314A">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藕、马蹄、菱等。属同一品种规格，肉质嫩，成熟度适中，无腐烂、畸形、异味，无明显机械伤，不带泥土和杂质。</w:t>
            </w:r>
          </w:p>
        </w:tc>
      </w:tr>
      <w:tr w14:paraId="640F9E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nil"/>
              <w:left w:val="single" w:color="000000" w:sz="4" w:space="0"/>
              <w:bottom w:val="single" w:color="000000" w:sz="4" w:space="0"/>
              <w:right w:val="single" w:color="000000" w:sz="4" w:space="0"/>
            </w:tcBorders>
            <w:vAlign w:val="center"/>
          </w:tcPr>
          <w:p w14:paraId="30443260">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食用菌类</w:t>
            </w:r>
          </w:p>
        </w:tc>
        <w:tc>
          <w:tcPr>
            <w:tcW w:w="7293" w:type="dxa"/>
            <w:tcBorders>
              <w:top w:val="nil"/>
              <w:left w:val="single" w:color="000000" w:sz="4" w:space="0"/>
              <w:bottom w:val="single" w:color="000000" w:sz="4" w:space="0"/>
              <w:right w:val="single" w:color="000000" w:sz="4" w:space="0"/>
            </w:tcBorders>
            <w:vAlign w:val="center"/>
          </w:tcPr>
          <w:p w14:paraId="49884F96">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蘑菇、草菇、香菇、木耳等。属同一品种规格，蘑菇、草菇菌盖圆整略展开，柄粗壮，菌膜紧，菇柄切削平整，，新鲜，无杂质，无畸形菇，无腐烂、异味。</w:t>
            </w:r>
          </w:p>
        </w:tc>
      </w:tr>
      <w:tr w14:paraId="6D1826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nil"/>
              <w:left w:val="single" w:color="000000" w:sz="4" w:space="0"/>
              <w:bottom w:val="single" w:color="000000" w:sz="4" w:space="0"/>
              <w:right w:val="single" w:color="000000" w:sz="4" w:space="0"/>
            </w:tcBorders>
            <w:vAlign w:val="center"/>
          </w:tcPr>
          <w:p w14:paraId="33EF533A">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芽苗类</w:t>
            </w:r>
          </w:p>
        </w:tc>
        <w:tc>
          <w:tcPr>
            <w:tcW w:w="7293" w:type="dxa"/>
            <w:tcBorders>
              <w:top w:val="nil"/>
              <w:left w:val="single" w:color="000000" w:sz="4" w:space="0"/>
              <w:bottom w:val="single" w:color="000000" w:sz="4" w:space="0"/>
              <w:right w:val="single" w:color="000000" w:sz="4" w:space="0"/>
            </w:tcBorders>
            <w:vAlign w:val="center"/>
          </w:tcPr>
          <w:p w14:paraId="438B8B28">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绿豆芽、黄豆芽等。芽苗幼嫩，不带豆壳杂质，新鲜，无腐烂、异味。</w:t>
            </w:r>
          </w:p>
        </w:tc>
      </w:tr>
    </w:tbl>
    <w:p w14:paraId="5AE1D5A9">
      <w:pPr>
        <w:pStyle w:val="14"/>
        <w:spacing w:line="360" w:lineRule="auto"/>
        <w:rPr>
          <w:color w:val="000000" w:themeColor="text1"/>
          <w:highlight w:val="none"/>
          <w14:textFill>
            <w14:solidFill>
              <w14:schemeClr w14:val="tx1"/>
            </w14:solidFill>
          </w14:textFill>
        </w:rPr>
      </w:pPr>
    </w:p>
    <w:p w14:paraId="5818A4A4">
      <w:pPr>
        <w:tabs>
          <w:tab w:val="left" w:pos="567"/>
        </w:tabs>
        <w:spacing w:line="460" w:lineRule="exact"/>
        <w:ind w:left="142"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⑦所有蔬菜应符合我国无公害蔬菜的卫生指标规定：</w:t>
      </w:r>
    </w:p>
    <w:tbl>
      <w:tblPr>
        <w:tblStyle w:val="12"/>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086"/>
        <w:gridCol w:w="3644"/>
      </w:tblGrid>
      <w:tr w14:paraId="4D5F4B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086" w:type="dxa"/>
            <w:tcBorders>
              <w:top w:val="single" w:color="000000" w:sz="4" w:space="0"/>
              <w:left w:val="single" w:color="000000" w:sz="4" w:space="0"/>
              <w:bottom w:val="single" w:color="000000" w:sz="4" w:space="0"/>
              <w:right w:val="single" w:color="000000" w:sz="4" w:space="0"/>
            </w:tcBorders>
          </w:tcPr>
          <w:p w14:paraId="1B2DECAD">
            <w:pPr>
              <w:spacing w:line="360" w:lineRule="auto"/>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项目</w:t>
            </w:r>
          </w:p>
        </w:tc>
        <w:tc>
          <w:tcPr>
            <w:tcW w:w="3644" w:type="dxa"/>
            <w:tcBorders>
              <w:top w:val="single" w:color="000000" w:sz="4" w:space="0"/>
              <w:left w:val="single" w:color="000000" w:sz="4" w:space="0"/>
              <w:bottom w:val="single" w:color="000000" w:sz="4" w:space="0"/>
              <w:right w:val="single" w:color="000000" w:sz="4" w:space="0"/>
            </w:tcBorders>
          </w:tcPr>
          <w:p w14:paraId="46B40421">
            <w:pPr>
              <w:spacing w:line="360" w:lineRule="auto"/>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指标（mg/kg）</w:t>
            </w:r>
          </w:p>
        </w:tc>
      </w:tr>
      <w:tr w14:paraId="268533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086" w:type="dxa"/>
            <w:tcBorders>
              <w:top w:val="nil"/>
              <w:left w:val="single" w:color="000000" w:sz="4" w:space="0"/>
              <w:bottom w:val="single" w:color="000000" w:sz="4" w:space="0"/>
              <w:right w:val="single" w:color="000000" w:sz="4" w:space="0"/>
            </w:tcBorders>
          </w:tcPr>
          <w:p w14:paraId="156A2305">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甲胺磷</w:t>
            </w:r>
          </w:p>
        </w:tc>
        <w:tc>
          <w:tcPr>
            <w:tcW w:w="3644" w:type="dxa"/>
            <w:tcBorders>
              <w:top w:val="nil"/>
              <w:left w:val="single" w:color="000000" w:sz="4" w:space="0"/>
              <w:bottom w:val="single" w:color="000000" w:sz="4" w:space="0"/>
              <w:right w:val="single" w:color="000000" w:sz="4" w:space="0"/>
            </w:tcBorders>
          </w:tcPr>
          <w:p w14:paraId="7A03DC1E">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不得检出</w:t>
            </w:r>
          </w:p>
        </w:tc>
      </w:tr>
      <w:tr w14:paraId="63BAD1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086" w:type="dxa"/>
            <w:tcBorders>
              <w:top w:val="nil"/>
              <w:left w:val="single" w:color="000000" w:sz="4" w:space="0"/>
              <w:bottom w:val="single" w:color="000000" w:sz="4" w:space="0"/>
              <w:right w:val="single" w:color="000000" w:sz="4" w:space="0"/>
            </w:tcBorders>
          </w:tcPr>
          <w:p w14:paraId="6C36946D">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甲拌磷</w:t>
            </w:r>
          </w:p>
        </w:tc>
        <w:tc>
          <w:tcPr>
            <w:tcW w:w="3644" w:type="dxa"/>
            <w:tcBorders>
              <w:top w:val="nil"/>
              <w:left w:val="single" w:color="000000" w:sz="4" w:space="0"/>
              <w:bottom w:val="single" w:color="000000" w:sz="4" w:space="0"/>
              <w:right w:val="single" w:color="000000" w:sz="4" w:space="0"/>
            </w:tcBorders>
          </w:tcPr>
          <w:p w14:paraId="2B8BDADB">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不得检出</w:t>
            </w:r>
          </w:p>
        </w:tc>
      </w:tr>
      <w:tr w14:paraId="1AF17E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086" w:type="dxa"/>
            <w:tcBorders>
              <w:top w:val="nil"/>
              <w:left w:val="single" w:color="000000" w:sz="4" w:space="0"/>
              <w:bottom w:val="single" w:color="000000" w:sz="4" w:space="0"/>
              <w:right w:val="single" w:color="000000" w:sz="4" w:space="0"/>
            </w:tcBorders>
          </w:tcPr>
          <w:p w14:paraId="1A5303CE">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氧化乐果</w:t>
            </w:r>
          </w:p>
        </w:tc>
        <w:tc>
          <w:tcPr>
            <w:tcW w:w="3644" w:type="dxa"/>
            <w:tcBorders>
              <w:top w:val="nil"/>
              <w:left w:val="single" w:color="000000" w:sz="4" w:space="0"/>
              <w:bottom w:val="single" w:color="000000" w:sz="4" w:space="0"/>
              <w:right w:val="single" w:color="000000" w:sz="4" w:space="0"/>
            </w:tcBorders>
          </w:tcPr>
          <w:p w14:paraId="22E3B17D">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不得检出</w:t>
            </w:r>
          </w:p>
        </w:tc>
      </w:tr>
      <w:tr w14:paraId="399EA5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086" w:type="dxa"/>
            <w:tcBorders>
              <w:top w:val="nil"/>
              <w:left w:val="single" w:color="000000" w:sz="4" w:space="0"/>
              <w:bottom w:val="single" w:color="000000" w:sz="4" w:space="0"/>
              <w:right w:val="single" w:color="000000" w:sz="4" w:space="0"/>
            </w:tcBorders>
          </w:tcPr>
          <w:p w14:paraId="0D25ED30">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甲基对硫磷</w:t>
            </w:r>
          </w:p>
        </w:tc>
        <w:tc>
          <w:tcPr>
            <w:tcW w:w="3644" w:type="dxa"/>
            <w:tcBorders>
              <w:top w:val="nil"/>
              <w:left w:val="single" w:color="000000" w:sz="4" w:space="0"/>
              <w:bottom w:val="single" w:color="000000" w:sz="4" w:space="0"/>
              <w:right w:val="single" w:color="000000" w:sz="4" w:space="0"/>
            </w:tcBorders>
          </w:tcPr>
          <w:p w14:paraId="3BFA4B1B">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不得检出</w:t>
            </w:r>
          </w:p>
        </w:tc>
      </w:tr>
      <w:tr w14:paraId="78340E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086" w:type="dxa"/>
            <w:tcBorders>
              <w:top w:val="nil"/>
              <w:left w:val="single" w:color="000000" w:sz="4" w:space="0"/>
              <w:bottom w:val="single" w:color="000000" w:sz="4" w:space="0"/>
              <w:right w:val="single" w:color="000000" w:sz="4" w:space="0"/>
            </w:tcBorders>
          </w:tcPr>
          <w:p w14:paraId="15F306E6">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呋喃丹</w:t>
            </w:r>
          </w:p>
        </w:tc>
        <w:tc>
          <w:tcPr>
            <w:tcW w:w="3644" w:type="dxa"/>
            <w:tcBorders>
              <w:top w:val="nil"/>
              <w:left w:val="single" w:color="000000" w:sz="4" w:space="0"/>
              <w:bottom w:val="single" w:color="000000" w:sz="4" w:space="0"/>
              <w:right w:val="single" w:color="000000" w:sz="4" w:space="0"/>
            </w:tcBorders>
          </w:tcPr>
          <w:p w14:paraId="470ACFB0">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不得检出</w:t>
            </w:r>
          </w:p>
        </w:tc>
      </w:tr>
      <w:tr w14:paraId="78D6B5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086" w:type="dxa"/>
            <w:tcBorders>
              <w:top w:val="nil"/>
              <w:left w:val="single" w:color="000000" w:sz="4" w:space="0"/>
              <w:bottom w:val="single" w:color="000000" w:sz="4" w:space="0"/>
              <w:right w:val="single" w:color="000000" w:sz="4" w:space="0"/>
            </w:tcBorders>
          </w:tcPr>
          <w:p w14:paraId="42B3C51F">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百菌清</w:t>
            </w:r>
          </w:p>
        </w:tc>
        <w:tc>
          <w:tcPr>
            <w:tcW w:w="3644" w:type="dxa"/>
            <w:tcBorders>
              <w:top w:val="nil"/>
              <w:left w:val="single" w:color="000000" w:sz="4" w:space="0"/>
              <w:bottom w:val="single" w:color="000000" w:sz="4" w:space="0"/>
              <w:right w:val="single" w:color="000000" w:sz="4" w:space="0"/>
            </w:tcBorders>
          </w:tcPr>
          <w:p w14:paraId="46D4237D">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w:t>
            </w:r>
          </w:p>
        </w:tc>
      </w:tr>
      <w:tr w14:paraId="0DA5CE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086" w:type="dxa"/>
            <w:tcBorders>
              <w:top w:val="nil"/>
              <w:left w:val="single" w:color="000000" w:sz="4" w:space="0"/>
              <w:bottom w:val="single" w:color="000000" w:sz="4" w:space="0"/>
              <w:right w:val="single" w:color="000000" w:sz="4" w:space="0"/>
            </w:tcBorders>
          </w:tcPr>
          <w:p w14:paraId="51C3011E">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多菌灵</w:t>
            </w:r>
          </w:p>
        </w:tc>
        <w:tc>
          <w:tcPr>
            <w:tcW w:w="3644" w:type="dxa"/>
            <w:tcBorders>
              <w:top w:val="nil"/>
              <w:left w:val="single" w:color="000000" w:sz="4" w:space="0"/>
              <w:bottom w:val="single" w:color="000000" w:sz="4" w:space="0"/>
              <w:right w:val="single" w:color="000000" w:sz="4" w:space="0"/>
            </w:tcBorders>
          </w:tcPr>
          <w:p w14:paraId="1CB069BC">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≤0.5</w:t>
            </w:r>
          </w:p>
        </w:tc>
      </w:tr>
      <w:tr w14:paraId="0D7799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086" w:type="dxa"/>
            <w:tcBorders>
              <w:top w:val="nil"/>
              <w:left w:val="single" w:color="000000" w:sz="4" w:space="0"/>
              <w:bottom w:val="single" w:color="000000" w:sz="4" w:space="0"/>
              <w:right w:val="single" w:color="000000" w:sz="4" w:space="0"/>
            </w:tcBorders>
          </w:tcPr>
          <w:p w14:paraId="294547A8">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汞（以Hg计）</w:t>
            </w:r>
          </w:p>
        </w:tc>
        <w:tc>
          <w:tcPr>
            <w:tcW w:w="3644" w:type="dxa"/>
            <w:tcBorders>
              <w:top w:val="nil"/>
              <w:left w:val="single" w:color="000000" w:sz="4" w:space="0"/>
              <w:bottom w:val="single" w:color="000000" w:sz="4" w:space="0"/>
              <w:right w:val="single" w:color="000000" w:sz="4" w:space="0"/>
            </w:tcBorders>
          </w:tcPr>
          <w:p w14:paraId="28F18723">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≤0.01</w:t>
            </w:r>
          </w:p>
        </w:tc>
      </w:tr>
      <w:tr w14:paraId="7B177A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086" w:type="dxa"/>
            <w:tcBorders>
              <w:top w:val="nil"/>
              <w:left w:val="single" w:color="000000" w:sz="4" w:space="0"/>
              <w:bottom w:val="single" w:color="000000" w:sz="4" w:space="0"/>
              <w:right w:val="single" w:color="000000" w:sz="4" w:space="0"/>
            </w:tcBorders>
          </w:tcPr>
          <w:p w14:paraId="2F66F07B">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铅（以Pb计）</w:t>
            </w:r>
          </w:p>
        </w:tc>
        <w:tc>
          <w:tcPr>
            <w:tcW w:w="3644" w:type="dxa"/>
            <w:tcBorders>
              <w:top w:val="nil"/>
              <w:left w:val="single" w:color="000000" w:sz="4" w:space="0"/>
              <w:bottom w:val="single" w:color="000000" w:sz="4" w:space="0"/>
              <w:right w:val="single" w:color="000000" w:sz="4" w:space="0"/>
            </w:tcBorders>
          </w:tcPr>
          <w:p w14:paraId="7C90FF64">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≤0.2</w:t>
            </w:r>
          </w:p>
        </w:tc>
      </w:tr>
      <w:tr w14:paraId="1B51F2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086" w:type="dxa"/>
            <w:tcBorders>
              <w:top w:val="nil"/>
              <w:left w:val="single" w:color="000000" w:sz="4" w:space="0"/>
              <w:bottom w:val="single" w:color="000000" w:sz="4" w:space="0"/>
              <w:right w:val="single" w:color="000000" w:sz="4" w:space="0"/>
            </w:tcBorders>
          </w:tcPr>
          <w:p w14:paraId="10077492">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砷（以As计）</w:t>
            </w:r>
          </w:p>
        </w:tc>
        <w:tc>
          <w:tcPr>
            <w:tcW w:w="3644" w:type="dxa"/>
            <w:tcBorders>
              <w:top w:val="nil"/>
              <w:left w:val="single" w:color="000000" w:sz="4" w:space="0"/>
              <w:bottom w:val="single" w:color="000000" w:sz="4" w:space="0"/>
              <w:right w:val="single" w:color="000000" w:sz="4" w:space="0"/>
            </w:tcBorders>
          </w:tcPr>
          <w:p w14:paraId="69BA85E4">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≤0.5</w:t>
            </w:r>
          </w:p>
        </w:tc>
      </w:tr>
      <w:tr w14:paraId="3419E7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086" w:type="dxa"/>
            <w:tcBorders>
              <w:top w:val="nil"/>
              <w:left w:val="single" w:color="000000" w:sz="4" w:space="0"/>
              <w:bottom w:val="single" w:color="000000" w:sz="4" w:space="0"/>
              <w:right w:val="single" w:color="000000" w:sz="4" w:space="0"/>
            </w:tcBorders>
          </w:tcPr>
          <w:p w14:paraId="473593F8">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氟（以F计）</w:t>
            </w:r>
          </w:p>
        </w:tc>
        <w:tc>
          <w:tcPr>
            <w:tcW w:w="3644" w:type="dxa"/>
            <w:tcBorders>
              <w:top w:val="nil"/>
              <w:left w:val="single" w:color="000000" w:sz="4" w:space="0"/>
              <w:bottom w:val="single" w:color="000000" w:sz="4" w:space="0"/>
              <w:right w:val="single" w:color="000000" w:sz="4" w:space="0"/>
            </w:tcBorders>
          </w:tcPr>
          <w:p w14:paraId="2ADD4DDA">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≤0.5</w:t>
            </w:r>
          </w:p>
        </w:tc>
      </w:tr>
      <w:tr w14:paraId="32BE5C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086" w:type="dxa"/>
            <w:tcBorders>
              <w:top w:val="nil"/>
              <w:left w:val="single" w:color="000000" w:sz="4" w:space="0"/>
              <w:bottom w:val="single" w:color="000000" w:sz="4" w:space="0"/>
              <w:right w:val="single" w:color="000000" w:sz="4" w:space="0"/>
            </w:tcBorders>
          </w:tcPr>
          <w:p w14:paraId="7176C243">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硝酸盐（以NaNO</w:t>
            </w:r>
            <w:r>
              <w:rPr>
                <w:rFonts w:hint="eastAsia" w:ascii="宋体" w:hAnsi="宋体" w:cs="宋体"/>
                <w:color w:val="000000" w:themeColor="text1"/>
                <w:szCs w:val="21"/>
                <w:highlight w:val="none"/>
                <w:vertAlign w:val="subscript"/>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计）</w:t>
            </w:r>
          </w:p>
        </w:tc>
        <w:tc>
          <w:tcPr>
            <w:tcW w:w="3644" w:type="dxa"/>
            <w:tcBorders>
              <w:top w:val="nil"/>
              <w:left w:val="single" w:color="000000" w:sz="4" w:space="0"/>
              <w:bottom w:val="single" w:color="000000" w:sz="4" w:space="0"/>
              <w:right w:val="single" w:color="000000" w:sz="4" w:space="0"/>
            </w:tcBorders>
          </w:tcPr>
          <w:p w14:paraId="532B3BA9">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瓜果类≤600；叶菜根茎类≤1200</w:t>
            </w:r>
          </w:p>
        </w:tc>
      </w:tr>
      <w:tr w14:paraId="3AB9FF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086" w:type="dxa"/>
            <w:tcBorders>
              <w:top w:val="nil"/>
              <w:left w:val="single" w:color="000000" w:sz="4" w:space="0"/>
              <w:bottom w:val="single" w:color="000000" w:sz="4" w:space="0"/>
              <w:right w:val="single" w:color="000000" w:sz="4" w:space="0"/>
            </w:tcBorders>
          </w:tcPr>
          <w:p w14:paraId="0A604CF6">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亚硝酸盐（以NaNO</w:t>
            </w:r>
            <w:r>
              <w:rPr>
                <w:rFonts w:hint="eastAsia" w:ascii="宋体" w:hAnsi="宋体" w:cs="宋体"/>
                <w:color w:val="000000" w:themeColor="text1"/>
                <w:szCs w:val="21"/>
                <w:highlight w:val="none"/>
                <w:vertAlign w:val="subscript"/>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计）</w:t>
            </w:r>
          </w:p>
        </w:tc>
        <w:tc>
          <w:tcPr>
            <w:tcW w:w="3644" w:type="dxa"/>
            <w:tcBorders>
              <w:top w:val="nil"/>
              <w:left w:val="single" w:color="000000" w:sz="4" w:space="0"/>
              <w:bottom w:val="single" w:color="000000" w:sz="4" w:space="0"/>
              <w:right w:val="single" w:color="000000" w:sz="4" w:space="0"/>
            </w:tcBorders>
          </w:tcPr>
          <w:p w14:paraId="7466AC0A">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r>
    </w:tbl>
    <w:p w14:paraId="2318B9EA">
      <w:pPr>
        <w:tabs>
          <w:tab w:val="left" w:pos="567"/>
        </w:tabs>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（6）肉类（含生鲜、冻品、鱼类等）</w:t>
      </w:r>
    </w:p>
    <w:p w14:paraId="4496517A">
      <w:pPr>
        <w:tabs>
          <w:tab w:val="left" w:pos="567"/>
        </w:tabs>
        <w:spacing w:line="460" w:lineRule="exact"/>
        <w:ind w:left="142"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①肉类应保持较好的外观和质量等级，符合国家食品部门的有关标准，保证无异味、无霉烂变质，肉类保证来源于正规肉屠宰场，供货时须提交屠宰场的验收单及当批次有效的动物检疫合格证复印件，新鲜肉确保每日新鲜，为当天正规屠宰场宰杀的新鲜肉；冷冻肉要求肉体冻实而坚硬，无化冻现象，肉质紧密而有弹性，色泽均匀，不粘手，交货时干净、新鲜、无异味；</w:t>
      </w:r>
    </w:p>
    <w:p w14:paraId="2016C563">
      <w:pPr>
        <w:tabs>
          <w:tab w:val="left" w:pos="567"/>
        </w:tabs>
        <w:spacing w:line="460" w:lineRule="exact"/>
        <w:ind w:left="142"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②家禽类（鸡、鸭等）需去净毛和内脏；</w:t>
      </w:r>
    </w:p>
    <w:p w14:paraId="46464306">
      <w:pPr>
        <w:tabs>
          <w:tab w:val="left" w:pos="567"/>
        </w:tabs>
        <w:spacing w:line="460" w:lineRule="exact"/>
        <w:ind w:left="142"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③鲜鱼类鱼体饱满结实、新鲜，无腐烂异味，肉质紧密有弹性，无离骨脱刺现象。鲜鱼类来源可靠放心，无毒、无害、无污染。冷冻鱼类要求鱼眼睛清亮，角膜透明，鳞片上覆有冻结的透明黏液层，皮肤天然色泽明显；</w:t>
      </w:r>
    </w:p>
    <w:p w14:paraId="3548028B">
      <w:pPr>
        <w:tabs>
          <w:tab w:val="left" w:pos="567"/>
        </w:tabs>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（7）粮油类</w:t>
      </w:r>
    </w:p>
    <w:p w14:paraId="73D8CF0F">
      <w:pPr>
        <w:tabs>
          <w:tab w:val="left" w:pos="567"/>
        </w:tabs>
        <w:spacing w:line="460" w:lineRule="exact"/>
        <w:ind w:left="142"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①基本要求：外包装完好，有SC标志，标明品名、厂名、重量、生产日期、保质期或保存期、执行标准，剩余保质期不少于三分二，具有产品合格证；</w:t>
      </w:r>
    </w:p>
    <w:p w14:paraId="383FBCAA">
      <w:pPr>
        <w:tabs>
          <w:tab w:val="left" w:pos="567"/>
        </w:tabs>
        <w:spacing w:line="460" w:lineRule="exact"/>
        <w:ind w:left="142"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②食用油生产企业的资质证明：《企业法人营业执照》，《食品流通许可证》或《食品经营许可证》或同等含义证书，《全国工业产品生产许可证》或《食品生产许可证》或同等含义证书； </w:t>
      </w:r>
    </w:p>
    <w:p w14:paraId="42833E14">
      <w:pPr>
        <w:tabs>
          <w:tab w:val="left" w:pos="567"/>
        </w:tabs>
        <w:spacing w:line="460" w:lineRule="exact"/>
        <w:ind w:left="142"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③大米质量标准：有SC标志，标明加工厂名称、品名、生产日期、保持期或保存期，供货时的剩余保质期不少于三分之二，质量等级、产品标准号、产品合格证，质量符合大米国家标准与国家粮食卫生标准；</w:t>
      </w:r>
    </w:p>
    <w:p w14:paraId="50B568AD">
      <w:pPr>
        <w:tabs>
          <w:tab w:val="left" w:pos="567"/>
        </w:tabs>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（8）干货、副食品类</w:t>
      </w:r>
    </w:p>
    <w:p w14:paraId="3D38A2B1">
      <w:pPr>
        <w:tabs>
          <w:tab w:val="left" w:pos="567"/>
        </w:tabs>
        <w:spacing w:line="460" w:lineRule="exact"/>
        <w:ind w:left="142"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①干货、副食品质量基本标准要求符合国家相关行业标准，干爽，不霉烂、整齐、均匀、完整，无虫蛀、无杂质，保持应有的色泽。确保产品质量稳定，保证营养丰富、绿色安全、海味浓郁、易存放、食用方便，保质期长。从加工、包装、运输、贮存到销售全部符合国家规定标准，副食品必须具有SC食品质量认证标志；</w:t>
      </w:r>
    </w:p>
    <w:p w14:paraId="098660F5">
      <w:pPr>
        <w:tabs>
          <w:tab w:val="left" w:pos="567"/>
        </w:tabs>
        <w:spacing w:line="460" w:lineRule="exact"/>
        <w:ind w:left="142"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②标签标识：标明产品名称、净含量、生产者名称和地址、生产日期、保质期、产品标准号、质量等级、生产许可证号、产品批号等内容；</w:t>
      </w:r>
    </w:p>
    <w:p w14:paraId="24E9E3CE">
      <w:pPr>
        <w:tabs>
          <w:tab w:val="left" w:pos="567"/>
        </w:tabs>
        <w:spacing w:line="460" w:lineRule="exact"/>
        <w:ind w:left="142"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③质量要求：符合国家食品标准，提供的货品剩余保存期不少于保质期的三分之二；</w:t>
      </w:r>
    </w:p>
    <w:p w14:paraId="78D3372C">
      <w:pPr>
        <w:tabs>
          <w:tab w:val="left" w:pos="567"/>
        </w:tabs>
        <w:spacing w:line="460" w:lineRule="exact"/>
        <w:ind w:left="142"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④几种主要副食品的质量要求</w:t>
      </w:r>
    </w:p>
    <w:p w14:paraId="3D97AD06">
      <w:pPr>
        <w:tabs>
          <w:tab w:val="left" w:pos="567"/>
        </w:tabs>
        <w:spacing w:line="460" w:lineRule="exact"/>
        <w:ind w:left="142"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鸡蛋：蛋壳清洁完整，色泽鲜明，无破损、裂纹，无霉斑，灯光透视时，整个蛋呈桔黄色至橙红色，蛋黄不见或略见阴影，没有霉味、酸味，臭味等不良气味，打开后蛋黄凸起、完整、有韧性，蛋白澄清、透明、稀稠分明，无异味。</w:t>
      </w:r>
    </w:p>
    <w:p w14:paraId="1028818E">
      <w:pPr>
        <w:tabs>
          <w:tab w:val="left" w:pos="567"/>
        </w:tabs>
        <w:spacing w:line="460" w:lineRule="exact"/>
        <w:ind w:left="142"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皮蛋：外表泥状包料完整、无霉斑，包料除掉后蛋壳亦完整无损，灯光透照蛋内容物凝固不动，打开观察，整个蛋凝固、不粘壳、清洁而有弹性、呈半透明的棕黄色，闻起来有芳香，无辛辣气。</w:t>
      </w:r>
    </w:p>
    <w:p w14:paraId="00A86B8E">
      <w:pPr>
        <w:tabs>
          <w:tab w:val="left" w:pos="567"/>
        </w:tabs>
        <w:spacing w:line="460" w:lineRule="exact"/>
        <w:ind w:left="142"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咸蛋：蛋壳完整无损，无裂纹或霉斑，摇动时有轻度水荡漾感觉，灯光透视蛋黄凝结、呈橙黄色且靠近蛋壳，蛋清呈白色水样透明，生蛋打开可见蛋清稀薄透明，蛋黄呈红色或淡红色，浓缩粘度增强，但不硬固，煮熟后打开，可见蛋清白嫩，蛋黄口味有细沙感，富于油脂，有咸蛋固有的香味。</w:t>
      </w:r>
    </w:p>
    <w:p w14:paraId="5C538CB8">
      <w:pPr>
        <w:tabs>
          <w:tab w:val="left" w:pos="567"/>
        </w:tabs>
        <w:spacing w:line="460" w:lineRule="exact"/>
        <w:ind w:left="142"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豆腐：豆腐呈均匀的乳白色或淡黄色，稍有光泽，块形完整，软硬适度，富有一定的弹性，质地细嫩、结构均匀、无杂质，具有豆腐特有的香味，口感细腻鲜嫩，味道纯正清香。</w:t>
      </w:r>
    </w:p>
    <w:p w14:paraId="6176996F">
      <w:pPr>
        <w:tabs>
          <w:tab w:val="left" w:pos="567"/>
        </w:tabs>
        <w:spacing w:line="460" w:lineRule="exact"/>
        <w:ind w:left="142"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大豆：豆皮色光彩油亮，洁净而有光泽，颗粒饱满，整齐均匀，无虫蛀粒，无杂质，无霉变。</w:t>
      </w:r>
    </w:p>
    <w:p w14:paraId="2085B7A6">
      <w:pPr>
        <w:tabs>
          <w:tab w:val="left" w:pos="567"/>
        </w:tabs>
        <w:spacing w:line="460" w:lineRule="exact"/>
        <w:ind w:left="142"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花生：果荚呈土黄色或白色，果仁呈各不同品种所特有的颜色，色泽分布均匀一致，带荚花生和去荚果仁均颗粒饱满、形态完整、大小均匀，子叶肥厚而有光泽，无杂质，具有花生特有的气味、香味，无任何异味。</w:t>
      </w:r>
    </w:p>
    <w:p w14:paraId="2A28B09A">
      <w:pPr>
        <w:tabs>
          <w:tab w:val="left" w:pos="567"/>
        </w:tabs>
        <w:spacing w:line="460" w:lineRule="exact"/>
        <w:ind w:left="142" w:firstLine="420" w:firstLineChars="200"/>
        <w:rPr>
          <w:rFonts w:hint="eastAsia"/>
          <w:highlight w:val="none"/>
          <w:lang w:eastAsia="zh-CN"/>
        </w:rPr>
      </w:pPr>
      <w:r>
        <w:rPr>
          <w:rFonts w:hint="eastAsia" w:ascii="宋体" w:hAnsi="宋体" w:cs="宋体"/>
          <w:color w:val="000000" w:themeColor="text1"/>
          <w:szCs w:val="21"/>
          <w:highlight w:val="none"/>
          <w14:textFill>
            <w14:solidFill>
              <w14:schemeClr w14:val="tx1"/>
            </w14:solidFill>
          </w14:textFill>
        </w:rPr>
        <w:t>食糖：干燥，晶粒松散，不粘手，不结块，无肉眼可见的杂质，白糖的水溶液应清晰透明无杂质。</w:t>
      </w:r>
    </w:p>
    <w:p w14:paraId="6E9E61EC">
      <w:pPr>
        <w:rPr>
          <w:highlight w:val="none"/>
          <w:lang w:eastAsia="zh-CN"/>
        </w:rPr>
      </w:pPr>
      <w:r>
        <w:rPr>
          <w:rFonts w:hint="eastAsia"/>
          <w:highlight w:val="none"/>
          <w:lang w:eastAsia="zh-CN"/>
        </w:rPr>
        <w:t>1</w:t>
      </w:r>
      <w:r>
        <w:rPr>
          <w:rFonts w:hint="eastAsia"/>
          <w:highlight w:val="none"/>
          <w:lang w:val="en-US" w:eastAsia="zh-CN"/>
        </w:rPr>
        <w:t>4</w:t>
      </w:r>
      <w:r>
        <w:rPr>
          <w:rFonts w:hint="eastAsia"/>
          <w:highlight w:val="none"/>
          <w:lang w:eastAsia="zh-CN"/>
        </w:rPr>
        <w:t>、食堂所使用的洗洁用品必须是安全环保、大品牌的产品。</w:t>
      </w:r>
    </w:p>
    <w:p w14:paraId="4D1F9B89">
      <w:pPr>
        <w:rPr>
          <w:b/>
          <w:bCs/>
          <w:highlight w:val="none"/>
          <w:lang w:eastAsia="zh-CN"/>
        </w:rPr>
      </w:pPr>
      <w:r>
        <w:rPr>
          <w:rFonts w:hint="eastAsia"/>
          <w:b/>
          <w:bCs/>
          <w:highlight w:val="none"/>
          <w:lang w:eastAsia="zh-CN"/>
        </w:rPr>
        <w:t>（四）食堂废料处理</w:t>
      </w:r>
    </w:p>
    <w:p w14:paraId="509EB9E6">
      <w:pPr>
        <w:rPr>
          <w:highlight w:val="none"/>
          <w:lang w:eastAsia="zh-CN"/>
        </w:rPr>
      </w:pPr>
      <w:r>
        <w:rPr>
          <w:highlight w:val="none"/>
          <w:lang w:eastAsia="zh-CN"/>
        </w:rPr>
        <w:t>1、食堂的泔水、食材废料、纸皮等由中标人负责处理，中标人必须自备垃圾桶（带盖子），不得乱倒垃圾、剩饭菜，不得将垃圾及杂物倒入医院垃圾筒或垃圾房。中标人需要提供不锈钢制品（带盖子）的潲水回收车，</w:t>
      </w:r>
      <w:r>
        <w:rPr>
          <w:rFonts w:hint="eastAsia"/>
          <w:highlight w:val="none"/>
          <w:lang w:eastAsia="zh-CN"/>
        </w:rPr>
        <w:t>中标人与资质的厨余垃圾回收公司签订收运协议，按照要求收运处理厨余垃圾。</w:t>
      </w:r>
      <w:r>
        <w:rPr>
          <w:highlight w:val="none"/>
          <w:lang w:eastAsia="zh-CN"/>
        </w:rPr>
        <w:t>采购人有权要求其在指定时间和范围内将泔水及废料运出，以保障厨房、餐厅整体环境卫生。</w:t>
      </w:r>
    </w:p>
    <w:p w14:paraId="744E924E">
      <w:pPr>
        <w:rPr>
          <w:highlight w:val="none"/>
          <w:lang w:eastAsia="zh-CN"/>
        </w:rPr>
      </w:pPr>
      <w:r>
        <w:rPr>
          <w:highlight w:val="none"/>
          <w:lang w:eastAsia="zh-CN"/>
        </w:rPr>
        <w:t>2、若上级有文件出台规定统一处理泔水、食材废料等，则按上级文件执行。</w:t>
      </w:r>
    </w:p>
    <w:p w14:paraId="054FADCE">
      <w:pPr>
        <w:rPr>
          <w:b/>
          <w:bCs/>
          <w:highlight w:val="none"/>
          <w:lang w:eastAsia="zh-CN"/>
        </w:rPr>
      </w:pPr>
      <w:r>
        <w:rPr>
          <w:rFonts w:hint="eastAsia"/>
          <w:b/>
          <w:bCs/>
          <w:highlight w:val="none"/>
          <w:lang w:eastAsia="zh-CN"/>
        </w:rPr>
        <w:t>（五）管理服务要求</w:t>
      </w:r>
    </w:p>
    <w:p w14:paraId="5CCB67DD">
      <w:pPr>
        <w:rPr>
          <w:highlight w:val="none"/>
          <w:lang w:eastAsia="zh-CN"/>
        </w:rPr>
      </w:pPr>
      <w:r>
        <w:rPr>
          <w:highlight w:val="none"/>
          <w:lang w:eastAsia="zh-CN"/>
        </w:rPr>
        <w:t>1、中标人需严格执行《中华人民共和国食品安全法》、各行政部门对于单位食堂管理的有关规定，满足卫生管理体系要求。</w:t>
      </w:r>
    </w:p>
    <w:p w14:paraId="025C73B0">
      <w:pPr>
        <w:rPr>
          <w:highlight w:val="none"/>
          <w:lang w:eastAsia="zh-CN"/>
        </w:rPr>
      </w:pPr>
      <w:r>
        <w:rPr>
          <w:highlight w:val="none"/>
          <w:lang w:eastAsia="zh-CN"/>
        </w:rPr>
        <w:t>4、中标人负责承担经营食堂过程中所牵涉的一切经济、法律责任。</w:t>
      </w:r>
    </w:p>
    <w:p w14:paraId="2FCED7B8">
      <w:pPr>
        <w:rPr>
          <w:highlight w:val="none"/>
          <w:lang w:eastAsia="zh-CN"/>
        </w:rPr>
      </w:pPr>
      <w:r>
        <w:rPr>
          <w:highlight w:val="none"/>
          <w:lang w:eastAsia="zh-CN"/>
        </w:rPr>
        <w:t>5、中标人工作人员在工作期间出现任何安全事故，无论是医院内、外，均由中标人负责处理；如出现不可抗力的事故，则按国家有关条例处理。</w:t>
      </w:r>
    </w:p>
    <w:p w14:paraId="2D366AD7">
      <w:pPr>
        <w:rPr>
          <w:highlight w:val="none"/>
          <w:lang w:eastAsia="zh-CN"/>
        </w:rPr>
      </w:pPr>
      <w:r>
        <w:rPr>
          <w:highlight w:val="none"/>
          <w:lang w:eastAsia="zh-CN"/>
        </w:rPr>
        <w:t>6、中标人应严格按照A级食堂的标准进行经营管理，并随时接受省市镇各级卫生、安全、工商、物价和技术监督等部门的监督、检查，并积极申报各种食堂等级创建工作。</w:t>
      </w:r>
    </w:p>
    <w:p w14:paraId="1BAD7F0B">
      <w:pPr>
        <w:rPr>
          <w:highlight w:val="none"/>
          <w:lang w:eastAsia="zh-CN"/>
        </w:rPr>
      </w:pPr>
      <w:r>
        <w:rPr>
          <w:highlight w:val="none"/>
          <w:lang w:eastAsia="zh-CN"/>
        </w:rPr>
        <w:t>7、中标人采购原材料时须查验,防止腐烂霉变、过期等有害食品进入食堂，中标人应向采购人提供合格证、进货票据或账单等材料.</w:t>
      </w:r>
    </w:p>
    <w:p w14:paraId="69EF80AA">
      <w:pPr>
        <w:rPr>
          <w:highlight w:val="none"/>
          <w:lang w:eastAsia="zh-CN"/>
        </w:rPr>
      </w:pPr>
      <w:r>
        <w:rPr>
          <w:highlight w:val="none"/>
          <w:lang w:eastAsia="zh-CN"/>
        </w:rPr>
        <w:t>8、食堂食用油和大米必须使用符合国家卫生及食用标准的正牌产品，不允许使用棕榈油，禁止用不符合国家食品卫生标准的油；严禁滥用食品添加剂，杜绝病死或死因不明的禽畜等及其制品、劣质食用油、不合格调味品、工业用盐进入食堂。因采购不符合卫生标准的食品原料和加工不符合规范要求等原因造成中毒、传染性疾病等事件，中标人承担全部责任，并按相关法律法规，追究责任。</w:t>
      </w:r>
    </w:p>
    <w:p w14:paraId="2427F863">
      <w:pPr>
        <w:rPr>
          <w:highlight w:val="none"/>
          <w:lang w:eastAsia="zh-CN"/>
        </w:rPr>
      </w:pPr>
      <w:r>
        <w:rPr>
          <w:highlight w:val="none"/>
          <w:lang w:eastAsia="zh-CN"/>
        </w:rPr>
        <w:t>9、中标人必须将生熟食品的加工、存放分区，每日及时对餐具进行消毒。</w:t>
      </w:r>
    </w:p>
    <w:p w14:paraId="2C70C6C2">
      <w:pPr>
        <w:rPr>
          <w:highlight w:val="none"/>
          <w:lang w:eastAsia="zh-CN"/>
        </w:rPr>
      </w:pPr>
      <w:r>
        <w:rPr>
          <w:highlight w:val="none"/>
          <w:lang w:eastAsia="zh-CN"/>
        </w:rPr>
        <w:t>10、中标人应保证非本院员工或未经医院同意的院外人员一律不得使用职工餐具用餐，一经发现，每次扣罚50元。</w:t>
      </w:r>
    </w:p>
    <w:p w14:paraId="7D85BD51">
      <w:pPr>
        <w:rPr>
          <w:highlight w:val="none"/>
          <w:lang w:eastAsia="zh-CN"/>
        </w:rPr>
      </w:pPr>
      <w:r>
        <w:rPr>
          <w:highlight w:val="none"/>
          <w:lang w:eastAsia="zh-CN"/>
        </w:rPr>
        <w:t>11、中标人应及时清理食堂卫生，确保食堂卫生干净、整洁。</w:t>
      </w:r>
    </w:p>
    <w:p w14:paraId="0EBCB926">
      <w:pPr>
        <w:rPr>
          <w:highlight w:val="none"/>
          <w:lang w:eastAsia="zh-CN"/>
        </w:rPr>
      </w:pPr>
      <w:r>
        <w:rPr>
          <w:highlight w:val="none"/>
          <w:lang w:eastAsia="zh-CN"/>
        </w:rPr>
        <w:t>12、中标人须遵守国家法律法规及采购人的各项规章制度，无条件服从采购人的领导、管理和监督，严格执行食堂卫生及安全等管理制度，并在采购人指导下开展经营活动。</w:t>
      </w:r>
    </w:p>
    <w:p w14:paraId="7917AFDB">
      <w:pPr>
        <w:rPr>
          <w:highlight w:val="none"/>
          <w:lang w:eastAsia="zh-CN"/>
        </w:rPr>
      </w:pPr>
      <w:r>
        <w:rPr>
          <w:highlight w:val="none"/>
          <w:lang w:eastAsia="zh-CN"/>
        </w:rPr>
        <w:t>13、中标人须经营符合卫生标准的饮食，不能经营过期、有毒、发霉、变质的食品，如发生中毒或其它食品卫生安全事件，由中标人负全部责任（包含民事、刑事责任）。</w:t>
      </w:r>
    </w:p>
    <w:p w14:paraId="1CC26896">
      <w:pPr>
        <w:rPr>
          <w:highlight w:val="none"/>
          <w:lang w:eastAsia="zh-CN"/>
        </w:rPr>
      </w:pPr>
      <w:r>
        <w:rPr>
          <w:highlight w:val="none"/>
          <w:lang w:eastAsia="zh-CN"/>
        </w:rPr>
        <w:t>14、中标人所有用水、用电与要配备的电表、水表及安全防盗设施设备和燃料费用由中标人自理。</w:t>
      </w:r>
    </w:p>
    <w:p w14:paraId="6932F810">
      <w:pPr>
        <w:rPr>
          <w:highlight w:val="none"/>
          <w:lang w:eastAsia="zh-CN"/>
        </w:rPr>
      </w:pPr>
      <w:r>
        <w:rPr>
          <w:highlight w:val="none"/>
          <w:lang w:eastAsia="zh-CN"/>
        </w:rPr>
        <w:t>15、中标人严格执行留样制度、留存食品必须做到每餐标签、留足数量（每餐200克以上），留足时间（24小时以上），并做好记录。</w:t>
      </w:r>
    </w:p>
    <w:p w14:paraId="63637925">
      <w:pPr>
        <w:rPr>
          <w:highlight w:val="none"/>
          <w:lang w:eastAsia="zh-CN"/>
        </w:rPr>
      </w:pPr>
      <w:r>
        <w:rPr>
          <w:highlight w:val="none"/>
          <w:lang w:eastAsia="zh-CN"/>
        </w:rPr>
        <w:t>16、中标人要严格落实好食堂防鼠、防蝇、防尘“三防”措施；食堂所有厨具、餐具等餐饮用具要及时清洗，同时餐具要及时消毒（只允许用食用洗洁精），并做好餐具消毒“台帐”。</w:t>
      </w:r>
    </w:p>
    <w:p w14:paraId="7A2B5987">
      <w:pPr>
        <w:rPr>
          <w:highlight w:val="none"/>
          <w:lang w:eastAsia="zh-CN"/>
        </w:rPr>
      </w:pPr>
      <w:r>
        <w:rPr>
          <w:highlight w:val="none"/>
          <w:lang w:eastAsia="zh-CN"/>
        </w:rPr>
        <w:t>17、中标人要杜绝制作过程中有生熟食品交叉摆放加工现象，对原材料严格按操作规范要求进行，不得省略环节，以免造成食品不卫生而引发食用者疾病；要无条件配合采购人接受上级一系列安全及食品卫生检查，出现问题，一切责任由中标人承担，并要及时根据上级部门提出的整改意见，落实整改，消除隐患。</w:t>
      </w:r>
    </w:p>
    <w:p w14:paraId="6C168F1E">
      <w:pPr>
        <w:rPr>
          <w:highlight w:val="none"/>
          <w:lang w:eastAsia="zh-CN"/>
        </w:rPr>
      </w:pPr>
      <w:r>
        <w:rPr>
          <w:highlight w:val="none"/>
          <w:lang w:eastAsia="zh-CN"/>
        </w:rPr>
        <w:t>18.中标人在服务期内对食堂卫生安全负全责，</w:t>
      </w:r>
      <w:r>
        <w:rPr>
          <w:rFonts w:hint="eastAsia"/>
          <w:highlight w:val="none"/>
          <w:lang w:eastAsia="zh-CN"/>
        </w:rPr>
        <w:t>定期对全食堂进行卫生清洁，</w:t>
      </w:r>
      <w:r>
        <w:rPr>
          <w:highlight w:val="none"/>
          <w:lang w:eastAsia="zh-CN"/>
        </w:rPr>
        <w:t>并认真做好防火、防盗及防投毒等有关安全防范工作，若出现卫生及安全方面的事故，其责任完全由中标人承担。同时，中标人必须做好管理，自费按要求购买上级指定的险种。</w:t>
      </w:r>
    </w:p>
    <w:p w14:paraId="22C4A893">
      <w:pPr>
        <w:keepNext w:val="0"/>
        <w:keepLines w:val="0"/>
        <w:pageBreakBefore w:val="0"/>
        <w:widowControl/>
        <w:shd w:val="clear" w:color="auto" w:fill="auto"/>
        <w:kinsoku/>
        <w:wordWrap/>
        <w:overflowPunct/>
        <w:topLinePunct w:val="0"/>
        <w:autoSpaceDE/>
        <w:autoSpaceDN/>
        <w:bidi w:val="0"/>
        <w:adjustRightInd/>
        <w:snapToGrid/>
        <w:spacing w:line="360" w:lineRule="auto"/>
        <w:textAlignment w:val="auto"/>
        <w:outlineLvl w:val="9"/>
        <w:rPr>
          <w:highlight w:val="none"/>
          <w:lang w:eastAsia="zh-CN"/>
        </w:rPr>
      </w:pPr>
      <w:r>
        <w:rPr>
          <w:rFonts w:hint="eastAsia" w:ascii="宋体" w:hAnsi="宋体" w:eastAsia="宋体" w:cs="宋体"/>
          <w:color w:val="auto"/>
          <w:kern w:val="2"/>
          <w:sz w:val="21"/>
          <w:szCs w:val="22"/>
          <w:highlight w:val="none"/>
          <w:lang w:val="en-US" w:eastAsia="zh-CN" w:bidi="ar-SA"/>
        </w:rPr>
        <w:t>19</w:t>
      </w:r>
      <w:r>
        <w:rPr>
          <w:rFonts w:hint="default" w:ascii="宋体" w:hAnsi="宋体" w:eastAsia="宋体" w:cs="宋体"/>
          <w:color w:val="auto"/>
          <w:kern w:val="2"/>
          <w:sz w:val="21"/>
          <w:szCs w:val="22"/>
          <w:highlight w:val="none"/>
          <w:lang w:val="en-US" w:eastAsia="zh-CN" w:bidi="ar-SA"/>
        </w:rPr>
        <w:t>、</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rPr>
        <w:t>应根据本项目制定相应的应急预案，</w:t>
      </w:r>
      <w:r>
        <w:rPr>
          <w:rFonts w:hint="default" w:ascii="宋体" w:hAnsi="宋体" w:eastAsia="宋体" w:cs="宋体"/>
          <w:color w:val="auto"/>
          <w:kern w:val="2"/>
          <w:sz w:val="21"/>
          <w:szCs w:val="22"/>
          <w:highlight w:val="none"/>
          <w:lang w:val="en-US" w:eastAsia="zh-CN" w:bidi="ar-SA"/>
        </w:rPr>
        <w:t>包括</w:t>
      </w:r>
      <w:r>
        <w:rPr>
          <w:rFonts w:hint="eastAsia" w:ascii="宋体" w:hAnsi="宋体" w:eastAsia="宋体" w:cs="宋体"/>
          <w:color w:val="auto"/>
          <w:kern w:val="2"/>
          <w:sz w:val="21"/>
          <w:szCs w:val="22"/>
          <w:highlight w:val="none"/>
          <w:lang w:val="en-US" w:eastAsia="zh-CN" w:bidi="ar-SA"/>
        </w:rPr>
        <w:t>但不限于</w:t>
      </w:r>
      <w:r>
        <w:rPr>
          <w:rFonts w:hint="default" w:ascii="宋体" w:hAnsi="宋体" w:eastAsia="宋体" w:cs="宋体"/>
          <w:color w:val="auto"/>
          <w:kern w:val="2"/>
          <w:sz w:val="21"/>
          <w:szCs w:val="22"/>
          <w:highlight w:val="none"/>
          <w:lang w:val="en-US" w:eastAsia="zh-CN" w:bidi="ar-SA"/>
        </w:rPr>
        <w:t>食物中毒处理</w:t>
      </w:r>
      <w:r>
        <w:rPr>
          <w:rFonts w:hint="eastAsia" w:ascii="宋体" w:hAnsi="宋体" w:eastAsia="宋体" w:cs="宋体"/>
          <w:color w:val="auto"/>
          <w:kern w:val="2"/>
          <w:sz w:val="21"/>
          <w:szCs w:val="22"/>
          <w:highlight w:val="none"/>
          <w:lang w:val="en-US" w:eastAsia="zh-CN" w:bidi="ar-SA"/>
        </w:rPr>
        <w:t>、火灾应急预案、</w:t>
      </w:r>
      <w:r>
        <w:rPr>
          <w:rFonts w:hint="default" w:ascii="宋体" w:hAnsi="宋体" w:eastAsia="宋体" w:cs="宋体"/>
          <w:color w:val="auto"/>
          <w:kern w:val="2"/>
          <w:sz w:val="21"/>
          <w:szCs w:val="22"/>
          <w:highlight w:val="none"/>
          <w:lang w:val="en-US" w:eastAsia="zh-CN" w:bidi="ar-SA"/>
        </w:rPr>
        <w:t>食堂停水或</w:t>
      </w:r>
      <w:r>
        <w:rPr>
          <w:rFonts w:hint="eastAsia" w:ascii="宋体" w:hAnsi="宋体" w:eastAsia="宋体" w:cs="宋体"/>
          <w:color w:val="auto"/>
          <w:kern w:val="2"/>
          <w:sz w:val="21"/>
          <w:szCs w:val="22"/>
          <w:highlight w:val="none"/>
          <w:lang w:val="en-US" w:eastAsia="zh-CN" w:bidi="ar-SA"/>
        </w:rPr>
        <w:t>停电应急预案、应急供餐</w:t>
      </w:r>
      <w:r>
        <w:rPr>
          <w:rFonts w:hint="default" w:ascii="宋体" w:hAnsi="宋体" w:eastAsia="宋体" w:cs="宋体"/>
          <w:color w:val="auto"/>
          <w:kern w:val="2"/>
          <w:sz w:val="21"/>
          <w:szCs w:val="22"/>
          <w:highlight w:val="none"/>
          <w:lang w:val="en-US" w:eastAsia="zh-CN" w:bidi="ar-SA"/>
        </w:rPr>
        <w:t>、</w:t>
      </w:r>
      <w:r>
        <w:rPr>
          <w:rFonts w:hint="eastAsia" w:ascii="宋体" w:hAnsi="宋体" w:eastAsia="宋体" w:cs="宋体"/>
          <w:color w:val="auto"/>
          <w:kern w:val="2"/>
          <w:sz w:val="21"/>
          <w:szCs w:val="22"/>
          <w:highlight w:val="none"/>
          <w:lang w:val="en-US" w:eastAsia="zh-CN" w:bidi="ar-SA"/>
        </w:rPr>
        <w:t>以</w:t>
      </w:r>
      <w:r>
        <w:rPr>
          <w:rFonts w:hint="default" w:ascii="宋体" w:hAnsi="宋体" w:eastAsia="宋体" w:cs="宋体"/>
          <w:color w:val="auto"/>
          <w:kern w:val="2"/>
          <w:sz w:val="21"/>
          <w:szCs w:val="22"/>
          <w:highlight w:val="none"/>
          <w:lang w:val="en-US" w:eastAsia="zh-CN" w:bidi="ar-SA"/>
        </w:rPr>
        <w:t>及其他</w:t>
      </w:r>
      <w:r>
        <w:rPr>
          <w:rFonts w:hint="eastAsia" w:ascii="宋体" w:hAnsi="宋体" w:eastAsia="宋体" w:cs="宋体"/>
          <w:color w:val="auto"/>
          <w:kern w:val="2"/>
          <w:sz w:val="21"/>
          <w:szCs w:val="22"/>
          <w:highlight w:val="none"/>
          <w:lang w:val="en-US" w:eastAsia="zh-CN" w:bidi="ar-SA"/>
        </w:rPr>
        <w:t>食品卫生</w:t>
      </w:r>
      <w:r>
        <w:rPr>
          <w:rFonts w:hint="default" w:ascii="宋体" w:hAnsi="宋体" w:eastAsia="宋体" w:cs="宋体"/>
          <w:color w:val="auto"/>
          <w:kern w:val="2"/>
          <w:sz w:val="21"/>
          <w:szCs w:val="22"/>
          <w:highlight w:val="none"/>
          <w:lang w:val="en-US" w:eastAsia="zh-CN" w:bidi="ar-SA"/>
        </w:rPr>
        <w:t>突发情况</w:t>
      </w:r>
      <w:r>
        <w:rPr>
          <w:rFonts w:hint="eastAsia" w:ascii="宋体" w:hAnsi="宋体" w:eastAsia="宋体" w:cs="宋体"/>
          <w:color w:val="auto"/>
          <w:kern w:val="2"/>
          <w:sz w:val="21"/>
          <w:szCs w:val="22"/>
          <w:highlight w:val="none"/>
          <w:lang w:val="en-US" w:eastAsia="zh-CN" w:bidi="ar-SA"/>
        </w:rPr>
        <w:t>应急处理方案等</w:t>
      </w:r>
      <w:r>
        <w:rPr>
          <w:rFonts w:hint="default" w:ascii="宋体" w:hAnsi="宋体" w:eastAsia="宋体" w:cs="宋体"/>
          <w:color w:val="auto"/>
          <w:kern w:val="2"/>
          <w:sz w:val="21"/>
          <w:szCs w:val="22"/>
          <w:highlight w:val="none"/>
          <w:lang w:val="en-US" w:eastAsia="zh-CN" w:bidi="ar-SA"/>
        </w:rPr>
        <w:t>。</w:t>
      </w:r>
    </w:p>
    <w:p w14:paraId="387D7480">
      <w:pPr>
        <w:rPr>
          <w:highlight w:val="none"/>
          <w:lang w:eastAsia="zh-CN"/>
        </w:rPr>
      </w:pPr>
      <w:r>
        <w:rPr>
          <w:rFonts w:hint="eastAsia"/>
          <w:highlight w:val="none"/>
          <w:lang w:val="en-US" w:eastAsia="zh-CN"/>
        </w:rPr>
        <w:t>20</w:t>
      </w:r>
      <w:r>
        <w:rPr>
          <w:highlight w:val="none"/>
          <w:lang w:eastAsia="zh-CN"/>
        </w:rPr>
        <w:t>、中标人在经营过程中，需协助采购人做好食堂周边环境的清洁工作。</w:t>
      </w:r>
    </w:p>
    <w:p w14:paraId="0ABEAEC7">
      <w:pPr>
        <w:rPr>
          <w:highlight w:val="none"/>
          <w:lang w:eastAsia="zh-CN"/>
        </w:rPr>
      </w:pPr>
    </w:p>
    <w:bookmarkEnd w:id="12"/>
    <w:p w14:paraId="096C32E8">
      <w:pPr>
        <w:numPr>
          <w:ilvl w:val="0"/>
          <w:numId w:val="0"/>
        </w:numPr>
        <w:tabs>
          <w:tab w:val="left" w:pos="530"/>
          <w:tab w:val="left" w:pos="567"/>
        </w:tabs>
        <w:spacing w:line="460" w:lineRule="exact"/>
        <w:ind w:leftChars="0"/>
        <w:jc w:val="both"/>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lang w:val="en-US" w:eastAsia="zh-CN"/>
          <w14:textFill>
            <w14:solidFill>
              <w14:schemeClr w14:val="tx1"/>
            </w14:solidFill>
          </w14:textFill>
        </w:rPr>
        <w:t>四、</w:t>
      </w:r>
      <w:r>
        <w:rPr>
          <w:rFonts w:hint="eastAsia" w:ascii="宋体" w:hAnsi="宋体" w:cs="宋体"/>
          <w:b/>
          <w:color w:val="000000" w:themeColor="text1"/>
          <w:sz w:val="24"/>
          <w:szCs w:val="24"/>
          <w:highlight w:val="none"/>
          <w14:textFill>
            <w14:solidFill>
              <w14:schemeClr w14:val="tx1"/>
            </w14:solidFill>
          </w14:textFill>
        </w:rPr>
        <w:t>质量考核</w:t>
      </w:r>
    </w:p>
    <w:p w14:paraId="3EED9A47">
      <w:pPr>
        <w:tabs>
          <w:tab w:val="left" w:pos="567"/>
        </w:tabs>
        <w:spacing w:line="460" w:lineRule="exact"/>
        <w:ind w:left="142" w:firstLine="422" w:firstLineChars="200"/>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食堂托管服务项目质量考核表</w:t>
      </w:r>
    </w:p>
    <w:p w14:paraId="379374C6">
      <w:pPr>
        <w:tabs>
          <w:tab w:val="left" w:pos="567"/>
        </w:tabs>
        <w:spacing w:line="460" w:lineRule="exact"/>
        <w:ind w:left="142" w:firstLine="420" w:firstLineChars="200"/>
        <w:jc w:val="righ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年    月</w:t>
      </w:r>
    </w:p>
    <w:tbl>
      <w:tblPr>
        <w:tblStyle w:val="12"/>
        <w:tblW w:w="9006" w:type="dxa"/>
        <w:jc w:val="center"/>
        <w:tblLayout w:type="fixed"/>
        <w:tblCellMar>
          <w:top w:w="0" w:type="dxa"/>
          <w:left w:w="0" w:type="dxa"/>
          <w:bottom w:w="0" w:type="dxa"/>
          <w:right w:w="0" w:type="dxa"/>
        </w:tblCellMar>
      </w:tblPr>
      <w:tblGrid>
        <w:gridCol w:w="993"/>
        <w:gridCol w:w="4819"/>
        <w:gridCol w:w="785"/>
        <w:gridCol w:w="1701"/>
        <w:gridCol w:w="708"/>
      </w:tblGrid>
      <w:tr w14:paraId="1CFD7520">
        <w:tblPrEx>
          <w:tblCellMar>
            <w:top w:w="0" w:type="dxa"/>
            <w:left w:w="0" w:type="dxa"/>
            <w:bottom w:w="0" w:type="dxa"/>
            <w:right w:w="0" w:type="dxa"/>
          </w:tblCellMar>
        </w:tblPrEx>
        <w:trPr>
          <w:trHeight w:val="623" w:hRule="atLeast"/>
          <w:tblHeader/>
          <w:jc w:val="center"/>
        </w:trPr>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EF43884">
            <w:pPr>
              <w:snapToGrid w:val="0"/>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类别</w:t>
            </w:r>
          </w:p>
        </w:tc>
        <w:tc>
          <w:tcPr>
            <w:tcW w:w="48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87F477">
            <w:pPr>
              <w:snapToGrid w:val="0"/>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考核内容</w:t>
            </w:r>
            <w:bookmarkStart w:id="15" w:name="_GoBack"/>
            <w:bookmarkEnd w:id="15"/>
          </w:p>
        </w:tc>
        <w:tc>
          <w:tcPr>
            <w:tcW w:w="7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9804DE5">
            <w:pPr>
              <w:snapToGrid w:val="0"/>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分值</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E34E6F3">
            <w:pPr>
              <w:snapToGrid w:val="0"/>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考核标准</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C3665CC">
            <w:pPr>
              <w:snapToGrid w:val="0"/>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扣分</w:t>
            </w:r>
          </w:p>
        </w:tc>
      </w:tr>
      <w:tr w14:paraId="554D33DF">
        <w:tblPrEx>
          <w:tblCellMar>
            <w:top w:w="0" w:type="dxa"/>
            <w:left w:w="0" w:type="dxa"/>
            <w:bottom w:w="0" w:type="dxa"/>
            <w:right w:w="0" w:type="dxa"/>
          </w:tblCellMar>
        </w:tblPrEx>
        <w:trPr>
          <w:trHeight w:val="500" w:hRule="atLeast"/>
          <w:jc w:val="center"/>
        </w:trPr>
        <w:tc>
          <w:tcPr>
            <w:tcW w:w="993"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11792E28">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公司管理</w:t>
            </w:r>
          </w:p>
        </w:tc>
        <w:tc>
          <w:tcPr>
            <w:tcW w:w="48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A038689">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1、建立健全管理机制和规章制度，包括但不限于食品卫生安全管理制度、岗位职责、工作职责等</w:t>
            </w:r>
          </w:p>
        </w:tc>
        <w:tc>
          <w:tcPr>
            <w:tcW w:w="7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C617F28">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87ABD22">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不符合要求的扣2分/次</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4BCBDF8">
            <w:pPr>
              <w:snapToGrid w:val="0"/>
              <w:spacing w:line="360" w:lineRule="auto"/>
              <w:jc w:val="center"/>
              <w:rPr>
                <w:rFonts w:ascii="宋体" w:hAnsi="宋体" w:cs="宋体"/>
                <w:color w:val="000000" w:themeColor="text1"/>
                <w:szCs w:val="21"/>
                <w:highlight w:val="none"/>
                <w14:textFill>
                  <w14:solidFill>
                    <w14:schemeClr w14:val="tx1"/>
                  </w14:solidFill>
                </w14:textFill>
              </w:rPr>
            </w:pPr>
          </w:p>
        </w:tc>
      </w:tr>
      <w:tr w14:paraId="726ACC4D">
        <w:tblPrEx>
          <w:tblCellMar>
            <w:top w:w="0" w:type="dxa"/>
            <w:left w:w="0" w:type="dxa"/>
            <w:bottom w:w="0" w:type="dxa"/>
            <w:right w:w="0" w:type="dxa"/>
          </w:tblCellMar>
        </w:tblPrEx>
        <w:trPr>
          <w:trHeight w:val="469" w:hRule="atLeast"/>
          <w:jc w:val="center"/>
        </w:trPr>
        <w:tc>
          <w:tcPr>
            <w:tcW w:w="993" w:type="dxa"/>
            <w:vMerge w:val="continue"/>
            <w:tcBorders>
              <w:left w:val="single" w:color="000000" w:sz="4" w:space="0"/>
              <w:right w:val="single" w:color="000000" w:sz="4" w:space="0"/>
            </w:tcBorders>
            <w:tcMar>
              <w:top w:w="0" w:type="dxa"/>
              <w:left w:w="108" w:type="dxa"/>
              <w:bottom w:w="0" w:type="dxa"/>
              <w:right w:w="108" w:type="dxa"/>
            </w:tcMar>
            <w:textDirection w:val="tbRlV"/>
            <w:vAlign w:val="center"/>
          </w:tcPr>
          <w:p w14:paraId="73E18425">
            <w:pPr>
              <w:snapToGrid w:val="0"/>
              <w:spacing w:line="360" w:lineRule="auto"/>
              <w:ind w:left="113" w:right="113"/>
              <w:jc w:val="center"/>
              <w:rPr>
                <w:rFonts w:ascii="宋体" w:hAnsi="宋体" w:cs="宋体"/>
                <w:color w:val="000000" w:themeColor="text1"/>
                <w:szCs w:val="21"/>
                <w:highlight w:val="none"/>
                <w14:textFill>
                  <w14:solidFill>
                    <w14:schemeClr w14:val="tx1"/>
                  </w14:solidFill>
                </w14:textFill>
              </w:rPr>
            </w:pPr>
          </w:p>
        </w:tc>
        <w:tc>
          <w:tcPr>
            <w:tcW w:w="48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DE75A9B">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2、开展应急演练，有演练记录、有总结和改进措施（每年不少于一次）</w:t>
            </w:r>
          </w:p>
        </w:tc>
        <w:tc>
          <w:tcPr>
            <w:tcW w:w="7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97E22EE">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5CCB9BF">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不符合要求的扣2分/次</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0190741">
            <w:pPr>
              <w:snapToGrid w:val="0"/>
              <w:spacing w:line="360" w:lineRule="auto"/>
              <w:jc w:val="center"/>
              <w:rPr>
                <w:rFonts w:ascii="宋体" w:hAnsi="宋体" w:cs="宋体"/>
                <w:color w:val="000000" w:themeColor="text1"/>
                <w:szCs w:val="21"/>
                <w:highlight w:val="none"/>
                <w14:textFill>
                  <w14:solidFill>
                    <w14:schemeClr w14:val="tx1"/>
                  </w14:solidFill>
                </w14:textFill>
              </w:rPr>
            </w:pPr>
          </w:p>
        </w:tc>
      </w:tr>
      <w:tr w14:paraId="54ED1B50">
        <w:tblPrEx>
          <w:tblCellMar>
            <w:top w:w="0" w:type="dxa"/>
            <w:left w:w="0" w:type="dxa"/>
            <w:bottom w:w="0" w:type="dxa"/>
            <w:right w:w="0" w:type="dxa"/>
          </w:tblCellMar>
        </w:tblPrEx>
        <w:trPr>
          <w:trHeight w:val="555" w:hRule="atLeast"/>
          <w:jc w:val="center"/>
        </w:trPr>
        <w:tc>
          <w:tcPr>
            <w:tcW w:w="993" w:type="dxa"/>
            <w:vMerge w:val="continue"/>
            <w:tcBorders>
              <w:left w:val="single" w:color="000000" w:sz="4" w:space="0"/>
              <w:right w:val="single" w:color="000000" w:sz="4" w:space="0"/>
            </w:tcBorders>
            <w:tcMar>
              <w:top w:w="0" w:type="dxa"/>
              <w:left w:w="108" w:type="dxa"/>
              <w:bottom w:w="0" w:type="dxa"/>
              <w:right w:w="108" w:type="dxa"/>
            </w:tcMar>
            <w:textDirection w:val="tbRlV"/>
            <w:vAlign w:val="center"/>
          </w:tcPr>
          <w:p w14:paraId="24AEAD83">
            <w:pPr>
              <w:snapToGrid w:val="0"/>
              <w:spacing w:line="360" w:lineRule="auto"/>
              <w:ind w:left="113" w:right="113"/>
              <w:jc w:val="center"/>
              <w:rPr>
                <w:rFonts w:ascii="宋体" w:hAnsi="宋体" w:cs="宋体"/>
                <w:color w:val="000000" w:themeColor="text1"/>
                <w:szCs w:val="21"/>
                <w:highlight w:val="none"/>
                <w14:textFill>
                  <w14:solidFill>
                    <w14:schemeClr w14:val="tx1"/>
                  </w14:solidFill>
                </w14:textFill>
              </w:rPr>
            </w:pPr>
          </w:p>
        </w:tc>
        <w:tc>
          <w:tcPr>
            <w:tcW w:w="48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AB40B8D">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3、确保食堂相关证照在有效期内，具备经营资质</w:t>
            </w:r>
          </w:p>
        </w:tc>
        <w:tc>
          <w:tcPr>
            <w:tcW w:w="7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146BCD3">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A4A69C6">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不符合要求的扣2分/次</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AC3420F">
            <w:pPr>
              <w:snapToGrid w:val="0"/>
              <w:spacing w:line="360" w:lineRule="auto"/>
              <w:jc w:val="center"/>
              <w:rPr>
                <w:rFonts w:ascii="宋体" w:hAnsi="宋体" w:cs="宋体"/>
                <w:color w:val="000000" w:themeColor="text1"/>
                <w:szCs w:val="21"/>
                <w:highlight w:val="none"/>
                <w14:textFill>
                  <w14:solidFill>
                    <w14:schemeClr w14:val="tx1"/>
                  </w14:solidFill>
                </w14:textFill>
              </w:rPr>
            </w:pPr>
          </w:p>
        </w:tc>
      </w:tr>
      <w:tr w14:paraId="58C3F5BA">
        <w:tblPrEx>
          <w:tblCellMar>
            <w:top w:w="0" w:type="dxa"/>
            <w:left w:w="0" w:type="dxa"/>
            <w:bottom w:w="0" w:type="dxa"/>
            <w:right w:w="0" w:type="dxa"/>
          </w:tblCellMar>
        </w:tblPrEx>
        <w:trPr>
          <w:trHeight w:val="555" w:hRule="atLeast"/>
          <w:jc w:val="center"/>
        </w:trPr>
        <w:tc>
          <w:tcPr>
            <w:tcW w:w="993" w:type="dxa"/>
            <w:vMerge w:val="continue"/>
            <w:tcBorders>
              <w:left w:val="single" w:color="000000" w:sz="4" w:space="0"/>
              <w:right w:val="single" w:color="000000" w:sz="4" w:space="0"/>
            </w:tcBorders>
            <w:tcMar>
              <w:top w:w="0" w:type="dxa"/>
              <w:left w:w="108" w:type="dxa"/>
              <w:bottom w:w="0" w:type="dxa"/>
              <w:right w:w="108" w:type="dxa"/>
            </w:tcMar>
            <w:textDirection w:val="tbRlV"/>
            <w:vAlign w:val="center"/>
          </w:tcPr>
          <w:p w14:paraId="45C35587">
            <w:pPr>
              <w:snapToGrid w:val="0"/>
              <w:spacing w:line="360" w:lineRule="auto"/>
              <w:ind w:left="113" w:right="113"/>
              <w:jc w:val="center"/>
              <w:rPr>
                <w:rFonts w:ascii="宋体" w:hAnsi="宋体" w:cs="宋体"/>
                <w:color w:val="000000" w:themeColor="text1"/>
                <w:szCs w:val="21"/>
                <w:highlight w:val="none"/>
                <w14:textFill>
                  <w14:solidFill>
                    <w14:schemeClr w14:val="tx1"/>
                  </w14:solidFill>
                </w14:textFill>
              </w:rPr>
            </w:pPr>
          </w:p>
        </w:tc>
        <w:tc>
          <w:tcPr>
            <w:tcW w:w="48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053951B">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4、采购记录、餐具消毒记录、餐厨垃圾收运记录等台账齐全</w:t>
            </w:r>
          </w:p>
        </w:tc>
        <w:tc>
          <w:tcPr>
            <w:tcW w:w="7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7BC1C3D">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0995D33">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不符合要求的扣2分/次</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EB7AC45">
            <w:pPr>
              <w:snapToGrid w:val="0"/>
              <w:spacing w:line="360" w:lineRule="auto"/>
              <w:jc w:val="center"/>
              <w:rPr>
                <w:rFonts w:ascii="宋体" w:hAnsi="宋体" w:cs="宋体"/>
                <w:color w:val="000000" w:themeColor="text1"/>
                <w:szCs w:val="21"/>
                <w:highlight w:val="none"/>
                <w14:textFill>
                  <w14:solidFill>
                    <w14:schemeClr w14:val="tx1"/>
                  </w14:solidFill>
                </w14:textFill>
              </w:rPr>
            </w:pPr>
          </w:p>
        </w:tc>
      </w:tr>
      <w:tr w14:paraId="630B85D9">
        <w:tblPrEx>
          <w:tblCellMar>
            <w:top w:w="0" w:type="dxa"/>
            <w:left w:w="0" w:type="dxa"/>
            <w:bottom w:w="0" w:type="dxa"/>
            <w:right w:w="0" w:type="dxa"/>
          </w:tblCellMar>
        </w:tblPrEx>
        <w:trPr>
          <w:trHeight w:val="555" w:hRule="atLeast"/>
          <w:jc w:val="center"/>
        </w:trPr>
        <w:tc>
          <w:tcPr>
            <w:tcW w:w="993"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textDirection w:val="tbRlV"/>
            <w:vAlign w:val="center"/>
          </w:tcPr>
          <w:p w14:paraId="696CA470">
            <w:pPr>
              <w:snapToGrid w:val="0"/>
              <w:spacing w:line="360" w:lineRule="auto"/>
              <w:ind w:left="113" w:right="113"/>
              <w:jc w:val="center"/>
              <w:rPr>
                <w:rFonts w:ascii="宋体" w:hAnsi="宋体" w:cs="宋体"/>
                <w:color w:val="000000" w:themeColor="text1"/>
                <w:szCs w:val="21"/>
                <w:highlight w:val="none"/>
                <w14:textFill>
                  <w14:solidFill>
                    <w14:schemeClr w14:val="tx1"/>
                  </w14:solidFill>
                </w14:textFill>
              </w:rPr>
            </w:pPr>
          </w:p>
        </w:tc>
        <w:tc>
          <w:tcPr>
            <w:tcW w:w="48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E4AC7EE">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5、每年须为医院食堂购买不少于500万保额的食品安全责任险</w:t>
            </w:r>
          </w:p>
        </w:tc>
        <w:tc>
          <w:tcPr>
            <w:tcW w:w="7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270C1E6">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A02FA25">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不符合要求的扣2分/次</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2BF2C6E">
            <w:pPr>
              <w:snapToGrid w:val="0"/>
              <w:spacing w:line="360" w:lineRule="auto"/>
              <w:jc w:val="center"/>
              <w:rPr>
                <w:rFonts w:ascii="宋体" w:hAnsi="宋体" w:cs="宋体"/>
                <w:color w:val="000000" w:themeColor="text1"/>
                <w:szCs w:val="21"/>
                <w:highlight w:val="none"/>
                <w14:textFill>
                  <w14:solidFill>
                    <w14:schemeClr w14:val="tx1"/>
                  </w14:solidFill>
                </w14:textFill>
              </w:rPr>
            </w:pPr>
          </w:p>
        </w:tc>
      </w:tr>
      <w:tr w14:paraId="172F2244">
        <w:tblPrEx>
          <w:tblCellMar>
            <w:top w:w="0" w:type="dxa"/>
            <w:left w:w="0" w:type="dxa"/>
            <w:bottom w:w="0" w:type="dxa"/>
            <w:right w:w="0" w:type="dxa"/>
          </w:tblCellMar>
        </w:tblPrEx>
        <w:trPr>
          <w:trHeight w:val="555" w:hRule="atLeast"/>
          <w:jc w:val="center"/>
        </w:trPr>
        <w:tc>
          <w:tcPr>
            <w:tcW w:w="993" w:type="dxa"/>
            <w:vMerge w:val="restart"/>
            <w:tcBorders>
              <w:left w:val="single" w:color="000000" w:sz="4" w:space="0"/>
              <w:right w:val="single" w:color="000000" w:sz="4" w:space="0"/>
            </w:tcBorders>
            <w:tcMar>
              <w:top w:w="0" w:type="dxa"/>
              <w:left w:w="108" w:type="dxa"/>
              <w:bottom w:w="0" w:type="dxa"/>
              <w:right w:w="108" w:type="dxa"/>
            </w:tcMar>
            <w:vAlign w:val="center"/>
          </w:tcPr>
          <w:p w14:paraId="3E59205B">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经营管理</w:t>
            </w:r>
          </w:p>
        </w:tc>
        <w:tc>
          <w:tcPr>
            <w:tcW w:w="48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7213F5">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1、有包装的物料是否可以识别生产日期、有效期</w:t>
            </w:r>
          </w:p>
        </w:tc>
        <w:tc>
          <w:tcPr>
            <w:tcW w:w="7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8E0674E">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309C5A1">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不符合要求的扣1分/次</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5F8FEDA">
            <w:pPr>
              <w:snapToGrid w:val="0"/>
              <w:spacing w:line="360" w:lineRule="auto"/>
              <w:jc w:val="center"/>
              <w:rPr>
                <w:rFonts w:ascii="宋体" w:hAnsi="宋体" w:cs="宋体"/>
                <w:color w:val="000000" w:themeColor="text1"/>
                <w:szCs w:val="21"/>
                <w:highlight w:val="none"/>
                <w14:textFill>
                  <w14:solidFill>
                    <w14:schemeClr w14:val="tx1"/>
                  </w14:solidFill>
                </w14:textFill>
              </w:rPr>
            </w:pPr>
          </w:p>
        </w:tc>
      </w:tr>
      <w:tr w14:paraId="0FA1BA15">
        <w:tblPrEx>
          <w:tblCellMar>
            <w:top w:w="0" w:type="dxa"/>
            <w:left w:w="0" w:type="dxa"/>
            <w:bottom w:w="0" w:type="dxa"/>
            <w:right w:w="0" w:type="dxa"/>
          </w:tblCellMar>
        </w:tblPrEx>
        <w:trPr>
          <w:trHeight w:val="555" w:hRule="atLeast"/>
          <w:jc w:val="center"/>
        </w:trPr>
        <w:tc>
          <w:tcPr>
            <w:tcW w:w="993" w:type="dxa"/>
            <w:vMerge w:val="continue"/>
            <w:tcBorders>
              <w:left w:val="single" w:color="000000" w:sz="4" w:space="0"/>
              <w:right w:val="single" w:color="000000" w:sz="4" w:space="0"/>
            </w:tcBorders>
            <w:tcMar>
              <w:top w:w="0" w:type="dxa"/>
              <w:left w:w="108" w:type="dxa"/>
              <w:bottom w:w="0" w:type="dxa"/>
              <w:right w:w="108" w:type="dxa"/>
            </w:tcMar>
            <w:textDirection w:val="tbRlV"/>
            <w:vAlign w:val="center"/>
          </w:tcPr>
          <w:p w14:paraId="740F95CB">
            <w:pPr>
              <w:snapToGrid w:val="0"/>
              <w:spacing w:line="360" w:lineRule="auto"/>
              <w:ind w:left="113" w:right="113"/>
              <w:rPr>
                <w:rFonts w:ascii="宋体" w:hAnsi="宋体" w:cs="宋体"/>
                <w:color w:val="000000" w:themeColor="text1"/>
                <w:szCs w:val="21"/>
                <w:highlight w:val="none"/>
                <w14:textFill>
                  <w14:solidFill>
                    <w14:schemeClr w14:val="tx1"/>
                  </w14:solidFill>
                </w14:textFill>
              </w:rPr>
            </w:pPr>
          </w:p>
        </w:tc>
        <w:tc>
          <w:tcPr>
            <w:tcW w:w="48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04A105F">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2、生食与熟食、成品与半成品、食品与杂物是否符合相关保存要求</w:t>
            </w:r>
          </w:p>
        </w:tc>
        <w:tc>
          <w:tcPr>
            <w:tcW w:w="7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B659DE0">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2B0FF5C">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不符合要求的扣1分/次</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B047547">
            <w:pPr>
              <w:snapToGrid w:val="0"/>
              <w:spacing w:line="360" w:lineRule="auto"/>
              <w:jc w:val="center"/>
              <w:rPr>
                <w:rFonts w:ascii="宋体" w:hAnsi="宋体" w:cs="宋体"/>
                <w:color w:val="000000" w:themeColor="text1"/>
                <w:szCs w:val="21"/>
                <w:highlight w:val="none"/>
                <w14:textFill>
                  <w14:solidFill>
                    <w14:schemeClr w14:val="tx1"/>
                  </w14:solidFill>
                </w14:textFill>
              </w:rPr>
            </w:pPr>
          </w:p>
        </w:tc>
      </w:tr>
      <w:tr w14:paraId="503BE6C8">
        <w:tblPrEx>
          <w:tblCellMar>
            <w:top w:w="0" w:type="dxa"/>
            <w:left w:w="0" w:type="dxa"/>
            <w:bottom w:w="0" w:type="dxa"/>
            <w:right w:w="0" w:type="dxa"/>
          </w:tblCellMar>
        </w:tblPrEx>
        <w:trPr>
          <w:trHeight w:val="555" w:hRule="atLeast"/>
          <w:jc w:val="center"/>
        </w:trPr>
        <w:tc>
          <w:tcPr>
            <w:tcW w:w="993" w:type="dxa"/>
            <w:vMerge w:val="continue"/>
            <w:tcBorders>
              <w:left w:val="single" w:color="000000" w:sz="4" w:space="0"/>
              <w:right w:val="single" w:color="000000" w:sz="4" w:space="0"/>
            </w:tcBorders>
            <w:tcMar>
              <w:top w:w="0" w:type="dxa"/>
              <w:left w:w="108" w:type="dxa"/>
              <w:bottom w:w="0" w:type="dxa"/>
              <w:right w:w="108" w:type="dxa"/>
            </w:tcMar>
            <w:textDirection w:val="tbRlV"/>
            <w:vAlign w:val="center"/>
          </w:tcPr>
          <w:p w14:paraId="36A46060">
            <w:pPr>
              <w:snapToGrid w:val="0"/>
              <w:spacing w:line="360" w:lineRule="auto"/>
              <w:ind w:left="113" w:right="113"/>
              <w:rPr>
                <w:rFonts w:ascii="宋体" w:hAnsi="宋体" w:cs="宋体"/>
                <w:color w:val="000000" w:themeColor="text1"/>
                <w:szCs w:val="21"/>
                <w:highlight w:val="none"/>
                <w14:textFill>
                  <w14:solidFill>
                    <w14:schemeClr w14:val="tx1"/>
                  </w14:solidFill>
                </w14:textFill>
              </w:rPr>
            </w:pPr>
          </w:p>
        </w:tc>
        <w:tc>
          <w:tcPr>
            <w:tcW w:w="48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8DFDB57">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3、对不合格的物料或变质的食品有无及时处理，废弃的物料有无及时处理</w:t>
            </w:r>
          </w:p>
        </w:tc>
        <w:tc>
          <w:tcPr>
            <w:tcW w:w="7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43417D7">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DDEC0">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不符合要求的扣1分/次</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5CF14A7">
            <w:pPr>
              <w:snapToGrid w:val="0"/>
              <w:spacing w:line="360" w:lineRule="auto"/>
              <w:jc w:val="center"/>
              <w:rPr>
                <w:rFonts w:ascii="宋体" w:hAnsi="宋体" w:cs="宋体"/>
                <w:color w:val="000000" w:themeColor="text1"/>
                <w:szCs w:val="21"/>
                <w:highlight w:val="none"/>
                <w14:textFill>
                  <w14:solidFill>
                    <w14:schemeClr w14:val="tx1"/>
                  </w14:solidFill>
                </w14:textFill>
              </w:rPr>
            </w:pPr>
          </w:p>
        </w:tc>
      </w:tr>
      <w:tr w14:paraId="6E81B106">
        <w:tblPrEx>
          <w:tblCellMar>
            <w:top w:w="0" w:type="dxa"/>
            <w:left w:w="0" w:type="dxa"/>
            <w:bottom w:w="0" w:type="dxa"/>
            <w:right w:w="0" w:type="dxa"/>
          </w:tblCellMar>
        </w:tblPrEx>
        <w:trPr>
          <w:trHeight w:val="555" w:hRule="atLeast"/>
          <w:jc w:val="center"/>
        </w:trPr>
        <w:tc>
          <w:tcPr>
            <w:tcW w:w="993" w:type="dxa"/>
            <w:vMerge w:val="continue"/>
            <w:tcBorders>
              <w:left w:val="single" w:color="000000" w:sz="4" w:space="0"/>
              <w:right w:val="single" w:color="000000" w:sz="4" w:space="0"/>
            </w:tcBorders>
            <w:tcMar>
              <w:top w:w="0" w:type="dxa"/>
              <w:left w:w="108" w:type="dxa"/>
              <w:bottom w:w="0" w:type="dxa"/>
              <w:right w:w="108" w:type="dxa"/>
            </w:tcMar>
            <w:textDirection w:val="tbRlV"/>
            <w:vAlign w:val="center"/>
          </w:tcPr>
          <w:p w14:paraId="29E2CB4C">
            <w:pPr>
              <w:snapToGrid w:val="0"/>
              <w:spacing w:line="360" w:lineRule="auto"/>
              <w:ind w:left="113" w:right="113"/>
              <w:rPr>
                <w:rFonts w:ascii="宋体" w:hAnsi="宋体" w:cs="宋体"/>
                <w:color w:val="000000" w:themeColor="text1"/>
                <w:szCs w:val="21"/>
                <w:highlight w:val="none"/>
                <w14:textFill>
                  <w14:solidFill>
                    <w14:schemeClr w14:val="tx1"/>
                  </w14:solidFill>
                </w14:textFill>
              </w:rPr>
            </w:pPr>
          </w:p>
        </w:tc>
        <w:tc>
          <w:tcPr>
            <w:tcW w:w="48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7045760">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hint="eastAsia" w:cs="宋体"/>
                <w:color w:val="000000" w:themeColor="text1"/>
                <w:szCs w:val="21"/>
                <w:highlight w:val="none"/>
                <w:lang w:eastAsia="zh-CN"/>
                <w14:textFill>
                  <w14:solidFill>
                    <w14:schemeClr w14:val="tx1"/>
                  </w14:solidFill>
                </w14:textFill>
              </w:rPr>
              <w:t>食堂及</w:t>
            </w:r>
            <w:r>
              <w:rPr>
                <w:rFonts w:hint="eastAsia" w:ascii="宋体" w:hAnsi="宋体" w:cs="宋体"/>
                <w:color w:val="000000" w:themeColor="text1"/>
                <w:szCs w:val="21"/>
                <w:highlight w:val="none"/>
                <w14:textFill>
                  <w14:solidFill>
                    <w14:schemeClr w14:val="tx1"/>
                  </w14:solidFill>
                </w14:textFill>
              </w:rPr>
              <w:t>仓库是否清洁卫生，对易变质和防潮的物料是否做好防潮、防变质的措施</w:t>
            </w:r>
          </w:p>
        </w:tc>
        <w:tc>
          <w:tcPr>
            <w:tcW w:w="7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24C22E6">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9B000F4">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不符合要求的扣1分/次</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7F6ADCE">
            <w:pPr>
              <w:snapToGrid w:val="0"/>
              <w:spacing w:line="360" w:lineRule="auto"/>
              <w:jc w:val="center"/>
              <w:rPr>
                <w:rFonts w:ascii="宋体" w:hAnsi="宋体" w:cs="宋体"/>
                <w:color w:val="000000" w:themeColor="text1"/>
                <w:szCs w:val="21"/>
                <w:highlight w:val="none"/>
                <w14:textFill>
                  <w14:solidFill>
                    <w14:schemeClr w14:val="tx1"/>
                  </w14:solidFill>
                </w14:textFill>
              </w:rPr>
            </w:pPr>
          </w:p>
        </w:tc>
      </w:tr>
      <w:tr w14:paraId="1FF93010">
        <w:tblPrEx>
          <w:tblCellMar>
            <w:top w:w="0" w:type="dxa"/>
            <w:left w:w="0" w:type="dxa"/>
            <w:bottom w:w="0" w:type="dxa"/>
            <w:right w:w="0" w:type="dxa"/>
          </w:tblCellMar>
        </w:tblPrEx>
        <w:trPr>
          <w:trHeight w:val="555" w:hRule="atLeast"/>
          <w:jc w:val="center"/>
        </w:trPr>
        <w:tc>
          <w:tcPr>
            <w:tcW w:w="993" w:type="dxa"/>
            <w:vMerge w:val="continue"/>
            <w:tcBorders>
              <w:left w:val="single" w:color="000000" w:sz="4" w:space="0"/>
              <w:right w:val="single" w:color="000000" w:sz="4" w:space="0"/>
            </w:tcBorders>
            <w:tcMar>
              <w:top w:w="0" w:type="dxa"/>
              <w:left w:w="108" w:type="dxa"/>
              <w:bottom w:w="0" w:type="dxa"/>
              <w:right w:w="108" w:type="dxa"/>
            </w:tcMar>
            <w:textDirection w:val="tbRlV"/>
            <w:vAlign w:val="center"/>
          </w:tcPr>
          <w:p w14:paraId="2634BBC0">
            <w:pPr>
              <w:snapToGrid w:val="0"/>
              <w:spacing w:line="360" w:lineRule="auto"/>
              <w:ind w:left="113" w:right="113"/>
              <w:rPr>
                <w:rFonts w:ascii="宋体" w:hAnsi="宋体" w:cs="宋体"/>
                <w:color w:val="000000" w:themeColor="text1"/>
                <w:szCs w:val="21"/>
                <w:highlight w:val="none"/>
                <w14:textFill>
                  <w14:solidFill>
                    <w14:schemeClr w14:val="tx1"/>
                  </w14:solidFill>
                </w14:textFill>
              </w:rPr>
            </w:pPr>
          </w:p>
        </w:tc>
        <w:tc>
          <w:tcPr>
            <w:tcW w:w="48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A8D315">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5、餐具是否干净清洁，砧板、刀具分开摆放在指定位置，洗好的菜及菜框是否摆放在架子上</w:t>
            </w:r>
          </w:p>
        </w:tc>
        <w:tc>
          <w:tcPr>
            <w:tcW w:w="7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BDB00D4">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AA59EA7">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不符合要求的扣1分/次</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E6771BD">
            <w:pPr>
              <w:snapToGrid w:val="0"/>
              <w:spacing w:line="360" w:lineRule="auto"/>
              <w:jc w:val="center"/>
              <w:rPr>
                <w:rFonts w:ascii="宋体" w:hAnsi="宋体" w:cs="宋体"/>
                <w:color w:val="000000" w:themeColor="text1"/>
                <w:szCs w:val="21"/>
                <w:highlight w:val="none"/>
                <w14:textFill>
                  <w14:solidFill>
                    <w14:schemeClr w14:val="tx1"/>
                  </w14:solidFill>
                </w14:textFill>
              </w:rPr>
            </w:pPr>
          </w:p>
        </w:tc>
      </w:tr>
      <w:tr w14:paraId="3B08585F">
        <w:tblPrEx>
          <w:tblCellMar>
            <w:top w:w="0" w:type="dxa"/>
            <w:left w:w="0" w:type="dxa"/>
            <w:bottom w:w="0" w:type="dxa"/>
            <w:right w:w="0" w:type="dxa"/>
          </w:tblCellMar>
        </w:tblPrEx>
        <w:trPr>
          <w:trHeight w:val="555" w:hRule="atLeast"/>
          <w:jc w:val="center"/>
        </w:trPr>
        <w:tc>
          <w:tcPr>
            <w:tcW w:w="993" w:type="dxa"/>
            <w:vMerge w:val="continue"/>
            <w:tcBorders>
              <w:left w:val="single" w:color="000000" w:sz="4" w:space="0"/>
              <w:right w:val="single" w:color="000000" w:sz="4" w:space="0"/>
            </w:tcBorders>
            <w:tcMar>
              <w:top w:w="0" w:type="dxa"/>
              <w:left w:w="108" w:type="dxa"/>
              <w:bottom w:w="0" w:type="dxa"/>
              <w:right w:w="108" w:type="dxa"/>
            </w:tcMar>
            <w:textDirection w:val="tbRlV"/>
            <w:vAlign w:val="center"/>
          </w:tcPr>
          <w:p w14:paraId="667A7B8C">
            <w:pPr>
              <w:snapToGrid w:val="0"/>
              <w:spacing w:line="360" w:lineRule="auto"/>
              <w:ind w:left="113" w:right="113"/>
              <w:rPr>
                <w:rFonts w:ascii="宋体" w:hAnsi="宋体" w:cs="宋体"/>
                <w:color w:val="000000" w:themeColor="text1"/>
                <w:szCs w:val="21"/>
                <w:highlight w:val="none"/>
                <w14:textFill>
                  <w14:solidFill>
                    <w14:schemeClr w14:val="tx1"/>
                  </w14:solidFill>
                </w14:textFill>
              </w:rPr>
            </w:pPr>
          </w:p>
        </w:tc>
        <w:tc>
          <w:tcPr>
            <w:tcW w:w="48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84D91F5">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6、排烟设施每周至少一次表面清洗，每季度至少一次内部清洗，确保无油渍，避免安全隐患</w:t>
            </w:r>
          </w:p>
        </w:tc>
        <w:tc>
          <w:tcPr>
            <w:tcW w:w="7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14722F">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DD100D6">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不符合要求的扣1分/次</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32E3E33">
            <w:pPr>
              <w:snapToGrid w:val="0"/>
              <w:spacing w:line="360" w:lineRule="auto"/>
              <w:jc w:val="center"/>
              <w:rPr>
                <w:rFonts w:ascii="宋体" w:hAnsi="宋体" w:cs="宋体"/>
                <w:color w:val="000000" w:themeColor="text1"/>
                <w:szCs w:val="21"/>
                <w:highlight w:val="none"/>
                <w14:textFill>
                  <w14:solidFill>
                    <w14:schemeClr w14:val="tx1"/>
                  </w14:solidFill>
                </w14:textFill>
              </w:rPr>
            </w:pPr>
          </w:p>
        </w:tc>
      </w:tr>
      <w:tr w14:paraId="5D916F91">
        <w:tblPrEx>
          <w:tblCellMar>
            <w:top w:w="0" w:type="dxa"/>
            <w:left w:w="0" w:type="dxa"/>
            <w:bottom w:w="0" w:type="dxa"/>
            <w:right w:w="0" w:type="dxa"/>
          </w:tblCellMar>
        </w:tblPrEx>
        <w:trPr>
          <w:trHeight w:val="555" w:hRule="atLeast"/>
          <w:jc w:val="center"/>
        </w:trPr>
        <w:tc>
          <w:tcPr>
            <w:tcW w:w="993"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textDirection w:val="tbRlV"/>
            <w:vAlign w:val="center"/>
          </w:tcPr>
          <w:p w14:paraId="536B3A46">
            <w:pPr>
              <w:snapToGrid w:val="0"/>
              <w:spacing w:line="360" w:lineRule="auto"/>
              <w:ind w:left="113" w:right="113"/>
              <w:rPr>
                <w:rFonts w:ascii="宋体" w:hAnsi="宋体" w:cs="宋体"/>
                <w:color w:val="000000" w:themeColor="text1"/>
                <w:szCs w:val="21"/>
                <w:highlight w:val="none"/>
                <w14:textFill>
                  <w14:solidFill>
                    <w14:schemeClr w14:val="tx1"/>
                  </w14:solidFill>
                </w14:textFill>
              </w:rPr>
            </w:pPr>
          </w:p>
        </w:tc>
        <w:tc>
          <w:tcPr>
            <w:tcW w:w="48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1E9A08E">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7、防蝇、防鼠、防尘设备齐全、有效，定期进行除四害工作</w:t>
            </w:r>
          </w:p>
        </w:tc>
        <w:tc>
          <w:tcPr>
            <w:tcW w:w="7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CBAE1FF">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3DB81BD">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不符合要求的扣1分/次</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605B2A1">
            <w:pPr>
              <w:snapToGrid w:val="0"/>
              <w:spacing w:line="360" w:lineRule="auto"/>
              <w:jc w:val="center"/>
              <w:rPr>
                <w:rFonts w:ascii="宋体" w:hAnsi="宋体" w:cs="宋体"/>
                <w:color w:val="000000" w:themeColor="text1"/>
                <w:szCs w:val="21"/>
                <w:highlight w:val="none"/>
                <w14:textFill>
                  <w14:solidFill>
                    <w14:schemeClr w14:val="tx1"/>
                  </w14:solidFill>
                </w14:textFill>
              </w:rPr>
            </w:pPr>
          </w:p>
        </w:tc>
      </w:tr>
      <w:tr w14:paraId="1496F1B6">
        <w:tblPrEx>
          <w:tblCellMar>
            <w:top w:w="0" w:type="dxa"/>
            <w:left w:w="0" w:type="dxa"/>
            <w:bottom w:w="0" w:type="dxa"/>
            <w:right w:w="0" w:type="dxa"/>
          </w:tblCellMar>
        </w:tblPrEx>
        <w:trPr>
          <w:trHeight w:val="407" w:hRule="atLeast"/>
          <w:jc w:val="center"/>
        </w:trPr>
        <w:tc>
          <w:tcPr>
            <w:tcW w:w="993"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056D6C58">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服务人员</w:t>
            </w:r>
          </w:p>
        </w:tc>
        <w:tc>
          <w:tcPr>
            <w:tcW w:w="48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D8FE1D3">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1、成交供应商应配备足够的服务人员，不得因服务人员不足影响服务质量 ；</w:t>
            </w:r>
          </w:p>
        </w:tc>
        <w:tc>
          <w:tcPr>
            <w:tcW w:w="7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42266FC">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8BD13F2">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不符合要求的扣2分/次</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ABE5A5F">
            <w:pPr>
              <w:snapToGrid w:val="0"/>
              <w:spacing w:line="360" w:lineRule="auto"/>
              <w:jc w:val="center"/>
              <w:rPr>
                <w:rFonts w:ascii="宋体" w:hAnsi="宋体" w:cs="宋体"/>
                <w:color w:val="000000" w:themeColor="text1"/>
                <w:szCs w:val="21"/>
                <w:highlight w:val="none"/>
                <w14:textFill>
                  <w14:solidFill>
                    <w14:schemeClr w14:val="tx1"/>
                  </w14:solidFill>
                </w14:textFill>
              </w:rPr>
            </w:pPr>
          </w:p>
        </w:tc>
      </w:tr>
      <w:tr w14:paraId="1C625CA6">
        <w:tblPrEx>
          <w:tblCellMar>
            <w:top w:w="0" w:type="dxa"/>
            <w:left w:w="0" w:type="dxa"/>
            <w:bottom w:w="0" w:type="dxa"/>
            <w:right w:w="0" w:type="dxa"/>
          </w:tblCellMar>
        </w:tblPrEx>
        <w:trPr>
          <w:trHeight w:val="413" w:hRule="atLeast"/>
          <w:jc w:val="center"/>
        </w:trPr>
        <w:tc>
          <w:tcPr>
            <w:tcW w:w="993" w:type="dxa"/>
            <w:vMerge w:val="continue"/>
            <w:tcBorders>
              <w:left w:val="single" w:color="000000" w:sz="4" w:space="0"/>
              <w:right w:val="single" w:color="000000" w:sz="4" w:space="0"/>
            </w:tcBorders>
            <w:tcMar>
              <w:top w:w="0" w:type="dxa"/>
              <w:left w:w="108" w:type="dxa"/>
              <w:bottom w:w="0" w:type="dxa"/>
              <w:right w:w="108" w:type="dxa"/>
            </w:tcMar>
            <w:textDirection w:val="tbRlV"/>
            <w:vAlign w:val="center"/>
          </w:tcPr>
          <w:p w14:paraId="3174D126">
            <w:pPr>
              <w:snapToGrid w:val="0"/>
              <w:spacing w:line="360" w:lineRule="auto"/>
              <w:ind w:left="113" w:right="113"/>
              <w:jc w:val="center"/>
              <w:rPr>
                <w:rFonts w:ascii="宋体" w:hAnsi="宋体" w:cs="宋体"/>
                <w:color w:val="000000" w:themeColor="text1"/>
                <w:szCs w:val="21"/>
                <w:highlight w:val="none"/>
                <w14:textFill>
                  <w14:solidFill>
                    <w14:schemeClr w14:val="tx1"/>
                  </w14:solidFill>
                </w14:textFill>
              </w:rPr>
            </w:pPr>
          </w:p>
        </w:tc>
        <w:tc>
          <w:tcPr>
            <w:tcW w:w="48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9C3B4A2">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2、持证上岗，服务人员必须持有有效的《健康证》，特种设备管理员需取得相应的管理证件，并按要求定期复审</w:t>
            </w:r>
          </w:p>
        </w:tc>
        <w:tc>
          <w:tcPr>
            <w:tcW w:w="7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7E4A962">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C76968">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不符合要求的扣2分/次/人</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2BE9E80">
            <w:pPr>
              <w:snapToGrid w:val="0"/>
              <w:spacing w:line="360" w:lineRule="auto"/>
              <w:jc w:val="center"/>
              <w:rPr>
                <w:rFonts w:ascii="宋体" w:hAnsi="宋体" w:cs="宋体"/>
                <w:color w:val="000000" w:themeColor="text1"/>
                <w:szCs w:val="21"/>
                <w:highlight w:val="none"/>
                <w14:textFill>
                  <w14:solidFill>
                    <w14:schemeClr w14:val="tx1"/>
                  </w14:solidFill>
                </w14:textFill>
              </w:rPr>
            </w:pPr>
          </w:p>
        </w:tc>
      </w:tr>
      <w:tr w14:paraId="10059E73">
        <w:tblPrEx>
          <w:tblCellMar>
            <w:top w:w="0" w:type="dxa"/>
            <w:left w:w="0" w:type="dxa"/>
            <w:bottom w:w="0" w:type="dxa"/>
            <w:right w:w="0" w:type="dxa"/>
          </w:tblCellMar>
        </w:tblPrEx>
        <w:trPr>
          <w:trHeight w:val="418" w:hRule="atLeast"/>
          <w:jc w:val="center"/>
        </w:trPr>
        <w:tc>
          <w:tcPr>
            <w:tcW w:w="993" w:type="dxa"/>
            <w:vMerge w:val="continue"/>
            <w:tcBorders>
              <w:left w:val="single" w:color="000000" w:sz="4" w:space="0"/>
              <w:right w:val="single" w:color="000000" w:sz="4" w:space="0"/>
            </w:tcBorders>
            <w:tcMar>
              <w:top w:w="0" w:type="dxa"/>
              <w:left w:w="108" w:type="dxa"/>
              <w:bottom w:w="0" w:type="dxa"/>
              <w:right w:w="108" w:type="dxa"/>
            </w:tcMar>
            <w:textDirection w:val="tbRlV"/>
            <w:vAlign w:val="center"/>
          </w:tcPr>
          <w:p w14:paraId="0E2553C7">
            <w:pPr>
              <w:snapToGrid w:val="0"/>
              <w:spacing w:line="360" w:lineRule="auto"/>
              <w:ind w:left="113" w:right="113"/>
              <w:jc w:val="center"/>
              <w:rPr>
                <w:rFonts w:ascii="宋体" w:hAnsi="宋体" w:cs="宋体"/>
                <w:color w:val="000000" w:themeColor="text1"/>
                <w:szCs w:val="21"/>
                <w:highlight w:val="none"/>
                <w14:textFill>
                  <w14:solidFill>
                    <w14:schemeClr w14:val="tx1"/>
                  </w14:solidFill>
                </w14:textFill>
              </w:rPr>
            </w:pPr>
          </w:p>
        </w:tc>
        <w:tc>
          <w:tcPr>
            <w:tcW w:w="48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AB266FC">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3、服务人员必须遵纪守法，严格遵守医院的各项规章制度，上班期间统一着装、规范佩戴帽子、口罩、工牌，仪表、仪容整洁。严禁聚众聊天、吵闹、打架、拉帮结派、聚集赌博、喝酒、煽动闹事等不良行为</w:t>
            </w:r>
          </w:p>
        </w:tc>
        <w:tc>
          <w:tcPr>
            <w:tcW w:w="7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C77525">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3145175">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不符合要求的扣1分/次</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4F1200D">
            <w:pPr>
              <w:snapToGrid w:val="0"/>
              <w:spacing w:line="360" w:lineRule="auto"/>
              <w:jc w:val="center"/>
              <w:rPr>
                <w:rFonts w:ascii="宋体" w:hAnsi="宋体" w:cs="宋体"/>
                <w:color w:val="000000" w:themeColor="text1"/>
                <w:szCs w:val="21"/>
                <w:highlight w:val="none"/>
                <w14:textFill>
                  <w14:solidFill>
                    <w14:schemeClr w14:val="tx1"/>
                  </w14:solidFill>
                </w14:textFill>
              </w:rPr>
            </w:pPr>
          </w:p>
        </w:tc>
      </w:tr>
      <w:tr w14:paraId="3FEC4184">
        <w:tblPrEx>
          <w:tblCellMar>
            <w:top w:w="0" w:type="dxa"/>
            <w:left w:w="0" w:type="dxa"/>
            <w:bottom w:w="0" w:type="dxa"/>
            <w:right w:w="0" w:type="dxa"/>
          </w:tblCellMar>
        </w:tblPrEx>
        <w:trPr>
          <w:trHeight w:val="552" w:hRule="atLeast"/>
          <w:jc w:val="center"/>
        </w:trPr>
        <w:tc>
          <w:tcPr>
            <w:tcW w:w="993"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textDirection w:val="tbRlV"/>
            <w:vAlign w:val="center"/>
          </w:tcPr>
          <w:p w14:paraId="5844C8CA">
            <w:pPr>
              <w:snapToGrid w:val="0"/>
              <w:spacing w:line="360" w:lineRule="auto"/>
              <w:ind w:left="113" w:right="113"/>
              <w:jc w:val="center"/>
              <w:rPr>
                <w:rFonts w:ascii="宋体" w:hAnsi="宋体" w:cs="宋体"/>
                <w:color w:val="000000" w:themeColor="text1"/>
                <w:szCs w:val="21"/>
                <w:highlight w:val="none"/>
                <w14:textFill>
                  <w14:solidFill>
                    <w14:schemeClr w14:val="tx1"/>
                  </w14:solidFill>
                </w14:textFill>
              </w:rPr>
            </w:pPr>
          </w:p>
        </w:tc>
        <w:tc>
          <w:tcPr>
            <w:tcW w:w="48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5B962F9">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4、文明服务、礼貌待人，做到服务热情、主动、周到，爱护医院公物，节约用水、用电</w:t>
            </w:r>
          </w:p>
        </w:tc>
        <w:tc>
          <w:tcPr>
            <w:tcW w:w="7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86D4259">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82F9DBA">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不符合要求的扣1分/次</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2229433">
            <w:pPr>
              <w:snapToGrid w:val="0"/>
              <w:spacing w:line="360" w:lineRule="auto"/>
              <w:jc w:val="center"/>
              <w:rPr>
                <w:rFonts w:ascii="宋体" w:hAnsi="宋体" w:cs="宋体"/>
                <w:color w:val="000000" w:themeColor="text1"/>
                <w:szCs w:val="21"/>
                <w:highlight w:val="none"/>
                <w14:textFill>
                  <w14:solidFill>
                    <w14:schemeClr w14:val="tx1"/>
                  </w14:solidFill>
                </w14:textFill>
              </w:rPr>
            </w:pPr>
          </w:p>
        </w:tc>
      </w:tr>
      <w:tr w14:paraId="494DFA68">
        <w:tblPrEx>
          <w:tblCellMar>
            <w:top w:w="0" w:type="dxa"/>
            <w:left w:w="0" w:type="dxa"/>
            <w:bottom w:w="0" w:type="dxa"/>
            <w:right w:w="0" w:type="dxa"/>
          </w:tblCellMar>
        </w:tblPrEx>
        <w:trPr>
          <w:trHeight w:val="572" w:hRule="atLeast"/>
          <w:jc w:val="center"/>
        </w:trPr>
        <w:tc>
          <w:tcPr>
            <w:tcW w:w="993"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67031AAB">
            <w:pPr>
              <w:snapToGrid w:val="0"/>
              <w:spacing w:line="360" w:lineRule="auto"/>
              <w:jc w:val="center"/>
              <w:rPr>
                <w:rFonts w:ascii="宋体" w:hAnsi="宋体" w:cs="宋体"/>
                <w:color w:val="000000" w:themeColor="text1"/>
                <w:szCs w:val="21"/>
                <w:highlight w:val="none"/>
                <w14:textFill>
                  <w14:solidFill>
                    <w14:schemeClr w14:val="tx1"/>
                  </w14:solidFill>
                </w14:textFill>
              </w:rPr>
            </w:pPr>
          </w:p>
          <w:p w14:paraId="615B03F8">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服务质量</w:t>
            </w:r>
          </w:p>
          <w:p w14:paraId="28151ACF">
            <w:pPr>
              <w:snapToGrid w:val="0"/>
              <w:spacing w:line="360" w:lineRule="auto"/>
              <w:jc w:val="center"/>
              <w:rPr>
                <w:rFonts w:ascii="宋体" w:hAnsi="宋体" w:cs="宋体"/>
                <w:color w:val="000000" w:themeColor="text1"/>
                <w:szCs w:val="21"/>
                <w:highlight w:val="none"/>
                <w14:textFill>
                  <w14:solidFill>
                    <w14:schemeClr w14:val="tx1"/>
                  </w14:solidFill>
                </w14:textFill>
              </w:rPr>
            </w:pPr>
          </w:p>
        </w:tc>
        <w:tc>
          <w:tcPr>
            <w:tcW w:w="48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C7D7C15">
            <w:pPr>
              <w:snapToGrid w:val="0"/>
              <w:spacing w:after="120" w:line="360" w:lineRule="auto"/>
              <w:rPr>
                <w:rFonts w:ascii="宋体" w:hAnsi="宋体" w:cs="宋体"/>
                <w:color w:val="000000" w:themeColor="text1"/>
                <w:szCs w:val="21"/>
                <w:highlight w:val="none"/>
                <w14:textFill>
                  <w14:solidFill>
                    <w14:schemeClr w14:val="tx1"/>
                  </w14:solidFill>
                </w14:textFill>
              </w:rPr>
            </w:pPr>
            <w:r>
              <w:rPr>
                <w:rFonts w:hint="eastAsia"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、供餐时间不得少于合同约定，并能及时根据实际需求进行动态调整</w:t>
            </w:r>
          </w:p>
        </w:tc>
        <w:tc>
          <w:tcPr>
            <w:tcW w:w="7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7BF8324">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012AD37">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不符合要求的扣2分/次</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732DF9E">
            <w:pPr>
              <w:snapToGrid w:val="0"/>
              <w:spacing w:line="360" w:lineRule="auto"/>
              <w:rPr>
                <w:rFonts w:ascii="宋体" w:hAnsi="宋体" w:cs="宋体"/>
                <w:color w:val="000000" w:themeColor="text1"/>
                <w:szCs w:val="21"/>
                <w:highlight w:val="none"/>
                <w14:textFill>
                  <w14:solidFill>
                    <w14:schemeClr w14:val="tx1"/>
                  </w14:solidFill>
                </w14:textFill>
              </w:rPr>
            </w:pPr>
          </w:p>
        </w:tc>
      </w:tr>
      <w:tr w14:paraId="15C8ABAF">
        <w:tblPrEx>
          <w:tblCellMar>
            <w:top w:w="0" w:type="dxa"/>
            <w:left w:w="0" w:type="dxa"/>
            <w:bottom w:w="0" w:type="dxa"/>
            <w:right w:w="0" w:type="dxa"/>
          </w:tblCellMar>
        </w:tblPrEx>
        <w:trPr>
          <w:trHeight w:val="548" w:hRule="atLeast"/>
          <w:jc w:val="center"/>
        </w:trPr>
        <w:tc>
          <w:tcPr>
            <w:tcW w:w="993" w:type="dxa"/>
            <w:vMerge w:val="continue"/>
            <w:tcBorders>
              <w:left w:val="single" w:color="000000" w:sz="4" w:space="0"/>
              <w:right w:val="single" w:color="000000" w:sz="4" w:space="0"/>
            </w:tcBorders>
            <w:tcMar>
              <w:top w:w="0" w:type="dxa"/>
              <w:left w:w="108" w:type="dxa"/>
              <w:bottom w:w="0" w:type="dxa"/>
              <w:right w:w="108" w:type="dxa"/>
            </w:tcMar>
            <w:vAlign w:val="center"/>
          </w:tcPr>
          <w:p w14:paraId="7B46848D">
            <w:pPr>
              <w:snapToGrid w:val="0"/>
              <w:spacing w:line="360" w:lineRule="auto"/>
              <w:jc w:val="center"/>
              <w:rPr>
                <w:rFonts w:ascii="宋体" w:hAnsi="宋体" w:cs="宋体"/>
                <w:color w:val="000000" w:themeColor="text1"/>
                <w:szCs w:val="21"/>
                <w:highlight w:val="none"/>
                <w14:textFill>
                  <w14:solidFill>
                    <w14:schemeClr w14:val="tx1"/>
                  </w14:solidFill>
                </w14:textFill>
              </w:rPr>
            </w:pPr>
          </w:p>
        </w:tc>
        <w:tc>
          <w:tcPr>
            <w:tcW w:w="48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21CDAE0">
            <w:pPr>
              <w:snapToGrid w:val="0"/>
              <w:spacing w:after="120" w:line="360" w:lineRule="auto"/>
              <w:rPr>
                <w:rFonts w:ascii="宋体" w:hAnsi="宋体" w:cs="宋体"/>
                <w:color w:val="000000" w:themeColor="text1"/>
                <w:szCs w:val="21"/>
                <w:highlight w:val="none"/>
                <w14:textFill>
                  <w14:solidFill>
                    <w14:schemeClr w14:val="tx1"/>
                  </w14:solidFill>
                </w14:textFill>
              </w:rPr>
            </w:pPr>
            <w:r>
              <w:rPr>
                <w:rFonts w:hint="eastAsia"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、需由成交供应商投入的各种软硬件设备设施齐全，满足项目需要</w:t>
            </w:r>
          </w:p>
        </w:tc>
        <w:tc>
          <w:tcPr>
            <w:tcW w:w="7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D459401">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2ADC7FF">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不符合要求的扣2分/次</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6ACBB0B">
            <w:pPr>
              <w:snapToGrid w:val="0"/>
              <w:spacing w:line="360" w:lineRule="auto"/>
              <w:rPr>
                <w:rFonts w:ascii="宋体" w:hAnsi="宋体" w:cs="宋体"/>
                <w:color w:val="000000" w:themeColor="text1"/>
                <w:szCs w:val="21"/>
                <w:highlight w:val="none"/>
                <w14:textFill>
                  <w14:solidFill>
                    <w14:schemeClr w14:val="tx1"/>
                  </w14:solidFill>
                </w14:textFill>
              </w:rPr>
            </w:pPr>
          </w:p>
        </w:tc>
      </w:tr>
      <w:tr w14:paraId="60A2236D">
        <w:tblPrEx>
          <w:tblCellMar>
            <w:top w:w="0" w:type="dxa"/>
            <w:left w:w="0" w:type="dxa"/>
            <w:bottom w:w="0" w:type="dxa"/>
            <w:right w:w="0" w:type="dxa"/>
          </w:tblCellMar>
        </w:tblPrEx>
        <w:trPr>
          <w:trHeight w:val="402" w:hRule="atLeast"/>
          <w:jc w:val="center"/>
        </w:trPr>
        <w:tc>
          <w:tcPr>
            <w:tcW w:w="993" w:type="dxa"/>
            <w:vMerge w:val="continue"/>
            <w:tcBorders>
              <w:left w:val="single" w:color="000000" w:sz="4" w:space="0"/>
              <w:right w:val="single" w:color="000000" w:sz="4" w:space="0"/>
            </w:tcBorders>
            <w:tcMar>
              <w:top w:w="0" w:type="dxa"/>
              <w:left w:w="108" w:type="dxa"/>
              <w:bottom w:w="0" w:type="dxa"/>
              <w:right w:w="108" w:type="dxa"/>
            </w:tcMar>
            <w:textDirection w:val="tbRlV"/>
            <w:vAlign w:val="center"/>
          </w:tcPr>
          <w:p w14:paraId="65DC201B">
            <w:pPr>
              <w:snapToGrid w:val="0"/>
              <w:spacing w:line="360" w:lineRule="auto"/>
              <w:jc w:val="center"/>
              <w:rPr>
                <w:rFonts w:ascii="宋体" w:hAnsi="宋体" w:cs="宋体"/>
                <w:color w:val="000000" w:themeColor="text1"/>
                <w:szCs w:val="21"/>
                <w:highlight w:val="none"/>
                <w14:textFill>
                  <w14:solidFill>
                    <w14:schemeClr w14:val="tx1"/>
                  </w14:solidFill>
                </w14:textFill>
              </w:rPr>
            </w:pPr>
          </w:p>
        </w:tc>
        <w:tc>
          <w:tcPr>
            <w:tcW w:w="48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8942267">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、早餐不少于1</w:t>
            </w:r>
            <w:r>
              <w:rPr>
                <w:rFonts w:hint="eastAsia" w:ascii="宋体" w:hAnsi="宋体" w:cs="宋体"/>
                <w:color w:val="000000" w:themeColor="text1"/>
                <w:szCs w:val="21"/>
                <w:highlight w:val="none"/>
                <w:lang w:val="en-US" w:eastAsia="zh-CN"/>
                <w14:textFill>
                  <w14:solidFill>
                    <w14:schemeClr w14:val="tx1"/>
                  </w14:solidFill>
                </w14:textFill>
              </w:rPr>
              <w:t>0</w:t>
            </w:r>
            <w:r>
              <w:rPr>
                <w:rFonts w:hint="eastAsia" w:ascii="宋体" w:hAnsi="宋体" w:cs="宋体"/>
                <w:color w:val="000000" w:themeColor="text1"/>
                <w:szCs w:val="21"/>
                <w:highlight w:val="none"/>
                <w14:textFill>
                  <w14:solidFill>
                    <w14:schemeClr w14:val="tx1"/>
                  </w14:solidFill>
                </w14:textFill>
              </w:rPr>
              <w:t>个品种 ；午餐不少于15个品种；晚餐不少于10个品种</w:t>
            </w:r>
          </w:p>
        </w:tc>
        <w:tc>
          <w:tcPr>
            <w:tcW w:w="7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3D857C6">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A75D6E5">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不符合要求的扣2分/次</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2C03DAE">
            <w:pPr>
              <w:snapToGrid w:val="0"/>
              <w:spacing w:line="360" w:lineRule="auto"/>
              <w:rPr>
                <w:rFonts w:ascii="宋体" w:hAnsi="宋体" w:cs="宋体"/>
                <w:color w:val="000000" w:themeColor="text1"/>
                <w:szCs w:val="21"/>
                <w:highlight w:val="none"/>
                <w14:textFill>
                  <w14:solidFill>
                    <w14:schemeClr w14:val="tx1"/>
                  </w14:solidFill>
                </w14:textFill>
              </w:rPr>
            </w:pPr>
          </w:p>
        </w:tc>
      </w:tr>
      <w:tr w14:paraId="5F509A87">
        <w:tblPrEx>
          <w:tblCellMar>
            <w:top w:w="0" w:type="dxa"/>
            <w:left w:w="0" w:type="dxa"/>
            <w:bottom w:w="0" w:type="dxa"/>
            <w:right w:w="0" w:type="dxa"/>
          </w:tblCellMar>
        </w:tblPrEx>
        <w:trPr>
          <w:trHeight w:val="408" w:hRule="atLeast"/>
          <w:jc w:val="center"/>
        </w:trPr>
        <w:tc>
          <w:tcPr>
            <w:tcW w:w="993" w:type="dxa"/>
            <w:vMerge w:val="continue"/>
            <w:tcBorders>
              <w:left w:val="single" w:color="000000" w:sz="4" w:space="0"/>
              <w:right w:val="single" w:color="000000" w:sz="4" w:space="0"/>
            </w:tcBorders>
            <w:tcMar>
              <w:top w:w="0" w:type="dxa"/>
              <w:left w:w="108" w:type="dxa"/>
              <w:bottom w:w="0" w:type="dxa"/>
              <w:right w:w="108" w:type="dxa"/>
            </w:tcMar>
            <w:textDirection w:val="tbRlV"/>
            <w:vAlign w:val="center"/>
          </w:tcPr>
          <w:p w14:paraId="35866BF3">
            <w:pPr>
              <w:snapToGrid w:val="0"/>
              <w:spacing w:line="360" w:lineRule="auto"/>
              <w:jc w:val="center"/>
              <w:rPr>
                <w:rFonts w:ascii="宋体" w:hAnsi="宋体" w:cs="宋体"/>
                <w:color w:val="000000" w:themeColor="text1"/>
                <w:szCs w:val="21"/>
                <w:highlight w:val="none"/>
                <w14:textFill>
                  <w14:solidFill>
                    <w14:schemeClr w14:val="tx1"/>
                  </w14:solidFill>
                </w14:textFill>
              </w:rPr>
            </w:pPr>
          </w:p>
        </w:tc>
        <w:tc>
          <w:tcPr>
            <w:tcW w:w="48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5676524">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、每周应更新菜式，且与上周重复的菜式不得超过30%</w:t>
            </w:r>
          </w:p>
        </w:tc>
        <w:tc>
          <w:tcPr>
            <w:tcW w:w="7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867594D">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3E497D6">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不符合要求的扣1分/次</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77B4937">
            <w:pPr>
              <w:snapToGrid w:val="0"/>
              <w:spacing w:line="360" w:lineRule="auto"/>
              <w:rPr>
                <w:rFonts w:ascii="宋体" w:hAnsi="宋体" w:cs="宋体"/>
                <w:color w:val="000000" w:themeColor="text1"/>
                <w:szCs w:val="21"/>
                <w:highlight w:val="none"/>
                <w14:textFill>
                  <w14:solidFill>
                    <w14:schemeClr w14:val="tx1"/>
                  </w14:solidFill>
                </w14:textFill>
              </w:rPr>
            </w:pPr>
          </w:p>
        </w:tc>
      </w:tr>
      <w:tr w14:paraId="11F7E124">
        <w:tblPrEx>
          <w:tblCellMar>
            <w:top w:w="0" w:type="dxa"/>
            <w:left w:w="0" w:type="dxa"/>
            <w:bottom w:w="0" w:type="dxa"/>
            <w:right w:w="0" w:type="dxa"/>
          </w:tblCellMar>
        </w:tblPrEx>
        <w:trPr>
          <w:trHeight w:val="415" w:hRule="atLeast"/>
          <w:jc w:val="center"/>
        </w:trPr>
        <w:tc>
          <w:tcPr>
            <w:tcW w:w="993" w:type="dxa"/>
            <w:vMerge w:val="continue"/>
            <w:tcBorders>
              <w:left w:val="single" w:color="000000" w:sz="4" w:space="0"/>
              <w:right w:val="single" w:color="000000" w:sz="4" w:space="0"/>
            </w:tcBorders>
            <w:tcMar>
              <w:top w:w="0" w:type="dxa"/>
              <w:left w:w="108" w:type="dxa"/>
              <w:bottom w:w="0" w:type="dxa"/>
              <w:right w:w="108" w:type="dxa"/>
            </w:tcMar>
            <w:textDirection w:val="tbRlV"/>
            <w:vAlign w:val="center"/>
          </w:tcPr>
          <w:p w14:paraId="4F4D5620">
            <w:pPr>
              <w:snapToGrid w:val="0"/>
              <w:spacing w:line="360" w:lineRule="auto"/>
              <w:jc w:val="center"/>
              <w:rPr>
                <w:rFonts w:ascii="宋体" w:hAnsi="宋体" w:cs="宋体"/>
                <w:color w:val="000000" w:themeColor="text1"/>
                <w:szCs w:val="21"/>
                <w:highlight w:val="none"/>
                <w14:textFill>
                  <w14:solidFill>
                    <w14:schemeClr w14:val="tx1"/>
                  </w14:solidFill>
                </w14:textFill>
              </w:rPr>
            </w:pPr>
          </w:p>
        </w:tc>
        <w:tc>
          <w:tcPr>
            <w:tcW w:w="48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300395F">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、手术餐、营养餐的供应符合合同相关要求</w:t>
            </w:r>
          </w:p>
        </w:tc>
        <w:tc>
          <w:tcPr>
            <w:tcW w:w="7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5987EA0">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A9F5B24">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不符合要求的扣1分/次</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D046575">
            <w:pPr>
              <w:snapToGrid w:val="0"/>
              <w:spacing w:line="360" w:lineRule="auto"/>
              <w:rPr>
                <w:rFonts w:ascii="宋体" w:hAnsi="宋体" w:cs="宋体"/>
                <w:color w:val="000000" w:themeColor="text1"/>
                <w:szCs w:val="21"/>
                <w:highlight w:val="none"/>
                <w14:textFill>
                  <w14:solidFill>
                    <w14:schemeClr w14:val="tx1"/>
                  </w14:solidFill>
                </w14:textFill>
              </w:rPr>
            </w:pPr>
          </w:p>
        </w:tc>
      </w:tr>
      <w:tr w14:paraId="1C470AC2">
        <w:tblPrEx>
          <w:tblCellMar>
            <w:top w:w="0" w:type="dxa"/>
            <w:left w:w="0" w:type="dxa"/>
            <w:bottom w:w="0" w:type="dxa"/>
            <w:right w:w="0" w:type="dxa"/>
          </w:tblCellMar>
        </w:tblPrEx>
        <w:trPr>
          <w:trHeight w:val="556" w:hRule="atLeast"/>
          <w:jc w:val="center"/>
        </w:trPr>
        <w:tc>
          <w:tcPr>
            <w:tcW w:w="993" w:type="dxa"/>
            <w:vMerge w:val="continue"/>
            <w:tcBorders>
              <w:left w:val="single" w:color="000000" w:sz="4" w:space="0"/>
              <w:right w:val="single" w:color="000000" w:sz="4" w:space="0"/>
            </w:tcBorders>
            <w:tcMar>
              <w:top w:w="0" w:type="dxa"/>
              <w:left w:w="108" w:type="dxa"/>
              <w:bottom w:w="0" w:type="dxa"/>
              <w:right w:w="108" w:type="dxa"/>
            </w:tcMar>
            <w:textDirection w:val="tbRlV"/>
            <w:vAlign w:val="center"/>
          </w:tcPr>
          <w:p w14:paraId="6449CFE9">
            <w:pPr>
              <w:snapToGrid w:val="0"/>
              <w:spacing w:line="360" w:lineRule="auto"/>
              <w:jc w:val="center"/>
              <w:rPr>
                <w:rFonts w:ascii="宋体" w:hAnsi="宋体" w:cs="宋体"/>
                <w:color w:val="000000" w:themeColor="text1"/>
                <w:szCs w:val="21"/>
                <w:highlight w:val="none"/>
                <w14:textFill>
                  <w14:solidFill>
                    <w14:schemeClr w14:val="tx1"/>
                  </w14:solidFill>
                </w14:textFill>
              </w:rPr>
            </w:pPr>
          </w:p>
        </w:tc>
        <w:tc>
          <w:tcPr>
            <w:tcW w:w="48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ED2B5E3">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、食品原材料新鲜、安全，来源可溯</w:t>
            </w:r>
          </w:p>
        </w:tc>
        <w:tc>
          <w:tcPr>
            <w:tcW w:w="7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4F2A9F8">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F5A9F20">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不符合要求的扣3分/次</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20677DE">
            <w:pPr>
              <w:snapToGrid w:val="0"/>
              <w:spacing w:line="360" w:lineRule="auto"/>
              <w:rPr>
                <w:rFonts w:ascii="宋体" w:hAnsi="宋体" w:cs="宋体"/>
                <w:color w:val="000000" w:themeColor="text1"/>
                <w:szCs w:val="21"/>
                <w:highlight w:val="none"/>
                <w14:textFill>
                  <w14:solidFill>
                    <w14:schemeClr w14:val="tx1"/>
                  </w14:solidFill>
                </w14:textFill>
              </w:rPr>
            </w:pPr>
          </w:p>
        </w:tc>
      </w:tr>
      <w:tr w14:paraId="1FDFB41F">
        <w:tblPrEx>
          <w:tblCellMar>
            <w:top w:w="0" w:type="dxa"/>
            <w:left w:w="0" w:type="dxa"/>
            <w:bottom w:w="0" w:type="dxa"/>
            <w:right w:w="0" w:type="dxa"/>
          </w:tblCellMar>
        </w:tblPrEx>
        <w:trPr>
          <w:trHeight w:val="556" w:hRule="atLeast"/>
          <w:jc w:val="center"/>
        </w:trPr>
        <w:tc>
          <w:tcPr>
            <w:tcW w:w="993" w:type="dxa"/>
            <w:vMerge w:val="continue"/>
            <w:tcBorders>
              <w:left w:val="single" w:color="000000" w:sz="4" w:space="0"/>
              <w:right w:val="single" w:color="000000" w:sz="4" w:space="0"/>
            </w:tcBorders>
            <w:tcMar>
              <w:top w:w="0" w:type="dxa"/>
              <w:left w:w="108" w:type="dxa"/>
              <w:bottom w:w="0" w:type="dxa"/>
              <w:right w:w="108" w:type="dxa"/>
            </w:tcMar>
            <w:textDirection w:val="tbRlV"/>
            <w:vAlign w:val="center"/>
          </w:tcPr>
          <w:p w14:paraId="45B6257B">
            <w:pPr>
              <w:snapToGrid w:val="0"/>
              <w:spacing w:line="360" w:lineRule="auto"/>
              <w:jc w:val="center"/>
              <w:rPr>
                <w:rFonts w:ascii="宋体" w:hAnsi="宋体" w:cs="宋体"/>
                <w:color w:val="000000" w:themeColor="text1"/>
                <w:szCs w:val="21"/>
                <w:highlight w:val="none"/>
                <w14:textFill>
                  <w14:solidFill>
                    <w14:schemeClr w14:val="tx1"/>
                  </w14:solidFill>
                </w14:textFill>
              </w:rPr>
            </w:pPr>
          </w:p>
        </w:tc>
        <w:tc>
          <w:tcPr>
            <w:tcW w:w="48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B5E9F71">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、食堂的卫生防疫、就餐环境、食品制作及配送餐，均须符合国家及行业相关食品卫生标准的要求</w:t>
            </w:r>
          </w:p>
        </w:tc>
        <w:tc>
          <w:tcPr>
            <w:tcW w:w="7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5E5E26E">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C86184A">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不符合要求的扣2分/次</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0943E17">
            <w:pPr>
              <w:snapToGrid w:val="0"/>
              <w:spacing w:line="360" w:lineRule="auto"/>
              <w:rPr>
                <w:rFonts w:ascii="宋体" w:hAnsi="宋体" w:cs="宋体"/>
                <w:color w:val="000000" w:themeColor="text1"/>
                <w:szCs w:val="21"/>
                <w:highlight w:val="none"/>
                <w14:textFill>
                  <w14:solidFill>
                    <w14:schemeClr w14:val="tx1"/>
                  </w14:solidFill>
                </w14:textFill>
              </w:rPr>
            </w:pPr>
          </w:p>
        </w:tc>
      </w:tr>
      <w:tr w14:paraId="6C5F04AE">
        <w:tblPrEx>
          <w:tblCellMar>
            <w:top w:w="0" w:type="dxa"/>
            <w:left w:w="0" w:type="dxa"/>
            <w:bottom w:w="0" w:type="dxa"/>
            <w:right w:w="0" w:type="dxa"/>
          </w:tblCellMar>
        </w:tblPrEx>
        <w:trPr>
          <w:trHeight w:val="553" w:hRule="atLeast"/>
          <w:jc w:val="center"/>
        </w:trPr>
        <w:tc>
          <w:tcPr>
            <w:tcW w:w="993"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7E075DF2">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其他</w:t>
            </w:r>
          </w:p>
        </w:tc>
        <w:tc>
          <w:tcPr>
            <w:tcW w:w="48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37666EB">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1、成交供应商因食品质量问题受到投诉,一经查实的</w:t>
            </w:r>
          </w:p>
        </w:tc>
        <w:tc>
          <w:tcPr>
            <w:tcW w:w="7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B4E5BB8">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cs="宋体"/>
                <w:color w:val="000000" w:themeColor="text1"/>
                <w:szCs w:val="21"/>
                <w:highlight w:val="none"/>
                <w:lang w:val="en-US" w:eastAsia="zh-CN"/>
                <w14:textFill>
                  <w14:solidFill>
                    <w14:schemeClr w14:val="tx1"/>
                  </w14:solidFill>
                </w14:textFill>
              </w:rPr>
              <w:t>6</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17624E8">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不符合要求的扣2分/次</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991FD84">
            <w:pPr>
              <w:snapToGrid w:val="0"/>
              <w:spacing w:line="360" w:lineRule="auto"/>
              <w:rPr>
                <w:rFonts w:ascii="宋体" w:hAnsi="宋体" w:cs="宋体"/>
                <w:color w:val="000000" w:themeColor="text1"/>
                <w:szCs w:val="21"/>
                <w:highlight w:val="none"/>
                <w14:textFill>
                  <w14:solidFill>
                    <w14:schemeClr w14:val="tx1"/>
                  </w14:solidFill>
                </w14:textFill>
              </w:rPr>
            </w:pPr>
          </w:p>
        </w:tc>
      </w:tr>
      <w:tr w14:paraId="42F0ADF4">
        <w:tblPrEx>
          <w:tblCellMar>
            <w:top w:w="0" w:type="dxa"/>
            <w:left w:w="0" w:type="dxa"/>
            <w:bottom w:w="0" w:type="dxa"/>
            <w:right w:w="0" w:type="dxa"/>
          </w:tblCellMar>
        </w:tblPrEx>
        <w:trPr>
          <w:trHeight w:val="572" w:hRule="atLeast"/>
          <w:jc w:val="center"/>
        </w:trPr>
        <w:tc>
          <w:tcPr>
            <w:tcW w:w="993" w:type="dxa"/>
            <w:vMerge w:val="continue"/>
            <w:tcBorders>
              <w:left w:val="single" w:color="000000" w:sz="4" w:space="0"/>
              <w:right w:val="single" w:color="000000" w:sz="4" w:space="0"/>
            </w:tcBorders>
            <w:tcMar>
              <w:top w:w="0" w:type="dxa"/>
              <w:left w:w="108" w:type="dxa"/>
              <w:bottom w:w="0" w:type="dxa"/>
              <w:right w:w="108" w:type="dxa"/>
            </w:tcMar>
            <w:textDirection w:val="tbRlV"/>
            <w:vAlign w:val="center"/>
          </w:tcPr>
          <w:p w14:paraId="7FE9C130">
            <w:pPr>
              <w:snapToGrid w:val="0"/>
              <w:spacing w:line="360" w:lineRule="auto"/>
              <w:rPr>
                <w:rFonts w:ascii="宋体" w:hAnsi="宋体" w:cs="宋体"/>
                <w:color w:val="000000" w:themeColor="text1"/>
                <w:szCs w:val="21"/>
                <w:highlight w:val="none"/>
                <w14:textFill>
                  <w14:solidFill>
                    <w14:schemeClr w14:val="tx1"/>
                  </w14:solidFill>
                </w14:textFill>
              </w:rPr>
            </w:pPr>
          </w:p>
        </w:tc>
        <w:tc>
          <w:tcPr>
            <w:tcW w:w="48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273B509">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2、成交供应商因服务质量问题受到投诉,一经查实的</w:t>
            </w:r>
          </w:p>
        </w:tc>
        <w:tc>
          <w:tcPr>
            <w:tcW w:w="7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121B165">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cs="宋体"/>
                <w:color w:val="000000" w:themeColor="text1"/>
                <w:szCs w:val="21"/>
                <w:highlight w:val="none"/>
                <w:lang w:val="en-US" w:eastAsia="zh-CN"/>
                <w14:textFill>
                  <w14:solidFill>
                    <w14:schemeClr w14:val="tx1"/>
                  </w14:solidFill>
                </w14:textFill>
              </w:rPr>
              <w:t>4</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940FDD5">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不符合要求的扣1分/次</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4D6F988">
            <w:pPr>
              <w:snapToGrid w:val="0"/>
              <w:spacing w:line="360" w:lineRule="auto"/>
              <w:rPr>
                <w:rFonts w:ascii="宋体" w:hAnsi="宋体" w:cs="宋体"/>
                <w:color w:val="000000" w:themeColor="text1"/>
                <w:szCs w:val="21"/>
                <w:highlight w:val="none"/>
                <w14:textFill>
                  <w14:solidFill>
                    <w14:schemeClr w14:val="tx1"/>
                  </w14:solidFill>
                </w14:textFill>
              </w:rPr>
            </w:pPr>
          </w:p>
        </w:tc>
      </w:tr>
      <w:tr w14:paraId="2D777037">
        <w:tblPrEx>
          <w:tblCellMar>
            <w:top w:w="0" w:type="dxa"/>
            <w:left w:w="0" w:type="dxa"/>
            <w:bottom w:w="0" w:type="dxa"/>
            <w:right w:w="0" w:type="dxa"/>
          </w:tblCellMar>
        </w:tblPrEx>
        <w:trPr>
          <w:trHeight w:val="552" w:hRule="atLeast"/>
          <w:jc w:val="center"/>
        </w:trPr>
        <w:tc>
          <w:tcPr>
            <w:tcW w:w="993" w:type="dxa"/>
            <w:vMerge w:val="continue"/>
            <w:tcBorders>
              <w:left w:val="single" w:color="000000" w:sz="4" w:space="0"/>
              <w:right w:val="single" w:color="000000" w:sz="4" w:space="0"/>
            </w:tcBorders>
            <w:tcMar>
              <w:top w:w="0" w:type="dxa"/>
              <w:left w:w="108" w:type="dxa"/>
              <w:bottom w:w="0" w:type="dxa"/>
              <w:right w:w="108" w:type="dxa"/>
            </w:tcMar>
            <w:textDirection w:val="tbRlV"/>
            <w:vAlign w:val="center"/>
          </w:tcPr>
          <w:p w14:paraId="5AA5ECCD">
            <w:pPr>
              <w:snapToGrid w:val="0"/>
              <w:spacing w:line="360" w:lineRule="auto"/>
              <w:rPr>
                <w:rFonts w:ascii="宋体" w:hAnsi="宋体" w:cs="宋体"/>
                <w:color w:val="000000" w:themeColor="text1"/>
                <w:szCs w:val="21"/>
                <w:highlight w:val="none"/>
                <w14:textFill>
                  <w14:solidFill>
                    <w14:schemeClr w14:val="tx1"/>
                  </w14:solidFill>
                </w14:textFill>
              </w:rPr>
            </w:pPr>
          </w:p>
        </w:tc>
        <w:tc>
          <w:tcPr>
            <w:tcW w:w="48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055C1DD">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3、饭菜中发现有蚊、蝇、虫或其他杂物的</w:t>
            </w:r>
          </w:p>
        </w:tc>
        <w:tc>
          <w:tcPr>
            <w:tcW w:w="7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54E52ED">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cs="宋体"/>
                <w:color w:val="000000" w:themeColor="text1"/>
                <w:szCs w:val="21"/>
                <w:highlight w:val="none"/>
                <w:lang w:val="en-US" w:eastAsia="zh-CN"/>
                <w14:textFill>
                  <w14:solidFill>
                    <w14:schemeClr w14:val="tx1"/>
                  </w14:solidFill>
                </w14:textFill>
              </w:rPr>
              <w:t>6</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9B7E369">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不符合要求的扣</w:t>
            </w:r>
            <w:r>
              <w:rPr>
                <w:rFonts w:hint="eastAsia"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分/次</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15B6A18">
            <w:pPr>
              <w:snapToGrid w:val="0"/>
              <w:spacing w:line="360" w:lineRule="auto"/>
              <w:rPr>
                <w:rFonts w:ascii="宋体" w:hAnsi="宋体" w:cs="宋体"/>
                <w:color w:val="000000" w:themeColor="text1"/>
                <w:szCs w:val="21"/>
                <w:highlight w:val="none"/>
                <w14:textFill>
                  <w14:solidFill>
                    <w14:schemeClr w14:val="tx1"/>
                  </w14:solidFill>
                </w14:textFill>
              </w:rPr>
            </w:pPr>
          </w:p>
        </w:tc>
      </w:tr>
      <w:tr w14:paraId="5FAC5CAD">
        <w:tblPrEx>
          <w:tblCellMar>
            <w:top w:w="0" w:type="dxa"/>
            <w:left w:w="0" w:type="dxa"/>
            <w:bottom w:w="0" w:type="dxa"/>
            <w:right w:w="0" w:type="dxa"/>
          </w:tblCellMar>
        </w:tblPrEx>
        <w:trPr>
          <w:trHeight w:val="552" w:hRule="atLeast"/>
          <w:jc w:val="center"/>
        </w:trPr>
        <w:tc>
          <w:tcPr>
            <w:tcW w:w="993"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textDirection w:val="tbRlV"/>
            <w:vAlign w:val="center"/>
          </w:tcPr>
          <w:p w14:paraId="407568C7">
            <w:pPr>
              <w:snapToGrid w:val="0"/>
              <w:spacing w:line="360" w:lineRule="auto"/>
              <w:rPr>
                <w:rFonts w:ascii="宋体" w:hAnsi="宋体" w:cs="宋体"/>
                <w:color w:val="000000" w:themeColor="text1"/>
                <w:szCs w:val="21"/>
                <w:highlight w:val="none"/>
                <w14:textFill>
                  <w14:solidFill>
                    <w14:schemeClr w14:val="tx1"/>
                  </w14:solidFill>
                </w14:textFill>
              </w:rPr>
            </w:pPr>
          </w:p>
        </w:tc>
        <w:tc>
          <w:tcPr>
            <w:tcW w:w="48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7971807">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4、没有留样或不按要求留样、索证索票不齐全、台账不规范的，不按规定对票证进行存档的</w:t>
            </w:r>
          </w:p>
        </w:tc>
        <w:tc>
          <w:tcPr>
            <w:tcW w:w="7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DDF6496">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C8E1DE2">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不符合要求的扣2分/次</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1A8F399">
            <w:pPr>
              <w:snapToGrid w:val="0"/>
              <w:spacing w:line="360" w:lineRule="auto"/>
              <w:rPr>
                <w:rFonts w:ascii="宋体" w:hAnsi="宋体" w:cs="宋体"/>
                <w:color w:val="000000" w:themeColor="text1"/>
                <w:szCs w:val="21"/>
                <w:highlight w:val="none"/>
                <w14:textFill>
                  <w14:solidFill>
                    <w14:schemeClr w14:val="tx1"/>
                  </w14:solidFill>
                </w14:textFill>
              </w:rPr>
            </w:pPr>
          </w:p>
        </w:tc>
      </w:tr>
      <w:tr w14:paraId="105A7599">
        <w:tblPrEx>
          <w:tblCellMar>
            <w:top w:w="0" w:type="dxa"/>
            <w:left w:w="0" w:type="dxa"/>
            <w:bottom w:w="0" w:type="dxa"/>
            <w:right w:w="0" w:type="dxa"/>
          </w:tblCellMar>
        </w:tblPrEx>
        <w:trPr>
          <w:trHeight w:val="567" w:hRule="atLeast"/>
          <w:jc w:val="center"/>
        </w:trPr>
        <w:tc>
          <w:tcPr>
            <w:tcW w:w="9006"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022340A">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总得分：   分</w:t>
            </w:r>
          </w:p>
        </w:tc>
      </w:tr>
    </w:tbl>
    <w:p w14:paraId="3AB9FC45">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说明：</w:t>
      </w:r>
    </w:p>
    <w:p w14:paraId="1F7E4DC9">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1、服务质量每月考核一次，考核不达标的按以下标准扣罚；</w:t>
      </w:r>
    </w:p>
    <w:p w14:paraId="13CE921E">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2、考核分为A、B、C、D三级，A≥9</w:t>
      </w:r>
      <w:r>
        <w:rPr>
          <w:rFonts w:hint="eastAsia" w:ascii="宋体" w:hAnsi="宋体" w:cs="宋体"/>
          <w:color w:val="000000" w:themeColor="text1"/>
          <w:szCs w:val="21"/>
          <w:highlight w:val="none"/>
          <w:lang w:val="en-US" w:eastAsia="zh-CN"/>
          <w14:textFill>
            <w14:solidFill>
              <w14:schemeClr w14:val="tx1"/>
            </w14:solidFill>
          </w14:textFill>
        </w:rPr>
        <w:t>0</w:t>
      </w:r>
      <w:r>
        <w:rPr>
          <w:rFonts w:hint="eastAsia" w:ascii="宋体" w:hAnsi="宋体" w:cs="宋体"/>
          <w:color w:val="000000" w:themeColor="text1"/>
          <w:szCs w:val="21"/>
          <w:highlight w:val="none"/>
          <w14:textFill>
            <w14:solidFill>
              <w14:schemeClr w14:val="tx1"/>
            </w14:solidFill>
          </w14:textFill>
        </w:rPr>
        <w:t>分，</w:t>
      </w:r>
      <w:r>
        <w:rPr>
          <w:rFonts w:hint="eastAsia" w:ascii="宋体" w:hAnsi="宋体" w:cs="宋体"/>
          <w:color w:val="000000" w:themeColor="text1"/>
          <w:szCs w:val="21"/>
          <w:highlight w:val="none"/>
          <w:lang w:val="en-US" w:eastAsia="zh-CN"/>
          <w14:textFill>
            <w14:solidFill>
              <w14:schemeClr w14:val="tx1"/>
            </w14:solidFill>
          </w14:textFill>
        </w:rPr>
        <w:t>80</w:t>
      </w:r>
      <w:r>
        <w:rPr>
          <w:rFonts w:hint="eastAsia" w:ascii="宋体" w:hAnsi="宋体" w:cs="宋体"/>
          <w:color w:val="000000" w:themeColor="text1"/>
          <w:szCs w:val="21"/>
          <w:highlight w:val="none"/>
          <w14:textFill>
            <w14:solidFill>
              <w14:schemeClr w14:val="tx1"/>
            </w14:solidFill>
          </w14:textFill>
        </w:rPr>
        <w:t>分≤B＜9</w:t>
      </w:r>
      <w:r>
        <w:rPr>
          <w:rFonts w:hint="eastAsia" w:ascii="宋体" w:hAnsi="宋体" w:cs="宋体"/>
          <w:color w:val="000000" w:themeColor="text1"/>
          <w:szCs w:val="21"/>
          <w:highlight w:val="none"/>
          <w:lang w:val="en-US" w:eastAsia="zh-CN"/>
          <w14:textFill>
            <w14:solidFill>
              <w14:schemeClr w14:val="tx1"/>
            </w14:solidFill>
          </w14:textFill>
        </w:rPr>
        <w:t>0</w:t>
      </w:r>
      <w:r>
        <w:rPr>
          <w:rFonts w:hint="eastAsia" w:ascii="宋体" w:hAnsi="宋体" w:cs="宋体"/>
          <w:color w:val="000000" w:themeColor="text1"/>
          <w:szCs w:val="21"/>
          <w:highlight w:val="none"/>
          <w14:textFill>
            <w14:solidFill>
              <w14:schemeClr w14:val="tx1"/>
            </w14:solidFill>
          </w14:textFill>
        </w:rPr>
        <w:t>分</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75</w:t>
      </w:r>
      <w:r>
        <w:rPr>
          <w:rFonts w:hint="eastAsia" w:ascii="宋体" w:hAnsi="宋体" w:cs="宋体"/>
          <w:color w:val="000000" w:themeColor="text1"/>
          <w:szCs w:val="21"/>
          <w:highlight w:val="none"/>
          <w14:textFill>
            <w14:solidFill>
              <w14:schemeClr w14:val="tx1"/>
            </w14:solidFill>
          </w14:textFill>
        </w:rPr>
        <w:t>分≤C＜</w:t>
      </w:r>
      <w:r>
        <w:rPr>
          <w:rFonts w:hint="eastAsia" w:ascii="宋体" w:hAnsi="宋体" w:cs="宋体"/>
          <w:color w:val="000000" w:themeColor="text1"/>
          <w:szCs w:val="21"/>
          <w:highlight w:val="none"/>
          <w:lang w:val="en-US" w:eastAsia="zh-CN"/>
          <w14:textFill>
            <w14:solidFill>
              <w14:schemeClr w14:val="tx1"/>
            </w14:solidFill>
          </w14:textFill>
        </w:rPr>
        <w:t>80</w:t>
      </w:r>
      <w:r>
        <w:rPr>
          <w:rFonts w:hint="eastAsia" w:ascii="宋体" w:hAnsi="宋体" w:cs="宋体"/>
          <w:color w:val="000000" w:themeColor="text1"/>
          <w:szCs w:val="21"/>
          <w:highlight w:val="none"/>
          <w14:textFill>
            <w14:solidFill>
              <w14:schemeClr w14:val="tx1"/>
            </w14:solidFill>
          </w14:textFill>
        </w:rPr>
        <w:t>分，D＜</w:t>
      </w:r>
      <w:r>
        <w:rPr>
          <w:rFonts w:hint="eastAsia" w:ascii="宋体" w:hAnsi="宋体" w:cs="宋体"/>
          <w:color w:val="000000" w:themeColor="text1"/>
          <w:szCs w:val="21"/>
          <w:highlight w:val="none"/>
          <w:lang w:val="en-US" w:eastAsia="zh-CN"/>
          <w14:textFill>
            <w14:solidFill>
              <w14:schemeClr w14:val="tx1"/>
            </w14:solidFill>
          </w14:textFill>
        </w:rPr>
        <w:t>75</w:t>
      </w:r>
      <w:r>
        <w:rPr>
          <w:rFonts w:hint="eastAsia" w:ascii="宋体" w:hAnsi="宋体" w:cs="宋体"/>
          <w:color w:val="000000" w:themeColor="text1"/>
          <w:szCs w:val="21"/>
          <w:highlight w:val="none"/>
          <w14:textFill>
            <w14:solidFill>
              <w14:schemeClr w14:val="tx1"/>
            </w14:solidFill>
          </w14:textFill>
        </w:rPr>
        <w:t>分；</w:t>
      </w:r>
    </w:p>
    <w:p w14:paraId="4CBBA8C1">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3、以履约保证金为基数，扣罚比例如下：A级不扣罚；B级扣罚履约保证金的</w:t>
      </w:r>
      <w:r>
        <w:rPr>
          <w:rFonts w:hint="eastAsia"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；C级扣罚履约保证金的</w:t>
      </w:r>
      <w:r>
        <w:rPr>
          <w:rFonts w:hint="eastAsia"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%，D级扣罚履约保证金的3%。</w:t>
      </w:r>
    </w:p>
    <w:p w14:paraId="7D4309E7">
      <w:pPr>
        <w:snapToGrid w:val="0"/>
        <w:spacing w:line="360" w:lineRule="auto"/>
        <w:rPr>
          <w:rFonts w:ascii="宋体" w:hAnsi="宋体" w:cs="宋体"/>
          <w:color w:val="000000" w:themeColor="text1"/>
          <w:szCs w:val="21"/>
          <w:highlight w:val="none"/>
          <w14:textFill>
            <w14:solidFill>
              <w14:schemeClr w14:val="tx1"/>
            </w14:solidFill>
          </w14:textFill>
        </w:rPr>
      </w:pPr>
    </w:p>
    <w:p w14:paraId="6E6FFC6F">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被考核单位：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考核单位：</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p>
    <w:p w14:paraId="09503ECB">
      <w:pPr>
        <w:snapToGrid w:val="0"/>
        <w:spacing w:line="360" w:lineRule="auto"/>
        <w:rPr>
          <w:rFonts w:ascii="宋体" w:hAnsi="宋体" w:cs="宋体"/>
          <w:color w:val="000000" w:themeColor="text1"/>
          <w:szCs w:val="21"/>
          <w:highlight w:val="none"/>
          <w14:textFill>
            <w14:solidFill>
              <w14:schemeClr w14:val="tx1"/>
            </w14:solidFill>
          </w14:textFill>
        </w:rPr>
      </w:pPr>
    </w:p>
    <w:p w14:paraId="5475B910">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负责人签名及盖章：</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负责人签名及盖章：</w:t>
      </w:r>
      <w:r>
        <w:rPr>
          <w:rFonts w:hint="eastAsia" w:ascii="宋体" w:hAnsi="宋体" w:cs="宋体"/>
          <w:color w:val="000000" w:themeColor="text1"/>
          <w:szCs w:val="21"/>
          <w:highlight w:val="none"/>
          <w:u w:val="single"/>
          <w14:textFill>
            <w14:solidFill>
              <w14:schemeClr w14:val="tx1"/>
            </w14:solidFill>
          </w14:textFill>
        </w:rPr>
        <w:t xml:space="preserve">              </w:t>
      </w:r>
    </w:p>
    <w:p w14:paraId="02F3C0B8">
      <w:pPr>
        <w:spacing w:line="360" w:lineRule="auto"/>
        <w:rPr>
          <w:rFonts w:ascii="宋体" w:hAnsi="宋体" w:cs="宋体"/>
          <w:color w:val="000000" w:themeColor="text1"/>
          <w:szCs w:val="21"/>
          <w:highlight w:val="none"/>
          <w:u w:val="single"/>
          <w14:textFill>
            <w14:solidFill>
              <w14:schemeClr w14:val="tx1"/>
            </w14:solidFill>
          </w14:textFill>
        </w:rPr>
      </w:pPr>
    </w:p>
    <w:p w14:paraId="6880D6D0">
      <w:pPr>
        <w:pStyle w:val="14"/>
        <w:spacing w:line="360" w:lineRule="auto"/>
        <w:jc w:val="right"/>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u w:val="single"/>
          <w14:textFill>
            <w14:solidFill>
              <w14:schemeClr w14:val="tx1"/>
            </w14:solidFill>
          </w14:textFill>
        </w:rPr>
        <w:t xml:space="preserve">       </w:t>
      </w:r>
      <w:r>
        <w:rPr>
          <w:rFonts w:hint="eastAsia" w:hAnsi="宋体" w:cs="宋体"/>
          <w:color w:val="000000" w:themeColor="text1"/>
          <w:sz w:val="21"/>
          <w:szCs w:val="21"/>
          <w:highlight w:val="none"/>
          <w14:textFill>
            <w14:solidFill>
              <w14:schemeClr w14:val="tx1"/>
            </w14:solidFill>
          </w14:textFill>
        </w:rPr>
        <w:t>年</w:t>
      </w:r>
      <w:r>
        <w:rPr>
          <w:rFonts w:hint="eastAsia" w:hAnsi="宋体" w:cs="宋体"/>
          <w:color w:val="000000" w:themeColor="text1"/>
          <w:sz w:val="21"/>
          <w:szCs w:val="21"/>
          <w:highlight w:val="none"/>
          <w:u w:val="single"/>
          <w14:textFill>
            <w14:solidFill>
              <w14:schemeClr w14:val="tx1"/>
            </w14:solidFill>
          </w14:textFill>
        </w:rPr>
        <w:t xml:space="preserve">    </w:t>
      </w:r>
      <w:r>
        <w:rPr>
          <w:rFonts w:hint="eastAsia" w:hAnsi="宋体" w:cs="宋体"/>
          <w:color w:val="000000" w:themeColor="text1"/>
          <w:sz w:val="21"/>
          <w:szCs w:val="21"/>
          <w:highlight w:val="none"/>
          <w14:textFill>
            <w14:solidFill>
              <w14:schemeClr w14:val="tx1"/>
            </w14:solidFill>
          </w14:textFill>
        </w:rPr>
        <w:t>月</w:t>
      </w:r>
      <w:r>
        <w:rPr>
          <w:rFonts w:hint="eastAsia" w:hAnsi="宋体" w:cs="宋体"/>
          <w:color w:val="000000" w:themeColor="text1"/>
          <w:sz w:val="21"/>
          <w:szCs w:val="21"/>
          <w:highlight w:val="none"/>
          <w:u w:val="single"/>
          <w14:textFill>
            <w14:solidFill>
              <w14:schemeClr w14:val="tx1"/>
            </w14:solidFill>
          </w14:textFill>
        </w:rPr>
        <w:t xml:space="preserve">    </w:t>
      </w:r>
      <w:r>
        <w:rPr>
          <w:rFonts w:hint="eastAsia" w:hAnsi="宋体" w:cs="宋体"/>
          <w:color w:val="000000" w:themeColor="text1"/>
          <w:sz w:val="21"/>
          <w:szCs w:val="21"/>
          <w:highlight w:val="none"/>
          <w14:textFill>
            <w14:solidFill>
              <w14:schemeClr w14:val="tx1"/>
            </w14:solidFill>
          </w14:textFill>
        </w:rPr>
        <w:t xml:space="preserve">日   </w:t>
      </w:r>
    </w:p>
    <w:p w14:paraId="74C25490">
      <w:pPr>
        <w:pStyle w:val="14"/>
        <w:spacing w:line="360" w:lineRule="auto"/>
        <w:rPr>
          <w:color w:val="000000" w:themeColor="text1"/>
          <w:highlight w:val="none"/>
          <w14:textFill>
            <w14:solidFill>
              <w14:schemeClr w14:val="tx1"/>
            </w14:solidFill>
          </w14:textFill>
        </w:rPr>
      </w:pPr>
    </w:p>
    <w:p w14:paraId="764422F2">
      <w:pPr>
        <w:numPr>
          <w:ilvl w:val="0"/>
          <w:numId w:val="0"/>
        </w:numPr>
        <w:tabs>
          <w:tab w:val="left" w:pos="530"/>
          <w:tab w:val="left" w:pos="567"/>
        </w:tabs>
        <w:spacing w:line="460" w:lineRule="exact"/>
        <w:ind w:leftChars="0"/>
        <w:jc w:val="both"/>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lang w:val="en-US" w:eastAsia="zh-CN"/>
          <w14:textFill>
            <w14:solidFill>
              <w14:schemeClr w14:val="tx1"/>
            </w14:solidFill>
          </w14:textFill>
        </w:rPr>
        <w:t>五、</w:t>
      </w:r>
      <w:r>
        <w:rPr>
          <w:rFonts w:hint="eastAsia" w:ascii="宋体" w:hAnsi="宋体" w:cs="宋体"/>
          <w:b/>
          <w:color w:val="000000" w:themeColor="text1"/>
          <w:sz w:val="24"/>
          <w:szCs w:val="24"/>
          <w:highlight w:val="none"/>
          <w14:textFill>
            <w14:solidFill>
              <w14:schemeClr w14:val="tx1"/>
            </w14:solidFill>
          </w14:textFill>
        </w:rPr>
        <w:t>合同终止</w:t>
      </w:r>
    </w:p>
    <w:p w14:paraId="69F254EC">
      <w:pPr>
        <w:tabs>
          <w:tab w:val="left" w:pos="567"/>
        </w:tabs>
        <w:spacing w:line="460" w:lineRule="exact"/>
        <w:ind w:left="142"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1、成交供应商有下列情形之一的，采购人有权单方面解除合同，且不予退还履约保证金，给采购人造成实际经济损失的，成交供应商还应赔偿全部损失:</w:t>
      </w:r>
    </w:p>
    <w:p w14:paraId="36C7978D">
      <w:pPr>
        <w:tabs>
          <w:tab w:val="left" w:pos="567"/>
        </w:tabs>
        <w:spacing w:line="460" w:lineRule="exact"/>
        <w:ind w:left="142"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（1）未经采购人书面同意，将合同的部分和全部转让或分包给第三方。</w:t>
      </w:r>
    </w:p>
    <w:p w14:paraId="47707AE0">
      <w:pPr>
        <w:tabs>
          <w:tab w:val="left" w:pos="567"/>
        </w:tabs>
        <w:spacing w:line="460" w:lineRule="exact"/>
        <w:ind w:left="142"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（2）发生食物中毒或安全生产责任事故，造成严重后果的。</w:t>
      </w:r>
    </w:p>
    <w:p w14:paraId="2DAA4BCC">
      <w:pPr>
        <w:tabs>
          <w:tab w:val="left" w:pos="567"/>
        </w:tabs>
        <w:spacing w:line="460" w:lineRule="exact"/>
        <w:ind w:left="142"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（3）在经营过程中，因成交供应商过失导致一方或双方被行政处罚或其他违反法律法规，造成严重后果的。</w:t>
      </w:r>
    </w:p>
    <w:p w14:paraId="7B7D813E">
      <w:pPr>
        <w:tabs>
          <w:tab w:val="left" w:pos="567"/>
        </w:tabs>
        <w:spacing w:line="460" w:lineRule="exact"/>
        <w:ind w:left="142"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）成交供应商存在违约情况，采购人发现问题并提出整改，成交供应商整改不力（同一问题连续3次都整改不到位）或拒绝整改的。</w:t>
      </w:r>
    </w:p>
    <w:p w14:paraId="366637CC">
      <w:pPr>
        <w:tabs>
          <w:tab w:val="left" w:pos="567"/>
        </w:tabs>
        <w:spacing w:line="460" w:lineRule="exact"/>
        <w:ind w:left="142"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）成交供应商丧失实际履约能力，如相关许可证照不在有效期内等，按照有关规定或者上级命令需要立即停止经营的。</w:t>
      </w:r>
    </w:p>
    <w:p w14:paraId="728B6652">
      <w:pPr>
        <w:tabs>
          <w:tab w:val="left" w:pos="567"/>
        </w:tabs>
        <w:spacing w:line="460" w:lineRule="exact"/>
        <w:ind w:left="142"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2、成交供应商原因导致合同提前终止的，成交供应商投入的装修装饰及购置的所有设备设施将不计算折旧，全部归采购人所有，采购人无须对成交供应商的任何前期投入进行赔偿。</w:t>
      </w:r>
    </w:p>
    <w:p w14:paraId="3EA18738">
      <w:pPr>
        <w:tabs>
          <w:tab w:val="left" w:pos="567"/>
        </w:tabs>
        <w:spacing w:line="460" w:lineRule="exact"/>
        <w:ind w:left="142"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3、服务期内，双方无正当理由不能提前终止合同，若一方要提前终止，须提前三个月书面向另一方提出，经双方允许、充分协商达成一致方可终止。否则，违约方应赔偿守约方所有实际损失。</w:t>
      </w:r>
    </w:p>
    <w:p w14:paraId="0EE05181">
      <w:pPr>
        <w:tabs>
          <w:tab w:val="left" w:pos="567"/>
        </w:tabs>
        <w:spacing w:line="460" w:lineRule="exact"/>
        <w:ind w:left="142"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每年采购人对成交供应商的履约情况进行评估，当年月度考核得分为</w:t>
      </w:r>
      <w:r>
        <w:rPr>
          <w:rFonts w:hint="eastAsia" w:ascii="宋体" w:hAnsi="宋体" w:cs="宋体"/>
          <w:color w:val="000000" w:themeColor="text1"/>
          <w:szCs w:val="21"/>
          <w:highlight w:val="none"/>
          <w:lang w:val="en-US" w:eastAsia="zh-CN"/>
          <w14:textFill>
            <w14:solidFill>
              <w14:schemeClr w14:val="tx1"/>
            </w14:solidFill>
          </w14:textFill>
        </w:rPr>
        <w:t>80</w:t>
      </w:r>
      <w:r>
        <w:rPr>
          <w:rFonts w:hint="eastAsia" w:ascii="宋体" w:hAnsi="宋体" w:cs="宋体"/>
          <w:color w:val="000000" w:themeColor="text1"/>
          <w:szCs w:val="21"/>
          <w:highlight w:val="none"/>
          <w14:textFill>
            <w14:solidFill>
              <w14:schemeClr w14:val="tx1"/>
            </w14:solidFill>
          </w14:textFill>
        </w:rPr>
        <w:t>以下（不含</w:t>
      </w: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0分）次数小于3次的，视为通过当年评估并继续执行下一年合同；否则采购人有权单方无责解除合同，并对该项目重新开展采购活动，由此造成的一切损失由成交供应商自行承担。</w:t>
      </w:r>
    </w:p>
    <w:p w14:paraId="54C64213">
      <w:pPr>
        <w:pStyle w:val="14"/>
        <w:spacing w:line="360" w:lineRule="auto"/>
        <w:rPr>
          <w:color w:val="000000" w:themeColor="text1"/>
          <w:highlight w:val="none"/>
          <w14:textFill>
            <w14:solidFill>
              <w14:schemeClr w14:val="tx1"/>
            </w14:solidFill>
          </w14:textFill>
        </w:rPr>
      </w:pPr>
    </w:p>
    <w:p w14:paraId="49067EB5">
      <w:pPr>
        <w:pStyle w:val="14"/>
        <w:spacing w:line="360" w:lineRule="auto"/>
        <w:rPr>
          <w:color w:val="000000" w:themeColor="text1"/>
          <w:highlight w:val="none"/>
          <w14:textFill>
            <w14:solidFill>
              <w14:schemeClr w14:val="tx1"/>
            </w14:solidFill>
          </w14:textFill>
        </w:rPr>
      </w:pPr>
    </w:p>
    <w:p w14:paraId="338D366D">
      <w:pPr>
        <w:rPr>
          <w:highlight w:val="none"/>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5DAF0">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235A8C2">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235A8C2">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F84A49"/>
    <w:multiLevelType w:val="multilevel"/>
    <w:tmpl w:val="3BF84A49"/>
    <w:lvl w:ilvl="0" w:tentative="0">
      <w:start w:val="1"/>
      <w:numFmt w:val="decimal"/>
      <w:suff w:val="nothing"/>
      <w:lvlText w:val="%1."/>
      <w:lvlJc w:val="left"/>
      <w:pPr>
        <w:ind w:left="860" w:hanging="420"/>
      </w:pPr>
      <w:rPr>
        <w:rFonts w:hint="eastAsia"/>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9120A2"/>
    <w:rsid w:val="084F532E"/>
    <w:rsid w:val="0D465A6A"/>
    <w:rsid w:val="1C472991"/>
    <w:rsid w:val="205A7BE3"/>
    <w:rsid w:val="22455017"/>
    <w:rsid w:val="24675278"/>
    <w:rsid w:val="2F8874BC"/>
    <w:rsid w:val="3B532F8D"/>
    <w:rsid w:val="3C6A4E44"/>
    <w:rsid w:val="4407613C"/>
    <w:rsid w:val="47E734CD"/>
    <w:rsid w:val="60E911C1"/>
    <w:rsid w:val="63B03E6D"/>
    <w:rsid w:val="6B06689A"/>
    <w:rsid w:val="759120A2"/>
    <w:rsid w:val="7B9A3BFE"/>
    <w:rsid w:val="7D7C7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line="360" w:lineRule="auto"/>
    </w:pPr>
    <w:rPr>
      <w:rFonts w:ascii="宋体" w:hAnsi="宋体" w:eastAsia="宋体" w:cs="宋体"/>
      <w:sz w:val="21"/>
      <w:szCs w:val="22"/>
      <w:lang w:val="en-US" w:eastAsia="en-US" w:bidi="ar-SA"/>
    </w:rPr>
  </w:style>
  <w:style w:type="paragraph" w:styleId="2">
    <w:name w:val="heading 1"/>
    <w:basedOn w:val="1"/>
    <w:next w:val="1"/>
    <w:qFormat/>
    <w:uiPriority w:val="0"/>
    <w:pPr>
      <w:keepNext/>
      <w:keepLines/>
      <w:pBdr>
        <w:top w:val="none" w:color="auto" w:sz="0" w:space="1"/>
        <w:left w:val="none" w:color="auto" w:sz="0" w:space="4"/>
        <w:bottom w:val="single" w:color="auto" w:sz="4" w:space="1"/>
        <w:right w:val="none" w:color="auto" w:sz="0" w:space="4"/>
      </w:pBdr>
      <w:spacing w:before="340" w:beforeLines="0" w:beforeAutospacing="0" w:after="330" w:afterLines="0" w:afterAutospacing="0" w:line="576" w:lineRule="auto"/>
      <w:outlineLvl w:val="0"/>
    </w:pPr>
    <w:rPr>
      <w:rFonts w:ascii="Calibri" w:hAnsi="Calibri" w:eastAsia="楷体" w:cs="Times New Roman"/>
      <w:b/>
      <w:shadow/>
      <w:kern w:val="44"/>
      <w:sz w:val="44"/>
    </w:rPr>
  </w:style>
  <w:style w:type="paragraph" w:styleId="3">
    <w:name w:val="heading 2"/>
    <w:basedOn w:val="1"/>
    <w:next w:val="1"/>
    <w:qFormat/>
    <w:uiPriority w:val="1"/>
    <w:pPr>
      <w:ind w:left="1854"/>
      <w:outlineLvl w:val="1"/>
    </w:pPr>
    <w:rPr>
      <w:b/>
      <w:bCs/>
      <w:szCs w:val="2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pPr>
  </w:style>
  <w:style w:type="paragraph" w:styleId="5">
    <w:name w:val="Body Text"/>
    <w:basedOn w:val="1"/>
    <w:next w:val="1"/>
    <w:qFormat/>
    <w:uiPriority w:val="0"/>
    <w:pPr>
      <w:spacing w:after="120"/>
    </w:pPr>
  </w:style>
  <w:style w:type="paragraph" w:styleId="6">
    <w:name w:val="Body Text Indent"/>
    <w:basedOn w:val="1"/>
    <w:next w:val="7"/>
    <w:unhideWhenUsed/>
    <w:qFormat/>
    <w:uiPriority w:val="99"/>
    <w:pPr>
      <w:spacing w:after="120"/>
      <w:ind w:left="420" w:leftChars="200"/>
    </w:pPr>
  </w:style>
  <w:style w:type="paragraph" w:styleId="7">
    <w:name w:val="envelope return"/>
    <w:basedOn w:val="1"/>
    <w:qFormat/>
    <w:uiPriority w:val="99"/>
    <w:pPr>
      <w:snapToGrid w:val="0"/>
    </w:pPr>
    <w:rPr>
      <w:rFonts w:ascii="Arial" w:hAnsi="Arial"/>
    </w:rPr>
  </w:style>
  <w:style w:type="paragraph" w:styleId="8">
    <w:name w:val="footer"/>
    <w:basedOn w:val="1"/>
    <w:uiPriority w:val="0"/>
    <w:pPr>
      <w:tabs>
        <w:tab w:val="center" w:pos="4153"/>
        <w:tab w:val="right" w:pos="8306"/>
      </w:tabs>
      <w:snapToGrid w:val="0"/>
      <w:jc w:val="left"/>
    </w:pPr>
    <w:rPr>
      <w:sz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w:basedOn w:val="5"/>
    <w:qFormat/>
    <w:uiPriority w:val="0"/>
    <w:pPr>
      <w:widowControl w:val="0"/>
      <w:spacing w:after="0" w:line="360" w:lineRule="auto"/>
      <w:ind w:firstLine="425"/>
      <w:jc w:val="both"/>
    </w:pPr>
    <w:rPr>
      <w:kern w:val="2"/>
      <w:sz w:val="24"/>
    </w:rPr>
  </w:style>
  <w:style w:type="paragraph" w:styleId="11">
    <w:name w:val="Body Text First Indent 2"/>
    <w:basedOn w:val="6"/>
    <w:unhideWhenUsed/>
    <w:qFormat/>
    <w:uiPriority w:val="99"/>
    <w:pPr>
      <w:ind w:firstLine="420" w:firstLineChars="200"/>
    </w:pPr>
  </w:style>
  <w:style w:type="paragraph" w:customStyle="1" w:styleId="14">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15">
    <w:name w:val="List Paragraph"/>
    <w:basedOn w:val="1"/>
    <w:qFormat/>
    <w:uiPriority w:val="34"/>
    <w:pPr>
      <w:ind w:left="720"/>
      <w:contextualSpacing/>
    </w:pPr>
  </w:style>
  <w:style w:type="character" w:customStyle="1" w:styleId="16">
    <w:name w:val="font11"/>
    <w:basedOn w:val="13"/>
    <w:qFormat/>
    <w:uiPriority w:val="0"/>
    <w:rPr>
      <w:rFonts w:hint="eastAsia" w:ascii="宋体" w:hAnsi="宋体" w:eastAsia="宋体" w:cs="宋体"/>
      <w:color w:val="000000"/>
      <w:sz w:val="21"/>
      <w:szCs w:val="21"/>
      <w:u w:val="none"/>
    </w:rPr>
  </w:style>
  <w:style w:type="paragraph" w:customStyle="1" w:styleId="17">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10440</Words>
  <Characters>10619</Characters>
  <Lines>0</Lines>
  <Paragraphs>0</Paragraphs>
  <TotalTime>62</TotalTime>
  <ScaleCrop>false</ScaleCrop>
  <LinksUpToDate>false</LinksUpToDate>
  <CharactersWithSpaces>10750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2025-02-20T01:09:00Z</dcterms:created>
  <dc:creator>Administrator</dc:creator>
  <cp:lastModifiedBy>WPS_1699279436</cp:lastModifiedBy>
  <cp:lastPrinted>2025-02-25T02:13:00Z</cp:lastPrinted>
  <dcterms:modified xsi:type="dcterms:W3CDTF">2025-04-02T06:50:42Z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EB7F54F19B7F4C7192B30A62CE85EBD3_13</vt:lpwstr>
  </property>
  <property fmtid="{D5CDD505-2E9C-101B-9397-08002B2CF9AE}" pid="4" name="KSOTemplateDocerSaveRecord">
    <vt:lpwstr>eyJoZGlkIjoiYWVmZjIzNDE1OTQ0ZWRhZjdmNzU1YzIzMzAyNTYwY2MiLCJ1c2VySWQiOiIxNTU2NjY4ODA0In0=</vt:lpwstr>
  </property>
</Properties>
</file>