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442000-2023-05920</w:t>
      </w:r>
    </w:p>
    <w:p>
      <w:pPr>
        <w:jc w:val="center"/>
      </w:pPr>
      <w:r>
        <w:rPr>
          <w:b/>
          <w:sz w:val="24"/>
        </w:rPr>
        <w:t>采购项目编号：</w:t>
      </w:r>
      <w:r>
        <w:rPr>
          <w:b/>
          <w:sz w:val="24"/>
        </w:rPr>
        <w:t>ZZ22320938</w:t>
      </w:r>
    </w:p>
    <w:p>
      <w:pPr>
        <w:jc w:val="center"/>
      </w:pPr>
      <w:r>
        <w:rPr>
          <w:b/>
          <w:sz w:val="24"/>
        </w:rPr>
        <w:t>项目名称：</w:t>
      </w:r>
      <w:r>
        <w:rPr>
          <w:b/>
          <w:sz w:val="24"/>
        </w:rPr>
        <w:t>中山市城市智慧大脑运维服务项目</w:t>
      </w:r>
    </w:p>
    <w:p>
      <w:pPr>
        <w:jc w:val="center"/>
      </w:pPr>
      <w:r>
        <w:rPr>
          <w:b/>
          <w:sz w:val="24"/>
        </w:rPr>
        <w:t>采购人：</w:t>
      </w:r>
      <w:r>
        <w:rPr>
          <w:b/>
          <w:sz w:val="24"/>
        </w:rPr>
        <w:t>中山市政务服务数据管理局</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中山市政务服务数据管理局</w:t>
      </w:r>
      <w:r>
        <w:rPr/>
        <w:t>的委托，采用</w:t>
      </w:r>
      <w:r>
        <w:rPr/>
        <w:t>公开招标</w:t>
      </w:r>
      <w:r>
        <w:rPr/>
        <w:t>方式组织采购</w:t>
      </w:r>
      <w:r>
        <w:rPr/>
        <w:t>中山市城市智慧大脑运维服务项目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中山市城市智慧大脑运维服务项目</w:t>
      </w:r>
    </w:p>
    <w:p>
      <w:pPr>
        <w:ind w:firstLine="480"/>
      </w:pPr>
      <w:r>
        <w:rPr/>
        <w:t>采购计划编号：</w:t>
      </w:r>
      <w:r>
        <w:rPr/>
        <w:t>442000-2023-05920</w:t>
      </w:r>
    </w:p>
    <w:p>
      <w:pPr>
        <w:ind w:firstLine="480"/>
      </w:pPr>
      <w:r>
        <w:rPr/>
        <w:t>采购项目编号：</w:t>
      </w:r>
      <w:r>
        <w:rPr/>
        <w:t>ZZ22320938</w:t>
      </w:r>
    </w:p>
    <w:p>
      <w:pPr>
        <w:ind w:firstLine="480"/>
      </w:pPr>
      <w:r>
        <w:rPr/>
        <w:t>采购方式：</w:t>
      </w:r>
      <w:r>
        <w:rPr/>
        <w:t>公开招标</w:t>
      </w:r>
    </w:p>
    <w:p>
      <w:pPr>
        <w:ind w:firstLine="480"/>
      </w:pPr>
      <w:r>
        <w:rPr/>
        <w:t>预算金额：</w:t>
      </w:r>
      <w:r>
        <w:rPr/>
        <w:t>16,179,800.00</w:t>
      </w:r>
      <w:r>
        <w:rPr/>
        <w:t>元</w:t>
      </w:r>
    </w:p>
    <w:p>
      <w:r>
        <w:rPr>
          <w:b/>
          <w:sz w:val="24"/>
        </w:rPr>
        <w:t>2.项目内容及需求情况（采购项目技术规格、参数及要求）</w:t>
      </w:r>
    </w:p>
    <w:p>
      <w:pPr>
        <w:ind w:firstLine="480"/>
      </w:pPr>
    </w:p>
    <w:p/>
    <w:p>
      <w:r>
        <w:rPr/>
        <w:t>采购包1(中山市城市智慧大脑运维服务项目):</w:t>
      </w:r>
    </w:p>
    <w:p>
      <w:r>
        <w:rPr/>
        <w:t>采购包预算金额：16,179,800.00元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软件运维服务</w:t>
            </w:r>
          </w:p>
        </w:tc>
        <w:tc>
          <w:tcPr>
            <w:tcW w:type="dxa" w:w="2136"/>
          </w:tcPr>
          <w:p>
            <w:r>
              <w:rPr/>
              <w:t>中山市城市智慧大脑运维服务项目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合同履行期限：服务周期为2024年1月1日至2026年6月30日，为期30个月，如中标合同签订日期迟于2024年1月1日的，则服务周期顺延至中标合同签订之日起计算30个月（具体以合同约定的服务周期为准）。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3）具有良好的商业信誉和健全的财务会计制度：供应商必须具有良好的商业信誉和健全的财务会计制度（提供2022年财务报告（或2023年任意一个月份财务报表）关键页或由基本开户银行出具的资信证明）。</w:t>
      </w:r>
    </w:p>
    <w:p/>
    <w:p>
      <w:r>
        <w:rPr/>
        <w:t>4）履行合同所必需的设备和专业技术能力：需同时提供设备及专业技术能力（人员）两类信息，格式自拟。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采购包1（中山市城市智慧大脑运维服务项目）：</w:t>
      </w:r>
      <w:r>
        <w:rPr/>
        <w:t>本项目不属于专门面向中小企业采购的项目。</w:t>
      </w:r>
    </w:p>
    <w:p/>
    <w:p>
      <w:r>
        <w:rPr>
          <w:b/>
          <w:sz w:val="24"/>
        </w:rPr>
        <w:t>3.本项目特定的资格要求：</w:t>
      </w:r>
    </w:p>
    <w:p>
      <w:pPr>
        <w:ind w:firstLine="480"/>
      </w:pPr>
    </w:p>
    <w:p/>
    <w:p>
      <w:r>
        <w:rPr/>
        <w:t>采购包1（中山市城市智慧大脑运维服务项目）：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中山市政务服务数据管理局</w:t>
      </w:r>
    </w:p>
    <w:p>
      <w:pPr>
        <w:ind w:firstLine="480"/>
      </w:pPr>
      <w:r>
        <w:rPr/>
        <w:t>地址：</w:t>
      </w:r>
      <w:r>
        <w:rPr/>
        <w:t>中山市东区兴文路7号中山市档案馆附楼第三层</w:t>
      </w:r>
    </w:p>
    <w:p>
      <w:pPr>
        <w:ind w:firstLine="480"/>
      </w:pPr>
      <w:r>
        <w:rPr/>
        <w:t>联系方式：</w:t>
      </w:r>
      <w:r>
        <w:rPr/>
        <w:t>89982800</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中山市东区中山四路亨尾大街3号软件园东园区2楼22室</w:t>
      </w:r>
    </w:p>
    <w:p>
      <w:pPr>
        <w:ind w:firstLine="480"/>
      </w:pPr>
      <w:r>
        <w:rPr/>
        <w:t>联系方式：</w:t>
      </w:r>
      <w:r>
        <w:rPr/>
        <w:t>0760-88811601、88808187</w:t>
      </w:r>
    </w:p>
    <w:p>
      <w:r>
        <w:rPr>
          <w:b/>
          <w:sz w:val="24"/>
        </w:rPr>
        <w:t>3.项目联系方式</w:t>
      </w:r>
    </w:p>
    <w:p>
      <w:pPr>
        <w:ind w:firstLine="480"/>
      </w:pPr>
      <w:r>
        <w:rPr/>
        <w:t>项目联系人：</w:t>
      </w:r>
      <w:r>
        <w:rPr/>
        <w:t>黄先生</w:t>
      </w:r>
    </w:p>
    <w:p>
      <w:pPr>
        <w:ind w:firstLine="480"/>
      </w:pPr>
      <w:r>
        <w:rPr/>
        <w:t>电话：</w:t>
      </w:r>
      <w:r>
        <w:rPr/>
        <w:t>0760-88811601、88808187</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、项目名称：</w:t>
      </w:r>
      <w:r>
        <w:rPr>
          <w:sz w:val="21"/>
        </w:rPr>
        <w:t>中山市城市智慧大脑运维服务项目</w:t>
      </w:r>
      <w:r>
        <w:br/>
      </w:r>
      <w:r>
        <w:rPr>
          <w:sz w:val="21"/>
        </w:rPr>
        <w:t>★</w:t>
      </w:r>
      <w:r>
        <w:rPr>
          <w:sz w:val="21"/>
        </w:rPr>
        <w:t>2</w:t>
      </w:r>
      <w:r>
        <w:rPr>
          <w:sz w:val="21"/>
        </w:rPr>
        <w:t>、</w:t>
      </w:r>
      <w:r>
        <w:rPr>
          <w:sz w:val="21"/>
        </w:rPr>
        <w:t>投标</w:t>
      </w:r>
      <w:r>
        <w:rPr>
          <w:sz w:val="21"/>
        </w:rPr>
        <w:t>人</w:t>
      </w:r>
      <w:r>
        <w:rPr>
          <w:color w:val="000000"/>
          <w:sz w:val="21"/>
        </w:rPr>
        <w:t>不得以任何方式转包或分包</w:t>
      </w:r>
      <w:r>
        <w:rPr>
          <w:color w:val="000000"/>
          <w:sz w:val="21"/>
        </w:rPr>
        <w:t>本项目</w:t>
      </w:r>
      <w:r>
        <w:rPr>
          <w:color w:val="000000"/>
          <w:sz w:val="21"/>
        </w:rPr>
        <w:t>，</w:t>
      </w:r>
      <w:r>
        <w:rPr>
          <w:color w:val="000000"/>
          <w:sz w:val="21"/>
        </w:rPr>
        <w:t>本项目</w:t>
      </w:r>
      <w:r>
        <w:rPr>
          <w:color w:val="000000"/>
          <w:sz w:val="21"/>
        </w:rPr>
        <w:t>不接受联合体投标</w:t>
      </w:r>
      <w:r>
        <w:rPr>
          <w:color w:val="000000"/>
          <w:sz w:val="21"/>
        </w:rPr>
        <w:t>。</w:t>
      </w:r>
    </w:p>
    <w:p/>
    <w:p>
      <w:pPr>
        <w:ind w:firstLine="480"/>
      </w:pPr>
    </w:p>
    <w:p/>
    <w:p>
      <w:r>
        <w:rPr/>
        <w:t>采购包1（中山市城市智慧大脑运维服务项目）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服务周期为2024年1月1日至2026年6月30日，为期30个月，如中标合同签订日期迟于2024年1月1日的，则服务周期顺延至中标合同签订之日起计算30个月（具体以合同约定的服务周期为准）。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20%,第一期支付：2024年8月前，在中标人已经提交自服务期开始至2024年6月的服务报告及其它相关文件，且这些报告和文件符合合同附件上的要求并被采购人审批通过后，采购人向财政部门提交拨款申请及相关资料，在15个工作日内支付合同总额20%给中标人；</w:t>
            </w:r>
          </w:p>
          <w:p/>
          <w:p>
            <w:r>
              <w:rPr/>
              <w:t>2期：支付比例20%,第二期支付：2025年2月前，在中标人已经提交自2024年7月至2024年12月的服务报告及其它相关文件，且这些报告和文件符合合同附件上的要求并被采购人审批通过后，采购人向财政部门提交拨款申请及相关资料，在15个工作日内支付合同总额20%给中标人；</w:t>
            </w:r>
          </w:p>
          <w:p/>
          <w:p>
            <w:r>
              <w:rPr/>
              <w:t>3期：支付比例30%,第三期支付：2025年8月前，在中标人已经提交自2025年1月至2025年6月的服务报告及其它相关文件，且这些报告和文件符合合同附件上的要求并被采购人审批通过后的前提下，采购人向财政部门提交拨款申请及相关资料，在15个工作日内支付合同总额30%给中标人；</w:t>
            </w:r>
          </w:p>
          <w:p/>
          <w:p>
            <w:r>
              <w:rPr/>
              <w:t>4期：支付比例30%,第四期支付：2026年8月前，在中标人提交服务总结报告和说明及其它相关文件并完全履行合同完毕且采购人验收通过后的15个工作日内，采购人向财政部门提交拨款申请及相关资料，支付合同剩余尾款，如有扣罚则需扣除相应金额。所有费用支付前中标人须向采购人开具对应款项的发票申请支付，采购人在上述规定时间内向政府采购支付部门提出支付申请手续后即视为采购人已经按期支付，具体到账时间以财政拨款时间为准。 支付金额扣除方式：服务期内进行四次考核，分别在第一、二、三、四期支付前一个月内启动考核，如考核需要扣罚，扣罚费用在每期支付的服务费中予以扣除。按5个档次设置扣除款项，具体计算公式如下： 应支付服务费=（1-扣除系数）*当期支付总额 （1）85分及以上，无需扣除； （2）80-85分，扣除系数为10%； （3）70-79分，扣除系数为20%； （4）60-69分，扣除系数为30%； （5）60分以下，扣除系数为50%；采购人可视情况无条件解除合同，因此给采购人造成的损失由中标人负责赔偿。</w:t>
            </w:r>
          </w:p>
        </w:tc>
      </w:tr>
      <w:tr>
        <w:tc>
          <w:tcPr>
            <w:tcW w:type="dxa" w:w="4153"/>
          </w:tcPr>
          <w:p>
            <w:r>
              <w:rPr/>
              <w:t>验收要求</w:t>
            </w:r>
          </w:p>
        </w:tc>
        <w:tc>
          <w:tcPr>
            <w:tcW w:type="dxa" w:w="4153"/>
          </w:tcPr>
          <w:p/>
          <w:p/>
          <w:p/>
          <w:p>
            <w:r>
              <w:rPr/>
              <w:t>1期：验收将根据有关国家、地区、行业所列标准及规范、规定、采购文件及合同等有关规定和有关条款进行。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软件运维服务</w:t>
            </w:r>
          </w:p>
        </w:tc>
        <w:tc>
          <w:tcPr>
            <w:tcW w:type="dxa" w:w="933"/>
          </w:tcPr>
          <w:p>
            <w:pPr>
              <w:jc w:val="left"/>
            </w:pPr>
            <w:r>
              <w:rPr/>
              <w:t>中山市城市智慧大脑运维服务项目</w:t>
            </w:r>
          </w:p>
        </w:tc>
        <w:tc>
          <w:tcPr>
            <w:tcW w:type="dxa" w:w="933"/>
          </w:tcPr>
          <w:p>
            <w:pPr>
              <w:jc w:val="left"/>
            </w:pPr>
            <w:r>
              <w:rPr/>
              <w:t>项</w:t>
            </w:r>
          </w:p>
        </w:tc>
        <w:tc>
          <w:tcPr>
            <w:tcW w:type="dxa" w:w="933"/>
          </w:tcPr>
          <w:p>
            <w:pPr>
              <w:jc w:val="right"/>
            </w:pPr>
            <w:r>
              <w:rPr/>
              <w:t>1.00</w:t>
            </w:r>
          </w:p>
        </w:tc>
        <w:tc>
          <w:tcPr>
            <w:tcW w:type="dxa" w:w="933"/>
          </w:tcPr>
          <w:p>
            <w:pPr>
              <w:jc w:val="right"/>
            </w:pPr>
            <w:r>
              <w:rPr/>
              <w:t>16,179,800.00</w:t>
            </w:r>
          </w:p>
        </w:tc>
        <w:tc>
          <w:tcPr>
            <w:tcW w:type="dxa" w:w="933"/>
          </w:tcPr>
          <w:p>
            <w:pPr>
              <w:jc w:val="right"/>
            </w:pPr>
            <w:r>
              <w:rPr/>
              <w:t>16,179,800.00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中山市城市智慧大脑运维服务项目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招标范围</w:t>
            </w:r>
          </w:p>
          <w:p>
            <w:pPr>
              <w:jc w:val="both"/>
            </w:pPr>
            <w:r>
              <w:rPr>
                <w:b/>
                <w:sz w:val="21"/>
              </w:rPr>
              <w:t>1.1.</w:t>
            </w:r>
            <w:r>
              <w:rPr>
                <w:b/>
                <w:sz w:val="21"/>
              </w:rPr>
              <w:t>项目概况</w:t>
            </w:r>
          </w:p>
          <w:p>
            <w:pPr>
              <w:jc w:val="both"/>
            </w:pPr>
            <w:r>
              <w:rPr>
                <w:sz w:val="21"/>
              </w:rPr>
              <w:t>1.1.1.</w:t>
            </w:r>
            <w:r>
              <w:rPr>
                <w:sz w:val="21"/>
              </w:rPr>
              <w:t>项目现状</w:t>
            </w:r>
          </w:p>
          <w:p>
            <w:pPr>
              <w:ind w:firstLine="420"/>
              <w:jc w:val="both"/>
            </w:pPr>
            <w:r>
              <w:rPr>
                <w:sz w:val="21"/>
              </w:rPr>
              <w:t>中山城市智慧大脑建设项目建设融合通信平台、物联网平台、视频共享平台、视频智能分析平台、集成使能平台、统一运维平台、可视化呈现平台，</w:t>
            </w:r>
            <w:r>
              <w:rPr>
                <w:sz w:val="21"/>
              </w:rPr>
              <w:t>7</w:t>
            </w:r>
            <w:r>
              <w:rPr>
                <w:sz w:val="21"/>
              </w:rPr>
              <w:t>个应用使能平台</w:t>
            </w:r>
            <w:r>
              <w:rPr>
                <w:sz w:val="21"/>
              </w:rPr>
              <w:t>（</w:t>
            </w:r>
            <w:r>
              <w:rPr>
                <w:sz w:val="21"/>
              </w:rPr>
              <w:t>统一身份认证、应用构建工具、数据填报系统、统一移动框架、统一智能语音能力、用户数据保险箱、统一金融支付），合计</w:t>
            </w:r>
            <w:r>
              <w:rPr>
                <w:sz w:val="21"/>
              </w:rPr>
              <w:t>14</w:t>
            </w:r>
            <w:r>
              <w:rPr>
                <w:sz w:val="21"/>
              </w:rPr>
              <w:t>个数字使能平台及平台系统对接；建设全市概况、城市管理、公共安全、经济运行、生态环境、交通运行、</w:t>
            </w:r>
            <w:r>
              <w:rPr>
                <w:sz w:val="21"/>
              </w:rPr>
              <w:t>民生幸福</w:t>
            </w:r>
            <w:r>
              <w:rPr>
                <w:sz w:val="21"/>
              </w:rPr>
              <w:t>、云网数安、政务服务、党建引领、人口云图、土地利用</w:t>
            </w:r>
            <w:r>
              <w:rPr>
                <w:sz w:val="21"/>
              </w:rPr>
              <w:t>12</w:t>
            </w:r>
            <w:r>
              <w:rPr>
                <w:sz w:val="21"/>
              </w:rPr>
              <w:t>个方面专题及驾驶舱管理；建设综合网格调度和人才云</w:t>
            </w:r>
            <w:r>
              <w:rPr>
                <w:sz w:val="21"/>
              </w:rPr>
              <w:t>2</w:t>
            </w:r>
            <w:r>
              <w:rPr>
                <w:sz w:val="21"/>
              </w:rPr>
              <w:t>个智慧应用合计</w:t>
            </w:r>
            <w:r>
              <w:rPr>
                <w:sz w:val="21"/>
              </w:rPr>
              <w:t>14</w:t>
            </w:r>
            <w:r>
              <w:rPr>
                <w:sz w:val="21"/>
              </w:rPr>
              <w:t>个平台、</w:t>
            </w:r>
            <w:r>
              <w:rPr>
                <w:sz w:val="21"/>
              </w:rPr>
              <w:t>12</w:t>
            </w:r>
            <w:r>
              <w:rPr>
                <w:sz w:val="21"/>
              </w:rPr>
              <w:t>个专题、</w:t>
            </w:r>
            <w:r>
              <w:rPr>
                <w:sz w:val="21"/>
              </w:rPr>
              <w:t>2</w:t>
            </w:r>
            <w:r>
              <w:rPr>
                <w:sz w:val="21"/>
              </w:rPr>
              <w:t>个应用。</w:t>
            </w:r>
          </w:p>
          <w:p>
            <w:pPr>
              <w:jc w:val="both"/>
            </w:pPr>
            <w:r>
              <w:rPr>
                <w:sz w:val="21"/>
              </w:rPr>
              <w:t>1.1.2.</w:t>
            </w:r>
            <w:r>
              <w:rPr>
                <w:sz w:val="21"/>
              </w:rPr>
              <w:t>质保期现状</w:t>
            </w:r>
          </w:p>
          <w:p>
            <w:pPr>
              <w:jc w:val="both"/>
            </w:pPr>
            <w:r>
              <w:rPr>
                <w:sz w:val="21"/>
              </w:rPr>
              <w:t>1.1.2.1.</w:t>
            </w:r>
            <w:r>
              <w:rPr>
                <w:sz w:val="21"/>
              </w:rPr>
              <w:t>基础平台运行情况</w:t>
            </w:r>
          </w:p>
          <w:p>
            <w:pPr>
              <w:ind w:firstLine="420"/>
              <w:jc w:val="both"/>
            </w:pPr>
            <w:r>
              <w:rPr>
                <w:sz w:val="21"/>
              </w:rPr>
              <w:t>总体运行情况良好，基础平台运行正常，未出现重大故障；统一身份认证平台偶尔会出现问题，经过技术处理后可快速恢复正常。</w:t>
            </w:r>
          </w:p>
          <w:p>
            <w:pPr>
              <w:jc w:val="both"/>
            </w:pPr>
            <w:r>
              <w:rPr>
                <w:sz w:val="21"/>
              </w:rPr>
              <w:t>1.1.2.2.</w:t>
            </w:r>
            <w:r>
              <w:rPr>
                <w:sz w:val="21"/>
              </w:rPr>
              <w:t>专题运行情况</w:t>
            </w:r>
          </w:p>
          <w:p>
            <w:pPr>
              <w:ind w:firstLine="420"/>
              <w:jc w:val="both"/>
            </w:pPr>
            <w:r>
              <w:rPr>
                <w:sz w:val="21"/>
              </w:rPr>
              <w:t>总体运行情况良好，专题运行正常，未出现影响专题运行的重大故障；质保期发生的主要异常是专题功能显示异常和数据缺失，问题频发。</w:t>
            </w:r>
          </w:p>
          <w:p>
            <w:pPr>
              <w:jc w:val="both"/>
            </w:pPr>
            <w:r>
              <w:rPr>
                <w:sz w:val="21"/>
              </w:rPr>
              <w:t>1.1.2.3.</w:t>
            </w:r>
            <w:r>
              <w:rPr>
                <w:sz w:val="21"/>
              </w:rPr>
              <w:t>重点应用运行情况</w:t>
            </w:r>
          </w:p>
          <w:p>
            <w:pPr>
              <w:ind w:firstLine="420"/>
              <w:jc w:val="both"/>
            </w:pPr>
            <w:r>
              <w:rPr>
                <w:sz w:val="21"/>
              </w:rPr>
              <w:t>综合网格、人才云等两项重点应用运行正常，没有出现重大故障。偶尔需要配合完成平台对接工作。</w:t>
            </w:r>
          </w:p>
          <w:p>
            <w:pPr>
              <w:jc w:val="both"/>
            </w:pPr>
            <w:r>
              <w:rPr>
                <w:sz w:val="21"/>
              </w:rPr>
              <w:t>1.1.2.4.</w:t>
            </w:r>
            <w:r>
              <w:rPr>
                <w:sz w:val="21"/>
              </w:rPr>
              <w:t>安全保障情况</w:t>
            </w:r>
          </w:p>
          <w:p>
            <w:pPr>
              <w:ind w:firstLine="420"/>
              <w:jc w:val="both"/>
            </w:pPr>
            <w:r>
              <w:rPr>
                <w:sz w:val="21"/>
              </w:rPr>
              <w:t>质保期内总体运行情况良好，无安全事件发生；偶尔出现安全组件异常，但不影响业务正常运行。</w:t>
            </w:r>
          </w:p>
          <w:p>
            <w:pPr>
              <w:jc w:val="both"/>
            </w:pPr>
            <w:r>
              <w:rPr>
                <w:sz w:val="21"/>
              </w:rPr>
              <w:t>1.1.2.5.</w:t>
            </w:r>
            <w:r>
              <w:rPr>
                <w:sz w:val="21"/>
              </w:rPr>
              <w:t>省市对接情况</w:t>
            </w:r>
          </w:p>
          <w:p>
            <w:pPr>
              <w:ind w:firstLine="420"/>
              <w:jc w:val="both"/>
            </w:pPr>
            <w:r>
              <w:rPr>
                <w:sz w:val="21"/>
              </w:rPr>
              <w:t>按照省市文件要求进行大脑项目与粤治慧平台的对接工作。</w:t>
            </w:r>
          </w:p>
          <w:p>
            <w:pPr>
              <w:jc w:val="both"/>
            </w:pPr>
            <w:r>
              <w:rPr>
                <w:b/>
                <w:sz w:val="21"/>
              </w:rPr>
              <w:t>1.2.</w:t>
            </w:r>
            <w:r>
              <w:rPr>
                <w:b/>
                <w:sz w:val="21"/>
              </w:rPr>
              <w:t>项目目标</w:t>
            </w:r>
          </w:p>
          <w:p>
            <w:pPr>
              <w:jc w:val="both"/>
            </w:pPr>
            <w:r>
              <w:rPr>
                <w:sz w:val="21"/>
              </w:rPr>
              <w:t>1.2.1.1.</w:t>
            </w:r>
            <w:r>
              <w:rPr>
                <w:sz w:val="21"/>
              </w:rPr>
              <w:t>运维服务目标</w:t>
            </w:r>
          </w:p>
          <w:p>
            <w:pPr>
              <w:ind w:firstLine="420"/>
              <w:jc w:val="both"/>
            </w:pPr>
            <w:r>
              <w:rPr>
                <w:sz w:val="21"/>
              </w:rPr>
              <w:t>在项目建成后，基于集中化、可视标准的统一运维管理平台，提高监测和服务时效性、精准性和前瞻性，实现快捷响应、灵活调度、智能高效的运维管理，更好地满足智慧城市业务的按需快速部署和差异化、精细管理要求，为中山数字化业务的安全、可靠高效运行提供强有力保障。最终达到如下目标：</w:t>
            </w:r>
          </w:p>
          <w:p>
            <w:pPr>
              <w:ind w:firstLine="420"/>
              <w:jc w:val="both"/>
            </w:pPr>
            <w:r>
              <w:rPr>
                <w:sz w:val="21"/>
              </w:rPr>
              <w:t>（</w:t>
            </w:r>
            <w:r>
              <w:rPr>
                <w:sz w:val="21"/>
              </w:rPr>
              <w:t>1</w:t>
            </w:r>
            <w:r>
              <w:rPr>
                <w:sz w:val="21"/>
              </w:rPr>
              <w:t>）</w:t>
            </w:r>
            <w:r>
              <w:rPr>
                <w:sz w:val="21"/>
              </w:rPr>
              <w:t>规范运维服务管理，促进有序高效协作</w:t>
            </w:r>
          </w:p>
          <w:p>
            <w:pPr>
              <w:ind w:firstLine="420"/>
              <w:jc w:val="both"/>
            </w:pPr>
            <w:r>
              <w:rPr>
                <w:sz w:val="21"/>
              </w:rPr>
              <w:t>进一步建立和完善运维服务目录，对管理工作进行优化，对服务管理进行改善，通过服务流程驱动相关部门、团队成员组织协调处理事务，提升运维服务能力。</w:t>
            </w:r>
          </w:p>
          <w:p>
            <w:pPr>
              <w:ind w:firstLine="420"/>
              <w:jc w:val="both"/>
            </w:pPr>
            <w:r>
              <w:rPr>
                <w:sz w:val="21"/>
              </w:rPr>
              <w:t>（</w:t>
            </w:r>
            <w:r>
              <w:rPr>
                <w:sz w:val="21"/>
              </w:rPr>
              <w:t>2</w:t>
            </w:r>
            <w:r>
              <w:rPr>
                <w:sz w:val="21"/>
              </w:rPr>
              <w:t>）</w:t>
            </w:r>
            <w:r>
              <w:rPr>
                <w:sz w:val="21"/>
              </w:rPr>
              <w:t>强化主动监控，实现集中管理</w:t>
            </w:r>
          </w:p>
          <w:p>
            <w:pPr>
              <w:ind w:firstLine="420"/>
              <w:jc w:val="both"/>
            </w:pPr>
            <w:r>
              <w:rPr>
                <w:sz w:val="21"/>
              </w:rPr>
              <w:t>通过部署集中监控系统，实现基础设施、业务应用云平台等多种软硬件资源及应用系统的集中监控和统一操作，主动、及时地发现问题，拉通多平台系统实现主动统一监控管理。</w:t>
            </w:r>
          </w:p>
          <w:p>
            <w:pPr>
              <w:ind w:firstLine="420"/>
              <w:jc w:val="both"/>
            </w:pPr>
            <w:r>
              <w:rPr>
                <w:sz w:val="21"/>
              </w:rPr>
              <w:t>（</w:t>
            </w:r>
            <w:r>
              <w:rPr>
                <w:sz w:val="21"/>
              </w:rPr>
              <w:t>3</w:t>
            </w:r>
            <w:r>
              <w:rPr>
                <w:sz w:val="21"/>
              </w:rPr>
              <w:t>）</w:t>
            </w:r>
            <w:r>
              <w:rPr>
                <w:sz w:val="21"/>
              </w:rPr>
              <w:t>故障快速发现，定界位</w:t>
            </w:r>
          </w:p>
          <w:p>
            <w:pPr>
              <w:ind w:firstLine="420"/>
              <w:jc w:val="both"/>
            </w:pPr>
            <w:r>
              <w:rPr>
                <w:sz w:val="21"/>
              </w:rPr>
              <w:t>通过建立应用监控体系和可维护性规范，包括识别关键、对象及其属性、对象间关系，建立集中的快速故障发现与预警机制，覆盖各业务子系统的故障发现和告警采集，在故障产生时进行快速定位，降低业务服务质量劣化风险。</w:t>
            </w:r>
          </w:p>
          <w:p>
            <w:pPr>
              <w:ind w:firstLine="420"/>
              <w:jc w:val="both"/>
            </w:pPr>
            <w:r>
              <w:rPr>
                <w:sz w:val="21"/>
              </w:rPr>
              <w:t>（</w:t>
            </w:r>
            <w:r>
              <w:rPr>
                <w:sz w:val="21"/>
              </w:rPr>
              <w:t>4</w:t>
            </w:r>
            <w:r>
              <w:rPr>
                <w:sz w:val="21"/>
              </w:rPr>
              <w:t>）</w:t>
            </w:r>
            <w:r>
              <w:rPr>
                <w:sz w:val="21"/>
              </w:rPr>
              <w:t>全方位数据展现，实现统计分析和决策支持</w:t>
            </w:r>
          </w:p>
          <w:p>
            <w:pPr>
              <w:ind w:firstLine="420"/>
              <w:jc w:val="both"/>
            </w:pPr>
            <w:r>
              <w:rPr>
                <w:sz w:val="21"/>
              </w:rPr>
              <w:t>通过提供各类性能分析报表、资源统计和运维，从各个角度反映系统的运行情况性能和人员工作情况，为升级改造、扩容提供科学依据。</w:t>
            </w:r>
          </w:p>
          <w:p>
            <w:pPr>
              <w:ind w:firstLine="420"/>
              <w:jc w:val="both"/>
            </w:pPr>
            <w:r>
              <w:rPr>
                <w:sz w:val="21"/>
              </w:rPr>
              <w:t>1.2.1.2.</w:t>
            </w:r>
            <w:r>
              <w:rPr>
                <w:sz w:val="21"/>
              </w:rPr>
              <w:t>运营服务目标</w:t>
            </w:r>
          </w:p>
          <w:p>
            <w:pPr>
              <w:ind w:firstLine="420"/>
              <w:jc w:val="both"/>
            </w:pPr>
            <w:r>
              <w:rPr>
                <w:sz w:val="21"/>
              </w:rPr>
              <w:t>在项目建成后，城市智慧大脑运营支撑服务通过组建一支多专业融合的运营服务技术团队，接入政府和社会数据资源开展管理、分析制度规范建设等工作，打造为市领导、各部门提供服务的数据产品实现城运行态势监测和领导辅助决策分析；通过提供信息系统安全服务，保障指挥中心正常运营。城市智慧大脑运营支撑服务目标如下：</w:t>
            </w:r>
          </w:p>
          <w:p>
            <w:pPr>
              <w:ind w:firstLine="420"/>
              <w:jc w:val="both"/>
            </w:pPr>
            <w:r>
              <w:rPr>
                <w:sz w:val="21"/>
              </w:rPr>
              <w:t>（</w:t>
            </w:r>
            <w:r>
              <w:rPr>
                <w:sz w:val="21"/>
              </w:rPr>
              <w:t>1</w:t>
            </w:r>
            <w:r>
              <w:rPr>
                <w:sz w:val="21"/>
              </w:rPr>
              <w:t>）</w:t>
            </w:r>
            <w:r>
              <w:rPr>
                <w:sz w:val="21"/>
              </w:rPr>
              <w:t>构建运营体系，协助建设一个全功能的团队；通过贴身式的运营支撑服务，快速响应需求，统筹与总体把控智慧城市</w:t>
            </w:r>
            <w:r>
              <w:rPr>
                <w:sz w:val="21"/>
              </w:rPr>
              <w:t>IOC</w:t>
            </w:r>
            <w:r>
              <w:rPr>
                <w:sz w:val="21"/>
              </w:rPr>
              <w:t>运营工作，确保</w:t>
            </w:r>
            <w:r>
              <w:rPr>
                <w:sz w:val="21"/>
              </w:rPr>
              <w:t>IOC</w:t>
            </w:r>
            <w:r>
              <w:rPr>
                <w:sz w:val="21"/>
              </w:rPr>
              <w:t>可持续发展。</w:t>
            </w:r>
          </w:p>
          <w:p>
            <w:pPr>
              <w:ind w:firstLine="420"/>
              <w:jc w:val="both"/>
            </w:pPr>
            <w:r>
              <w:rPr>
                <w:sz w:val="21"/>
              </w:rPr>
              <w:t>（</w:t>
            </w:r>
            <w:r>
              <w:rPr>
                <w:sz w:val="21"/>
              </w:rPr>
              <w:t>2</w:t>
            </w:r>
            <w:r>
              <w:rPr>
                <w:sz w:val="21"/>
              </w:rPr>
              <w:t>）</w:t>
            </w:r>
            <w:r>
              <w:rPr>
                <w:sz w:val="21"/>
              </w:rPr>
              <w:t>通过业务专题分析、优化推广，进行运营支撑，开展价值化场景的挖掘；保障智慧城市</w:t>
            </w:r>
            <w:r>
              <w:rPr>
                <w:sz w:val="21"/>
              </w:rPr>
              <w:t>IOC</w:t>
            </w:r>
            <w:r>
              <w:rPr>
                <w:sz w:val="21"/>
              </w:rPr>
              <w:t>系统能够有持续性的数据输入，保障数据及时更新迭代。强化</w:t>
            </w:r>
            <w:r>
              <w:rPr>
                <w:sz w:val="21"/>
              </w:rPr>
              <w:t>IOC</w:t>
            </w:r>
            <w:r>
              <w:rPr>
                <w:sz w:val="21"/>
              </w:rPr>
              <w:t>的应用价值，提供持续性系统的应用价值，提供持续性系统值。</w:t>
            </w:r>
          </w:p>
          <w:p>
            <w:pPr>
              <w:ind w:firstLine="420"/>
              <w:jc w:val="both"/>
            </w:pPr>
            <w:r>
              <w:rPr>
                <w:sz w:val="21"/>
              </w:rPr>
              <w:t>（</w:t>
            </w:r>
            <w:r>
              <w:rPr>
                <w:sz w:val="21"/>
              </w:rPr>
              <w:t>3</w:t>
            </w:r>
            <w:r>
              <w:rPr>
                <w:sz w:val="21"/>
              </w:rPr>
              <w:t>）</w:t>
            </w:r>
            <w:r>
              <w:rPr>
                <w:sz w:val="21"/>
              </w:rPr>
              <w:t>保障运营管理中心的常态化运行，组织协调及运行维护等日常工作。逐步具备创新方案的预研，通过数据分析逐步为业务提供价值成果。</w:t>
            </w:r>
          </w:p>
          <w:p>
            <w:pPr>
              <w:ind w:firstLine="420"/>
              <w:jc w:val="both"/>
            </w:pPr>
            <w:r>
              <w:rPr>
                <w:sz w:val="21"/>
              </w:rPr>
              <w:t>（</w:t>
            </w:r>
            <w:r>
              <w:rPr>
                <w:sz w:val="21"/>
              </w:rPr>
              <w:t>4</w:t>
            </w:r>
            <w:r>
              <w:rPr>
                <w:sz w:val="21"/>
              </w:rPr>
              <w:t>）</w:t>
            </w:r>
            <w:r>
              <w:rPr>
                <w:sz w:val="21"/>
              </w:rPr>
              <w:t>及时输出数据运营分析报告、业务等，充分发挥</w:t>
            </w:r>
            <w:r>
              <w:rPr>
                <w:sz w:val="21"/>
              </w:rPr>
              <w:t>IOC</w:t>
            </w:r>
            <w:r>
              <w:rPr>
                <w:sz w:val="21"/>
              </w:rPr>
              <w:t>数据助手的价值，辅助领导决策。平台长期安全可靠、自动智能，运营持续创新创造长期经济效益。</w:t>
            </w:r>
          </w:p>
          <w:p>
            <w:pPr>
              <w:jc w:val="both"/>
            </w:pPr>
            <w:r>
              <w:rPr>
                <w:sz w:val="21"/>
              </w:rPr>
              <w:t>1.2.1.3.</w:t>
            </w:r>
            <w:r>
              <w:rPr>
                <w:sz w:val="21"/>
              </w:rPr>
              <w:t>人员培训目标</w:t>
            </w:r>
          </w:p>
          <w:p>
            <w:pPr>
              <w:ind w:firstLine="420"/>
              <w:jc w:val="both"/>
            </w:pPr>
            <w:r>
              <w:rPr>
                <w:sz w:val="21"/>
              </w:rPr>
              <w:t>在项目建成后，人员培训是项目运维和运营阶段的一个重要环节，对提升项目效益有着极大的推动作用。在对智慧大脑各平台技术特点、人员状况以及项目运维和运营进行具体分析的基础上，针对中山市各委办局中高层管理干部、科室基层管理者与业务骨干，提供中山智慧城市专题定制培训方案，以智慧中山顶层规划和三年行动计划统一认知为目标，凝心聚力，培育数字思维，推动数字转型，安排具有丰富教学经验的讲师进行培训交付。通过培训要达到以下效果：</w:t>
            </w:r>
          </w:p>
          <w:p>
            <w:pPr>
              <w:ind w:firstLine="420"/>
              <w:jc w:val="both"/>
            </w:pPr>
            <w:r>
              <w:rPr>
                <w:sz w:val="21"/>
              </w:rPr>
              <w:t>使城市智慧大脑建设项目相关委办局管理干部，了解新技术发展趋势，了解智慧中山总体框架、三年规划蓝图和关键目标要求，理解数字本质，培育数字思维，结合智慧中山总体目标，推动智慧城市建设实施落地。</w:t>
            </w:r>
          </w:p>
          <w:p>
            <w:pPr>
              <w:ind w:firstLine="420"/>
              <w:jc w:val="both"/>
            </w:pPr>
            <w:r>
              <w:rPr>
                <w:sz w:val="21"/>
              </w:rPr>
              <w:t>使城市智慧大脑建设项目相关委办局科室基层管理者，了解智慧中山三年顶层规划内容、总体框架和主要任务要求，了解智慧城市前沿技术与应用，了解智慧城市运营架构、应用架构和技术基础架构，了解智慧城市数据治理、信息安全；了解信息化项目管理方法。</w:t>
            </w:r>
          </w:p>
          <w:p>
            <w:pPr>
              <w:jc w:val="both"/>
            </w:pPr>
            <w:r>
              <w:rPr>
                <w:b/>
                <w:sz w:val="21"/>
              </w:rPr>
              <w:t>1.3.</w:t>
            </w:r>
            <w:r>
              <w:rPr>
                <w:b/>
                <w:sz w:val="21"/>
              </w:rPr>
              <w:t>运维服务期</w:t>
            </w:r>
          </w:p>
          <w:p>
            <w:pPr>
              <w:ind w:firstLine="420"/>
              <w:jc w:val="both"/>
            </w:pPr>
            <w:r>
              <w:rPr>
                <w:sz w:val="21"/>
              </w:rPr>
              <w:t>本项目拟定服务周期为</w:t>
            </w:r>
            <w:r>
              <w:rPr>
                <w:sz w:val="21"/>
              </w:rPr>
              <w:t>2024年1月1日至2026年6月30日，为期30个月</w:t>
            </w:r>
            <w:r>
              <w:rPr>
                <w:sz w:val="21"/>
              </w:rPr>
              <w:t>，如中标合同签订</w:t>
            </w:r>
            <w:r>
              <w:rPr>
                <w:sz w:val="21"/>
              </w:rPr>
              <w:t>日期</w:t>
            </w:r>
            <w:r>
              <w:rPr>
                <w:sz w:val="21"/>
              </w:rPr>
              <w:t>迟于</w:t>
            </w:r>
            <w:r>
              <w:rPr>
                <w:sz w:val="21"/>
              </w:rPr>
              <w:t>2024</w:t>
            </w:r>
            <w:r>
              <w:rPr>
                <w:sz w:val="21"/>
              </w:rPr>
              <w:t>年</w:t>
            </w:r>
            <w:r>
              <w:rPr>
                <w:sz w:val="21"/>
              </w:rPr>
              <w:t>1</w:t>
            </w:r>
            <w:r>
              <w:rPr>
                <w:sz w:val="21"/>
              </w:rPr>
              <w:t>月</w:t>
            </w:r>
            <w:r>
              <w:rPr>
                <w:sz w:val="21"/>
              </w:rPr>
              <w:t>1</w:t>
            </w:r>
            <w:r>
              <w:rPr>
                <w:sz w:val="21"/>
              </w:rPr>
              <w:t>日的，则服务周期顺延至中标合同签订之日起计算</w:t>
            </w:r>
            <w:r>
              <w:rPr>
                <w:sz w:val="21"/>
              </w:rPr>
              <w:t>30</w:t>
            </w:r>
            <w:r>
              <w:rPr>
                <w:sz w:val="21"/>
              </w:rPr>
              <w:t>个月</w:t>
            </w:r>
            <w:r>
              <w:rPr>
                <w:sz w:val="21"/>
              </w:rPr>
              <w:t>（具体以合同</w:t>
            </w:r>
            <w:r>
              <w:rPr>
                <w:sz w:val="21"/>
              </w:rPr>
              <w:t>约定</w:t>
            </w:r>
            <w:r>
              <w:rPr>
                <w:sz w:val="21"/>
              </w:rPr>
              <w:t>的</w:t>
            </w:r>
            <w:r>
              <w:rPr>
                <w:sz w:val="21"/>
              </w:rPr>
              <w:t>服务</w:t>
            </w:r>
            <w:r>
              <w:rPr>
                <w:sz w:val="21"/>
              </w:rPr>
              <w:t>周期</w:t>
            </w:r>
            <w:r>
              <w:rPr>
                <w:sz w:val="21"/>
              </w:rPr>
              <w:t>为准）</w:t>
            </w:r>
            <w:r>
              <w:rPr>
                <w:sz w:val="21"/>
              </w:rPr>
              <w:t>。</w:t>
            </w:r>
          </w:p>
          <w:p>
            <w:pPr>
              <w:jc w:val="both"/>
            </w:pPr>
            <w:r>
              <w:rPr>
                <w:b/>
                <w:sz w:val="21"/>
              </w:rPr>
              <w:t>1.4.</w:t>
            </w:r>
            <w:r>
              <w:rPr>
                <w:b/>
                <w:sz w:val="21"/>
              </w:rPr>
              <w:t>实施地点</w:t>
            </w:r>
          </w:p>
          <w:p>
            <w:pPr>
              <w:ind w:firstLine="420"/>
              <w:jc w:val="both"/>
            </w:pPr>
            <w:r>
              <w:rPr>
                <w:sz w:val="21"/>
              </w:rPr>
              <w:t>中山市政务服务数据管理局指定的办公地点。</w:t>
            </w:r>
          </w:p>
        </w:tc>
      </w:tr>
      <w:tr>
        <w:tc>
          <w:tcPr>
            <w:tcW w:type="dxa" w:w="2076"/>
          </w:tcPr>
          <w:p/>
        </w:tc>
        <w:tc>
          <w:tcPr>
            <w:tcW w:type="dxa" w:w="415"/>
          </w:tcPr>
          <w:p>
            <w:r>
              <w:rPr/>
              <w:t>2</w:t>
            </w:r>
          </w:p>
        </w:tc>
        <w:tc>
          <w:tcPr>
            <w:tcW w:type="dxa" w:w="5814"/>
          </w:tcPr>
          <w:p>
            <w:pPr>
              <w:jc w:val="both"/>
            </w:pPr>
            <w:r>
              <w:rPr>
                <w:b/>
                <w:sz w:val="21"/>
              </w:rPr>
              <w:t>2.</w:t>
            </w:r>
            <w:r>
              <w:rPr>
                <w:b/>
                <w:sz w:val="21"/>
              </w:rPr>
              <w:t>项目实施要求</w:t>
            </w:r>
          </w:p>
          <w:p>
            <w:pPr>
              <w:jc w:val="both"/>
            </w:pPr>
            <w:r>
              <w:rPr>
                <w:b/>
                <w:sz w:val="21"/>
              </w:rPr>
              <w:t>2.1.</w:t>
            </w:r>
            <w:r>
              <w:rPr>
                <w:b/>
                <w:sz w:val="21"/>
              </w:rPr>
              <w:t>运维范围和内容</w:t>
            </w:r>
          </w:p>
          <w:p>
            <w:pPr>
              <w:jc w:val="both"/>
            </w:pPr>
            <w:r>
              <w:rPr>
                <w:sz w:val="21"/>
              </w:rPr>
              <w:t>2.1.1.</w:t>
            </w:r>
            <w:r>
              <w:rPr>
                <w:sz w:val="21"/>
              </w:rPr>
              <w:t>数字使能平台维护</w:t>
            </w:r>
          </w:p>
          <w:p>
            <w:pPr>
              <w:jc w:val="both"/>
            </w:pPr>
            <w:r>
              <w:rPr>
                <w:sz w:val="21"/>
              </w:rPr>
              <w:t>2.1.1.1.</w:t>
            </w:r>
            <w:r>
              <w:rPr>
                <w:sz w:val="21"/>
              </w:rPr>
              <w:t>服务范围</w:t>
            </w:r>
          </w:p>
          <w:p>
            <w:pPr>
              <w:jc w:val="both"/>
            </w:pPr>
            <w:r>
              <w:rPr>
                <w:sz w:val="21"/>
              </w:rPr>
              <w:t>2.1.1.1.1.</w:t>
            </w:r>
            <w:r>
              <w:rPr>
                <w:sz w:val="21"/>
              </w:rPr>
              <w:t>物联网平台</w:t>
            </w:r>
          </w:p>
          <w:p>
            <w:pPr>
              <w:ind w:firstLine="420"/>
              <w:jc w:val="both"/>
            </w:pPr>
            <w:r>
              <w:rPr>
                <w:sz w:val="21"/>
              </w:rPr>
              <w:t>物联网平台是中山城市大脑数字平台的重要组成部分，是承上启下的重要一环。通过物联网平台对接环保、水务、城管、气象等监测设备，实现数据统一采集、监测和管理，并建设一套承上联下的接入标准，为中山智慧城市业务应用提供标准化的数据服务，从而打破数据孤岛现状，逐步建立中山市全覆盖、全要素的一体化感知体系。同时，在未来的城市应用方面，中山市可结合自己部门业务的需求，提出物联网平台可提供底层业务感知数据，各业务部门开发适合自己行业需求的应用，打造</w:t>
            </w:r>
            <w:r>
              <w:rPr>
                <w:sz w:val="21"/>
              </w:rPr>
              <w:t>“市域治理”、“应急管理”、“智慧水务”、“智慧交通”、“智慧社会综治”、“智慧环保”和“智慧工地”等各个智慧城市建设应用。</w:t>
            </w:r>
          </w:p>
          <w:tbl>
            <w:tblPr>
              <w:tblInd w:type="dxa" w:w="120"/>
              <w:tblBorders>
                <w:top w:val="none" w:color="000000" w:sz="4"/>
                <w:left w:val="none" w:color="000000" w:sz="4"/>
                <w:bottom w:val="none" w:color="000000" w:sz="4"/>
                <w:right w:val="none" w:color="000000" w:sz="4"/>
                <w:insideH w:val="none"/>
                <w:insideV w:val="none"/>
              </w:tblBorders>
            </w:tblPr>
            <w:tblGrid>
              <w:gridCol w:w="502"/>
              <w:gridCol w:w="639"/>
              <w:gridCol w:w="1232"/>
              <w:gridCol w:w="502"/>
              <w:gridCol w:w="1293"/>
              <w:gridCol w:w="669"/>
              <w:gridCol w:w="761"/>
            </w:tblGrid>
            <w:tr>
              <w:tc>
                <w:tcPr>
                  <w:tcW w:type="dxa" w:w="502"/>
                  <w:tcBorders>
                    <w:top w:val="single" w:color="000000" w:sz="4"/>
                    <w:left w:val="single" w:color="000000" w:sz="4"/>
                    <w:bottom w:val="single" w:color="000000" w:sz="4"/>
                    <w:right w:val="single" w:color="000000" w:sz="4"/>
                  </w:tcBorders>
                  <w:shd w:fill="D7D7D7"/>
                  <w:vAlign w:val="top"/>
                </w:tcPr>
                <w:p>
                  <w:pPr>
                    <w:jc w:val="center"/>
                  </w:pPr>
                  <w:r>
                    <w:rPr>
                      <w:sz w:val="21"/>
                    </w:rPr>
                    <w:t>序号</w:t>
                  </w:r>
                </w:p>
              </w:tc>
              <w:tc>
                <w:tcPr>
                  <w:tcW w:type="dxa" w:w="639"/>
                  <w:tcBorders>
                    <w:top w:val="single" w:color="000000" w:sz="4"/>
                    <w:left w:val="single" w:color="000000" w:sz="4"/>
                    <w:bottom w:val="single" w:color="000000" w:sz="4"/>
                    <w:right w:val="single" w:color="000000" w:sz="4"/>
                  </w:tcBorders>
                  <w:shd w:fill="D7D7D7"/>
                  <w:vAlign w:val="top"/>
                </w:tcPr>
                <w:p>
                  <w:pPr>
                    <w:jc w:val="center"/>
                  </w:pPr>
                  <w:r>
                    <w:rPr>
                      <w:sz w:val="21"/>
                    </w:rPr>
                    <w:t>平台</w:t>
                  </w:r>
                </w:p>
              </w:tc>
              <w:tc>
                <w:tcPr>
                  <w:tcW w:type="dxa" w:w="1232"/>
                  <w:tcBorders>
                    <w:top w:val="single" w:color="000000" w:sz="4"/>
                    <w:left w:val="single" w:color="000000" w:sz="4"/>
                    <w:bottom w:val="single" w:color="000000" w:sz="4"/>
                    <w:right w:val="single" w:color="000000" w:sz="4"/>
                  </w:tcBorders>
                  <w:shd w:fill="D7D7D7"/>
                  <w:vAlign w:val="top"/>
                </w:tcPr>
                <w:p>
                  <w:pPr>
                    <w:jc w:val="center"/>
                  </w:pPr>
                  <w:r>
                    <w:rPr>
                      <w:sz w:val="21"/>
                    </w:rPr>
                    <w:t>主要模块名称</w:t>
                  </w:r>
                </w:p>
              </w:tc>
              <w:tc>
                <w:tcPr>
                  <w:tcW w:type="dxa" w:w="502"/>
                  <w:tcBorders>
                    <w:top w:val="single" w:color="000000" w:sz="4"/>
                    <w:left w:val="single" w:color="000000" w:sz="4"/>
                    <w:bottom w:val="single" w:color="000000" w:sz="4"/>
                    <w:right w:val="single" w:color="000000" w:sz="4"/>
                  </w:tcBorders>
                  <w:shd w:fill="D7D7D7"/>
                  <w:vAlign w:val="top"/>
                </w:tcPr>
                <w:p>
                  <w:pPr>
                    <w:jc w:val="center"/>
                  </w:pPr>
                  <w:r>
                    <w:rPr>
                      <w:sz w:val="21"/>
                    </w:rPr>
                    <w:t>类型</w:t>
                  </w:r>
                </w:p>
              </w:tc>
              <w:tc>
                <w:tcPr>
                  <w:tcW w:type="dxa" w:w="1293"/>
                  <w:tcBorders>
                    <w:top w:val="single" w:color="000000" w:sz="4"/>
                    <w:left w:val="single" w:color="000000" w:sz="4"/>
                    <w:bottom w:val="single" w:color="000000" w:sz="4"/>
                    <w:right w:val="single" w:color="000000" w:sz="4"/>
                  </w:tcBorders>
                  <w:shd w:fill="D7D7D7"/>
                  <w:vAlign w:val="top"/>
                </w:tcPr>
                <w:p>
                  <w:pPr>
                    <w:jc w:val="center"/>
                  </w:pPr>
                  <w:r>
                    <w:rPr>
                      <w:sz w:val="21"/>
                    </w:rPr>
                    <w:t>软件功能</w:t>
                  </w:r>
                  <w:r>
                    <w:rPr>
                      <w:sz w:val="21"/>
                    </w:rPr>
                    <w:t>/配置</w:t>
                  </w:r>
                </w:p>
              </w:tc>
              <w:tc>
                <w:tcPr>
                  <w:tcW w:type="dxa" w:w="669"/>
                  <w:tcBorders>
                    <w:top w:val="single" w:color="000000" w:sz="4"/>
                    <w:left w:val="single" w:color="000000" w:sz="4"/>
                    <w:bottom w:val="single" w:color="000000" w:sz="4"/>
                    <w:right w:val="single" w:color="000000" w:sz="4"/>
                  </w:tcBorders>
                  <w:shd w:fill="D7D7D7"/>
                  <w:vAlign w:val="top"/>
                </w:tcPr>
                <w:p>
                  <w:pPr>
                    <w:jc w:val="center"/>
                  </w:pPr>
                  <w:r>
                    <w:rPr>
                      <w:sz w:val="21"/>
                    </w:rPr>
                    <w:t>数量</w:t>
                  </w:r>
                </w:p>
              </w:tc>
              <w:tc>
                <w:tcPr>
                  <w:tcW w:type="dxa" w:w="761"/>
                  <w:tcBorders>
                    <w:top w:val="single" w:color="000000" w:sz="4"/>
                    <w:left w:val="single" w:color="000000" w:sz="4"/>
                    <w:bottom w:val="single" w:color="000000" w:sz="4"/>
                    <w:right w:val="single" w:color="000000" w:sz="4"/>
                  </w:tcBorders>
                  <w:shd w:fill="D7D7D7"/>
                  <w:vAlign w:val="top"/>
                </w:tcPr>
                <w:p>
                  <w:pPr>
                    <w:jc w:val="center"/>
                  </w:pPr>
                  <w:r>
                    <w:rPr>
                      <w:sz w:val="21"/>
                    </w:rPr>
                    <w:t>单位</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物联网平台基础软件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实现物联网基础平台管理，如用户权限管理、平台任务管理等</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物联网平台南向管理软件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实现南向设备的接入，包括接入功能、设备列表、设备建模、告警管理、状态监控和设备联动等功能</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物联网平台北向管理软件</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支撑北向应用，开放通用</w:t>
                  </w:r>
                  <w:r>
                    <w:rPr>
                      <w:sz w:val="21"/>
                    </w:rPr>
                    <w:t>API接口给到大数据平台或上层应用,包括数据订阅、数据查询、数据推送接口等</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双机热备</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双机热备</w:t>
                  </w:r>
                  <w:r>
                    <w:rPr>
                      <w:sz w:val="21"/>
                    </w:rPr>
                    <w:t>,保证系统正常运行</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设备巡检</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支持巡检任务、故障处理任务工单的创建及下发；支持故障处理预案的制定；支持故障处理报告、巡检报告上传及记录</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可视化</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每个设备都能够关联</w:t>
                  </w:r>
                  <w:r>
                    <w:rPr>
                      <w:sz w:val="21"/>
                    </w:rPr>
                    <w:t>GIS服务，实现设备定位</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平台容量</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软件产品部署</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物联网平台需要支持</w:t>
                  </w:r>
                  <w:r>
                    <w:rPr>
                      <w:sz w:val="21"/>
                    </w:rPr>
                    <w:t>200000测点接入量</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200000</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License</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协议对接</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定制开发</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物联网平台需要提供对接</w:t>
                  </w:r>
                  <w:r>
                    <w:rPr>
                      <w:sz w:val="21"/>
                    </w:rPr>
                    <w:t>15种系统的协议开发解析和数据配置服务</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639"/>
                  <w:tcBorders>
                    <w:top w:val="none" w:color="000000" w:sz="4"/>
                    <w:left w:val="single" w:color="000000" w:sz="4"/>
                    <w:bottom w:val="single" w:color="000000" w:sz="4"/>
                    <w:right w:val="single" w:color="000000" w:sz="4"/>
                  </w:tcBorders>
                  <w:vAlign w:val="top"/>
                </w:tcPr>
                <w:p>
                  <w:pPr>
                    <w:jc w:val="center"/>
                  </w:pPr>
                  <w:r>
                    <w:rPr>
                      <w:sz w:val="21"/>
                    </w:rPr>
                    <w:t>物联网平台</w:t>
                  </w:r>
                </w:p>
              </w:tc>
              <w:tc>
                <w:tcPr>
                  <w:tcW w:type="dxa" w:w="1232"/>
                  <w:tcBorders>
                    <w:top w:val="none" w:color="000000" w:sz="4"/>
                    <w:left w:val="single" w:color="000000" w:sz="4"/>
                    <w:bottom w:val="single" w:color="000000" w:sz="4"/>
                    <w:right w:val="single" w:color="000000" w:sz="4"/>
                  </w:tcBorders>
                  <w:vAlign w:val="top"/>
                </w:tcPr>
                <w:p>
                  <w:pPr>
                    <w:jc w:val="center"/>
                  </w:pPr>
                  <w:r>
                    <w:rPr>
                      <w:sz w:val="21"/>
                    </w:rPr>
                    <w:t>协议对接</w:t>
                  </w:r>
                </w:p>
              </w:tc>
              <w:tc>
                <w:tcPr>
                  <w:tcW w:type="dxa" w:w="502"/>
                  <w:tcBorders>
                    <w:top w:val="none" w:color="000000" w:sz="4"/>
                    <w:left w:val="single" w:color="000000" w:sz="4"/>
                    <w:bottom w:val="single" w:color="000000" w:sz="4"/>
                    <w:right w:val="single" w:color="000000" w:sz="4"/>
                  </w:tcBorders>
                  <w:vAlign w:val="top"/>
                </w:tcPr>
                <w:p>
                  <w:pPr>
                    <w:jc w:val="center"/>
                  </w:pPr>
                  <w:r>
                    <w:rPr>
                      <w:sz w:val="21"/>
                    </w:rPr>
                    <w:t>定制开发</w:t>
                  </w:r>
                </w:p>
              </w:tc>
              <w:tc>
                <w:tcPr>
                  <w:tcW w:type="dxa" w:w="1293"/>
                  <w:tcBorders>
                    <w:top w:val="none" w:color="000000" w:sz="4"/>
                    <w:left w:val="single" w:color="000000" w:sz="4"/>
                    <w:bottom w:val="single" w:color="000000" w:sz="4"/>
                    <w:right w:val="single" w:color="000000" w:sz="4"/>
                  </w:tcBorders>
                  <w:vAlign w:val="top"/>
                </w:tcPr>
                <w:p>
                  <w:pPr>
                    <w:jc w:val="center"/>
                  </w:pPr>
                  <w:r>
                    <w:rPr>
                      <w:sz w:val="21"/>
                    </w:rPr>
                    <w:t>物联网平台需要提供对接</w:t>
                  </w:r>
                  <w:r>
                    <w:rPr>
                      <w:sz w:val="21"/>
                    </w:rPr>
                    <w:t>8种直连设备的协议开发解析和数据配置服务</w:t>
                  </w:r>
                </w:p>
              </w:tc>
              <w:tc>
                <w:tcPr>
                  <w:tcW w:type="dxa" w:w="6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61"/>
                  <w:tcBorders>
                    <w:top w:val="none" w:color="000000" w:sz="4"/>
                    <w:left w:val="single" w:color="000000" w:sz="4"/>
                    <w:bottom w:val="single" w:color="000000" w:sz="4"/>
                    <w:right w:val="single" w:color="000000" w:sz="4"/>
                  </w:tcBorders>
                  <w:vAlign w:val="top"/>
                </w:tcPr>
                <w:p>
                  <w:pPr>
                    <w:jc w:val="center"/>
                  </w:pPr>
                  <w:r>
                    <w:rPr>
                      <w:sz w:val="21"/>
                    </w:rPr>
                    <w:t>套</w:t>
                  </w:r>
                </w:p>
              </w:tc>
            </w:tr>
          </w:tbl>
          <w:p>
            <w:pPr>
              <w:jc w:val="both"/>
            </w:pPr>
          </w:p>
          <w:p>
            <w:pPr>
              <w:jc w:val="both"/>
            </w:pPr>
            <w:r>
              <w:rPr>
                <w:sz w:val="21"/>
              </w:rPr>
              <w:t>2.1.1.1.2.</w:t>
            </w:r>
            <w:r>
              <w:rPr>
                <w:sz w:val="21"/>
              </w:rPr>
              <w:t>融合通信平台</w:t>
            </w:r>
          </w:p>
          <w:p>
            <w:pPr>
              <w:ind w:firstLine="420"/>
              <w:jc w:val="both"/>
            </w:pPr>
            <w:r>
              <w:rPr>
                <w:sz w:val="21"/>
              </w:rPr>
              <w:t>融合</w:t>
            </w:r>
            <w:r>
              <w:rPr>
                <w:sz w:val="21"/>
              </w:rPr>
              <w:t>通信平台</w:t>
            </w:r>
            <w:r>
              <w:rPr>
                <w:sz w:val="21"/>
              </w:rPr>
              <w:t>通过业务融合的技术手段，可改变政府部门各自为政的现状，实现跨部门之间的业务协同、综合治理、指挥调度，可成为提升城市管理效率，提升城市治理能力的关键手段。融合通信系统主要包括多渠道接报子系统、融合调度子系统和视频会商系统。</w:t>
            </w:r>
          </w:p>
          <w:p>
            <w:pPr>
              <w:ind w:firstLine="420"/>
              <w:jc w:val="both"/>
            </w:pPr>
            <w:r>
              <w:rPr>
                <w:sz w:val="21"/>
              </w:rPr>
              <w:t>多渠道接报子系统实现多种问题反馈方式接入，适用不同问题反馈需求场景，避免单一号码问题反馈造成的业务阻塞。系统支持视频接报能力，可满足未来高清视频报警的需求。值班坐席支持统一接入，统一排队，从而高效地接报。</w:t>
            </w:r>
          </w:p>
          <w:p>
            <w:pPr>
              <w:ind w:firstLine="420"/>
              <w:jc w:val="both"/>
            </w:pPr>
            <w:r>
              <w:rPr>
                <w:sz w:val="21"/>
              </w:rPr>
              <w:t>融合调度子系统主要负责对各类通信平台及终端的对接接入，是集视频指挥、监控调度、视频会议、现场图传、态势展现、集群通信等功能于一体的可视化指挥调度系统，实现多种类终端（视频会议终端、视频监控、运营商电话、单兵图传、集群对讲终端）有效接入和统一业务调度，实现通信工具的统一融合，保障通信的全程通畅。</w:t>
            </w:r>
          </w:p>
          <w:p>
            <w:pPr>
              <w:ind w:firstLine="420"/>
              <w:jc w:val="both"/>
            </w:pPr>
            <w:r>
              <w:rPr>
                <w:sz w:val="21"/>
              </w:rPr>
              <w:t>视频会商系统主要负责建立部门内及部门间的会商协作沟通渠道，实现应急各级部门及周边部门会议会商，专家决策、培训宣贯、警示教育、视频点名等多种视频交互需求，采用开放式架构，兼容标准的音视频系统和设备，具备统一管理，统一会控，接口兼容等功能。</w:t>
            </w:r>
          </w:p>
          <w:p>
            <w:pPr>
              <w:ind w:firstLine="420"/>
              <w:jc w:val="both"/>
            </w:pPr>
            <w:r>
              <w:rPr>
                <w:sz w:val="21"/>
              </w:rPr>
              <w:t>下表是融合通信平台购置的主要模块。</w:t>
            </w:r>
          </w:p>
          <w:tbl>
            <w:tblPr>
              <w:tblInd w:type="dxa" w:w="120"/>
              <w:tblBorders>
                <w:top w:val="none" w:color="000000" w:sz="4"/>
                <w:left w:val="none" w:color="000000" w:sz="4"/>
                <w:bottom w:val="none" w:color="000000" w:sz="4"/>
                <w:right w:val="none" w:color="000000" w:sz="4"/>
                <w:insideH w:val="none"/>
                <w:insideV w:val="none"/>
              </w:tblBorders>
            </w:tblPr>
            <w:tblGrid>
              <w:gridCol w:w="825"/>
              <w:gridCol w:w="2100"/>
              <w:gridCol w:w="645"/>
              <w:gridCol w:w="825"/>
              <w:gridCol w:w="600"/>
              <w:gridCol w:w="465"/>
            </w:tblGrid>
            <w:tr>
              <w:tc>
                <w:tcPr>
                  <w:tcW w:type="dxa" w:w="825"/>
                  <w:tcBorders>
                    <w:top w:val="single" w:color="000000" w:sz="4"/>
                    <w:left w:val="single" w:color="000000" w:sz="4"/>
                    <w:bottom w:val="single" w:color="000000" w:sz="4"/>
                    <w:right w:val="single" w:color="000000" w:sz="4"/>
                  </w:tcBorders>
                  <w:shd w:fill="D7D7D7"/>
                  <w:vAlign w:val="top"/>
                </w:tcPr>
                <w:p>
                  <w:pPr>
                    <w:jc w:val="center"/>
                  </w:pPr>
                  <w:r>
                    <w:rPr>
                      <w:sz w:val="21"/>
                    </w:rPr>
                    <w:t>平台</w:t>
                  </w:r>
                </w:p>
              </w:tc>
              <w:tc>
                <w:tcPr>
                  <w:tcW w:type="dxa" w:w="2100"/>
                  <w:tcBorders>
                    <w:top w:val="single" w:color="000000" w:sz="4"/>
                    <w:left w:val="none" w:color="000000" w:sz="4"/>
                    <w:bottom w:val="single" w:color="000000" w:sz="4"/>
                    <w:right w:val="single" w:color="000000" w:sz="4"/>
                  </w:tcBorders>
                  <w:shd w:fill="D7D7D7"/>
                  <w:vAlign w:val="top"/>
                </w:tcPr>
                <w:p>
                  <w:pPr>
                    <w:jc w:val="center"/>
                  </w:pPr>
                  <w:r>
                    <w:rPr>
                      <w:sz w:val="21"/>
                    </w:rPr>
                    <w:t>主要模块名称</w:t>
                  </w:r>
                </w:p>
              </w:tc>
              <w:tc>
                <w:tcPr>
                  <w:tcW w:type="dxa" w:w="645"/>
                  <w:tcBorders>
                    <w:top w:val="single" w:color="000000" w:sz="4"/>
                    <w:left w:val="none" w:color="000000" w:sz="4"/>
                    <w:bottom w:val="single" w:color="000000" w:sz="4"/>
                    <w:right w:val="single" w:color="000000" w:sz="4"/>
                  </w:tcBorders>
                  <w:shd w:fill="D7D7D7"/>
                  <w:vAlign w:val="top"/>
                </w:tcPr>
                <w:p>
                  <w:pPr>
                    <w:jc w:val="center"/>
                  </w:pPr>
                  <w:r>
                    <w:rPr>
                      <w:sz w:val="21"/>
                    </w:rPr>
                    <w:t>类型</w:t>
                  </w:r>
                </w:p>
              </w:tc>
              <w:tc>
                <w:tcPr>
                  <w:tcW w:type="dxa" w:w="825"/>
                  <w:tcBorders>
                    <w:top w:val="single" w:color="000000" w:sz="4"/>
                    <w:left w:val="none" w:color="000000" w:sz="4"/>
                    <w:bottom w:val="single" w:color="000000" w:sz="4"/>
                    <w:right w:val="single" w:color="000000" w:sz="4"/>
                  </w:tcBorders>
                  <w:shd w:fill="D7D7D7"/>
                  <w:vAlign w:val="top"/>
                </w:tcPr>
                <w:p>
                  <w:pPr>
                    <w:jc w:val="center"/>
                  </w:pPr>
                  <w:r>
                    <w:rPr>
                      <w:sz w:val="21"/>
                    </w:rPr>
                    <w:t>硬件品牌</w:t>
                  </w:r>
                </w:p>
              </w:tc>
              <w:tc>
                <w:tcPr>
                  <w:tcW w:type="dxa" w:w="600"/>
                  <w:tcBorders>
                    <w:top w:val="single" w:color="000000" w:sz="4"/>
                    <w:left w:val="none" w:color="000000" w:sz="4"/>
                    <w:bottom w:val="single" w:color="000000" w:sz="4"/>
                    <w:right w:val="single" w:color="000000" w:sz="4"/>
                  </w:tcBorders>
                  <w:shd w:fill="D7D7D7"/>
                  <w:vAlign w:val="top"/>
                </w:tcPr>
                <w:p>
                  <w:pPr>
                    <w:jc w:val="center"/>
                  </w:pPr>
                  <w:r>
                    <w:rPr>
                      <w:sz w:val="21"/>
                    </w:rPr>
                    <w:t>数量</w:t>
                  </w:r>
                </w:p>
              </w:tc>
              <w:tc>
                <w:tcPr>
                  <w:tcW w:type="dxa" w:w="465"/>
                  <w:tcBorders>
                    <w:top w:val="single" w:color="000000" w:sz="4"/>
                    <w:left w:val="none" w:color="000000" w:sz="4"/>
                    <w:bottom w:val="single" w:color="000000" w:sz="4"/>
                    <w:right w:val="single" w:color="000000" w:sz="4"/>
                  </w:tcBorders>
                  <w:shd w:fill="D7D7D7"/>
                  <w:vAlign w:val="top"/>
                </w:tcPr>
                <w:p>
                  <w:pPr>
                    <w:jc w:val="center"/>
                  </w:pPr>
                  <w:r>
                    <w:rPr>
                      <w:sz w:val="21"/>
                    </w:rPr>
                    <w:t>单位</w:t>
                  </w:r>
                </w:p>
              </w:tc>
            </w:tr>
            <w:tr>
              <w:tc>
                <w:tcPr>
                  <w:tcW w:type="dxa" w:w="825"/>
                  <w:vMerge w:val="restart"/>
                  <w:tcBorders>
                    <w:top w:val="none" w:color="000000" w:sz="4"/>
                    <w:left w:val="single" w:color="000000" w:sz="4"/>
                    <w:bottom w:val="none" w:color="000000" w:sz="4"/>
                    <w:right w:val="single" w:color="000000" w:sz="4"/>
                  </w:tcBorders>
                  <w:vAlign w:val="top"/>
                </w:tcPr>
                <w:p>
                  <w:pPr>
                    <w:jc w:val="center"/>
                  </w:pPr>
                  <w:r>
                    <w:rPr>
                      <w:sz w:val="21"/>
                    </w:rPr>
                    <w:t>融合通信平台</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多点控制单元</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业务管理服务器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2</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流量穿越服务器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4</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录播服务器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锐取</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融合调度服务器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2</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智能协作服务器</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3</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监控对接网关</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2</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语音对接网关</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融合接报平台</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PSTN</w:t>
                  </w:r>
                  <w:r>
                    <w:rPr>
                      <w:sz w:val="21"/>
                    </w:rPr>
                    <w:t>中继网关</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调度指挥平台</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6</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台</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Tetra</w:t>
                  </w:r>
                  <w:r>
                    <w:rPr>
                      <w:sz w:val="21"/>
                    </w:rPr>
                    <w:t>互通网关</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28181</w:t>
                  </w:r>
                  <w:r>
                    <w:rPr>
                      <w:sz w:val="21"/>
                    </w:rPr>
                    <w:t>视频网关</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网管服务器及客户端</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w:t>
                  </w:r>
                </w:p>
              </w:tc>
              <w:tc>
                <w:tcPr>
                  <w:tcW w:type="dxa" w:w="465"/>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825"/>
                  <w:vMerge/>
                  <w:tcBorders>
                    <w:top w:val="none" w:color="000000" w:sz="4"/>
                    <w:left w:val="single" w:color="000000" w:sz="4"/>
                    <w:bottom w:val="none" w:color="000000" w:sz="4"/>
                    <w:right w:val="single" w:color="000000" w:sz="4"/>
                  </w:tcBorders>
                </w:tcPr>
                <w:p/>
              </w:tc>
              <w:tc>
                <w:tcPr>
                  <w:tcW w:type="dxa" w:w="2100"/>
                  <w:tcBorders>
                    <w:top w:val="none" w:color="000000" w:sz="4"/>
                    <w:left w:val="none" w:color="000000" w:sz="4"/>
                    <w:bottom w:val="single" w:color="000000" w:sz="4"/>
                    <w:right w:val="single" w:color="000000" w:sz="4"/>
                  </w:tcBorders>
                  <w:vAlign w:val="top"/>
                </w:tcPr>
                <w:p>
                  <w:pPr>
                    <w:jc w:val="center"/>
                  </w:pPr>
                  <w:r>
                    <w:rPr>
                      <w:sz w:val="21"/>
                    </w:rPr>
                    <w:t>PTT</w:t>
                  </w:r>
                  <w:r>
                    <w:rPr>
                      <w:sz w:val="21"/>
                    </w:rPr>
                    <w:t>麦克风</w:t>
                  </w:r>
                </w:p>
              </w:tc>
              <w:tc>
                <w:tcPr>
                  <w:tcW w:type="dxa" w:w="645"/>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25"/>
                  <w:tcBorders>
                    <w:top w:val="none" w:color="000000" w:sz="4"/>
                    <w:left w:val="none" w:color="000000" w:sz="4"/>
                    <w:bottom w:val="single" w:color="000000" w:sz="4"/>
                    <w:right w:val="single" w:color="000000" w:sz="4"/>
                  </w:tcBorders>
                  <w:vAlign w:val="top"/>
                </w:tcPr>
                <w:p>
                  <w:pPr>
                    <w:jc w:val="center"/>
                  </w:pPr>
                  <w:r>
                    <w:rPr>
                      <w:sz w:val="21"/>
                    </w:rPr>
                    <w:t>华为</w:t>
                  </w:r>
                </w:p>
              </w:tc>
              <w:tc>
                <w:tcPr>
                  <w:tcW w:type="dxa" w:w="600"/>
                  <w:tcBorders>
                    <w:top w:val="none" w:color="000000" w:sz="4"/>
                    <w:left w:val="none" w:color="000000" w:sz="4"/>
                    <w:bottom w:val="single" w:color="000000" w:sz="4"/>
                    <w:right w:val="single" w:color="000000" w:sz="4"/>
                  </w:tcBorders>
                  <w:vAlign w:val="top"/>
                </w:tcPr>
                <w:p>
                  <w:pPr>
                    <w:jc w:val="center"/>
                  </w:pPr>
                  <w:r>
                    <w:rPr>
                      <w:sz w:val="21"/>
                    </w:rPr>
                    <w:t>10</w:t>
                  </w:r>
                </w:p>
              </w:tc>
              <w:tc>
                <w:tcPr>
                  <w:tcW w:type="dxa" w:w="465"/>
                  <w:tcBorders>
                    <w:top w:val="none" w:color="000000" w:sz="4"/>
                    <w:left w:val="none" w:color="000000" w:sz="4"/>
                    <w:bottom w:val="single" w:color="000000" w:sz="4"/>
                    <w:right w:val="single" w:color="000000" w:sz="4"/>
                  </w:tcBorders>
                  <w:vAlign w:val="top"/>
                </w:tcPr>
                <w:p>
                  <w:pPr>
                    <w:jc w:val="center"/>
                  </w:pPr>
                  <w:r>
                    <w:rPr>
                      <w:sz w:val="21"/>
                    </w:rPr>
                    <w:t>个</w:t>
                  </w:r>
                </w:p>
              </w:tc>
            </w:tr>
          </w:tbl>
          <w:p>
            <w:pPr>
              <w:jc w:val="both"/>
            </w:pPr>
          </w:p>
          <w:p>
            <w:pPr>
              <w:jc w:val="both"/>
            </w:pPr>
            <w:r>
              <w:rPr>
                <w:sz w:val="21"/>
              </w:rPr>
              <w:t>2.1.1.1.3.</w:t>
            </w:r>
            <w:r>
              <w:rPr>
                <w:sz w:val="21"/>
              </w:rPr>
              <w:t>视频共享交换平台</w:t>
            </w:r>
          </w:p>
          <w:p>
            <w:pPr>
              <w:ind w:firstLine="420"/>
              <w:jc w:val="both"/>
            </w:pPr>
            <w:r>
              <w:rPr>
                <w:sz w:val="21"/>
              </w:rPr>
              <w:t>视频共享交换平台以原有视频专网公安视频联网共享平台与翠亨新区新建视频云平台为基础，将全市各类公共安全视频监控资源统筹规划，统筹建设，统筹管理，在政务外网建设中山市视频共享交换平台，与视频专网公安视频联网共享平台共享视频资源，中山市视频共享交换平台的视频资源全量共享到公安视频联网共享平台，公安视频联网共享平台的视频资源，其中二、三类点视频全量共享到中山市视频共享交换平台，公安一类点视频按需授权共享给中山市视频共享交换平台。</w:t>
            </w:r>
          </w:p>
          <w:p>
            <w:pPr>
              <w:ind w:firstLine="420"/>
              <w:jc w:val="both"/>
            </w:pPr>
            <w:r>
              <w:rPr>
                <w:sz w:val="21"/>
              </w:rPr>
              <w:t>各视频资源需求部门可按照相关视频资源管理办法的要求，通过视频共享交换平台按需查询、调阅、下载视频资源。各部门能够利用视频共享交换平台的视频资源，结合本部门的业务需求和行业特点自行开发相关数据应用，达成</w:t>
            </w:r>
            <w:r>
              <w:rPr>
                <w:sz w:val="21"/>
              </w:rPr>
              <w:t>“统一接入，统一调阅，统一授权”的工作目标，充分发挥视频资源在治安防控、应急处突、服务群众等方面的重要作用。</w:t>
            </w:r>
          </w:p>
          <w:p>
            <w:pPr>
              <w:ind w:firstLine="420"/>
              <w:jc w:val="both"/>
            </w:pPr>
            <w:r>
              <w:rPr>
                <w:sz w:val="21"/>
              </w:rPr>
              <w:t>（</w:t>
            </w:r>
            <w:r>
              <w:rPr>
                <w:sz w:val="21"/>
              </w:rPr>
              <w:t>1</w:t>
            </w:r>
            <w:r>
              <w:rPr>
                <w:sz w:val="21"/>
              </w:rPr>
              <w:t>）软件部分</w:t>
            </w:r>
          </w:p>
          <w:tbl>
            <w:tblPr>
              <w:tblInd w:type="dxa" w:w="120"/>
              <w:tblBorders>
                <w:top w:val="none" w:color="000000" w:sz="4"/>
                <w:left w:val="none" w:color="000000" w:sz="4"/>
                <w:bottom w:val="none" w:color="000000" w:sz="4"/>
                <w:right w:val="none" w:color="000000" w:sz="4"/>
                <w:insideH w:val="none"/>
                <w:insideV w:val="none"/>
              </w:tblBorders>
            </w:tblPr>
            <w:tblGrid>
              <w:gridCol w:w="493"/>
              <w:gridCol w:w="1332"/>
              <w:gridCol w:w="1526"/>
              <w:gridCol w:w="1167"/>
              <w:gridCol w:w="523"/>
              <w:gridCol w:w="493"/>
            </w:tblGrid>
            <w:tr>
              <w:tc>
                <w:tcPr>
                  <w:tcW w:type="dxa" w:w="49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32"/>
                  <w:tcBorders>
                    <w:top w:val="single" w:color="000000" w:sz="4"/>
                    <w:left w:val="none" w:color="000000" w:sz="4"/>
                    <w:bottom w:val="single" w:color="000000" w:sz="4"/>
                    <w:right w:val="single" w:color="000000" w:sz="4"/>
                  </w:tcBorders>
                  <w:vAlign w:val="top"/>
                </w:tcPr>
                <w:p>
                  <w:pPr>
                    <w:jc w:val="center"/>
                  </w:pPr>
                  <w:r>
                    <w:rPr>
                      <w:sz w:val="21"/>
                    </w:rPr>
                    <w:t>平台</w:t>
                  </w:r>
                </w:p>
              </w:tc>
              <w:tc>
                <w:tcPr>
                  <w:tcW w:type="dxa" w:w="1526"/>
                  <w:tcBorders>
                    <w:top w:val="single" w:color="000000" w:sz="4"/>
                    <w:left w:val="none" w:color="000000" w:sz="4"/>
                    <w:bottom w:val="single" w:color="000000" w:sz="4"/>
                    <w:right w:val="single" w:color="000000" w:sz="4"/>
                  </w:tcBorders>
                  <w:vAlign w:val="top"/>
                </w:tcPr>
                <w:p>
                  <w:pPr>
                    <w:jc w:val="center"/>
                  </w:pPr>
                  <w:r>
                    <w:rPr>
                      <w:sz w:val="21"/>
                    </w:rPr>
                    <w:t>主要模块名称</w:t>
                  </w:r>
                </w:p>
              </w:tc>
              <w:tc>
                <w:tcPr>
                  <w:tcW w:type="dxa" w:w="1167"/>
                  <w:tcBorders>
                    <w:top w:val="single" w:color="000000" w:sz="4"/>
                    <w:left w:val="none" w:color="000000" w:sz="4"/>
                    <w:bottom w:val="single" w:color="000000" w:sz="4"/>
                    <w:right w:val="single" w:color="000000" w:sz="4"/>
                  </w:tcBorders>
                  <w:vAlign w:val="top"/>
                </w:tcPr>
                <w:p>
                  <w:pPr>
                    <w:jc w:val="center"/>
                  </w:pPr>
                  <w:r>
                    <w:rPr>
                      <w:sz w:val="21"/>
                    </w:rPr>
                    <w:t>类型</w:t>
                  </w:r>
                </w:p>
              </w:tc>
              <w:tc>
                <w:tcPr>
                  <w:tcW w:type="dxa" w:w="523"/>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493"/>
                  <w:tcBorders>
                    <w:top w:val="single" w:color="000000" w:sz="4"/>
                    <w:left w:val="none" w:color="000000" w:sz="4"/>
                    <w:bottom w:val="single" w:color="000000" w:sz="4"/>
                    <w:right w:val="single" w:color="000000" w:sz="4"/>
                  </w:tcBorders>
                  <w:vAlign w:val="top"/>
                </w:tcPr>
                <w:p>
                  <w:pPr>
                    <w:jc w:val="center"/>
                  </w:pPr>
                  <w:r>
                    <w:rPr>
                      <w:sz w:val="21"/>
                    </w:rPr>
                    <w:t>单位</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32"/>
                  <w:vMerge w:val="restart"/>
                  <w:tcBorders>
                    <w:top w:val="none" w:color="000000" w:sz="4"/>
                    <w:left w:val="none" w:color="000000" w:sz="4"/>
                    <w:bottom w:val="single" w:color="000000" w:sz="4"/>
                    <w:right w:val="single" w:color="000000" w:sz="4"/>
                  </w:tcBorders>
                  <w:vAlign w:val="top"/>
                </w:tcPr>
                <w:p>
                  <w:pPr>
                    <w:jc w:val="left"/>
                  </w:pPr>
                  <w:r>
                    <w:rPr>
                      <w:sz w:val="21"/>
                    </w:rPr>
                    <w:t>视频共享交换平台</w:t>
                  </w:r>
                  <w:r>
                    <w:rPr>
                      <w:sz w:val="21"/>
                    </w:rPr>
                    <w:t>-</w:t>
                  </w:r>
                  <w:r>
                    <w:rPr>
                      <w:sz w:val="21"/>
                    </w:rPr>
                    <w:t>视频专网</w:t>
                  </w:r>
                  <w:r>
                    <w:rPr>
                      <w:sz w:val="21"/>
                    </w:rPr>
                    <w:t>-</w:t>
                  </w:r>
                  <w:r>
                    <w:rPr>
                      <w:sz w:val="21"/>
                    </w:rPr>
                    <w:t>视频共享平台扩容</w:t>
                  </w: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标签搜索</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空间查询</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周边查询</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组合查询</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基于已选点位查询</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点位资源详情</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点位搜索</w:t>
                  </w:r>
                  <w:r>
                    <w:rPr>
                      <w:sz w:val="21"/>
                    </w:rPr>
                    <w:t>-</w:t>
                  </w:r>
                  <w:r>
                    <w:rPr>
                      <w:sz w:val="21"/>
                    </w:rPr>
                    <w:t>点位集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运行管理服务</w:t>
                  </w:r>
                  <w:r>
                    <w:rPr>
                      <w:sz w:val="21"/>
                    </w:rPr>
                    <w:t>-</w:t>
                  </w:r>
                  <w:r>
                    <w:rPr>
                      <w:sz w:val="21"/>
                    </w:rPr>
                    <w:t>运行监控</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运行管理服务</w:t>
                  </w:r>
                  <w:r>
                    <w:rPr>
                      <w:sz w:val="21"/>
                    </w:rPr>
                    <w:t>-</w:t>
                  </w:r>
                  <w:r>
                    <w:rPr>
                      <w:sz w:val="21"/>
                    </w:rPr>
                    <w:t>运行统计</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运行管理服务</w:t>
                  </w:r>
                  <w:r>
                    <w:rPr>
                      <w:sz w:val="21"/>
                    </w:rPr>
                    <w:t>-</w:t>
                  </w:r>
                  <w:r>
                    <w:rPr>
                      <w:sz w:val="21"/>
                    </w:rPr>
                    <w:t>运行报告</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视频专网视频云存储对接</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软件产品部署</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32"/>
                  <w:vMerge w:val="restart"/>
                  <w:tcBorders>
                    <w:top w:val="none" w:color="000000" w:sz="4"/>
                    <w:left w:val="none" w:color="000000" w:sz="4"/>
                    <w:bottom w:val="single" w:color="000000" w:sz="4"/>
                    <w:right w:val="single" w:color="000000" w:sz="4"/>
                  </w:tcBorders>
                  <w:vAlign w:val="top"/>
                </w:tcPr>
                <w:p>
                  <w:pPr>
                    <w:jc w:val="left"/>
                  </w:pPr>
                  <w:r>
                    <w:rPr>
                      <w:sz w:val="21"/>
                    </w:rPr>
                    <w:t>视频共享交换平台</w:t>
                  </w:r>
                  <w:r>
                    <w:rPr>
                      <w:sz w:val="21"/>
                    </w:rPr>
                    <w:t>-</w:t>
                  </w:r>
                  <w:r>
                    <w:rPr>
                      <w:sz w:val="21"/>
                    </w:rPr>
                    <w:t>政务外网</w:t>
                  </w:r>
                  <w:r>
                    <w:rPr>
                      <w:sz w:val="21"/>
                    </w:rPr>
                    <w:t>-</w:t>
                  </w:r>
                  <w:r>
                    <w:rPr>
                      <w:sz w:val="21"/>
                    </w:rPr>
                    <w:t>视频共享平台新建</w:t>
                  </w: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系统组织管理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基础与业务目录</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部门管理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用户管理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角色管理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水印配置</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平台集中管理模块</w:t>
                  </w:r>
                  <w:r>
                    <w:rPr>
                      <w:sz w:val="21"/>
                    </w:rPr>
                    <w:t>-</w:t>
                  </w:r>
                  <w:r>
                    <w:rPr>
                      <w:sz w:val="21"/>
                    </w:rPr>
                    <w:t>日志管理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视频资源总览</w:t>
                  </w:r>
                  <w:r>
                    <w:rPr>
                      <w:sz w:val="21"/>
                    </w:rPr>
                    <w:t>-</w:t>
                  </w:r>
                  <w:r>
                    <w:rPr>
                      <w:sz w:val="21"/>
                    </w:rPr>
                    <w:t>总体概览</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视频资源总览</w:t>
                  </w:r>
                  <w:r>
                    <w:rPr>
                      <w:sz w:val="21"/>
                    </w:rPr>
                    <w:t>-</w:t>
                  </w:r>
                  <w:r>
                    <w:rPr>
                      <w:sz w:val="21"/>
                    </w:rPr>
                    <w:t>视频资源查看</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视频资源总览</w:t>
                  </w:r>
                  <w:r>
                    <w:rPr>
                      <w:sz w:val="21"/>
                    </w:rPr>
                    <w:t>-</w:t>
                  </w:r>
                  <w:r>
                    <w:rPr>
                      <w:sz w:val="21"/>
                    </w:rPr>
                    <w:t>资源操作</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视频资源总览</w:t>
                  </w:r>
                  <w:r>
                    <w:rPr>
                      <w:sz w:val="21"/>
                    </w:rPr>
                    <w:t>-</w:t>
                  </w:r>
                  <w:r>
                    <w:rPr>
                      <w:sz w:val="21"/>
                    </w:rPr>
                    <w:t>资源详情</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视频资源申请服务视频资源申请</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视频资源申请服务视频申请审批</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对接省级雪亮总平台对接省级雪亮总平台</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共享服务门户服务门户模块功能</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共享服务门户用户登入模块功能</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共享服务门户考核评价模块功能</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资源管理模块资源采集功能</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资源管理模块资源维护</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资源管理模块申请工单流转</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视频调阅功能基础模块</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视频调阅功能功能模块</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AR</w:t>
                  </w:r>
                  <w:r>
                    <w:rPr>
                      <w:sz w:val="21"/>
                    </w:rPr>
                    <w:t>实景地图应用</w:t>
                  </w:r>
                  <w:r>
                    <w:rPr>
                      <w:sz w:val="21"/>
                    </w:rPr>
                    <w:t>AR</w:t>
                  </w:r>
                  <w:r>
                    <w:rPr>
                      <w:sz w:val="21"/>
                    </w:rPr>
                    <w:t>实景地图应用</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AR</w:t>
                  </w:r>
                  <w:r>
                    <w:rPr>
                      <w:sz w:val="21"/>
                    </w:rPr>
                    <w:t>场景数</w:t>
                  </w:r>
                  <w:r>
                    <w:rPr>
                      <w:sz w:val="21"/>
                    </w:rPr>
                    <w:t>AR</w:t>
                  </w:r>
                  <w:r>
                    <w:rPr>
                      <w:sz w:val="21"/>
                    </w:rPr>
                    <w:t>场景数</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200</w:t>
                  </w:r>
                </w:p>
              </w:tc>
              <w:tc>
                <w:tcPr>
                  <w:tcW w:type="dxa" w:w="493"/>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AR</w:t>
                  </w:r>
                  <w:r>
                    <w:rPr>
                      <w:sz w:val="21"/>
                    </w:rPr>
                    <w:t>设备对接开发</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政务外网云存储对接</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赋能</w:t>
                  </w:r>
                  <w:r>
                    <w:rPr>
                      <w:sz w:val="21"/>
                    </w:rPr>
                    <w:t>19</w:t>
                  </w:r>
                  <w:r>
                    <w:rPr>
                      <w:sz w:val="21"/>
                    </w:rPr>
                    <w:t>个委办局</w:t>
                  </w:r>
                  <w:r>
                    <w:rPr>
                      <w:sz w:val="21"/>
                    </w:rPr>
                    <w:t>API</w:t>
                  </w:r>
                  <w:r>
                    <w:rPr>
                      <w:sz w:val="21"/>
                    </w:rPr>
                    <w:t>对接开发</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19</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332"/>
                  <w:vMerge w:val="restart"/>
                  <w:tcBorders>
                    <w:top w:val="none" w:color="000000" w:sz="4"/>
                    <w:left w:val="none" w:color="000000" w:sz="4"/>
                    <w:bottom w:val="single" w:color="000000" w:sz="4"/>
                    <w:right w:val="single" w:color="000000" w:sz="4"/>
                  </w:tcBorders>
                  <w:vAlign w:val="top"/>
                </w:tcPr>
                <w:p>
                  <w:pPr>
                    <w:jc w:val="left"/>
                  </w:pPr>
                  <w:r>
                    <w:rPr>
                      <w:sz w:val="21"/>
                    </w:rPr>
                    <w:t>视频共享交换平台</w:t>
                  </w:r>
                  <w:r>
                    <w:rPr>
                      <w:sz w:val="21"/>
                    </w:rPr>
                    <w:t>-</w:t>
                  </w:r>
                  <w:r>
                    <w:rPr>
                      <w:sz w:val="21"/>
                    </w:rPr>
                    <w:t>政务外网</w:t>
                  </w:r>
                  <w:r>
                    <w:rPr>
                      <w:sz w:val="21"/>
                    </w:rPr>
                    <w:t>-</w:t>
                  </w:r>
                  <w:r>
                    <w:rPr>
                      <w:sz w:val="21"/>
                    </w:rPr>
                    <w:t>设备数据治理工具</w:t>
                  </w:r>
                </w:p>
              </w:tc>
              <w:tc>
                <w:tcPr>
                  <w:tcW w:type="dxa" w:w="1526"/>
                  <w:tcBorders>
                    <w:top w:val="none" w:color="000000" w:sz="4"/>
                    <w:left w:val="none" w:color="000000" w:sz="4"/>
                    <w:bottom w:val="single" w:color="000000" w:sz="4"/>
                    <w:right w:val="single" w:color="000000" w:sz="4"/>
                  </w:tcBorders>
                  <w:vAlign w:val="top"/>
                </w:tcPr>
                <w:p>
                  <w:pPr>
                    <w:jc w:val="left"/>
                  </w:pPr>
                  <w:r>
                    <w:rPr>
                      <w:sz w:val="21"/>
                    </w:rPr>
                    <w:t>设备治理工具软件</w:t>
                  </w:r>
                  <w:r>
                    <w:rPr>
                      <w:sz w:val="21"/>
                    </w:rPr>
                    <w:t>-</w:t>
                  </w:r>
                  <w:r>
                    <w:rPr>
                      <w:sz w:val="21"/>
                    </w:rPr>
                    <w:t>基础属性治理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设备治理工具软件</w:t>
                  </w:r>
                  <w:r>
                    <w:rPr>
                      <w:sz w:val="21"/>
                    </w:rPr>
                    <w:t>-</w:t>
                  </w:r>
                  <w:r>
                    <w:rPr>
                      <w:sz w:val="21"/>
                    </w:rPr>
                    <w:t>场所类型治理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设备治理工具软件</w:t>
                  </w:r>
                  <w:r>
                    <w:rPr>
                      <w:sz w:val="21"/>
                    </w:rPr>
                    <w:t>-</w:t>
                  </w:r>
                  <w:r>
                    <w:rPr>
                      <w:sz w:val="21"/>
                    </w:rPr>
                    <w:t>设备使用治理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设备治理工具软件</w:t>
                  </w:r>
                  <w:r>
                    <w:rPr>
                      <w:sz w:val="21"/>
                    </w:rPr>
                    <w:t>-</w:t>
                  </w:r>
                  <w:r>
                    <w:rPr>
                      <w:sz w:val="21"/>
                    </w:rPr>
                    <w:t>球机场景治理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9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332"/>
                  <w:vMerge/>
                  <w:tcBorders>
                    <w:top w:val="none" w:color="000000" w:sz="4"/>
                    <w:left w:val="none" w:color="000000" w:sz="4"/>
                    <w:bottom w:val="single" w:color="000000" w:sz="4"/>
                    <w:right w:val="single" w:color="000000" w:sz="4"/>
                  </w:tcBorders>
                </w:tcPr>
                <w:p/>
              </w:tc>
              <w:tc>
                <w:tcPr>
                  <w:tcW w:type="dxa" w:w="1526"/>
                  <w:tcBorders>
                    <w:top w:val="none" w:color="000000" w:sz="4"/>
                    <w:left w:val="none" w:color="000000" w:sz="4"/>
                    <w:bottom w:val="single" w:color="000000" w:sz="4"/>
                    <w:right w:val="single" w:color="000000" w:sz="4"/>
                  </w:tcBorders>
                  <w:vAlign w:val="top"/>
                </w:tcPr>
                <w:p>
                  <w:pPr>
                    <w:jc w:val="left"/>
                  </w:pPr>
                  <w:r>
                    <w:rPr>
                      <w:sz w:val="21"/>
                    </w:rPr>
                    <w:t>设备治理工具软件</w:t>
                  </w:r>
                  <w:r>
                    <w:rPr>
                      <w:sz w:val="21"/>
                    </w:rPr>
                    <w:t>-</w:t>
                  </w:r>
                  <w:r>
                    <w:rPr>
                      <w:sz w:val="21"/>
                    </w:rPr>
                    <w:t>治理任务管理</w:t>
                  </w:r>
                </w:p>
              </w:tc>
              <w:tc>
                <w:tcPr>
                  <w:tcW w:type="dxa" w:w="1167"/>
                  <w:tcBorders>
                    <w:top w:val="none" w:color="000000" w:sz="4"/>
                    <w:left w:val="none" w:color="000000" w:sz="4"/>
                    <w:bottom w:val="single" w:color="000000" w:sz="4"/>
                    <w:right w:val="single" w:color="000000" w:sz="4"/>
                  </w:tcBorders>
                  <w:vAlign w:val="top"/>
                </w:tcPr>
                <w:p>
                  <w:pPr>
                    <w:jc w:val="left"/>
                  </w:pPr>
                  <w:r>
                    <w:rPr>
                      <w:sz w:val="21"/>
                    </w:rPr>
                    <w:t>软件定制开发</w:t>
                  </w:r>
                </w:p>
              </w:tc>
              <w:tc>
                <w:tcPr>
                  <w:tcW w:type="dxa" w:w="523"/>
                  <w:tcBorders>
                    <w:top w:val="none" w:color="000000" w:sz="4"/>
                    <w:left w:val="none" w:color="000000" w:sz="4"/>
                    <w:bottom w:val="single" w:color="000000" w:sz="4"/>
                    <w:right w:val="single" w:color="000000" w:sz="4"/>
                  </w:tcBorders>
                  <w:vAlign w:val="top"/>
                </w:tcPr>
                <w:p>
                  <w:pPr>
                    <w:jc w:val="center"/>
                  </w:pPr>
                  <w:r>
                    <w:rPr>
                      <w:sz w:val="21"/>
                    </w:rPr>
                    <w:t>1</w:t>
                  </w:r>
                </w:p>
              </w:tc>
              <w:tc>
                <w:tcPr>
                  <w:tcW w:type="dxa" w:w="493"/>
                  <w:tcBorders>
                    <w:top w:val="none" w:color="000000" w:sz="4"/>
                    <w:left w:val="none" w:color="000000" w:sz="4"/>
                    <w:bottom w:val="single" w:color="000000" w:sz="4"/>
                    <w:right w:val="single" w:color="000000" w:sz="4"/>
                  </w:tcBorders>
                  <w:vAlign w:val="top"/>
                </w:tcPr>
                <w:p>
                  <w:pPr>
                    <w:jc w:val="center"/>
                  </w:pPr>
                  <w:r>
                    <w:rPr>
                      <w:sz w:val="21"/>
                    </w:rPr>
                    <w:t>项</w:t>
                  </w:r>
                </w:p>
              </w:tc>
            </w:tr>
          </w:tbl>
          <w:p>
            <w:pPr>
              <w:jc w:val="both"/>
            </w:pPr>
          </w:p>
          <w:p>
            <w:pPr>
              <w:ind w:firstLine="420"/>
              <w:jc w:val="both"/>
            </w:pPr>
            <w:r>
              <w:rPr>
                <w:sz w:val="21"/>
              </w:rPr>
              <w:t>（</w:t>
            </w:r>
            <w:r>
              <w:rPr>
                <w:sz w:val="21"/>
              </w:rPr>
              <w:t>2</w:t>
            </w:r>
            <w:r>
              <w:rPr>
                <w:sz w:val="21"/>
              </w:rPr>
              <w:t>）视频网闸</w:t>
            </w:r>
          </w:p>
          <w:tbl>
            <w:tblPr>
              <w:tblInd w:type="dxa" w:w="120"/>
              <w:tblBorders>
                <w:top w:val="none" w:color="000000" w:sz="4"/>
                <w:left w:val="none" w:color="000000" w:sz="4"/>
                <w:bottom w:val="none" w:color="000000" w:sz="4"/>
                <w:right w:val="none" w:color="000000" w:sz="4"/>
                <w:insideH w:val="none"/>
                <w:insideV w:val="none"/>
              </w:tblBorders>
            </w:tblPr>
            <w:tblGrid>
              <w:gridCol w:w="2384"/>
              <w:gridCol w:w="1795"/>
              <w:gridCol w:w="528"/>
              <w:gridCol w:w="890"/>
            </w:tblGrid>
            <w:tr>
              <w:tc>
                <w:tcPr>
                  <w:tcW w:type="dxa" w:w="2384"/>
                  <w:tcBorders>
                    <w:top w:val="single" w:color="000000" w:sz="4"/>
                    <w:left w:val="single" w:color="000000" w:sz="4"/>
                    <w:bottom w:val="single" w:color="000000" w:sz="4"/>
                    <w:right w:val="single" w:color="000000" w:sz="4"/>
                  </w:tcBorders>
                  <w:shd w:fill="D7D7D7"/>
                  <w:vAlign w:val="top"/>
                </w:tcPr>
                <w:p>
                  <w:pPr>
                    <w:jc w:val="center"/>
                  </w:pPr>
                  <w:r>
                    <w:rPr>
                      <w:sz w:val="21"/>
                    </w:rPr>
                    <w:t>平台</w:t>
                  </w:r>
                </w:p>
              </w:tc>
              <w:tc>
                <w:tcPr>
                  <w:tcW w:type="dxa" w:w="1795"/>
                  <w:tcBorders>
                    <w:top w:val="single" w:color="000000" w:sz="4"/>
                    <w:left w:val="none" w:color="000000" w:sz="4"/>
                    <w:bottom w:val="single" w:color="000000" w:sz="4"/>
                    <w:right w:val="single" w:color="000000" w:sz="4"/>
                  </w:tcBorders>
                  <w:shd w:fill="D7D7D7"/>
                  <w:vAlign w:val="top"/>
                </w:tcPr>
                <w:p>
                  <w:pPr>
                    <w:jc w:val="center"/>
                  </w:pPr>
                  <w:r>
                    <w:rPr>
                      <w:sz w:val="21"/>
                    </w:rPr>
                    <w:t>主要模块名称</w:t>
                  </w:r>
                </w:p>
              </w:tc>
              <w:tc>
                <w:tcPr>
                  <w:tcW w:type="dxa" w:w="528"/>
                  <w:tcBorders>
                    <w:top w:val="single" w:color="000000" w:sz="4"/>
                    <w:left w:val="none" w:color="000000" w:sz="4"/>
                    <w:bottom w:val="single" w:color="000000" w:sz="4"/>
                    <w:right w:val="single" w:color="000000" w:sz="4"/>
                  </w:tcBorders>
                  <w:shd w:fill="D7D7D7"/>
                  <w:vAlign w:val="top"/>
                </w:tcPr>
                <w:p>
                  <w:pPr>
                    <w:jc w:val="center"/>
                  </w:pPr>
                  <w:r>
                    <w:rPr>
                      <w:sz w:val="21"/>
                    </w:rPr>
                    <w:t>类型</w:t>
                  </w:r>
                </w:p>
              </w:tc>
              <w:tc>
                <w:tcPr>
                  <w:tcW w:type="dxa" w:w="890"/>
                  <w:tcBorders>
                    <w:top w:val="single" w:color="000000" w:sz="4"/>
                    <w:left w:val="none" w:color="000000" w:sz="4"/>
                    <w:bottom w:val="single" w:color="000000" w:sz="4"/>
                    <w:right w:val="single" w:color="000000" w:sz="4"/>
                  </w:tcBorders>
                  <w:shd w:fill="D7D7D7"/>
                  <w:vAlign w:val="top"/>
                </w:tcPr>
                <w:p>
                  <w:pPr>
                    <w:jc w:val="center"/>
                  </w:pPr>
                  <w:r>
                    <w:rPr>
                      <w:sz w:val="21"/>
                    </w:rPr>
                    <w:t>硬件品牌</w:t>
                  </w:r>
                </w:p>
              </w:tc>
            </w:tr>
            <w:tr>
              <w:tc>
                <w:tcPr>
                  <w:tcW w:type="dxa" w:w="2384"/>
                  <w:vMerge w:val="restart"/>
                  <w:tcBorders>
                    <w:top w:val="none" w:color="000000" w:sz="4"/>
                    <w:left w:val="single" w:color="000000" w:sz="4"/>
                    <w:bottom w:val="single" w:color="000000" w:sz="4"/>
                    <w:right w:val="single" w:color="000000" w:sz="4"/>
                  </w:tcBorders>
                  <w:vAlign w:val="top"/>
                </w:tcPr>
                <w:p>
                  <w:pPr>
                    <w:jc w:val="center"/>
                  </w:pPr>
                  <w:r>
                    <w:rPr>
                      <w:sz w:val="21"/>
                    </w:rPr>
                    <w:t>视频共享交换平台</w:t>
                  </w:r>
                  <w:r>
                    <w:rPr>
                      <w:sz w:val="21"/>
                    </w:rPr>
                    <w:t>-</w:t>
                  </w:r>
                  <w:r>
                    <w:rPr>
                      <w:sz w:val="21"/>
                    </w:rPr>
                    <w:t>视频网闸</w:t>
                  </w:r>
                </w:p>
              </w:tc>
              <w:tc>
                <w:tcPr>
                  <w:tcW w:type="dxa" w:w="1795"/>
                  <w:tcBorders>
                    <w:top w:val="none" w:color="000000" w:sz="4"/>
                    <w:left w:val="none" w:color="000000" w:sz="4"/>
                    <w:bottom w:val="single" w:color="000000" w:sz="4"/>
                    <w:right w:val="single" w:color="000000" w:sz="4"/>
                  </w:tcBorders>
                  <w:vAlign w:val="top"/>
                </w:tcPr>
                <w:p>
                  <w:pPr>
                    <w:jc w:val="center"/>
                  </w:pPr>
                  <w:r>
                    <w:rPr>
                      <w:sz w:val="21"/>
                    </w:rPr>
                    <w:t>视频网闸设备</w:t>
                  </w:r>
                </w:p>
              </w:tc>
              <w:tc>
                <w:tcPr>
                  <w:tcW w:type="dxa" w:w="528"/>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90"/>
                  <w:tcBorders>
                    <w:top w:val="none" w:color="000000" w:sz="4"/>
                    <w:left w:val="none" w:color="000000" w:sz="4"/>
                    <w:bottom w:val="single" w:color="000000" w:sz="4"/>
                    <w:right w:val="single" w:color="000000" w:sz="4"/>
                  </w:tcBorders>
                  <w:vAlign w:val="top"/>
                </w:tcPr>
                <w:p>
                  <w:pPr>
                    <w:jc w:val="center"/>
                  </w:pPr>
                  <w:r>
                    <w:rPr>
                      <w:sz w:val="21"/>
                    </w:rPr>
                    <w:t>天行网安</w:t>
                  </w:r>
                </w:p>
              </w:tc>
            </w:tr>
            <w:tr>
              <w:tc>
                <w:tcPr>
                  <w:tcW w:type="dxa" w:w="2384"/>
                  <w:vMerge/>
                  <w:tcBorders>
                    <w:top w:val="none" w:color="000000" w:sz="4"/>
                    <w:left w:val="single" w:color="000000" w:sz="4"/>
                    <w:bottom w:val="single" w:color="000000" w:sz="4"/>
                    <w:right w:val="single" w:color="000000" w:sz="4"/>
                  </w:tcBorders>
                </w:tcPr>
                <w:p/>
              </w:tc>
              <w:tc>
                <w:tcPr>
                  <w:tcW w:type="dxa" w:w="1795"/>
                  <w:tcBorders>
                    <w:top w:val="none" w:color="000000" w:sz="4"/>
                    <w:left w:val="none" w:color="000000" w:sz="4"/>
                    <w:bottom w:val="single" w:color="000000" w:sz="4"/>
                    <w:right w:val="single" w:color="000000" w:sz="4"/>
                  </w:tcBorders>
                  <w:vAlign w:val="top"/>
                </w:tcPr>
                <w:p>
                  <w:pPr>
                    <w:jc w:val="center"/>
                  </w:pPr>
                  <w:r>
                    <w:rPr>
                      <w:sz w:val="21"/>
                    </w:rPr>
                    <w:t>视频安全交换系统</w:t>
                  </w:r>
                </w:p>
              </w:tc>
              <w:tc>
                <w:tcPr>
                  <w:tcW w:type="dxa" w:w="528"/>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90"/>
                  <w:tcBorders>
                    <w:top w:val="none" w:color="000000" w:sz="4"/>
                    <w:left w:val="none" w:color="000000" w:sz="4"/>
                    <w:bottom w:val="single" w:color="000000" w:sz="4"/>
                    <w:right w:val="single" w:color="000000" w:sz="4"/>
                  </w:tcBorders>
                  <w:vAlign w:val="top"/>
                </w:tcPr>
                <w:p>
                  <w:pPr>
                    <w:jc w:val="center"/>
                  </w:pPr>
                  <w:r>
                    <w:rPr>
                      <w:sz w:val="21"/>
                    </w:rPr>
                    <w:t>天行网安</w:t>
                  </w:r>
                </w:p>
              </w:tc>
            </w:tr>
            <w:tr>
              <w:tc>
                <w:tcPr>
                  <w:tcW w:type="dxa" w:w="2384"/>
                  <w:vMerge/>
                  <w:tcBorders>
                    <w:top w:val="none" w:color="000000" w:sz="4"/>
                    <w:left w:val="single" w:color="000000" w:sz="4"/>
                    <w:bottom w:val="single" w:color="000000" w:sz="4"/>
                    <w:right w:val="single" w:color="000000" w:sz="4"/>
                  </w:tcBorders>
                </w:tcPr>
                <w:p/>
              </w:tc>
              <w:tc>
                <w:tcPr>
                  <w:tcW w:type="dxa" w:w="1795"/>
                  <w:tcBorders>
                    <w:top w:val="none" w:color="000000" w:sz="4"/>
                    <w:left w:val="none" w:color="000000" w:sz="4"/>
                    <w:bottom w:val="single" w:color="000000" w:sz="4"/>
                    <w:right w:val="single" w:color="000000" w:sz="4"/>
                  </w:tcBorders>
                  <w:vAlign w:val="top"/>
                </w:tcPr>
                <w:p>
                  <w:pPr>
                    <w:jc w:val="center"/>
                  </w:pPr>
                  <w:r>
                    <w:rPr>
                      <w:sz w:val="21"/>
                    </w:rPr>
                    <w:t>数据网闸</w:t>
                  </w:r>
                </w:p>
              </w:tc>
              <w:tc>
                <w:tcPr>
                  <w:tcW w:type="dxa" w:w="528"/>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90"/>
                  <w:tcBorders>
                    <w:top w:val="none" w:color="000000" w:sz="4"/>
                    <w:left w:val="none" w:color="000000" w:sz="4"/>
                    <w:bottom w:val="single" w:color="000000" w:sz="4"/>
                    <w:right w:val="single" w:color="000000" w:sz="4"/>
                  </w:tcBorders>
                  <w:vAlign w:val="top"/>
                </w:tcPr>
                <w:p>
                  <w:pPr>
                    <w:jc w:val="center"/>
                  </w:pPr>
                  <w:r>
                    <w:rPr>
                      <w:sz w:val="21"/>
                    </w:rPr>
                    <w:t>天行网安</w:t>
                  </w:r>
                </w:p>
              </w:tc>
            </w:tr>
            <w:tr>
              <w:tc>
                <w:tcPr>
                  <w:tcW w:type="dxa" w:w="2384"/>
                  <w:vMerge/>
                  <w:tcBorders>
                    <w:top w:val="none" w:color="000000" w:sz="4"/>
                    <w:left w:val="single" w:color="000000" w:sz="4"/>
                    <w:bottom w:val="single" w:color="000000" w:sz="4"/>
                    <w:right w:val="single" w:color="000000" w:sz="4"/>
                  </w:tcBorders>
                </w:tcPr>
                <w:p/>
              </w:tc>
              <w:tc>
                <w:tcPr>
                  <w:tcW w:type="dxa" w:w="1795"/>
                  <w:tcBorders>
                    <w:top w:val="none" w:color="000000" w:sz="4"/>
                    <w:left w:val="none" w:color="000000" w:sz="4"/>
                    <w:bottom w:val="single" w:color="000000" w:sz="4"/>
                    <w:right w:val="single" w:color="000000" w:sz="4"/>
                  </w:tcBorders>
                  <w:vAlign w:val="top"/>
                </w:tcPr>
                <w:p>
                  <w:pPr>
                    <w:jc w:val="center"/>
                  </w:pPr>
                  <w:r>
                    <w:rPr>
                      <w:sz w:val="21"/>
                    </w:rPr>
                    <w:t>数据安全交换系统</w:t>
                  </w:r>
                </w:p>
              </w:tc>
              <w:tc>
                <w:tcPr>
                  <w:tcW w:type="dxa" w:w="528"/>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890"/>
                  <w:tcBorders>
                    <w:top w:val="none" w:color="000000" w:sz="4"/>
                    <w:left w:val="none" w:color="000000" w:sz="4"/>
                    <w:bottom w:val="single" w:color="000000" w:sz="4"/>
                    <w:right w:val="single" w:color="000000" w:sz="4"/>
                  </w:tcBorders>
                  <w:vAlign w:val="top"/>
                </w:tcPr>
                <w:p>
                  <w:pPr>
                    <w:jc w:val="center"/>
                  </w:pPr>
                  <w:r>
                    <w:rPr>
                      <w:sz w:val="21"/>
                    </w:rPr>
                    <w:t>天行网安</w:t>
                  </w:r>
                </w:p>
              </w:tc>
            </w:tr>
          </w:tbl>
          <w:p>
            <w:pPr>
              <w:jc w:val="both"/>
            </w:pPr>
          </w:p>
          <w:p>
            <w:pPr>
              <w:jc w:val="both"/>
            </w:pPr>
            <w:r>
              <w:rPr>
                <w:sz w:val="21"/>
              </w:rPr>
              <w:t>2.1.1.1.4.</w:t>
            </w:r>
            <w:r>
              <w:rPr>
                <w:sz w:val="21"/>
              </w:rPr>
              <w:t>视频智能分析平台</w:t>
            </w:r>
          </w:p>
          <w:p>
            <w:pPr>
              <w:ind w:firstLine="420"/>
              <w:jc w:val="both"/>
            </w:pPr>
            <w:r>
              <w:rPr>
                <w:sz w:val="21"/>
              </w:rPr>
              <w:t>视频智能分析平台在基于原中山公安智能解析平台和翠亨新区的视频</w:t>
            </w:r>
            <w:r>
              <w:rPr>
                <w:sz w:val="21"/>
              </w:rPr>
              <w:t>AI</w:t>
            </w:r>
            <w:r>
              <w:rPr>
                <w:sz w:val="21"/>
              </w:rPr>
              <w:t>平台的成果与经验，在原有公安智能解析平台上扩充视频行业算法分析平台，提升全市视频图像的智能服务能力以及应用深度，并通过服务管理，实现开放服务给指定业务部门，保障视图及解析资源的调度。</w:t>
            </w:r>
          </w:p>
          <w:tbl>
            <w:tblPr>
              <w:tblInd w:type="dxa" w:w="120"/>
              <w:tblBorders>
                <w:top w:val="none" w:color="000000" w:sz="4"/>
                <w:left w:val="none" w:color="000000" w:sz="4"/>
                <w:bottom w:val="none" w:color="000000" w:sz="4"/>
                <w:right w:val="none" w:color="000000" w:sz="4"/>
                <w:insideH w:val="none"/>
                <w:insideV w:val="none"/>
              </w:tblBorders>
            </w:tblPr>
            <w:tblGrid>
              <w:gridCol w:w="480"/>
              <w:gridCol w:w="1200"/>
              <w:gridCol w:w="3105"/>
              <w:gridCol w:w="390"/>
              <w:gridCol w:w="390"/>
            </w:tblGrid>
            <w:tr>
              <w:tc>
                <w:tcPr>
                  <w:tcW w:type="dxa" w:w="480"/>
                  <w:tcBorders>
                    <w:top w:val="single" w:color="000000" w:sz="4"/>
                    <w:left w:val="single" w:color="000000" w:sz="4"/>
                    <w:bottom w:val="single" w:color="000000" w:sz="4"/>
                    <w:right w:val="single" w:color="000000" w:sz="4"/>
                  </w:tcBorders>
                  <w:shd w:fill="D7D7D7"/>
                  <w:vAlign w:val="top"/>
                </w:tcPr>
                <w:p>
                  <w:pPr>
                    <w:jc w:val="center"/>
                  </w:pPr>
                  <w:r>
                    <w:rPr>
                      <w:sz w:val="21"/>
                    </w:rPr>
                    <w:t>序号</w:t>
                  </w:r>
                </w:p>
              </w:tc>
              <w:tc>
                <w:tcPr>
                  <w:tcW w:type="dxa" w:w="1200"/>
                  <w:tcBorders>
                    <w:top w:val="single" w:color="000000" w:sz="4"/>
                    <w:left w:val="none" w:color="000000" w:sz="4"/>
                    <w:bottom w:val="single" w:color="000000" w:sz="4"/>
                    <w:right w:val="single" w:color="000000" w:sz="4"/>
                  </w:tcBorders>
                  <w:shd w:fill="D7D7D7"/>
                  <w:vAlign w:val="top"/>
                </w:tcPr>
                <w:p>
                  <w:pPr>
                    <w:jc w:val="center"/>
                  </w:pPr>
                  <w:r>
                    <w:rPr>
                      <w:sz w:val="21"/>
                    </w:rPr>
                    <w:t>平台</w:t>
                  </w:r>
                </w:p>
              </w:tc>
              <w:tc>
                <w:tcPr>
                  <w:tcW w:type="dxa" w:w="3105"/>
                  <w:tcBorders>
                    <w:top w:val="single" w:color="000000" w:sz="4"/>
                    <w:left w:val="none" w:color="000000" w:sz="4"/>
                    <w:bottom w:val="single" w:color="000000" w:sz="4"/>
                    <w:right w:val="single" w:color="000000" w:sz="4"/>
                  </w:tcBorders>
                  <w:shd w:fill="D7D7D7"/>
                  <w:vAlign w:val="top"/>
                </w:tcPr>
                <w:p>
                  <w:pPr>
                    <w:jc w:val="center"/>
                  </w:pPr>
                  <w:r>
                    <w:rPr>
                      <w:sz w:val="21"/>
                    </w:rPr>
                    <w:t>主要模块名称</w:t>
                  </w:r>
                </w:p>
              </w:tc>
              <w:tc>
                <w:tcPr>
                  <w:tcW w:type="dxa" w:w="390"/>
                  <w:tcBorders>
                    <w:top w:val="single" w:color="000000" w:sz="4"/>
                    <w:left w:val="none" w:color="000000" w:sz="4"/>
                    <w:bottom w:val="single" w:color="000000" w:sz="4"/>
                    <w:right w:val="single" w:color="000000" w:sz="4"/>
                  </w:tcBorders>
                  <w:shd w:fill="D7D7D7"/>
                  <w:vAlign w:val="top"/>
                </w:tcPr>
                <w:p>
                  <w:pPr>
                    <w:jc w:val="center"/>
                  </w:pPr>
                  <w:r>
                    <w:rPr>
                      <w:sz w:val="21"/>
                    </w:rPr>
                    <w:t>数量</w:t>
                  </w:r>
                </w:p>
              </w:tc>
              <w:tc>
                <w:tcPr>
                  <w:tcW w:type="dxa" w:w="390"/>
                  <w:tcBorders>
                    <w:top w:val="single" w:color="000000" w:sz="4"/>
                    <w:left w:val="none" w:color="000000" w:sz="4"/>
                    <w:bottom w:val="single" w:color="000000" w:sz="4"/>
                    <w:right w:val="single" w:color="000000" w:sz="4"/>
                  </w:tcBorders>
                  <w:shd w:fill="D7D7D7"/>
                  <w:vAlign w:val="top"/>
                </w:tcPr>
                <w:p>
                  <w:pPr>
                    <w:jc w:val="center"/>
                  </w:pPr>
                  <w:r>
                    <w:rPr>
                      <w:sz w:val="21"/>
                    </w:rPr>
                    <w:t>单位</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视频专网</w:t>
                  </w:r>
                  <w:r>
                    <w:rPr>
                      <w:sz w:val="21"/>
                    </w:rPr>
                    <w:t>-</w:t>
                  </w:r>
                  <w:r>
                    <w:rPr>
                      <w:sz w:val="21"/>
                    </w:rPr>
                    <w:t>智能算法管理服务</w:t>
                  </w: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算法编排服务</w:t>
                  </w:r>
                  <w:r>
                    <w:rPr>
                      <w:sz w:val="21"/>
                    </w:rPr>
                    <w:t>-AI</w:t>
                  </w:r>
                  <w:r>
                    <w:rPr>
                      <w:sz w:val="21"/>
                    </w:rPr>
                    <w:t>场景治理清单</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算法编排服务</w:t>
                  </w:r>
                  <w:r>
                    <w:rPr>
                      <w:sz w:val="21"/>
                    </w:rPr>
                    <w:t>-AI</w:t>
                  </w:r>
                  <w:r>
                    <w:rPr>
                      <w:sz w:val="21"/>
                    </w:rPr>
                    <w:t>场景配置工作台</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算法编排服务</w:t>
                  </w:r>
                  <w:r>
                    <w:rPr>
                      <w:sz w:val="21"/>
                    </w:rPr>
                    <w:t>-</w:t>
                  </w:r>
                  <w:r>
                    <w:rPr>
                      <w:sz w:val="21"/>
                    </w:rPr>
                    <w:t>智能分析编排</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事件研判服务</w:t>
                  </w:r>
                  <w:r>
                    <w:rPr>
                      <w:sz w:val="21"/>
                    </w:rPr>
                    <w:t>-</w:t>
                  </w:r>
                  <w:r>
                    <w:rPr>
                      <w:sz w:val="21"/>
                    </w:rPr>
                    <w:t>预警研判</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事件研判服务</w:t>
                  </w:r>
                  <w:r>
                    <w:rPr>
                      <w:sz w:val="21"/>
                    </w:rPr>
                    <w:t>-</w:t>
                  </w:r>
                  <w:r>
                    <w:rPr>
                      <w:sz w:val="21"/>
                    </w:rPr>
                    <w:t>事件检索</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事件研判服务</w:t>
                  </w:r>
                  <w:r>
                    <w:rPr>
                      <w:sz w:val="21"/>
                    </w:rPr>
                    <w:t>-</w:t>
                  </w:r>
                  <w:r>
                    <w:rPr>
                      <w:sz w:val="21"/>
                    </w:rPr>
                    <w:t>事件统计</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视频专网</w:t>
                  </w:r>
                  <w:r>
                    <w:rPr>
                      <w:sz w:val="21"/>
                    </w:rPr>
                    <w:t>-</w:t>
                  </w:r>
                  <w:r>
                    <w:rPr>
                      <w:sz w:val="21"/>
                    </w:rPr>
                    <w:t>视频专网</w:t>
                  </w:r>
                  <w:r>
                    <w:rPr>
                      <w:sz w:val="21"/>
                    </w:rPr>
                    <w:t>AI</w:t>
                  </w:r>
                  <w:r>
                    <w:rPr>
                      <w:sz w:val="21"/>
                    </w:rPr>
                    <w:t>智能算法仓库</w:t>
                  </w:r>
                  <w:r>
                    <w:rPr>
                      <w:sz w:val="21"/>
                    </w:rPr>
                    <w:t>-</w:t>
                  </w:r>
                  <w:r>
                    <w:rPr>
                      <w:sz w:val="21"/>
                    </w:rPr>
                    <w:t>算法仓库</w:t>
                  </w: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算法管理上传</w:t>
                  </w:r>
                  <w:r>
                    <w:rPr>
                      <w:sz w:val="21"/>
                    </w:rPr>
                    <w:t>-</w:t>
                  </w:r>
                  <w:r>
                    <w:rPr>
                      <w:sz w:val="21"/>
                    </w:rPr>
                    <w:t>视频专网、</w:t>
                  </w:r>
                  <w:r>
                    <w:rPr>
                      <w:sz w:val="21"/>
                    </w:rPr>
                    <w:t>AI</w:t>
                  </w:r>
                  <w:r>
                    <w:rPr>
                      <w:sz w:val="21"/>
                    </w:rPr>
                    <w:t>智能算法仓库</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算法信息编辑</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能力发布管理</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算法同步更新机制</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多算法兼容接入</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全分析系统软件</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智能节点数</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个</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视频专网</w:t>
                  </w:r>
                  <w:r>
                    <w:rPr>
                      <w:sz w:val="21"/>
                    </w:rPr>
                    <w:t>-</w:t>
                  </w:r>
                  <w:r>
                    <w:rPr>
                      <w:sz w:val="21"/>
                    </w:rPr>
                    <w:t>视频专网</w:t>
                  </w:r>
                  <w:r>
                    <w:rPr>
                      <w:sz w:val="21"/>
                    </w:rPr>
                    <w:t>AI</w:t>
                  </w:r>
                  <w:r>
                    <w:rPr>
                      <w:sz w:val="21"/>
                    </w:rPr>
                    <w:t>智能算法仓库</w:t>
                  </w:r>
                  <w:r>
                    <w:rPr>
                      <w:sz w:val="21"/>
                    </w:rPr>
                    <w:t>-</w:t>
                  </w:r>
                  <w:r>
                    <w:rPr>
                      <w:sz w:val="21"/>
                    </w:rPr>
                    <w:t>智能算法包</w:t>
                  </w:r>
                </w:p>
              </w:tc>
              <w:tc>
                <w:tcPr>
                  <w:tcW w:type="dxa" w:w="3105"/>
                  <w:tcBorders>
                    <w:top w:val="none" w:color="000000" w:sz="4"/>
                    <w:left w:val="none" w:color="000000" w:sz="4"/>
                    <w:bottom w:val="single" w:color="000000" w:sz="4"/>
                    <w:right w:val="single" w:color="000000" w:sz="4"/>
                  </w:tcBorders>
                  <w:vAlign w:val="top"/>
                </w:tcPr>
                <w:p>
                  <w:pPr>
                    <w:jc w:val="left"/>
                  </w:pPr>
                  <w:r>
                    <w:rPr>
                      <w:sz w:val="21"/>
                    </w:rPr>
                    <w:t>占道经营算法软件及授权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店外经营算法软件及授权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游摊小贩算法软件及授权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乱堆物堆料算法软件及授权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暴露垃圾算法软件及授权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垃圾满溢算法软件及授权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户外广告算法软件及授权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经营撑伞算法软件及授权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离岗</w:t>
                  </w:r>
                  <w:r>
                    <w:rPr>
                      <w:sz w:val="21"/>
                    </w:rPr>
                    <w:t>/</w:t>
                  </w:r>
                  <w:r>
                    <w:rPr>
                      <w:sz w:val="21"/>
                    </w:rPr>
                    <w:t>睡岗算法软件及授权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玩手机检测算法软件及授权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倒地检测算法软件及授权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25</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人群聚集检测算法软件及授权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25</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路障检测算法软件及授权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施工检测算法软件及授权</w:t>
                  </w:r>
                </w:p>
              </w:tc>
              <w:tc>
                <w:tcPr>
                  <w:tcW w:type="dxa" w:w="390"/>
                  <w:tcBorders>
                    <w:top w:val="none" w:color="000000" w:sz="4"/>
                    <w:left w:val="none" w:color="000000" w:sz="4"/>
                    <w:bottom w:val="single" w:color="000000" w:sz="4"/>
                    <w:right w:val="single" w:color="000000" w:sz="4"/>
                  </w:tcBorders>
                  <w:vAlign w:val="top"/>
                </w:tcPr>
                <w:p>
                  <w:pPr>
                    <w:jc w:val="center"/>
                  </w:pPr>
                  <w:r>
                    <w:rPr>
                      <w:sz w:val="21"/>
                    </w:rPr>
                    <w:t>50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视频专网</w:t>
                  </w:r>
                  <w:r>
                    <w:rPr>
                      <w:sz w:val="21"/>
                    </w:rPr>
                    <w:t>-</w:t>
                  </w:r>
                  <w:r>
                    <w:rPr>
                      <w:sz w:val="21"/>
                    </w:rPr>
                    <w:t>算法资源管理制度</w:t>
                  </w:r>
                </w:p>
              </w:tc>
              <w:tc>
                <w:tcPr>
                  <w:tcW w:type="dxa" w:w="3105"/>
                  <w:tcBorders>
                    <w:top w:val="none" w:color="000000" w:sz="4"/>
                    <w:left w:val="none" w:color="000000" w:sz="4"/>
                    <w:bottom w:val="single" w:color="000000" w:sz="4"/>
                    <w:right w:val="single" w:color="000000" w:sz="4"/>
                  </w:tcBorders>
                  <w:vAlign w:val="top"/>
                </w:tcPr>
                <w:p>
                  <w:pPr>
                    <w:jc w:val="left"/>
                  </w:pPr>
                  <w:r>
                    <w:rPr>
                      <w:sz w:val="21"/>
                    </w:rPr>
                    <w:t>智能管理调度模块</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套</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智能管理调度能力</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1000</w:t>
                  </w:r>
                </w:p>
              </w:tc>
              <w:tc>
                <w:tcPr>
                  <w:tcW w:type="dxa" w:w="390"/>
                  <w:tcBorders>
                    <w:top w:val="none" w:color="000000" w:sz="4"/>
                    <w:left w:val="none" w:color="000000" w:sz="4"/>
                    <w:bottom w:val="single" w:color="000000" w:sz="4"/>
                    <w:right w:val="single" w:color="000000" w:sz="4"/>
                  </w:tcBorders>
                  <w:vAlign w:val="top"/>
                </w:tcPr>
                <w:p>
                  <w:pPr>
                    <w:jc w:val="center"/>
                  </w:pPr>
                  <w:r>
                    <w:rPr>
                      <w:sz w:val="21"/>
                    </w:rPr>
                    <w:t>路</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政务外网</w:t>
                  </w:r>
                  <w:r>
                    <w:rPr>
                      <w:sz w:val="21"/>
                    </w:rPr>
                    <w:t>-</w:t>
                  </w:r>
                  <w:r>
                    <w:rPr>
                      <w:sz w:val="21"/>
                    </w:rPr>
                    <w:t>智能算法能力超市</w:t>
                  </w: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能力超市</w:t>
                  </w:r>
                  <w:r>
                    <w:rPr>
                      <w:sz w:val="21"/>
                    </w:rPr>
                    <w:t>-</w:t>
                  </w:r>
                  <w:r>
                    <w:rPr>
                      <w:sz w:val="21"/>
                    </w:rPr>
                    <w:t>算法展示查询</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能力超市</w:t>
                  </w:r>
                  <w:r>
                    <w:rPr>
                      <w:sz w:val="21"/>
                    </w:rPr>
                    <w:t>-</w:t>
                  </w:r>
                  <w:r>
                    <w:rPr>
                      <w:sz w:val="21"/>
                    </w:rPr>
                    <w:t>算法详情查看</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能力超市</w:t>
                  </w:r>
                  <w:r>
                    <w:rPr>
                      <w:sz w:val="21"/>
                    </w:rPr>
                    <w:t>-</w:t>
                  </w:r>
                  <w:r>
                    <w:rPr>
                      <w:sz w:val="21"/>
                    </w:rPr>
                    <w:t>个人关注</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能力超市</w:t>
                  </w:r>
                  <w:r>
                    <w:rPr>
                      <w:sz w:val="21"/>
                    </w:rPr>
                    <w:t>-</w:t>
                  </w:r>
                  <w:r>
                    <w:rPr>
                      <w:sz w:val="21"/>
                    </w:rPr>
                    <w:t>能力开放</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能力资源申请服务</w:t>
                  </w:r>
                  <w:r>
                    <w:rPr>
                      <w:sz w:val="21"/>
                    </w:rPr>
                    <w:t>-</w:t>
                  </w:r>
                  <w:r>
                    <w:rPr>
                      <w:sz w:val="21"/>
                    </w:rPr>
                    <w:t>智能分析申请</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AI</w:t>
                  </w:r>
                  <w:r>
                    <w:rPr>
                      <w:sz w:val="21"/>
                    </w:rPr>
                    <w:t>能力资源申请服务</w:t>
                  </w:r>
                  <w:r>
                    <w:rPr>
                      <w:sz w:val="21"/>
                    </w:rPr>
                    <w:t>-</w:t>
                  </w:r>
                  <w:r>
                    <w:rPr>
                      <w:sz w:val="21"/>
                    </w:rPr>
                    <w:t>智能申请管理</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200"/>
                  <w:vMerge w:val="restart"/>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政务外网</w:t>
                  </w:r>
                  <w:r>
                    <w:rPr>
                      <w:sz w:val="21"/>
                    </w:rPr>
                    <w:t>-</w:t>
                  </w:r>
                  <w:r>
                    <w:rPr>
                      <w:sz w:val="21"/>
                    </w:rPr>
                    <w:t>政务外网</w:t>
                  </w:r>
                  <w:r>
                    <w:rPr>
                      <w:sz w:val="21"/>
                    </w:rPr>
                    <w:t>AI</w:t>
                  </w:r>
                  <w:r>
                    <w:rPr>
                      <w:sz w:val="21"/>
                    </w:rPr>
                    <w:t>智能算法仓库管理</w:t>
                  </w:r>
                  <w:r>
                    <w:rPr>
                      <w:sz w:val="21"/>
                    </w:rPr>
                    <w:t>-</w:t>
                  </w:r>
                  <w:r>
                    <w:rPr>
                      <w:sz w:val="21"/>
                    </w:rPr>
                    <w:t>算法仓库</w:t>
                  </w: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算法管理上传</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算法信息编辑</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能力发布管理</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算法同步更新机制</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算法仓库管理模块</w:t>
                  </w:r>
                  <w:r>
                    <w:rPr>
                      <w:sz w:val="21"/>
                    </w:rPr>
                    <w:t>-</w:t>
                  </w:r>
                  <w:r>
                    <w:rPr>
                      <w:sz w:val="21"/>
                    </w:rPr>
                    <w:t>算法训练平台训练算法兼容接入</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41</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训练平台基础模块</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数据集管理</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数据标注</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模型生成</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模型验证</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模型下载</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识别对象标签管理</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分类算法</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检测算法</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并发训练任务</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1200"/>
                  <w:vMerge/>
                  <w:tcBorders>
                    <w:top w:val="none" w:color="000000" w:sz="4"/>
                    <w:left w:val="none" w:color="000000" w:sz="4"/>
                    <w:bottom w:val="single" w:color="000000" w:sz="4"/>
                    <w:right w:val="single" w:color="000000" w:sz="4"/>
                  </w:tcBorders>
                </w:tcPr>
                <w:p/>
              </w:tc>
              <w:tc>
                <w:tcPr>
                  <w:tcW w:type="dxa" w:w="3105"/>
                  <w:tcBorders>
                    <w:top w:val="none" w:color="000000" w:sz="4"/>
                    <w:left w:val="none" w:color="000000" w:sz="4"/>
                    <w:bottom w:val="single" w:color="000000" w:sz="4"/>
                    <w:right w:val="single" w:color="000000" w:sz="4"/>
                  </w:tcBorders>
                  <w:vAlign w:val="top"/>
                </w:tcPr>
                <w:p>
                  <w:pPr>
                    <w:jc w:val="left"/>
                  </w:pPr>
                  <w:r>
                    <w:rPr>
                      <w:sz w:val="21"/>
                    </w:rPr>
                    <w:t>本地</w:t>
                  </w:r>
                  <w:r>
                    <w:rPr>
                      <w:sz w:val="21"/>
                    </w:rPr>
                    <w:t>AI</w:t>
                  </w:r>
                  <w:r>
                    <w:rPr>
                      <w:sz w:val="21"/>
                    </w:rPr>
                    <w:t>开放算法训练平台</w:t>
                  </w:r>
                  <w:r>
                    <w:rPr>
                      <w:sz w:val="21"/>
                    </w:rPr>
                    <w:t>-</w:t>
                  </w:r>
                  <w:r>
                    <w:rPr>
                      <w:sz w:val="21"/>
                    </w:rPr>
                    <w:t>训练能力</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480"/>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200"/>
                  <w:tcBorders>
                    <w:top w:val="none" w:color="000000" w:sz="4"/>
                    <w:left w:val="none" w:color="000000" w:sz="4"/>
                    <w:bottom w:val="single" w:color="000000" w:sz="4"/>
                    <w:right w:val="single" w:color="000000" w:sz="4"/>
                  </w:tcBorders>
                  <w:vAlign w:val="top"/>
                </w:tcPr>
                <w:p>
                  <w:pPr>
                    <w:jc w:val="left"/>
                  </w:pPr>
                  <w:r>
                    <w:rPr>
                      <w:sz w:val="21"/>
                    </w:rPr>
                    <w:t>视频智能分析平台</w:t>
                  </w:r>
                  <w:r>
                    <w:rPr>
                      <w:sz w:val="21"/>
                    </w:rPr>
                    <w:t>-</w:t>
                  </w:r>
                  <w:r>
                    <w:rPr>
                      <w:sz w:val="21"/>
                    </w:rPr>
                    <w:t>政务外网</w:t>
                  </w:r>
                  <w:r>
                    <w:rPr>
                      <w:sz w:val="21"/>
                    </w:rPr>
                    <w:t>-</w:t>
                  </w:r>
                  <w:r>
                    <w:rPr>
                      <w:sz w:val="21"/>
                    </w:rPr>
                    <w:t>视频资源管理制度</w:t>
                  </w:r>
                </w:p>
              </w:tc>
              <w:tc>
                <w:tcPr>
                  <w:tcW w:type="dxa" w:w="3105"/>
                  <w:tcBorders>
                    <w:top w:val="none" w:color="000000" w:sz="4"/>
                    <w:left w:val="none" w:color="000000" w:sz="4"/>
                    <w:bottom w:val="single" w:color="000000" w:sz="4"/>
                    <w:right w:val="single" w:color="000000" w:sz="4"/>
                  </w:tcBorders>
                  <w:vAlign w:val="top"/>
                </w:tcPr>
                <w:p>
                  <w:pPr>
                    <w:jc w:val="left"/>
                  </w:pPr>
                  <w:r>
                    <w:rPr>
                      <w:sz w:val="21"/>
                    </w:rPr>
                    <w:t>视频资源管理调度</w:t>
                  </w:r>
                </w:p>
              </w:tc>
              <w:tc>
                <w:tcPr>
                  <w:tcW w:type="dxa" w:w="390"/>
                  <w:tcBorders>
                    <w:top w:val="none" w:color="000000" w:sz="4"/>
                    <w:left w:val="none" w:color="000000" w:sz="4"/>
                    <w:bottom w:val="single" w:color="000000" w:sz="4"/>
                    <w:right w:val="single" w:color="000000" w:sz="4"/>
                  </w:tcBorders>
                  <w:vAlign w:val="top"/>
                </w:tcPr>
                <w:p>
                  <w:pPr>
                    <w:jc w:val="center"/>
                  </w:pPr>
                  <w:r>
                    <w:rPr>
                      <w:sz w:val="21"/>
                    </w:rPr>
                    <w:t>1</w:t>
                  </w:r>
                </w:p>
              </w:tc>
              <w:tc>
                <w:tcPr>
                  <w:tcW w:type="dxa" w:w="390"/>
                  <w:tcBorders>
                    <w:top w:val="none" w:color="000000" w:sz="4"/>
                    <w:left w:val="none" w:color="000000" w:sz="4"/>
                    <w:bottom w:val="single" w:color="000000" w:sz="4"/>
                    <w:right w:val="single" w:color="000000" w:sz="4"/>
                  </w:tcBorders>
                  <w:vAlign w:val="top"/>
                </w:tcPr>
                <w:p>
                  <w:pPr>
                    <w:jc w:val="center"/>
                  </w:pPr>
                  <w:r>
                    <w:rPr>
                      <w:sz w:val="21"/>
                    </w:rPr>
                    <w:t>套</w:t>
                  </w:r>
                </w:p>
              </w:tc>
            </w:tr>
          </w:tbl>
          <w:p>
            <w:pPr>
              <w:jc w:val="both"/>
            </w:pPr>
          </w:p>
          <w:p>
            <w:pPr>
              <w:jc w:val="both"/>
            </w:pPr>
            <w:r>
              <w:rPr>
                <w:sz w:val="21"/>
              </w:rPr>
              <w:t>2.1.1.1.5.</w:t>
            </w:r>
            <w:r>
              <w:rPr>
                <w:sz w:val="21"/>
              </w:rPr>
              <w:t>应用使能平台</w:t>
            </w:r>
          </w:p>
          <w:p>
            <w:pPr>
              <w:ind w:firstLine="420"/>
              <w:jc w:val="both"/>
            </w:pPr>
            <w:r>
              <w:rPr>
                <w:sz w:val="21"/>
              </w:rPr>
              <w:t>应用使能建设包括统一身份认证、统一移动框架、可视化呈现平台、应用构建工具、用户数据保险箱、统一金融支付和统一智能客服。</w:t>
            </w:r>
          </w:p>
          <w:p>
            <w:pPr>
              <w:ind w:firstLine="420"/>
              <w:jc w:val="both"/>
            </w:pPr>
            <w:r>
              <w:rPr>
                <w:sz w:val="21"/>
              </w:rPr>
              <w:t>（</w:t>
            </w:r>
            <w:r>
              <w:rPr>
                <w:sz w:val="21"/>
              </w:rPr>
              <w:t>1</w:t>
            </w:r>
            <w:r>
              <w:rPr>
                <w:sz w:val="21"/>
              </w:rPr>
              <w:t>）</w:t>
            </w:r>
            <w:r>
              <w:rPr>
                <w:sz w:val="21"/>
              </w:rPr>
              <w:t>通过统一认证，单点登录，实现认证一次，即可访问多个引用，在确保安全的同时，提升用户体验</w:t>
            </w:r>
            <w:r>
              <w:rPr>
                <w:sz w:val="21"/>
              </w:rPr>
              <w:t>。</w:t>
            </w:r>
          </w:p>
          <w:p>
            <w:pPr>
              <w:ind w:firstLine="420"/>
              <w:jc w:val="both"/>
            </w:pPr>
            <w:r>
              <w:rPr>
                <w:sz w:val="21"/>
              </w:rPr>
              <w:t>（</w:t>
            </w:r>
            <w:r>
              <w:rPr>
                <w:sz w:val="21"/>
              </w:rPr>
              <w:t>2</w:t>
            </w:r>
            <w:r>
              <w:rPr>
                <w:sz w:val="21"/>
              </w:rPr>
              <w:t>）</w:t>
            </w:r>
            <w:r>
              <w:rPr>
                <w:sz w:val="21"/>
              </w:rPr>
              <w:t>通过统一移动框架，统一规范移动小程序，提升运行体验的同时依托丰富的平台行业资产支持小程序变更需求的快速响应</w:t>
            </w:r>
          </w:p>
          <w:p>
            <w:pPr>
              <w:ind w:firstLine="420"/>
              <w:jc w:val="both"/>
            </w:pPr>
            <w:r>
              <w:rPr>
                <w:sz w:val="21"/>
              </w:rPr>
              <w:t>（</w:t>
            </w:r>
            <w:r>
              <w:rPr>
                <w:sz w:val="21"/>
              </w:rPr>
              <w:t>3</w:t>
            </w:r>
            <w:r>
              <w:rPr>
                <w:sz w:val="21"/>
              </w:rPr>
              <w:t>）</w:t>
            </w:r>
            <w:r>
              <w:rPr>
                <w:sz w:val="21"/>
              </w:rPr>
              <w:t>针对传统应用变更交付周期长、成本高的问题，建设应用构建工具，快速响应驾驶舱相关的新需求，通过对开发资产的沉淀，实现资产复用，进一步加速对需求的响应</w:t>
            </w:r>
            <w:r>
              <w:rPr>
                <w:sz w:val="21"/>
              </w:rPr>
              <w:t>。</w:t>
            </w:r>
          </w:p>
          <w:p>
            <w:pPr>
              <w:ind w:firstLine="420"/>
              <w:jc w:val="both"/>
            </w:pPr>
            <w:r>
              <w:rPr>
                <w:sz w:val="21"/>
              </w:rPr>
              <w:t>（</w:t>
            </w:r>
            <w:r>
              <w:rPr>
                <w:sz w:val="21"/>
              </w:rPr>
              <w:t>4</w:t>
            </w:r>
            <w:r>
              <w:rPr>
                <w:sz w:val="21"/>
              </w:rPr>
              <w:t>）</w:t>
            </w:r>
            <w:r>
              <w:rPr>
                <w:sz w:val="21"/>
              </w:rPr>
              <w:t>通过可视化建设让数据真正可知可感的关键一环，帮助用户实现</w:t>
            </w:r>
            <w:r>
              <w:rPr>
                <w:sz w:val="21"/>
              </w:rPr>
              <w:t>“驾驭数据、洞悉价值”。基于先进的可视化技术和硬件设备，为用户规划建设智慧城市运营中心可视化系统。</w:t>
            </w:r>
          </w:p>
          <w:p>
            <w:pPr>
              <w:ind w:firstLine="420"/>
              <w:jc w:val="both"/>
            </w:pPr>
            <w:r>
              <w:rPr>
                <w:sz w:val="21"/>
              </w:rPr>
              <w:t>（</w:t>
            </w:r>
            <w:r>
              <w:rPr>
                <w:sz w:val="21"/>
              </w:rPr>
              <w:t>5</w:t>
            </w:r>
            <w:r>
              <w:rPr>
                <w:sz w:val="21"/>
              </w:rPr>
              <w:t>）</w:t>
            </w:r>
            <w:r>
              <w:rPr>
                <w:sz w:val="21"/>
              </w:rPr>
              <w:t>通过用户的实名信息，从电子资源中心、其他委办局、用户本人等获取数据从何形成用户的个性化数据，为用户的个性化服务等提供数据支撑。</w:t>
            </w:r>
          </w:p>
          <w:p>
            <w:pPr>
              <w:ind w:firstLine="420"/>
              <w:jc w:val="both"/>
            </w:pPr>
            <w:r>
              <w:rPr>
                <w:sz w:val="21"/>
              </w:rPr>
              <w:t>（</w:t>
            </w:r>
            <w:r>
              <w:rPr>
                <w:sz w:val="21"/>
              </w:rPr>
              <w:t>6</w:t>
            </w:r>
            <w:r>
              <w:rPr>
                <w:sz w:val="21"/>
              </w:rPr>
              <w:t>）</w:t>
            </w:r>
            <w:r>
              <w:rPr>
                <w:sz w:val="21"/>
              </w:rPr>
              <w:t>通过统一金融支付平台，围绕资金支付串联业务场景，打造中山数字政府及智慧城市运营中的全链条、全生态的资金管理服务。</w:t>
            </w:r>
          </w:p>
          <w:p>
            <w:pPr>
              <w:ind w:firstLine="420"/>
              <w:jc w:val="both"/>
            </w:pPr>
            <w:r>
              <w:rPr>
                <w:sz w:val="21"/>
              </w:rPr>
              <w:t>（</w:t>
            </w:r>
            <w:r>
              <w:rPr>
                <w:sz w:val="21"/>
              </w:rPr>
              <w:t>7</w:t>
            </w:r>
            <w:r>
              <w:rPr>
                <w:sz w:val="21"/>
              </w:rPr>
              <w:t>）</w:t>
            </w:r>
            <w:r>
              <w:rPr>
                <w:sz w:val="21"/>
              </w:rPr>
              <w:t>通过统一智能客服平台，建立中山市政府与公众之间快捷有效的沟通渠道，促进政府服务模式转变和政务服务效能提升。</w:t>
            </w:r>
          </w:p>
          <w:tbl>
            <w:tblPr>
              <w:tblInd w:type="dxa" w:w="120"/>
              <w:tblBorders>
                <w:top w:val="none" w:color="000000" w:sz="4"/>
                <w:left w:val="none" w:color="000000" w:sz="4"/>
                <w:bottom w:val="none" w:color="000000" w:sz="4"/>
                <w:right w:val="none" w:color="000000" w:sz="4"/>
                <w:insideH w:val="none"/>
                <w:insideV w:val="none"/>
              </w:tblBorders>
            </w:tblPr>
            <w:tblGrid>
              <w:gridCol w:w="1129"/>
              <w:gridCol w:w="4469"/>
            </w:tblGrid>
            <w:tr>
              <w:tc>
                <w:tcPr>
                  <w:tcW w:type="dxa" w:w="112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469"/>
                  <w:tcBorders>
                    <w:top w:val="single" w:color="000000" w:sz="4"/>
                    <w:left w:val="none" w:color="000000" w:sz="4"/>
                    <w:bottom w:val="single" w:color="000000" w:sz="4"/>
                    <w:right w:val="single" w:color="000000" w:sz="4"/>
                  </w:tcBorders>
                  <w:vAlign w:val="top"/>
                </w:tcPr>
                <w:p>
                  <w:pPr>
                    <w:jc w:val="center"/>
                  </w:pPr>
                  <w:r>
                    <w:rPr>
                      <w:sz w:val="21"/>
                    </w:rPr>
                    <w:t>服务对象</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统一身份认证</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统一移动框架</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应用构建工具（购买软件使用授权</w:t>
                  </w:r>
                  <w:r>
                    <w:rPr>
                      <w:sz w:val="21"/>
                    </w:rPr>
                    <w:t>，</w:t>
                  </w:r>
                  <w:r>
                    <w:rPr>
                      <w:sz w:val="21"/>
                    </w:rPr>
                    <w:t>2025</w:t>
                  </w:r>
                  <w:r>
                    <w:rPr>
                      <w:sz w:val="21"/>
                    </w:rPr>
                    <w:t>年</w:t>
                  </w:r>
                  <w:r>
                    <w:rPr>
                      <w:sz w:val="21"/>
                    </w:rPr>
                    <w:t>11</w:t>
                  </w:r>
                  <w:r>
                    <w:rPr>
                      <w:sz w:val="21"/>
                    </w:rPr>
                    <w:t>月</w:t>
                  </w:r>
                  <w:r>
                    <w:rPr>
                      <w:sz w:val="21"/>
                    </w:rPr>
                    <w:t>1</w:t>
                  </w:r>
                  <w:r>
                    <w:rPr>
                      <w:sz w:val="21"/>
                    </w:rPr>
                    <w:t>日</w:t>
                  </w:r>
                  <w:r>
                    <w:rPr>
                      <w:sz w:val="21"/>
                    </w:rPr>
                    <w:t>-2026</w:t>
                  </w:r>
                  <w:r>
                    <w:rPr>
                      <w:sz w:val="21"/>
                    </w:rPr>
                    <w:t>年</w:t>
                  </w:r>
                  <w:r>
                    <w:rPr>
                      <w:sz w:val="21"/>
                    </w:rPr>
                    <w:t>10</w:t>
                  </w:r>
                  <w:r>
                    <w:rPr>
                      <w:sz w:val="21"/>
                    </w:rPr>
                    <w:t>月</w:t>
                  </w:r>
                  <w:r>
                    <w:rPr>
                      <w:sz w:val="21"/>
                    </w:rPr>
                    <w:t>31</w:t>
                  </w:r>
                  <w:r>
                    <w:rPr>
                      <w:sz w:val="21"/>
                    </w:rPr>
                    <w:t>日</w:t>
                  </w:r>
                  <w:r>
                    <w:rPr>
                      <w:sz w:val="21"/>
                    </w:rPr>
                    <w:t>）</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可视化呈现平台</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用户数据保险箱管理平台</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统一金融支付平台</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统一智能语音能力平台</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数据填报系统</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统一运维平台</w:t>
                  </w:r>
                </w:p>
              </w:tc>
            </w:tr>
          </w:tbl>
          <w:p>
            <w:pPr>
              <w:jc w:val="both"/>
            </w:pPr>
          </w:p>
          <w:p>
            <w:pPr>
              <w:jc w:val="both"/>
            </w:pPr>
            <w:r>
              <w:rPr>
                <w:sz w:val="21"/>
              </w:rPr>
              <w:t>2.1.1.1.6.</w:t>
            </w:r>
            <w:r>
              <w:rPr>
                <w:sz w:val="21"/>
              </w:rPr>
              <w:t>集成使能平台</w:t>
            </w:r>
          </w:p>
          <w:p>
            <w:pPr>
              <w:ind w:firstLine="420"/>
              <w:jc w:val="both"/>
            </w:pPr>
            <w:r>
              <w:rPr>
                <w:sz w:val="21"/>
              </w:rPr>
              <w:t>统筹云计算、大数据、地理信息平台、视频等基础能力，支撑智慧城市建设以及政务各相关部门业务应用全面数据集成和技术融合，提升应用支撑能力，以服务的方式实现各种平台能力的聚合共享和统一对接，简化平台和应用之间的连接和复杂度，向上支持城市仪表盘、领导驾驶舱、智慧交通、智慧城管、智慧环保、互联网政务等业务应用开发及服务调用，降低业务应用使用新技术的成本和难度，满足业务需求快速变化。</w:t>
            </w:r>
          </w:p>
          <w:tbl>
            <w:tblPr>
              <w:tblInd w:type="dxa" w:w="120"/>
              <w:tblBorders>
                <w:top w:val="none" w:color="000000" w:sz="4"/>
                <w:left w:val="none" w:color="000000" w:sz="4"/>
                <w:bottom w:val="none" w:color="000000" w:sz="4"/>
                <w:right w:val="none" w:color="000000" w:sz="4"/>
                <w:insideH w:val="none"/>
                <w:insideV w:val="none"/>
              </w:tblBorders>
            </w:tblPr>
            <w:tblGrid>
              <w:gridCol w:w="1129"/>
              <w:gridCol w:w="4469"/>
            </w:tblGrid>
            <w:tr>
              <w:tc>
                <w:tcPr>
                  <w:tcW w:type="dxa" w:w="112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469"/>
                  <w:tcBorders>
                    <w:top w:val="single" w:color="000000" w:sz="4"/>
                    <w:left w:val="none" w:color="000000" w:sz="4"/>
                    <w:bottom w:val="single" w:color="000000" w:sz="4"/>
                    <w:right w:val="single" w:color="000000" w:sz="4"/>
                  </w:tcBorders>
                  <w:vAlign w:val="top"/>
                </w:tcPr>
                <w:p>
                  <w:pPr>
                    <w:jc w:val="center"/>
                  </w:pPr>
                  <w:r>
                    <w:rPr>
                      <w:sz w:val="21"/>
                    </w:rPr>
                    <w:t>服务对象</w:t>
                  </w:r>
                </w:p>
              </w:tc>
            </w:tr>
            <w:tr>
              <w:tc>
                <w:tcPr>
                  <w:tcW w:type="dxa" w:w="11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469"/>
                  <w:tcBorders>
                    <w:top w:val="none" w:color="000000" w:sz="4"/>
                    <w:left w:val="none" w:color="000000" w:sz="4"/>
                    <w:bottom w:val="single" w:color="000000" w:sz="4"/>
                    <w:right w:val="single" w:color="000000" w:sz="4"/>
                  </w:tcBorders>
                  <w:vAlign w:val="top"/>
                </w:tcPr>
                <w:p>
                  <w:pPr>
                    <w:jc w:val="center"/>
                  </w:pPr>
                  <w:r>
                    <w:rPr>
                      <w:sz w:val="21"/>
                    </w:rPr>
                    <w:t>集成使能平台（购买软件使用授权</w:t>
                  </w:r>
                  <w:r>
                    <w:rPr>
                      <w:sz w:val="21"/>
                    </w:rPr>
                    <w:t>，</w:t>
                  </w:r>
                  <w:r>
                    <w:rPr>
                      <w:sz w:val="21"/>
                    </w:rPr>
                    <w:t>2025</w:t>
                  </w:r>
                  <w:r>
                    <w:rPr>
                      <w:sz w:val="21"/>
                    </w:rPr>
                    <w:t>年</w:t>
                  </w:r>
                  <w:r>
                    <w:rPr>
                      <w:sz w:val="21"/>
                    </w:rPr>
                    <w:t>11</w:t>
                  </w:r>
                  <w:r>
                    <w:rPr>
                      <w:sz w:val="21"/>
                    </w:rPr>
                    <w:t>月</w:t>
                  </w:r>
                  <w:r>
                    <w:rPr>
                      <w:sz w:val="21"/>
                    </w:rPr>
                    <w:t>1</w:t>
                  </w:r>
                  <w:r>
                    <w:rPr>
                      <w:sz w:val="21"/>
                    </w:rPr>
                    <w:t>日</w:t>
                  </w:r>
                  <w:r>
                    <w:rPr>
                      <w:sz w:val="21"/>
                    </w:rPr>
                    <w:t>-2026</w:t>
                  </w:r>
                  <w:r>
                    <w:rPr>
                      <w:sz w:val="21"/>
                    </w:rPr>
                    <w:t>年</w:t>
                  </w:r>
                  <w:r>
                    <w:rPr>
                      <w:sz w:val="21"/>
                    </w:rPr>
                    <w:t>10</w:t>
                  </w:r>
                  <w:r>
                    <w:rPr>
                      <w:sz w:val="21"/>
                    </w:rPr>
                    <w:t>月</w:t>
                  </w:r>
                  <w:r>
                    <w:rPr>
                      <w:sz w:val="21"/>
                    </w:rPr>
                    <w:t>31</w:t>
                  </w:r>
                  <w:r>
                    <w:rPr>
                      <w:sz w:val="21"/>
                    </w:rPr>
                    <w:t>日</w:t>
                  </w:r>
                  <w:r>
                    <w:rPr>
                      <w:sz w:val="21"/>
                    </w:rPr>
                    <w:t>）</w:t>
                  </w:r>
                </w:p>
              </w:tc>
            </w:tr>
          </w:tbl>
          <w:p>
            <w:pPr>
              <w:jc w:val="both"/>
            </w:pPr>
          </w:p>
          <w:p>
            <w:pPr>
              <w:jc w:val="both"/>
            </w:pPr>
            <w:r>
              <w:rPr>
                <w:sz w:val="21"/>
              </w:rPr>
              <w:t>2.1.1.1.7.</w:t>
            </w:r>
            <w:r>
              <w:rPr>
                <w:sz w:val="21"/>
              </w:rPr>
              <w:t>地理空间一张图</w:t>
            </w:r>
          </w:p>
          <w:p>
            <w:pPr>
              <w:ind w:firstLine="420"/>
              <w:jc w:val="both"/>
            </w:pPr>
            <w:r>
              <w:rPr>
                <w:sz w:val="21"/>
              </w:rPr>
              <w:t>地理空间</w:t>
            </w:r>
            <w:r>
              <w:rPr>
                <w:sz w:val="21"/>
              </w:rPr>
              <w:t>“一张图”依托城市云支撑环境，引入物联网、大数据、云计算、智能分析等新一代技术手段，基于已有二三维基础地理数据、各类公共资源数据以及智能感知数据，汇聚整合数据形成城市服务资源池。地理空间“一张图”面向全市按需提供数据、功能、接口、交换共享、入口门户和运维管控等在线服务，实现城市地理信息的准确定位、有机整合、深度利用。在根本上满足本地经济社会与资源环境的协调发展、社会公众生产生活日益增长的基础地理信息需求。</w:t>
            </w:r>
          </w:p>
          <w:tbl>
            <w:tblPr>
              <w:tblInd w:type="dxa" w:w="120"/>
              <w:tblBorders>
                <w:top w:val="none" w:color="000000" w:sz="4"/>
                <w:left w:val="none" w:color="000000" w:sz="4"/>
                <w:bottom w:val="none" w:color="000000" w:sz="4"/>
                <w:right w:val="none" w:color="000000" w:sz="4"/>
                <w:insideH w:val="none"/>
                <w:insideV w:val="none"/>
              </w:tblBorders>
            </w:tblPr>
            <w:tblGrid>
              <w:gridCol w:w="709"/>
              <w:gridCol w:w="1675"/>
              <w:gridCol w:w="2384"/>
              <w:gridCol w:w="362"/>
              <w:gridCol w:w="468"/>
            </w:tblGrid>
            <w:tr>
              <w:tc>
                <w:tcPr>
                  <w:tcW w:type="dxa" w:w="709"/>
                  <w:tcBorders>
                    <w:top w:val="single" w:color="000000" w:sz="4"/>
                    <w:left w:val="single" w:color="000000" w:sz="4"/>
                    <w:bottom w:val="single" w:color="000000" w:sz="4"/>
                    <w:right w:val="single" w:color="000000" w:sz="4"/>
                  </w:tcBorders>
                  <w:vAlign w:val="top"/>
                </w:tcPr>
                <w:p>
                  <w:pPr>
                    <w:jc w:val="left"/>
                  </w:pPr>
                  <w:r>
                    <w:rPr>
                      <w:sz w:val="21"/>
                    </w:rPr>
                    <w:t>序号</w:t>
                  </w:r>
                </w:p>
              </w:tc>
              <w:tc>
                <w:tcPr>
                  <w:tcW w:type="dxa" w:w="1675"/>
                  <w:tcBorders>
                    <w:top w:val="single" w:color="000000" w:sz="4"/>
                    <w:left w:val="none" w:color="000000" w:sz="4"/>
                    <w:bottom w:val="single" w:color="000000" w:sz="4"/>
                    <w:right w:val="single" w:color="000000" w:sz="4"/>
                  </w:tcBorders>
                  <w:vAlign w:val="top"/>
                </w:tcPr>
                <w:p>
                  <w:pPr>
                    <w:jc w:val="left"/>
                  </w:pPr>
                  <w:r>
                    <w:rPr>
                      <w:sz w:val="21"/>
                    </w:rPr>
                    <w:t>系统</w:t>
                  </w:r>
                </w:p>
              </w:tc>
              <w:tc>
                <w:tcPr>
                  <w:tcW w:type="dxa" w:w="2384"/>
                  <w:tcBorders>
                    <w:top w:val="single" w:color="000000" w:sz="4"/>
                    <w:left w:val="none" w:color="000000" w:sz="4"/>
                    <w:bottom w:val="single" w:color="000000" w:sz="4"/>
                    <w:right w:val="single" w:color="000000" w:sz="4"/>
                  </w:tcBorders>
                  <w:vAlign w:val="top"/>
                </w:tcPr>
                <w:p>
                  <w:pPr>
                    <w:jc w:val="left"/>
                  </w:pPr>
                  <w:r>
                    <w:rPr>
                      <w:sz w:val="21"/>
                    </w:rPr>
                    <w:t>功能模块</w:t>
                  </w:r>
                </w:p>
              </w:tc>
              <w:tc>
                <w:tcPr>
                  <w:tcW w:type="dxa" w:w="362"/>
                  <w:tcBorders>
                    <w:top w:val="single" w:color="000000" w:sz="4"/>
                    <w:left w:val="none" w:color="000000" w:sz="4"/>
                    <w:bottom w:val="single" w:color="000000" w:sz="4"/>
                    <w:right w:val="single" w:color="000000" w:sz="4"/>
                  </w:tcBorders>
                  <w:vAlign w:val="top"/>
                </w:tcPr>
                <w:p>
                  <w:pPr>
                    <w:jc w:val="left"/>
                  </w:pPr>
                </w:p>
              </w:tc>
              <w:tc>
                <w:tcPr>
                  <w:tcW w:type="dxa" w:w="468"/>
                  <w:tcBorders>
                    <w:top w:val="single" w:color="000000" w:sz="4"/>
                    <w:left w:val="none" w:color="000000" w:sz="4"/>
                    <w:bottom w:val="single" w:color="000000" w:sz="4"/>
                    <w:right w:val="single" w:color="000000" w:sz="4"/>
                  </w:tcBorders>
                  <w:vAlign w:val="top"/>
                </w:tcPr>
                <w:p>
                  <w:pPr>
                    <w:jc w:val="left"/>
                  </w:pP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75"/>
                  <w:vMerge w:val="restart"/>
                  <w:tcBorders>
                    <w:top w:val="none" w:color="000000" w:sz="4"/>
                    <w:left w:val="none" w:color="000000" w:sz="4"/>
                    <w:bottom w:val="single" w:color="000000" w:sz="4"/>
                    <w:right w:val="single" w:color="000000" w:sz="4"/>
                  </w:tcBorders>
                  <w:vAlign w:val="top"/>
                </w:tcPr>
                <w:p>
                  <w:pPr>
                    <w:jc w:val="left"/>
                  </w:pPr>
                  <w:r>
                    <w:rPr>
                      <w:sz w:val="21"/>
                    </w:rPr>
                    <w:t>地理空间一张图</w:t>
                  </w:r>
                </w:p>
              </w:tc>
              <w:tc>
                <w:tcPr>
                  <w:tcW w:type="dxa" w:w="2384"/>
                  <w:tcBorders>
                    <w:top w:val="none" w:color="000000" w:sz="4"/>
                    <w:left w:val="none" w:color="000000" w:sz="4"/>
                    <w:bottom w:val="single" w:color="000000" w:sz="4"/>
                    <w:right w:val="single" w:color="000000" w:sz="4"/>
                  </w:tcBorders>
                  <w:vAlign w:val="top"/>
                </w:tcPr>
                <w:p>
                  <w:pPr>
                    <w:jc w:val="left"/>
                  </w:pPr>
                  <w:r>
                    <w:rPr>
                      <w:sz w:val="21"/>
                    </w:rPr>
                    <w:t>时空数据库</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68"/>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75"/>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基础空间平台</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68"/>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75"/>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基础</w:t>
                  </w:r>
                  <w:r>
                    <w:rPr>
                      <w:sz w:val="21"/>
                    </w:rPr>
                    <w:t>G</w:t>
                  </w:r>
                  <w:r>
                    <w:rPr>
                      <w:sz w:val="21"/>
                    </w:rPr>
                    <w:t>IS</w:t>
                  </w:r>
                  <w:r>
                    <w:rPr>
                      <w:sz w:val="21"/>
                    </w:rPr>
                    <w:t>平台</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68"/>
                  <w:tcBorders>
                    <w:top w:val="none" w:color="000000" w:sz="4"/>
                    <w:left w:val="none" w:color="000000" w:sz="4"/>
                    <w:bottom w:val="single" w:color="000000" w:sz="4"/>
                    <w:right w:val="single" w:color="000000" w:sz="4"/>
                  </w:tcBorders>
                  <w:vAlign w:val="top"/>
                </w:tcPr>
                <w:p>
                  <w:pPr>
                    <w:jc w:val="center"/>
                  </w:pPr>
                  <w:r>
                    <w:rPr>
                      <w:sz w:val="21"/>
                    </w:rPr>
                    <w:t>项</w:t>
                  </w:r>
                </w:p>
              </w:tc>
            </w:tr>
          </w:tbl>
          <w:p>
            <w:pPr>
              <w:jc w:val="both"/>
            </w:pPr>
          </w:p>
          <w:p>
            <w:pPr>
              <w:jc w:val="both"/>
            </w:pPr>
            <w:r>
              <w:rPr>
                <w:sz w:val="21"/>
              </w:rPr>
              <w:t>2.1.1.1.8.</w:t>
            </w:r>
            <w:r>
              <w:rPr>
                <w:sz w:val="21"/>
              </w:rPr>
              <w:t>智慧中屏</w:t>
            </w:r>
          </w:p>
          <w:tbl>
            <w:tblPr>
              <w:tblInd w:type="dxa" w:w="120"/>
              <w:tblBorders>
                <w:top w:val="none" w:color="000000" w:sz="4"/>
                <w:left w:val="none" w:color="000000" w:sz="4"/>
                <w:bottom w:val="none" w:color="000000" w:sz="4"/>
                <w:right w:val="none" w:color="000000" w:sz="4"/>
                <w:insideH w:val="none"/>
                <w:insideV w:val="none"/>
              </w:tblBorders>
            </w:tblPr>
            <w:tblGrid>
              <w:gridCol w:w="694"/>
              <w:gridCol w:w="1614"/>
              <w:gridCol w:w="694"/>
              <w:gridCol w:w="754"/>
              <w:gridCol w:w="694"/>
              <w:gridCol w:w="1146"/>
            </w:tblGrid>
            <w:tr>
              <w:tc>
                <w:tcPr>
                  <w:tcW w:type="dxa" w:w="694"/>
                  <w:tcBorders>
                    <w:top w:val="single" w:color="000000" w:sz="4"/>
                    <w:left w:val="single" w:color="000000" w:sz="4"/>
                    <w:bottom w:val="single" w:color="000000" w:sz="4"/>
                    <w:right w:val="single" w:color="000000" w:sz="4"/>
                  </w:tcBorders>
                  <w:vAlign w:val="top"/>
                </w:tcPr>
                <w:p>
                  <w:pPr>
                    <w:jc w:val="center"/>
                  </w:pPr>
                  <w:r>
                    <w:rPr>
                      <w:sz w:val="21"/>
                    </w:rPr>
                    <w:t>平台</w:t>
                  </w:r>
                </w:p>
              </w:tc>
              <w:tc>
                <w:tcPr>
                  <w:tcW w:type="dxa" w:w="1614"/>
                  <w:tcBorders>
                    <w:top w:val="single" w:color="000000" w:sz="4"/>
                    <w:left w:val="none" w:color="000000" w:sz="4"/>
                    <w:bottom w:val="single" w:color="000000" w:sz="4"/>
                    <w:right w:val="single" w:color="000000" w:sz="4"/>
                  </w:tcBorders>
                  <w:vAlign w:val="top"/>
                </w:tcPr>
                <w:p>
                  <w:pPr>
                    <w:jc w:val="center"/>
                  </w:pPr>
                  <w:r>
                    <w:rPr>
                      <w:sz w:val="21"/>
                    </w:rPr>
                    <w:t>主要模块名称</w:t>
                  </w:r>
                </w:p>
              </w:tc>
              <w:tc>
                <w:tcPr>
                  <w:tcW w:type="dxa" w:w="694"/>
                  <w:tcBorders>
                    <w:top w:val="single" w:color="000000" w:sz="4"/>
                    <w:left w:val="none" w:color="000000" w:sz="4"/>
                    <w:bottom w:val="single" w:color="000000" w:sz="4"/>
                    <w:right w:val="single" w:color="000000" w:sz="4"/>
                  </w:tcBorders>
                  <w:vAlign w:val="top"/>
                </w:tcPr>
                <w:p>
                  <w:pPr>
                    <w:jc w:val="center"/>
                  </w:pPr>
                  <w:r>
                    <w:rPr>
                      <w:sz w:val="21"/>
                    </w:rPr>
                    <w:t>类型</w:t>
                  </w:r>
                </w:p>
              </w:tc>
              <w:tc>
                <w:tcPr>
                  <w:tcW w:type="dxa" w:w="754"/>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694"/>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1146"/>
                  <w:tcBorders>
                    <w:top w:val="single" w:color="000000" w:sz="4"/>
                    <w:left w:val="none" w:color="000000" w:sz="4"/>
                    <w:bottom w:val="single" w:color="000000" w:sz="4"/>
                    <w:right w:val="single" w:color="000000" w:sz="4"/>
                  </w:tcBorders>
                  <w:vAlign w:val="top"/>
                </w:tcPr>
                <w:p>
                  <w:pPr>
                    <w:jc w:val="center"/>
                  </w:pPr>
                  <w:r>
                    <w:rPr>
                      <w:sz w:val="21"/>
                    </w:rPr>
                    <w:t>硬件品牌</w:t>
                  </w:r>
                </w:p>
              </w:tc>
            </w:tr>
            <w:tr>
              <w:tc>
                <w:tcPr>
                  <w:tcW w:type="dxa" w:w="694"/>
                  <w:tcBorders>
                    <w:top w:val="none" w:color="000000" w:sz="4"/>
                    <w:left w:val="single" w:color="000000" w:sz="4"/>
                    <w:bottom w:val="single" w:color="000000" w:sz="4"/>
                    <w:right w:val="single" w:color="000000" w:sz="4"/>
                  </w:tcBorders>
                  <w:vAlign w:val="top"/>
                </w:tcPr>
                <w:p>
                  <w:pPr>
                    <w:jc w:val="center"/>
                  </w:pPr>
                  <w:r>
                    <w:rPr>
                      <w:sz w:val="21"/>
                    </w:rPr>
                    <w:t>中屏</w:t>
                  </w:r>
                </w:p>
              </w:tc>
              <w:tc>
                <w:tcPr>
                  <w:tcW w:type="dxa" w:w="1614"/>
                  <w:tcBorders>
                    <w:top w:val="none" w:color="000000" w:sz="4"/>
                    <w:left w:val="none" w:color="000000" w:sz="4"/>
                    <w:bottom w:val="single" w:color="000000" w:sz="4"/>
                    <w:right w:val="single" w:color="000000" w:sz="4"/>
                  </w:tcBorders>
                  <w:vAlign w:val="top"/>
                </w:tcPr>
                <w:p>
                  <w:pPr>
                    <w:jc w:val="center"/>
                  </w:pPr>
                  <w:r>
                    <w:rPr>
                      <w:sz w:val="21"/>
                    </w:rPr>
                    <w:t>智能中屏</w:t>
                  </w:r>
                </w:p>
              </w:tc>
              <w:tc>
                <w:tcPr>
                  <w:tcW w:type="dxa" w:w="694"/>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754"/>
                  <w:tcBorders>
                    <w:top w:val="none" w:color="000000" w:sz="4"/>
                    <w:left w:val="none" w:color="000000" w:sz="4"/>
                    <w:bottom w:val="single" w:color="000000" w:sz="4"/>
                    <w:right w:val="single" w:color="000000" w:sz="4"/>
                  </w:tcBorders>
                  <w:vAlign w:val="top"/>
                </w:tcPr>
                <w:p>
                  <w:pPr>
                    <w:jc w:val="center"/>
                  </w:pPr>
                  <w:r>
                    <w:rPr>
                      <w:sz w:val="21"/>
                    </w:rPr>
                    <w:t>86</w:t>
                  </w:r>
                  <w:r>
                    <w:rPr>
                      <w:sz w:val="21"/>
                    </w:rPr>
                    <w:t>寸</w:t>
                  </w:r>
                </w:p>
              </w:tc>
              <w:tc>
                <w:tcPr>
                  <w:tcW w:type="dxa" w:w="694"/>
                  <w:tcBorders>
                    <w:top w:val="none" w:color="000000" w:sz="4"/>
                    <w:left w:val="none" w:color="000000" w:sz="4"/>
                    <w:bottom w:val="single" w:color="000000" w:sz="4"/>
                    <w:right w:val="single" w:color="000000" w:sz="4"/>
                  </w:tcBorders>
                  <w:vAlign w:val="top"/>
                </w:tcPr>
                <w:p>
                  <w:pPr>
                    <w:jc w:val="center"/>
                  </w:pPr>
                  <w:r>
                    <w:rPr>
                      <w:sz w:val="21"/>
                    </w:rPr>
                    <w:t>20</w:t>
                  </w:r>
                </w:p>
              </w:tc>
              <w:tc>
                <w:tcPr>
                  <w:tcW w:type="dxa" w:w="1146"/>
                  <w:tcBorders>
                    <w:top w:val="none" w:color="000000" w:sz="4"/>
                    <w:left w:val="none" w:color="000000" w:sz="4"/>
                    <w:bottom w:val="single" w:color="000000" w:sz="4"/>
                    <w:right w:val="single" w:color="000000" w:sz="4"/>
                  </w:tcBorders>
                  <w:vAlign w:val="top"/>
                </w:tcPr>
                <w:p>
                  <w:pPr>
                    <w:jc w:val="center"/>
                  </w:pPr>
                  <w:r>
                    <w:rPr>
                      <w:sz w:val="21"/>
                    </w:rPr>
                    <w:t>华为</w:t>
                  </w:r>
                </w:p>
              </w:tc>
            </w:tr>
            <w:tr>
              <w:tc>
                <w:tcPr>
                  <w:tcW w:type="dxa" w:w="694"/>
                  <w:tcBorders>
                    <w:top w:val="none" w:color="000000" w:sz="4"/>
                    <w:left w:val="single" w:color="000000" w:sz="4"/>
                    <w:bottom w:val="single" w:color="000000" w:sz="4"/>
                    <w:right w:val="single" w:color="000000" w:sz="4"/>
                  </w:tcBorders>
                  <w:vAlign w:val="top"/>
                </w:tcPr>
                <w:p>
                  <w:pPr>
                    <w:jc w:val="center"/>
                  </w:pPr>
                  <w:r>
                    <w:rPr>
                      <w:sz w:val="21"/>
                    </w:rPr>
                    <w:t>中屏</w:t>
                  </w:r>
                </w:p>
              </w:tc>
              <w:tc>
                <w:tcPr>
                  <w:tcW w:type="dxa" w:w="1614"/>
                  <w:tcBorders>
                    <w:top w:val="none" w:color="000000" w:sz="4"/>
                    <w:left w:val="none" w:color="000000" w:sz="4"/>
                    <w:bottom w:val="single" w:color="000000" w:sz="4"/>
                    <w:right w:val="single" w:color="000000" w:sz="4"/>
                  </w:tcBorders>
                  <w:vAlign w:val="top"/>
                </w:tcPr>
                <w:p>
                  <w:pPr>
                    <w:jc w:val="center"/>
                  </w:pPr>
                  <w:r>
                    <w:rPr>
                      <w:sz w:val="21"/>
                    </w:rPr>
                    <w:t>智能中屏</w:t>
                  </w:r>
                </w:p>
              </w:tc>
              <w:tc>
                <w:tcPr>
                  <w:tcW w:type="dxa" w:w="694"/>
                  <w:tcBorders>
                    <w:top w:val="none" w:color="000000" w:sz="4"/>
                    <w:left w:val="none" w:color="000000" w:sz="4"/>
                    <w:bottom w:val="single" w:color="000000" w:sz="4"/>
                    <w:right w:val="single" w:color="000000" w:sz="4"/>
                  </w:tcBorders>
                  <w:vAlign w:val="top"/>
                </w:tcPr>
                <w:p>
                  <w:pPr>
                    <w:jc w:val="center"/>
                  </w:pPr>
                  <w:r>
                    <w:rPr>
                      <w:sz w:val="21"/>
                    </w:rPr>
                    <w:t>硬件</w:t>
                  </w:r>
                </w:p>
              </w:tc>
              <w:tc>
                <w:tcPr>
                  <w:tcW w:type="dxa" w:w="754"/>
                  <w:tcBorders>
                    <w:top w:val="none" w:color="000000" w:sz="4"/>
                    <w:left w:val="none" w:color="000000" w:sz="4"/>
                    <w:bottom w:val="single" w:color="000000" w:sz="4"/>
                    <w:right w:val="single" w:color="000000" w:sz="4"/>
                  </w:tcBorders>
                  <w:vAlign w:val="top"/>
                </w:tcPr>
                <w:p>
                  <w:pPr>
                    <w:jc w:val="center"/>
                  </w:pPr>
                  <w:r>
                    <w:rPr>
                      <w:sz w:val="21"/>
                    </w:rPr>
                    <w:t>65</w:t>
                  </w:r>
                  <w:r>
                    <w:rPr>
                      <w:sz w:val="21"/>
                    </w:rPr>
                    <w:t>寸</w:t>
                  </w:r>
                </w:p>
              </w:tc>
              <w:tc>
                <w:tcPr>
                  <w:tcW w:type="dxa" w:w="694"/>
                  <w:tcBorders>
                    <w:top w:val="none" w:color="000000" w:sz="4"/>
                    <w:left w:val="none" w:color="000000" w:sz="4"/>
                    <w:bottom w:val="single" w:color="000000" w:sz="4"/>
                    <w:right w:val="single" w:color="000000" w:sz="4"/>
                  </w:tcBorders>
                  <w:vAlign w:val="top"/>
                </w:tcPr>
                <w:p>
                  <w:pPr>
                    <w:jc w:val="center"/>
                  </w:pPr>
                  <w:r>
                    <w:rPr>
                      <w:sz w:val="21"/>
                    </w:rPr>
                    <w:t>6</w:t>
                  </w:r>
                  <w:r>
                    <w:rPr>
                      <w:sz w:val="21"/>
                    </w:rPr>
                    <w:t>0</w:t>
                  </w:r>
                </w:p>
              </w:tc>
              <w:tc>
                <w:tcPr>
                  <w:tcW w:type="dxa" w:w="1146"/>
                  <w:tcBorders>
                    <w:top w:val="none" w:color="000000" w:sz="4"/>
                    <w:left w:val="none" w:color="000000" w:sz="4"/>
                    <w:bottom w:val="single" w:color="000000" w:sz="4"/>
                    <w:right w:val="single" w:color="000000" w:sz="4"/>
                  </w:tcBorders>
                  <w:vAlign w:val="top"/>
                </w:tcPr>
                <w:p>
                  <w:pPr>
                    <w:jc w:val="center"/>
                  </w:pPr>
                  <w:r>
                    <w:rPr>
                      <w:sz w:val="21"/>
                    </w:rPr>
                    <w:t>华为</w:t>
                  </w:r>
                </w:p>
              </w:tc>
            </w:tr>
          </w:tbl>
          <w:p>
            <w:pPr>
              <w:jc w:val="both"/>
            </w:pPr>
          </w:p>
          <w:p>
            <w:pPr>
              <w:jc w:val="both"/>
            </w:pPr>
            <w:r>
              <w:rPr>
                <w:sz w:val="21"/>
              </w:rPr>
              <w:t>2.1.1.2.</w:t>
            </w:r>
            <w:r>
              <w:rPr>
                <w:sz w:val="21"/>
              </w:rPr>
              <w:t>服务要求</w:t>
            </w:r>
          </w:p>
          <w:p>
            <w:pPr>
              <w:jc w:val="both"/>
            </w:pPr>
            <w:r>
              <w:rPr>
                <w:sz w:val="21"/>
              </w:rPr>
              <w:t>2.1.1.2.1.</w:t>
            </w:r>
            <w:r>
              <w:rPr>
                <w:sz w:val="21"/>
              </w:rPr>
              <w:t>总体要求</w:t>
            </w:r>
          </w:p>
          <w:p>
            <w:pPr>
              <w:ind w:firstLine="420"/>
              <w:jc w:val="both"/>
            </w:pPr>
            <w:r>
              <w:rPr>
                <w:sz w:val="21"/>
              </w:rPr>
              <w:t>数字使能平台运维的重点是在依靠统一运维平台的管理下，对以下几个部分进行运维保障和性能调优。</w:t>
            </w:r>
          </w:p>
          <w:p>
            <w:pPr>
              <w:jc w:val="both"/>
            </w:pPr>
            <w:r>
              <w:rPr>
                <w:sz w:val="21"/>
              </w:rPr>
              <w:t>2.1.1.2.1.1.</w:t>
            </w:r>
            <w:r>
              <w:rPr>
                <w:sz w:val="21"/>
              </w:rPr>
              <w:t>日常巡检</w:t>
            </w:r>
          </w:p>
          <w:p>
            <w:pPr>
              <w:ind w:firstLine="420"/>
              <w:jc w:val="both"/>
            </w:pPr>
            <w:r>
              <w:rPr>
                <w:sz w:val="21"/>
              </w:rPr>
              <w:t>通过日常巡检检查信息系统可能潜在的问题或风险，加以规避或改进，确保信息系统的正常运行，避免系统访问异常。提供系统功能日常巡检，包括系统是否正常登录，功能是否正常使用，有无报错；提供系统配置检查、服务状态检查；提供系统日志检查；提供系统性能检查：磁盘、内存、</w:t>
            </w:r>
            <w:r>
              <w:rPr>
                <w:sz w:val="21"/>
              </w:rPr>
              <w:t>CPU</w:t>
            </w:r>
            <w:r>
              <w:rPr>
                <w:sz w:val="21"/>
              </w:rPr>
              <w:t>、网络情况等。要求至</w:t>
            </w:r>
            <w:r>
              <w:rPr>
                <w:sz w:val="21"/>
              </w:rPr>
              <w:t>少每周巡检一次。</w:t>
            </w:r>
            <w:r>
              <w:rPr>
                <w:sz w:val="21"/>
              </w:rPr>
              <w:t>巡检</w:t>
            </w:r>
            <w:r>
              <w:rPr>
                <w:sz w:val="21"/>
              </w:rPr>
              <w:t>日志</w:t>
            </w:r>
            <w:r>
              <w:rPr>
                <w:sz w:val="21"/>
              </w:rPr>
              <w:t>需</w:t>
            </w:r>
            <w:r>
              <w:rPr>
                <w:sz w:val="21"/>
              </w:rPr>
              <w:t>在</w:t>
            </w:r>
            <w:r>
              <w:rPr>
                <w:sz w:val="21"/>
              </w:rPr>
              <w:t>当月</w:t>
            </w:r>
            <w:r>
              <w:rPr>
                <w:sz w:val="21"/>
              </w:rPr>
              <w:t>月报</w:t>
            </w:r>
            <w:r>
              <w:rPr>
                <w:sz w:val="21"/>
              </w:rPr>
              <w:t>中</w:t>
            </w:r>
            <w:r>
              <w:rPr>
                <w:sz w:val="21"/>
              </w:rPr>
              <w:t>体现</w:t>
            </w:r>
            <w:r>
              <w:rPr>
                <w:sz w:val="21"/>
              </w:rPr>
              <w:t>。</w:t>
            </w:r>
          </w:p>
          <w:p>
            <w:pPr>
              <w:jc w:val="both"/>
            </w:pPr>
            <w:r>
              <w:rPr>
                <w:sz w:val="21"/>
              </w:rPr>
              <w:t>2.1.1.2.1.2.</w:t>
            </w:r>
            <w:r>
              <w:rPr>
                <w:sz w:val="21"/>
              </w:rPr>
              <w:t>硬件维修</w:t>
            </w:r>
          </w:p>
          <w:p>
            <w:pPr>
              <w:ind w:firstLine="420"/>
              <w:jc w:val="both"/>
            </w:pPr>
            <w:r>
              <w:rPr>
                <w:sz w:val="21"/>
              </w:rPr>
              <w:t>（</w:t>
            </w:r>
            <w:r>
              <w:rPr>
                <w:sz w:val="21"/>
              </w:rPr>
              <w:t>1</w:t>
            </w:r>
            <w:r>
              <w:rPr>
                <w:sz w:val="21"/>
              </w:rPr>
              <w:t>）换新要求</w:t>
            </w:r>
          </w:p>
          <w:p>
            <w:pPr>
              <w:ind w:firstLine="420"/>
              <w:jc w:val="both"/>
            </w:pPr>
            <w:r>
              <w:rPr>
                <w:sz w:val="21"/>
              </w:rPr>
              <w:t>国内</w:t>
            </w:r>
            <w:r>
              <w:rPr>
                <w:sz w:val="21"/>
              </w:rPr>
              <w:t>IT</w:t>
            </w:r>
            <w:r>
              <w:rPr>
                <w:sz w:val="21"/>
              </w:rPr>
              <w:t>行业内一般默认硬件设备通常在投入使用</w:t>
            </w:r>
            <w:r>
              <w:rPr>
                <w:sz w:val="21"/>
              </w:rPr>
              <w:t>5</w:t>
            </w:r>
            <w:r>
              <w:rPr>
                <w:sz w:val="21"/>
              </w:rPr>
              <w:t>年后开始发生难以维修的故障，因此，在本次服务</w:t>
            </w:r>
            <w:r>
              <w:rPr>
                <w:sz w:val="21"/>
              </w:rPr>
              <w:t>周期</w:t>
            </w:r>
            <w:r>
              <w:rPr>
                <w:sz w:val="21"/>
              </w:rPr>
              <w:t>内，若上述硬件设备发生故障且无法通过维修恢复其性能，</w:t>
            </w:r>
            <w:r>
              <w:rPr>
                <w:sz w:val="21"/>
              </w:rPr>
              <w:t>中标人</w:t>
            </w:r>
            <w:r>
              <w:rPr>
                <w:sz w:val="21"/>
              </w:rPr>
              <w:t>应提供同等性能和价位的同类设备以确保中山市智慧城市大脑正常运行（费用包含在</w:t>
            </w:r>
            <w:r>
              <w:rPr>
                <w:sz w:val="21"/>
              </w:rPr>
              <w:t>本</w:t>
            </w:r>
            <w:r>
              <w:rPr>
                <w:sz w:val="21"/>
              </w:rPr>
              <w:t>项目内）。</w:t>
            </w:r>
          </w:p>
          <w:p>
            <w:pPr>
              <w:ind w:firstLine="420"/>
              <w:jc w:val="both"/>
            </w:pPr>
            <w:r>
              <w:rPr>
                <w:sz w:val="21"/>
              </w:rPr>
              <w:t>（</w:t>
            </w:r>
            <w:r>
              <w:rPr>
                <w:sz w:val="21"/>
              </w:rPr>
              <w:t>2</w:t>
            </w:r>
            <w:r>
              <w:rPr>
                <w:sz w:val="21"/>
              </w:rPr>
              <w:t>）备品备件服务要求</w:t>
            </w:r>
          </w:p>
          <w:p>
            <w:pPr>
              <w:ind w:firstLine="420"/>
              <w:jc w:val="both"/>
            </w:pPr>
            <w:r>
              <w:rPr>
                <w:sz w:val="21"/>
              </w:rPr>
              <w:t>中山市智慧城市大脑的系统稳定性非常重要，设备万一发生故障时，需要及时修复，当出现无法快速修复的情况时，需要调用</w:t>
            </w:r>
            <w:r>
              <w:rPr>
                <w:sz w:val="21"/>
              </w:rPr>
              <w:t>同等性能和价位的同类</w:t>
            </w:r>
            <w:r>
              <w:rPr>
                <w:sz w:val="21"/>
              </w:rPr>
              <w:t>备用的设备快速替换，使系统重新正常运行</w:t>
            </w:r>
            <w:r>
              <w:rPr>
                <w:sz w:val="21"/>
              </w:rPr>
              <w:t>。</w:t>
            </w:r>
          </w:p>
          <w:p>
            <w:pPr>
              <w:ind w:firstLine="420"/>
              <w:jc w:val="both"/>
            </w:pPr>
            <w:r>
              <w:rPr>
                <w:sz w:val="21"/>
              </w:rPr>
              <w:t>备件库，是为</w:t>
            </w:r>
            <w:r>
              <w:rPr>
                <w:sz w:val="21"/>
              </w:rPr>
              <w:t>采购人</w:t>
            </w:r>
            <w:r>
              <w:rPr>
                <w:sz w:val="21"/>
              </w:rPr>
              <w:t>政务信息系统正常运行而准备的设备库，备件配置要求不低于故障设备，且备件费用由</w:t>
            </w:r>
            <w:r>
              <w:rPr>
                <w:sz w:val="21"/>
              </w:rPr>
              <w:t>中标人</w:t>
            </w:r>
            <w:r>
              <w:rPr>
                <w:sz w:val="21"/>
              </w:rPr>
              <w:t>承担。</w:t>
            </w:r>
          </w:p>
          <w:p>
            <w:pPr>
              <w:ind w:firstLine="420"/>
              <w:jc w:val="both"/>
            </w:pPr>
            <w:r>
              <w:rPr>
                <w:sz w:val="21"/>
              </w:rPr>
              <w:t>中标人</w:t>
            </w:r>
            <w:r>
              <w:rPr>
                <w:sz w:val="21"/>
              </w:rPr>
              <w:t>应在本地或周围城市设置备件库，要求当设备故障且需要备件更换时，能够在</w:t>
            </w:r>
            <w:r>
              <w:rPr>
                <w:sz w:val="21"/>
              </w:rPr>
              <w:t>4</w:t>
            </w:r>
            <w:r>
              <w:rPr>
                <w:sz w:val="21"/>
              </w:rPr>
              <w:t>小时内将对应备件运输到中山本地并完成替换。</w:t>
            </w:r>
          </w:p>
          <w:p>
            <w:pPr>
              <w:ind w:firstLine="420"/>
              <w:jc w:val="both"/>
            </w:pPr>
            <w:r>
              <w:rPr>
                <w:sz w:val="21"/>
              </w:rPr>
              <w:t>备件保修和更换：当设备或系统出现故障时，及时进行检查、维修或更换故障部件（更换费用包含在</w:t>
            </w:r>
            <w:r>
              <w:rPr>
                <w:sz w:val="21"/>
              </w:rPr>
              <w:t>本</w:t>
            </w:r>
            <w:r>
              <w:rPr>
                <w:sz w:val="21"/>
              </w:rPr>
              <w:t>项目内）。如果硬件设备故障，保证在</w:t>
            </w:r>
            <w:r>
              <w:rPr>
                <w:sz w:val="21"/>
              </w:rPr>
              <w:t>4</w:t>
            </w:r>
            <w:r>
              <w:rPr>
                <w:sz w:val="21"/>
              </w:rPr>
              <w:t>小时内提供不低于故障设备规格型号档次的备用设备替代使用，直至故障设备修复为止，以最大限度保证业务系统不间断</w:t>
            </w:r>
            <w:r>
              <w:rPr>
                <w:sz w:val="21"/>
              </w:rPr>
              <w:t>的</w:t>
            </w:r>
            <w:r>
              <w:rPr>
                <w:sz w:val="21"/>
              </w:rPr>
              <w:t>正常运行。</w:t>
            </w:r>
          </w:p>
          <w:p>
            <w:pPr>
              <w:ind w:firstLine="420"/>
              <w:jc w:val="both"/>
            </w:pPr>
            <w:r>
              <w:rPr>
                <w:sz w:val="21"/>
              </w:rPr>
              <w:t>备件存放在备件库时，备件产权属于</w:t>
            </w:r>
            <w:r>
              <w:rPr>
                <w:sz w:val="21"/>
              </w:rPr>
              <w:t>中标人</w:t>
            </w:r>
            <w:r>
              <w:rPr>
                <w:sz w:val="21"/>
              </w:rPr>
              <w:t>，一旦发生无法修复的部件故障，需要更换备件时，备件产权属于</w:t>
            </w:r>
            <w:r>
              <w:rPr>
                <w:sz w:val="21"/>
              </w:rPr>
              <w:t>采购人</w:t>
            </w:r>
            <w:r>
              <w:rPr>
                <w:sz w:val="21"/>
              </w:rPr>
              <w:t>，</w:t>
            </w:r>
            <w:r>
              <w:rPr>
                <w:sz w:val="21"/>
              </w:rPr>
              <w:t>中标人</w:t>
            </w:r>
            <w:r>
              <w:rPr>
                <w:sz w:val="21"/>
              </w:rPr>
              <w:t>对备件和维修的质量和售后服务负责。</w:t>
            </w:r>
          </w:p>
          <w:p>
            <w:pPr>
              <w:jc w:val="both"/>
            </w:pPr>
            <w:r>
              <w:rPr>
                <w:sz w:val="21"/>
              </w:rPr>
              <w:t>2.1.1.2.1.3.</w:t>
            </w:r>
            <w:r>
              <w:rPr>
                <w:sz w:val="21"/>
              </w:rPr>
              <w:t>预防性维护</w:t>
            </w:r>
          </w:p>
          <w:p>
            <w:pPr>
              <w:ind w:firstLine="420"/>
              <w:jc w:val="both"/>
            </w:pPr>
            <w:r>
              <w:rPr>
                <w:sz w:val="21"/>
              </w:rPr>
              <w:t>制定年度预防性维护计划，提供每月一次的预防性维护，对系统运行形成的临时数据进行清理，对系统运行日志进行检查分析，根据系统的报错信息，发现系统潜在的问题，尽早采取措施，排除故障隐患和安全漏洞。要求维护后提交完整的报告。</w:t>
            </w:r>
          </w:p>
          <w:p>
            <w:pPr>
              <w:jc w:val="both"/>
            </w:pPr>
            <w:r>
              <w:rPr>
                <w:sz w:val="21"/>
              </w:rPr>
              <w:t>2.1.1.2.1.4.</w:t>
            </w:r>
            <w:r>
              <w:rPr>
                <w:sz w:val="21"/>
              </w:rPr>
              <w:t>日志分析</w:t>
            </w:r>
          </w:p>
          <w:p>
            <w:pPr>
              <w:ind w:firstLine="420"/>
              <w:jc w:val="both"/>
            </w:pPr>
            <w:r>
              <w:rPr>
                <w:sz w:val="21"/>
              </w:rPr>
              <w:t>定期对信息系统及相关资源日志进行分析，找出可能潜在的问题并加以解决，确保信息系统的正常运行。</w:t>
            </w:r>
          </w:p>
          <w:p>
            <w:pPr>
              <w:jc w:val="both"/>
            </w:pPr>
            <w:r>
              <w:rPr>
                <w:sz w:val="21"/>
              </w:rPr>
              <w:t>2.1.1.2.1.5.</w:t>
            </w:r>
            <w:r>
              <w:rPr>
                <w:sz w:val="21"/>
              </w:rPr>
              <w:t>补丁及接口升级</w:t>
            </w:r>
          </w:p>
          <w:p>
            <w:pPr>
              <w:ind w:firstLine="420"/>
              <w:jc w:val="both"/>
            </w:pPr>
            <w:r>
              <w:rPr>
                <w:sz w:val="21"/>
              </w:rPr>
              <w:t>提供数据库、中间件补丁升级测试，对应用进行适应性改造，根据大脑业务需求进行接口升级改造、接口数据联调。</w:t>
            </w:r>
          </w:p>
          <w:p>
            <w:pPr>
              <w:jc w:val="both"/>
            </w:pPr>
            <w:r>
              <w:rPr>
                <w:sz w:val="21"/>
              </w:rPr>
              <w:t>2.1.1.2.1.6.</w:t>
            </w:r>
            <w:r>
              <w:rPr>
                <w:sz w:val="21"/>
              </w:rPr>
              <w:t>系统故障诊断及检修</w:t>
            </w:r>
          </w:p>
          <w:p>
            <w:pPr>
              <w:ind w:firstLine="420"/>
              <w:jc w:val="both"/>
            </w:pPr>
            <w:r>
              <w:rPr>
                <w:sz w:val="21"/>
              </w:rPr>
              <w:t>当系统出现问题时，</w:t>
            </w:r>
            <w:r>
              <w:rPr>
                <w:sz w:val="21"/>
              </w:rPr>
              <w:t>中标人</w:t>
            </w:r>
            <w:r>
              <w:rPr>
                <w:sz w:val="21"/>
              </w:rPr>
              <w:t>必须及时对问题进行诊断、分析，并解决问题。按照本方案的故障响应要求提供服务。提供应用系统重部署服务，配合数据库、中间件等系统软件的重部署</w:t>
            </w:r>
            <w:r>
              <w:rPr>
                <w:sz w:val="21"/>
              </w:rPr>
              <w:t>。</w:t>
            </w:r>
          </w:p>
          <w:p>
            <w:pPr>
              <w:ind w:firstLine="420"/>
              <w:jc w:val="both"/>
            </w:pPr>
            <w:r>
              <w:rPr>
                <w:sz w:val="21"/>
              </w:rPr>
              <w:t>按本项目内各项子系统的故障处理流程与</w:t>
            </w:r>
            <w:r>
              <w:rPr>
                <w:sz w:val="21"/>
              </w:rPr>
              <w:t>SLA</w:t>
            </w:r>
            <w:r>
              <w:rPr>
                <w:sz w:val="21"/>
              </w:rPr>
              <w:t>要求执行故障处理工作，处理后整理相应的故障处理记录。</w:t>
            </w:r>
            <w:r>
              <w:rPr>
                <w:sz w:val="21"/>
              </w:rPr>
              <w:t>中标人</w:t>
            </w:r>
            <w:r>
              <w:rPr>
                <w:sz w:val="21"/>
              </w:rPr>
              <w:t>需按照下表时间要求提供故障处理服务。</w:t>
            </w:r>
          </w:p>
          <w:tbl>
            <w:tblPr>
              <w:tblBorders>
                <w:top w:val="none" w:color="000000" w:sz="4"/>
                <w:left w:val="none" w:color="000000" w:sz="4"/>
                <w:bottom w:val="none" w:color="000000" w:sz="4"/>
                <w:right w:val="none" w:color="000000" w:sz="4"/>
                <w:insideH w:val="none"/>
                <w:insideV w:val="none"/>
              </w:tblBorders>
            </w:tblPr>
            <w:tblGrid>
              <w:gridCol w:w="1740"/>
              <w:gridCol w:w="585"/>
              <w:gridCol w:w="1275"/>
              <w:gridCol w:w="750"/>
              <w:gridCol w:w="1230"/>
            </w:tblGrid>
            <w:tr>
              <w:tc>
                <w:tcPr>
                  <w:tcW w:type="dxa" w:w="1740"/>
                  <w:tcBorders>
                    <w:top w:val="single" w:color="000000" w:sz="4"/>
                    <w:left w:val="single" w:color="000000" w:sz="4"/>
                    <w:bottom w:val="single" w:color="000000" w:sz="4"/>
                    <w:right w:val="single" w:color="000000" w:sz="4"/>
                  </w:tcBorders>
                  <w:vAlign w:val="top"/>
                </w:tcPr>
                <w:p>
                  <w:pPr>
                    <w:jc w:val="center"/>
                  </w:pPr>
                  <w:r>
                    <w:rPr>
                      <w:b/>
                      <w:sz w:val="21"/>
                    </w:rPr>
                    <w:t>故障级别</w:t>
                  </w:r>
                </w:p>
              </w:tc>
              <w:tc>
                <w:tcPr>
                  <w:tcW w:type="dxa" w:w="585"/>
                  <w:tcBorders>
                    <w:top w:val="single" w:color="000000" w:sz="4"/>
                    <w:left w:val="none" w:color="000000" w:sz="4"/>
                    <w:bottom w:val="single" w:color="000000" w:sz="4"/>
                    <w:right w:val="single" w:color="000000" w:sz="4"/>
                  </w:tcBorders>
                  <w:vAlign w:val="top"/>
                </w:tcPr>
                <w:p>
                  <w:pPr>
                    <w:jc w:val="center"/>
                  </w:pPr>
                  <w:r>
                    <w:rPr>
                      <w:b/>
                      <w:sz w:val="21"/>
                    </w:rPr>
                    <w:t>电话响应</w:t>
                  </w:r>
                </w:p>
              </w:tc>
              <w:tc>
                <w:tcPr>
                  <w:tcW w:type="dxa" w:w="1275"/>
                  <w:tcBorders>
                    <w:top w:val="single" w:color="000000" w:sz="4"/>
                    <w:left w:val="none" w:color="000000" w:sz="4"/>
                    <w:bottom w:val="single" w:color="000000" w:sz="4"/>
                    <w:right w:val="single" w:color="000000" w:sz="4"/>
                  </w:tcBorders>
                  <w:vAlign w:val="top"/>
                </w:tcPr>
                <w:p>
                  <w:pPr>
                    <w:jc w:val="center"/>
                  </w:pPr>
                  <w:r>
                    <w:rPr>
                      <w:b/>
                      <w:sz w:val="21"/>
                    </w:rPr>
                    <w:t>运维远程接入时间</w:t>
                  </w:r>
                </w:p>
              </w:tc>
              <w:tc>
                <w:tcPr>
                  <w:tcW w:type="dxa" w:w="750"/>
                  <w:tcBorders>
                    <w:top w:val="single" w:color="000000" w:sz="4"/>
                    <w:left w:val="none" w:color="000000" w:sz="4"/>
                    <w:bottom w:val="single" w:color="000000" w:sz="4"/>
                    <w:right w:val="single" w:color="000000" w:sz="4"/>
                  </w:tcBorders>
                  <w:vAlign w:val="top"/>
                </w:tcPr>
                <w:p>
                  <w:pPr>
                    <w:jc w:val="center"/>
                  </w:pPr>
                  <w:r>
                    <w:rPr>
                      <w:b/>
                      <w:sz w:val="21"/>
                    </w:rPr>
                    <w:t>恢复时间</w:t>
                  </w:r>
                </w:p>
              </w:tc>
              <w:tc>
                <w:tcPr>
                  <w:tcW w:type="dxa" w:w="1230"/>
                  <w:tcBorders>
                    <w:top w:val="single" w:color="000000" w:sz="4"/>
                    <w:left w:val="none" w:color="000000" w:sz="4"/>
                    <w:bottom w:val="single" w:color="000000" w:sz="4"/>
                    <w:right w:val="single" w:color="000000" w:sz="4"/>
                  </w:tcBorders>
                  <w:vAlign w:val="top"/>
                </w:tcPr>
                <w:p>
                  <w:pPr>
                    <w:jc w:val="center"/>
                  </w:pPr>
                  <w:r>
                    <w:rPr>
                      <w:b/>
                      <w:sz w:val="21"/>
                    </w:rPr>
                    <w:t>回溯和版本解决时间</w:t>
                  </w:r>
                </w:p>
              </w:tc>
            </w:tr>
            <w:tr>
              <w:tc>
                <w:tcPr>
                  <w:tcW w:type="dxa" w:w="1740"/>
                  <w:tcBorders>
                    <w:top w:val="none" w:color="000000" w:sz="4"/>
                    <w:left w:val="single" w:color="000000" w:sz="4"/>
                    <w:bottom w:val="single" w:color="000000" w:sz="4"/>
                    <w:right w:val="single" w:color="000000" w:sz="4"/>
                  </w:tcBorders>
                  <w:vAlign w:val="top"/>
                </w:tcPr>
                <w:p>
                  <w:pPr>
                    <w:jc w:val="both"/>
                  </w:pPr>
                  <w:r>
                    <w:rPr>
                      <w:sz w:val="21"/>
                    </w:rPr>
                    <w:t>I</w:t>
                  </w:r>
                  <w:r>
                    <w:rPr>
                      <w:sz w:val="21"/>
                    </w:rPr>
                    <w:t>级：属于重大故障：平台功能全部不可用，且持续时间超过</w:t>
                  </w:r>
                  <w:r>
                    <w:rPr>
                      <w:sz w:val="21"/>
                    </w:rPr>
                    <w:t>1</w:t>
                  </w:r>
                  <w:r>
                    <w:rPr>
                      <w:sz w:val="21"/>
                    </w:rPr>
                    <w:t>小时</w:t>
                  </w:r>
                </w:p>
              </w:tc>
              <w:tc>
                <w:tcPr>
                  <w:tcW w:type="dxa" w:w="585"/>
                  <w:tcBorders>
                    <w:top w:val="none" w:color="000000" w:sz="4"/>
                    <w:left w:val="none" w:color="000000" w:sz="4"/>
                    <w:bottom w:val="single" w:color="000000" w:sz="4"/>
                    <w:right w:val="single" w:color="000000" w:sz="4"/>
                  </w:tcBorders>
                  <w:vAlign w:val="top"/>
                </w:tcPr>
                <w:p>
                  <w:pPr>
                    <w:jc w:val="both"/>
                  </w:pPr>
                  <w:r>
                    <w:rPr>
                      <w:sz w:val="21"/>
                    </w:rPr>
                    <w:t>5</w:t>
                  </w:r>
                </w:p>
                <w:p>
                  <w:pPr>
                    <w:jc w:val="both"/>
                  </w:pPr>
                  <w:r>
                    <w:rPr>
                      <w:sz w:val="21"/>
                    </w:rPr>
                    <w:t>分钟</w:t>
                  </w:r>
                </w:p>
              </w:tc>
              <w:tc>
                <w:tcPr>
                  <w:tcW w:type="dxa" w:w="1275"/>
                  <w:tcBorders>
                    <w:top w:val="none" w:color="000000" w:sz="4"/>
                    <w:left w:val="none" w:color="000000" w:sz="4"/>
                    <w:bottom w:val="single" w:color="000000" w:sz="4"/>
                    <w:right w:val="single" w:color="000000" w:sz="4"/>
                  </w:tcBorders>
                  <w:vAlign w:val="top"/>
                </w:tcPr>
                <w:p>
                  <w:pPr>
                    <w:jc w:val="both"/>
                  </w:pPr>
                  <w:r>
                    <w:rPr>
                      <w:sz w:val="21"/>
                    </w:rPr>
                    <w:t>30</w:t>
                  </w:r>
                  <w:r>
                    <w:rPr>
                      <w:sz w:val="21"/>
                    </w:rPr>
                    <w:t>分钟以内接入</w:t>
                  </w:r>
                </w:p>
              </w:tc>
              <w:tc>
                <w:tcPr>
                  <w:tcW w:type="dxa" w:w="750"/>
                  <w:tcBorders>
                    <w:top w:val="none" w:color="000000" w:sz="4"/>
                    <w:left w:val="none" w:color="000000" w:sz="4"/>
                    <w:bottom w:val="single" w:color="000000" w:sz="4"/>
                    <w:right w:val="single" w:color="000000" w:sz="4"/>
                  </w:tcBorders>
                  <w:vAlign w:val="top"/>
                </w:tcPr>
                <w:p>
                  <w:pPr>
                    <w:jc w:val="both"/>
                  </w:pPr>
                  <w:r>
                    <w:rPr>
                      <w:sz w:val="21"/>
                    </w:rPr>
                    <w:t>4</w:t>
                  </w:r>
                  <w:r>
                    <w:rPr>
                      <w:sz w:val="21"/>
                    </w:rPr>
                    <w:t>小时内</w:t>
                  </w:r>
                </w:p>
              </w:tc>
              <w:tc>
                <w:tcPr>
                  <w:tcW w:type="dxa" w:w="1230"/>
                  <w:tcBorders>
                    <w:top w:val="none" w:color="000000" w:sz="4"/>
                    <w:left w:val="none" w:color="000000" w:sz="4"/>
                    <w:bottom w:val="single" w:color="000000" w:sz="4"/>
                    <w:right w:val="single" w:color="000000" w:sz="4"/>
                  </w:tcBorders>
                  <w:vAlign w:val="top"/>
                </w:tcPr>
                <w:p>
                  <w:pPr>
                    <w:jc w:val="both"/>
                  </w:pPr>
                  <w:r>
                    <w:rPr>
                      <w:sz w:val="21"/>
                    </w:rPr>
                    <w:t>1</w:t>
                  </w:r>
                  <w:r>
                    <w:rPr>
                      <w:sz w:val="21"/>
                    </w:rPr>
                    <w:t>周以内</w:t>
                  </w:r>
                </w:p>
              </w:tc>
            </w:tr>
            <w:tr>
              <w:tc>
                <w:tcPr>
                  <w:tcW w:type="dxa" w:w="1740"/>
                  <w:tcBorders>
                    <w:top w:val="none" w:color="000000" w:sz="4"/>
                    <w:left w:val="single" w:color="000000" w:sz="4"/>
                    <w:bottom w:val="single" w:color="000000" w:sz="4"/>
                    <w:right w:val="single" w:color="000000" w:sz="4"/>
                  </w:tcBorders>
                  <w:vAlign w:val="top"/>
                </w:tcPr>
                <w:p>
                  <w:pPr>
                    <w:jc w:val="both"/>
                  </w:pPr>
                  <w:r>
                    <w:rPr>
                      <w:sz w:val="21"/>
                    </w:rPr>
                    <w:t>II</w:t>
                  </w:r>
                  <w:r>
                    <w:rPr>
                      <w:sz w:val="21"/>
                    </w:rPr>
                    <w:t>级：属于严重故障：影响</w:t>
                  </w:r>
                  <w:r>
                    <w:rPr>
                      <w:sz w:val="21"/>
                    </w:rPr>
                    <w:t>50%</w:t>
                  </w:r>
                  <w:r>
                    <w:rPr>
                      <w:sz w:val="21"/>
                    </w:rPr>
                    <w:t>以上的平台功能，且持续时间超过</w:t>
                  </w:r>
                  <w:r>
                    <w:rPr>
                      <w:sz w:val="21"/>
                    </w:rPr>
                    <w:t>1</w:t>
                  </w:r>
                  <w:r>
                    <w:rPr>
                      <w:sz w:val="21"/>
                    </w:rPr>
                    <w:t>小时</w:t>
                  </w:r>
                </w:p>
              </w:tc>
              <w:tc>
                <w:tcPr>
                  <w:tcW w:type="dxa" w:w="585"/>
                  <w:tcBorders>
                    <w:top w:val="none" w:color="000000" w:sz="4"/>
                    <w:left w:val="none" w:color="000000" w:sz="4"/>
                    <w:bottom w:val="single" w:color="000000" w:sz="4"/>
                    <w:right w:val="single" w:color="000000" w:sz="4"/>
                  </w:tcBorders>
                  <w:vAlign w:val="top"/>
                </w:tcPr>
                <w:p>
                  <w:pPr>
                    <w:jc w:val="both"/>
                  </w:pPr>
                  <w:r>
                    <w:rPr>
                      <w:sz w:val="21"/>
                    </w:rPr>
                    <w:t>10</w:t>
                  </w:r>
                  <w:r>
                    <w:rPr>
                      <w:sz w:val="21"/>
                    </w:rPr>
                    <w:t>分钟</w:t>
                  </w:r>
                </w:p>
              </w:tc>
              <w:tc>
                <w:tcPr>
                  <w:tcW w:type="dxa" w:w="1275"/>
                  <w:tcBorders>
                    <w:top w:val="none" w:color="000000" w:sz="4"/>
                    <w:left w:val="none" w:color="000000" w:sz="4"/>
                    <w:bottom w:val="single" w:color="000000" w:sz="4"/>
                    <w:right w:val="single" w:color="000000" w:sz="4"/>
                  </w:tcBorders>
                  <w:vAlign w:val="top"/>
                </w:tcPr>
                <w:p>
                  <w:pPr>
                    <w:jc w:val="both"/>
                  </w:pPr>
                  <w:r>
                    <w:rPr>
                      <w:sz w:val="21"/>
                    </w:rPr>
                    <w:t>30</w:t>
                  </w:r>
                  <w:r>
                    <w:rPr>
                      <w:sz w:val="21"/>
                    </w:rPr>
                    <w:t>分钟以内接入</w:t>
                  </w:r>
                </w:p>
              </w:tc>
              <w:tc>
                <w:tcPr>
                  <w:tcW w:type="dxa" w:w="750"/>
                  <w:tcBorders>
                    <w:top w:val="none" w:color="000000" w:sz="4"/>
                    <w:left w:val="none" w:color="000000" w:sz="4"/>
                    <w:bottom w:val="single" w:color="000000" w:sz="4"/>
                    <w:right w:val="single" w:color="000000" w:sz="4"/>
                  </w:tcBorders>
                  <w:vAlign w:val="top"/>
                </w:tcPr>
                <w:p>
                  <w:pPr>
                    <w:jc w:val="both"/>
                  </w:pPr>
                  <w:r>
                    <w:rPr>
                      <w:sz w:val="21"/>
                    </w:rPr>
                    <w:t>6</w:t>
                  </w:r>
                  <w:r>
                    <w:rPr>
                      <w:sz w:val="21"/>
                    </w:rPr>
                    <w:t>小时内</w:t>
                  </w:r>
                </w:p>
              </w:tc>
              <w:tc>
                <w:tcPr>
                  <w:tcW w:type="dxa" w:w="1230"/>
                  <w:tcBorders>
                    <w:top w:val="none" w:color="000000" w:sz="4"/>
                    <w:left w:val="none" w:color="000000" w:sz="4"/>
                    <w:bottom w:val="single" w:color="000000" w:sz="4"/>
                    <w:right w:val="single" w:color="000000" w:sz="4"/>
                  </w:tcBorders>
                  <w:vAlign w:val="top"/>
                </w:tcPr>
                <w:p>
                  <w:pPr>
                    <w:jc w:val="both"/>
                  </w:pPr>
                  <w:r>
                    <w:rPr>
                      <w:sz w:val="21"/>
                    </w:rPr>
                    <w:t>1</w:t>
                  </w:r>
                  <w:r>
                    <w:rPr>
                      <w:sz w:val="21"/>
                    </w:rPr>
                    <w:t>周以内</w:t>
                  </w:r>
                </w:p>
              </w:tc>
            </w:tr>
            <w:tr>
              <w:tc>
                <w:tcPr>
                  <w:tcW w:type="dxa" w:w="1740"/>
                  <w:tcBorders>
                    <w:top w:val="none" w:color="000000" w:sz="4"/>
                    <w:left w:val="single" w:color="000000" w:sz="4"/>
                    <w:bottom w:val="single" w:color="000000" w:sz="4"/>
                    <w:right w:val="single" w:color="000000" w:sz="4"/>
                  </w:tcBorders>
                  <w:vAlign w:val="top"/>
                </w:tcPr>
                <w:p>
                  <w:pPr>
                    <w:jc w:val="both"/>
                  </w:pPr>
                  <w:r>
                    <w:rPr>
                      <w:sz w:val="21"/>
                    </w:rPr>
                    <w:t>III</w:t>
                  </w:r>
                  <w:r>
                    <w:rPr>
                      <w:sz w:val="21"/>
                    </w:rPr>
                    <w:t>级：属于一般故障：影响</w:t>
                  </w:r>
                  <w:r>
                    <w:rPr>
                      <w:sz w:val="21"/>
                    </w:rPr>
                    <w:t>5%</w:t>
                  </w:r>
                  <w:r>
                    <w:rPr>
                      <w:sz w:val="21"/>
                    </w:rPr>
                    <w:t>以上的平台功能，且持续时间超过</w:t>
                  </w:r>
                  <w:r>
                    <w:rPr>
                      <w:sz w:val="21"/>
                    </w:rPr>
                    <w:t>1</w:t>
                  </w:r>
                  <w:r>
                    <w:rPr>
                      <w:sz w:val="21"/>
                    </w:rPr>
                    <w:t>小时</w:t>
                  </w:r>
                </w:p>
              </w:tc>
              <w:tc>
                <w:tcPr>
                  <w:tcW w:type="dxa" w:w="585"/>
                  <w:tcBorders>
                    <w:top w:val="none" w:color="000000" w:sz="4"/>
                    <w:left w:val="none" w:color="000000" w:sz="4"/>
                    <w:bottom w:val="single" w:color="000000" w:sz="4"/>
                    <w:right w:val="single" w:color="000000" w:sz="4"/>
                  </w:tcBorders>
                  <w:vAlign w:val="top"/>
                </w:tcPr>
                <w:p>
                  <w:pPr>
                    <w:jc w:val="both"/>
                  </w:pPr>
                  <w:r>
                    <w:rPr>
                      <w:sz w:val="21"/>
                    </w:rPr>
                    <w:t>20</w:t>
                  </w:r>
                  <w:r>
                    <w:rPr>
                      <w:sz w:val="21"/>
                    </w:rPr>
                    <w:t>分钟</w:t>
                  </w:r>
                </w:p>
              </w:tc>
              <w:tc>
                <w:tcPr>
                  <w:tcW w:type="dxa" w:w="1275"/>
                  <w:tcBorders>
                    <w:top w:val="none" w:color="000000" w:sz="4"/>
                    <w:left w:val="none" w:color="000000" w:sz="4"/>
                    <w:bottom w:val="single" w:color="000000" w:sz="4"/>
                    <w:right w:val="single" w:color="000000" w:sz="4"/>
                  </w:tcBorders>
                  <w:vAlign w:val="top"/>
                </w:tcPr>
                <w:p>
                  <w:pPr>
                    <w:jc w:val="both"/>
                  </w:pPr>
                  <w:r>
                    <w:rPr>
                      <w:sz w:val="21"/>
                    </w:rPr>
                    <w:t>30</w:t>
                  </w:r>
                  <w:r>
                    <w:rPr>
                      <w:sz w:val="21"/>
                    </w:rPr>
                    <w:t>分钟以内接入</w:t>
                  </w:r>
                </w:p>
              </w:tc>
              <w:tc>
                <w:tcPr>
                  <w:tcW w:type="dxa" w:w="750"/>
                  <w:tcBorders>
                    <w:top w:val="none" w:color="000000" w:sz="4"/>
                    <w:left w:val="none" w:color="000000" w:sz="4"/>
                    <w:bottom w:val="single" w:color="000000" w:sz="4"/>
                    <w:right w:val="single" w:color="000000" w:sz="4"/>
                  </w:tcBorders>
                  <w:vAlign w:val="top"/>
                </w:tcPr>
                <w:p>
                  <w:pPr>
                    <w:jc w:val="both"/>
                  </w:pPr>
                  <w:r>
                    <w:rPr>
                      <w:sz w:val="21"/>
                    </w:rPr>
                    <w:t>8</w:t>
                  </w:r>
                  <w:r>
                    <w:rPr>
                      <w:sz w:val="21"/>
                    </w:rPr>
                    <w:t>小时内</w:t>
                  </w:r>
                </w:p>
              </w:tc>
              <w:tc>
                <w:tcPr>
                  <w:tcW w:type="dxa" w:w="1230"/>
                  <w:tcBorders>
                    <w:top w:val="none" w:color="000000" w:sz="4"/>
                    <w:left w:val="none" w:color="000000" w:sz="4"/>
                    <w:bottom w:val="single" w:color="000000" w:sz="4"/>
                    <w:right w:val="single" w:color="000000" w:sz="4"/>
                  </w:tcBorders>
                  <w:vAlign w:val="top"/>
                </w:tcPr>
                <w:p>
                  <w:pPr>
                    <w:jc w:val="both"/>
                  </w:pPr>
                  <w:r>
                    <w:rPr>
                      <w:sz w:val="21"/>
                    </w:rPr>
                    <w:t>1</w:t>
                  </w:r>
                  <w:r>
                    <w:rPr>
                      <w:sz w:val="21"/>
                    </w:rPr>
                    <w:t>周以内</w:t>
                  </w:r>
                </w:p>
              </w:tc>
            </w:tr>
            <w:tr>
              <w:tc>
                <w:tcPr>
                  <w:tcW w:type="dxa" w:w="1740"/>
                  <w:tcBorders>
                    <w:top w:val="none" w:color="000000" w:sz="4"/>
                    <w:left w:val="single" w:color="000000" w:sz="4"/>
                    <w:bottom w:val="single" w:color="000000" w:sz="4"/>
                    <w:right w:val="single" w:color="000000" w:sz="4"/>
                  </w:tcBorders>
                  <w:vAlign w:val="top"/>
                </w:tcPr>
                <w:p>
                  <w:pPr>
                    <w:jc w:val="both"/>
                  </w:pPr>
                  <w:r>
                    <w:rPr>
                      <w:sz w:val="21"/>
                    </w:rPr>
                    <w:t>IV</w:t>
                  </w:r>
                  <w:r>
                    <w:rPr>
                      <w:sz w:val="21"/>
                    </w:rPr>
                    <w:t>级：属于轻微故障：除重大、严重和一般故障以外的其他故障。</w:t>
                  </w:r>
                </w:p>
              </w:tc>
              <w:tc>
                <w:tcPr>
                  <w:tcW w:type="dxa" w:w="585"/>
                  <w:tcBorders>
                    <w:top w:val="none" w:color="000000" w:sz="4"/>
                    <w:left w:val="none" w:color="000000" w:sz="4"/>
                    <w:bottom w:val="single" w:color="000000" w:sz="4"/>
                    <w:right w:val="single" w:color="000000" w:sz="4"/>
                  </w:tcBorders>
                  <w:vAlign w:val="top"/>
                </w:tcPr>
                <w:p>
                  <w:pPr>
                    <w:jc w:val="both"/>
                  </w:pPr>
                  <w:r>
                    <w:rPr>
                      <w:sz w:val="21"/>
                    </w:rPr>
                    <w:t>2</w:t>
                  </w:r>
                </w:p>
                <w:p>
                  <w:pPr>
                    <w:jc w:val="both"/>
                  </w:pPr>
                  <w:r>
                    <w:rPr>
                      <w:sz w:val="21"/>
                    </w:rPr>
                    <w:t>小时</w:t>
                  </w:r>
                </w:p>
              </w:tc>
              <w:tc>
                <w:tcPr>
                  <w:tcW w:type="dxa" w:w="1275"/>
                  <w:tcBorders>
                    <w:top w:val="none" w:color="000000" w:sz="4"/>
                    <w:left w:val="none" w:color="000000" w:sz="4"/>
                    <w:bottom w:val="single" w:color="000000" w:sz="4"/>
                    <w:right w:val="single" w:color="000000" w:sz="4"/>
                  </w:tcBorders>
                  <w:vAlign w:val="top"/>
                </w:tcPr>
                <w:p>
                  <w:pPr>
                    <w:jc w:val="both"/>
                  </w:pPr>
                  <w:r>
                    <w:rPr>
                      <w:sz w:val="21"/>
                    </w:rPr>
                    <w:t>1</w:t>
                  </w:r>
                  <w:r>
                    <w:rPr>
                      <w:sz w:val="21"/>
                    </w:rPr>
                    <w:t>小时内接入</w:t>
                  </w:r>
                </w:p>
              </w:tc>
              <w:tc>
                <w:tcPr>
                  <w:tcW w:type="dxa" w:w="750"/>
                  <w:tcBorders>
                    <w:top w:val="none" w:color="000000" w:sz="4"/>
                    <w:left w:val="none" w:color="000000" w:sz="4"/>
                    <w:bottom w:val="single" w:color="000000" w:sz="4"/>
                    <w:right w:val="single" w:color="000000" w:sz="4"/>
                  </w:tcBorders>
                  <w:vAlign w:val="top"/>
                </w:tcPr>
                <w:p>
                  <w:pPr>
                    <w:jc w:val="both"/>
                  </w:pPr>
                  <w:r>
                    <w:rPr>
                      <w:sz w:val="21"/>
                    </w:rPr>
                    <w:t>24</w:t>
                  </w:r>
                  <w:r>
                    <w:rPr>
                      <w:sz w:val="21"/>
                    </w:rPr>
                    <w:t>小时内</w:t>
                  </w:r>
                </w:p>
              </w:tc>
              <w:tc>
                <w:tcPr>
                  <w:tcW w:type="dxa" w:w="1230"/>
                  <w:tcBorders>
                    <w:top w:val="none" w:color="000000" w:sz="4"/>
                    <w:left w:val="none" w:color="000000" w:sz="4"/>
                    <w:bottom w:val="single" w:color="000000" w:sz="4"/>
                    <w:right w:val="single" w:color="000000" w:sz="4"/>
                  </w:tcBorders>
                  <w:vAlign w:val="top"/>
                </w:tcPr>
                <w:p>
                  <w:pPr>
                    <w:jc w:val="both"/>
                  </w:pPr>
                  <w:r>
                    <w:rPr>
                      <w:sz w:val="21"/>
                    </w:rPr>
                    <w:t>择期发布版本解决</w:t>
                  </w:r>
                </w:p>
              </w:tc>
            </w:tr>
          </w:tbl>
          <w:p>
            <w:pPr>
              <w:jc w:val="both"/>
            </w:pPr>
          </w:p>
          <w:p>
            <w:pPr>
              <w:ind w:firstLine="420"/>
              <w:jc w:val="both"/>
            </w:pPr>
            <w:r>
              <w:rPr>
                <w:sz w:val="21"/>
              </w:rPr>
              <w:t>要求故障处理完毕后出具相应报告，按照下表时间要求完成相关报告的编制：</w:t>
            </w:r>
          </w:p>
          <w:tbl>
            <w:tblPr>
              <w:tblBorders>
                <w:top w:val="none" w:color="000000" w:sz="4"/>
                <w:left w:val="none" w:color="000000" w:sz="4"/>
                <w:bottom w:val="none" w:color="000000" w:sz="4"/>
                <w:right w:val="none" w:color="000000" w:sz="4"/>
                <w:insideH w:val="none"/>
                <w:insideV w:val="none"/>
              </w:tblBorders>
            </w:tblPr>
            <w:tblGrid>
              <w:gridCol w:w="1956"/>
              <w:gridCol w:w="3642"/>
            </w:tblGrid>
            <w:tr>
              <w:tc>
                <w:tcPr>
                  <w:tcW w:type="dxa" w:w="1956"/>
                  <w:tcBorders>
                    <w:top w:val="single" w:color="000000" w:sz="4"/>
                    <w:left w:val="single" w:color="000000" w:sz="4"/>
                    <w:bottom w:val="single" w:color="000000" w:sz="4"/>
                    <w:right w:val="single" w:color="000000" w:sz="4"/>
                  </w:tcBorders>
                  <w:vAlign w:val="top"/>
                </w:tcPr>
                <w:p>
                  <w:pPr>
                    <w:jc w:val="center"/>
                  </w:pPr>
                  <w:r>
                    <w:rPr>
                      <w:b/>
                      <w:sz w:val="21"/>
                    </w:rPr>
                    <w:t>故障级别</w:t>
                  </w:r>
                </w:p>
              </w:tc>
              <w:tc>
                <w:tcPr>
                  <w:tcW w:type="dxa" w:w="3642"/>
                  <w:tcBorders>
                    <w:top w:val="single" w:color="000000" w:sz="4"/>
                    <w:left w:val="none" w:color="000000" w:sz="4"/>
                    <w:bottom w:val="single" w:color="000000" w:sz="4"/>
                    <w:right w:val="single" w:color="000000" w:sz="4"/>
                  </w:tcBorders>
                  <w:vAlign w:val="top"/>
                </w:tcPr>
                <w:p>
                  <w:pPr>
                    <w:jc w:val="center"/>
                  </w:pPr>
                  <w:r>
                    <w:rPr>
                      <w:b/>
                      <w:sz w:val="21"/>
                    </w:rPr>
                    <w:t>故障报告要求</w:t>
                  </w:r>
                </w:p>
              </w:tc>
            </w:tr>
            <w:tr>
              <w:tc>
                <w:tcPr>
                  <w:tcW w:type="dxa" w:w="1956"/>
                  <w:tcBorders>
                    <w:top w:val="none" w:color="000000" w:sz="4"/>
                    <w:left w:val="single" w:color="000000" w:sz="4"/>
                    <w:bottom w:val="single" w:color="000000" w:sz="4"/>
                    <w:right w:val="single" w:color="000000" w:sz="4"/>
                  </w:tcBorders>
                  <w:vAlign w:val="top"/>
                </w:tcPr>
                <w:p>
                  <w:pPr>
                    <w:jc w:val="both"/>
                  </w:pPr>
                  <w:r>
                    <w:rPr>
                      <w:sz w:val="21"/>
                    </w:rPr>
                    <w:t>一级（重大）故障</w:t>
                  </w:r>
                </w:p>
              </w:tc>
              <w:tc>
                <w:tcPr>
                  <w:tcW w:type="dxa" w:w="3642"/>
                  <w:tcBorders>
                    <w:top w:val="none" w:color="000000" w:sz="4"/>
                    <w:left w:val="none" w:color="000000" w:sz="4"/>
                    <w:bottom w:val="single" w:color="000000" w:sz="4"/>
                    <w:right w:val="single" w:color="000000" w:sz="4"/>
                  </w:tcBorders>
                  <w:vAlign w:val="top"/>
                </w:tcPr>
                <w:p>
                  <w:pPr>
                    <w:jc w:val="both"/>
                  </w:pPr>
                  <w:r>
                    <w:rPr>
                      <w:sz w:val="21"/>
                    </w:rPr>
                    <w:t>24</w:t>
                  </w:r>
                  <w:r>
                    <w:rPr>
                      <w:sz w:val="21"/>
                    </w:rPr>
                    <w:t>小时内做出简要书面报告；</w:t>
                  </w:r>
                </w:p>
                <w:p>
                  <w:pPr>
                    <w:jc w:val="both"/>
                  </w:pPr>
                  <w:r>
                    <w:rPr>
                      <w:sz w:val="21"/>
                    </w:rPr>
                    <w:t>3</w:t>
                  </w:r>
                  <w:r>
                    <w:rPr>
                      <w:sz w:val="21"/>
                    </w:rPr>
                    <w:t>工作日内完成书面故障专题报告。</w:t>
                  </w:r>
                </w:p>
              </w:tc>
            </w:tr>
            <w:tr>
              <w:tc>
                <w:tcPr>
                  <w:tcW w:type="dxa" w:w="1956"/>
                  <w:tcBorders>
                    <w:top w:val="none" w:color="000000" w:sz="4"/>
                    <w:left w:val="single" w:color="000000" w:sz="4"/>
                    <w:bottom w:val="single" w:color="000000" w:sz="4"/>
                    <w:right w:val="single" w:color="000000" w:sz="4"/>
                  </w:tcBorders>
                  <w:vAlign w:val="top"/>
                </w:tcPr>
                <w:p>
                  <w:pPr>
                    <w:jc w:val="both"/>
                  </w:pPr>
                  <w:r>
                    <w:rPr>
                      <w:sz w:val="21"/>
                    </w:rPr>
                    <w:t>二级（严重）故障</w:t>
                  </w:r>
                </w:p>
              </w:tc>
              <w:tc>
                <w:tcPr>
                  <w:tcW w:type="dxa" w:w="3642"/>
                  <w:tcBorders>
                    <w:top w:val="none" w:color="000000" w:sz="4"/>
                    <w:left w:val="none" w:color="000000" w:sz="4"/>
                    <w:bottom w:val="single" w:color="000000" w:sz="4"/>
                    <w:right w:val="single" w:color="000000" w:sz="4"/>
                  </w:tcBorders>
                  <w:vAlign w:val="top"/>
                </w:tcPr>
                <w:p>
                  <w:pPr>
                    <w:jc w:val="both"/>
                  </w:pPr>
                  <w:r>
                    <w:rPr>
                      <w:sz w:val="21"/>
                    </w:rPr>
                    <w:t>24</w:t>
                  </w:r>
                  <w:r>
                    <w:rPr>
                      <w:sz w:val="21"/>
                    </w:rPr>
                    <w:t>小时内做出简要书面报告；</w:t>
                  </w:r>
                </w:p>
                <w:p>
                  <w:pPr>
                    <w:jc w:val="both"/>
                  </w:pPr>
                  <w:r>
                    <w:rPr>
                      <w:sz w:val="21"/>
                    </w:rPr>
                    <w:t>4</w:t>
                  </w:r>
                  <w:r>
                    <w:rPr>
                      <w:sz w:val="21"/>
                    </w:rPr>
                    <w:t>工作日内完成书面故障专题报告。</w:t>
                  </w:r>
                </w:p>
              </w:tc>
            </w:tr>
            <w:tr>
              <w:tc>
                <w:tcPr>
                  <w:tcW w:type="dxa" w:w="1956"/>
                  <w:tcBorders>
                    <w:top w:val="none" w:color="000000" w:sz="4"/>
                    <w:left w:val="single" w:color="000000" w:sz="4"/>
                    <w:bottom w:val="single" w:color="000000" w:sz="4"/>
                    <w:right w:val="single" w:color="000000" w:sz="4"/>
                  </w:tcBorders>
                  <w:vAlign w:val="top"/>
                </w:tcPr>
                <w:p>
                  <w:pPr>
                    <w:jc w:val="both"/>
                  </w:pPr>
                  <w:r>
                    <w:rPr>
                      <w:sz w:val="21"/>
                    </w:rPr>
                    <w:t>三级（一般）故障</w:t>
                  </w:r>
                </w:p>
              </w:tc>
              <w:tc>
                <w:tcPr>
                  <w:tcW w:type="dxa" w:w="3642"/>
                  <w:tcBorders>
                    <w:top w:val="none" w:color="000000" w:sz="4"/>
                    <w:left w:val="none" w:color="000000" w:sz="4"/>
                    <w:bottom w:val="single" w:color="000000" w:sz="4"/>
                    <w:right w:val="single" w:color="000000" w:sz="4"/>
                  </w:tcBorders>
                  <w:vAlign w:val="top"/>
                </w:tcPr>
                <w:p>
                  <w:pPr>
                    <w:jc w:val="both"/>
                  </w:pPr>
                  <w:r>
                    <w:rPr>
                      <w:sz w:val="21"/>
                    </w:rPr>
                    <w:t>5</w:t>
                  </w:r>
                  <w:r>
                    <w:rPr>
                      <w:sz w:val="21"/>
                    </w:rPr>
                    <w:t>工作日内完成书面故障专题报告。</w:t>
                  </w:r>
                </w:p>
                <w:p>
                  <w:pPr>
                    <w:jc w:val="both"/>
                  </w:pPr>
                  <w:r>
                    <w:rPr>
                      <w:sz w:val="21"/>
                    </w:rPr>
                    <w:t>按需向客户提供故障报告</w:t>
                  </w:r>
                </w:p>
              </w:tc>
            </w:tr>
            <w:tr>
              <w:tc>
                <w:tcPr>
                  <w:tcW w:type="dxa" w:w="1956"/>
                  <w:tcBorders>
                    <w:top w:val="none" w:color="000000" w:sz="4"/>
                    <w:left w:val="single" w:color="000000" w:sz="4"/>
                    <w:bottom w:val="single" w:color="000000" w:sz="4"/>
                    <w:right w:val="single" w:color="000000" w:sz="4"/>
                  </w:tcBorders>
                  <w:vAlign w:val="top"/>
                </w:tcPr>
                <w:p>
                  <w:pPr>
                    <w:jc w:val="both"/>
                  </w:pPr>
                  <w:r>
                    <w:rPr>
                      <w:sz w:val="21"/>
                    </w:rPr>
                    <w:t>四级（轻微）故障</w:t>
                  </w:r>
                </w:p>
              </w:tc>
              <w:tc>
                <w:tcPr>
                  <w:tcW w:type="dxa" w:w="3642"/>
                  <w:tcBorders>
                    <w:top w:val="none" w:color="000000" w:sz="4"/>
                    <w:left w:val="none" w:color="000000" w:sz="4"/>
                    <w:bottom w:val="single" w:color="000000" w:sz="4"/>
                    <w:right w:val="single" w:color="000000" w:sz="4"/>
                  </w:tcBorders>
                  <w:vAlign w:val="top"/>
                </w:tcPr>
                <w:p>
                  <w:pPr>
                    <w:jc w:val="both"/>
                  </w:pPr>
                  <w:r>
                    <w:rPr>
                      <w:sz w:val="21"/>
                    </w:rPr>
                    <w:t>按需向</w:t>
                  </w:r>
                  <w:r>
                    <w:rPr>
                      <w:sz w:val="21"/>
                    </w:rPr>
                    <w:t>采购人</w:t>
                  </w:r>
                  <w:r>
                    <w:rPr>
                      <w:sz w:val="21"/>
                    </w:rPr>
                    <w:t>提供故障报告</w:t>
                  </w:r>
                </w:p>
              </w:tc>
            </w:tr>
          </w:tbl>
          <w:p>
            <w:pPr>
              <w:jc w:val="both"/>
            </w:pPr>
          </w:p>
          <w:p>
            <w:pPr>
              <w:jc w:val="both"/>
            </w:pPr>
            <w:r>
              <w:rPr>
                <w:sz w:val="21"/>
              </w:rPr>
              <w:t>2.1.1.2.1.7.</w:t>
            </w:r>
            <w:r>
              <w:rPr>
                <w:sz w:val="21"/>
              </w:rPr>
              <w:t>性能检测及调优</w:t>
            </w:r>
          </w:p>
          <w:p>
            <w:pPr>
              <w:ind w:firstLine="420"/>
              <w:jc w:val="both"/>
            </w:pPr>
            <w:r>
              <w:rPr>
                <w:sz w:val="21"/>
              </w:rPr>
              <w:t>对信息系统提供性能测试和调优服务，提供性能测试报告及系统性能优化建议，以便保证系统性能不断改进并运行在最佳状态。根据系统应用变化情况，进行数据分离、数据优化、代码适应性优化和系统运行环境优化，提高系统运行效率。</w:t>
            </w:r>
          </w:p>
          <w:p>
            <w:pPr>
              <w:jc w:val="both"/>
            </w:pPr>
            <w:r>
              <w:rPr>
                <w:sz w:val="21"/>
              </w:rPr>
              <w:t>2.1.1.2.1.8.</w:t>
            </w:r>
            <w:r>
              <w:rPr>
                <w:sz w:val="21"/>
              </w:rPr>
              <w:t>应用软件业务定制服务</w:t>
            </w:r>
          </w:p>
          <w:p>
            <w:pPr>
              <w:ind w:firstLine="420"/>
              <w:jc w:val="both"/>
            </w:pPr>
            <w:r>
              <w:rPr>
                <w:sz w:val="21"/>
              </w:rPr>
              <w:t>根据大脑业务需求对数字使能平台进行修正和系统功能完善。</w:t>
            </w:r>
          </w:p>
          <w:p>
            <w:pPr>
              <w:jc w:val="both"/>
            </w:pPr>
            <w:r>
              <w:rPr>
                <w:sz w:val="21"/>
              </w:rPr>
              <w:t>2.1.1.2.1.9.</w:t>
            </w:r>
            <w:r>
              <w:rPr>
                <w:sz w:val="21"/>
              </w:rPr>
              <w:t>配合硬件支撑平台调整应用</w:t>
            </w:r>
          </w:p>
          <w:p>
            <w:pPr>
              <w:ind w:firstLine="420"/>
              <w:jc w:val="both"/>
            </w:pPr>
            <w:r>
              <w:rPr>
                <w:sz w:val="21"/>
              </w:rPr>
              <w:t>配合硬件支撑平台的安全性、冗余性架构设计进行相应的配合调整。确保信息系统稳定运行在高性能、高冗余的硬件支撑平台上。</w:t>
            </w:r>
          </w:p>
          <w:p>
            <w:pPr>
              <w:jc w:val="both"/>
            </w:pPr>
            <w:r>
              <w:rPr>
                <w:sz w:val="21"/>
              </w:rPr>
              <w:t>2.1.1.2.1.10.</w:t>
            </w:r>
            <w:r>
              <w:rPr>
                <w:sz w:val="21"/>
              </w:rPr>
              <w:t>咨询服务</w:t>
            </w:r>
          </w:p>
          <w:p>
            <w:pPr>
              <w:ind w:firstLine="420"/>
              <w:jc w:val="both"/>
            </w:pPr>
            <w:r>
              <w:rPr>
                <w:sz w:val="21"/>
              </w:rPr>
              <w:t>要求</w:t>
            </w:r>
            <w:r>
              <w:rPr>
                <w:sz w:val="21"/>
              </w:rPr>
              <w:t>中标人</w:t>
            </w:r>
            <w:r>
              <w:rPr>
                <w:sz w:val="21"/>
              </w:rPr>
              <w:t>提供电话或现场技术咨询和技术支持服务。</w:t>
            </w:r>
          </w:p>
          <w:p>
            <w:pPr>
              <w:jc w:val="both"/>
            </w:pPr>
            <w:r>
              <w:rPr>
                <w:sz w:val="21"/>
              </w:rPr>
              <w:t>2.1.1.2.2.</w:t>
            </w:r>
            <w:r>
              <w:rPr>
                <w:sz w:val="21"/>
              </w:rPr>
              <w:t>统一身份认证平台日常服务</w:t>
            </w:r>
          </w:p>
          <w:p>
            <w:pPr>
              <w:ind w:firstLine="420"/>
              <w:jc w:val="both"/>
            </w:pPr>
            <w:r>
              <w:rPr>
                <w:sz w:val="21"/>
              </w:rPr>
              <w:t>（</w:t>
            </w:r>
            <w:r>
              <w:rPr>
                <w:sz w:val="21"/>
              </w:rPr>
              <w:t>1</w:t>
            </w:r>
            <w:r>
              <w:rPr>
                <w:sz w:val="21"/>
              </w:rPr>
              <w:t>）</w:t>
            </w:r>
            <w:r>
              <w:rPr>
                <w:sz w:val="21"/>
              </w:rPr>
              <w:t>平台分级管理员权限分配：对全市各单位根据权限的不同设置分级管理员权限，保证各级用户系统平台及时有效的运行。</w:t>
            </w:r>
          </w:p>
          <w:p>
            <w:pPr>
              <w:ind w:firstLine="420"/>
              <w:jc w:val="both"/>
            </w:pPr>
            <w:r>
              <w:rPr>
                <w:sz w:val="21"/>
              </w:rPr>
              <w:t>（</w:t>
            </w:r>
            <w:r>
              <w:rPr>
                <w:sz w:val="21"/>
              </w:rPr>
              <w:t>2</w:t>
            </w:r>
            <w:r>
              <w:rPr>
                <w:sz w:val="21"/>
              </w:rPr>
              <w:t>）</w:t>
            </w:r>
            <w:r>
              <w:rPr>
                <w:sz w:val="21"/>
              </w:rPr>
              <w:t>平台组织维护：对全市各单位组织机构的创建和更改调整，保证用户机构变更、部门变更后业务正常运行。</w:t>
            </w:r>
          </w:p>
          <w:p>
            <w:pPr>
              <w:ind w:firstLine="420"/>
              <w:jc w:val="both"/>
            </w:pPr>
            <w:r>
              <w:rPr>
                <w:sz w:val="21"/>
              </w:rPr>
              <w:t>（</w:t>
            </w:r>
            <w:r>
              <w:rPr>
                <w:sz w:val="21"/>
              </w:rPr>
              <w:t>3</w:t>
            </w:r>
            <w:r>
              <w:rPr>
                <w:sz w:val="21"/>
              </w:rPr>
              <w:t>）</w:t>
            </w:r>
            <w:r>
              <w:rPr>
                <w:sz w:val="21"/>
              </w:rPr>
              <w:t>平台用户维护</w:t>
            </w:r>
            <w:r>
              <w:rPr>
                <w:sz w:val="21"/>
              </w:rPr>
              <w:t>：</w:t>
            </w:r>
            <w:r>
              <w:rPr>
                <w:sz w:val="21"/>
              </w:rPr>
              <w:t>对全市的组织机构人员的变动进行实时调整，保证各部门人员的流动信息能及时得到更新，保证系统信息的准确性。</w:t>
            </w:r>
          </w:p>
          <w:p>
            <w:pPr>
              <w:ind w:firstLine="420"/>
              <w:jc w:val="both"/>
            </w:pPr>
            <w:r>
              <w:rPr>
                <w:sz w:val="21"/>
              </w:rPr>
              <w:t>（</w:t>
            </w:r>
            <w:r>
              <w:rPr>
                <w:sz w:val="21"/>
              </w:rPr>
              <w:t>4</w:t>
            </w:r>
            <w:r>
              <w:rPr>
                <w:sz w:val="21"/>
              </w:rPr>
              <w:t>）</w:t>
            </w:r>
            <w:r>
              <w:rPr>
                <w:sz w:val="21"/>
              </w:rPr>
              <w:t>平台用户修改密码：对全市各个平台里人员使用时的权限及密码的修改，保证用户对系统的正常使用。</w:t>
            </w:r>
          </w:p>
          <w:p>
            <w:pPr>
              <w:ind w:firstLine="420"/>
              <w:jc w:val="both"/>
            </w:pPr>
            <w:r>
              <w:rPr>
                <w:sz w:val="21"/>
              </w:rPr>
              <w:t>（</w:t>
            </w:r>
            <w:r>
              <w:rPr>
                <w:sz w:val="21"/>
              </w:rPr>
              <w:t>5</w:t>
            </w:r>
            <w:r>
              <w:rPr>
                <w:sz w:val="21"/>
              </w:rPr>
              <w:t>）</w:t>
            </w:r>
            <w:r>
              <w:rPr>
                <w:sz w:val="21"/>
              </w:rPr>
              <w:t>系统迁移管理：当平台内应用系统迁移或重装，对业务系统数据库和应用进行重新安装部署、恢复和配置，保证系统在较短时间内恢复运行。</w:t>
            </w:r>
          </w:p>
          <w:p>
            <w:pPr>
              <w:ind w:firstLine="420"/>
              <w:jc w:val="both"/>
            </w:pPr>
            <w:r>
              <w:rPr>
                <w:sz w:val="21"/>
              </w:rPr>
              <w:t>（</w:t>
            </w:r>
            <w:r>
              <w:rPr>
                <w:sz w:val="21"/>
              </w:rPr>
              <w:t>6</w:t>
            </w:r>
            <w:r>
              <w:rPr>
                <w:sz w:val="21"/>
              </w:rPr>
              <w:t>）</w:t>
            </w:r>
            <w:r>
              <w:rPr>
                <w:sz w:val="21"/>
              </w:rPr>
              <w:t>故障分析与诊断：在运行过程中，建立故障响应机制，并对故障进行分级管理。必要情况下咨询顾问或实施人员进行故障分析与诊断。系统管理员要做好故障记入，做好故障排除日志，定期总结并推广。</w:t>
            </w:r>
          </w:p>
          <w:p>
            <w:pPr>
              <w:ind w:firstLine="420"/>
              <w:jc w:val="both"/>
            </w:pPr>
            <w:r>
              <w:rPr>
                <w:sz w:val="21"/>
              </w:rPr>
              <w:t>（</w:t>
            </w:r>
            <w:r>
              <w:rPr>
                <w:sz w:val="21"/>
              </w:rPr>
              <w:t>7</w:t>
            </w:r>
            <w:r>
              <w:rPr>
                <w:sz w:val="21"/>
              </w:rPr>
              <w:t>）</w:t>
            </w:r>
            <w:r>
              <w:rPr>
                <w:sz w:val="21"/>
              </w:rPr>
              <w:t>备份与检查：备份与检查，是系统运维的重要工作。主要内容如下：数据库系统及数据库数据备份的完整性检查；备份可靠性检查；备份可恢复性检查；恢复时效评估；备份和恢复相关系统运行环境检查。</w:t>
            </w:r>
          </w:p>
          <w:p>
            <w:pPr>
              <w:ind w:firstLine="420"/>
              <w:jc w:val="both"/>
            </w:pPr>
            <w:r>
              <w:rPr>
                <w:sz w:val="21"/>
              </w:rPr>
              <w:t>（</w:t>
            </w:r>
            <w:r>
              <w:rPr>
                <w:sz w:val="21"/>
              </w:rPr>
              <w:t>8</w:t>
            </w:r>
            <w:r>
              <w:rPr>
                <w:sz w:val="21"/>
              </w:rPr>
              <w:t>）</w:t>
            </w:r>
            <w:r>
              <w:rPr>
                <w:sz w:val="21"/>
              </w:rPr>
              <w:t>健康检查：系统配置检查。系统管理员对所负责的系统的各项配置进行检查，针对不合理配置项提出调整建议，杜绝因配置不当造成的系统宕机及数据丢失风险。系统日志检查。系统管理员应对所负责的系统日常运行日志进行检查，并分析错误信息。根据检查结果，对日志文件中出现的错误信息进行产生原因诊断，并给出进一步排查方向；对日志文件中系统级别错误和隐患，应在检查报告中重点列出。系统性能检查。系统管理员应对所负责的系统性能数据检查，并分析潜在的系统瓶颈和可能降低系统性能的因素，提供合理化建议，为系统的高效运行提供协助。检查内容包括系统参数状况检查、系统物理分布状况检查、系统逻辑分布状况检查、系统资源消耗状况检查等。</w:t>
            </w:r>
          </w:p>
          <w:p>
            <w:pPr>
              <w:ind w:firstLine="420"/>
              <w:jc w:val="both"/>
            </w:pPr>
            <w:r>
              <w:rPr>
                <w:sz w:val="21"/>
              </w:rPr>
              <w:t>（</w:t>
            </w:r>
            <w:r>
              <w:rPr>
                <w:sz w:val="21"/>
              </w:rPr>
              <w:t>9</w:t>
            </w:r>
            <w:r>
              <w:rPr>
                <w:sz w:val="21"/>
              </w:rPr>
              <w:t>）</w:t>
            </w:r>
            <w:r>
              <w:rPr>
                <w:sz w:val="21"/>
              </w:rPr>
              <w:t>突发问题诊断与修复，业务场景分析与诊断：系统出现突发性问题，现场技术人员及远程技术人员共同诊断，尽快给用户修复系统，保证系统的正常运行。</w:t>
            </w:r>
          </w:p>
          <w:p>
            <w:pPr>
              <w:ind w:firstLine="420"/>
              <w:jc w:val="both"/>
            </w:pPr>
            <w:r>
              <w:rPr>
                <w:sz w:val="21"/>
              </w:rPr>
              <w:t>（</w:t>
            </w:r>
            <w:r>
              <w:rPr>
                <w:sz w:val="21"/>
              </w:rPr>
              <w:t>10</w:t>
            </w:r>
            <w:r>
              <w:rPr>
                <w:sz w:val="21"/>
              </w:rPr>
              <w:t>）</w:t>
            </w:r>
            <w:r>
              <w:rPr>
                <w:sz w:val="21"/>
              </w:rPr>
              <w:t>日常运维问题协助解答：指导用户进行系统使用，解答用户在使用过程中出现的问题，对于出现的系统问题进行及时跟踪解决。</w:t>
            </w:r>
          </w:p>
          <w:p>
            <w:pPr>
              <w:jc w:val="both"/>
            </w:pPr>
            <w:r>
              <w:rPr>
                <w:sz w:val="21"/>
              </w:rPr>
              <w:t>2.1.1.2.3.</w:t>
            </w:r>
            <w:r>
              <w:rPr>
                <w:sz w:val="21"/>
              </w:rPr>
              <w:t>地理空间一张图日常服务</w:t>
            </w:r>
          </w:p>
          <w:p>
            <w:pPr>
              <w:ind w:firstLine="420"/>
              <w:jc w:val="both"/>
            </w:pPr>
            <w:r>
              <w:rPr>
                <w:sz w:val="21"/>
              </w:rPr>
              <w:t>（</w:t>
            </w:r>
            <w:r>
              <w:rPr>
                <w:sz w:val="21"/>
              </w:rPr>
              <w:t>1</w:t>
            </w:r>
            <w:r>
              <w:rPr>
                <w:sz w:val="21"/>
              </w:rPr>
              <w:t>）</w:t>
            </w:r>
            <w:r>
              <w:rPr>
                <w:sz w:val="21"/>
              </w:rPr>
              <w:t>数据更新维护</w:t>
            </w:r>
          </w:p>
          <w:p>
            <w:pPr>
              <w:ind w:firstLine="420"/>
              <w:jc w:val="both"/>
            </w:pPr>
            <w:r>
              <w:rPr>
                <w:sz w:val="21"/>
              </w:rPr>
              <w:t>建立数据更新维护机制，需提供二三维空间数据服务、地名地址数据服务、全文检索服务以及各类服务的更新维护服务，按照</w:t>
            </w:r>
            <w:r>
              <w:rPr>
                <w:sz w:val="21"/>
              </w:rPr>
              <w:t>采购人</w:t>
            </w:r>
            <w:r>
              <w:rPr>
                <w:sz w:val="21"/>
              </w:rPr>
              <w:t>要求定期提供数据更新服务。</w:t>
            </w:r>
          </w:p>
          <w:p>
            <w:pPr>
              <w:ind w:firstLine="420"/>
              <w:jc w:val="both"/>
            </w:pPr>
            <w:r>
              <w:rPr>
                <w:sz w:val="21"/>
              </w:rPr>
              <w:t>对时空数据（包括基础空间数据、业务专题数据、空间规划数据）进行数据更新，包括统一时空基准、数据检查入库、地图配图及数据轻量化处理与服务发布。</w:t>
            </w:r>
          </w:p>
          <w:p>
            <w:pPr>
              <w:ind w:firstLine="420"/>
              <w:jc w:val="both"/>
            </w:pPr>
            <w:r>
              <w:rPr>
                <w:sz w:val="21"/>
              </w:rPr>
              <w:t>（</w:t>
            </w:r>
            <w:r>
              <w:rPr>
                <w:sz w:val="21"/>
              </w:rPr>
              <w:t>2</w:t>
            </w:r>
            <w:r>
              <w:rPr>
                <w:sz w:val="21"/>
              </w:rPr>
              <w:t>）</w:t>
            </w:r>
            <w:r>
              <w:rPr>
                <w:sz w:val="21"/>
              </w:rPr>
              <w:t>地图制作服务</w:t>
            </w:r>
          </w:p>
          <w:p>
            <w:pPr>
              <w:ind w:firstLine="420"/>
              <w:jc w:val="both"/>
            </w:pPr>
            <w:r>
              <w:rPr>
                <w:sz w:val="21"/>
              </w:rPr>
              <w:t>提供地图制作服务，要求要充分跟用户单位沟通地图需求和显示风格，根据要求提供配色、切图、发布服务，根据要求整改相关字体和地图配图等。提供技术支撑，协助对方系统测试。</w:t>
            </w:r>
          </w:p>
          <w:p>
            <w:pPr>
              <w:ind w:firstLine="420"/>
              <w:jc w:val="both"/>
            </w:pPr>
            <w:r>
              <w:rPr>
                <w:sz w:val="21"/>
              </w:rPr>
              <w:t>（</w:t>
            </w:r>
            <w:r>
              <w:rPr>
                <w:sz w:val="21"/>
              </w:rPr>
              <w:t>3</w:t>
            </w:r>
            <w:r>
              <w:rPr>
                <w:sz w:val="21"/>
              </w:rPr>
              <w:t>）</w:t>
            </w:r>
            <w:r>
              <w:rPr>
                <w:sz w:val="21"/>
              </w:rPr>
              <w:t>地图更新服务</w:t>
            </w:r>
          </w:p>
          <w:p>
            <w:pPr>
              <w:ind w:firstLine="420"/>
              <w:jc w:val="both"/>
            </w:pPr>
            <w:r>
              <w:rPr>
                <w:sz w:val="21"/>
              </w:rPr>
              <w:t>及时根据</w:t>
            </w:r>
            <w:r>
              <w:rPr>
                <w:sz w:val="21"/>
              </w:rPr>
              <w:t>采购人</w:t>
            </w:r>
            <w:r>
              <w:rPr>
                <w:sz w:val="21"/>
              </w:rPr>
              <w:t>和用户单位提供的数据，更新地图并上传一张图平台。</w:t>
            </w:r>
          </w:p>
          <w:p>
            <w:pPr>
              <w:ind w:firstLine="420"/>
              <w:jc w:val="both"/>
            </w:pPr>
            <w:r>
              <w:rPr>
                <w:sz w:val="21"/>
              </w:rPr>
              <w:t>中标人</w:t>
            </w:r>
            <w:r>
              <w:rPr>
                <w:sz w:val="21"/>
              </w:rPr>
              <w:t>若发现有外界因素（如行政区划调整、镇街名称改变等事件）导致一张图平台原有的地图资料发生改变时，应及时主动对地图进行更新。</w:t>
            </w:r>
          </w:p>
          <w:p>
            <w:pPr>
              <w:jc w:val="both"/>
            </w:pPr>
            <w:r>
              <w:rPr>
                <w:sz w:val="21"/>
              </w:rPr>
              <w:t>2.1.1.2.4.</w:t>
            </w:r>
            <w:r>
              <w:rPr>
                <w:sz w:val="21"/>
              </w:rPr>
              <w:t>融合通信平台硬件设备维护要求</w:t>
            </w:r>
          </w:p>
          <w:p>
            <w:pPr>
              <w:ind w:firstLine="420"/>
              <w:jc w:val="both"/>
            </w:pPr>
            <w:r>
              <w:rPr>
                <w:sz w:val="21"/>
              </w:rPr>
              <w:t>融合通信运维服务，主要解决</w:t>
            </w:r>
            <w:r>
              <w:rPr>
                <w:sz w:val="21"/>
              </w:rPr>
              <w:t>采购人</w:t>
            </w:r>
            <w:r>
              <w:rPr>
                <w:sz w:val="21"/>
              </w:rPr>
              <w:t>在日常使用中对融合通信产品（</w:t>
            </w:r>
            <w:r>
              <w:rPr>
                <w:sz w:val="21"/>
              </w:rPr>
              <w:t>CloudICP</w:t>
            </w:r>
            <w:r>
              <w:rPr>
                <w:sz w:val="21"/>
              </w:rPr>
              <w:t>与</w:t>
            </w:r>
            <w:r>
              <w:rPr>
                <w:sz w:val="21"/>
              </w:rPr>
              <w:t>CloudVC</w:t>
            </w:r>
            <w:r>
              <w:rPr>
                <w:sz w:val="21"/>
              </w:rPr>
              <w:t>）的使用咨询，对日常运行过程中遇到的问题支撑解决，及时处理系统产生的告警，保障系统稳定运行。融合通信运维服务主要包括以下内容：</w:t>
            </w:r>
          </w:p>
          <w:p>
            <w:pPr>
              <w:jc w:val="both"/>
            </w:pPr>
            <w:r>
              <w:rPr>
                <w:sz w:val="21"/>
              </w:rPr>
              <w:t>日常巡检：对</w:t>
            </w:r>
            <w:r>
              <w:rPr>
                <w:sz w:val="21"/>
              </w:rPr>
              <w:t>VIP</w:t>
            </w:r>
            <w:r>
              <w:rPr>
                <w:sz w:val="21"/>
              </w:rPr>
              <w:t>站点、核心机房进行近端检查，对融合通信网络进行在线检查，输出《融合通信产品健康巡检报告》，</w:t>
            </w:r>
            <w:r>
              <w:rPr>
                <w:sz w:val="21"/>
              </w:rPr>
              <w:t>1</w:t>
            </w:r>
            <w:r>
              <w:rPr>
                <w:sz w:val="21"/>
              </w:rPr>
              <w:t>次</w:t>
            </w:r>
            <w:r>
              <w:rPr>
                <w:sz w:val="21"/>
              </w:rPr>
              <w:t>/</w:t>
            </w:r>
            <w:r>
              <w:rPr>
                <w:sz w:val="21"/>
              </w:rPr>
              <w:t>周</w:t>
            </w:r>
            <w:r>
              <w:rPr>
                <w:sz w:val="21"/>
              </w:rPr>
              <w:t>；</w:t>
            </w:r>
          </w:p>
          <w:p>
            <w:pPr>
              <w:ind w:firstLine="420"/>
              <w:jc w:val="both"/>
            </w:pPr>
            <w:r>
              <w:rPr>
                <w:sz w:val="21"/>
              </w:rPr>
              <w:t>产品知识支持：</w:t>
            </w:r>
            <w:r>
              <w:rPr>
                <w:sz w:val="21"/>
              </w:rPr>
              <w:t>采购人</w:t>
            </w:r>
            <w:r>
              <w:rPr>
                <w:sz w:val="21"/>
              </w:rPr>
              <w:t>在使用融合通信时，可以参考产品文档中的操作手册，在</w:t>
            </w:r>
            <w:r>
              <w:rPr>
                <w:sz w:val="21"/>
              </w:rPr>
              <w:t>采购人</w:t>
            </w:r>
            <w:r>
              <w:rPr>
                <w:sz w:val="21"/>
              </w:rPr>
              <w:t>遇到问题时，提供咨询解答服务；</w:t>
            </w:r>
          </w:p>
          <w:p>
            <w:pPr>
              <w:ind w:firstLine="420"/>
              <w:jc w:val="both"/>
            </w:pPr>
            <w:r>
              <w:rPr>
                <w:sz w:val="21"/>
              </w:rPr>
              <w:t>问题处理：在融合通信产品日常运行过程中，遇到产品基本功能无法正常运行或者运行出错，给予支撑解决，保障产品正常稳定运行；</w:t>
            </w:r>
            <w:r>
              <w:rPr>
                <w:sz w:val="21"/>
              </w:rPr>
              <w:t>中标人</w:t>
            </w:r>
            <w:r>
              <w:rPr>
                <w:sz w:val="21"/>
              </w:rPr>
              <w:t>在接到</w:t>
            </w:r>
            <w:r>
              <w:rPr>
                <w:sz w:val="21"/>
              </w:rPr>
              <w:t>采购人</w:t>
            </w:r>
            <w:r>
              <w:rPr>
                <w:sz w:val="21"/>
              </w:rPr>
              <w:t>的故障通知后</w:t>
            </w:r>
            <w:r>
              <w:rPr>
                <w:sz w:val="21"/>
              </w:rPr>
              <w:t>1</w:t>
            </w:r>
            <w:r>
              <w:rPr>
                <w:sz w:val="21"/>
              </w:rPr>
              <w:t>小时内响应，</w:t>
            </w:r>
            <w:r>
              <w:rPr>
                <w:sz w:val="21"/>
              </w:rPr>
              <w:t>2</w:t>
            </w:r>
            <w:r>
              <w:rPr>
                <w:sz w:val="21"/>
              </w:rPr>
              <w:t>小时内到达现场，</w:t>
            </w:r>
            <w:r>
              <w:rPr>
                <w:sz w:val="21"/>
              </w:rPr>
              <w:t>4</w:t>
            </w:r>
            <w:r>
              <w:rPr>
                <w:sz w:val="21"/>
              </w:rPr>
              <w:t>小时内处理完毕。若在</w:t>
            </w:r>
            <w:r>
              <w:rPr>
                <w:sz w:val="21"/>
              </w:rPr>
              <w:t>8</w:t>
            </w:r>
            <w:r>
              <w:rPr>
                <w:sz w:val="21"/>
              </w:rPr>
              <w:t>小</w:t>
            </w:r>
            <w:r>
              <w:rPr>
                <w:sz w:val="21"/>
              </w:rPr>
              <w:t>时内仍未能有效解决，</w:t>
            </w:r>
            <w:r>
              <w:rPr>
                <w:sz w:val="21"/>
              </w:rPr>
              <w:t>中标人</w:t>
            </w:r>
            <w:r>
              <w:rPr>
                <w:sz w:val="21"/>
              </w:rPr>
              <w:t>须提供同档次的设备予</w:t>
            </w:r>
            <w:r>
              <w:rPr>
                <w:sz w:val="21"/>
              </w:rPr>
              <w:t>采购人</w:t>
            </w:r>
            <w:r>
              <w:rPr>
                <w:sz w:val="21"/>
              </w:rPr>
              <w:t>临时使用（费用包含在</w:t>
            </w:r>
            <w:r>
              <w:rPr>
                <w:sz w:val="21"/>
              </w:rPr>
              <w:t>本</w:t>
            </w:r>
            <w:r>
              <w:rPr>
                <w:sz w:val="21"/>
              </w:rPr>
              <w:t>项目内）。</w:t>
            </w:r>
          </w:p>
          <w:p>
            <w:pPr>
              <w:ind w:firstLine="420"/>
              <w:jc w:val="both"/>
            </w:pPr>
            <w:r>
              <w:rPr>
                <w:sz w:val="21"/>
              </w:rPr>
              <w:t>告警监控及处理：针对系统产生的告警进行及时处理解决，避免长时间未处理告警引起系统问题，确保系统正常运行；</w:t>
            </w:r>
          </w:p>
          <w:p>
            <w:pPr>
              <w:jc w:val="both"/>
            </w:pPr>
            <w:r>
              <w:rPr>
                <w:sz w:val="21"/>
              </w:rPr>
              <w:t>坏件返修接口：驻场工程师作为坏件的返修接口人，协助</w:t>
            </w:r>
            <w:r>
              <w:rPr>
                <w:sz w:val="21"/>
              </w:rPr>
              <w:t>采购人</w:t>
            </w:r>
            <w:r>
              <w:rPr>
                <w:sz w:val="21"/>
              </w:rPr>
              <w:t>进行质保期内坏件返修，并进行实时跟踪记录；</w:t>
            </w:r>
          </w:p>
          <w:p>
            <w:pPr>
              <w:jc w:val="both"/>
            </w:pPr>
            <w:r>
              <w:rPr>
                <w:sz w:val="21"/>
              </w:rPr>
              <w:t>2.1.1.2.5.</w:t>
            </w:r>
            <w:r>
              <w:rPr>
                <w:sz w:val="21"/>
              </w:rPr>
              <w:t>视频网闸维护要求</w:t>
            </w:r>
          </w:p>
          <w:p>
            <w:pPr>
              <w:ind w:firstLine="420"/>
              <w:jc w:val="both"/>
            </w:pPr>
            <w:r>
              <w:rPr>
                <w:sz w:val="21"/>
              </w:rPr>
              <w:t>提供原厂级别维护服务。</w:t>
            </w:r>
          </w:p>
          <w:p>
            <w:pPr>
              <w:ind w:firstLine="420"/>
              <w:jc w:val="both"/>
            </w:pPr>
            <w:r>
              <w:rPr>
                <w:sz w:val="21"/>
              </w:rPr>
              <w:t>（</w:t>
            </w:r>
            <w:r>
              <w:rPr>
                <w:sz w:val="21"/>
              </w:rPr>
              <w:t>1</w:t>
            </w:r>
            <w:r>
              <w:rPr>
                <w:sz w:val="21"/>
              </w:rPr>
              <w:t>）日常故障维修</w:t>
            </w:r>
          </w:p>
          <w:p>
            <w:pPr>
              <w:ind w:firstLine="420"/>
              <w:jc w:val="both"/>
            </w:pPr>
            <w:r>
              <w:rPr>
                <w:sz w:val="21"/>
              </w:rPr>
              <w:t>在设备发生故障时，在规定的响应时间内保质保量地排除故障或更换备件；</w:t>
            </w:r>
          </w:p>
          <w:p>
            <w:pPr>
              <w:ind w:firstLine="420"/>
              <w:jc w:val="both"/>
            </w:pPr>
            <w:r>
              <w:rPr>
                <w:sz w:val="21"/>
              </w:rPr>
              <w:t>（</w:t>
            </w:r>
            <w:r>
              <w:rPr>
                <w:sz w:val="21"/>
              </w:rPr>
              <w:t>2</w:t>
            </w:r>
            <w:r>
              <w:rPr>
                <w:sz w:val="21"/>
              </w:rPr>
              <w:t>）服务咨询</w:t>
            </w:r>
          </w:p>
          <w:p>
            <w:pPr>
              <w:ind w:firstLine="420"/>
              <w:jc w:val="both"/>
            </w:pPr>
            <w:r>
              <w:rPr>
                <w:sz w:val="21"/>
              </w:rPr>
              <w:t>中标人</w:t>
            </w:r>
            <w:r>
              <w:rPr>
                <w:sz w:val="21"/>
              </w:rPr>
              <w:t>提供的咨询服务及服务电话，便</w:t>
            </w:r>
            <w:r>
              <w:rPr>
                <w:sz w:val="21"/>
              </w:rPr>
              <w:t>于上报故障、提供技术咨询、服务投诉等（更换费用包含在</w:t>
            </w:r>
            <w:r>
              <w:rPr>
                <w:sz w:val="21"/>
              </w:rPr>
              <w:t>本</w:t>
            </w:r>
            <w:r>
              <w:rPr>
                <w:sz w:val="21"/>
              </w:rPr>
              <w:t>项目内）。</w:t>
            </w:r>
          </w:p>
          <w:p>
            <w:pPr>
              <w:ind w:firstLine="420"/>
              <w:jc w:val="both"/>
            </w:pPr>
            <w:r>
              <w:rPr>
                <w:sz w:val="21"/>
              </w:rPr>
              <w:t>（</w:t>
            </w:r>
            <w:r>
              <w:rPr>
                <w:sz w:val="21"/>
              </w:rPr>
              <w:t>3</w:t>
            </w:r>
            <w:r>
              <w:rPr>
                <w:sz w:val="21"/>
              </w:rPr>
              <w:t>）巡检保养</w:t>
            </w:r>
          </w:p>
          <w:p>
            <w:pPr>
              <w:ind w:firstLine="420"/>
              <w:jc w:val="both"/>
            </w:pPr>
            <w:r>
              <w:rPr>
                <w:sz w:val="21"/>
              </w:rPr>
              <w:t>每季度对所列网闸设备进行一次全面检查和保养性维护，包括设备除尘、性能调优、故障隐患排除等，并填写设备养护记录表，确保所有设备及系统工作正常。</w:t>
            </w:r>
            <w:r>
              <w:rPr>
                <w:sz w:val="21"/>
              </w:rPr>
              <w:t>巡检</w:t>
            </w:r>
            <w:r>
              <w:rPr>
                <w:sz w:val="21"/>
              </w:rPr>
              <w:t>日志</w:t>
            </w:r>
            <w:r>
              <w:rPr>
                <w:sz w:val="21"/>
              </w:rPr>
              <w:t>需要</w:t>
            </w:r>
            <w:r>
              <w:rPr>
                <w:sz w:val="21"/>
              </w:rPr>
              <w:t>当</w:t>
            </w:r>
            <w:r>
              <w:rPr>
                <w:sz w:val="21"/>
              </w:rPr>
              <w:t>季</w:t>
            </w:r>
            <w:r>
              <w:rPr>
                <w:sz w:val="21"/>
              </w:rPr>
              <w:t>季</w:t>
            </w:r>
            <w:r>
              <w:rPr>
                <w:sz w:val="21"/>
              </w:rPr>
              <w:t>报</w:t>
            </w:r>
            <w:r>
              <w:rPr>
                <w:sz w:val="21"/>
              </w:rPr>
              <w:t>中</w:t>
            </w:r>
            <w:r>
              <w:rPr>
                <w:sz w:val="21"/>
              </w:rPr>
              <w:t>体现</w:t>
            </w:r>
            <w:r>
              <w:rPr>
                <w:sz w:val="21"/>
              </w:rPr>
              <w:t>。</w:t>
            </w:r>
          </w:p>
          <w:p>
            <w:pPr>
              <w:ind w:firstLine="420"/>
              <w:jc w:val="both"/>
            </w:pPr>
            <w:r>
              <w:rPr>
                <w:sz w:val="21"/>
              </w:rPr>
              <w:t>（</w:t>
            </w:r>
            <w:r>
              <w:rPr>
                <w:sz w:val="21"/>
              </w:rPr>
              <w:t>4</w:t>
            </w:r>
            <w:r>
              <w:rPr>
                <w:sz w:val="21"/>
              </w:rPr>
              <w:t>）故障修复</w:t>
            </w:r>
          </w:p>
          <w:p>
            <w:pPr>
              <w:ind w:firstLine="420"/>
              <w:jc w:val="both"/>
            </w:pPr>
            <w:r>
              <w:rPr>
                <w:sz w:val="21"/>
              </w:rPr>
              <w:t>建立备件库，储存足够的备件，一旦发生无法修复的部件故障，在故障发生后</w:t>
            </w:r>
            <w:r>
              <w:rPr>
                <w:sz w:val="21"/>
              </w:rPr>
              <w:t>4</w:t>
            </w:r>
            <w:r>
              <w:rPr>
                <w:sz w:val="21"/>
              </w:rPr>
              <w:t>小时内及时更换备件。备件存放在备件库时，备件产权属于</w:t>
            </w:r>
            <w:r>
              <w:rPr>
                <w:sz w:val="21"/>
              </w:rPr>
              <w:t>中标人</w:t>
            </w:r>
            <w:r>
              <w:rPr>
                <w:sz w:val="21"/>
              </w:rPr>
              <w:t>，一旦发生无法修复的部件故障，需要更换备件时，备件产权属于</w:t>
            </w:r>
            <w:r>
              <w:rPr>
                <w:sz w:val="21"/>
              </w:rPr>
              <w:t>采购人</w:t>
            </w:r>
            <w:r>
              <w:rPr>
                <w:sz w:val="21"/>
              </w:rPr>
              <w:t>，</w:t>
            </w:r>
            <w:r>
              <w:rPr>
                <w:sz w:val="21"/>
              </w:rPr>
              <w:t>中标人</w:t>
            </w:r>
            <w:r>
              <w:rPr>
                <w:sz w:val="21"/>
              </w:rPr>
              <w:t>对备件和维修的质量和售后服务负责。</w:t>
            </w:r>
          </w:p>
          <w:p>
            <w:pPr>
              <w:jc w:val="both"/>
            </w:pPr>
            <w:r>
              <w:rPr>
                <w:sz w:val="21"/>
              </w:rPr>
              <w:t>2.1.1.2.6.</w:t>
            </w:r>
            <w:r>
              <w:rPr>
                <w:sz w:val="21"/>
              </w:rPr>
              <w:t>中屏维护要求</w:t>
            </w:r>
          </w:p>
          <w:p>
            <w:pPr>
              <w:ind w:firstLine="420"/>
              <w:jc w:val="both"/>
            </w:pPr>
            <w:r>
              <w:rPr>
                <w:sz w:val="21"/>
              </w:rPr>
              <w:t>日常巡检：每季度进行一次系统的例行巡检。（涵盖</w:t>
            </w:r>
            <w:r>
              <w:rPr>
                <w:sz w:val="21"/>
              </w:rPr>
              <w:t>:</w:t>
            </w:r>
            <w:r>
              <w:rPr>
                <w:sz w:val="21"/>
              </w:rPr>
              <w:t>机芯维护；接口维护；扩展板维护；处理器及相关控制系统维护。）</w:t>
            </w:r>
            <w:r>
              <w:rPr>
                <w:sz w:val="21"/>
              </w:rPr>
              <w:t>巡检日志需要当</w:t>
            </w:r>
            <w:r>
              <w:rPr>
                <w:sz w:val="21"/>
              </w:rPr>
              <w:t>季</w:t>
            </w:r>
            <w:r>
              <w:rPr>
                <w:sz w:val="21"/>
              </w:rPr>
              <w:t>季</w:t>
            </w:r>
            <w:r>
              <w:rPr>
                <w:sz w:val="21"/>
              </w:rPr>
              <w:t>报中体现。</w:t>
            </w:r>
          </w:p>
          <w:p>
            <w:pPr>
              <w:ind w:firstLine="420"/>
              <w:jc w:val="both"/>
            </w:pPr>
            <w:r>
              <w:rPr>
                <w:sz w:val="21"/>
              </w:rPr>
              <w:t>1.</w:t>
            </w:r>
            <w:r>
              <w:rPr>
                <w:sz w:val="21"/>
              </w:rPr>
              <w:t>检查设备状态和运行情况；</w:t>
            </w:r>
          </w:p>
          <w:p>
            <w:pPr>
              <w:ind w:firstLine="420"/>
              <w:jc w:val="both"/>
            </w:pPr>
            <w:r>
              <w:rPr>
                <w:sz w:val="21"/>
              </w:rPr>
              <w:t>2.</w:t>
            </w:r>
            <w:r>
              <w:rPr>
                <w:sz w:val="21"/>
              </w:rPr>
              <w:t>进行清洁除尘处理；</w:t>
            </w:r>
          </w:p>
          <w:p>
            <w:pPr>
              <w:ind w:firstLine="420"/>
              <w:jc w:val="both"/>
            </w:pPr>
            <w:r>
              <w:rPr>
                <w:sz w:val="21"/>
              </w:rPr>
              <w:t>3.</w:t>
            </w:r>
            <w:r>
              <w:rPr>
                <w:sz w:val="21"/>
              </w:rPr>
              <w:t>进行系统备份、调试和数据备份；</w:t>
            </w:r>
          </w:p>
          <w:p>
            <w:pPr>
              <w:ind w:firstLine="420"/>
              <w:jc w:val="both"/>
            </w:pPr>
            <w:r>
              <w:rPr>
                <w:sz w:val="21"/>
              </w:rPr>
              <w:t>4.</w:t>
            </w:r>
            <w:r>
              <w:rPr>
                <w:sz w:val="21"/>
              </w:rPr>
              <w:t>调整全屏的机械位置、亮度和颜色；</w:t>
            </w:r>
          </w:p>
          <w:p>
            <w:pPr>
              <w:ind w:firstLine="420"/>
              <w:jc w:val="both"/>
            </w:pPr>
            <w:r>
              <w:rPr>
                <w:sz w:val="21"/>
              </w:rPr>
              <w:t>5.</w:t>
            </w:r>
            <w:r>
              <w:rPr>
                <w:sz w:val="21"/>
              </w:rPr>
              <w:t>解答客户使用中的常见问题，对操作人员进行专业培训。</w:t>
            </w:r>
          </w:p>
          <w:p>
            <w:pPr>
              <w:ind w:firstLine="420"/>
              <w:jc w:val="both"/>
            </w:pPr>
            <w:r>
              <w:rPr>
                <w:sz w:val="21"/>
              </w:rPr>
              <w:t>6.</w:t>
            </w:r>
            <w:r>
              <w:rPr>
                <w:sz w:val="21"/>
              </w:rPr>
              <w:t>提供</w:t>
            </w:r>
            <w:r>
              <w:rPr>
                <w:sz w:val="21"/>
              </w:rPr>
              <w:t>24</w:t>
            </w:r>
            <w:r>
              <w:rPr>
                <w:sz w:val="21"/>
              </w:rPr>
              <w:t>小时热线电话，当中屏不能正常工作，出现故障时，在接到电话后立即响应，在最短时间内提出解决故障的办法和时间，如确认硬件损坏必要时携带相应的配件到现场进行处理，及时地恢复系统的正常运行：</w:t>
            </w:r>
          </w:p>
          <w:p>
            <w:pPr>
              <w:ind w:firstLine="420"/>
              <w:jc w:val="both"/>
            </w:pPr>
            <w:r>
              <w:rPr>
                <w:sz w:val="21"/>
              </w:rPr>
              <w:t>7.</w:t>
            </w:r>
            <w:r>
              <w:rPr>
                <w:sz w:val="21"/>
              </w:rPr>
              <w:t>重要活动保障</w:t>
            </w:r>
          </w:p>
          <w:p>
            <w:pPr>
              <w:ind w:firstLine="420"/>
              <w:jc w:val="both"/>
            </w:pPr>
            <w:r>
              <w:rPr>
                <w:sz w:val="21"/>
              </w:rPr>
              <w:t>在遇有重要活动保障时，在提前预约的情况下，可安排有经验的工程师到达现场，在活动过程中</w:t>
            </w:r>
            <w:r>
              <w:rPr>
                <w:sz w:val="21"/>
              </w:rPr>
              <w:t>做</w:t>
            </w:r>
            <w:r>
              <w:rPr>
                <w:sz w:val="21"/>
              </w:rPr>
              <w:t>专业技术保障，保证系统设备的功能正常、性能优良。</w:t>
            </w:r>
          </w:p>
          <w:p>
            <w:pPr>
              <w:ind w:firstLine="420"/>
              <w:jc w:val="both"/>
            </w:pPr>
            <w:r>
              <w:rPr>
                <w:sz w:val="21"/>
              </w:rPr>
              <w:t>8.</w:t>
            </w:r>
            <w:r>
              <w:rPr>
                <w:sz w:val="21"/>
              </w:rPr>
              <w:t>设备精密维护</w:t>
            </w:r>
          </w:p>
          <w:p>
            <w:pPr>
              <w:ind w:firstLine="420"/>
              <w:jc w:val="both"/>
            </w:pPr>
            <w:r>
              <w:rPr>
                <w:sz w:val="21"/>
              </w:rPr>
              <w:t>在运维时间内，提供不少于三次屏幕精密技术维护服务：主要是进行专业精密技术调整、清洁、光学校准和保养及更换光机内部的磨损部件等服务，降低中屏显示故障率、保证中屏高效率有效运行。</w:t>
            </w:r>
          </w:p>
          <w:p>
            <w:pPr>
              <w:ind w:firstLine="420"/>
              <w:jc w:val="both"/>
            </w:pPr>
            <w:r>
              <w:rPr>
                <w:sz w:val="21"/>
              </w:rPr>
              <w:t>9.</w:t>
            </w:r>
            <w:r>
              <w:rPr>
                <w:sz w:val="21"/>
              </w:rPr>
              <w:t>对于维修时间超过</w:t>
            </w:r>
            <w:r>
              <w:rPr>
                <w:sz w:val="21"/>
              </w:rPr>
              <w:t>4</w:t>
            </w:r>
            <w:r>
              <w:rPr>
                <w:sz w:val="21"/>
              </w:rPr>
              <w:t>小时的故障，应提供备机服务，以保证用户工作得以正常开展。</w:t>
            </w:r>
          </w:p>
          <w:p>
            <w:pPr>
              <w:jc w:val="both"/>
            </w:pPr>
            <w:r>
              <w:rPr>
                <w:sz w:val="21"/>
              </w:rPr>
              <w:t>2.1.2.</w:t>
            </w:r>
            <w:r>
              <w:rPr>
                <w:sz w:val="21"/>
              </w:rPr>
              <w:t>智慧应用维护</w:t>
            </w:r>
          </w:p>
          <w:p>
            <w:pPr>
              <w:jc w:val="both"/>
            </w:pPr>
            <w:r>
              <w:rPr>
                <w:sz w:val="21"/>
              </w:rPr>
              <w:t>2.1.2.1.</w:t>
            </w:r>
            <w:r>
              <w:rPr>
                <w:sz w:val="21"/>
              </w:rPr>
              <w:t>服务范围</w:t>
            </w:r>
          </w:p>
          <w:p>
            <w:pPr>
              <w:ind w:firstLine="420"/>
              <w:jc w:val="both"/>
            </w:pPr>
            <w:r>
              <w:rPr>
                <w:sz w:val="21"/>
              </w:rPr>
              <w:t>本项目所称应用平台包括中山市综合网格调度指挥平台和中山市人才云管理平台。</w:t>
            </w:r>
          </w:p>
          <w:tbl>
            <w:tblPr>
              <w:tblInd w:type="dxa" w:w="120"/>
              <w:tblBorders>
                <w:top w:val="none" w:color="000000" w:sz="4"/>
                <w:left w:val="none" w:color="000000" w:sz="4"/>
                <w:bottom w:val="none" w:color="000000" w:sz="4"/>
                <w:right w:val="none" w:color="000000" w:sz="4"/>
                <w:insideH w:val="none"/>
                <w:insideV w:val="none"/>
              </w:tblBorders>
            </w:tblPr>
            <w:tblGrid>
              <w:gridCol w:w="709"/>
              <w:gridCol w:w="1660"/>
              <w:gridCol w:w="2384"/>
              <w:gridCol w:w="362"/>
              <w:gridCol w:w="483"/>
            </w:tblGrid>
            <w:tr>
              <w:tc>
                <w:tcPr>
                  <w:tcW w:type="dxa" w:w="709"/>
                  <w:tcBorders>
                    <w:top w:val="single" w:color="000000" w:sz="4"/>
                    <w:left w:val="single" w:color="000000" w:sz="4"/>
                    <w:bottom w:val="single" w:color="000000" w:sz="4"/>
                    <w:right w:val="single" w:color="000000" w:sz="4"/>
                  </w:tcBorders>
                  <w:vAlign w:val="top"/>
                </w:tcPr>
                <w:p>
                  <w:pPr>
                    <w:jc w:val="left"/>
                  </w:pPr>
                  <w:r>
                    <w:rPr>
                      <w:sz w:val="21"/>
                    </w:rPr>
                    <w:t>序号</w:t>
                  </w:r>
                </w:p>
              </w:tc>
              <w:tc>
                <w:tcPr>
                  <w:tcW w:type="dxa" w:w="1660"/>
                  <w:tcBorders>
                    <w:top w:val="single" w:color="000000" w:sz="4"/>
                    <w:left w:val="none" w:color="000000" w:sz="4"/>
                    <w:bottom w:val="single" w:color="000000" w:sz="4"/>
                    <w:right w:val="single" w:color="000000" w:sz="4"/>
                  </w:tcBorders>
                  <w:vAlign w:val="top"/>
                </w:tcPr>
                <w:p>
                  <w:pPr>
                    <w:jc w:val="left"/>
                  </w:pPr>
                  <w:r>
                    <w:rPr>
                      <w:sz w:val="21"/>
                    </w:rPr>
                    <w:t>系统</w:t>
                  </w:r>
                </w:p>
              </w:tc>
              <w:tc>
                <w:tcPr>
                  <w:tcW w:type="dxa" w:w="2384"/>
                  <w:tcBorders>
                    <w:top w:val="single" w:color="000000" w:sz="4"/>
                    <w:left w:val="none" w:color="000000" w:sz="4"/>
                    <w:bottom w:val="single" w:color="000000" w:sz="4"/>
                    <w:right w:val="single" w:color="000000" w:sz="4"/>
                  </w:tcBorders>
                  <w:vAlign w:val="top"/>
                </w:tcPr>
                <w:p>
                  <w:pPr>
                    <w:jc w:val="left"/>
                  </w:pPr>
                  <w:r>
                    <w:rPr>
                      <w:sz w:val="21"/>
                    </w:rPr>
                    <w:t>功能模块</w:t>
                  </w:r>
                </w:p>
              </w:tc>
              <w:tc>
                <w:tcPr>
                  <w:tcW w:type="dxa" w:w="362"/>
                  <w:tcBorders>
                    <w:top w:val="single" w:color="000000" w:sz="4"/>
                    <w:left w:val="none" w:color="000000" w:sz="4"/>
                    <w:bottom w:val="single" w:color="000000" w:sz="4"/>
                    <w:right w:val="single" w:color="000000" w:sz="4"/>
                  </w:tcBorders>
                  <w:vAlign w:val="top"/>
                </w:tcPr>
                <w:p>
                  <w:pPr>
                    <w:jc w:val="left"/>
                  </w:pPr>
                  <w:r>
                    <w:rPr>
                      <w:sz w:val="21"/>
                    </w:rPr>
                    <w:t>数量</w:t>
                  </w:r>
                </w:p>
              </w:tc>
              <w:tc>
                <w:tcPr>
                  <w:tcW w:type="dxa" w:w="483"/>
                  <w:tcBorders>
                    <w:top w:val="single" w:color="000000" w:sz="4"/>
                    <w:left w:val="none" w:color="000000" w:sz="4"/>
                    <w:bottom w:val="single" w:color="000000" w:sz="4"/>
                    <w:right w:val="single" w:color="000000" w:sz="4"/>
                  </w:tcBorders>
                  <w:vAlign w:val="top"/>
                </w:tcPr>
                <w:p>
                  <w:pPr>
                    <w:jc w:val="left"/>
                  </w:pPr>
                  <w:r>
                    <w:rPr>
                      <w:sz w:val="21"/>
                    </w:rPr>
                    <w:t>单位</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60"/>
                  <w:vMerge w:val="restart"/>
                  <w:tcBorders>
                    <w:top w:val="none" w:color="000000" w:sz="4"/>
                    <w:left w:val="none" w:color="000000" w:sz="4"/>
                    <w:bottom w:val="single" w:color="000000" w:sz="4"/>
                    <w:right w:val="single" w:color="000000" w:sz="4"/>
                  </w:tcBorders>
                  <w:vAlign w:val="top"/>
                </w:tcPr>
                <w:p>
                  <w:pPr>
                    <w:jc w:val="center"/>
                  </w:pPr>
                  <w:r>
                    <w:rPr>
                      <w:sz w:val="21"/>
                    </w:rPr>
                    <w:t>中山市综合网格调度指挥平台</w:t>
                  </w:r>
                </w:p>
              </w:tc>
              <w:tc>
                <w:tcPr>
                  <w:tcW w:type="dxa" w:w="2384"/>
                  <w:tcBorders>
                    <w:top w:val="none" w:color="000000" w:sz="4"/>
                    <w:left w:val="none" w:color="000000" w:sz="4"/>
                    <w:bottom w:val="single" w:color="000000" w:sz="4"/>
                    <w:right w:val="single" w:color="000000" w:sz="4"/>
                  </w:tcBorders>
                  <w:vAlign w:val="top"/>
                </w:tcPr>
                <w:p>
                  <w:pPr>
                    <w:jc w:val="left"/>
                  </w:pPr>
                  <w:r>
                    <w:rPr>
                      <w:sz w:val="21"/>
                    </w:rPr>
                    <w:t>统一事件标准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统一事件汇聚</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统一事件分拨</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统一事件考核</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60"/>
                  <w:vMerge w:val="restart"/>
                  <w:tcBorders>
                    <w:top w:val="none" w:color="000000" w:sz="4"/>
                    <w:left w:val="none" w:color="000000" w:sz="4"/>
                    <w:bottom w:val="single" w:color="000000" w:sz="4"/>
                    <w:right w:val="single" w:color="000000" w:sz="4"/>
                  </w:tcBorders>
                  <w:vAlign w:val="top"/>
                </w:tcPr>
                <w:p>
                  <w:pPr>
                    <w:jc w:val="center"/>
                  </w:pPr>
                  <w:r>
                    <w:rPr>
                      <w:sz w:val="21"/>
                    </w:rPr>
                    <w:t>中山市人才云管理平台</w:t>
                  </w:r>
                </w:p>
              </w:tc>
              <w:tc>
                <w:tcPr>
                  <w:tcW w:type="dxa" w:w="2384"/>
                  <w:tcBorders>
                    <w:top w:val="none" w:color="000000" w:sz="4"/>
                    <w:left w:val="none" w:color="000000" w:sz="4"/>
                    <w:bottom w:val="single" w:color="000000" w:sz="4"/>
                    <w:right w:val="single" w:color="000000" w:sz="4"/>
                  </w:tcBorders>
                  <w:vAlign w:val="top"/>
                </w:tcPr>
                <w:p>
                  <w:pPr>
                    <w:jc w:val="left"/>
                  </w:pPr>
                  <w:r>
                    <w:rPr>
                      <w:sz w:val="21"/>
                    </w:rPr>
                    <w:t>部门管理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菜单管理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角色管理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目录管理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企业、人才标签管理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人才地图</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人才分析、信息管理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人才企业工作管理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日志管理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数据管理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用户管理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政策管理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r>
              <w:tc>
                <w:tcPr>
                  <w:tcW w:type="dxa" w:w="709"/>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660"/>
                  <w:vMerge/>
                  <w:tcBorders>
                    <w:top w:val="none" w:color="000000" w:sz="4"/>
                    <w:left w:val="none" w:color="000000" w:sz="4"/>
                    <w:bottom w:val="single" w:color="000000" w:sz="4"/>
                    <w:right w:val="single" w:color="000000" w:sz="4"/>
                  </w:tcBorders>
                </w:tcPr>
                <w:p/>
              </w:tc>
              <w:tc>
                <w:tcPr>
                  <w:tcW w:type="dxa" w:w="2384"/>
                  <w:tcBorders>
                    <w:top w:val="none" w:color="000000" w:sz="4"/>
                    <w:left w:val="none" w:color="000000" w:sz="4"/>
                    <w:bottom w:val="single" w:color="000000" w:sz="4"/>
                    <w:right w:val="single" w:color="000000" w:sz="4"/>
                  </w:tcBorders>
                  <w:vAlign w:val="top"/>
                </w:tcPr>
                <w:p>
                  <w:pPr>
                    <w:jc w:val="left"/>
                  </w:pPr>
                  <w:r>
                    <w:rPr>
                      <w:sz w:val="21"/>
                    </w:rPr>
                    <w:t>字典管理</w:t>
                  </w:r>
                </w:p>
              </w:tc>
              <w:tc>
                <w:tcPr>
                  <w:tcW w:type="dxa" w:w="362"/>
                  <w:tcBorders>
                    <w:top w:val="none" w:color="000000" w:sz="4"/>
                    <w:left w:val="none" w:color="000000" w:sz="4"/>
                    <w:bottom w:val="single" w:color="000000" w:sz="4"/>
                    <w:right w:val="single" w:color="000000" w:sz="4"/>
                  </w:tcBorders>
                  <w:vAlign w:val="top"/>
                </w:tcPr>
                <w:p>
                  <w:pPr>
                    <w:jc w:val="center"/>
                  </w:pPr>
                  <w:r>
                    <w:rPr>
                      <w:sz w:val="21"/>
                    </w:rPr>
                    <w:t>1</w:t>
                  </w:r>
                </w:p>
              </w:tc>
              <w:tc>
                <w:tcPr>
                  <w:tcW w:type="dxa" w:w="483"/>
                  <w:tcBorders>
                    <w:top w:val="none" w:color="000000" w:sz="4"/>
                    <w:left w:val="none" w:color="000000" w:sz="4"/>
                    <w:bottom w:val="single" w:color="000000" w:sz="4"/>
                    <w:right w:val="single" w:color="000000" w:sz="4"/>
                  </w:tcBorders>
                  <w:vAlign w:val="top"/>
                </w:tcPr>
                <w:p>
                  <w:pPr>
                    <w:jc w:val="center"/>
                  </w:pPr>
                  <w:r>
                    <w:rPr>
                      <w:sz w:val="21"/>
                    </w:rPr>
                    <w:t>项</w:t>
                  </w:r>
                </w:p>
              </w:tc>
            </w:tr>
          </w:tbl>
          <w:p>
            <w:pPr>
              <w:jc w:val="both"/>
            </w:pPr>
          </w:p>
          <w:p>
            <w:pPr>
              <w:jc w:val="both"/>
            </w:pPr>
            <w:r>
              <w:rPr>
                <w:sz w:val="21"/>
              </w:rPr>
              <w:t>2.1.2.2.</w:t>
            </w:r>
            <w:r>
              <w:rPr>
                <w:sz w:val="21"/>
              </w:rPr>
              <w:t>服务要求</w:t>
            </w:r>
          </w:p>
          <w:p>
            <w:pPr>
              <w:jc w:val="both"/>
            </w:pPr>
            <w:r>
              <w:rPr>
                <w:sz w:val="21"/>
              </w:rPr>
              <w:t>2.1.2.2.1.</w:t>
            </w:r>
            <w:r>
              <w:rPr>
                <w:sz w:val="21"/>
              </w:rPr>
              <w:t>系统日常维护</w:t>
            </w:r>
          </w:p>
          <w:p>
            <w:pPr>
              <w:ind w:firstLine="420"/>
              <w:jc w:val="both"/>
            </w:pPr>
            <w:r>
              <w:rPr>
                <w:sz w:val="21"/>
              </w:rPr>
              <w:t>中标人</w:t>
            </w:r>
            <w:r>
              <w:rPr>
                <w:sz w:val="21"/>
              </w:rPr>
              <w:t>要对智慧应用的各种异常和日常运行进行维护。具体内容包括系统缺陷问题的升级处理、日志检查分析、错误分析及统计等。</w:t>
            </w:r>
          </w:p>
          <w:p>
            <w:pPr>
              <w:ind w:firstLine="420"/>
              <w:jc w:val="both"/>
            </w:pPr>
            <w:r>
              <w:rPr>
                <w:sz w:val="21"/>
              </w:rPr>
              <w:t>（</w:t>
            </w:r>
            <w:r>
              <w:rPr>
                <w:sz w:val="21"/>
              </w:rPr>
              <w:t>1</w:t>
            </w:r>
            <w:r>
              <w:rPr>
                <w:sz w:val="21"/>
              </w:rPr>
              <w:t>）定期补丁升级服务要求</w:t>
            </w:r>
          </w:p>
          <w:p>
            <w:pPr>
              <w:ind w:firstLine="420"/>
              <w:jc w:val="both"/>
            </w:pPr>
            <w:r>
              <w:rPr>
                <w:sz w:val="21"/>
              </w:rPr>
              <w:t>应用系统运行期间，各子系统或接口程序的补丁或更新升级。</w:t>
            </w:r>
          </w:p>
          <w:p>
            <w:pPr>
              <w:ind w:firstLine="420"/>
              <w:jc w:val="both"/>
            </w:pPr>
            <w:r>
              <w:rPr>
                <w:sz w:val="21"/>
              </w:rPr>
              <w:t>（</w:t>
            </w:r>
            <w:r>
              <w:rPr>
                <w:sz w:val="21"/>
              </w:rPr>
              <w:t>2</w:t>
            </w:r>
            <w:r>
              <w:rPr>
                <w:sz w:val="21"/>
              </w:rPr>
              <w:t>）日志检查分析要求</w:t>
            </w:r>
          </w:p>
          <w:p>
            <w:pPr>
              <w:ind w:firstLine="420"/>
              <w:jc w:val="both"/>
            </w:pPr>
            <w:r>
              <w:rPr>
                <w:sz w:val="21"/>
              </w:rPr>
              <w:t>中标人</w:t>
            </w:r>
            <w:r>
              <w:rPr>
                <w:sz w:val="21"/>
              </w:rPr>
              <w:t>要对系统运行情况进行健康检查与分析，包括应用服务器运行日志、</w:t>
            </w:r>
            <w:r>
              <w:rPr>
                <w:sz w:val="21"/>
              </w:rPr>
              <w:t>FTP</w:t>
            </w:r>
            <w:r>
              <w:rPr>
                <w:sz w:val="21"/>
              </w:rPr>
              <w:t>文件交换日志。检查发现的异常情况，按要求报告，审批同意后进行异常问题的处理。目的是及时发现与尽可能早的预防可能的运行问题，保障系统的稳定运行。</w:t>
            </w:r>
          </w:p>
          <w:p>
            <w:pPr>
              <w:ind w:firstLine="420"/>
              <w:jc w:val="both"/>
            </w:pPr>
            <w:r>
              <w:rPr>
                <w:sz w:val="21"/>
              </w:rPr>
              <w:t>（</w:t>
            </w:r>
            <w:r>
              <w:rPr>
                <w:sz w:val="21"/>
              </w:rPr>
              <w:t>3</w:t>
            </w:r>
            <w:r>
              <w:rPr>
                <w:sz w:val="21"/>
              </w:rPr>
              <w:t>）错误分析及统计要求</w:t>
            </w:r>
          </w:p>
          <w:p>
            <w:pPr>
              <w:ind w:firstLine="420"/>
              <w:jc w:val="both"/>
            </w:pPr>
            <w:r>
              <w:rPr>
                <w:sz w:val="21"/>
              </w:rPr>
              <w:t>运维服务期间，</w:t>
            </w:r>
            <w:r>
              <w:rPr>
                <w:sz w:val="21"/>
              </w:rPr>
              <w:t>中标人</w:t>
            </w:r>
            <w:r>
              <w:rPr>
                <w:sz w:val="21"/>
              </w:rPr>
              <w:t>要每月对应用系统的缺陷问题、发布问题、运维问题，进行分析与统计，形成报告；对错误问题及时解决处理。</w:t>
            </w:r>
          </w:p>
          <w:p>
            <w:pPr>
              <w:jc w:val="both"/>
            </w:pPr>
            <w:r>
              <w:rPr>
                <w:sz w:val="21"/>
              </w:rPr>
              <w:t>2.1.2.2.2.</w:t>
            </w:r>
            <w:r>
              <w:rPr>
                <w:sz w:val="21"/>
              </w:rPr>
              <w:t>系统运行状态监控及预警</w:t>
            </w:r>
          </w:p>
          <w:p>
            <w:pPr>
              <w:ind w:firstLine="420"/>
              <w:jc w:val="both"/>
            </w:pPr>
            <w:r>
              <w:rPr>
                <w:sz w:val="21"/>
              </w:rPr>
              <w:t>运维服务期间，每日对应用系统运行状态进行监控，对监控发现的问题及时预警，并跟踪及时解决处理。</w:t>
            </w:r>
          </w:p>
          <w:p>
            <w:pPr>
              <w:ind w:firstLine="420"/>
              <w:jc w:val="both"/>
            </w:pPr>
            <w:r>
              <w:rPr>
                <w:sz w:val="21"/>
              </w:rPr>
              <w:t>1</w:t>
            </w:r>
            <w:r>
              <w:rPr>
                <w:sz w:val="21"/>
              </w:rPr>
              <w:t>、每日登录系统，监控系统运行情况</w:t>
            </w:r>
            <w:r>
              <w:rPr>
                <w:sz w:val="21"/>
              </w:rPr>
              <w:t>；</w:t>
            </w:r>
          </w:p>
          <w:p>
            <w:pPr>
              <w:ind w:firstLine="420"/>
              <w:jc w:val="both"/>
            </w:pPr>
            <w:r>
              <w:rPr>
                <w:sz w:val="21"/>
              </w:rPr>
              <w:t>2</w:t>
            </w:r>
            <w:r>
              <w:rPr>
                <w:sz w:val="21"/>
              </w:rPr>
              <w:t>、将监控情况进行登记；</w:t>
            </w:r>
          </w:p>
          <w:p>
            <w:pPr>
              <w:ind w:firstLine="420"/>
              <w:jc w:val="both"/>
            </w:pPr>
            <w:r>
              <w:rPr>
                <w:sz w:val="21"/>
              </w:rPr>
              <w:t>3</w:t>
            </w:r>
            <w:r>
              <w:rPr>
                <w:sz w:val="21"/>
              </w:rPr>
              <w:t>、对异常情况登记同时，要及时进行汇报；</w:t>
            </w:r>
          </w:p>
          <w:p>
            <w:pPr>
              <w:ind w:firstLine="420"/>
              <w:jc w:val="both"/>
            </w:pPr>
            <w:r>
              <w:rPr>
                <w:sz w:val="21"/>
              </w:rPr>
              <w:t>4</w:t>
            </w:r>
            <w:r>
              <w:rPr>
                <w:sz w:val="21"/>
              </w:rPr>
              <w:t>、跟踪异常情况处理进度，及时解决关闭问题。</w:t>
            </w:r>
          </w:p>
          <w:p>
            <w:pPr>
              <w:jc w:val="both"/>
            </w:pPr>
            <w:r>
              <w:rPr>
                <w:sz w:val="21"/>
              </w:rPr>
              <w:t>2.1.2.2.3.</w:t>
            </w:r>
            <w:r>
              <w:rPr>
                <w:sz w:val="21"/>
              </w:rPr>
              <w:t>系统故障检测及排除修复维护</w:t>
            </w:r>
          </w:p>
          <w:p>
            <w:pPr>
              <w:ind w:firstLine="420"/>
              <w:jc w:val="both"/>
            </w:pPr>
            <w:r>
              <w:rPr>
                <w:sz w:val="21"/>
              </w:rPr>
              <w:t>中标人</w:t>
            </w:r>
            <w:r>
              <w:rPr>
                <w:sz w:val="21"/>
              </w:rPr>
              <w:t>要针对智慧应用在日常运行过程中由于软件</w:t>
            </w:r>
            <w:r>
              <w:rPr>
                <w:sz w:val="21"/>
              </w:rPr>
              <w:t>BUG</w:t>
            </w:r>
            <w:r>
              <w:rPr>
                <w:sz w:val="21"/>
              </w:rPr>
              <w:t>导致系统运行出现的各种故障进行检测，服务方软件运维工程师须具备查找</w:t>
            </w:r>
            <w:r>
              <w:rPr>
                <w:sz w:val="21"/>
              </w:rPr>
              <w:t>BUG</w:t>
            </w:r>
            <w:r>
              <w:rPr>
                <w:sz w:val="21"/>
              </w:rPr>
              <w:t>原因的能力，修复软件</w:t>
            </w:r>
            <w:r>
              <w:rPr>
                <w:sz w:val="21"/>
              </w:rPr>
              <w:t>BUG</w:t>
            </w:r>
            <w:r>
              <w:rPr>
                <w:sz w:val="21"/>
              </w:rPr>
              <w:t>，保证系统迅速恢复正常运行。</w:t>
            </w:r>
          </w:p>
          <w:p>
            <w:pPr>
              <w:jc w:val="both"/>
            </w:pPr>
            <w:r>
              <w:rPr>
                <w:sz w:val="21"/>
              </w:rPr>
              <w:t>2.1.3.</w:t>
            </w:r>
            <w:r>
              <w:rPr>
                <w:sz w:val="21"/>
              </w:rPr>
              <w:t>系统对接技术支持</w:t>
            </w:r>
          </w:p>
          <w:p>
            <w:pPr>
              <w:jc w:val="both"/>
            </w:pPr>
            <w:r>
              <w:rPr>
                <w:sz w:val="21"/>
              </w:rPr>
              <w:t>2.1.3.1.</w:t>
            </w:r>
            <w:r>
              <w:rPr>
                <w:sz w:val="21"/>
              </w:rPr>
              <w:t>服务范围</w:t>
            </w:r>
          </w:p>
          <w:p>
            <w:pPr>
              <w:ind w:firstLine="420"/>
              <w:jc w:val="both"/>
            </w:pPr>
            <w:r>
              <w:rPr>
                <w:sz w:val="21"/>
              </w:rPr>
              <w:t>城市大脑项目。</w:t>
            </w:r>
          </w:p>
          <w:p>
            <w:pPr>
              <w:jc w:val="both"/>
            </w:pPr>
            <w:r>
              <w:rPr>
                <w:sz w:val="21"/>
              </w:rPr>
              <w:t>2.1.3.2.</w:t>
            </w:r>
            <w:r>
              <w:rPr>
                <w:sz w:val="21"/>
              </w:rPr>
              <w:t>服务要求</w:t>
            </w:r>
          </w:p>
          <w:p>
            <w:pPr>
              <w:jc w:val="both"/>
            </w:pPr>
            <w:r>
              <w:rPr>
                <w:sz w:val="21"/>
              </w:rPr>
              <w:t>2.1.3.2.1.</w:t>
            </w:r>
            <w:r>
              <w:rPr>
                <w:sz w:val="21"/>
              </w:rPr>
              <w:t>平台对接技术准备</w:t>
            </w:r>
          </w:p>
          <w:p>
            <w:pPr>
              <w:ind w:firstLine="420"/>
              <w:jc w:val="both"/>
            </w:pPr>
            <w:r>
              <w:rPr>
                <w:sz w:val="21"/>
              </w:rPr>
              <w:t>运营阶段中新增</w:t>
            </w:r>
            <w:r>
              <w:rPr>
                <w:sz w:val="21"/>
              </w:rPr>
              <w:t>IOC</w:t>
            </w:r>
            <w:r>
              <w:rPr>
                <w:sz w:val="21"/>
              </w:rPr>
              <w:t>与周边应用系统的对接，是基于已有的</w:t>
            </w:r>
            <w:r>
              <w:rPr>
                <w:sz w:val="21"/>
              </w:rPr>
              <w:t>IOC</w:t>
            </w:r>
            <w:r>
              <w:rPr>
                <w:sz w:val="21"/>
              </w:rPr>
              <w:t>技术架构而进行的系统对接开发，不会改变当前已有的</w:t>
            </w:r>
            <w:r>
              <w:rPr>
                <w:sz w:val="21"/>
              </w:rPr>
              <w:t>IOC</w:t>
            </w:r>
            <w:r>
              <w:rPr>
                <w:sz w:val="21"/>
              </w:rPr>
              <w:t>技术架构逻辑。在对接过程中，</w:t>
            </w:r>
            <w:r>
              <w:rPr>
                <w:sz w:val="21"/>
              </w:rPr>
              <w:t>中标人</w:t>
            </w:r>
            <w:r>
              <w:rPr>
                <w:sz w:val="21"/>
              </w:rPr>
              <w:t>应通过自身或采购专业化的系统对接支持，充分利用已有架构的优势和对接开发的标准，协助系统对接双方快速完成系统对接的设计、开发和交付。</w:t>
            </w:r>
          </w:p>
          <w:p>
            <w:pPr>
              <w:ind w:firstLine="420"/>
              <w:jc w:val="both"/>
            </w:pPr>
            <w:r>
              <w:rPr>
                <w:sz w:val="21"/>
              </w:rPr>
              <w:t>在设计阶段，</w:t>
            </w:r>
            <w:r>
              <w:rPr>
                <w:sz w:val="21"/>
              </w:rPr>
              <w:t>中标人</w:t>
            </w:r>
            <w:r>
              <w:rPr>
                <w:sz w:val="21"/>
              </w:rPr>
              <w:t>应从具体业务角度出发，自上而下拉通系统对接双方进行需求确认和设计分析，提供系统对接设计的支持，如采用何种接口协议对接、交互请求与应答方式、交互的功能及接口传参等，并制定相应的接口约束，如访问权限设置，访问性能等，确保系统对接双方根据已有架构要求进行相应的方案设计，并从功能和性能上满足后期使用需要。</w:t>
            </w:r>
          </w:p>
          <w:p>
            <w:pPr>
              <w:ind w:firstLine="420"/>
              <w:jc w:val="both"/>
            </w:pPr>
            <w:r>
              <w:rPr>
                <w:sz w:val="21"/>
              </w:rPr>
              <w:t>在开发阶段，各应用厂商应针对所建设、负责的数字平台提供相应的开发技术支持，如视频共享、分析平台接口的对接开发支持、视频接口的对接开发支持等，针对开发过程中遇到的问题提供支撑和样例指导，确保系统对接双方能够快速完成对接功能的开发。</w:t>
            </w:r>
          </w:p>
          <w:p>
            <w:pPr>
              <w:ind w:firstLine="420"/>
              <w:jc w:val="both"/>
            </w:pPr>
            <w:r>
              <w:rPr>
                <w:sz w:val="21"/>
              </w:rPr>
              <w:t>在上线联调阶</w:t>
            </w:r>
            <w:r>
              <w:rPr>
                <w:sz w:val="21"/>
              </w:rPr>
              <w:t>段，</w:t>
            </w:r>
            <w:r>
              <w:rPr>
                <w:sz w:val="21"/>
              </w:rPr>
              <w:t>中标人</w:t>
            </w:r>
            <w:r>
              <w:rPr>
                <w:sz w:val="21"/>
              </w:rPr>
              <w:t>及合作伙伴需要提供对接功能问题定界的支持，并对对接功能的上线提供指导，避免对接功能上线对已有业务的影响，同时与</w:t>
            </w:r>
            <w:r>
              <w:rPr>
                <w:sz w:val="21"/>
              </w:rPr>
              <w:t>采购人</w:t>
            </w:r>
            <w:r>
              <w:rPr>
                <w:sz w:val="21"/>
              </w:rPr>
              <w:t>一起参与对接功能的验证，确保功能上线能够满足后期使用需要。</w:t>
            </w:r>
          </w:p>
          <w:p>
            <w:pPr>
              <w:jc w:val="both"/>
            </w:pPr>
            <w:r>
              <w:rPr>
                <w:sz w:val="21"/>
              </w:rPr>
              <w:t>2.1.3.2.2.</w:t>
            </w:r>
            <w:r>
              <w:rPr>
                <w:sz w:val="21"/>
              </w:rPr>
              <w:t>其他对接服务</w:t>
            </w:r>
          </w:p>
          <w:p>
            <w:pPr>
              <w:ind w:firstLine="420"/>
              <w:jc w:val="both"/>
            </w:pPr>
            <w:r>
              <w:rPr>
                <w:sz w:val="21"/>
              </w:rPr>
              <w:t>在服务期内，若有省级文件或市级文件要求城市大脑配合完成相关对接工作，</w:t>
            </w:r>
            <w:r>
              <w:rPr>
                <w:sz w:val="21"/>
              </w:rPr>
              <w:t>中标人</w:t>
            </w:r>
            <w:r>
              <w:rPr>
                <w:sz w:val="21"/>
              </w:rPr>
              <w:t>应满足</w:t>
            </w:r>
            <w:r>
              <w:rPr>
                <w:sz w:val="21"/>
              </w:rPr>
              <w:t>采购人</w:t>
            </w:r>
            <w:r>
              <w:rPr>
                <w:sz w:val="21"/>
              </w:rPr>
              <w:t>需求，提供不低于政策文件中要求的对接服务。</w:t>
            </w:r>
          </w:p>
          <w:p>
            <w:pPr>
              <w:jc w:val="both"/>
            </w:pPr>
            <w:r>
              <w:rPr>
                <w:b/>
                <w:sz w:val="21"/>
              </w:rPr>
              <w:t>2.2.</w:t>
            </w:r>
            <w:r>
              <w:rPr>
                <w:b/>
                <w:sz w:val="21"/>
              </w:rPr>
              <w:t>专题运营</w:t>
            </w:r>
          </w:p>
          <w:p>
            <w:pPr>
              <w:ind w:firstLine="420"/>
              <w:jc w:val="both"/>
            </w:pPr>
            <w:r>
              <w:rPr>
                <w:sz w:val="21"/>
              </w:rPr>
              <w:t>中山市智慧城市大脑建设项目已建成</w:t>
            </w:r>
            <w:r>
              <w:rPr>
                <w:sz w:val="21"/>
              </w:rPr>
              <w:t>12</w:t>
            </w:r>
            <w:r>
              <w:rPr>
                <w:sz w:val="21"/>
              </w:rPr>
              <w:t>个智慧专</w:t>
            </w:r>
            <w:r>
              <w:rPr>
                <w:sz w:val="21"/>
              </w:rPr>
              <w:t>题，本项目包含对这</w:t>
            </w:r>
            <w:r>
              <w:rPr>
                <w:sz w:val="21"/>
              </w:rPr>
              <w:t>12</w:t>
            </w:r>
            <w:r>
              <w:rPr>
                <w:sz w:val="21"/>
              </w:rPr>
              <w:t>个专题大中小屏端的运行维护与更新服务及新专题的上线</w:t>
            </w:r>
            <w:r>
              <w:rPr>
                <w:sz w:val="21"/>
              </w:rPr>
              <w:t>、</w:t>
            </w:r>
            <w:r>
              <w:rPr>
                <w:sz w:val="21"/>
              </w:rPr>
              <w:t>运行</w:t>
            </w:r>
            <w:r>
              <w:rPr>
                <w:sz w:val="21"/>
              </w:rPr>
              <w:t>维护</w:t>
            </w:r>
            <w:r>
              <w:rPr>
                <w:sz w:val="21"/>
              </w:rPr>
              <w:t>与更新服务。</w:t>
            </w:r>
          </w:p>
          <w:p>
            <w:pPr>
              <w:ind w:firstLine="420"/>
              <w:jc w:val="both"/>
            </w:pPr>
            <w:r>
              <w:rPr>
                <w:sz w:val="21"/>
              </w:rPr>
              <w:t>新</w:t>
            </w:r>
            <w:r>
              <w:rPr>
                <w:sz w:val="21"/>
              </w:rPr>
              <w:t>专题</w:t>
            </w:r>
            <w:r>
              <w:rPr>
                <w:sz w:val="21"/>
              </w:rPr>
              <w:t>上线的</w:t>
            </w:r>
            <w:r>
              <w:rPr>
                <w:sz w:val="21"/>
              </w:rPr>
              <w:t>数量</w:t>
            </w:r>
            <w:r>
              <w:rPr>
                <w:sz w:val="21"/>
              </w:rPr>
              <w:t>根据</w:t>
            </w:r>
            <w:r>
              <w:rPr>
                <w:sz w:val="21"/>
              </w:rPr>
              <w:t>项目</w:t>
            </w:r>
            <w:r>
              <w:rPr>
                <w:sz w:val="21"/>
              </w:rPr>
              <w:t>实际</w:t>
            </w:r>
            <w:r>
              <w:rPr>
                <w:sz w:val="21"/>
              </w:rPr>
              <w:t>情况</w:t>
            </w:r>
            <w:r>
              <w:rPr>
                <w:sz w:val="21"/>
              </w:rPr>
              <w:t>安排</w:t>
            </w:r>
            <w:r>
              <w:rPr>
                <w:sz w:val="21"/>
              </w:rPr>
              <w:t>，</w:t>
            </w:r>
            <w:r>
              <w:rPr>
                <w:sz w:val="21"/>
              </w:rPr>
              <w:t>中标人</w:t>
            </w:r>
            <w:r>
              <w:rPr>
                <w:sz w:val="21"/>
              </w:rPr>
              <w:t>须</w:t>
            </w:r>
            <w:r>
              <w:rPr>
                <w:sz w:val="21"/>
              </w:rPr>
              <w:t>无条件</w:t>
            </w:r>
            <w:r>
              <w:rPr>
                <w:sz w:val="21"/>
              </w:rPr>
              <w:t>全力</w:t>
            </w:r>
            <w:r>
              <w:rPr>
                <w:sz w:val="21"/>
              </w:rPr>
              <w:t>配合</w:t>
            </w:r>
            <w:r>
              <w:rPr>
                <w:sz w:val="21"/>
              </w:rPr>
              <w:t>采购人</w:t>
            </w:r>
            <w:r>
              <w:rPr>
                <w:sz w:val="21"/>
              </w:rPr>
              <w:t>完成</w:t>
            </w:r>
            <w:r>
              <w:rPr>
                <w:sz w:val="21"/>
              </w:rPr>
              <w:t>新专题</w:t>
            </w:r>
            <w:r>
              <w:rPr>
                <w:sz w:val="21"/>
              </w:rPr>
              <w:t>的</w:t>
            </w:r>
            <w:r>
              <w:rPr>
                <w:sz w:val="21"/>
              </w:rPr>
              <w:t>上线</w:t>
            </w:r>
            <w:r>
              <w:rPr>
                <w:sz w:val="21"/>
              </w:rPr>
              <w:t>任务</w:t>
            </w:r>
            <w:r>
              <w:rPr>
                <w:sz w:val="21"/>
              </w:rPr>
              <w:t>。</w:t>
            </w:r>
          </w:p>
          <w:p>
            <w:pPr>
              <w:jc w:val="both"/>
            </w:pPr>
            <w:r>
              <w:rPr>
                <w:sz w:val="21"/>
              </w:rPr>
              <w:t>2.2.1.</w:t>
            </w:r>
            <w:r>
              <w:rPr>
                <w:sz w:val="21"/>
              </w:rPr>
              <w:t>服务范围</w:t>
            </w:r>
          </w:p>
          <w:p>
            <w:pPr>
              <w:ind w:firstLine="420"/>
              <w:jc w:val="both"/>
            </w:pPr>
            <w:r>
              <w:rPr>
                <w:sz w:val="21"/>
              </w:rPr>
              <w:t>我市已建设全市统一的智慧大脑，联接部门和镇区，建立城市运行监测指标体系，接入大数据中心、视频网络和各部门业务系统，实现对城市运行态势的立体化、可视化、动态化运行监测和预警。形成一体化、数字化、全业务的领导决策支撑和指挥系统，实现</w:t>
            </w:r>
            <w:r>
              <w:rPr>
                <w:sz w:val="21"/>
              </w:rPr>
              <w:t>“一云汇数据、一网联全城、一屏观中山”。</w:t>
            </w:r>
          </w:p>
          <w:p>
            <w:pPr>
              <w:ind w:firstLine="420"/>
              <w:jc w:val="both"/>
            </w:pPr>
            <w:r>
              <w:rPr>
                <w:sz w:val="21"/>
              </w:rPr>
              <w:t>12</w:t>
            </w:r>
            <w:r>
              <w:rPr>
                <w:sz w:val="21"/>
              </w:rPr>
              <w:t>个智慧专题</w:t>
            </w:r>
            <w:r>
              <w:rPr>
                <w:sz w:val="21"/>
              </w:rPr>
              <w:t>以</w:t>
            </w:r>
            <w:r>
              <w:rPr>
                <w:sz w:val="21"/>
              </w:rPr>
              <w:t>大中小</w:t>
            </w:r>
            <w:r>
              <w:rPr>
                <w:sz w:val="21"/>
              </w:rPr>
              <w:t>屏</w:t>
            </w:r>
            <w:r>
              <w:rPr>
                <w:sz w:val="21"/>
              </w:rPr>
              <w:t>的</w:t>
            </w:r>
            <w:r>
              <w:rPr>
                <w:sz w:val="21"/>
              </w:rPr>
              <w:t>形式</w:t>
            </w:r>
            <w:r>
              <w:rPr>
                <w:sz w:val="21"/>
              </w:rPr>
              <w:t>进行</w:t>
            </w:r>
            <w:r>
              <w:rPr>
                <w:sz w:val="21"/>
              </w:rPr>
              <w:t>数据</w:t>
            </w:r>
            <w:r>
              <w:rPr>
                <w:sz w:val="21"/>
              </w:rPr>
              <w:t>可视化</w:t>
            </w:r>
            <w:r>
              <w:rPr>
                <w:sz w:val="21"/>
              </w:rPr>
              <w:t>展示</w:t>
            </w:r>
            <w:r>
              <w:rPr>
                <w:sz w:val="21"/>
              </w:rPr>
              <w:t>。</w:t>
            </w:r>
          </w:p>
          <w:p>
            <w:pPr>
              <w:ind w:firstLine="420"/>
              <w:jc w:val="both"/>
            </w:pPr>
            <w:r>
              <w:rPr>
                <w:sz w:val="21"/>
              </w:rPr>
              <w:t>大屏的布置和安装一般在指挥中心，供联动指挥用。大屏可以充分整合现有数据资源，并将各项关键数据进行综合展现，帮助</w:t>
            </w:r>
            <w:r>
              <w:rPr>
                <w:sz w:val="21"/>
              </w:rPr>
              <w:t>采购人和</w:t>
            </w:r>
            <w:r>
              <w:rPr>
                <w:sz w:val="21"/>
              </w:rPr>
              <w:t>用户</w:t>
            </w:r>
            <w:r>
              <w:rPr>
                <w:sz w:val="21"/>
              </w:rPr>
              <w:t>单位</w:t>
            </w:r>
            <w:r>
              <w:rPr>
                <w:sz w:val="21"/>
              </w:rPr>
              <w:t>洞悉数据背后的规律，最大化增强监管能力、提高研判效率。</w:t>
            </w:r>
          </w:p>
          <w:p>
            <w:pPr>
              <w:ind w:firstLine="420"/>
              <w:jc w:val="both"/>
            </w:pPr>
            <w:r>
              <w:rPr>
                <w:sz w:val="21"/>
              </w:rPr>
              <w:t>中屏一般布置在</w:t>
            </w:r>
            <w:r>
              <w:rPr>
                <w:sz w:val="21"/>
              </w:rPr>
              <w:t>工作</w:t>
            </w:r>
            <w:r>
              <w:rPr>
                <w:sz w:val="21"/>
              </w:rPr>
              <w:t>人员的</w:t>
            </w:r>
            <w:r>
              <w:rPr>
                <w:sz w:val="21"/>
              </w:rPr>
              <w:t>办公室</w:t>
            </w:r>
            <w:r>
              <w:rPr>
                <w:sz w:val="21"/>
              </w:rPr>
              <w:t>或者会议室，可以随时进行业务分析和会议讨论。当需要在办公室、会议室等场合召开专题分析会议时，中屏可以辅助工作人员实时了解、掌握管辖范围或分管领域的城市运行情况，并进一步能够基于大数据提供的数据分析能力进行辅助决策。</w:t>
            </w:r>
          </w:p>
          <w:p>
            <w:pPr>
              <w:ind w:firstLine="420"/>
              <w:jc w:val="both"/>
            </w:pPr>
            <w:r>
              <w:rPr>
                <w:sz w:val="21"/>
              </w:rPr>
              <w:t>小屏一般布置在工作人员的移动终端上，本项目小屏含</w:t>
            </w:r>
            <w:r>
              <w:rPr>
                <w:sz w:val="21"/>
              </w:rPr>
              <w:t>app</w:t>
            </w:r>
            <w:r>
              <w:rPr>
                <w:sz w:val="21"/>
              </w:rPr>
              <w:t>端、粤政易端。小屏辅助领导和</w:t>
            </w:r>
            <w:r>
              <w:rPr>
                <w:sz w:val="21"/>
              </w:rPr>
              <w:t>工作</w:t>
            </w:r>
            <w:r>
              <w:rPr>
                <w:sz w:val="21"/>
              </w:rPr>
              <w:t>人员感知业务运行、获取关键信息并实现与相关委办单位互动、</w:t>
            </w:r>
            <w:r>
              <w:rPr>
                <w:sz w:val="21"/>
              </w:rPr>
              <w:t>对接</w:t>
            </w:r>
            <w:r>
              <w:rPr>
                <w:sz w:val="21"/>
              </w:rPr>
              <w:t>。</w:t>
            </w:r>
          </w:p>
          <w:p>
            <w:pPr>
              <w:ind w:firstLine="420"/>
              <w:jc w:val="both"/>
            </w:pPr>
            <w:r>
              <w:rPr>
                <w:sz w:val="21"/>
              </w:rPr>
              <w:t>（</w:t>
            </w:r>
            <w:r>
              <w:rPr>
                <w:sz w:val="21"/>
              </w:rPr>
              <w:t>1</w:t>
            </w:r>
            <w:r>
              <w:rPr>
                <w:sz w:val="21"/>
              </w:rPr>
              <w:t>）全市概况专题。通过整合中山市基本地情、政务服务、经济运行、城市管理、公共安全、生态环境、党建引领、交通运行等相关数据，结合三维</w:t>
            </w:r>
            <w:r>
              <w:rPr>
                <w:sz w:val="21"/>
              </w:rPr>
              <w:t>GIS</w:t>
            </w:r>
            <w:r>
              <w:rPr>
                <w:sz w:val="21"/>
              </w:rPr>
              <w:t>地理信息系统，利用可视化手段，以“一图感知”为目的，汇集经济、城管、公安、交通、环保等应用数据，将城市运行状态进行可视化展示。</w:t>
            </w:r>
          </w:p>
          <w:p>
            <w:pPr>
              <w:ind w:firstLine="420"/>
              <w:jc w:val="both"/>
            </w:pPr>
            <w:r>
              <w:rPr>
                <w:sz w:val="21"/>
              </w:rPr>
              <w:t>（</w:t>
            </w:r>
            <w:r>
              <w:rPr>
                <w:sz w:val="21"/>
              </w:rPr>
              <w:t>2</w:t>
            </w:r>
            <w:r>
              <w:rPr>
                <w:sz w:val="21"/>
              </w:rPr>
              <w:t>）</w:t>
            </w:r>
            <w:r>
              <w:rPr>
                <w:sz w:val="21"/>
              </w:rPr>
              <w:t>党群中心专题</w:t>
            </w:r>
            <w:r>
              <w:rPr>
                <w:sz w:val="21"/>
              </w:rPr>
              <w:t>。通过接入城市党政司法建设的数据，实现党建工作情况和成就的全景概览。另外通过对各类党政司法工作信息化情况的分析，展现政府工作的智慧化程度以及带来的社会效益。实现党员学习过程全记录，形成各项工作自动留痕，提高党建工作水平。</w:t>
            </w:r>
          </w:p>
          <w:p>
            <w:pPr>
              <w:ind w:firstLine="420"/>
              <w:jc w:val="both"/>
            </w:pPr>
            <w:r>
              <w:rPr>
                <w:sz w:val="21"/>
              </w:rPr>
              <w:t>（</w:t>
            </w:r>
            <w:r>
              <w:rPr>
                <w:sz w:val="21"/>
              </w:rPr>
              <w:t>3</w:t>
            </w:r>
            <w:r>
              <w:rPr>
                <w:sz w:val="21"/>
              </w:rPr>
              <w:t>）政务服务专题。通过对中山市政务服务实时状况的动态监测，一图呈现全市、各区政务服务运行、渠道建设、成效排名等情况。全面评估全市政务服务资源能力，促进政务服务质量提升，优化企业营商环境，优化民众服务体验，持续优化政务服务环境，助推城市服务型政府建设。</w:t>
            </w:r>
          </w:p>
          <w:p>
            <w:pPr>
              <w:ind w:firstLine="420"/>
              <w:jc w:val="both"/>
            </w:pPr>
            <w:r>
              <w:rPr>
                <w:sz w:val="21"/>
              </w:rPr>
              <w:t>（</w:t>
            </w:r>
            <w:r>
              <w:rPr>
                <w:sz w:val="21"/>
              </w:rPr>
              <w:t>4</w:t>
            </w:r>
            <w:r>
              <w:rPr>
                <w:sz w:val="21"/>
              </w:rPr>
              <w:t>）经济运行专题。经济运行专题全面展示全市经济发展运行状态，对经济走势、态势进行初步分析和预测预警，体现以经济引领和赋能经济创新增长的总体情况，为经济管理提供数据支撑。展示经济发展的核心动力和重点扶持企业发展情况，同时突出中山市在招商引资方面的政策，产业链和服务优势，形成服务优质企业落地的招商地图，呈现已落地中山的企业和项目发展情况，为企业提供扶持政策和招商路线图，促成更多的优质企业和项目凤栖中山。</w:t>
            </w:r>
          </w:p>
          <w:p>
            <w:pPr>
              <w:jc w:val="both"/>
            </w:pPr>
            <w:r>
              <w:rPr>
                <w:sz w:val="21"/>
              </w:rPr>
              <w:t>全面评估全市市场活力情况，促进市场活力提升，优化企业营商环境，持续优化市场竞争环境。</w:t>
            </w:r>
          </w:p>
          <w:p>
            <w:pPr>
              <w:ind w:firstLine="420"/>
              <w:jc w:val="both"/>
            </w:pPr>
            <w:r>
              <w:rPr>
                <w:sz w:val="21"/>
              </w:rPr>
              <w:t>（</w:t>
            </w:r>
            <w:r>
              <w:rPr>
                <w:sz w:val="21"/>
              </w:rPr>
              <w:t>5</w:t>
            </w:r>
            <w:r>
              <w:rPr>
                <w:sz w:val="21"/>
              </w:rPr>
              <w:t>）城市管理专题。通过多个角度对中山城市管理情况进行展示，全面展示中山市的事件、环境卫生、公园绿道、户外广告、市政设施等情况。市领导可以“一图知全局”，掌握中山市在城市管理方面存在的痛点，有效化解各种“城市病”，科学提高城市管理水平，努力打造中山城市管理现代化的示范样板。</w:t>
            </w:r>
          </w:p>
          <w:p>
            <w:pPr>
              <w:ind w:firstLine="420"/>
              <w:jc w:val="both"/>
            </w:pPr>
            <w:r>
              <w:rPr>
                <w:sz w:val="21"/>
              </w:rPr>
              <w:t>（</w:t>
            </w:r>
            <w:r>
              <w:rPr>
                <w:sz w:val="21"/>
              </w:rPr>
              <w:t>6</w:t>
            </w:r>
            <w:r>
              <w:rPr>
                <w:sz w:val="21"/>
              </w:rPr>
              <w:t>）公共安全专题。公共安全专题通过接入生产安全，消防安全、交通安全、社会治安、食品安全以及信息安全等城市各方面的安全事件，实现整个城市安全的全景监控，及时追踪。通过对各类安全的统计分析，分析整个中山的安全态势，为未来城市的安全治理提供支持。</w:t>
            </w:r>
          </w:p>
          <w:p>
            <w:pPr>
              <w:ind w:firstLine="420"/>
              <w:jc w:val="both"/>
            </w:pPr>
            <w:r>
              <w:rPr>
                <w:sz w:val="21"/>
              </w:rPr>
              <w:t>（</w:t>
            </w:r>
            <w:r>
              <w:rPr>
                <w:sz w:val="21"/>
              </w:rPr>
              <w:t>7</w:t>
            </w:r>
            <w:r>
              <w:rPr>
                <w:sz w:val="21"/>
              </w:rPr>
              <w:t>）生态环境专题。生态环境专题围绕全市生态环境工作部署和目标要求，“一张图”综合展示气象实况、大气质量、水体治理、固体废物处置、环境监测等发展态势，全面评价我市气象状态、生态环境水平、环境治理工作成效，找出现状与目标间的差距，并针对薄弱环节着重发力。</w:t>
            </w:r>
          </w:p>
          <w:p>
            <w:pPr>
              <w:ind w:firstLine="420"/>
              <w:jc w:val="both"/>
            </w:pPr>
            <w:r>
              <w:rPr>
                <w:sz w:val="21"/>
              </w:rPr>
              <w:t>（</w:t>
            </w:r>
            <w:r>
              <w:rPr>
                <w:sz w:val="21"/>
              </w:rPr>
              <w:t>8</w:t>
            </w:r>
            <w:r>
              <w:rPr>
                <w:sz w:val="21"/>
              </w:rPr>
              <w:t>）交通运行专题。基于智慧城市体系内跨部门数据分析，将综合型的交通视频数据、空间数据、互联网等数据进行整合治理与分析，接入城市公共车辆、交通信号、停车场管理数据，达到优化城市交通出行效率、辅助交通布局决策的目的。以全面采集、全面感知、全网分析、全网运算为主线，监测城市一体化交通运行状态和对外交通状态，从宏观、现状到交通专项基本面分析，全面刻画城市大交通体系的运行态势。</w:t>
            </w:r>
          </w:p>
          <w:p>
            <w:pPr>
              <w:ind w:firstLine="420"/>
              <w:jc w:val="both"/>
            </w:pPr>
            <w:r>
              <w:rPr>
                <w:sz w:val="21"/>
              </w:rPr>
              <w:t>（</w:t>
            </w:r>
            <w:r>
              <w:rPr>
                <w:sz w:val="21"/>
              </w:rPr>
              <w:t>9</w:t>
            </w:r>
            <w:r>
              <w:rPr>
                <w:sz w:val="21"/>
              </w:rPr>
              <w:t>）云网数安专题。云网数安运行监测专题围绕信息展示和数据分析等方面，通过汇聚设备数据、网络数据、数据运行情况、安全数据形成大数据，通过数据融合分析和专业算法实现对云网数安运行状态的全面感知与态势预测，实时掌握运行状态，并为故障处理提供信息支撑。</w:t>
            </w:r>
          </w:p>
          <w:p>
            <w:pPr>
              <w:ind w:firstLine="420"/>
              <w:jc w:val="both"/>
            </w:pPr>
            <w:r>
              <w:rPr>
                <w:sz w:val="21"/>
              </w:rPr>
              <w:t>（</w:t>
            </w:r>
            <w:r>
              <w:rPr>
                <w:sz w:val="21"/>
              </w:rPr>
              <w:t>10</w:t>
            </w:r>
            <w:r>
              <w:rPr>
                <w:sz w:val="21"/>
              </w:rPr>
              <w:t>）民生幸福专题。民生幸福专题建设主要是对中山市民在交通出行、社会保障和医疗健康等民生服务方面提供的数字化服务情况。其数据分析功能主要包括服务监测、服务分析和行为挖掘三个维度。专题主要秉承智能化、实时化及可视化于一体的宗旨，支撑中山市数字政府的民生幸福建设。</w:t>
            </w:r>
          </w:p>
          <w:p>
            <w:pPr>
              <w:ind w:firstLine="420"/>
              <w:jc w:val="both"/>
            </w:pPr>
            <w:r>
              <w:rPr>
                <w:sz w:val="21"/>
              </w:rPr>
              <w:t>（</w:t>
            </w:r>
            <w:r>
              <w:rPr>
                <w:sz w:val="21"/>
              </w:rPr>
              <w:t>11</w:t>
            </w:r>
            <w:r>
              <w:rPr>
                <w:sz w:val="21"/>
              </w:rPr>
              <w:t>）人口云图专题。通过对中山市人口流动实时状况的动态监测，一图呈现全市、各区、各重点场所的人口流动情况，全面掌握全市人口流动动态，助力人才流动分析、景区消费分析、治安情况分析，有利于优化人才服务，促进经济发展，加强治安管控。通过运营商信令分析和人口流动热力图，客观反映人流量与消费趋势的关系、人口密集度对治安的影响，能辅助经济发展、社会治理方面的决策提供参考，通过城市人口流动实时数据分析虚拟空间人口活动，人才流动，更精准地匹配人才服务政策公共设施配套服务。</w:t>
            </w:r>
          </w:p>
          <w:p>
            <w:pPr>
              <w:ind w:firstLine="420"/>
              <w:jc w:val="both"/>
            </w:pPr>
            <w:r>
              <w:rPr>
                <w:sz w:val="21"/>
              </w:rPr>
              <w:t>（</w:t>
            </w:r>
            <w:r>
              <w:rPr>
                <w:sz w:val="21"/>
              </w:rPr>
              <w:t>12</w:t>
            </w:r>
            <w:r>
              <w:rPr>
                <w:sz w:val="21"/>
              </w:rPr>
              <w:t>）土地利用专题。通过将自然资源局已有的数据分析内容纳入到城市大脑中作为专题展示，一图呈现中山市住宅用地分析情况、中山市国有建设用地供应分析情况、控制性详细规划分析，为城市整体管理和其他相关委办局提供自然资源数据支持。</w:t>
            </w:r>
          </w:p>
          <w:p>
            <w:pPr>
              <w:jc w:val="both"/>
            </w:pPr>
            <w:r>
              <w:rPr>
                <w:sz w:val="21"/>
              </w:rPr>
              <w:t>2.2.2.</w:t>
            </w:r>
            <w:r>
              <w:rPr>
                <w:sz w:val="21"/>
              </w:rPr>
              <w:t>服务要求</w:t>
            </w:r>
          </w:p>
          <w:p>
            <w:pPr>
              <w:ind w:firstLine="420"/>
              <w:jc w:val="both"/>
            </w:pPr>
            <w:r>
              <w:rPr>
                <w:sz w:val="21"/>
              </w:rPr>
              <w:t>主要工作内容是为用户单位提供新专题上线服务、旧专题更新服务以及专题维护服务。</w:t>
            </w:r>
          </w:p>
          <w:p>
            <w:pPr>
              <w:ind w:firstLine="420"/>
              <w:jc w:val="both"/>
            </w:pPr>
            <w:r>
              <w:rPr>
                <w:sz w:val="21"/>
              </w:rPr>
              <w:t>新专题上线和旧专题更新主要涉及到需求调研、需求分析、需求转换为数据、获取数据以及专题页面构建等工作；专题维护工作主要涉及数据故障修复、可视化页面故障修复、对接故障等。</w:t>
            </w:r>
          </w:p>
          <w:p>
            <w:pPr>
              <w:jc w:val="both"/>
            </w:pPr>
            <w:r>
              <w:rPr>
                <w:sz w:val="21"/>
              </w:rPr>
              <w:t>2.2.2.1.</w:t>
            </w:r>
            <w:r>
              <w:rPr>
                <w:sz w:val="21"/>
              </w:rPr>
              <w:t>指标运营维护</w:t>
            </w:r>
          </w:p>
          <w:p>
            <w:pPr>
              <w:ind w:firstLine="420"/>
              <w:jc w:val="both"/>
            </w:pPr>
            <w:r>
              <w:rPr>
                <w:sz w:val="21"/>
              </w:rPr>
              <w:t>（</w:t>
            </w:r>
            <w:r>
              <w:rPr>
                <w:sz w:val="21"/>
              </w:rPr>
              <w:t>1</w:t>
            </w:r>
            <w:r>
              <w:rPr>
                <w:sz w:val="21"/>
              </w:rPr>
              <w:t>）指标项维护及迭代</w:t>
            </w:r>
          </w:p>
          <w:p>
            <w:pPr>
              <w:ind w:firstLine="420"/>
              <w:jc w:val="both"/>
            </w:pPr>
            <w:r>
              <w:rPr>
                <w:sz w:val="21"/>
              </w:rPr>
              <w:t>对专题的指标进行维护迭代，结合用户单位的实际需求情况，及时更新指标项，确保数据应用活力，帮助管理者及时掌握阶段性重点工作与重点任务情况，围绕各专题应用场景，提供大中小屏专题指标运营服务，及时响应业务管理需求</w:t>
            </w:r>
            <w:r>
              <w:rPr>
                <w:sz w:val="21"/>
              </w:rPr>
              <w:t>。</w:t>
            </w:r>
            <w:r>
              <w:rPr>
                <w:sz w:val="21"/>
              </w:rPr>
              <w:t>提供</w:t>
            </w:r>
            <w:r>
              <w:rPr>
                <w:sz w:val="21"/>
              </w:rPr>
              <w:t>专题指标更新梳理、统计、分析等指标运营服务，有力支撑专题数据指标可视化建设。</w:t>
            </w:r>
          </w:p>
          <w:p>
            <w:pPr>
              <w:ind w:firstLine="420"/>
              <w:jc w:val="both"/>
            </w:pPr>
            <w:r>
              <w:rPr>
                <w:sz w:val="21"/>
              </w:rPr>
              <w:t>（</w:t>
            </w:r>
            <w:r>
              <w:rPr>
                <w:sz w:val="21"/>
              </w:rPr>
              <w:t>2</w:t>
            </w:r>
            <w:r>
              <w:rPr>
                <w:sz w:val="21"/>
              </w:rPr>
              <w:t>）专题指标对接</w:t>
            </w:r>
          </w:p>
          <w:p>
            <w:pPr>
              <w:ind w:firstLine="420"/>
              <w:jc w:val="both"/>
            </w:pPr>
            <w:r>
              <w:rPr>
                <w:sz w:val="21"/>
              </w:rPr>
              <w:t>若省级单位或其他相关单位有专题指标对接需求，提供指标对接服务及相关技术支撑服务。</w:t>
            </w:r>
          </w:p>
          <w:p>
            <w:pPr>
              <w:ind w:firstLine="420"/>
              <w:jc w:val="both"/>
            </w:pPr>
            <w:r>
              <w:rPr>
                <w:sz w:val="21"/>
              </w:rPr>
              <w:t>（</w:t>
            </w:r>
            <w:r>
              <w:rPr>
                <w:sz w:val="21"/>
              </w:rPr>
              <w:t>3</w:t>
            </w:r>
            <w:r>
              <w:rPr>
                <w:sz w:val="21"/>
              </w:rPr>
              <w:t>）指标模型维护及迭代</w:t>
            </w:r>
          </w:p>
          <w:p>
            <w:pPr>
              <w:ind w:firstLine="420"/>
              <w:jc w:val="both"/>
            </w:pPr>
            <w:r>
              <w:rPr>
                <w:sz w:val="21"/>
              </w:rPr>
              <w:t>围绕专题大中小屏应用，结合各专题应用场景与数据指标模型，按需进行数据指标模型维护与迭代服务，针对各专题应用的指标模型提供持续化的运营维护、更新迭代服务。</w:t>
            </w:r>
          </w:p>
          <w:p>
            <w:pPr>
              <w:ind w:firstLine="420"/>
              <w:jc w:val="both"/>
            </w:pPr>
            <w:r>
              <w:rPr>
                <w:sz w:val="21"/>
              </w:rPr>
              <w:t>（</w:t>
            </w:r>
            <w:r>
              <w:rPr>
                <w:sz w:val="21"/>
              </w:rPr>
              <w:t>4</w:t>
            </w:r>
            <w:r>
              <w:rPr>
                <w:sz w:val="21"/>
              </w:rPr>
              <w:t>）周期需求调研及指标分析优化</w:t>
            </w:r>
          </w:p>
          <w:p>
            <w:pPr>
              <w:ind w:firstLine="420"/>
              <w:jc w:val="both"/>
            </w:pPr>
            <w:r>
              <w:rPr>
                <w:sz w:val="21"/>
              </w:rPr>
              <w:t>为提高大</w:t>
            </w:r>
            <w:r>
              <w:rPr>
                <w:sz w:val="21"/>
              </w:rPr>
              <w:t>中小</w:t>
            </w:r>
            <w:r>
              <w:rPr>
                <w:sz w:val="21"/>
              </w:rPr>
              <w:t>屏专题运营服务效益，周期性开展大</w:t>
            </w:r>
            <w:r>
              <w:rPr>
                <w:sz w:val="21"/>
              </w:rPr>
              <w:t>中小</w:t>
            </w:r>
            <w:r>
              <w:rPr>
                <w:sz w:val="21"/>
              </w:rPr>
              <w:t>屏专题应用需求调研，对大</w:t>
            </w:r>
            <w:r>
              <w:rPr>
                <w:sz w:val="21"/>
              </w:rPr>
              <w:t>中小</w:t>
            </w:r>
            <w:r>
              <w:rPr>
                <w:sz w:val="21"/>
              </w:rPr>
              <w:t>屏专题应用场景、数据指标、可视化等不断进行需求探讨、深化。</w:t>
            </w:r>
          </w:p>
          <w:p>
            <w:pPr>
              <w:jc w:val="both"/>
            </w:pPr>
            <w:r>
              <w:rPr>
                <w:sz w:val="21"/>
              </w:rPr>
              <w:t>2.2.2.2.</w:t>
            </w:r>
            <w:r>
              <w:rPr>
                <w:sz w:val="21"/>
              </w:rPr>
              <w:t>专题运营维护</w:t>
            </w:r>
          </w:p>
          <w:p>
            <w:pPr>
              <w:ind w:firstLine="420"/>
              <w:jc w:val="both"/>
            </w:pPr>
            <w:r>
              <w:rPr>
                <w:sz w:val="21"/>
              </w:rPr>
              <w:t>（</w:t>
            </w:r>
            <w:r>
              <w:rPr>
                <w:sz w:val="21"/>
              </w:rPr>
              <w:t>1</w:t>
            </w:r>
            <w:r>
              <w:rPr>
                <w:sz w:val="21"/>
              </w:rPr>
              <w:t>）专题运营维护及迭代</w:t>
            </w:r>
          </w:p>
          <w:p>
            <w:pPr>
              <w:ind w:firstLine="420"/>
              <w:jc w:val="both"/>
            </w:pPr>
            <w:r>
              <w:rPr>
                <w:sz w:val="21"/>
              </w:rPr>
              <w:t>专题业务指的是全市概况专题及其他与党政、民生密切相关的业务专题。其目的是实现城市总体运行态势的</w:t>
            </w:r>
            <w:r>
              <w:rPr>
                <w:sz w:val="21"/>
              </w:rPr>
              <w:t>“一图感知”，是城市仪表盘、领导的驾驶舱。通过运用大数据、物联网、视频、区块链、人工智能等新一代信息化技术，利用一体化、智能化、开放性的城市基础平台对政务数据、物联网数据、视频数据、移动互联网等数据进行清洗、治理、融合，并通过可视化手段将这些信息按业务模型呈现在大屏上，全面监测城市经济、安全、交通、环保、水务、民生等领域运行态势，及时洞察城市风险和隐患，做到有“数”可循、有“图”可评，全面提升城市治理的科学化、精细化和智能化水平，实现一图感知全局，为城市管理者决策提供数据支撑。</w:t>
            </w:r>
          </w:p>
          <w:p>
            <w:pPr>
              <w:ind w:firstLine="420"/>
              <w:jc w:val="both"/>
            </w:pPr>
            <w:r>
              <w:rPr>
                <w:sz w:val="21"/>
              </w:rPr>
              <w:t>为提高专题应用场景使用效益，真正辅助管理者业务管理、分析研判、指挥决策等，动态结合各行业领域的工作与重点任务，提供全方位的专题运营服务。围绕专题，结合业务管理需求变化与阶段性工作任务重点不同，及时调整专题应用场景，确保专题应用及时反映实际情况，辅助管理者掌握行业情况，持续深化专题应用场景、释放数据智能应用价值。</w:t>
            </w:r>
          </w:p>
          <w:p>
            <w:pPr>
              <w:ind w:firstLine="420"/>
              <w:jc w:val="both"/>
            </w:pPr>
            <w:r>
              <w:rPr>
                <w:sz w:val="21"/>
              </w:rPr>
              <w:t>专题业务运营主要是为业务运营保障，保持和各个局的良好沟通协调，确保相关应用场景启动顺畅，业务专题运行正常，结果呈现合理。提供数据应用层面的保障，通过业务场景发掘和数据分析，输出深度报告和业务细分。引入开发者伙伴，基于平台为客户设计新的使用场景，调研新需求，开发新应用，为智慧城市护航，为领导决策提供支撑。</w:t>
            </w:r>
          </w:p>
          <w:p>
            <w:pPr>
              <w:ind w:firstLine="420"/>
              <w:jc w:val="both"/>
            </w:pPr>
            <w:r>
              <w:rPr>
                <w:sz w:val="21"/>
              </w:rPr>
              <w:t>（</w:t>
            </w:r>
            <w:r>
              <w:rPr>
                <w:sz w:val="21"/>
              </w:rPr>
              <w:t>2</w:t>
            </w:r>
            <w:r>
              <w:rPr>
                <w:sz w:val="21"/>
              </w:rPr>
              <w:t>）专题库运营维护及迭代</w:t>
            </w:r>
          </w:p>
          <w:p>
            <w:pPr>
              <w:ind w:firstLine="420"/>
              <w:jc w:val="both"/>
            </w:pPr>
            <w:r>
              <w:rPr>
                <w:sz w:val="21"/>
              </w:rPr>
              <w:t>建立专题库，结合专题应用需求持续迭代优化，对专题库进行更新迭代，确保有力支撑专题应用。</w:t>
            </w:r>
          </w:p>
          <w:p>
            <w:pPr>
              <w:jc w:val="both"/>
            </w:pPr>
            <w:r>
              <w:rPr>
                <w:sz w:val="21"/>
              </w:rPr>
              <w:t>2.2.2.3.</w:t>
            </w:r>
            <w:r>
              <w:rPr>
                <w:sz w:val="21"/>
              </w:rPr>
              <w:t>可视化呈现维护及迭代</w:t>
            </w:r>
          </w:p>
          <w:p>
            <w:pPr>
              <w:ind w:firstLine="420"/>
              <w:jc w:val="both"/>
            </w:pPr>
            <w:r>
              <w:rPr>
                <w:sz w:val="21"/>
              </w:rPr>
              <w:t>（</w:t>
            </w:r>
            <w:r>
              <w:rPr>
                <w:sz w:val="21"/>
              </w:rPr>
              <w:t>1</w:t>
            </w:r>
            <w:r>
              <w:rPr>
                <w:sz w:val="21"/>
              </w:rPr>
              <w:t>）卡片运营</w:t>
            </w:r>
          </w:p>
          <w:p>
            <w:pPr>
              <w:ind w:firstLine="420"/>
              <w:jc w:val="both"/>
            </w:pPr>
            <w:r>
              <w:rPr>
                <w:sz w:val="21"/>
              </w:rPr>
              <w:t>卡片运营服务是按需对现有卡片持续进行优化运营，保障卡片数据的准确性、及时性和权威性。</w:t>
            </w:r>
          </w:p>
          <w:p>
            <w:pPr>
              <w:jc w:val="both"/>
            </w:pPr>
            <w:r>
              <w:rPr>
                <w:sz w:val="21"/>
              </w:rPr>
              <w:t>包含卡片布局、排版调整、页面风格调整、交互设计调整、跳转配置等工作。</w:t>
            </w:r>
          </w:p>
          <w:p>
            <w:pPr>
              <w:ind w:firstLine="420"/>
              <w:jc w:val="both"/>
            </w:pPr>
            <w:r>
              <w:rPr>
                <w:sz w:val="21"/>
              </w:rPr>
              <w:t>结合专题可视化应用变化，进行卡片新增、删除、改动及权限配置服务。</w:t>
            </w:r>
          </w:p>
          <w:p>
            <w:pPr>
              <w:ind w:firstLine="420"/>
              <w:jc w:val="both"/>
            </w:pPr>
            <w:r>
              <w:rPr>
                <w:sz w:val="21"/>
              </w:rPr>
              <w:t>根据业务数据要求，进行数据归集（大数据中心）、数据治理、数据接口制作、专题卡片接入及测试等。</w:t>
            </w:r>
          </w:p>
          <w:p>
            <w:pPr>
              <w:jc w:val="both"/>
            </w:pPr>
            <w:r>
              <w:rPr>
                <w:sz w:val="21"/>
              </w:rPr>
              <w:t>建立卡片资料库，存储所有使用过的卡片资料，建立卡片资料知识库。</w:t>
            </w:r>
          </w:p>
          <w:p>
            <w:pPr>
              <w:ind w:firstLine="420"/>
              <w:jc w:val="both"/>
            </w:pPr>
            <w:r>
              <w:rPr>
                <w:sz w:val="21"/>
              </w:rPr>
              <w:t>（</w:t>
            </w:r>
            <w:r>
              <w:rPr>
                <w:sz w:val="21"/>
              </w:rPr>
              <w:t>2</w:t>
            </w:r>
            <w:r>
              <w:rPr>
                <w:sz w:val="21"/>
              </w:rPr>
              <w:t>）专题页面重构</w:t>
            </w:r>
          </w:p>
          <w:p>
            <w:pPr>
              <w:ind w:firstLine="420"/>
              <w:jc w:val="both"/>
            </w:pPr>
            <w:r>
              <w:rPr>
                <w:sz w:val="21"/>
              </w:rPr>
              <w:t>根据专题应用场景操作界面进行重构，结合专题应用场景的变化，重新设计专题页面，包括页面风格、展示指标数量、卡片样式、卡片数量等进行重新设计，并充分基于原有成果对已有卡片进行增、删、改、调，提供专题应用场景页面重构服务，确保专题应用页面可按需动态调整与各专题应用界面的正常运行操作。</w:t>
            </w:r>
          </w:p>
          <w:p>
            <w:pPr>
              <w:ind w:firstLine="420"/>
              <w:jc w:val="both"/>
            </w:pPr>
            <w:r>
              <w:rPr>
                <w:sz w:val="21"/>
              </w:rPr>
              <w:t>（</w:t>
            </w:r>
            <w:r>
              <w:rPr>
                <w:sz w:val="21"/>
              </w:rPr>
              <w:t>3</w:t>
            </w:r>
            <w:r>
              <w:rPr>
                <w:sz w:val="21"/>
              </w:rPr>
              <w:t>）简报运营</w:t>
            </w:r>
          </w:p>
          <w:p>
            <w:pPr>
              <w:ind w:firstLine="420"/>
              <w:jc w:val="both"/>
            </w:pPr>
            <w:r>
              <w:rPr>
                <w:sz w:val="21"/>
              </w:rPr>
              <w:t>随着城市大脑仪表盘和数字驾驶舱的不断演进成熟，各局委办相继提出快速构建简报，用于日常工作或者领导汇报等场景。专题运营人员通过专题构建工具，将已建设的卡片进行重组排版，快速形成简报，发布到城市仪表盘和数字驾驶舱，供领导和业务人员进行浏览使用。简报动态展示领导和业务人员关注的信息，也可以导出生成文档。</w:t>
            </w:r>
          </w:p>
          <w:p>
            <w:pPr>
              <w:jc w:val="both"/>
            </w:pPr>
            <w:r>
              <w:rPr>
                <w:sz w:val="21"/>
              </w:rPr>
              <w:t>2.2.2.4.</w:t>
            </w:r>
            <w:r>
              <w:rPr>
                <w:sz w:val="21"/>
              </w:rPr>
              <w:t>数据治理服务</w:t>
            </w:r>
          </w:p>
          <w:p>
            <w:pPr>
              <w:ind w:firstLine="420"/>
              <w:jc w:val="both"/>
            </w:pPr>
            <w:r>
              <w:rPr>
                <w:sz w:val="21"/>
              </w:rPr>
              <w:t>当发生新专题上线或旧专题更新的需求时，应提供数据治理服务，包括但不限于数据清洗、数据分析、数据挖掘、数据建模，要求处理后的数据能够正确反映用户单位的业务需求。</w:t>
            </w:r>
          </w:p>
          <w:p>
            <w:pPr>
              <w:jc w:val="both"/>
            </w:pPr>
            <w:r>
              <w:rPr>
                <w:sz w:val="21"/>
              </w:rPr>
              <w:t>2.2.2.5.</w:t>
            </w:r>
            <w:r>
              <w:rPr>
                <w:sz w:val="21"/>
              </w:rPr>
              <w:t>系统对接服务</w:t>
            </w:r>
          </w:p>
          <w:p>
            <w:pPr>
              <w:ind w:firstLine="420"/>
              <w:jc w:val="both"/>
            </w:pPr>
            <w:r>
              <w:rPr>
                <w:sz w:val="21"/>
              </w:rPr>
              <w:t>城市大脑专题的展示需要从外部系统获取数据源时，应通过大数据中心提供系统对接服务。</w:t>
            </w:r>
          </w:p>
          <w:p>
            <w:pPr>
              <w:jc w:val="both"/>
            </w:pPr>
            <w:r>
              <w:rPr>
                <w:sz w:val="21"/>
              </w:rPr>
              <w:t>2.2.2.6.</w:t>
            </w:r>
            <w:r>
              <w:rPr>
                <w:sz w:val="21"/>
              </w:rPr>
              <w:t>故障处理</w:t>
            </w:r>
          </w:p>
          <w:p>
            <w:pPr>
              <w:ind w:firstLine="420"/>
              <w:jc w:val="both"/>
            </w:pPr>
            <w:r>
              <w:rPr>
                <w:sz w:val="21"/>
              </w:rPr>
              <w:t>当出现数据缺失时，应及时处理专题展示的数据故障，分析数据故障的原因并提出解决方案。</w:t>
            </w:r>
          </w:p>
          <w:p>
            <w:pPr>
              <w:jc w:val="both"/>
            </w:pPr>
            <w:r>
              <w:rPr>
                <w:sz w:val="21"/>
              </w:rPr>
              <w:t>当出现专题功能显示异常时，应对卡片模型进行修复，必要时可重新构建专题卡片。</w:t>
            </w:r>
          </w:p>
          <w:p>
            <w:pPr>
              <w:ind w:firstLine="420"/>
              <w:jc w:val="both"/>
            </w:pPr>
            <w:r>
              <w:rPr>
                <w:sz w:val="21"/>
              </w:rPr>
              <w:t>当出现对接故障导致专题无法正常呈现时，应及时对接口进行维护，必要时可重新对接外部系统，如大数据中心、部门业务系统等。</w:t>
            </w:r>
          </w:p>
          <w:p>
            <w:pPr>
              <w:jc w:val="both"/>
            </w:pPr>
            <w:r>
              <w:rPr>
                <w:sz w:val="21"/>
              </w:rPr>
              <w:t>2.2.3.</w:t>
            </w:r>
            <w:r>
              <w:rPr>
                <w:sz w:val="21"/>
              </w:rPr>
              <w:t>应用推广及人才培训</w:t>
            </w:r>
          </w:p>
          <w:p>
            <w:pPr>
              <w:jc w:val="both"/>
            </w:pPr>
            <w:r>
              <w:rPr>
                <w:sz w:val="21"/>
              </w:rPr>
              <w:t>2.2.3.1.</w:t>
            </w:r>
            <w:r>
              <w:rPr>
                <w:sz w:val="21"/>
              </w:rPr>
              <w:t>使用指导培训</w:t>
            </w:r>
          </w:p>
          <w:p>
            <w:pPr>
              <w:ind w:firstLine="420"/>
              <w:jc w:val="both"/>
            </w:pPr>
            <w:r>
              <w:rPr>
                <w:sz w:val="21"/>
              </w:rPr>
              <w:t>使用指导培训主要是围绕各委办局所拥有的各自专题业务来展开，目的是让各委办局能够用好专题，发挥各业务专题的功效，能够给各委办局的实际工作提供数据支撑和决策依据。培训的内容包含：业务设计的框架、功能清单、交互逻辑以及数据清单等。</w:t>
            </w:r>
          </w:p>
          <w:p>
            <w:pPr>
              <w:ind w:firstLine="420"/>
              <w:jc w:val="both"/>
            </w:pPr>
            <w:r>
              <w:rPr>
                <w:sz w:val="21"/>
              </w:rPr>
              <w:t>通过提供全方位的培训服务，协助建设单位建立一支懂管理、技术过硬、业务精通的信息化人才队伍。通过培训，使中高层管理者洞察数字技术最新发展趋势，用数字化思维指导工作；使运营管理中心技术人员了解并掌握各业务专题的技术原理及相关操作，保障智慧城市</w:t>
            </w:r>
            <w:r>
              <w:rPr>
                <w:sz w:val="21"/>
              </w:rPr>
              <w:t>IOC</w:t>
            </w:r>
            <w:r>
              <w:rPr>
                <w:sz w:val="21"/>
              </w:rPr>
              <w:t>能够稳定、高效、安全运行，支撑业务长期可持续发展。</w:t>
            </w:r>
          </w:p>
          <w:p>
            <w:pPr>
              <w:jc w:val="both"/>
            </w:pPr>
            <w:r>
              <w:rPr>
                <w:sz w:val="21"/>
              </w:rPr>
              <w:t>2.2.3.2.</w:t>
            </w:r>
            <w:r>
              <w:rPr>
                <w:sz w:val="21"/>
              </w:rPr>
              <w:t>使用评估与分析</w:t>
            </w:r>
          </w:p>
          <w:p>
            <w:pPr>
              <w:ind w:firstLine="420"/>
              <w:jc w:val="both"/>
            </w:pPr>
            <w:r>
              <w:rPr>
                <w:sz w:val="21"/>
              </w:rPr>
              <w:t>从产品、用户、业务</w:t>
            </w:r>
            <w:r>
              <w:rPr>
                <w:sz w:val="21"/>
              </w:rPr>
              <w:t>3</w:t>
            </w:r>
            <w:r>
              <w:rPr>
                <w:sz w:val="21"/>
              </w:rPr>
              <w:t>个维度，通过评估、分析、改进的循环模式不断提升业务专题价值，让客户直观清楚的了解现有专题的使用情况及价值，为专题的及时更新、迭代提供数据支撑。</w:t>
            </w:r>
          </w:p>
          <w:p>
            <w:pPr>
              <w:ind w:firstLine="420"/>
              <w:jc w:val="both"/>
            </w:pPr>
            <w:r>
              <w:rPr>
                <w:sz w:val="21"/>
              </w:rPr>
              <w:t>从用户的视角进行专题评估，专题功能的优劣可以从用户日常使用的体验来进行评估。从功能、可靠性、数据情况、使用效率和业务使用量角度来定义用户的体验，对专题的评估建立科学的评估体系。</w:t>
            </w:r>
          </w:p>
          <w:p>
            <w:pPr>
              <w:jc w:val="center"/>
            </w:pPr>
            <w:r>
              <w:rPr>
                <w:sz w:val="21"/>
              </w:rPr>
              <w:t>表</w:t>
            </w:r>
            <w:r>
              <w:rPr>
                <w:sz w:val="21"/>
              </w:rPr>
              <w:t>专题评估表</w:t>
            </w:r>
          </w:p>
          <w:tbl>
            <w:tblPr>
              <w:tblInd w:type="dxa" w:w="120"/>
              <w:tblBorders>
                <w:top w:val="none" w:color="000000" w:sz="4"/>
                <w:left w:val="none" w:color="000000" w:sz="4"/>
                <w:bottom w:val="none" w:color="000000" w:sz="4"/>
                <w:right w:val="none" w:color="000000" w:sz="4"/>
                <w:insideH w:val="none"/>
                <w:insideV w:val="none"/>
              </w:tblBorders>
            </w:tblPr>
            <w:tblGrid>
              <w:gridCol w:w="499"/>
              <w:gridCol w:w="499"/>
              <w:gridCol w:w="620"/>
              <w:gridCol w:w="3979"/>
            </w:tblGrid>
            <w:tr>
              <w:tc>
                <w:tcPr>
                  <w:tcW w:type="dxa" w:w="499"/>
                  <w:tcBorders>
                    <w:top w:val="single" w:color="000000" w:sz="4"/>
                    <w:left w:val="single" w:color="000000" w:sz="4"/>
                    <w:bottom w:val="single" w:color="000000" w:sz="4"/>
                    <w:right w:val="single" w:color="000000" w:sz="4"/>
                  </w:tcBorders>
                  <w:vAlign w:val="top"/>
                </w:tcPr>
                <w:p>
                  <w:r>
                    <w:rPr>
                      <w:sz w:val="21"/>
                    </w:rPr>
                    <w:t>运营维度</w:t>
                  </w:r>
                </w:p>
              </w:tc>
              <w:tc>
                <w:tcPr>
                  <w:tcW w:type="dxa" w:w="499"/>
                  <w:tcBorders>
                    <w:top w:val="single" w:color="000000" w:sz="4"/>
                    <w:left w:val="none" w:color="000000" w:sz="4"/>
                    <w:bottom w:val="single" w:color="000000" w:sz="4"/>
                    <w:right w:val="single" w:color="000000" w:sz="4"/>
                  </w:tcBorders>
                  <w:vAlign w:val="top"/>
                </w:tcPr>
                <w:p>
                  <w:r>
                    <w:rPr>
                      <w:sz w:val="21"/>
                    </w:rPr>
                    <w:t>体验维度</w:t>
                  </w:r>
                </w:p>
              </w:tc>
              <w:tc>
                <w:tcPr>
                  <w:tcW w:type="dxa" w:w="620"/>
                  <w:tcBorders>
                    <w:top w:val="single" w:color="000000" w:sz="4"/>
                    <w:left w:val="none" w:color="000000" w:sz="4"/>
                    <w:bottom w:val="single" w:color="000000" w:sz="4"/>
                    <w:right w:val="single" w:color="000000" w:sz="4"/>
                  </w:tcBorders>
                  <w:vAlign w:val="top"/>
                </w:tcPr>
                <w:p>
                  <w:r>
                    <w:rPr>
                      <w:sz w:val="21"/>
                    </w:rPr>
                    <w:t>体验要素</w:t>
                  </w:r>
                </w:p>
              </w:tc>
              <w:tc>
                <w:tcPr>
                  <w:tcW w:type="dxa" w:w="3979"/>
                  <w:tcBorders>
                    <w:top w:val="single" w:color="000000" w:sz="4"/>
                    <w:left w:val="none" w:color="000000" w:sz="4"/>
                    <w:bottom w:val="single" w:color="000000" w:sz="4"/>
                    <w:right w:val="single" w:color="000000" w:sz="4"/>
                  </w:tcBorders>
                  <w:vAlign w:val="top"/>
                </w:tcPr>
                <w:p>
                  <w:r>
                    <w:rPr>
                      <w:sz w:val="21"/>
                    </w:rPr>
                    <w:t>详细描述</w:t>
                  </w:r>
                </w:p>
              </w:tc>
            </w:tr>
            <w:tr>
              <w:tc>
                <w:tcPr>
                  <w:tcW w:type="dxa" w:w="499"/>
                  <w:vMerge w:val="restart"/>
                  <w:tcBorders>
                    <w:top w:val="none" w:color="000000" w:sz="4"/>
                    <w:left w:val="single" w:color="000000" w:sz="4"/>
                    <w:bottom w:val="single" w:color="000000" w:sz="4"/>
                    <w:right w:val="single" w:color="000000" w:sz="4"/>
                  </w:tcBorders>
                  <w:vAlign w:val="top"/>
                </w:tcPr>
                <w:p>
                  <w:r>
                    <w:rPr>
                      <w:sz w:val="21"/>
                    </w:rPr>
                    <w:t>产品</w:t>
                  </w:r>
                </w:p>
              </w:tc>
              <w:tc>
                <w:tcPr>
                  <w:tcW w:type="dxa" w:w="499"/>
                  <w:vMerge w:val="restart"/>
                  <w:tcBorders>
                    <w:top w:val="none" w:color="000000" w:sz="4"/>
                    <w:left w:val="none" w:color="000000" w:sz="4"/>
                    <w:bottom w:val="single" w:color="000000" w:sz="4"/>
                    <w:right w:val="single" w:color="000000" w:sz="4"/>
                  </w:tcBorders>
                  <w:vAlign w:val="top"/>
                </w:tcPr>
                <w:p>
                  <w:r>
                    <w:rPr>
                      <w:sz w:val="21"/>
                    </w:rPr>
                    <w:t>功能</w:t>
                  </w:r>
                </w:p>
              </w:tc>
              <w:tc>
                <w:tcPr>
                  <w:tcW w:type="dxa" w:w="620"/>
                  <w:tcBorders>
                    <w:top w:val="none" w:color="000000" w:sz="4"/>
                    <w:left w:val="none" w:color="000000" w:sz="4"/>
                    <w:bottom w:val="single" w:color="000000" w:sz="4"/>
                    <w:right w:val="single" w:color="000000" w:sz="4"/>
                  </w:tcBorders>
                  <w:vAlign w:val="top"/>
                </w:tcPr>
                <w:p>
                  <w:r>
                    <w:rPr>
                      <w:sz w:val="21"/>
                    </w:rPr>
                    <w:t>满足度</w:t>
                  </w:r>
                </w:p>
              </w:tc>
              <w:tc>
                <w:tcPr>
                  <w:tcW w:type="dxa" w:w="3979"/>
                  <w:tcBorders>
                    <w:top w:val="none" w:color="000000" w:sz="4"/>
                    <w:left w:val="none" w:color="000000" w:sz="4"/>
                    <w:bottom w:val="single" w:color="000000" w:sz="4"/>
                    <w:right w:val="single" w:color="000000" w:sz="4"/>
                  </w:tcBorders>
                  <w:vAlign w:val="top"/>
                </w:tcPr>
                <w:p>
                  <w:r>
                    <w:rPr>
                      <w:sz w:val="21"/>
                    </w:rPr>
                    <w:t>我需要使用的功能，该产品都有</w:t>
                  </w:r>
                </w:p>
              </w:tc>
            </w:tr>
            <w:tr>
              <w:tc>
                <w:tcPr>
                  <w:tcW w:type="dxa" w:w="499"/>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vAlign w:val="top"/>
                </w:tcPr>
                <w:p>
                  <w:r>
                    <w:rPr>
                      <w:sz w:val="21"/>
                    </w:rPr>
                    <w:t>实用性</w:t>
                  </w:r>
                </w:p>
              </w:tc>
              <w:tc>
                <w:tcPr>
                  <w:tcW w:type="dxa" w:w="3979"/>
                  <w:tcBorders>
                    <w:top w:val="none" w:color="000000" w:sz="4"/>
                    <w:left w:val="none" w:color="000000" w:sz="4"/>
                    <w:bottom w:val="single" w:color="000000" w:sz="4"/>
                    <w:right w:val="single" w:color="000000" w:sz="4"/>
                  </w:tcBorders>
                  <w:vAlign w:val="top"/>
                </w:tcPr>
                <w:p>
                  <w:r>
                    <w:rPr>
                      <w:sz w:val="21"/>
                    </w:rPr>
                    <w:t>该产品没有我不需要的功能</w:t>
                  </w:r>
                </w:p>
              </w:tc>
            </w:tr>
            <w:tr>
              <w:tc>
                <w:tcPr>
                  <w:tcW w:type="dxa" w:w="499"/>
                  <w:vMerge/>
                  <w:tcBorders>
                    <w:top w:val="none" w:color="000000" w:sz="4"/>
                    <w:left w:val="single" w:color="000000" w:sz="4"/>
                    <w:bottom w:val="single" w:color="000000" w:sz="4"/>
                    <w:right w:val="single" w:color="000000" w:sz="4"/>
                  </w:tcBorders>
                </w:tcPr>
                <w:p/>
              </w:tc>
              <w:tc>
                <w:tcPr>
                  <w:tcW w:type="dxa" w:w="499"/>
                  <w:vMerge w:val="restart"/>
                  <w:tcBorders>
                    <w:top w:val="none" w:color="000000" w:sz="4"/>
                    <w:left w:val="none" w:color="000000" w:sz="4"/>
                    <w:bottom w:val="single" w:color="000000" w:sz="4"/>
                    <w:right w:val="single" w:color="000000" w:sz="4"/>
                  </w:tcBorders>
                  <w:vAlign w:val="top"/>
                </w:tcPr>
                <w:p>
                  <w:r>
                    <w:rPr>
                      <w:sz w:val="21"/>
                    </w:rPr>
                    <w:t>可靠</w:t>
                  </w:r>
                </w:p>
              </w:tc>
              <w:tc>
                <w:tcPr>
                  <w:tcW w:type="dxa" w:w="620"/>
                  <w:tcBorders>
                    <w:top w:val="none" w:color="000000" w:sz="4"/>
                    <w:left w:val="none" w:color="000000" w:sz="4"/>
                    <w:bottom w:val="single" w:color="000000" w:sz="4"/>
                    <w:right w:val="single" w:color="000000" w:sz="4"/>
                  </w:tcBorders>
                  <w:vAlign w:val="top"/>
                </w:tcPr>
                <w:p>
                  <w:r>
                    <w:rPr>
                      <w:sz w:val="21"/>
                    </w:rPr>
                    <w:t>响应速度</w:t>
                  </w:r>
                </w:p>
              </w:tc>
              <w:tc>
                <w:tcPr>
                  <w:tcW w:type="dxa" w:w="3979"/>
                  <w:tcBorders>
                    <w:top w:val="none" w:color="000000" w:sz="4"/>
                    <w:left w:val="none" w:color="000000" w:sz="4"/>
                    <w:bottom w:val="single" w:color="000000" w:sz="4"/>
                    <w:right w:val="single" w:color="000000" w:sz="4"/>
                  </w:tcBorders>
                  <w:vAlign w:val="top"/>
                </w:tcPr>
                <w:p>
                  <w:r>
                    <w:rPr>
                      <w:sz w:val="21"/>
                    </w:rPr>
                    <w:t>我觉得产品加载速度快且使用顺畅</w:t>
                  </w:r>
                </w:p>
              </w:tc>
            </w:tr>
            <w:tr>
              <w:tc>
                <w:tcPr>
                  <w:tcW w:type="dxa" w:w="499"/>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vAlign w:val="top"/>
                </w:tcPr>
                <w:p>
                  <w:r>
                    <w:rPr>
                      <w:sz w:val="21"/>
                    </w:rPr>
                    <w:t>系统错误</w:t>
                  </w:r>
                </w:p>
              </w:tc>
              <w:tc>
                <w:tcPr>
                  <w:tcW w:type="dxa" w:w="3979"/>
                  <w:tcBorders>
                    <w:top w:val="none" w:color="000000" w:sz="4"/>
                    <w:left w:val="none" w:color="000000" w:sz="4"/>
                    <w:bottom w:val="single" w:color="000000" w:sz="4"/>
                    <w:right w:val="single" w:color="000000" w:sz="4"/>
                  </w:tcBorders>
                  <w:vAlign w:val="top"/>
                </w:tcPr>
                <w:p>
                  <w:r>
                    <w:rPr>
                      <w:sz w:val="21"/>
                    </w:rPr>
                    <w:t>系统很稳定，不会出错或中断</w:t>
                  </w:r>
                </w:p>
              </w:tc>
            </w:tr>
            <w:tr>
              <w:tc>
                <w:tcPr>
                  <w:tcW w:type="dxa" w:w="499"/>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vAlign w:val="top"/>
                </w:tcPr>
                <w:p>
                  <w:r>
                    <w:rPr>
                      <w:sz w:val="21"/>
                    </w:rPr>
                    <w:t>维护与支持</w:t>
                  </w:r>
                </w:p>
              </w:tc>
              <w:tc>
                <w:tcPr>
                  <w:tcW w:type="dxa" w:w="3979"/>
                  <w:tcBorders>
                    <w:top w:val="none" w:color="000000" w:sz="4"/>
                    <w:left w:val="none" w:color="000000" w:sz="4"/>
                    <w:bottom w:val="single" w:color="000000" w:sz="4"/>
                    <w:right w:val="single" w:color="000000" w:sz="4"/>
                  </w:tcBorders>
                  <w:vAlign w:val="top"/>
                </w:tcPr>
                <w:p>
                  <w:r>
                    <w:rPr>
                      <w:sz w:val="21"/>
                    </w:rPr>
                    <w:t>遇到问题时，我有渠道反馈，并能很快地获得帮助</w:t>
                  </w:r>
                </w:p>
              </w:tc>
            </w:tr>
            <w:tr>
              <w:tc>
                <w:tcPr>
                  <w:tcW w:type="dxa" w:w="499"/>
                  <w:vMerge/>
                  <w:tcBorders>
                    <w:top w:val="none" w:color="000000" w:sz="4"/>
                    <w:left w:val="single" w:color="000000" w:sz="4"/>
                    <w:bottom w:val="single" w:color="000000" w:sz="4"/>
                    <w:right w:val="single" w:color="000000" w:sz="4"/>
                  </w:tcBorders>
                </w:tcPr>
                <w:p/>
              </w:tc>
              <w:tc>
                <w:tcPr>
                  <w:tcW w:type="dxa" w:w="499"/>
                  <w:tcBorders>
                    <w:top w:val="none" w:color="000000" w:sz="4"/>
                    <w:left w:val="none" w:color="000000" w:sz="4"/>
                    <w:bottom w:val="single" w:color="000000" w:sz="4"/>
                    <w:right w:val="single" w:color="000000" w:sz="4"/>
                  </w:tcBorders>
                  <w:vAlign w:val="top"/>
                </w:tcPr>
                <w:p>
                  <w:r>
                    <w:rPr>
                      <w:sz w:val="21"/>
                    </w:rPr>
                    <w:t>数据</w:t>
                  </w:r>
                </w:p>
              </w:tc>
              <w:tc>
                <w:tcPr>
                  <w:tcW w:type="dxa" w:w="620"/>
                  <w:tcBorders>
                    <w:top w:val="none" w:color="000000" w:sz="4"/>
                    <w:left w:val="none" w:color="000000" w:sz="4"/>
                    <w:bottom w:val="single" w:color="000000" w:sz="4"/>
                    <w:right w:val="single" w:color="000000" w:sz="4"/>
                  </w:tcBorders>
                  <w:vAlign w:val="top"/>
                </w:tcPr>
                <w:p>
                  <w:r>
                    <w:rPr>
                      <w:sz w:val="21"/>
                    </w:rPr>
                    <w:t>数据质量</w:t>
                  </w:r>
                </w:p>
              </w:tc>
              <w:tc>
                <w:tcPr>
                  <w:tcW w:type="dxa" w:w="3979"/>
                  <w:tcBorders>
                    <w:top w:val="none" w:color="000000" w:sz="4"/>
                    <w:left w:val="none" w:color="000000" w:sz="4"/>
                    <w:bottom w:val="single" w:color="000000" w:sz="4"/>
                    <w:right w:val="single" w:color="000000" w:sz="4"/>
                  </w:tcBorders>
                  <w:vAlign w:val="top"/>
                </w:tcPr>
                <w:p>
                  <w:r>
                    <w:rPr>
                      <w:sz w:val="21"/>
                    </w:rPr>
                    <w:t>系统上的数据是完整、及时和准确</w:t>
                  </w:r>
                </w:p>
              </w:tc>
            </w:tr>
            <w:tr>
              <w:tc>
                <w:tcPr>
                  <w:tcW w:type="dxa" w:w="499"/>
                  <w:vMerge w:val="restart"/>
                  <w:tcBorders>
                    <w:top w:val="none" w:color="000000" w:sz="4"/>
                    <w:left w:val="single" w:color="000000" w:sz="4"/>
                    <w:bottom w:val="single" w:color="000000" w:sz="4"/>
                    <w:right w:val="single" w:color="000000" w:sz="4"/>
                  </w:tcBorders>
                  <w:vAlign w:val="top"/>
                </w:tcPr>
                <w:p>
                  <w:r>
                    <w:rPr>
                      <w:sz w:val="21"/>
                    </w:rPr>
                    <w:t>用户</w:t>
                  </w:r>
                </w:p>
              </w:tc>
              <w:tc>
                <w:tcPr>
                  <w:tcW w:type="dxa" w:w="499"/>
                  <w:vMerge w:val="restart"/>
                  <w:tcBorders>
                    <w:top w:val="none" w:color="000000" w:sz="4"/>
                    <w:left w:val="none" w:color="000000" w:sz="4"/>
                    <w:bottom w:val="single" w:color="000000" w:sz="4"/>
                    <w:right w:val="single" w:color="000000" w:sz="4"/>
                  </w:tcBorders>
                  <w:vAlign w:val="top"/>
                </w:tcPr>
                <w:p>
                  <w:r>
                    <w:rPr>
                      <w:sz w:val="21"/>
                    </w:rPr>
                    <w:t>效率</w:t>
                  </w:r>
                </w:p>
              </w:tc>
              <w:tc>
                <w:tcPr>
                  <w:tcW w:type="dxa" w:w="620"/>
                  <w:tcBorders>
                    <w:top w:val="none" w:color="000000" w:sz="4"/>
                    <w:left w:val="none" w:color="000000" w:sz="4"/>
                    <w:bottom w:val="single" w:color="000000" w:sz="4"/>
                    <w:right w:val="single" w:color="000000" w:sz="4"/>
                  </w:tcBorders>
                  <w:vAlign w:val="top"/>
                </w:tcPr>
                <w:p>
                  <w:r>
                    <w:rPr>
                      <w:sz w:val="21"/>
                    </w:rPr>
                    <w:t>易用性</w:t>
                  </w:r>
                </w:p>
              </w:tc>
              <w:tc>
                <w:tcPr>
                  <w:tcW w:type="dxa" w:w="3979"/>
                  <w:tcBorders>
                    <w:top w:val="none" w:color="000000" w:sz="4"/>
                    <w:left w:val="none" w:color="000000" w:sz="4"/>
                    <w:bottom w:val="single" w:color="000000" w:sz="4"/>
                    <w:right w:val="single" w:color="000000" w:sz="4"/>
                  </w:tcBorders>
                  <w:vAlign w:val="top"/>
                </w:tcPr>
                <w:p>
                  <w:r>
                    <w:rPr>
                      <w:sz w:val="21"/>
                    </w:rPr>
                    <w:t>产品简单好用，信息有用容易理解，系统会对我的操作行为作出有用的反馈</w:t>
                  </w:r>
                </w:p>
              </w:tc>
            </w:tr>
            <w:tr>
              <w:tc>
                <w:tcPr>
                  <w:tcW w:type="dxa" w:w="499"/>
                  <w:vMerge/>
                  <w:tcBorders>
                    <w:top w:val="none" w:color="000000" w:sz="4"/>
                    <w:left w:val="single" w:color="000000" w:sz="4"/>
                    <w:bottom w:val="single" w:color="000000" w:sz="4"/>
                    <w:right w:val="single" w:color="000000" w:sz="4"/>
                  </w:tcBorders>
                </w:tcPr>
                <w:p/>
              </w:tc>
              <w:tc>
                <w:tcPr>
                  <w:tcW w:type="dxa" w:w="499"/>
                  <w:vMerge/>
                  <w:tcBorders>
                    <w:top w:val="none" w:color="000000" w:sz="4"/>
                    <w:left w:val="none" w:color="000000" w:sz="4"/>
                    <w:bottom w:val="single" w:color="000000" w:sz="4"/>
                    <w:right w:val="single" w:color="000000" w:sz="4"/>
                  </w:tcBorders>
                </w:tcPr>
                <w:p/>
              </w:tc>
              <w:tc>
                <w:tcPr>
                  <w:tcW w:type="dxa" w:w="620"/>
                  <w:tcBorders>
                    <w:top w:val="none" w:color="000000" w:sz="4"/>
                    <w:left w:val="none" w:color="000000" w:sz="4"/>
                    <w:bottom w:val="single" w:color="000000" w:sz="4"/>
                    <w:right w:val="single" w:color="000000" w:sz="4"/>
                  </w:tcBorders>
                  <w:vAlign w:val="top"/>
                </w:tcPr>
                <w:p>
                  <w:r>
                    <w:rPr>
                      <w:sz w:val="21"/>
                    </w:rPr>
                    <w:t>操作成本</w:t>
                  </w:r>
                </w:p>
              </w:tc>
              <w:tc>
                <w:tcPr>
                  <w:tcW w:type="dxa" w:w="3979"/>
                  <w:tcBorders>
                    <w:top w:val="none" w:color="000000" w:sz="4"/>
                    <w:left w:val="none" w:color="000000" w:sz="4"/>
                    <w:bottom w:val="single" w:color="000000" w:sz="4"/>
                    <w:right w:val="single" w:color="000000" w:sz="4"/>
                  </w:tcBorders>
                  <w:vAlign w:val="top"/>
                </w:tcPr>
                <w:p>
                  <w:r>
                    <w:rPr>
                      <w:sz w:val="21"/>
                    </w:rPr>
                    <w:t>我能花很少的时间和精力完成操作</w:t>
                  </w:r>
                </w:p>
              </w:tc>
            </w:tr>
            <w:tr>
              <w:tc>
                <w:tcPr>
                  <w:tcW w:type="dxa" w:w="499"/>
                  <w:tcBorders>
                    <w:top w:val="none" w:color="000000" w:sz="4"/>
                    <w:left w:val="single" w:color="000000" w:sz="4"/>
                    <w:bottom w:val="single" w:color="000000" w:sz="4"/>
                    <w:right w:val="single" w:color="000000" w:sz="4"/>
                  </w:tcBorders>
                  <w:vAlign w:val="top"/>
                </w:tcPr>
                <w:p>
                  <w:r>
                    <w:rPr>
                      <w:sz w:val="21"/>
                    </w:rPr>
                    <w:t>业务</w:t>
                  </w:r>
                </w:p>
              </w:tc>
              <w:tc>
                <w:tcPr>
                  <w:tcW w:type="dxa" w:w="499"/>
                  <w:tcBorders>
                    <w:top w:val="none" w:color="000000" w:sz="4"/>
                    <w:left w:val="none" w:color="000000" w:sz="4"/>
                    <w:bottom w:val="single" w:color="000000" w:sz="4"/>
                    <w:right w:val="single" w:color="000000" w:sz="4"/>
                  </w:tcBorders>
                  <w:vAlign w:val="top"/>
                </w:tcPr>
                <w:p>
                  <w:r>
                    <w:rPr>
                      <w:sz w:val="21"/>
                    </w:rPr>
                    <w:t>业务量</w:t>
                  </w:r>
                </w:p>
              </w:tc>
              <w:tc>
                <w:tcPr>
                  <w:tcW w:type="dxa" w:w="620"/>
                  <w:tcBorders>
                    <w:top w:val="none" w:color="000000" w:sz="4"/>
                    <w:left w:val="none" w:color="000000" w:sz="4"/>
                    <w:bottom w:val="single" w:color="000000" w:sz="4"/>
                    <w:right w:val="single" w:color="000000" w:sz="4"/>
                  </w:tcBorders>
                  <w:vAlign w:val="top"/>
                </w:tcPr>
                <w:p>
                  <w:r>
                    <w:rPr>
                      <w:sz w:val="21"/>
                    </w:rPr>
                    <w:t>使用次数</w:t>
                  </w:r>
                </w:p>
              </w:tc>
              <w:tc>
                <w:tcPr>
                  <w:tcW w:type="dxa" w:w="3979"/>
                  <w:tcBorders>
                    <w:top w:val="none" w:color="000000" w:sz="4"/>
                    <w:left w:val="none" w:color="000000" w:sz="4"/>
                    <w:bottom w:val="single" w:color="000000" w:sz="4"/>
                    <w:right w:val="single" w:color="000000" w:sz="4"/>
                  </w:tcBorders>
                  <w:vAlign w:val="top"/>
                </w:tcPr>
                <w:p>
                  <w:r>
                    <w:rPr>
                      <w:sz w:val="21"/>
                    </w:rPr>
                    <w:t>系统被使用的次数</w:t>
                  </w:r>
                </w:p>
              </w:tc>
            </w:tr>
          </w:tbl>
          <w:p>
            <w:pPr>
              <w:jc w:val="both"/>
            </w:pPr>
          </w:p>
          <w:p>
            <w:pPr>
              <w:ind w:firstLine="420"/>
              <w:jc w:val="both"/>
            </w:pPr>
            <w:r>
              <w:rPr>
                <w:sz w:val="21"/>
              </w:rPr>
              <w:t>1</w:t>
            </w:r>
            <w:r>
              <w:rPr>
                <w:sz w:val="21"/>
              </w:rPr>
              <w:t>）专题分析</w:t>
            </w:r>
          </w:p>
          <w:p>
            <w:pPr>
              <w:ind w:firstLine="420"/>
              <w:jc w:val="both"/>
            </w:pPr>
            <w:r>
              <w:rPr>
                <w:sz w:val="21"/>
              </w:rPr>
              <w:t>在评估体系的基础上建立评价要素的量化指标，即专题体验要素分解为</w:t>
            </w:r>
            <w:r>
              <w:rPr>
                <w:sz w:val="21"/>
              </w:rPr>
              <w:t>IT</w:t>
            </w:r>
            <w:r>
              <w:rPr>
                <w:sz w:val="21"/>
              </w:rPr>
              <w:t>内部量化支撑指标，将业务问题其转化成数据问题，定义每个要素的数据统计方法和权重，计算业务专题评估得分。</w:t>
            </w:r>
          </w:p>
          <w:p>
            <w:pPr>
              <w:jc w:val="center"/>
            </w:pPr>
            <w:r>
              <w:rPr>
                <w:sz w:val="21"/>
              </w:rPr>
              <w:t>表</w:t>
            </w:r>
            <w:r>
              <w:rPr>
                <w:sz w:val="21"/>
              </w:rPr>
              <w:t>专题分析表</w:t>
            </w:r>
          </w:p>
          <w:tbl>
            <w:tblPr>
              <w:tblInd w:type="dxa" w:w="135"/>
              <w:tblBorders>
                <w:top w:val="none" w:color="000000" w:sz="4"/>
                <w:left w:val="none" w:color="000000" w:sz="4"/>
                <w:bottom w:val="none" w:color="000000" w:sz="4"/>
                <w:right w:val="none" w:color="000000" w:sz="4"/>
                <w:insideH w:val="none"/>
                <w:insideV w:val="none"/>
              </w:tblBorders>
            </w:tblPr>
            <w:tblGrid>
              <w:gridCol w:w="555"/>
              <w:gridCol w:w="570"/>
              <w:gridCol w:w="660"/>
              <w:gridCol w:w="1140"/>
              <w:gridCol w:w="2010"/>
              <w:gridCol w:w="615"/>
            </w:tblGrid>
            <w:tr>
              <w:tc>
                <w:tcPr>
                  <w:tcW w:type="dxa" w:w="555"/>
                  <w:tcBorders>
                    <w:top w:val="single" w:color="000000" w:sz="4"/>
                    <w:left w:val="single" w:color="000000" w:sz="4"/>
                    <w:bottom w:val="single" w:color="000000" w:sz="4"/>
                    <w:right w:val="single" w:color="000000" w:sz="4"/>
                  </w:tcBorders>
                  <w:vAlign w:val="top"/>
                </w:tcPr>
                <w:p>
                  <w:pPr>
                    <w:jc w:val="left"/>
                  </w:pPr>
                  <w:r>
                    <w:rPr>
                      <w:sz w:val="21"/>
                    </w:rPr>
                    <w:t>要素</w:t>
                  </w:r>
                  <w:r>
                    <w:br/>
                  </w:r>
                  <w:r>
                    <w:rPr>
                      <w:sz w:val="21"/>
                    </w:rPr>
                    <w:t>（一层）</w:t>
                  </w:r>
                </w:p>
              </w:tc>
              <w:tc>
                <w:tcPr>
                  <w:tcW w:type="dxa" w:w="570"/>
                  <w:tcBorders>
                    <w:top w:val="single" w:color="000000" w:sz="4"/>
                    <w:left w:val="none" w:color="000000" w:sz="4"/>
                    <w:bottom w:val="single" w:color="000000" w:sz="4"/>
                    <w:right w:val="single" w:color="000000" w:sz="4"/>
                  </w:tcBorders>
                  <w:vAlign w:val="top"/>
                </w:tcPr>
                <w:p>
                  <w:pPr>
                    <w:jc w:val="left"/>
                  </w:pPr>
                  <w:r>
                    <w:rPr>
                      <w:sz w:val="21"/>
                    </w:rPr>
                    <w:t>要素（二层）</w:t>
                  </w:r>
                </w:p>
              </w:tc>
              <w:tc>
                <w:tcPr>
                  <w:tcW w:type="dxa" w:w="660"/>
                  <w:tcBorders>
                    <w:top w:val="single" w:color="000000" w:sz="4"/>
                    <w:left w:val="none" w:color="000000" w:sz="4"/>
                    <w:bottom w:val="single" w:color="000000" w:sz="4"/>
                    <w:right w:val="single" w:color="000000" w:sz="4"/>
                  </w:tcBorders>
                  <w:vAlign w:val="top"/>
                </w:tcPr>
                <w:p>
                  <w:pPr>
                    <w:jc w:val="left"/>
                  </w:pPr>
                  <w:r>
                    <w:rPr>
                      <w:sz w:val="21"/>
                    </w:rPr>
                    <w:t>指标</w:t>
                  </w:r>
                </w:p>
              </w:tc>
              <w:tc>
                <w:tcPr>
                  <w:tcW w:type="dxa" w:w="1140"/>
                  <w:tcBorders>
                    <w:top w:val="single" w:color="000000" w:sz="4"/>
                    <w:left w:val="none" w:color="000000" w:sz="4"/>
                    <w:bottom w:val="single" w:color="000000" w:sz="4"/>
                    <w:right w:val="single" w:color="000000" w:sz="4"/>
                  </w:tcBorders>
                  <w:vAlign w:val="top"/>
                </w:tcPr>
                <w:p>
                  <w:pPr>
                    <w:jc w:val="left"/>
                  </w:pPr>
                  <w:r>
                    <w:rPr>
                      <w:sz w:val="21"/>
                    </w:rPr>
                    <w:t>指标定义</w:t>
                  </w:r>
                </w:p>
              </w:tc>
              <w:tc>
                <w:tcPr>
                  <w:tcW w:type="dxa" w:w="2010"/>
                  <w:tcBorders>
                    <w:top w:val="single" w:color="000000" w:sz="4"/>
                    <w:left w:val="none" w:color="000000" w:sz="4"/>
                    <w:bottom w:val="single" w:color="000000" w:sz="4"/>
                    <w:right w:val="single" w:color="000000" w:sz="4"/>
                  </w:tcBorders>
                  <w:vAlign w:val="top"/>
                </w:tcPr>
                <w:p>
                  <w:pPr>
                    <w:jc w:val="left"/>
                  </w:pPr>
                  <w:r>
                    <w:rPr>
                      <w:sz w:val="21"/>
                    </w:rPr>
                    <w:t>统计方式</w:t>
                  </w:r>
                  <w:r>
                    <w:rPr>
                      <w:sz w:val="21"/>
                    </w:rPr>
                    <w:t>/</w:t>
                  </w:r>
                  <w:r>
                    <w:rPr>
                      <w:sz w:val="21"/>
                    </w:rPr>
                    <w:t>计算公式</w:t>
                  </w:r>
                </w:p>
              </w:tc>
              <w:tc>
                <w:tcPr>
                  <w:tcW w:type="dxa" w:w="615"/>
                  <w:tcBorders>
                    <w:top w:val="single" w:color="000000" w:sz="4"/>
                    <w:left w:val="none" w:color="000000" w:sz="4"/>
                    <w:bottom w:val="single" w:color="000000" w:sz="4"/>
                    <w:right w:val="single" w:color="000000" w:sz="4"/>
                  </w:tcBorders>
                  <w:vAlign w:val="top"/>
                </w:tcPr>
                <w:p>
                  <w:pPr>
                    <w:jc w:val="left"/>
                  </w:pPr>
                  <w:r>
                    <w:rPr>
                      <w:sz w:val="21"/>
                    </w:rPr>
                    <w:t>权重</w:t>
                  </w:r>
                </w:p>
              </w:tc>
            </w:tr>
            <w:tr>
              <w:tc>
                <w:tcPr>
                  <w:tcW w:type="dxa" w:w="555"/>
                  <w:vMerge w:val="restart"/>
                  <w:tcBorders>
                    <w:top w:val="none" w:color="000000" w:sz="4"/>
                    <w:left w:val="single" w:color="000000" w:sz="4"/>
                    <w:bottom w:val="single" w:color="000000" w:sz="4"/>
                    <w:right w:val="single" w:color="000000" w:sz="4"/>
                  </w:tcBorders>
                  <w:vAlign w:val="top"/>
                </w:tcPr>
                <w:p>
                  <w:pPr>
                    <w:jc w:val="left"/>
                  </w:pPr>
                  <w:r>
                    <w:rPr>
                      <w:sz w:val="21"/>
                    </w:rPr>
                    <w:t>功能</w:t>
                  </w:r>
                </w:p>
              </w:tc>
              <w:tc>
                <w:tcPr>
                  <w:tcW w:type="dxa" w:w="570"/>
                  <w:tcBorders>
                    <w:top w:val="none" w:color="000000" w:sz="4"/>
                    <w:left w:val="none" w:color="000000" w:sz="4"/>
                    <w:bottom w:val="single" w:color="000000" w:sz="4"/>
                    <w:right w:val="single" w:color="000000" w:sz="4"/>
                  </w:tcBorders>
                  <w:vAlign w:val="top"/>
                </w:tcPr>
                <w:p>
                  <w:pPr>
                    <w:jc w:val="left"/>
                  </w:pPr>
                  <w:r>
                    <w:rPr>
                      <w:sz w:val="21"/>
                    </w:rPr>
                    <w:t>满足度</w:t>
                  </w:r>
                </w:p>
              </w:tc>
              <w:tc>
                <w:tcPr>
                  <w:tcW w:type="dxa" w:w="660"/>
                  <w:tcBorders>
                    <w:top w:val="none" w:color="000000" w:sz="4"/>
                    <w:left w:val="none" w:color="000000" w:sz="4"/>
                    <w:bottom w:val="single" w:color="000000" w:sz="4"/>
                    <w:right w:val="single" w:color="000000" w:sz="4"/>
                  </w:tcBorders>
                  <w:vAlign w:val="top"/>
                </w:tcPr>
                <w:p>
                  <w:pPr>
                    <w:jc w:val="left"/>
                  </w:pPr>
                  <w:r>
                    <w:rPr>
                      <w:sz w:val="21"/>
                    </w:rPr>
                    <w:t>需求满足度</w:t>
                  </w:r>
                </w:p>
              </w:tc>
              <w:tc>
                <w:tcPr>
                  <w:tcW w:type="dxa" w:w="1140"/>
                  <w:tcBorders>
                    <w:top w:val="none" w:color="000000" w:sz="4"/>
                    <w:left w:val="none" w:color="000000" w:sz="4"/>
                    <w:bottom w:val="single" w:color="000000" w:sz="4"/>
                    <w:right w:val="single" w:color="000000" w:sz="4"/>
                  </w:tcBorders>
                  <w:vAlign w:val="top"/>
                </w:tcPr>
                <w:p>
                  <w:pPr>
                    <w:jc w:val="left"/>
                  </w:pPr>
                  <w:r>
                    <w:rPr>
                      <w:sz w:val="21"/>
                    </w:rPr>
                    <w:t>年度已采纳需求的完成比例</w:t>
                  </w:r>
                </w:p>
              </w:tc>
              <w:tc>
                <w:tcPr>
                  <w:tcW w:type="dxa" w:w="2010"/>
                  <w:tcBorders>
                    <w:top w:val="none" w:color="000000" w:sz="4"/>
                    <w:left w:val="none" w:color="000000" w:sz="4"/>
                    <w:bottom w:val="single" w:color="000000" w:sz="4"/>
                    <w:right w:val="single" w:color="000000" w:sz="4"/>
                  </w:tcBorders>
                  <w:vAlign w:val="top"/>
                </w:tcPr>
                <w:p>
                  <w:pPr>
                    <w:jc w:val="left"/>
                  </w:pPr>
                  <w:r>
                    <w:rPr>
                      <w:sz w:val="21"/>
                    </w:rPr>
                    <w:t>已上线的需求规模</w:t>
                  </w:r>
                  <w:r>
                    <w:rPr>
                      <w:sz w:val="21"/>
                    </w:rPr>
                    <w:t>/</w:t>
                  </w:r>
                  <w:r>
                    <w:rPr>
                      <w:sz w:val="21"/>
                    </w:rPr>
                    <w:t>年度总的已采纳的需求规模</w:t>
                  </w:r>
                </w:p>
              </w:tc>
              <w:tc>
                <w:tcPr>
                  <w:tcW w:type="dxa" w:w="615"/>
                  <w:tcBorders>
                    <w:top w:val="none" w:color="000000" w:sz="4"/>
                    <w:left w:val="none" w:color="000000" w:sz="4"/>
                    <w:bottom w:val="single" w:color="000000" w:sz="4"/>
                    <w:right w:val="single" w:color="000000" w:sz="4"/>
                  </w:tcBorders>
                  <w:vAlign w:val="top"/>
                </w:tcPr>
                <w:p>
                  <w:pPr>
                    <w:jc w:val="left"/>
                  </w:pPr>
                  <w:r>
                    <w:rPr>
                      <w:sz w:val="21"/>
                    </w:rPr>
                    <w:t>15%</w:t>
                  </w:r>
                </w:p>
              </w:tc>
            </w:tr>
            <w:tr>
              <w:tc>
                <w:tcPr>
                  <w:tcW w:type="dxa" w:w="555"/>
                  <w:vMerge/>
                  <w:tcBorders>
                    <w:top w:val="none" w:color="000000" w:sz="4"/>
                    <w:left w:val="single" w:color="000000" w:sz="4"/>
                    <w:bottom w:val="single" w:color="000000" w:sz="4"/>
                    <w:right w:val="single" w:color="000000" w:sz="4"/>
                  </w:tcBorders>
                </w:tcPr>
                <w:p/>
              </w:tc>
              <w:tc>
                <w:tcPr>
                  <w:tcW w:type="dxa" w:w="570"/>
                  <w:vMerge w:val="restart"/>
                  <w:tcBorders>
                    <w:top w:val="none" w:color="000000" w:sz="4"/>
                    <w:left w:val="none" w:color="000000" w:sz="4"/>
                    <w:bottom w:val="single" w:color="000000" w:sz="4"/>
                    <w:right w:val="single" w:color="000000" w:sz="4"/>
                  </w:tcBorders>
                  <w:vAlign w:val="top"/>
                </w:tcPr>
                <w:p>
                  <w:pPr>
                    <w:jc w:val="left"/>
                  </w:pPr>
                  <w:r>
                    <w:rPr>
                      <w:sz w:val="21"/>
                    </w:rPr>
                    <w:t>实用性</w:t>
                  </w:r>
                </w:p>
              </w:tc>
              <w:tc>
                <w:tcPr>
                  <w:tcW w:type="dxa" w:w="66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占比</w:t>
                  </w:r>
                </w:p>
              </w:tc>
              <w:tc>
                <w:tcPr>
                  <w:tcW w:type="dxa" w:w="114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占总</w:t>
                  </w:r>
                  <w:r>
                    <w:rPr>
                      <w:sz w:val="21"/>
                    </w:rPr>
                    <w:t>专题</w:t>
                  </w:r>
                  <w:r>
                    <w:rPr>
                      <w:sz w:val="21"/>
                    </w:rPr>
                    <w:t>的比例</w:t>
                  </w:r>
                </w:p>
              </w:tc>
              <w:tc>
                <w:tcPr>
                  <w:tcW w:type="dxa" w:w="201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数</w:t>
                  </w:r>
                  <w:r>
                    <w:rPr>
                      <w:sz w:val="21"/>
                    </w:rPr>
                    <w:t>/</w:t>
                  </w:r>
                  <w:r>
                    <w:rPr>
                      <w:sz w:val="21"/>
                    </w:rPr>
                    <w:t>专题</w:t>
                  </w:r>
                  <w:r>
                    <w:rPr>
                      <w:sz w:val="21"/>
                    </w:rPr>
                    <w:t>总数</w:t>
                  </w:r>
                  <w:r>
                    <w:br/>
                  </w:r>
                  <w:r>
                    <w:rPr>
                      <w:sz w:val="21"/>
                    </w:rPr>
                    <w:t>高频</w:t>
                  </w:r>
                  <w:r>
                    <w:rPr>
                      <w:sz w:val="21"/>
                    </w:rPr>
                    <w:t>专题</w:t>
                  </w:r>
                  <w:r>
                    <w:rPr>
                      <w:sz w:val="21"/>
                    </w:rPr>
                    <w:t>为</w:t>
                  </w:r>
                  <w:r>
                    <w:rPr>
                      <w:sz w:val="21"/>
                    </w:rPr>
                    <w:t>PV</w:t>
                  </w:r>
                  <w:r>
                    <w:rPr>
                      <w:sz w:val="21"/>
                    </w:rPr>
                    <w:t>排名前</w:t>
                  </w:r>
                  <w:r>
                    <w:rPr>
                      <w:sz w:val="21"/>
                    </w:rPr>
                    <w:t>YY%</w:t>
                  </w:r>
                  <w:r>
                    <w:rPr>
                      <w:sz w:val="21"/>
                    </w:rPr>
                    <w:t>的</w:t>
                  </w:r>
                  <w:r>
                    <w:rPr>
                      <w:sz w:val="21"/>
                    </w:rPr>
                    <w:t>专题</w:t>
                  </w:r>
                </w:p>
              </w:tc>
              <w:tc>
                <w:tcPr>
                  <w:tcW w:type="dxa" w:w="615"/>
                  <w:tcBorders>
                    <w:top w:val="none" w:color="000000" w:sz="4"/>
                    <w:left w:val="none" w:color="000000" w:sz="4"/>
                    <w:bottom w:val="single" w:color="000000" w:sz="4"/>
                    <w:right w:val="single" w:color="000000" w:sz="4"/>
                  </w:tcBorders>
                  <w:vAlign w:val="top"/>
                </w:tcPr>
                <w:p>
                  <w:pPr>
                    <w:jc w:val="left"/>
                  </w:pPr>
                  <w:r>
                    <w:rPr>
                      <w:sz w:val="21"/>
                    </w:rPr>
                    <w:t>10%</w:t>
                  </w:r>
                </w:p>
              </w:tc>
            </w:tr>
            <w:tr>
              <w:tc>
                <w:tcPr>
                  <w:tcW w:type="dxa" w:w="555"/>
                  <w:vMerge/>
                  <w:tcBorders>
                    <w:top w:val="none" w:color="000000" w:sz="4"/>
                    <w:left w:val="singl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vAlign w:val="top"/>
                </w:tcPr>
                <w:p>
                  <w:pPr>
                    <w:jc w:val="left"/>
                  </w:pPr>
                  <w:r>
                    <w:rPr>
                      <w:sz w:val="21"/>
                    </w:rPr>
                    <w:t>低频</w:t>
                  </w:r>
                  <w:r>
                    <w:rPr>
                      <w:sz w:val="21"/>
                    </w:rPr>
                    <w:t>专题</w:t>
                  </w:r>
                  <w:r>
                    <w:rPr>
                      <w:sz w:val="21"/>
                    </w:rPr>
                    <w:t>占比</w:t>
                  </w:r>
                </w:p>
              </w:tc>
              <w:tc>
                <w:tcPr>
                  <w:tcW w:type="dxa" w:w="1140"/>
                  <w:tcBorders>
                    <w:top w:val="none" w:color="000000" w:sz="4"/>
                    <w:left w:val="none" w:color="000000" w:sz="4"/>
                    <w:bottom w:val="single" w:color="000000" w:sz="4"/>
                    <w:right w:val="single" w:color="000000" w:sz="4"/>
                  </w:tcBorders>
                  <w:vAlign w:val="top"/>
                </w:tcPr>
                <w:p>
                  <w:pPr>
                    <w:jc w:val="left"/>
                  </w:pPr>
                  <w:r>
                    <w:rPr>
                      <w:sz w:val="21"/>
                    </w:rPr>
                    <w:t>低频访问的</w:t>
                  </w:r>
                  <w:r>
                    <w:rPr>
                      <w:sz w:val="21"/>
                    </w:rPr>
                    <w:t>专题</w:t>
                  </w:r>
                  <w:r>
                    <w:rPr>
                      <w:sz w:val="21"/>
                    </w:rPr>
                    <w:t>占总</w:t>
                  </w:r>
                  <w:r>
                    <w:rPr>
                      <w:sz w:val="21"/>
                    </w:rPr>
                    <w:t>专题</w:t>
                  </w:r>
                  <w:r>
                    <w:rPr>
                      <w:sz w:val="21"/>
                    </w:rPr>
                    <w:t>的比例</w:t>
                  </w:r>
                </w:p>
              </w:tc>
              <w:tc>
                <w:tcPr>
                  <w:tcW w:type="dxa" w:w="2010"/>
                  <w:tcBorders>
                    <w:top w:val="none" w:color="000000" w:sz="4"/>
                    <w:left w:val="none" w:color="000000" w:sz="4"/>
                    <w:bottom w:val="single" w:color="000000" w:sz="4"/>
                    <w:right w:val="single" w:color="000000" w:sz="4"/>
                  </w:tcBorders>
                  <w:vAlign w:val="top"/>
                </w:tcPr>
                <w:p>
                  <w:pPr>
                    <w:jc w:val="left"/>
                  </w:pPr>
                  <w:r>
                    <w:rPr>
                      <w:sz w:val="21"/>
                    </w:rPr>
                    <w:t>低频访问的</w:t>
                  </w:r>
                  <w:r>
                    <w:rPr>
                      <w:sz w:val="21"/>
                    </w:rPr>
                    <w:t>专题</w:t>
                  </w:r>
                  <w:r>
                    <w:rPr>
                      <w:sz w:val="21"/>
                    </w:rPr>
                    <w:t>数</w:t>
                  </w:r>
                  <w:r>
                    <w:rPr>
                      <w:sz w:val="21"/>
                    </w:rPr>
                    <w:t>/</w:t>
                  </w:r>
                  <w:r>
                    <w:rPr>
                      <w:sz w:val="21"/>
                    </w:rPr>
                    <w:t>专题</w:t>
                  </w:r>
                  <w:r>
                    <w:rPr>
                      <w:sz w:val="21"/>
                    </w:rPr>
                    <w:t>总数低频</w:t>
                  </w:r>
                  <w:r>
                    <w:rPr>
                      <w:sz w:val="21"/>
                    </w:rPr>
                    <w:t>专题</w:t>
                  </w:r>
                  <w:r>
                    <w:rPr>
                      <w:sz w:val="21"/>
                    </w:rPr>
                    <w:t>定义为连续</w:t>
                  </w:r>
                  <w:r>
                    <w:rPr>
                      <w:sz w:val="21"/>
                    </w:rPr>
                    <w:t>3</w:t>
                  </w:r>
                  <w:r>
                    <w:rPr>
                      <w:sz w:val="21"/>
                    </w:rPr>
                    <w:t>个月</w:t>
                  </w:r>
                  <w:r>
                    <w:rPr>
                      <w:sz w:val="21"/>
                    </w:rPr>
                    <w:t>PV&lt;5</w:t>
                  </w:r>
                  <w:r>
                    <w:rPr>
                      <w:sz w:val="21"/>
                    </w:rPr>
                    <w:t>的</w:t>
                  </w:r>
                  <w:r>
                    <w:rPr>
                      <w:sz w:val="21"/>
                    </w:rPr>
                    <w:t>专题</w:t>
                  </w:r>
                </w:p>
              </w:tc>
              <w:tc>
                <w:tcPr>
                  <w:tcW w:type="dxa" w:w="615"/>
                  <w:tcBorders>
                    <w:top w:val="none" w:color="000000" w:sz="4"/>
                    <w:left w:val="none" w:color="000000" w:sz="4"/>
                    <w:bottom w:val="single" w:color="000000" w:sz="4"/>
                    <w:right w:val="single" w:color="000000" w:sz="4"/>
                  </w:tcBorders>
                  <w:vAlign w:val="top"/>
                </w:tcPr>
                <w:p>
                  <w:pPr>
                    <w:jc w:val="left"/>
                  </w:pPr>
                  <w:r>
                    <w:rPr>
                      <w:sz w:val="21"/>
                    </w:rPr>
                    <w:t>参考指标</w:t>
                  </w:r>
                </w:p>
              </w:tc>
            </w:tr>
            <w:tr>
              <w:tc>
                <w:tcPr>
                  <w:tcW w:type="dxa" w:w="555"/>
                  <w:vMerge w:val="restart"/>
                  <w:tcBorders>
                    <w:top w:val="none" w:color="000000" w:sz="4"/>
                    <w:left w:val="single" w:color="000000" w:sz="4"/>
                    <w:bottom w:val="single" w:color="000000" w:sz="4"/>
                    <w:right w:val="single" w:color="000000" w:sz="4"/>
                  </w:tcBorders>
                  <w:vAlign w:val="top"/>
                </w:tcPr>
                <w:p>
                  <w:pPr>
                    <w:jc w:val="left"/>
                  </w:pPr>
                  <w:r>
                    <w:rPr>
                      <w:sz w:val="21"/>
                    </w:rPr>
                    <w:t>可靠</w:t>
                  </w:r>
                </w:p>
              </w:tc>
              <w:tc>
                <w:tcPr>
                  <w:tcW w:type="dxa" w:w="570"/>
                  <w:vMerge w:val="restart"/>
                  <w:tcBorders>
                    <w:top w:val="none" w:color="000000" w:sz="4"/>
                    <w:left w:val="none" w:color="000000" w:sz="4"/>
                    <w:bottom w:val="single" w:color="000000" w:sz="4"/>
                    <w:right w:val="single" w:color="000000" w:sz="4"/>
                  </w:tcBorders>
                  <w:vAlign w:val="top"/>
                </w:tcPr>
                <w:p>
                  <w:pPr>
                    <w:jc w:val="left"/>
                  </w:pPr>
                  <w:r>
                    <w:rPr>
                      <w:sz w:val="21"/>
                    </w:rPr>
                    <w:t>响应速度</w:t>
                  </w:r>
                </w:p>
              </w:tc>
              <w:tc>
                <w:tcPr>
                  <w:tcW w:type="dxa" w:w="660"/>
                  <w:tcBorders>
                    <w:top w:val="none" w:color="000000" w:sz="4"/>
                    <w:left w:val="none" w:color="000000" w:sz="4"/>
                    <w:bottom w:val="single" w:color="000000" w:sz="4"/>
                    <w:right w:val="single" w:color="000000" w:sz="4"/>
                  </w:tcBorders>
                  <w:vAlign w:val="top"/>
                </w:tcPr>
                <w:p>
                  <w:pPr>
                    <w:jc w:val="left"/>
                  </w:pPr>
                  <w:r>
                    <w:rPr>
                      <w:sz w:val="21"/>
                    </w:rPr>
                    <w:t>关键页面性能值</w:t>
                  </w:r>
                </w:p>
              </w:tc>
              <w:tc>
                <w:tcPr>
                  <w:tcW w:type="dxa" w:w="114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性能</w:t>
                  </w:r>
                </w:p>
              </w:tc>
              <w:tc>
                <w:tcPr>
                  <w:tcW w:type="dxa" w:w="201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P90</w:t>
                  </w:r>
                  <w:r>
                    <w:rPr>
                      <w:sz w:val="21"/>
                    </w:rPr>
                    <w:t>性能值</w:t>
                  </w:r>
                </w:p>
              </w:tc>
              <w:tc>
                <w:tcPr>
                  <w:tcW w:type="dxa" w:w="615"/>
                  <w:tcBorders>
                    <w:top w:val="none" w:color="000000" w:sz="4"/>
                    <w:left w:val="none" w:color="000000" w:sz="4"/>
                    <w:bottom w:val="single" w:color="000000" w:sz="4"/>
                    <w:right w:val="single" w:color="000000" w:sz="4"/>
                  </w:tcBorders>
                  <w:vAlign w:val="top"/>
                </w:tcPr>
                <w:p>
                  <w:pPr>
                    <w:jc w:val="left"/>
                  </w:pPr>
                  <w:r>
                    <w:rPr>
                      <w:sz w:val="21"/>
                    </w:rPr>
                    <w:t>参考指标</w:t>
                  </w:r>
                </w:p>
              </w:tc>
            </w:tr>
            <w:tr>
              <w:tc>
                <w:tcPr>
                  <w:tcW w:type="dxa" w:w="555"/>
                  <w:vMerge/>
                  <w:tcBorders>
                    <w:top w:val="none" w:color="000000" w:sz="4"/>
                    <w:left w:val="single" w:color="000000" w:sz="4"/>
                    <w:bottom w:val="single" w:color="000000" w:sz="4"/>
                    <w:right w:val="single" w:color="000000" w:sz="4"/>
                  </w:tcBorders>
                </w:tcPr>
                <w:p/>
              </w:tc>
              <w:tc>
                <w:tcPr>
                  <w:tcW w:type="dxa" w:w="570"/>
                  <w:vMerge/>
                  <w:tcBorders>
                    <w:top w:val="none" w:color="000000" w:sz="4"/>
                    <w:left w:val="non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超</w:t>
                  </w:r>
                  <w:r>
                    <w:rPr>
                      <w:sz w:val="21"/>
                    </w:rPr>
                    <w:t>3S</w:t>
                  </w:r>
                  <w:r>
                    <w:rPr>
                      <w:sz w:val="21"/>
                    </w:rPr>
                    <w:t>访问次数</w:t>
                  </w:r>
                </w:p>
              </w:tc>
              <w:tc>
                <w:tcPr>
                  <w:tcW w:type="dxa" w:w="114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超</w:t>
                  </w:r>
                  <w:r>
                    <w:rPr>
                      <w:sz w:val="21"/>
                    </w:rPr>
                    <w:t>3S</w:t>
                  </w:r>
                  <w:r>
                    <w:rPr>
                      <w:sz w:val="21"/>
                    </w:rPr>
                    <w:t>访问次数</w:t>
                  </w:r>
                </w:p>
              </w:tc>
              <w:tc>
                <w:tcPr>
                  <w:tcW w:type="dxa" w:w="2010"/>
                  <w:tcBorders>
                    <w:top w:val="none" w:color="000000" w:sz="4"/>
                    <w:left w:val="none" w:color="000000" w:sz="4"/>
                    <w:bottom w:val="single" w:color="000000" w:sz="4"/>
                    <w:right w:val="single" w:color="000000" w:sz="4"/>
                  </w:tcBorders>
                  <w:vAlign w:val="top"/>
                </w:tcPr>
                <w:p>
                  <w:pPr>
                    <w:jc w:val="left"/>
                  </w:pPr>
                  <w:r>
                    <w:rPr>
                      <w:sz w:val="21"/>
                    </w:rPr>
                    <w:t>P90</w:t>
                  </w:r>
                  <w:r>
                    <w:rPr>
                      <w:sz w:val="21"/>
                    </w:rPr>
                    <w:t>性能</w:t>
                  </w:r>
                  <w:r>
                    <w:rPr>
                      <w:sz w:val="21"/>
                    </w:rPr>
                    <w:t>&gt;3S</w:t>
                  </w:r>
                  <w:r>
                    <w:rPr>
                      <w:sz w:val="21"/>
                    </w:rPr>
                    <w:t>的高频</w:t>
                  </w:r>
                  <w:r>
                    <w:rPr>
                      <w:sz w:val="21"/>
                    </w:rPr>
                    <w:t>专题</w:t>
                  </w:r>
                  <w:r>
                    <w:rPr>
                      <w:sz w:val="21"/>
                    </w:rPr>
                    <w:t>中，超过</w:t>
                  </w:r>
                  <w:r>
                    <w:rPr>
                      <w:sz w:val="21"/>
                    </w:rPr>
                    <w:t>3S</w:t>
                  </w:r>
                  <w:r>
                    <w:rPr>
                      <w:sz w:val="21"/>
                    </w:rPr>
                    <w:t>的访问次数</w:t>
                  </w:r>
                </w:p>
              </w:tc>
              <w:tc>
                <w:tcPr>
                  <w:tcW w:type="dxa" w:w="615"/>
                  <w:tcBorders>
                    <w:top w:val="none" w:color="000000" w:sz="4"/>
                    <w:left w:val="none" w:color="000000" w:sz="4"/>
                    <w:bottom w:val="single" w:color="000000" w:sz="4"/>
                    <w:right w:val="single" w:color="000000" w:sz="4"/>
                  </w:tcBorders>
                  <w:vAlign w:val="top"/>
                </w:tcPr>
                <w:p>
                  <w:pPr>
                    <w:jc w:val="left"/>
                  </w:pPr>
                  <w:r>
                    <w:rPr>
                      <w:sz w:val="21"/>
                    </w:rPr>
                    <w:t>15%</w:t>
                  </w:r>
                </w:p>
              </w:tc>
            </w:tr>
            <w:tr>
              <w:tc>
                <w:tcPr>
                  <w:tcW w:type="dxa" w:w="555"/>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vAlign w:val="top"/>
                </w:tcPr>
                <w:p>
                  <w:pPr>
                    <w:jc w:val="left"/>
                  </w:pPr>
                  <w:r>
                    <w:rPr>
                      <w:sz w:val="21"/>
                    </w:rPr>
                    <w:t>系统错误</w:t>
                  </w:r>
                </w:p>
              </w:tc>
              <w:tc>
                <w:tcPr>
                  <w:tcW w:type="dxa" w:w="660"/>
                  <w:tcBorders>
                    <w:top w:val="none" w:color="000000" w:sz="4"/>
                    <w:left w:val="none" w:color="000000" w:sz="4"/>
                    <w:bottom w:val="single" w:color="000000" w:sz="4"/>
                    <w:right w:val="single" w:color="000000" w:sz="4"/>
                  </w:tcBorders>
                  <w:vAlign w:val="top"/>
                </w:tcPr>
                <w:p>
                  <w:pPr>
                    <w:jc w:val="left"/>
                  </w:pPr>
                  <w:r>
                    <w:rPr>
                      <w:sz w:val="21"/>
                    </w:rPr>
                    <w:t>系统错误数</w:t>
                  </w:r>
                </w:p>
              </w:tc>
              <w:tc>
                <w:tcPr>
                  <w:tcW w:type="dxa" w:w="1140"/>
                  <w:tcBorders>
                    <w:top w:val="none" w:color="000000" w:sz="4"/>
                    <w:left w:val="none" w:color="000000" w:sz="4"/>
                    <w:bottom w:val="single" w:color="000000" w:sz="4"/>
                    <w:right w:val="single" w:color="000000" w:sz="4"/>
                  </w:tcBorders>
                  <w:vAlign w:val="top"/>
                </w:tcPr>
                <w:p>
                  <w:pPr>
                    <w:jc w:val="left"/>
                  </w:pPr>
                  <w:r>
                    <w:rPr>
                      <w:sz w:val="21"/>
                    </w:rPr>
                    <w:t>服务</w:t>
                  </w:r>
                  <w:r>
                    <w:rPr>
                      <w:sz w:val="21"/>
                    </w:rPr>
                    <w:t>(5XX)</w:t>
                  </w:r>
                  <w:r>
                    <w:rPr>
                      <w:sz w:val="21"/>
                    </w:rPr>
                    <w:t>请求失败的次数</w:t>
                  </w:r>
                </w:p>
              </w:tc>
              <w:tc>
                <w:tcPr>
                  <w:tcW w:type="dxa" w:w="2010"/>
                  <w:tcBorders>
                    <w:top w:val="none" w:color="000000" w:sz="4"/>
                    <w:left w:val="none" w:color="000000" w:sz="4"/>
                    <w:bottom w:val="single" w:color="000000" w:sz="4"/>
                    <w:right w:val="single" w:color="000000" w:sz="4"/>
                  </w:tcBorders>
                  <w:vAlign w:val="top"/>
                </w:tcPr>
                <w:p>
                  <w:pPr>
                    <w:jc w:val="left"/>
                  </w:pPr>
                  <w:r>
                    <w:rPr>
                      <w:sz w:val="21"/>
                    </w:rPr>
                    <w:t>服务请求失败次数</w:t>
                  </w:r>
                </w:p>
              </w:tc>
              <w:tc>
                <w:tcPr>
                  <w:tcW w:type="dxa" w:w="615"/>
                  <w:tcBorders>
                    <w:top w:val="none" w:color="000000" w:sz="4"/>
                    <w:left w:val="none" w:color="000000" w:sz="4"/>
                    <w:bottom w:val="single" w:color="000000" w:sz="4"/>
                    <w:right w:val="single" w:color="000000" w:sz="4"/>
                  </w:tcBorders>
                  <w:vAlign w:val="top"/>
                </w:tcPr>
                <w:p>
                  <w:pPr>
                    <w:jc w:val="left"/>
                  </w:pPr>
                  <w:r>
                    <w:rPr>
                      <w:sz w:val="21"/>
                    </w:rPr>
                    <w:t>10%</w:t>
                  </w:r>
                </w:p>
              </w:tc>
            </w:tr>
            <w:tr>
              <w:tc>
                <w:tcPr>
                  <w:tcW w:type="dxa" w:w="555"/>
                  <w:vMerge/>
                  <w:tcBorders>
                    <w:top w:val="none" w:color="000000" w:sz="4"/>
                    <w:left w:val="single" w:color="000000" w:sz="4"/>
                    <w:bottom w:val="single" w:color="000000" w:sz="4"/>
                    <w:right w:val="single" w:color="000000" w:sz="4"/>
                  </w:tcBorders>
                </w:tcPr>
                <w:p/>
              </w:tc>
              <w:tc>
                <w:tcPr>
                  <w:tcW w:type="dxa" w:w="570"/>
                  <w:tcBorders>
                    <w:top w:val="none" w:color="000000" w:sz="4"/>
                    <w:left w:val="none" w:color="000000" w:sz="4"/>
                    <w:bottom w:val="single" w:color="000000" w:sz="4"/>
                    <w:right w:val="single" w:color="000000" w:sz="4"/>
                  </w:tcBorders>
                  <w:vAlign w:val="top"/>
                </w:tcPr>
                <w:p>
                  <w:pPr>
                    <w:jc w:val="left"/>
                  </w:pPr>
                  <w:r>
                    <w:rPr>
                      <w:sz w:val="21"/>
                    </w:rPr>
                    <w:t>维护与支持</w:t>
                  </w:r>
                </w:p>
              </w:tc>
              <w:tc>
                <w:tcPr>
                  <w:tcW w:type="dxa" w:w="660"/>
                  <w:tcBorders>
                    <w:top w:val="none" w:color="000000" w:sz="4"/>
                    <w:left w:val="none" w:color="000000" w:sz="4"/>
                    <w:bottom w:val="single" w:color="000000" w:sz="4"/>
                    <w:right w:val="single" w:color="000000" w:sz="4"/>
                  </w:tcBorders>
                  <w:vAlign w:val="top"/>
                </w:tcPr>
                <w:p>
                  <w:pPr>
                    <w:jc w:val="left"/>
                  </w:pPr>
                  <w:r>
                    <w:rPr>
                      <w:sz w:val="21"/>
                    </w:rPr>
                    <w:t>事件解决周期</w:t>
                  </w:r>
                </w:p>
              </w:tc>
              <w:tc>
                <w:tcPr>
                  <w:tcW w:type="dxa" w:w="1140"/>
                  <w:tcBorders>
                    <w:top w:val="none" w:color="000000" w:sz="4"/>
                    <w:left w:val="none" w:color="000000" w:sz="4"/>
                    <w:bottom w:val="single" w:color="000000" w:sz="4"/>
                    <w:right w:val="single" w:color="000000" w:sz="4"/>
                  </w:tcBorders>
                  <w:vAlign w:val="top"/>
                </w:tcPr>
                <w:p>
                  <w:pPr>
                    <w:jc w:val="left"/>
                  </w:pPr>
                  <w:r>
                    <w:rPr>
                      <w:sz w:val="21"/>
                    </w:rPr>
                    <w:t>事件从用户提出到解决的时长</w:t>
                  </w:r>
                </w:p>
              </w:tc>
              <w:tc>
                <w:tcPr>
                  <w:tcW w:type="dxa" w:w="2010"/>
                  <w:tcBorders>
                    <w:top w:val="none" w:color="000000" w:sz="4"/>
                    <w:left w:val="none" w:color="000000" w:sz="4"/>
                    <w:bottom w:val="single" w:color="000000" w:sz="4"/>
                    <w:right w:val="single" w:color="000000" w:sz="4"/>
                  </w:tcBorders>
                  <w:vAlign w:val="top"/>
                </w:tcPr>
                <w:p>
                  <w:pPr>
                    <w:jc w:val="left"/>
                  </w:pPr>
                  <w:r>
                    <w:rPr>
                      <w:sz w:val="21"/>
                    </w:rPr>
                    <w:t>事件解决时间</w:t>
                  </w:r>
                  <w:r>
                    <w:rPr>
                      <w:sz w:val="21"/>
                    </w:rPr>
                    <w:t>-</w:t>
                  </w:r>
                  <w:r>
                    <w:rPr>
                      <w:sz w:val="21"/>
                    </w:rPr>
                    <w:t>事件提出时间</w:t>
                  </w:r>
                </w:p>
              </w:tc>
              <w:tc>
                <w:tcPr>
                  <w:tcW w:type="dxa" w:w="615"/>
                  <w:tcBorders>
                    <w:top w:val="none" w:color="000000" w:sz="4"/>
                    <w:left w:val="none" w:color="000000" w:sz="4"/>
                    <w:bottom w:val="single" w:color="000000" w:sz="4"/>
                    <w:right w:val="single" w:color="000000" w:sz="4"/>
                  </w:tcBorders>
                  <w:vAlign w:val="top"/>
                </w:tcPr>
                <w:p>
                  <w:pPr>
                    <w:jc w:val="left"/>
                  </w:pPr>
                  <w:r>
                    <w:rPr>
                      <w:sz w:val="21"/>
                    </w:rPr>
                    <w:t>10%</w:t>
                  </w:r>
                </w:p>
              </w:tc>
            </w:tr>
            <w:tr>
              <w:tc>
                <w:tcPr>
                  <w:tcW w:type="dxa" w:w="555"/>
                  <w:tcBorders>
                    <w:top w:val="none" w:color="000000" w:sz="4"/>
                    <w:left w:val="single" w:color="000000" w:sz="4"/>
                    <w:bottom w:val="single" w:color="000000" w:sz="4"/>
                    <w:right w:val="single" w:color="000000" w:sz="4"/>
                  </w:tcBorders>
                  <w:vAlign w:val="top"/>
                </w:tcPr>
                <w:p>
                  <w:pPr>
                    <w:jc w:val="left"/>
                  </w:pPr>
                  <w:r>
                    <w:rPr>
                      <w:sz w:val="21"/>
                    </w:rPr>
                    <w:t>数据</w:t>
                  </w:r>
                </w:p>
              </w:tc>
              <w:tc>
                <w:tcPr>
                  <w:tcW w:type="dxa" w:w="570"/>
                  <w:tcBorders>
                    <w:top w:val="none" w:color="000000" w:sz="4"/>
                    <w:left w:val="none" w:color="000000" w:sz="4"/>
                    <w:bottom w:val="single" w:color="000000" w:sz="4"/>
                    <w:right w:val="single" w:color="000000" w:sz="4"/>
                  </w:tcBorders>
                  <w:vAlign w:val="top"/>
                </w:tcPr>
                <w:p>
                  <w:pPr>
                    <w:jc w:val="left"/>
                  </w:pPr>
                  <w:r>
                    <w:rPr>
                      <w:sz w:val="21"/>
                    </w:rPr>
                    <w:t>数据质量</w:t>
                  </w:r>
                </w:p>
              </w:tc>
              <w:tc>
                <w:tcPr>
                  <w:tcW w:type="dxa" w:w="660"/>
                  <w:tcBorders>
                    <w:top w:val="none" w:color="000000" w:sz="4"/>
                    <w:left w:val="none" w:color="000000" w:sz="4"/>
                    <w:bottom w:val="single" w:color="000000" w:sz="4"/>
                    <w:right w:val="single" w:color="000000" w:sz="4"/>
                  </w:tcBorders>
                  <w:vAlign w:val="top"/>
                </w:tcPr>
                <w:p>
                  <w:pPr>
                    <w:jc w:val="left"/>
                  </w:pPr>
                  <w:r>
                    <w:rPr>
                      <w:sz w:val="21"/>
                    </w:rPr>
                    <w:t>数据异常数量</w:t>
                  </w:r>
                </w:p>
              </w:tc>
              <w:tc>
                <w:tcPr>
                  <w:tcW w:type="dxa" w:w="1140"/>
                  <w:tcBorders>
                    <w:top w:val="none" w:color="000000" w:sz="4"/>
                    <w:left w:val="none" w:color="000000" w:sz="4"/>
                    <w:bottom w:val="single" w:color="000000" w:sz="4"/>
                    <w:right w:val="single" w:color="000000" w:sz="4"/>
                  </w:tcBorders>
                  <w:vAlign w:val="top"/>
                </w:tcPr>
                <w:p>
                  <w:pPr>
                    <w:jc w:val="left"/>
                  </w:pPr>
                  <w:r>
                    <w:rPr>
                      <w:sz w:val="21"/>
                    </w:rPr>
                    <w:t>数据异常的数量</w:t>
                  </w:r>
                </w:p>
              </w:tc>
              <w:tc>
                <w:tcPr>
                  <w:tcW w:type="dxa" w:w="2010"/>
                  <w:tcBorders>
                    <w:top w:val="none" w:color="000000" w:sz="4"/>
                    <w:left w:val="none" w:color="000000" w:sz="4"/>
                    <w:bottom w:val="single" w:color="000000" w:sz="4"/>
                    <w:right w:val="single" w:color="000000" w:sz="4"/>
                  </w:tcBorders>
                  <w:vAlign w:val="top"/>
                </w:tcPr>
                <w:p>
                  <w:pPr>
                    <w:jc w:val="left"/>
                  </w:pPr>
                  <w:r>
                    <w:rPr>
                      <w:sz w:val="21"/>
                    </w:rPr>
                    <w:t>被监测的数据项异常数</w:t>
                  </w:r>
                  <w:r>
                    <w:rPr>
                      <w:sz w:val="21"/>
                    </w:rPr>
                    <w:t>/</w:t>
                  </w:r>
                  <w:r>
                    <w:rPr>
                      <w:sz w:val="21"/>
                    </w:rPr>
                    <w:t>总的监测数据量，异常定义为六大数据数据质量问题，包括：完整性、及时性、准确性、一致性、有效性、唯一性</w:t>
                  </w:r>
                </w:p>
              </w:tc>
              <w:tc>
                <w:tcPr>
                  <w:tcW w:type="dxa" w:w="615"/>
                  <w:tcBorders>
                    <w:top w:val="none" w:color="000000" w:sz="4"/>
                    <w:left w:val="none" w:color="000000" w:sz="4"/>
                    <w:bottom w:val="single" w:color="000000" w:sz="4"/>
                    <w:right w:val="single" w:color="000000" w:sz="4"/>
                  </w:tcBorders>
                  <w:vAlign w:val="top"/>
                </w:tcPr>
                <w:p>
                  <w:pPr>
                    <w:jc w:val="left"/>
                  </w:pPr>
                  <w:r>
                    <w:rPr>
                      <w:sz w:val="21"/>
                    </w:rPr>
                    <w:t>10%</w:t>
                  </w:r>
                </w:p>
              </w:tc>
            </w:tr>
            <w:tr>
              <w:tc>
                <w:tcPr>
                  <w:tcW w:type="dxa" w:w="555"/>
                  <w:tcBorders>
                    <w:top w:val="none" w:color="000000" w:sz="4"/>
                    <w:left w:val="single" w:color="000000" w:sz="4"/>
                    <w:bottom w:val="single" w:color="000000" w:sz="4"/>
                    <w:right w:val="single" w:color="000000" w:sz="4"/>
                  </w:tcBorders>
                  <w:vAlign w:val="top"/>
                </w:tcPr>
                <w:p>
                  <w:pPr>
                    <w:jc w:val="left"/>
                  </w:pPr>
                  <w:r>
                    <w:rPr>
                      <w:sz w:val="21"/>
                    </w:rPr>
                    <w:t>效率</w:t>
                  </w:r>
                </w:p>
              </w:tc>
              <w:tc>
                <w:tcPr>
                  <w:tcW w:type="dxa" w:w="570"/>
                  <w:tcBorders>
                    <w:top w:val="none" w:color="000000" w:sz="4"/>
                    <w:left w:val="none" w:color="000000" w:sz="4"/>
                    <w:bottom w:val="single" w:color="000000" w:sz="4"/>
                    <w:right w:val="single" w:color="000000" w:sz="4"/>
                  </w:tcBorders>
                  <w:vAlign w:val="top"/>
                </w:tcPr>
                <w:p>
                  <w:pPr>
                    <w:jc w:val="left"/>
                  </w:pPr>
                  <w:r>
                    <w:rPr>
                      <w:sz w:val="21"/>
                    </w:rPr>
                    <w:t>易用性</w:t>
                  </w:r>
                </w:p>
              </w:tc>
              <w:tc>
                <w:tcPr>
                  <w:tcW w:type="dxa" w:w="66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点击次数</w:t>
                  </w:r>
                </w:p>
              </w:tc>
              <w:tc>
                <w:tcPr>
                  <w:tcW w:type="dxa" w:w="114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的点击次数</w:t>
                  </w:r>
                </w:p>
              </w:tc>
              <w:tc>
                <w:tcPr>
                  <w:tcW w:type="dxa" w:w="2010"/>
                  <w:tcBorders>
                    <w:top w:val="none" w:color="000000" w:sz="4"/>
                    <w:left w:val="none" w:color="000000" w:sz="4"/>
                    <w:bottom w:val="single" w:color="000000" w:sz="4"/>
                    <w:right w:val="single" w:color="000000" w:sz="4"/>
                  </w:tcBorders>
                  <w:vAlign w:val="top"/>
                </w:tcPr>
                <w:p>
                  <w:pPr>
                    <w:jc w:val="left"/>
                  </w:pPr>
                  <w:r>
                    <w:rPr>
                      <w:sz w:val="21"/>
                    </w:rPr>
                    <w:t>高频</w:t>
                  </w:r>
                  <w:r>
                    <w:rPr>
                      <w:sz w:val="21"/>
                    </w:rPr>
                    <w:t>专题</w:t>
                  </w:r>
                  <w:r>
                    <w:rPr>
                      <w:sz w:val="21"/>
                    </w:rPr>
                    <w:t>的点击次数之和</w:t>
                  </w:r>
                  <w:r>
                    <w:rPr>
                      <w:sz w:val="21"/>
                    </w:rPr>
                    <w:t>/</w:t>
                  </w:r>
                  <w:r>
                    <w:rPr>
                      <w:sz w:val="21"/>
                    </w:rPr>
                    <w:t>高频</w:t>
                  </w:r>
                  <w:r>
                    <w:rPr>
                      <w:sz w:val="21"/>
                    </w:rPr>
                    <w:t>专题</w:t>
                  </w:r>
                  <w:r>
                    <w:rPr>
                      <w:sz w:val="21"/>
                    </w:rPr>
                    <w:t>总数</w:t>
                  </w:r>
                </w:p>
              </w:tc>
              <w:tc>
                <w:tcPr>
                  <w:tcW w:type="dxa" w:w="615"/>
                  <w:tcBorders>
                    <w:top w:val="none" w:color="000000" w:sz="4"/>
                    <w:left w:val="none" w:color="000000" w:sz="4"/>
                    <w:bottom w:val="single" w:color="000000" w:sz="4"/>
                    <w:right w:val="single" w:color="000000" w:sz="4"/>
                  </w:tcBorders>
                  <w:vAlign w:val="top"/>
                </w:tcPr>
                <w:p>
                  <w:pPr>
                    <w:jc w:val="left"/>
                  </w:pPr>
                  <w:r>
                    <w:rPr>
                      <w:sz w:val="21"/>
                    </w:rPr>
                    <w:t>2</w:t>
                  </w:r>
                  <w:r>
                    <w:rPr>
                      <w:sz w:val="21"/>
                    </w:rPr>
                    <w:t>0%</w:t>
                  </w:r>
                </w:p>
              </w:tc>
            </w:tr>
            <w:tr>
              <w:tc>
                <w:tcPr>
                  <w:tcW w:type="dxa" w:w="555"/>
                  <w:tcBorders>
                    <w:top w:val="none" w:color="000000" w:sz="4"/>
                    <w:left w:val="single" w:color="000000" w:sz="4"/>
                    <w:bottom w:val="single" w:color="000000" w:sz="4"/>
                    <w:right w:val="single" w:color="000000" w:sz="4"/>
                  </w:tcBorders>
                  <w:vAlign w:val="top"/>
                </w:tcPr>
                <w:p>
                  <w:pPr>
                    <w:jc w:val="left"/>
                  </w:pPr>
                  <w:r>
                    <w:rPr>
                      <w:sz w:val="21"/>
                    </w:rPr>
                    <w:t>业务量</w:t>
                  </w:r>
                </w:p>
              </w:tc>
              <w:tc>
                <w:tcPr>
                  <w:tcW w:type="dxa" w:w="570"/>
                  <w:tcBorders>
                    <w:top w:val="none" w:color="000000" w:sz="4"/>
                    <w:left w:val="none" w:color="000000" w:sz="4"/>
                    <w:bottom w:val="single" w:color="000000" w:sz="4"/>
                    <w:right w:val="single" w:color="000000" w:sz="4"/>
                  </w:tcBorders>
                  <w:vAlign w:val="top"/>
                </w:tcPr>
                <w:p>
                  <w:pPr>
                    <w:jc w:val="left"/>
                  </w:pPr>
                  <w:r>
                    <w:rPr>
                      <w:sz w:val="21"/>
                    </w:rPr>
                    <w:t>业务使用次数</w:t>
                  </w:r>
                </w:p>
              </w:tc>
              <w:tc>
                <w:tcPr>
                  <w:tcW w:type="dxa" w:w="660"/>
                  <w:tcBorders>
                    <w:top w:val="none" w:color="000000" w:sz="4"/>
                    <w:left w:val="none" w:color="000000" w:sz="4"/>
                    <w:bottom w:val="single" w:color="000000" w:sz="4"/>
                    <w:right w:val="single" w:color="000000" w:sz="4"/>
                  </w:tcBorders>
                  <w:vAlign w:val="top"/>
                </w:tcPr>
                <w:p>
                  <w:pPr>
                    <w:jc w:val="left"/>
                  </w:pPr>
                  <w:r>
                    <w:rPr>
                      <w:sz w:val="21"/>
                    </w:rPr>
                    <w:t>应用使用次数</w:t>
                  </w:r>
                </w:p>
              </w:tc>
              <w:tc>
                <w:tcPr>
                  <w:tcW w:type="dxa" w:w="1140"/>
                  <w:tcBorders>
                    <w:top w:val="none" w:color="000000" w:sz="4"/>
                    <w:left w:val="none" w:color="000000" w:sz="4"/>
                    <w:bottom w:val="single" w:color="000000" w:sz="4"/>
                    <w:right w:val="single" w:color="000000" w:sz="4"/>
                  </w:tcBorders>
                  <w:vAlign w:val="top"/>
                </w:tcPr>
                <w:p>
                  <w:pPr>
                    <w:jc w:val="left"/>
                  </w:pPr>
                  <w:r>
                    <w:rPr>
                      <w:sz w:val="21"/>
                    </w:rPr>
                    <w:t>单用户登录并有交互行为</w:t>
                  </w:r>
                </w:p>
              </w:tc>
              <w:tc>
                <w:tcPr>
                  <w:tcW w:type="dxa" w:w="2010"/>
                  <w:tcBorders>
                    <w:top w:val="none" w:color="000000" w:sz="4"/>
                    <w:left w:val="none" w:color="000000" w:sz="4"/>
                    <w:bottom w:val="single" w:color="000000" w:sz="4"/>
                    <w:right w:val="single" w:color="000000" w:sz="4"/>
                  </w:tcBorders>
                  <w:vAlign w:val="top"/>
                </w:tcPr>
                <w:p>
                  <w:pPr>
                    <w:jc w:val="left"/>
                  </w:pPr>
                  <w:r>
                    <w:rPr>
                      <w:sz w:val="21"/>
                    </w:rPr>
                    <w:t>用户登录系统并有点击行为</w:t>
                  </w:r>
                </w:p>
              </w:tc>
              <w:tc>
                <w:tcPr>
                  <w:tcW w:type="dxa" w:w="615"/>
                  <w:tcBorders>
                    <w:top w:val="none" w:color="000000" w:sz="4"/>
                    <w:left w:val="none" w:color="000000" w:sz="4"/>
                    <w:bottom w:val="single" w:color="000000" w:sz="4"/>
                    <w:right w:val="single" w:color="000000" w:sz="4"/>
                  </w:tcBorders>
                  <w:vAlign w:val="top"/>
                </w:tcPr>
                <w:p>
                  <w:pPr>
                    <w:jc w:val="left"/>
                  </w:pPr>
                  <w:r>
                    <w:rPr>
                      <w:sz w:val="21"/>
                    </w:rPr>
                    <w:t>10%</w:t>
                  </w:r>
                </w:p>
              </w:tc>
            </w:tr>
          </w:tbl>
          <w:p>
            <w:pPr>
              <w:jc w:val="both"/>
            </w:pPr>
          </w:p>
          <w:p>
            <w:pPr>
              <w:ind w:firstLine="420"/>
              <w:jc w:val="both"/>
            </w:pPr>
            <w:r>
              <w:rPr>
                <w:sz w:val="21"/>
              </w:rPr>
              <w:t>2</w:t>
            </w:r>
            <w:r>
              <w:rPr>
                <w:sz w:val="21"/>
              </w:rPr>
              <w:t>）专题分析评估指标</w:t>
            </w:r>
          </w:p>
          <w:p>
            <w:pPr>
              <w:ind w:firstLine="420"/>
              <w:jc w:val="both"/>
            </w:pPr>
            <w:r>
              <w:rPr>
                <w:sz w:val="21"/>
              </w:rPr>
              <w:t>以上专题评估与专题分析的维度与要素是统一监控平台日常监控的一些重要系统数据组成的，具体数据指标信息包括但不仅限于以下列举内容：</w:t>
            </w:r>
          </w:p>
          <w:p>
            <w:pPr>
              <w:ind w:firstLine="420"/>
              <w:jc w:val="center"/>
            </w:pPr>
            <w:r>
              <w:rPr>
                <w:sz w:val="21"/>
              </w:rPr>
              <w:t>表</w:t>
            </w:r>
            <w:r>
              <w:rPr>
                <w:sz w:val="21"/>
              </w:rPr>
              <w:t>重点运维监控数据指标清单</w:t>
            </w:r>
          </w:p>
          <w:tbl>
            <w:tblPr>
              <w:tblInd w:type="dxa" w:w="120"/>
              <w:tblBorders>
                <w:top w:val="none" w:color="000000" w:sz="4"/>
                <w:left w:val="none" w:color="000000" w:sz="4"/>
                <w:bottom w:val="none" w:color="000000" w:sz="4"/>
                <w:right w:val="none" w:color="000000" w:sz="4"/>
                <w:insideH w:val="none"/>
                <w:insideV w:val="none"/>
              </w:tblBorders>
            </w:tblPr>
            <w:tblGrid>
              <w:gridCol w:w="373"/>
              <w:gridCol w:w="582"/>
              <w:gridCol w:w="1030"/>
              <w:gridCol w:w="3582"/>
            </w:tblGrid>
            <w:tr>
              <w:tc>
                <w:tcPr>
                  <w:tcW w:type="dxa" w:w="373"/>
                  <w:tcBorders>
                    <w:top w:val="single" w:color="000000" w:sz="4"/>
                    <w:left w:val="single" w:color="000000" w:sz="4"/>
                    <w:bottom w:val="single" w:color="000000" w:sz="4"/>
                    <w:right w:val="single" w:color="000000" w:sz="4"/>
                  </w:tcBorders>
                  <w:vAlign w:val="top"/>
                </w:tcPr>
                <w:p>
                  <w:r>
                    <w:rPr>
                      <w:sz w:val="21"/>
                    </w:rPr>
                    <w:t>序号</w:t>
                  </w:r>
                </w:p>
              </w:tc>
              <w:tc>
                <w:tcPr>
                  <w:tcW w:type="dxa" w:w="582"/>
                  <w:tcBorders>
                    <w:top w:val="single" w:color="000000" w:sz="4"/>
                    <w:left w:val="none" w:color="000000" w:sz="4"/>
                    <w:bottom w:val="single" w:color="000000" w:sz="4"/>
                    <w:right w:val="single" w:color="000000" w:sz="4"/>
                  </w:tcBorders>
                  <w:vAlign w:val="top"/>
                </w:tcPr>
                <w:p>
                  <w:r>
                    <w:rPr>
                      <w:sz w:val="21"/>
                    </w:rPr>
                    <w:t>对象分类</w:t>
                  </w:r>
                </w:p>
              </w:tc>
              <w:tc>
                <w:tcPr>
                  <w:tcW w:type="dxa" w:w="1030"/>
                  <w:tcBorders>
                    <w:top w:val="single" w:color="000000" w:sz="4"/>
                    <w:left w:val="none" w:color="000000" w:sz="4"/>
                    <w:bottom w:val="single" w:color="000000" w:sz="4"/>
                    <w:right w:val="single" w:color="000000" w:sz="4"/>
                  </w:tcBorders>
                  <w:vAlign w:val="top"/>
                </w:tcPr>
                <w:p>
                  <w:r>
                    <w:rPr>
                      <w:sz w:val="21"/>
                    </w:rPr>
                    <w:t>监控项</w:t>
                  </w:r>
                </w:p>
              </w:tc>
              <w:tc>
                <w:tcPr>
                  <w:tcW w:type="dxa" w:w="3582"/>
                  <w:tcBorders>
                    <w:top w:val="single" w:color="000000" w:sz="4"/>
                    <w:left w:val="none" w:color="000000" w:sz="4"/>
                    <w:bottom w:val="single" w:color="000000" w:sz="4"/>
                    <w:right w:val="single" w:color="000000" w:sz="4"/>
                  </w:tcBorders>
                  <w:vAlign w:val="top"/>
                </w:tcPr>
                <w:p>
                  <w:r>
                    <w:rPr>
                      <w:sz w:val="21"/>
                    </w:rPr>
                    <w:t>评价标准</w:t>
                  </w:r>
                </w:p>
              </w:tc>
            </w:tr>
            <w:tr>
              <w:tc>
                <w:tcPr>
                  <w:tcW w:type="dxa" w:w="373"/>
                  <w:vMerge w:val="restart"/>
                  <w:tcBorders>
                    <w:top w:val="none" w:color="000000" w:sz="4"/>
                    <w:left w:val="single" w:color="000000" w:sz="4"/>
                    <w:bottom w:val="single" w:color="000000" w:sz="4"/>
                    <w:right w:val="single" w:color="000000" w:sz="4"/>
                  </w:tcBorders>
                  <w:vAlign w:val="top"/>
                </w:tcPr>
                <w:p>
                  <w:r>
                    <w:rPr>
                      <w:sz w:val="21"/>
                    </w:rPr>
                    <w:t>1</w:t>
                  </w:r>
                </w:p>
              </w:tc>
              <w:tc>
                <w:tcPr>
                  <w:tcW w:type="dxa" w:w="582"/>
                  <w:vMerge w:val="restart"/>
                  <w:tcBorders>
                    <w:top w:val="none" w:color="000000" w:sz="4"/>
                    <w:left w:val="none" w:color="000000" w:sz="4"/>
                    <w:bottom w:val="single" w:color="000000" w:sz="4"/>
                    <w:right w:val="single" w:color="000000" w:sz="4"/>
                  </w:tcBorders>
                  <w:vAlign w:val="top"/>
                </w:tcPr>
                <w:p>
                  <w:r>
                    <w:rPr>
                      <w:sz w:val="21"/>
                    </w:rPr>
                    <w:t>操作系统</w:t>
                  </w:r>
                </w:p>
              </w:tc>
              <w:tc>
                <w:tcPr>
                  <w:tcW w:type="dxa" w:w="1030"/>
                  <w:tcBorders>
                    <w:top w:val="none" w:color="000000" w:sz="4"/>
                    <w:left w:val="none" w:color="000000" w:sz="4"/>
                    <w:bottom w:val="single" w:color="000000" w:sz="4"/>
                    <w:right w:val="single" w:color="000000" w:sz="4"/>
                  </w:tcBorders>
                  <w:vAlign w:val="top"/>
                </w:tcPr>
                <w:p>
                  <w:r>
                    <w:rPr>
                      <w:sz w:val="21"/>
                    </w:rPr>
                    <w:t>系统信息</w:t>
                  </w:r>
                </w:p>
              </w:tc>
              <w:tc>
                <w:tcPr>
                  <w:tcW w:type="dxa" w:w="3582"/>
                  <w:tcBorders>
                    <w:top w:val="none" w:color="000000" w:sz="4"/>
                    <w:left w:val="none" w:color="000000" w:sz="4"/>
                    <w:bottom w:val="single" w:color="000000" w:sz="4"/>
                    <w:right w:val="single" w:color="000000" w:sz="4"/>
                  </w:tcBorders>
                  <w:vAlign w:val="top"/>
                </w:tcPr>
                <w:p>
                  <w:r>
                    <w:rPr>
                      <w:sz w:val="21"/>
                    </w:rPr>
                    <w:t>记录系统版本、内核、网络地址等基本信息；</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系统可用状态</w:t>
                  </w:r>
                </w:p>
              </w:tc>
              <w:tc>
                <w:tcPr>
                  <w:tcW w:type="dxa" w:w="3582"/>
                  <w:tcBorders>
                    <w:top w:val="none" w:color="000000" w:sz="4"/>
                    <w:left w:val="none" w:color="000000" w:sz="4"/>
                    <w:bottom w:val="single" w:color="000000" w:sz="4"/>
                    <w:right w:val="single" w:color="000000" w:sz="4"/>
                  </w:tcBorders>
                  <w:vAlign w:val="top"/>
                </w:tcPr>
                <w:p>
                  <w:r>
                    <w:rPr>
                      <w:sz w:val="21"/>
                    </w:rPr>
                    <w:t>分析系统是否可用；</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磁盘使用空间容量</w:t>
                  </w:r>
                </w:p>
              </w:tc>
              <w:tc>
                <w:tcPr>
                  <w:tcW w:type="dxa" w:w="3582"/>
                  <w:tcBorders>
                    <w:top w:val="none" w:color="000000" w:sz="4"/>
                    <w:left w:val="none" w:color="000000" w:sz="4"/>
                    <w:bottom w:val="single" w:color="000000" w:sz="4"/>
                    <w:right w:val="single" w:color="000000" w:sz="4"/>
                  </w:tcBorders>
                  <w:vAlign w:val="top"/>
                </w:tcPr>
                <w:p>
                  <w:r>
                    <w:rPr>
                      <w:sz w:val="21"/>
                    </w:rPr>
                    <w:t>利于磁盘空间扩容规划；</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磁盘空间使用率</w:t>
                  </w:r>
                </w:p>
              </w:tc>
              <w:tc>
                <w:tcPr>
                  <w:tcW w:type="dxa" w:w="3582"/>
                  <w:tcBorders>
                    <w:top w:val="none" w:color="000000" w:sz="4"/>
                    <w:left w:val="none" w:color="000000" w:sz="4"/>
                    <w:bottom w:val="single" w:color="000000" w:sz="4"/>
                    <w:right w:val="single" w:color="000000" w:sz="4"/>
                  </w:tcBorders>
                  <w:vAlign w:val="top"/>
                </w:tcPr>
                <w:p>
                  <w:r>
                    <w:rPr>
                      <w:sz w:val="21"/>
                    </w:rPr>
                    <w:t>分析业务数据量与磁盘空间关系，理论应预留至少</w:t>
                  </w:r>
                  <w:r>
                    <w:rPr>
                      <w:sz w:val="21"/>
                    </w:rPr>
                    <w:t>10%</w:t>
                  </w:r>
                  <w:r>
                    <w:rPr>
                      <w:sz w:val="21"/>
                    </w:rPr>
                    <w:t>磁盘空间；</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内存大小</w:t>
                  </w:r>
                </w:p>
              </w:tc>
              <w:tc>
                <w:tcPr>
                  <w:tcW w:type="dxa" w:w="3582"/>
                  <w:tcBorders>
                    <w:top w:val="none" w:color="000000" w:sz="4"/>
                    <w:left w:val="none" w:color="000000" w:sz="4"/>
                    <w:bottom w:val="single" w:color="000000" w:sz="4"/>
                    <w:right w:val="single" w:color="000000" w:sz="4"/>
                  </w:tcBorders>
                  <w:vAlign w:val="top"/>
                </w:tcPr>
                <w:p>
                  <w:r>
                    <w:rPr>
                      <w:sz w:val="21"/>
                    </w:rPr>
                    <w:t>利于内存扩容规划；</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内存使用率</w:t>
                  </w:r>
                </w:p>
              </w:tc>
              <w:tc>
                <w:tcPr>
                  <w:tcW w:type="dxa" w:w="3582"/>
                  <w:tcBorders>
                    <w:top w:val="none" w:color="000000" w:sz="4"/>
                    <w:left w:val="none" w:color="000000" w:sz="4"/>
                    <w:bottom w:val="single" w:color="000000" w:sz="4"/>
                    <w:right w:val="single" w:color="000000" w:sz="4"/>
                  </w:tcBorders>
                  <w:vAlign w:val="top"/>
                </w:tcPr>
                <w:p>
                  <w:r>
                    <w:rPr>
                      <w:sz w:val="21"/>
                    </w:rPr>
                    <w:t>内存使用率长期高于</w:t>
                  </w:r>
                  <w:r>
                    <w:rPr>
                      <w:sz w:val="21"/>
                    </w:rPr>
                    <w:t>90%</w:t>
                  </w:r>
                  <w:r>
                    <w:rPr>
                      <w:sz w:val="21"/>
                    </w:rPr>
                    <w:t>，应当考虑扩容；</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CPU</w:t>
                  </w:r>
                  <w:r>
                    <w:rPr>
                      <w:sz w:val="21"/>
                    </w:rPr>
                    <w:t>使用率</w:t>
                  </w:r>
                </w:p>
              </w:tc>
              <w:tc>
                <w:tcPr>
                  <w:tcW w:type="dxa" w:w="3582"/>
                  <w:tcBorders>
                    <w:top w:val="none" w:color="000000" w:sz="4"/>
                    <w:left w:val="none" w:color="000000" w:sz="4"/>
                    <w:bottom w:val="single" w:color="000000" w:sz="4"/>
                    <w:right w:val="single" w:color="000000" w:sz="4"/>
                  </w:tcBorders>
                  <w:vAlign w:val="top"/>
                </w:tcPr>
                <w:p>
                  <w:r>
                    <w:rPr>
                      <w:sz w:val="21"/>
                    </w:rPr>
                    <w:t>CPU</w:t>
                  </w:r>
                  <w:r>
                    <w:rPr>
                      <w:sz w:val="21"/>
                    </w:rPr>
                    <w:t>使用率长期高于</w:t>
                  </w:r>
                  <w:r>
                    <w:rPr>
                      <w:sz w:val="21"/>
                    </w:rPr>
                    <w:t>80%</w:t>
                  </w:r>
                  <w:r>
                    <w:rPr>
                      <w:sz w:val="21"/>
                    </w:rPr>
                    <w:t>，应当考虑升级或拓展服务器；</w:t>
                  </w:r>
                </w:p>
              </w:tc>
            </w:tr>
            <w:tr>
              <w:tc>
                <w:tcPr>
                  <w:tcW w:type="dxa" w:w="373"/>
                  <w:vMerge w:val="restart"/>
                  <w:tcBorders>
                    <w:top w:val="none" w:color="000000" w:sz="4"/>
                    <w:left w:val="single" w:color="000000" w:sz="4"/>
                    <w:bottom w:val="single" w:color="000000" w:sz="4"/>
                    <w:right w:val="single" w:color="000000" w:sz="4"/>
                  </w:tcBorders>
                  <w:vAlign w:val="top"/>
                </w:tcPr>
                <w:p>
                  <w:r>
                    <w:rPr>
                      <w:sz w:val="21"/>
                    </w:rPr>
                    <w:t>2</w:t>
                  </w:r>
                </w:p>
              </w:tc>
              <w:tc>
                <w:tcPr>
                  <w:tcW w:type="dxa" w:w="582"/>
                  <w:vMerge w:val="restart"/>
                  <w:tcBorders>
                    <w:top w:val="none" w:color="000000" w:sz="4"/>
                    <w:left w:val="none" w:color="000000" w:sz="4"/>
                    <w:bottom w:val="single" w:color="000000" w:sz="4"/>
                    <w:right w:val="single" w:color="000000" w:sz="4"/>
                  </w:tcBorders>
                  <w:vAlign w:val="top"/>
                </w:tcPr>
                <w:p>
                  <w:r>
                    <w:rPr>
                      <w:sz w:val="21"/>
                    </w:rPr>
                    <w:t>数据库</w:t>
                  </w:r>
                </w:p>
              </w:tc>
              <w:tc>
                <w:tcPr>
                  <w:tcW w:type="dxa" w:w="1030"/>
                  <w:tcBorders>
                    <w:top w:val="none" w:color="000000" w:sz="4"/>
                    <w:left w:val="none" w:color="000000" w:sz="4"/>
                    <w:bottom w:val="single" w:color="000000" w:sz="4"/>
                    <w:right w:val="single" w:color="000000" w:sz="4"/>
                  </w:tcBorders>
                  <w:vAlign w:val="top"/>
                </w:tcPr>
                <w:p>
                  <w:r>
                    <w:rPr>
                      <w:sz w:val="21"/>
                    </w:rPr>
                    <w:t>数据库版本</w:t>
                  </w:r>
                </w:p>
              </w:tc>
              <w:tc>
                <w:tcPr>
                  <w:tcW w:type="dxa" w:w="3582"/>
                  <w:tcBorders>
                    <w:top w:val="none" w:color="000000" w:sz="4"/>
                    <w:left w:val="none" w:color="000000" w:sz="4"/>
                    <w:bottom w:val="single" w:color="000000" w:sz="4"/>
                    <w:right w:val="single" w:color="000000" w:sz="4"/>
                  </w:tcBorders>
                  <w:vAlign w:val="top"/>
                </w:tcPr>
                <w:p>
                  <w:r>
                    <w:rPr>
                      <w:sz w:val="21"/>
                    </w:rPr>
                    <w:t>记录数据库基本信息，方便定位及修复错误；</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运行状态</w:t>
                  </w:r>
                </w:p>
              </w:tc>
              <w:tc>
                <w:tcPr>
                  <w:tcW w:type="dxa" w:w="3582"/>
                  <w:tcBorders>
                    <w:top w:val="none" w:color="000000" w:sz="4"/>
                    <w:left w:val="none" w:color="000000" w:sz="4"/>
                    <w:bottom w:val="single" w:color="000000" w:sz="4"/>
                    <w:right w:val="single" w:color="000000" w:sz="4"/>
                  </w:tcBorders>
                  <w:vAlign w:val="top"/>
                </w:tcPr>
                <w:p>
                  <w:r>
                    <w:rPr>
                      <w:sz w:val="21"/>
                    </w:rPr>
                    <w:t>检测数据库可用性；</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运行时间</w:t>
                  </w:r>
                </w:p>
              </w:tc>
              <w:tc>
                <w:tcPr>
                  <w:tcW w:type="dxa" w:w="3582"/>
                  <w:tcBorders>
                    <w:top w:val="none" w:color="000000" w:sz="4"/>
                    <w:left w:val="none" w:color="000000" w:sz="4"/>
                    <w:bottom w:val="single" w:color="000000" w:sz="4"/>
                    <w:right w:val="single" w:color="000000" w:sz="4"/>
                  </w:tcBorders>
                  <w:vAlign w:val="top"/>
                </w:tcPr>
                <w:p>
                  <w:r>
                    <w:rPr>
                      <w:sz w:val="21"/>
                    </w:rPr>
                    <w:t>协同其他属性计算及评价其稳定性；</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SQL</w:t>
                  </w:r>
                  <w:r>
                    <w:rPr>
                      <w:sz w:val="21"/>
                    </w:rPr>
                    <w:t>统计</w:t>
                  </w:r>
                </w:p>
              </w:tc>
              <w:tc>
                <w:tcPr>
                  <w:tcW w:type="dxa" w:w="3582"/>
                  <w:tcBorders>
                    <w:top w:val="none" w:color="000000" w:sz="4"/>
                    <w:left w:val="none" w:color="000000" w:sz="4"/>
                    <w:bottom w:val="single" w:color="000000" w:sz="4"/>
                    <w:right w:val="single" w:color="000000" w:sz="4"/>
                  </w:tcBorders>
                  <w:vAlign w:val="top"/>
                </w:tcPr>
                <w:p>
                  <w:r>
                    <w:rPr>
                      <w:sz w:val="21"/>
                    </w:rPr>
                    <w:t>查询、删除、更新操作、响应时间；</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慢查询</w:t>
                  </w:r>
                </w:p>
              </w:tc>
              <w:tc>
                <w:tcPr>
                  <w:tcW w:type="dxa" w:w="3582"/>
                  <w:tcBorders>
                    <w:top w:val="none" w:color="000000" w:sz="4"/>
                    <w:left w:val="none" w:color="000000" w:sz="4"/>
                    <w:bottom w:val="single" w:color="000000" w:sz="4"/>
                    <w:right w:val="single" w:color="000000" w:sz="4"/>
                  </w:tcBorders>
                  <w:vAlign w:val="top"/>
                </w:tcPr>
                <w:p>
                  <w:r>
                    <w:rPr>
                      <w:sz w:val="21"/>
                    </w:rPr>
                    <w:t>报告慢</w:t>
                  </w:r>
                  <w:r>
                    <w:rPr>
                      <w:sz w:val="21"/>
                    </w:rPr>
                    <w:t>SQL</w:t>
                  </w:r>
                  <w:r>
                    <w:rPr>
                      <w:sz w:val="21"/>
                    </w:rPr>
                    <w:t>查询，方便后续进行查询优化；</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连接用户</w:t>
                  </w:r>
                </w:p>
              </w:tc>
              <w:tc>
                <w:tcPr>
                  <w:tcW w:type="dxa" w:w="3582"/>
                  <w:tcBorders>
                    <w:top w:val="none" w:color="000000" w:sz="4"/>
                    <w:left w:val="none" w:color="000000" w:sz="4"/>
                    <w:bottom w:val="single" w:color="000000" w:sz="4"/>
                    <w:right w:val="single" w:color="000000" w:sz="4"/>
                  </w:tcBorders>
                  <w:vAlign w:val="top"/>
                </w:tcPr>
                <w:p>
                  <w:r>
                    <w:rPr>
                      <w:sz w:val="21"/>
                    </w:rPr>
                    <w:t>记录连接用户数，用于评价数据库并发性能等信息；</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TPS/QPS</w:t>
                  </w:r>
                </w:p>
              </w:tc>
              <w:tc>
                <w:tcPr>
                  <w:tcW w:type="dxa" w:w="3582"/>
                  <w:tcBorders>
                    <w:top w:val="none" w:color="000000" w:sz="4"/>
                    <w:left w:val="none" w:color="000000" w:sz="4"/>
                    <w:bottom w:val="single" w:color="000000" w:sz="4"/>
                    <w:right w:val="single" w:color="000000" w:sz="4"/>
                  </w:tcBorders>
                  <w:vAlign w:val="top"/>
                </w:tcPr>
                <w:p>
                  <w:r>
                    <w:rPr>
                      <w:sz w:val="21"/>
                    </w:rPr>
                    <w:t>每秒处理事务量、每秒请求数据量，用于评价系统在一定并发能力下的性能表现；</w:t>
                  </w:r>
                </w:p>
              </w:tc>
            </w:tr>
            <w:tr>
              <w:tc>
                <w:tcPr>
                  <w:tcW w:type="dxa" w:w="373"/>
                  <w:vMerge w:val="restart"/>
                  <w:tcBorders>
                    <w:top w:val="none" w:color="000000" w:sz="4"/>
                    <w:left w:val="single" w:color="000000" w:sz="4"/>
                    <w:bottom w:val="single" w:color="000000" w:sz="4"/>
                    <w:right w:val="single" w:color="000000" w:sz="4"/>
                  </w:tcBorders>
                  <w:vAlign w:val="top"/>
                </w:tcPr>
                <w:p>
                  <w:r>
                    <w:rPr>
                      <w:sz w:val="21"/>
                    </w:rPr>
                    <w:t>3</w:t>
                  </w:r>
                </w:p>
              </w:tc>
              <w:tc>
                <w:tcPr>
                  <w:tcW w:type="dxa" w:w="582"/>
                  <w:vMerge w:val="restart"/>
                  <w:tcBorders>
                    <w:top w:val="none" w:color="000000" w:sz="4"/>
                    <w:left w:val="none" w:color="000000" w:sz="4"/>
                    <w:bottom w:val="single" w:color="000000" w:sz="4"/>
                    <w:right w:val="single" w:color="000000" w:sz="4"/>
                  </w:tcBorders>
                  <w:vAlign w:val="top"/>
                </w:tcPr>
                <w:p>
                  <w:r>
                    <w:rPr>
                      <w:sz w:val="21"/>
                    </w:rPr>
                    <w:t>中间件</w:t>
                  </w:r>
                </w:p>
              </w:tc>
              <w:tc>
                <w:tcPr>
                  <w:tcW w:type="dxa" w:w="1030"/>
                  <w:tcBorders>
                    <w:top w:val="none" w:color="000000" w:sz="4"/>
                    <w:left w:val="none" w:color="000000" w:sz="4"/>
                    <w:bottom w:val="single" w:color="000000" w:sz="4"/>
                    <w:right w:val="single" w:color="000000" w:sz="4"/>
                  </w:tcBorders>
                  <w:vAlign w:val="top"/>
                </w:tcPr>
                <w:p>
                  <w:r>
                    <w:rPr>
                      <w:sz w:val="21"/>
                    </w:rPr>
                    <w:t>线程分配统计</w:t>
                  </w:r>
                </w:p>
              </w:tc>
              <w:tc>
                <w:tcPr>
                  <w:tcW w:type="dxa" w:w="3582"/>
                  <w:tcBorders>
                    <w:top w:val="none" w:color="000000" w:sz="4"/>
                    <w:left w:val="none" w:color="000000" w:sz="4"/>
                    <w:bottom w:val="single" w:color="000000" w:sz="4"/>
                    <w:right w:val="single" w:color="000000" w:sz="4"/>
                  </w:tcBorders>
                  <w:vAlign w:val="top"/>
                </w:tcPr>
                <w:p>
                  <w:r>
                    <w:rPr>
                      <w:sz w:val="21"/>
                    </w:rPr>
                    <w:t>评估中间件性能及利用率等；</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连接数</w:t>
                  </w:r>
                </w:p>
              </w:tc>
              <w:tc>
                <w:tcPr>
                  <w:tcW w:type="dxa" w:w="3582"/>
                  <w:tcBorders>
                    <w:top w:val="none" w:color="000000" w:sz="4"/>
                    <w:left w:val="none" w:color="000000" w:sz="4"/>
                    <w:bottom w:val="single" w:color="000000" w:sz="4"/>
                    <w:right w:val="single" w:color="000000" w:sz="4"/>
                  </w:tcBorders>
                  <w:vAlign w:val="top"/>
                </w:tcPr>
                <w:p>
                  <w:r>
                    <w:rPr>
                      <w:sz w:val="21"/>
                    </w:rPr>
                    <w:t>用于监测反向代理服务器（例：</w:t>
                  </w:r>
                  <w:r>
                    <w:rPr>
                      <w:sz w:val="21"/>
                    </w:rPr>
                    <w:t>Nginx</w:t>
                  </w:r>
                  <w:r>
                    <w:rPr>
                      <w:sz w:val="21"/>
                    </w:rPr>
                    <w:t>）服务能力；</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等待连接数</w:t>
                  </w:r>
                </w:p>
              </w:tc>
              <w:tc>
                <w:tcPr>
                  <w:tcW w:type="dxa" w:w="3582"/>
                  <w:tcBorders>
                    <w:top w:val="none" w:color="000000" w:sz="4"/>
                    <w:left w:val="none" w:color="000000" w:sz="4"/>
                    <w:bottom w:val="single" w:color="000000" w:sz="4"/>
                    <w:right w:val="single" w:color="000000" w:sz="4"/>
                  </w:tcBorders>
                  <w:vAlign w:val="top"/>
                </w:tcPr>
                <w:p>
                  <w:r>
                    <w:rPr>
                      <w:sz w:val="21"/>
                    </w:rPr>
                    <w:t>用于判定是否需要拓展服务器；</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活跃连接数</w:t>
                  </w:r>
                </w:p>
              </w:tc>
              <w:tc>
                <w:tcPr>
                  <w:tcW w:type="dxa" w:w="3582"/>
                  <w:tcBorders>
                    <w:top w:val="none" w:color="000000" w:sz="4"/>
                    <w:left w:val="none" w:color="000000" w:sz="4"/>
                    <w:bottom w:val="single" w:color="000000" w:sz="4"/>
                    <w:right w:val="single" w:color="000000" w:sz="4"/>
                  </w:tcBorders>
                  <w:vAlign w:val="top"/>
                </w:tcPr>
                <w:p>
                  <w:r>
                    <w:rPr>
                      <w:sz w:val="21"/>
                    </w:rPr>
                    <w:t>用于辅助判断系统服务能力；</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服务处理数</w:t>
                  </w:r>
                </w:p>
              </w:tc>
              <w:tc>
                <w:tcPr>
                  <w:tcW w:type="dxa" w:w="3582"/>
                  <w:tcBorders>
                    <w:top w:val="none" w:color="000000" w:sz="4"/>
                    <w:left w:val="none" w:color="000000" w:sz="4"/>
                    <w:bottom w:val="single" w:color="000000" w:sz="4"/>
                    <w:right w:val="single" w:color="000000" w:sz="4"/>
                  </w:tcBorders>
                  <w:vAlign w:val="top"/>
                </w:tcPr>
                <w:p>
                  <w:r>
                    <w:rPr>
                      <w:sz w:val="21"/>
                    </w:rPr>
                    <w:t>用于辅助判断系统服务能力；</w:t>
                  </w:r>
                </w:p>
              </w:tc>
            </w:tr>
            <w:tr>
              <w:tc>
                <w:tcPr>
                  <w:tcW w:type="dxa" w:w="373"/>
                  <w:vMerge w:val="restart"/>
                  <w:tcBorders>
                    <w:top w:val="none" w:color="000000" w:sz="4"/>
                    <w:left w:val="single" w:color="000000" w:sz="4"/>
                    <w:bottom w:val="single" w:color="000000" w:sz="4"/>
                    <w:right w:val="single" w:color="000000" w:sz="4"/>
                  </w:tcBorders>
                  <w:vAlign w:val="top"/>
                </w:tcPr>
                <w:p>
                  <w:r>
                    <w:rPr>
                      <w:sz w:val="21"/>
                    </w:rPr>
                    <w:t>4</w:t>
                  </w:r>
                </w:p>
              </w:tc>
              <w:tc>
                <w:tcPr>
                  <w:tcW w:type="dxa" w:w="582"/>
                  <w:vMerge w:val="restart"/>
                  <w:tcBorders>
                    <w:top w:val="none" w:color="000000" w:sz="4"/>
                    <w:left w:val="none" w:color="000000" w:sz="4"/>
                    <w:bottom w:val="single" w:color="000000" w:sz="4"/>
                    <w:right w:val="single" w:color="000000" w:sz="4"/>
                  </w:tcBorders>
                  <w:vAlign w:val="top"/>
                </w:tcPr>
                <w:p>
                  <w:r>
                    <w:rPr>
                      <w:sz w:val="21"/>
                    </w:rPr>
                    <w:t>物理设备</w:t>
                  </w:r>
                </w:p>
              </w:tc>
              <w:tc>
                <w:tcPr>
                  <w:tcW w:type="dxa" w:w="1030"/>
                  <w:tcBorders>
                    <w:top w:val="none" w:color="000000" w:sz="4"/>
                    <w:left w:val="none" w:color="000000" w:sz="4"/>
                    <w:bottom w:val="single" w:color="000000" w:sz="4"/>
                    <w:right w:val="single" w:color="000000" w:sz="4"/>
                  </w:tcBorders>
                  <w:vAlign w:val="top"/>
                </w:tcPr>
                <w:p>
                  <w:r>
                    <w:rPr>
                      <w:sz w:val="21"/>
                    </w:rPr>
                    <w:t>可用状态</w:t>
                  </w:r>
                </w:p>
              </w:tc>
              <w:tc>
                <w:tcPr>
                  <w:tcW w:type="dxa" w:w="3582"/>
                  <w:tcBorders>
                    <w:top w:val="none" w:color="000000" w:sz="4"/>
                    <w:left w:val="none" w:color="000000" w:sz="4"/>
                    <w:bottom w:val="single" w:color="000000" w:sz="4"/>
                    <w:right w:val="single" w:color="000000" w:sz="4"/>
                  </w:tcBorders>
                  <w:vAlign w:val="top"/>
                </w:tcPr>
                <w:p>
                  <w:r>
                    <w:rPr>
                      <w:sz w:val="21"/>
                    </w:rPr>
                    <w:t>监测设备是否可用；</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CPU</w:t>
                  </w:r>
                  <w:r>
                    <w:rPr>
                      <w:sz w:val="21"/>
                    </w:rPr>
                    <w:t>状态</w:t>
                  </w:r>
                </w:p>
              </w:tc>
              <w:tc>
                <w:tcPr>
                  <w:tcW w:type="dxa" w:w="3582"/>
                  <w:tcBorders>
                    <w:top w:val="none" w:color="000000" w:sz="4"/>
                    <w:left w:val="none" w:color="000000" w:sz="4"/>
                    <w:bottom w:val="single" w:color="000000" w:sz="4"/>
                    <w:right w:val="single" w:color="000000" w:sz="4"/>
                  </w:tcBorders>
                  <w:vAlign w:val="top"/>
                </w:tcPr>
                <w:p>
                  <w:r>
                    <w:rPr>
                      <w:sz w:val="21"/>
                    </w:rPr>
                    <w:t>CPU</w:t>
                  </w:r>
                  <w:r>
                    <w:rPr>
                      <w:sz w:val="21"/>
                    </w:rPr>
                    <w:t>使用率长期高于</w:t>
                  </w:r>
                  <w:r>
                    <w:rPr>
                      <w:sz w:val="21"/>
                    </w:rPr>
                    <w:t>80%</w:t>
                  </w:r>
                  <w:r>
                    <w:rPr>
                      <w:sz w:val="21"/>
                    </w:rPr>
                    <w:t>，应当考虑升级或拓展服务器；</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硬盘状态</w:t>
                  </w:r>
                </w:p>
              </w:tc>
              <w:tc>
                <w:tcPr>
                  <w:tcW w:type="dxa" w:w="3582"/>
                  <w:tcBorders>
                    <w:top w:val="none" w:color="000000" w:sz="4"/>
                    <w:left w:val="none" w:color="000000" w:sz="4"/>
                    <w:bottom w:val="single" w:color="000000" w:sz="4"/>
                    <w:right w:val="single" w:color="000000" w:sz="4"/>
                  </w:tcBorders>
                  <w:vAlign w:val="top"/>
                </w:tcPr>
                <w:p>
                  <w:r>
                    <w:rPr>
                      <w:sz w:val="21"/>
                    </w:rPr>
                    <w:t>分析业务数据量与磁盘空间关系，理论应预留至少</w:t>
                  </w:r>
                  <w:r>
                    <w:rPr>
                      <w:sz w:val="21"/>
                    </w:rPr>
                    <w:t>10%</w:t>
                  </w:r>
                  <w:r>
                    <w:rPr>
                      <w:sz w:val="21"/>
                    </w:rPr>
                    <w:t>磁盘空间；</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内存状态</w:t>
                  </w:r>
                </w:p>
              </w:tc>
              <w:tc>
                <w:tcPr>
                  <w:tcW w:type="dxa" w:w="3582"/>
                  <w:tcBorders>
                    <w:top w:val="none" w:color="000000" w:sz="4"/>
                    <w:left w:val="none" w:color="000000" w:sz="4"/>
                    <w:bottom w:val="single" w:color="000000" w:sz="4"/>
                    <w:right w:val="single" w:color="000000" w:sz="4"/>
                  </w:tcBorders>
                  <w:vAlign w:val="top"/>
                </w:tcPr>
                <w:p>
                  <w:r>
                    <w:rPr>
                      <w:sz w:val="21"/>
                    </w:rPr>
                    <w:t>内存使用率长期高于</w:t>
                  </w:r>
                  <w:r>
                    <w:rPr>
                      <w:sz w:val="21"/>
                    </w:rPr>
                    <w:t>90%</w:t>
                  </w:r>
                  <w:r>
                    <w:rPr>
                      <w:sz w:val="21"/>
                    </w:rPr>
                    <w:t>，应当考虑扩容内存或拓展服务器；</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电源状态</w:t>
                  </w:r>
                </w:p>
              </w:tc>
              <w:tc>
                <w:tcPr>
                  <w:tcW w:type="dxa" w:w="3582"/>
                  <w:tcBorders>
                    <w:top w:val="none" w:color="000000" w:sz="4"/>
                    <w:left w:val="none" w:color="000000" w:sz="4"/>
                    <w:bottom w:val="single" w:color="000000" w:sz="4"/>
                    <w:right w:val="single" w:color="000000" w:sz="4"/>
                  </w:tcBorders>
                  <w:vAlign w:val="top"/>
                </w:tcPr>
                <w:p>
                  <w:r>
                    <w:rPr>
                      <w:sz w:val="21"/>
                    </w:rPr>
                    <w:t>辅助排查故障和风险隐患；</w:t>
                  </w:r>
                </w:p>
              </w:tc>
            </w:tr>
            <w:tr>
              <w:tc>
                <w:tcPr>
                  <w:tcW w:type="dxa" w:w="373"/>
                  <w:vMerge/>
                  <w:tcBorders>
                    <w:top w:val="none" w:color="000000" w:sz="4"/>
                    <w:left w:val="single" w:color="000000" w:sz="4"/>
                    <w:bottom w:val="single" w:color="000000" w:sz="4"/>
                    <w:right w:val="single" w:color="000000" w:sz="4"/>
                  </w:tcBorders>
                </w:tcPr>
                <w:p/>
              </w:tc>
              <w:tc>
                <w:tcPr>
                  <w:tcW w:type="dxa" w:w="582"/>
                  <w:vMerge/>
                  <w:tcBorders>
                    <w:top w:val="none" w:color="000000" w:sz="4"/>
                    <w:left w:val="none" w:color="000000" w:sz="4"/>
                    <w:bottom w:val="single" w:color="000000" w:sz="4"/>
                    <w:right w:val="single" w:color="000000" w:sz="4"/>
                  </w:tcBorders>
                </w:tcPr>
                <w:p/>
              </w:tc>
              <w:tc>
                <w:tcPr>
                  <w:tcW w:type="dxa" w:w="1030"/>
                  <w:tcBorders>
                    <w:top w:val="none" w:color="000000" w:sz="4"/>
                    <w:left w:val="none" w:color="000000" w:sz="4"/>
                    <w:bottom w:val="single" w:color="000000" w:sz="4"/>
                    <w:right w:val="single" w:color="000000" w:sz="4"/>
                  </w:tcBorders>
                  <w:vAlign w:val="top"/>
                </w:tcPr>
                <w:p>
                  <w:r>
                    <w:rPr>
                      <w:sz w:val="21"/>
                    </w:rPr>
                    <w:t>固件版本</w:t>
                  </w:r>
                </w:p>
              </w:tc>
              <w:tc>
                <w:tcPr>
                  <w:tcW w:type="dxa" w:w="3582"/>
                  <w:tcBorders>
                    <w:top w:val="none" w:color="000000" w:sz="4"/>
                    <w:left w:val="none" w:color="000000" w:sz="4"/>
                    <w:bottom w:val="single" w:color="000000" w:sz="4"/>
                    <w:right w:val="single" w:color="000000" w:sz="4"/>
                  </w:tcBorders>
                  <w:vAlign w:val="top"/>
                </w:tcPr>
                <w:p>
                  <w:r>
                    <w:rPr>
                      <w:sz w:val="21"/>
                    </w:rPr>
                    <w:t>记录设备基本信息，便于故障定位及排查；</w:t>
                  </w:r>
                </w:p>
              </w:tc>
            </w:tr>
          </w:tbl>
          <w:p>
            <w:pPr>
              <w:ind w:firstLine="422"/>
              <w:jc w:val="both"/>
            </w:pPr>
          </w:p>
          <w:p>
            <w:pPr>
              <w:ind w:firstLine="420"/>
              <w:jc w:val="both"/>
            </w:pPr>
            <w:r>
              <w:rPr>
                <w:sz w:val="21"/>
              </w:rPr>
              <w:t>对数字使能平台与应用组件提供监控服务。</w:t>
            </w:r>
            <w:r>
              <w:rPr>
                <w:sz w:val="21"/>
              </w:rPr>
              <w:t>数字使能平台包括：融合通信平台、物联网平台、统一认证服务、应用构建工具、可视化工具、统一移动框架。应用组件包括：操作系统、数据库、中间件。以下是对数字使能平台与应用组件的监控要求：</w:t>
            </w:r>
          </w:p>
          <w:p>
            <w:pPr>
              <w:jc w:val="center"/>
            </w:pPr>
            <w:r>
              <w:rPr>
                <w:sz w:val="21"/>
              </w:rPr>
              <w:t>表</w:t>
            </w:r>
            <w:r>
              <w:rPr>
                <w:sz w:val="21"/>
              </w:rPr>
              <w:t>监控要求</w:t>
            </w:r>
          </w:p>
          <w:tbl>
            <w:tblPr>
              <w:tblInd w:type="dxa" w:w="120"/>
              <w:tblBorders>
                <w:top w:val="none" w:color="000000" w:sz="4"/>
                <w:left w:val="none" w:color="000000" w:sz="4"/>
                <w:bottom w:val="none" w:color="000000" w:sz="4"/>
                <w:right w:val="none" w:color="000000" w:sz="4"/>
                <w:insideH w:val="none"/>
                <w:insideV w:val="none"/>
              </w:tblBorders>
            </w:tblPr>
            <w:tblGrid>
              <w:gridCol w:w="287"/>
              <w:gridCol w:w="438"/>
              <w:gridCol w:w="4874"/>
            </w:tblGrid>
            <w:tr>
              <w:tc>
                <w:tcPr>
                  <w:tcW w:type="dxa" w:w="287"/>
                  <w:tcBorders>
                    <w:top w:val="single" w:color="000000" w:sz="4"/>
                    <w:left w:val="single" w:color="000000" w:sz="4"/>
                    <w:bottom w:val="single" w:color="000000" w:sz="4"/>
                    <w:right w:val="single" w:color="000000" w:sz="4"/>
                  </w:tcBorders>
                  <w:vAlign w:val="top"/>
                </w:tcPr>
                <w:p>
                  <w:r>
                    <w:rPr>
                      <w:sz w:val="21"/>
                    </w:rPr>
                    <w:t>序号</w:t>
                  </w:r>
                </w:p>
              </w:tc>
              <w:tc>
                <w:tcPr>
                  <w:tcW w:type="dxa" w:w="438"/>
                  <w:tcBorders>
                    <w:top w:val="single" w:color="000000" w:sz="4"/>
                    <w:left w:val="none" w:color="000000" w:sz="4"/>
                    <w:bottom w:val="single" w:color="000000" w:sz="4"/>
                    <w:right w:val="single" w:color="000000" w:sz="4"/>
                  </w:tcBorders>
                  <w:vAlign w:val="top"/>
                </w:tcPr>
                <w:p>
                  <w:r>
                    <w:rPr>
                      <w:sz w:val="21"/>
                    </w:rPr>
                    <w:t>名称</w:t>
                  </w:r>
                </w:p>
              </w:tc>
              <w:tc>
                <w:tcPr>
                  <w:tcW w:type="dxa" w:w="4874"/>
                  <w:tcBorders>
                    <w:top w:val="single" w:color="000000" w:sz="4"/>
                    <w:left w:val="none" w:color="000000" w:sz="4"/>
                    <w:bottom w:val="single" w:color="000000" w:sz="4"/>
                    <w:right w:val="single" w:color="000000" w:sz="4"/>
                  </w:tcBorders>
                  <w:vAlign w:val="top"/>
                </w:tcPr>
                <w:p>
                  <w:r>
                    <w:rPr>
                      <w:sz w:val="21"/>
                    </w:rPr>
                    <w:t>要求</w:t>
                  </w:r>
                </w:p>
              </w:tc>
            </w:tr>
            <w:tr>
              <w:tc>
                <w:tcPr>
                  <w:tcW w:type="dxa" w:w="287"/>
                  <w:tcBorders>
                    <w:top w:val="none" w:color="000000" w:sz="4"/>
                    <w:left w:val="single" w:color="000000" w:sz="4"/>
                    <w:bottom w:val="single" w:color="000000" w:sz="4"/>
                    <w:right w:val="single" w:color="000000" w:sz="4"/>
                  </w:tcBorders>
                  <w:vAlign w:val="top"/>
                </w:tcPr>
                <w:p>
                  <w:r>
                    <w:rPr>
                      <w:sz w:val="21"/>
                    </w:rPr>
                    <w:t>1</w:t>
                  </w:r>
                </w:p>
              </w:tc>
              <w:tc>
                <w:tcPr>
                  <w:tcW w:type="dxa" w:w="438"/>
                  <w:tcBorders>
                    <w:top w:val="none" w:color="000000" w:sz="4"/>
                    <w:left w:val="none" w:color="000000" w:sz="4"/>
                    <w:bottom w:val="single" w:color="000000" w:sz="4"/>
                    <w:right w:val="single" w:color="000000" w:sz="4"/>
                  </w:tcBorders>
                  <w:vAlign w:val="top"/>
                </w:tcPr>
                <w:p>
                  <w:r>
                    <w:rPr>
                      <w:sz w:val="21"/>
                    </w:rPr>
                    <w:t>融合通信平台</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接口接收融合通信平台数据，对融合通信平台告警和性能指标监控，包括相关硬件设备的</w:t>
                  </w:r>
                  <w:r>
                    <w:rPr>
                      <w:sz w:val="21"/>
                    </w:rPr>
                    <w:t>CPU</w:t>
                  </w:r>
                  <w:r>
                    <w:rPr>
                      <w:sz w:val="21"/>
                    </w:rPr>
                    <w:t>和内存性能。</w:t>
                  </w:r>
                </w:p>
              </w:tc>
            </w:tr>
            <w:tr>
              <w:tc>
                <w:tcPr>
                  <w:tcW w:type="dxa" w:w="287"/>
                  <w:tcBorders>
                    <w:top w:val="none" w:color="000000" w:sz="4"/>
                    <w:left w:val="single" w:color="000000" w:sz="4"/>
                    <w:bottom w:val="single" w:color="000000" w:sz="4"/>
                    <w:right w:val="single" w:color="000000" w:sz="4"/>
                  </w:tcBorders>
                  <w:vAlign w:val="top"/>
                </w:tcPr>
                <w:p>
                  <w:r>
                    <w:rPr>
                      <w:sz w:val="21"/>
                    </w:rPr>
                    <w:t>2</w:t>
                  </w:r>
                </w:p>
              </w:tc>
              <w:tc>
                <w:tcPr>
                  <w:tcW w:type="dxa" w:w="438"/>
                  <w:tcBorders>
                    <w:top w:val="none" w:color="000000" w:sz="4"/>
                    <w:left w:val="none" w:color="000000" w:sz="4"/>
                    <w:bottom w:val="single" w:color="000000" w:sz="4"/>
                    <w:right w:val="single" w:color="000000" w:sz="4"/>
                  </w:tcBorders>
                  <w:vAlign w:val="top"/>
                </w:tcPr>
                <w:p>
                  <w:r>
                    <w:rPr>
                      <w:sz w:val="21"/>
                    </w:rPr>
                    <w:t>物联网平台</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接口接收物联网平台数据，对物联网平台告警指标监控，包括：数据写入监控、端口监控、应用服务状态监控等。</w:t>
                  </w:r>
                </w:p>
              </w:tc>
            </w:tr>
            <w:tr>
              <w:tc>
                <w:tcPr>
                  <w:tcW w:type="dxa" w:w="287"/>
                  <w:tcBorders>
                    <w:top w:val="none" w:color="000000" w:sz="4"/>
                    <w:left w:val="single" w:color="000000" w:sz="4"/>
                    <w:bottom w:val="single" w:color="000000" w:sz="4"/>
                    <w:right w:val="single" w:color="000000" w:sz="4"/>
                  </w:tcBorders>
                  <w:vAlign w:val="top"/>
                </w:tcPr>
                <w:p>
                  <w:r>
                    <w:rPr>
                      <w:sz w:val="21"/>
                    </w:rPr>
                    <w:t>3</w:t>
                  </w:r>
                </w:p>
              </w:tc>
              <w:tc>
                <w:tcPr>
                  <w:tcW w:type="dxa" w:w="438"/>
                  <w:tcBorders>
                    <w:top w:val="none" w:color="000000" w:sz="4"/>
                    <w:left w:val="none" w:color="000000" w:sz="4"/>
                    <w:bottom w:val="single" w:color="000000" w:sz="4"/>
                    <w:right w:val="single" w:color="000000" w:sz="4"/>
                  </w:tcBorders>
                  <w:vAlign w:val="top"/>
                </w:tcPr>
                <w:p>
                  <w:r>
                    <w:rPr>
                      <w:sz w:val="21"/>
                    </w:rPr>
                    <w:t>统一认证服务</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接口接收统一认证服务数据，对统一认证服务告警指标监控。包括：认证服务进程监控、端口监控、应用服务状态监控等。</w:t>
                  </w:r>
                </w:p>
              </w:tc>
            </w:tr>
            <w:tr>
              <w:tc>
                <w:tcPr>
                  <w:tcW w:type="dxa" w:w="287"/>
                  <w:tcBorders>
                    <w:top w:val="none" w:color="000000" w:sz="4"/>
                    <w:left w:val="single" w:color="000000" w:sz="4"/>
                    <w:bottom w:val="single" w:color="000000" w:sz="4"/>
                    <w:right w:val="single" w:color="000000" w:sz="4"/>
                  </w:tcBorders>
                  <w:vAlign w:val="top"/>
                </w:tcPr>
                <w:p>
                  <w:r>
                    <w:rPr>
                      <w:sz w:val="21"/>
                    </w:rPr>
                    <w:t>4</w:t>
                  </w:r>
                </w:p>
              </w:tc>
              <w:tc>
                <w:tcPr>
                  <w:tcW w:type="dxa" w:w="438"/>
                  <w:tcBorders>
                    <w:top w:val="none" w:color="000000" w:sz="4"/>
                    <w:left w:val="none" w:color="000000" w:sz="4"/>
                    <w:bottom w:val="single" w:color="000000" w:sz="4"/>
                    <w:right w:val="single" w:color="000000" w:sz="4"/>
                  </w:tcBorders>
                  <w:vAlign w:val="top"/>
                </w:tcPr>
                <w:p>
                  <w:r>
                    <w:rPr>
                      <w:sz w:val="21"/>
                    </w:rPr>
                    <w:t>应用构建工具</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接口接收应用构建工具数据或安装</w:t>
                  </w:r>
                  <w:r>
                    <w:rPr>
                      <w:sz w:val="21"/>
                    </w:rPr>
                    <w:t>agent</w:t>
                  </w:r>
                  <w:r>
                    <w:rPr>
                      <w:sz w:val="21"/>
                    </w:rPr>
                    <w:t>方式，对应用构建工具告警指标监控，包括：应用构建工具进程监控、端口监控、应用服务状态监控等。</w:t>
                  </w:r>
                </w:p>
              </w:tc>
            </w:tr>
            <w:tr>
              <w:tc>
                <w:tcPr>
                  <w:tcW w:type="dxa" w:w="287"/>
                  <w:tcBorders>
                    <w:top w:val="none" w:color="000000" w:sz="4"/>
                    <w:left w:val="single" w:color="000000" w:sz="4"/>
                    <w:bottom w:val="single" w:color="000000" w:sz="4"/>
                    <w:right w:val="single" w:color="000000" w:sz="4"/>
                  </w:tcBorders>
                  <w:vAlign w:val="top"/>
                </w:tcPr>
                <w:p>
                  <w:r>
                    <w:rPr>
                      <w:sz w:val="21"/>
                    </w:rPr>
                    <w:t>5</w:t>
                  </w:r>
                </w:p>
              </w:tc>
              <w:tc>
                <w:tcPr>
                  <w:tcW w:type="dxa" w:w="438"/>
                  <w:tcBorders>
                    <w:top w:val="none" w:color="000000" w:sz="4"/>
                    <w:left w:val="none" w:color="000000" w:sz="4"/>
                    <w:bottom w:val="single" w:color="000000" w:sz="4"/>
                    <w:right w:val="single" w:color="000000" w:sz="4"/>
                  </w:tcBorders>
                  <w:vAlign w:val="top"/>
                </w:tcPr>
                <w:p>
                  <w:r>
                    <w:rPr>
                      <w:sz w:val="21"/>
                    </w:rPr>
                    <w:t>可视化工具</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接口接收可视化工具数据，对可视化工具告警指标监控，包括：进程监控、端口监控、应用服务状态监控等。</w:t>
                  </w:r>
                </w:p>
              </w:tc>
            </w:tr>
            <w:tr>
              <w:tc>
                <w:tcPr>
                  <w:tcW w:type="dxa" w:w="287"/>
                  <w:tcBorders>
                    <w:top w:val="none" w:color="000000" w:sz="4"/>
                    <w:left w:val="single" w:color="000000" w:sz="4"/>
                    <w:bottom w:val="single" w:color="000000" w:sz="4"/>
                    <w:right w:val="single" w:color="000000" w:sz="4"/>
                  </w:tcBorders>
                  <w:vAlign w:val="top"/>
                </w:tcPr>
                <w:p>
                  <w:r>
                    <w:rPr>
                      <w:sz w:val="21"/>
                    </w:rPr>
                    <w:t>6</w:t>
                  </w:r>
                </w:p>
              </w:tc>
              <w:tc>
                <w:tcPr>
                  <w:tcW w:type="dxa" w:w="438"/>
                  <w:tcBorders>
                    <w:top w:val="none" w:color="000000" w:sz="4"/>
                    <w:left w:val="none" w:color="000000" w:sz="4"/>
                    <w:bottom w:val="single" w:color="000000" w:sz="4"/>
                    <w:right w:val="single" w:color="000000" w:sz="4"/>
                  </w:tcBorders>
                  <w:vAlign w:val="top"/>
                </w:tcPr>
                <w:p>
                  <w:r>
                    <w:rPr>
                      <w:sz w:val="21"/>
                    </w:rPr>
                    <w:t>统一移动框架</w:t>
                  </w:r>
                </w:p>
              </w:tc>
              <w:tc>
                <w:tcPr>
                  <w:tcW w:type="dxa" w:w="4874"/>
                  <w:tcBorders>
                    <w:top w:val="none" w:color="000000" w:sz="4"/>
                    <w:left w:val="none" w:color="000000" w:sz="4"/>
                    <w:bottom w:val="single" w:color="000000" w:sz="4"/>
                    <w:right w:val="single" w:color="000000" w:sz="4"/>
                  </w:tcBorders>
                  <w:vAlign w:val="top"/>
                </w:tcPr>
                <w:p>
                  <w:r>
                    <w:rPr>
                      <w:sz w:val="21"/>
                    </w:rPr>
                    <w:t>支持通过开放运维平台南向</w:t>
                  </w:r>
                  <w:r>
                    <w:rPr>
                      <w:sz w:val="21"/>
                    </w:rPr>
                    <w:t>API</w:t>
                  </w:r>
                  <w:r>
                    <w:rPr>
                      <w:sz w:val="21"/>
                    </w:rPr>
                    <w:t>接口接收统一移动框架数据或安装</w:t>
                  </w:r>
                  <w:r>
                    <w:rPr>
                      <w:sz w:val="21"/>
                    </w:rPr>
                    <w:t>agent</w:t>
                  </w:r>
                  <w:r>
                    <w:rPr>
                      <w:sz w:val="21"/>
                    </w:rPr>
                    <w:t>方式，对统一移动框架告警指标监控，包括：进程、端口、统一移动框架状态监控等。</w:t>
                  </w:r>
                </w:p>
              </w:tc>
            </w:tr>
            <w:tr>
              <w:tc>
                <w:tcPr>
                  <w:tcW w:type="dxa" w:w="287"/>
                  <w:tcBorders>
                    <w:top w:val="none" w:color="000000" w:sz="4"/>
                    <w:left w:val="single" w:color="000000" w:sz="4"/>
                    <w:bottom w:val="single" w:color="000000" w:sz="4"/>
                    <w:right w:val="single" w:color="000000" w:sz="4"/>
                  </w:tcBorders>
                  <w:vAlign w:val="top"/>
                </w:tcPr>
                <w:p>
                  <w:r>
                    <w:rPr>
                      <w:sz w:val="21"/>
                    </w:rPr>
                    <w:t>7</w:t>
                  </w:r>
                </w:p>
              </w:tc>
              <w:tc>
                <w:tcPr>
                  <w:tcW w:type="dxa" w:w="438"/>
                  <w:tcBorders>
                    <w:top w:val="none" w:color="000000" w:sz="4"/>
                    <w:left w:val="none" w:color="000000" w:sz="4"/>
                    <w:bottom w:val="single" w:color="000000" w:sz="4"/>
                    <w:right w:val="single" w:color="000000" w:sz="4"/>
                  </w:tcBorders>
                  <w:vAlign w:val="top"/>
                </w:tcPr>
                <w:p>
                  <w:r>
                    <w:rPr>
                      <w:sz w:val="21"/>
                    </w:rPr>
                    <w:t>操作系统</w:t>
                  </w:r>
                </w:p>
              </w:tc>
              <w:tc>
                <w:tcPr>
                  <w:tcW w:type="dxa" w:w="4874"/>
                  <w:tcBorders>
                    <w:top w:val="none" w:color="000000" w:sz="4"/>
                    <w:left w:val="none" w:color="000000" w:sz="4"/>
                    <w:bottom w:val="single" w:color="000000" w:sz="4"/>
                    <w:right w:val="single" w:color="000000" w:sz="4"/>
                  </w:tcBorders>
                  <w:vAlign w:val="top"/>
                </w:tcPr>
                <w:p>
                  <w:r>
                    <w:rPr>
                      <w:sz w:val="21"/>
                    </w:rPr>
                    <w:t>支持对操作系统关键指标的实时监控，获悉资源运行详情，进而根据实际情况配置监控模板，实时产生告警，支持的操作系统包括</w:t>
                  </w:r>
                  <w:r>
                    <w:rPr>
                      <w:sz w:val="21"/>
                    </w:rPr>
                    <w:t>Windows</w:t>
                  </w:r>
                  <w:r>
                    <w:rPr>
                      <w:sz w:val="21"/>
                    </w:rPr>
                    <w:t>、</w:t>
                  </w:r>
                  <w:r>
                    <w:rPr>
                      <w:sz w:val="21"/>
                    </w:rPr>
                    <w:t>Linux</w:t>
                  </w:r>
                  <w:r>
                    <w:rPr>
                      <w:sz w:val="21"/>
                    </w:rPr>
                    <w:t>。</w:t>
                  </w:r>
                </w:p>
                <w:p>
                  <w:r>
                    <w:rPr>
                      <w:sz w:val="21"/>
                    </w:rPr>
                    <w:t>主要监控指标包括：</w:t>
                  </w:r>
                  <w:r>
                    <w:rPr>
                      <w:sz w:val="21"/>
                    </w:rPr>
                    <w:t>CPU</w:t>
                  </w:r>
                  <w:r>
                    <w:rPr>
                      <w:sz w:val="21"/>
                    </w:rPr>
                    <w:t>利用率、文件系统利用率、网络流入流量、网络流出流量、内存利用率、文件系统空闲量、文件系统总容量、每秒读操作次数、每秒写操作次数、交换空间利用率等。</w:t>
                  </w:r>
                </w:p>
              </w:tc>
            </w:tr>
            <w:tr>
              <w:tc>
                <w:tcPr>
                  <w:tcW w:type="dxa" w:w="287"/>
                  <w:tcBorders>
                    <w:top w:val="none" w:color="000000" w:sz="4"/>
                    <w:left w:val="single" w:color="000000" w:sz="4"/>
                    <w:bottom w:val="single" w:color="000000" w:sz="4"/>
                    <w:right w:val="single" w:color="000000" w:sz="4"/>
                  </w:tcBorders>
                  <w:vAlign w:val="top"/>
                </w:tcPr>
                <w:p>
                  <w:r>
                    <w:rPr>
                      <w:sz w:val="21"/>
                    </w:rPr>
                    <w:t>8</w:t>
                  </w:r>
                </w:p>
              </w:tc>
              <w:tc>
                <w:tcPr>
                  <w:tcW w:type="dxa" w:w="438"/>
                  <w:tcBorders>
                    <w:top w:val="none" w:color="000000" w:sz="4"/>
                    <w:left w:val="none" w:color="000000" w:sz="4"/>
                    <w:bottom w:val="single" w:color="000000" w:sz="4"/>
                    <w:right w:val="single" w:color="000000" w:sz="4"/>
                  </w:tcBorders>
                  <w:vAlign w:val="top"/>
                </w:tcPr>
                <w:p>
                  <w:r>
                    <w:rPr>
                      <w:sz w:val="21"/>
                    </w:rPr>
                    <w:t>数据库</w:t>
                  </w:r>
                </w:p>
              </w:tc>
              <w:tc>
                <w:tcPr>
                  <w:tcW w:type="dxa" w:w="4874"/>
                  <w:tcBorders>
                    <w:top w:val="none" w:color="000000" w:sz="4"/>
                    <w:left w:val="none" w:color="000000" w:sz="4"/>
                    <w:bottom w:val="single" w:color="000000" w:sz="4"/>
                    <w:right w:val="single" w:color="000000" w:sz="4"/>
                  </w:tcBorders>
                  <w:vAlign w:val="top"/>
                </w:tcPr>
                <w:p>
                  <w:r>
                    <w:rPr>
                      <w:sz w:val="21"/>
                    </w:rPr>
                    <w:t>支持对</w:t>
                  </w:r>
                  <w:r>
                    <w:rPr>
                      <w:sz w:val="21"/>
                    </w:rPr>
                    <w:t>postpreSql</w:t>
                  </w:r>
                  <w:r>
                    <w:rPr>
                      <w:sz w:val="21"/>
                    </w:rPr>
                    <w:t>、</w:t>
                  </w:r>
                  <w:r>
                    <w:rPr>
                      <w:sz w:val="21"/>
                    </w:rPr>
                    <w:t>Mysql</w:t>
                  </w:r>
                  <w:r>
                    <w:rPr>
                      <w:sz w:val="21"/>
                    </w:rPr>
                    <w:t>等多种数据库进行监控，支持按照属性划分监控组，支持对于数据库中的不同表空间设定不同的监控阈值。</w:t>
                  </w:r>
                </w:p>
                <w:p>
                  <w:r>
                    <w:rPr>
                      <w:sz w:val="21"/>
                    </w:rPr>
                    <w:t>数据库监控应包括：数据库负载与状态、数据库表空间、数据库内存、数据库会话、数据库锁等指标。</w:t>
                  </w:r>
                </w:p>
              </w:tc>
            </w:tr>
            <w:tr>
              <w:tc>
                <w:tcPr>
                  <w:tcW w:type="dxa" w:w="287"/>
                  <w:tcBorders>
                    <w:top w:val="none" w:color="000000" w:sz="4"/>
                    <w:left w:val="single" w:color="000000" w:sz="4"/>
                    <w:bottom w:val="single" w:color="000000" w:sz="4"/>
                    <w:right w:val="single" w:color="000000" w:sz="4"/>
                  </w:tcBorders>
                  <w:vAlign w:val="top"/>
                </w:tcPr>
                <w:p>
                  <w:r>
                    <w:rPr>
                      <w:sz w:val="21"/>
                    </w:rPr>
                    <w:t>9</w:t>
                  </w:r>
                </w:p>
              </w:tc>
              <w:tc>
                <w:tcPr>
                  <w:tcW w:type="dxa" w:w="438"/>
                  <w:tcBorders>
                    <w:top w:val="none" w:color="000000" w:sz="4"/>
                    <w:left w:val="none" w:color="000000" w:sz="4"/>
                    <w:bottom w:val="single" w:color="000000" w:sz="4"/>
                    <w:right w:val="single" w:color="000000" w:sz="4"/>
                  </w:tcBorders>
                  <w:vAlign w:val="top"/>
                </w:tcPr>
                <w:p>
                  <w:r>
                    <w:rPr>
                      <w:sz w:val="21"/>
                    </w:rPr>
                    <w:t>中间件</w:t>
                  </w:r>
                </w:p>
              </w:tc>
              <w:tc>
                <w:tcPr>
                  <w:tcW w:type="dxa" w:w="4874"/>
                  <w:tcBorders>
                    <w:top w:val="none" w:color="000000" w:sz="4"/>
                    <w:left w:val="none" w:color="000000" w:sz="4"/>
                    <w:bottom w:val="single" w:color="000000" w:sz="4"/>
                    <w:right w:val="single" w:color="000000" w:sz="4"/>
                  </w:tcBorders>
                  <w:vAlign w:val="top"/>
                </w:tcPr>
                <w:p>
                  <w:r>
                    <w:rPr>
                      <w:sz w:val="21"/>
                    </w:rPr>
                    <w:t>支持对</w:t>
                  </w:r>
                  <w:r>
                    <w:rPr>
                      <w:sz w:val="21"/>
                    </w:rPr>
                    <w:t>Nginx</w:t>
                  </w:r>
                  <w:r>
                    <w:rPr>
                      <w:sz w:val="21"/>
                    </w:rPr>
                    <w:t>、</w:t>
                  </w:r>
                  <w:r>
                    <w:rPr>
                      <w:sz w:val="21"/>
                    </w:rPr>
                    <w:t>Tomcat</w:t>
                  </w:r>
                  <w:r>
                    <w:rPr>
                      <w:sz w:val="21"/>
                    </w:rPr>
                    <w:t>、</w:t>
                  </w:r>
                  <w:r>
                    <w:rPr>
                      <w:sz w:val="21"/>
                    </w:rPr>
                    <w:t>redis</w:t>
                  </w:r>
                  <w:r>
                    <w:rPr>
                      <w:sz w:val="21"/>
                    </w:rPr>
                    <w:t>、</w:t>
                  </w:r>
                  <w:r>
                    <w:rPr>
                      <w:sz w:val="21"/>
                    </w:rPr>
                    <w:t>kafka</w:t>
                  </w:r>
                  <w:r>
                    <w:rPr>
                      <w:sz w:val="21"/>
                    </w:rPr>
                    <w:t>、</w:t>
                  </w:r>
                  <w:r>
                    <w:rPr>
                      <w:sz w:val="21"/>
                    </w:rPr>
                    <w:t>zookeeper</w:t>
                  </w:r>
                  <w:r>
                    <w:rPr>
                      <w:sz w:val="21"/>
                    </w:rPr>
                    <w:t>等中间件进行监控。中间件监控应包括：进程数量、端口状态、集群状态、链接数等监测指标。以</w:t>
                  </w:r>
                  <w:r>
                    <w:rPr>
                      <w:sz w:val="21"/>
                    </w:rPr>
                    <w:t>Nginx</w:t>
                  </w:r>
                  <w:r>
                    <w:rPr>
                      <w:sz w:val="21"/>
                    </w:rPr>
                    <w:t>为例，</w:t>
                  </w:r>
                  <w:r>
                    <w:rPr>
                      <w:sz w:val="21"/>
                    </w:rPr>
                    <w:t>Nginx</w:t>
                  </w:r>
                  <w:r>
                    <w:rPr>
                      <w:sz w:val="21"/>
                    </w:rPr>
                    <w:t>监控指标包括：进程数量、端口状态、活动连接数、成功的客户端连接数等。</w:t>
                  </w:r>
                </w:p>
              </w:tc>
            </w:tr>
          </w:tbl>
          <w:p>
            <w:pPr>
              <w:jc w:val="both"/>
            </w:pPr>
          </w:p>
          <w:p>
            <w:pPr>
              <w:ind w:firstLine="420"/>
              <w:jc w:val="both"/>
            </w:pPr>
            <w:r>
              <w:rPr>
                <w:sz w:val="21"/>
              </w:rPr>
              <w:t>融合通信平台监控要求：支持通过开放运维平台南向</w:t>
            </w:r>
            <w:r>
              <w:rPr>
                <w:sz w:val="21"/>
              </w:rPr>
              <w:t>API</w:t>
            </w:r>
            <w:r>
              <w:rPr>
                <w:sz w:val="21"/>
              </w:rPr>
              <w:t>接口接收融合通信平台数据，对融合通信平台告警和性能指标监控，包括相关硬件设备的</w:t>
            </w:r>
            <w:r>
              <w:rPr>
                <w:sz w:val="21"/>
              </w:rPr>
              <w:t>CPU</w:t>
            </w:r>
            <w:r>
              <w:rPr>
                <w:sz w:val="21"/>
              </w:rPr>
              <w:t>和内存性能。</w:t>
            </w:r>
          </w:p>
          <w:p>
            <w:pPr>
              <w:ind w:firstLine="420"/>
              <w:jc w:val="both"/>
            </w:pPr>
            <w:r>
              <w:rPr>
                <w:sz w:val="21"/>
              </w:rPr>
              <w:t>物联网平台监控要求：支持通过开放运维平台南向</w:t>
            </w:r>
            <w:r>
              <w:rPr>
                <w:sz w:val="21"/>
              </w:rPr>
              <w:t>API</w:t>
            </w:r>
            <w:r>
              <w:rPr>
                <w:sz w:val="21"/>
              </w:rPr>
              <w:t>接口接收物联网平台数据，对物联网平台告警指标监控，包括：数据写入监控、端口监控、应用服务状态监控等。</w:t>
            </w:r>
          </w:p>
          <w:p>
            <w:pPr>
              <w:jc w:val="both"/>
            </w:pPr>
            <w:r>
              <w:rPr>
                <w:sz w:val="21"/>
              </w:rPr>
              <w:t>统一认证服务监控要求：支持通过开放运维平台南向</w:t>
            </w:r>
            <w:r>
              <w:rPr>
                <w:sz w:val="21"/>
              </w:rPr>
              <w:t>API</w:t>
            </w:r>
            <w:r>
              <w:rPr>
                <w:sz w:val="21"/>
              </w:rPr>
              <w:t>接口接收统一认证服务数据，对统一认证服务告警指标监控。包括：认证服务进程监控、端口监控、应用服务状态监控等。</w:t>
            </w:r>
          </w:p>
          <w:p>
            <w:pPr>
              <w:ind w:firstLine="420"/>
              <w:jc w:val="both"/>
            </w:pPr>
            <w:r>
              <w:rPr>
                <w:sz w:val="21"/>
              </w:rPr>
              <w:t>应用构建工具监控要求：支持通过开放运维平台南向</w:t>
            </w:r>
            <w:r>
              <w:rPr>
                <w:sz w:val="21"/>
              </w:rPr>
              <w:t>API</w:t>
            </w:r>
            <w:r>
              <w:rPr>
                <w:sz w:val="21"/>
              </w:rPr>
              <w:t>接口接收应用构建工具数据或安装</w:t>
            </w:r>
            <w:r>
              <w:rPr>
                <w:sz w:val="21"/>
              </w:rPr>
              <w:t>agent</w:t>
            </w:r>
            <w:r>
              <w:rPr>
                <w:sz w:val="21"/>
              </w:rPr>
              <w:t>方式，对应用构建工具告警指标监控，包括：应用构建工具进程监控、端口监控、应用服务状态监控等。</w:t>
            </w:r>
          </w:p>
          <w:p>
            <w:pPr>
              <w:ind w:firstLine="420"/>
              <w:jc w:val="both"/>
            </w:pPr>
            <w:r>
              <w:rPr>
                <w:sz w:val="21"/>
              </w:rPr>
              <w:t>可视化工具监控要求：支持通过开放运维平台南向</w:t>
            </w:r>
            <w:r>
              <w:rPr>
                <w:sz w:val="21"/>
              </w:rPr>
              <w:t>API</w:t>
            </w:r>
            <w:r>
              <w:rPr>
                <w:sz w:val="21"/>
              </w:rPr>
              <w:t>接口接收可视化工具数据，对可视化工具告警指标监控，包括：进程监控、端口监控、应用服务状态监控等。</w:t>
            </w:r>
          </w:p>
          <w:p>
            <w:pPr>
              <w:ind w:firstLine="420"/>
              <w:jc w:val="both"/>
            </w:pPr>
            <w:r>
              <w:rPr>
                <w:sz w:val="21"/>
              </w:rPr>
              <w:t>统一移动框架监控要求：支持通过开放运维平台南向</w:t>
            </w:r>
            <w:r>
              <w:rPr>
                <w:sz w:val="21"/>
              </w:rPr>
              <w:t>API</w:t>
            </w:r>
            <w:r>
              <w:rPr>
                <w:sz w:val="21"/>
              </w:rPr>
              <w:t>接口接收统一移动框架数据或安装</w:t>
            </w:r>
            <w:r>
              <w:rPr>
                <w:sz w:val="21"/>
              </w:rPr>
              <w:t>agent</w:t>
            </w:r>
            <w:r>
              <w:rPr>
                <w:sz w:val="21"/>
              </w:rPr>
              <w:t>方式，对统一移动框架告警指标监控，包括：进程、端口、统一移动框架状态监控等。</w:t>
            </w:r>
          </w:p>
          <w:p>
            <w:pPr>
              <w:ind w:firstLine="420"/>
              <w:jc w:val="both"/>
            </w:pPr>
            <w:r>
              <w:rPr>
                <w:sz w:val="21"/>
              </w:rPr>
              <w:t>操作系统监控要求：支持对操作系统关键指标的实时监控，获悉资源运行详情，进而根据实际情况配置监控模板，实时产生告警，支持的操作系统包括</w:t>
            </w:r>
            <w:r>
              <w:rPr>
                <w:sz w:val="21"/>
              </w:rPr>
              <w:t>Windows</w:t>
            </w:r>
            <w:r>
              <w:rPr>
                <w:sz w:val="21"/>
              </w:rPr>
              <w:t>、</w:t>
            </w:r>
            <w:r>
              <w:rPr>
                <w:sz w:val="21"/>
              </w:rPr>
              <w:t>Linux</w:t>
            </w:r>
            <w:r>
              <w:rPr>
                <w:sz w:val="21"/>
              </w:rPr>
              <w:t>。主要监控指标包括：</w:t>
            </w:r>
            <w:r>
              <w:rPr>
                <w:sz w:val="21"/>
              </w:rPr>
              <w:t>CPU</w:t>
            </w:r>
            <w:r>
              <w:rPr>
                <w:sz w:val="21"/>
              </w:rPr>
              <w:t>利用率、文件系统利用率、网络流入流量、网络流出流量、内存利用率、文件系统空闲量、文件系统总容量、每秒读操作次数、每秒写操作次数、交换空间利用率等。</w:t>
            </w:r>
          </w:p>
          <w:p>
            <w:pPr>
              <w:ind w:firstLine="420"/>
              <w:jc w:val="both"/>
            </w:pPr>
            <w:r>
              <w:rPr>
                <w:sz w:val="21"/>
              </w:rPr>
              <w:t>数据库监控要求：支持对</w:t>
            </w:r>
            <w:r>
              <w:rPr>
                <w:sz w:val="21"/>
              </w:rPr>
              <w:t>postpreSql</w:t>
            </w:r>
            <w:r>
              <w:rPr>
                <w:sz w:val="21"/>
              </w:rPr>
              <w:t>、</w:t>
            </w:r>
            <w:r>
              <w:rPr>
                <w:sz w:val="21"/>
              </w:rPr>
              <w:t>Mysql</w:t>
            </w:r>
            <w:r>
              <w:rPr>
                <w:sz w:val="21"/>
              </w:rPr>
              <w:t>等多种数据库进行监控，支持按照属性划分监控组，支持对于数据库中的不同表空间设定不同的监控阈值。数据库监控应包括：数据库负载与状态、数据库表空间、数据库内存、数据库会话、数据库锁等指标。</w:t>
            </w:r>
          </w:p>
          <w:p>
            <w:pPr>
              <w:ind w:firstLine="420"/>
              <w:jc w:val="both"/>
            </w:pPr>
            <w:r>
              <w:rPr>
                <w:sz w:val="21"/>
              </w:rPr>
              <w:t>中间件监控要求：支持对</w:t>
            </w:r>
            <w:r>
              <w:rPr>
                <w:sz w:val="21"/>
              </w:rPr>
              <w:t>Nginx</w:t>
            </w:r>
            <w:r>
              <w:rPr>
                <w:sz w:val="21"/>
              </w:rPr>
              <w:t>、</w:t>
            </w:r>
            <w:r>
              <w:rPr>
                <w:sz w:val="21"/>
              </w:rPr>
              <w:t>Tomcat</w:t>
            </w:r>
            <w:r>
              <w:rPr>
                <w:sz w:val="21"/>
              </w:rPr>
              <w:t>、</w:t>
            </w:r>
            <w:r>
              <w:rPr>
                <w:sz w:val="21"/>
              </w:rPr>
              <w:t>redis</w:t>
            </w:r>
            <w:r>
              <w:rPr>
                <w:sz w:val="21"/>
              </w:rPr>
              <w:t>、</w:t>
            </w:r>
            <w:r>
              <w:rPr>
                <w:sz w:val="21"/>
              </w:rPr>
              <w:t>kafka</w:t>
            </w:r>
            <w:r>
              <w:rPr>
                <w:sz w:val="21"/>
              </w:rPr>
              <w:t>、</w:t>
            </w:r>
            <w:r>
              <w:rPr>
                <w:sz w:val="21"/>
              </w:rPr>
              <w:t>zookeeper</w:t>
            </w:r>
            <w:r>
              <w:rPr>
                <w:sz w:val="21"/>
              </w:rPr>
              <w:t>等中间件进行监控。中间件监控应包括：进程数量、端口状态、集群状态、链接数等监测指标。以</w:t>
            </w:r>
            <w:r>
              <w:rPr>
                <w:sz w:val="21"/>
              </w:rPr>
              <w:t>Nginx</w:t>
            </w:r>
            <w:r>
              <w:rPr>
                <w:sz w:val="21"/>
              </w:rPr>
              <w:t>为例，</w:t>
            </w:r>
            <w:r>
              <w:rPr>
                <w:sz w:val="21"/>
              </w:rPr>
              <w:t>Nginx</w:t>
            </w:r>
            <w:r>
              <w:rPr>
                <w:sz w:val="21"/>
              </w:rPr>
              <w:t>监控指标包括：进程数量、端口状态、活动连接数、成功的客户端连接数等。</w:t>
            </w:r>
          </w:p>
          <w:p>
            <w:pPr>
              <w:ind w:firstLine="420"/>
              <w:jc w:val="both"/>
            </w:pPr>
            <w:r>
              <w:rPr>
                <w:sz w:val="21"/>
              </w:rPr>
              <w:t>3</w:t>
            </w:r>
            <w:r>
              <w:rPr>
                <w:sz w:val="21"/>
              </w:rPr>
              <w:t>）专题改进建议</w:t>
            </w:r>
          </w:p>
          <w:p>
            <w:pPr>
              <w:ind w:firstLine="420"/>
              <w:jc w:val="both"/>
            </w:pPr>
            <w:r>
              <w:rPr>
                <w:sz w:val="21"/>
              </w:rPr>
              <w:t>根据量化指标结果让客户清楚了解目前专题的价值，是否起到建设预期效果，包含专题业务现状分析和支撑该专题的数据接入情况、结合业务判断数据接入是否正确、能否支撑该专题的业务分析及专题改进完善的方向等内容，为专题及时更新、优化和迭代提供数据支撑和决策依据。</w:t>
            </w:r>
          </w:p>
          <w:p>
            <w:pPr>
              <w:jc w:val="both"/>
            </w:pPr>
            <w:r>
              <w:rPr>
                <w:sz w:val="21"/>
              </w:rPr>
              <w:t>2.2.3.3.</w:t>
            </w:r>
            <w:r>
              <w:rPr>
                <w:sz w:val="21"/>
              </w:rPr>
              <w:t>人才培养</w:t>
            </w:r>
          </w:p>
          <w:p>
            <w:pPr>
              <w:ind w:firstLine="420"/>
              <w:jc w:val="both"/>
            </w:pPr>
            <w:r>
              <w:rPr>
                <w:sz w:val="21"/>
              </w:rPr>
              <w:t>为确保城市智慧大脑安全、高效、稳定运行，支撑中山智慧城市顶层规划落地，在对智慧大脑各平台技术特点、人员状况以及项目实施计划进行具体分析的基础上，针对中山市各委办局中高层管理干部、科室基层管理者与业务骨干，提供中山智慧城市大脑定制培训方案，强化各部门对智慧中山顶层规划和三年行动计划认知，凝心聚力，培育数字思维，推动数字转型。培训主要内容如下：</w:t>
            </w:r>
          </w:p>
          <w:p>
            <w:pPr>
              <w:ind w:firstLine="420"/>
              <w:jc w:val="both"/>
            </w:pPr>
            <w:r>
              <w:rPr>
                <w:sz w:val="21"/>
              </w:rPr>
              <w:t>（</w:t>
            </w:r>
            <w:r>
              <w:rPr>
                <w:sz w:val="21"/>
              </w:rPr>
              <w:t>1</w:t>
            </w:r>
            <w:r>
              <w:rPr>
                <w:sz w:val="21"/>
              </w:rPr>
              <w:t>）</w:t>
            </w:r>
            <w:r>
              <w:rPr>
                <w:sz w:val="21"/>
              </w:rPr>
              <w:t>委办局中高层管理干部培训</w:t>
            </w:r>
          </w:p>
          <w:p>
            <w:pPr>
              <w:jc w:val="both"/>
            </w:pPr>
            <w:r>
              <w:rPr>
                <w:sz w:val="21"/>
              </w:rPr>
              <w:t>培训内容包括：《广东省数字政府省域治理</w:t>
            </w:r>
            <w:r>
              <w:rPr>
                <w:sz w:val="21"/>
              </w:rPr>
              <w:t>“一网统管”三年行动计划》顶层规划解读、从战略到执行、数字化转型与方法实践。</w:t>
            </w:r>
          </w:p>
          <w:p>
            <w:pPr>
              <w:ind w:firstLine="420"/>
              <w:jc w:val="both"/>
            </w:pPr>
            <w:r>
              <w:rPr>
                <w:sz w:val="21"/>
              </w:rPr>
              <w:t>（</w:t>
            </w:r>
            <w:r>
              <w:rPr>
                <w:sz w:val="21"/>
              </w:rPr>
              <w:t>2</w:t>
            </w:r>
            <w:r>
              <w:rPr>
                <w:sz w:val="21"/>
              </w:rPr>
              <w:t>）</w:t>
            </w:r>
            <w:r>
              <w:rPr>
                <w:sz w:val="21"/>
              </w:rPr>
              <w:t>委办局科室基层管理者和业务骨干培训</w:t>
            </w:r>
          </w:p>
          <w:p>
            <w:pPr>
              <w:jc w:val="both"/>
            </w:pPr>
            <w:r>
              <w:rPr>
                <w:sz w:val="21"/>
              </w:rPr>
              <w:t>培训内容包括：《广东省数字政府省域治理</w:t>
            </w:r>
            <w:r>
              <w:rPr>
                <w:sz w:val="21"/>
              </w:rPr>
              <w:t>“一网统管”三年行动计划》、一网统管专题培训、智慧政务、信息技应用创新生态环境、政务大数据安全。</w:t>
            </w:r>
          </w:p>
          <w:p>
            <w:pPr>
              <w:ind w:firstLine="420"/>
              <w:jc w:val="both"/>
            </w:pPr>
            <w:r>
              <w:rPr>
                <w:sz w:val="21"/>
              </w:rPr>
              <w:t>（</w:t>
            </w:r>
            <w:r>
              <w:rPr>
                <w:sz w:val="21"/>
              </w:rPr>
              <w:t>3</w:t>
            </w:r>
            <w:r>
              <w:rPr>
                <w:sz w:val="21"/>
              </w:rPr>
              <w:t>）</w:t>
            </w:r>
            <w:r>
              <w:rPr>
                <w:sz w:val="21"/>
              </w:rPr>
              <w:t>中山市城市大脑运营公司相关工作人员（若有）</w:t>
            </w:r>
          </w:p>
          <w:p>
            <w:pPr>
              <w:jc w:val="both"/>
            </w:pPr>
            <w:r>
              <w:rPr>
                <w:sz w:val="21"/>
              </w:rPr>
              <w:t>培训内容包括：智慧城市、智慧政务、智慧城市（</w:t>
            </w:r>
            <w:r>
              <w:rPr>
                <w:sz w:val="21"/>
              </w:rPr>
              <w:t>IOC</w:t>
            </w:r>
            <w:r>
              <w:rPr>
                <w:sz w:val="21"/>
              </w:rPr>
              <w:t>）和城市数字平台技术使能专题四个方向。</w:t>
            </w:r>
          </w:p>
        </w:tc>
      </w:tr>
      <w:tr>
        <w:tc>
          <w:tcPr>
            <w:tcW w:type="dxa" w:w="2076"/>
          </w:tcPr>
          <w:p/>
        </w:tc>
        <w:tc>
          <w:tcPr>
            <w:tcW w:type="dxa" w:w="415"/>
          </w:tcPr>
          <w:p>
            <w:r>
              <w:rPr/>
              <w:t>3</w:t>
            </w:r>
          </w:p>
        </w:tc>
        <w:tc>
          <w:tcPr>
            <w:tcW w:type="dxa" w:w="5814"/>
          </w:tcPr>
          <w:p>
            <w:pPr>
              <w:jc w:val="both"/>
            </w:pPr>
            <w:r>
              <w:rPr>
                <w:b/>
                <w:sz w:val="21"/>
              </w:rPr>
              <w:t>3.运维工作要求</w:t>
            </w:r>
          </w:p>
          <w:p>
            <w:pPr>
              <w:jc w:val="both"/>
            </w:pPr>
            <w:r>
              <w:rPr>
                <w:b/>
                <w:sz w:val="21"/>
              </w:rPr>
              <w:t>3.1.服务方式及人员要求</w:t>
            </w:r>
          </w:p>
          <w:p>
            <w:pPr>
              <w:jc w:val="both"/>
            </w:pPr>
            <w:r>
              <w:rPr>
                <w:sz w:val="21"/>
              </w:rPr>
              <w:t>3.1.1.运维服务项目</w:t>
            </w:r>
          </w:p>
          <w:p>
            <w:pPr>
              <w:jc w:val="both"/>
            </w:pPr>
            <w:r>
              <w:rPr>
                <w:sz w:val="21"/>
              </w:rPr>
              <w:t>3.1.1.1.热线咨询服务</w:t>
            </w:r>
          </w:p>
          <w:p>
            <w:pPr>
              <w:ind w:firstLine="420"/>
              <w:jc w:val="both"/>
            </w:pPr>
            <w:r>
              <w:rPr>
                <w:sz w:val="21"/>
              </w:rPr>
              <w:t>运维服务期间，</w:t>
            </w:r>
            <w:r>
              <w:rPr>
                <w:sz w:val="21"/>
              </w:rPr>
              <w:t>中标人</w:t>
            </w:r>
            <w:r>
              <w:rPr>
                <w:sz w:val="21"/>
              </w:rPr>
              <w:t>需安排人员负责接收系统故障保修、使用帮助要求、业务和技术咨询、服务投诉等服务请求。在热线电话发生故障情况下，提供其它备份的方便和迅速的联系方式。</w:t>
            </w:r>
          </w:p>
          <w:p>
            <w:pPr>
              <w:jc w:val="both"/>
            </w:pPr>
            <w:r>
              <w:rPr>
                <w:sz w:val="21"/>
              </w:rPr>
              <w:t>3.1.1.2.数据保障服务</w:t>
            </w:r>
          </w:p>
          <w:p>
            <w:pPr>
              <w:ind w:firstLine="420"/>
              <w:jc w:val="both"/>
            </w:pPr>
            <w:r>
              <w:rPr>
                <w:sz w:val="21"/>
              </w:rPr>
              <w:t>“城市智慧大脑”所需数据由用户数据管理单位会同数据供需双方依据政务资源云平台管理规范编制数据目录，并根据数据目录要求跟进数据的更新。</w:t>
            </w:r>
            <w:r>
              <w:rPr>
                <w:sz w:val="21"/>
              </w:rPr>
              <w:t>中标人</w:t>
            </w:r>
            <w:r>
              <w:rPr>
                <w:sz w:val="21"/>
              </w:rPr>
              <w:t>需对各部门的数据需求明确所需数据的用途、使用范围和更新周期等，根据数据更新频次按时对数据更新情况进行检查、督促数据提供部门及时更新，并对数据进行定期备份，以保证数据可用性、实时性。数据的完整性、准确性和实时性由用户数据提供部门负责。</w:t>
            </w:r>
          </w:p>
          <w:p>
            <w:pPr>
              <w:jc w:val="both"/>
            </w:pPr>
            <w:r>
              <w:rPr>
                <w:sz w:val="21"/>
              </w:rPr>
              <w:t>3.1.1.3.软件账户操作服务</w:t>
            </w:r>
          </w:p>
          <w:p>
            <w:pPr>
              <w:ind w:firstLine="420"/>
              <w:jc w:val="both"/>
            </w:pPr>
            <w:r>
              <w:rPr>
                <w:sz w:val="21"/>
              </w:rPr>
              <w:t>本项目所建设软件的账户、角色与权限开通、修改与注销工作根据用户单位相关审批意见操作。</w:t>
            </w:r>
          </w:p>
          <w:p>
            <w:pPr>
              <w:jc w:val="both"/>
            </w:pPr>
            <w:r>
              <w:rPr>
                <w:sz w:val="21"/>
              </w:rPr>
              <w:t>3.1.1.4.信息安全服务</w:t>
            </w:r>
          </w:p>
          <w:p>
            <w:pPr>
              <w:ind w:firstLine="420"/>
              <w:jc w:val="both"/>
            </w:pPr>
            <w:r>
              <w:rPr>
                <w:sz w:val="21"/>
              </w:rPr>
              <w:t>根据要求，</w:t>
            </w:r>
            <w:r>
              <w:rPr>
                <w:sz w:val="21"/>
              </w:rPr>
              <w:t>配合政务云及政务网团队完成信息安全服务，</w:t>
            </w:r>
            <w:r>
              <w:rPr>
                <w:sz w:val="21"/>
              </w:rPr>
              <w:t>对信息系统安全服务策略进行设计、部署和调整，确保信息系统的安全保障。</w:t>
            </w:r>
          </w:p>
          <w:p>
            <w:pPr>
              <w:ind w:firstLine="420"/>
              <w:jc w:val="both"/>
            </w:pPr>
            <w:r>
              <w:rPr>
                <w:sz w:val="21"/>
              </w:rPr>
              <w:t>IT资产调查分析：对需要进行安全防护的系统和网站，形成资产调查概览表。</w:t>
            </w:r>
          </w:p>
          <w:p>
            <w:pPr>
              <w:ind w:firstLine="420"/>
              <w:jc w:val="both"/>
            </w:pPr>
            <w:r>
              <w:rPr>
                <w:sz w:val="21"/>
              </w:rPr>
              <w:t>漏洞扫描服务：定期为全部信息系统进行漏洞扫描服务，包括后台服务器、前端服务器、数据库服务器、网站及应用系统，发现信息系统中存在的安全漏洞，及时地消除安全漏洞可能带来的安全风险。要求在1个月度内进行一轮覆盖扫描，重保期（节假日、重大会议、重大活动、敏感时期、突发事件、网络安全威胁爆发期等）要求对特定系统开展漏洞扫描服务。</w:t>
            </w:r>
          </w:p>
          <w:p>
            <w:pPr>
              <w:ind w:firstLine="420"/>
              <w:jc w:val="both"/>
            </w:pPr>
            <w:r>
              <w:rPr>
                <w:sz w:val="21"/>
              </w:rPr>
              <w:t>代码审计服务：对全部信息系统新功能上线前或新系统上线前进行源代码审计，检查源代码中的安全缺陷，分析可能引发的安全漏洞，并提供代码修订措施和建议，从而在系统开发阶段/运维阶段查找和消灭代码层安全漏洞。</w:t>
            </w:r>
          </w:p>
          <w:p>
            <w:pPr>
              <w:ind w:firstLine="420"/>
              <w:jc w:val="both"/>
            </w:pPr>
            <w:r>
              <w:rPr>
                <w:sz w:val="21"/>
              </w:rPr>
              <w:t>渗透测试服务：对全部信息系统进行人工渗透测试。根据信息系统特点，从本地和互联网侧进行渗透。服务期内，要求至少进行5次深度渗透测试。</w:t>
            </w:r>
          </w:p>
          <w:p>
            <w:pPr>
              <w:ind w:firstLine="420"/>
              <w:jc w:val="both"/>
            </w:pPr>
            <w:r>
              <w:rPr>
                <w:sz w:val="21"/>
              </w:rPr>
              <w:t>安全咨询服务：编制网络安全配套管理制度，建立完善的安全管理策略，主要针对人员管理、安全运维过程管理、安全开发过程管理等方面的安全管理机制。还包括安全培训和政策及标准解读。</w:t>
            </w:r>
          </w:p>
          <w:p>
            <w:pPr>
              <w:ind w:firstLine="420"/>
              <w:jc w:val="both"/>
            </w:pPr>
            <w:r>
              <w:rPr>
                <w:sz w:val="21"/>
              </w:rPr>
              <w:t>应急处置和现场技术支持：对监控到的安全事件采取有效的方法进行处置，对安全事件的影响程度和等级进行分析，启动相应的应急预案。在指定时间进行应急事件处置，及时排查事件原因，使信息系统在最短时间内恢复正常运作。应急响应服务随时提供包括远程应急响应服务和现场应急响应服务等服务。</w:t>
            </w:r>
          </w:p>
          <w:p>
            <w:pPr>
              <w:ind w:firstLine="420"/>
              <w:jc w:val="both"/>
            </w:pPr>
            <w:r>
              <w:rPr>
                <w:sz w:val="21"/>
              </w:rPr>
              <w:t>安全风险评估服务：定期对中心全部信息系统进行安全评估，针对网络应用环境，综合运用各种手段，定性与定量相结合，通过技术测试、调查等多种途径，对网络的脆弱性、威胁和影响进行全方位评估，总结面对的风险。安全策略建立、Web安全加固建议、操作系统安全加固建议、数据库加固建议、安全软件优化建议、安全加固效果检验。</w:t>
            </w:r>
          </w:p>
          <w:p>
            <w:pPr>
              <w:ind w:firstLine="420"/>
              <w:jc w:val="both"/>
            </w:pPr>
            <w:r>
              <w:rPr>
                <w:sz w:val="21"/>
              </w:rPr>
              <w:t>安全日志审计：一是传统日志审计，即每月进行系统日志、安全日志分析与处理，分析结果并输出安全日志报告。二是Web失陷检测，采用Web日志分析系统对互联网侧网站访问日志进行深度分析。</w:t>
            </w:r>
          </w:p>
          <w:p>
            <w:pPr>
              <w:ind w:firstLine="420"/>
              <w:jc w:val="both"/>
            </w:pPr>
            <w:r>
              <w:rPr>
                <w:sz w:val="21"/>
              </w:rPr>
              <w:t>安全通告服务：提供最新漏洞库，不断关注国内国际最新的安全漏洞信息，及时获得各种安全漏洞的第一手资料，及时发布通告。</w:t>
            </w:r>
          </w:p>
          <w:p>
            <w:pPr>
              <w:jc w:val="both"/>
            </w:pPr>
            <w:r>
              <w:rPr>
                <w:sz w:val="21"/>
              </w:rPr>
              <w:t>3.1.1.5.驻场运维服务</w:t>
            </w:r>
          </w:p>
          <w:p>
            <w:pPr>
              <w:ind w:firstLine="420"/>
              <w:jc w:val="both"/>
            </w:pPr>
            <w:r>
              <w:rPr>
                <w:sz w:val="21"/>
              </w:rPr>
              <w:t>运维服务期间，</w:t>
            </w:r>
            <w:r>
              <w:rPr>
                <w:sz w:val="21"/>
              </w:rPr>
              <w:t>由服务团队的</w:t>
            </w:r>
            <w:r>
              <w:rPr>
                <w:sz w:val="21"/>
              </w:rPr>
              <w:t>驻场服务组</w:t>
            </w:r>
            <w:r>
              <w:rPr>
                <w:sz w:val="21"/>
              </w:rPr>
              <w:t>提供7*24小时售后服务，售后支持人员由有运营服务经验的人员负责</w:t>
            </w:r>
            <w:r>
              <w:rPr>
                <w:sz w:val="21"/>
              </w:rPr>
              <w:t>，</w:t>
            </w:r>
            <w:r>
              <w:rPr>
                <w:sz w:val="21"/>
              </w:rPr>
              <w:t>驻点服务地点暂设为安全运维中心或</w:t>
            </w:r>
            <w:r>
              <w:rPr>
                <w:sz w:val="21"/>
              </w:rPr>
              <w:t>采购人</w:t>
            </w:r>
            <w:r>
              <w:rPr>
                <w:sz w:val="21"/>
              </w:rPr>
              <w:t>指定的其他地点。</w:t>
            </w:r>
          </w:p>
          <w:p>
            <w:pPr>
              <w:jc w:val="both"/>
            </w:pPr>
            <w:r>
              <w:rPr>
                <w:sz w:val="21"/>
              </w:rPr>
              <w:t>3.1.1.5.1.客户服务及工单委派</w:t>
            </w:r>
          </w:p>
          <w:p>
            <w:pPr>
              <w:ind w:firstLine="420"/>
              <w:jc w:val="both"/>
            </w:pPr>
            <w:r>
              <w:rPr>
                <w:sz w:val="21"/>
              </w:rPr>
              <w:t>需根据实际服务情况，设置固定若干名工作人员负责和用户单位的协调沟通，接受用户的投诉申告，做好和其他各组组长的互通互达，及时回复</w:t>
            </w:r>
            <w:r>
              <w:rPr>
                <w:sz w:val="21"/>
              </w:rPr>
              <w:t>采购人</w:t>
            </w:r>
            <w:r>
              <w:rPr>
                <w:sz w:val="21"/>
              </w:rPr>
              <w:t>的问题。</w:t>
            </w:r>
          </w:p>
          <w:p>
            <w:pPr>
              <w:ind w:firstLine="420"/>
              <w:jc w:val="both"/>
            </w:pPr>
            <w:r>
              <w:rPr>
                <w:sz w:val="21"/>
              </w:rPr>
              <w:t>在接收到用户单位的委托后，应及时委派至对应专职小组负责人处，协助对应专职小组负责人开展服务工作，并在服务工作完结后，对用户单位进行服务满意度的回访。</w:t>
            </w:r>
          </w:p>
          <w:p>
            <w:pPr>
              <w:jc w:val="both"/>
            </w:pPr>
            <w:r>
              <w:rPr>
                <w:sz w:val="21"/>
              </w:rPr>
              <w:t>3.1.1.5.2.运维知识库整理</w:t>
            </w:r>
          </w:p>
          <w:p>
            <w:pPr>
              <w:ind w:firstLine="420"/>
              <w:jc w:val="both"/>
            </w:pPr>
            <w:r>
              <w:rPr>
                <w:sz w:val="21"/>
              </w:rPr>
              <w:t>需要设置专门的人员对运维知识库进行汇总和整理，负责将各专职小组负责人提交的运维记录、工作记录、运维事件记录整理和汇总进运维知识库，保持运维知识库的持续性和时效性，将重复的工作能够通过知识库沉淀下来，及时针对故障问题输出一个可实施的解决方案，提升知识库的使用率。</w:t>
            </w:r>
          </w:p>
          <w:p>
            <w:pPr>
              <w:jc w:val="both"/>
            </w:pPr>
            <w:r>
              <w:rPr>
                <w:sz w:val="21"/>
              </w:rPr>
              <w:t>3.1.1.5.3.应用推广及培训</w:t>
            </w:r>
          </w:p>
          <w:p>
            <w:pPr>
              <w:ind w:firstLine="420"/>
              <w:jc w:val="both"/>
            </w:pPr>
            <w:r>
              <w:rPr>
                <w:sz w:val="21"/>
              </w:rPr>
              <w:t>服务要求详见“4.6.应用推广及人才培训”。</w:t>
            </w:r>
          </w:p>
          <w:p>
            <w:pPr>
              <w:jc w:val="both"/>
            </w:pPr>
            <w:r>
              <w:rPr>
                <w:sz w:val="21"/>
              </w:rPr>
              <w:t>3.1.1.5.4.技术支持</w:t>
            </w:r>
          </w:p>
          <w:p>
            <w:pPr>
              <w:ind w:firstLine="420"/>
              <w:jc w:val="both"/>
            </w:pPr>
            <w:r>
              <w:rPr>
                <w:sz w:val="21"/>
              </w:rPr>
              <w:t>定期记录用户单位的使用感受和反馈意见，定期陪同用户单位参加相应会议并做技术支持，为用户单位新项目提供方案技术支持。</w:t>
            </w:r>
          </w:p>
          <w:p>
            <w:pPr>
              <w:jc w:val="both"/>
            </w:pPr>
            <w:r>
              <w:rPr>
                <w:sz w:val="21"/>
              </w:rPr>
              <w:t>3.1.1.5.5.安全运营服务</w:t>
            </w:r>
          </w:p>
          <w:p>
            <w:pPr>
              <w:jc w:val="both"/>
            </w:pPr>
            <w:r>
              <w:rPr>
                <w:sz w:val="21"/>
              </w:rPr>
              <w:t>3.1.1.5.5.1.安全事件分类</w:t>
            </w:r>
          </w:p>
          <w:p>
            <w:pPr>
              <w:ind w:firstLine="420"/>
              <w:jc w:val="both"/>
            </w:pPr>
            <w:r>
              <w:rPr>
                <w:sz w:val="21"/>
              </w:rPr>
              <w:t>信息安全事件是指由于人为原因、软硬件缺陷或故障、自然灾害等情况对网络和信息系统或者其中的数据造成危害，对社会造成负面影响的网络安全事件。依据《中华人民共和国网络安全法》和《信息安全技术信息网络攻击事件分类分级指南》(GB\Z20986-2007)等法律法规文件，根据信息安全事件发生的原因、表现形式等，将信息安全事件分为有害程序事件、网络攻击事件、信息破坏事件、信息内容安全事件、设备设施故障、灾害性事件和其他类事件7大类。</w:t>
            </w:r>
          </w:p>
          <w:p>
            <w:pPr>
              <w:ind w:firstLine="420"/>
              <w:jc w:val="both"/>
            </w:pPr>
            <w:r>
              <w:rPr>
                <w:sz w:val="21"/>
              </w:rPr>
              <w:t>有害程序事件是指蓄意制造、传播有害程序，或是因受到有害程序的影响而导致的信息安全事件。包括计算机病毒事件、蠕虫事件、特洛伊木马事件、僵尸网络事件、混合攻击程序事件、网页内嵌恶意代码事件等。</w:t>
            </w:r>
          </w:p>
          <w:p>
            <w:pPr>
              <w:ind w:firstLine="420"/>
              <w:jc w:val="both"/>
            </w:pPr>
            <w:r>
              <w:rPr>
                <w:sz w:val="21"/>
              </w:rPr>
              <w:t>网络攻击事件是指通过网络或其他技术手段，利用信息系统的配置缺陷、协议缺陷、程序缺陷或使用暴力攻击对信息系统实施攻击，并造成信息系统异常或对信息系统当前运行造成潜在危害的信息安全事件，包括拒绝服务攻击事件、后门攻击事件、漏洞攻击事件、网络扫描窃听事件、网络钓鱼事件、干扰事件等。</w:t>
            </w:r>
          </w:p>
          <w:p>
            <w:pPr>
              <w:ind w:firstLine="420"/>
              <w:jc w:val="both"/>
            </w:pPr>
            <w:r>
              <w:rPr>
                <w:sz w:val="21"/>
              </w:rPr>
              <w:t>信息破坏事件是指通过网络或其他技术手段，造成信息系统中的信息被篡改、假冒、泄漏、窃取等，导致的信息安全事件。信息泄露事件包括信息篡改事件、信息假冒事件、信息泄漏事件、信息窃取事件、信息丢失事件和其它信息破坏事件等。</w:t>
            </w:r>
          </w:p>
          <w:p>
            <w:pPr>
              <w:jc w:val="both"/>
            </w:pPr>
            <w:r>
              <w:rPr>
                <w:sz w:val="21"/>
              </w:rPr>
              <w:t>信息内容安全事件是指利用信息网络发布、传播危害国家安全、社会稳定和公共利益的内容的安全事件。包含违反宪法和法律、行政法规的信息安全事件；针对社会事项进行讨论、评论形成网上敏感的讨论热点，出现一定规模炒作的信息安全事件等。</w:t>
            </w:r>
          </w:p>
          <w:p>
            <w:pPr>
              <w:ind w:firstLine="420"/>
              <w:jc w:val="both"/>
            </w:pPr>
            <w:r>
              <w:rPr>
                <w:sz w:val="21"/>
              </w:rPr>
              <w:t>设备设施故障事件是指由于信息系统自身故障或外围保障设施故障而导致的信息安全事件，以及人为的使用非技术手段有意或无意的造成信息系统破坏而导致的信息安全事件。包含设备设施故障包括软硬件自身故障、外围保障设施故障、人为破坏事故和其它设备设施故障等。</w:t>
            </w:r>
          </w:p>
          <w:p>
            <w:pPr>
              <w:jc w:val="both"/>
            </w:pPr>
            <w:r>
              <w:rPr>
                <w:sz w:val="21"/>
              </w:rPr>
              <w:t>灾害性事件是指由于不可抗力对信息系统造成物理破坏而导致的信息安全事件。包括水灾、台风、地震、雷击、坍塌、火灾、恐怖袭击、战争等导致的信息安全事件。</w:t>
            </w:r>
          </w:p>
          <w:p>
            <w:pPr>
              <w:jc w:val="both"/>
            </w:pPr>
            <w:r>
              <w:rPr>
                <w:sz w:val="21"/>
              </w:rPr>
              <w:t>3.1.1.5.5.2.安全事件分级</w:t>
            </w:r>
          </w:p>
          <w:p>
            <w:pPr>
              <w:ind w:firstLine="420"/>
              <w:jc w:val="both"/>
            </w:pPr>
            <w:r>
              <w:rPr>
                <w:sz w:val="21"/>
              </w:rPr>
              <w:t>对信息安全事件的分级主要考虑三个要素：信息系统的重要程度、系统损失和社会影响。</w:t>
            </w:r>
          </w:p>
          <w:p>
            <w:pPr>
              <w:ind w:firstLine="420"/>
              <w:jc w:val="both"/>
            </w:pPr>
            <w:r>
              <w:rPr>
                <w:sz w:val="21"/>
              </w:rPr>
              <w:t>信息系统的重要程度主要考虑信息系统所承载的业务对国家安全、经济建设、社会生活的重要性以及业务对信息系统的依赖程度，划分为特别重要信息系统、重要信息系统和一般信息系统。</w:t>
            </w:r>
          </w:p>
          <w:p>
            <w:pPr>
              <w:ind w:firstLine="420"/>
              <w:jc w:val="both"/>
            </w:pPr>
            <w:r>
              <w:rPr>
                <w:sz w:val="21"/>
              </w:rPr>
              <w:t>系统损失是指由于信息安全事件对信息系统的软硬件、功能及数据的破坏，导致系统业务中断，从而给事发组织所造成的损失，其大小主要考虑恢复系统正常运行和消除安全事件负面影响所需付出的代价，划分为特别严重的系统损失、严重的系统损失、较大的系统损失和较小的系统损失。</w:t>
            </w:r>
          </w:p>
          <w:p>
            <w:pPr>
              <w:ind w:firstLine="420"/>
              <w:jc w:val="both"/>
            </w:pPr>
            <w:r>
              <w:rPr>
                <w:sz w:val="21"/>
              </w:rPr>
              <w:t>社会影响是指网络安全事件对社会所造成影响的范围和程度，其大小主要考虑国家安全、社会秩序、经济建设和公众利益等方面的影响，划分为特别重大的社会影响、重大的社会影响、较大的社会影响和一般的社会影响。</w:t>
            </w:r>
          </w:p>
          <w:p>
            <w:pPr>
              <w:ind w:firstLine="420"/>
              <w:jc w:val="both"/>
            </w:pPr>
            <w:r>
              <w:rPr>
                <w:sz w:val="21"/>
              </w:rPr>
              <w:t>根据网络安全事件的分级考虑要素，将网络安全事件划分为四个级别：特别重大事件、重大事件、较大事件和一般事件。根据业务系统、平台的业务内容和涉及数据资产的敏感性等因素，对全网的网络安全事件进行如下分级：</w:t>
            </w:r>
          </w:p>
          <w:p>
            <w:pPr>
              <w:ind w:firstLine="420"/>
              <w:jc w:val="both"/>
            </w:pPr>
            <w:r>
              <w:rPr>
                <w:sz w:val="21"/>
              </w:rPr>
              <w:t>特别重大事件（Ⅰ级）</w:t>
            </w:r>
          </w:p>
          <w:p>
            <w:pPr>
              <w:ind w:firstLine="420"/>
              <w:jc w:val="both"/>
            </w:pPr>
            <w:r>
              <w:rPr>
                <w:sz w:val="21"/>
              </w:rPr>
              <w:t>能够导致特别严重影响或破坏的网络安全事件，包括以下情况：</w:t>
            </w:r>
          </w:p>
          <w:p>
            <w:pPr>
              <w:jc w:val="both"/>
            </w:pPr>
            <w:r>
              <w:rPr>
                <w:sz w:val="21"/>
              </w:rPr>
              <w:t>1)会使特别重要信息系统遭受特别严重的系统损失；</w:t>
            </w:r>
          </w:p>
          <w:p>
            <w:pPr>
              <w:jc w:val="both"/>
            </w:pPr>
            <w:r>
              <w:rPr>
                <w:sz w:val="21"/>
              </w:rPr>
              <w:t>2)产生特别重大的社会影响。</w:t>
            </w:r>
          </w:p>
          <w:p>
            <w:pPr>
              <w:jc w:val="both"/>
            </w:pPr>
            <w:r>
              <w:rPr>
                <w:sz w:val="21"/>
              </w:rPr>
              <w:t>如平台由于灾害、网络攻击、设备故障等因素导致长时间无法正常提供服务；大脑中的分析数据、信息资源数据被破坏或发生重要机密敏感数据泄漏；云网出现大范围蠕虫、木马、勒索病毒传播；应用支撑平台门户被篡改、植入木马等严重影响单位声誉的事件。</w:t>
            </w:r>
          </w:p>
          <w:p>
            <w:pPr>
              <w:ind w:firstLine="420"/>
              <w:jc w:val="both"/>
            </w:pPr>
            <w:r>
              <w:rPr>
                <w:sz w:val="21"/>
              </w:rPr>
              <w:t>重大事件（Ⅱ级）</w:t>
            </w:r>
          </w:p>
          <w:p>
            <w:pPr>
              <w:ind w:firstLine="420"/>
              <w:jc w:val="both"/>
            </w:pPr>
            <w:r>
              <w:rPr>
                <w:sz w:val="21"/>
              </w:rPr>
              <w:t>重大事件是指能够导致严重影响或破坏的信息安全事件，包括以下情况：</w:t>
            </w:r>
          </w:p>
          <w:p>
            <w:pPr>
              <w:jc w:val="both"/>
            </w:pPr>
            <w:r>
              <w:rPr>
                <w:sz w:val="21"/>
              </w:rPr>
              <w:t>a)会使特别重要信息系统遭受严重的系统损失或使重要信息系统遭受特别严重的系统损失；</w:t>
            </w:r>
          </w:p>
          <w:p>
            <w:pPr>
              <w:jc w:val="both"/>
            </w:pPr>
            <w:r>
              <w:rPr>
                <w:sz w:val="21"/>
              </w:rPr>
              <w:t>b)产生的重大的社会影响。</w:t>
            </w:r>
          </w:p>
          <w:p>
            <w:pPr>
              <w:jc w:val="both"/>
            </w:pPr>
            <w:r>
              <w:rPr>
                <w:sz w:val="21"/>
              </w:rPr>
              <w:t>如非核心平台、基础网络发生故障导致部分业务无法正常提供服务，部分非核心数据因为非法访问导致泄露等。</w:t>
            </w:r>
          </w:p>
          <w:p>
            <w:pPr>
              <w:ind w:firstLine="420"/>
              <w:jc w:val="both"/>
            </w:pPr>
            <w:r>
              <w:rPr>
                <w:sz w:val="21"/>
              </w:rPr>
              <w:t>较大事件（Ⅲ级）</w:t>
            </w:r>
          </w:p>
          <w:p>
            <w:pPr>
              <w:ind w:firstLine="420"/>
              <w:jc w:val="both"/>
            </w:pPr>
            <w:r>
              <w:rPr>
                <w:sz w:val="21"/>
              </w:rPr>
              <w:t>较大事件是指能够导致较严重影响或破坏的信息安全事件，包括以下情况：</w:t>
            </w:r>
          </w:p>
          <w:p>
            <w:pPr>
              <w:jc w:val="both"/>
            </w:pPr>
            <w:r>
              <w:rPr>
                <w:sz w:val="21"/>
              </w:rPr>
              <w:t>1)会使特别重要信息系统遭受较大的系统损失、或使重要信息系统遭受严重的系统损失、一般信息系统遭受特别严重的系统损失；</w:t>
            </w:r>
          </w:p>
          <w:p>
            <w:pPr>
              <w:jc w:val="both"/>
            </w:pPr>
            <w:r>
              <w:rPr>
                <w:sz w:val="21"/>
              </w:rPr>
              <w:t>2)产生较大的社会影响。如由于灾害、网络攻击、设备故障等因素导致无法正常运行超过10分钟以上；视频会议系统、办公OA系统、业务局域网、专线故障导致相关业务无法正常运转等。</w:t>
            </w:r>
          </w:p>
          <w:p>
            <w:pPr>
              <w:ind w:firstLine="420"/>
              <w:jc w:val="both"/>
            </w:pPr>
            <w:r>
              <w:rPr>
                <w:sz w:val="21"/>
              </w:rPr>
              <w:t>一般事件（Ⅳ级）</w:t>
            </w:r>
          </w:p>
          <w:p>
            <w:pPr>
              <w:ind w:firstLine="420"/>
              <w:jc w:val="both"/>
            </w:pPr>
            <w:r>
              <w:rPr>
                <w:sz w:val="21"/>
              </w:rPr>
              <w:t>一般事件是指不满足以上条件的信息安全事件，包括以下情况：</w:t>
            </w:r>
          </w:p>
          <w:p>
            <w:pPr>
              <w:ind w:firstLine="420"/>
              <w:jc w:val="both"/>
            </w:pPr>
            <w:r>
              <w:rPr>
                <w:sz w:val="21"/>
              </w:rPr>
              <w:t>1)会使特别重要信息系统遭受较小的系统损失或使重要信息系统遭受较大的系统损失，一般信息系统遭受严重或严重以下级别的系统损失；</w:t>
            </w:r>
          </w:p>
          <w:p>
            <w:pPr>
              <w:ind w:firstLine="420"/>
              <w:jc w:val="both"/>
            </w:pPr>
            <w:r>
              <w:rPr>
                <w:sz w:val="21"/>
              </w:rPr>
              <w:t>2)产生一般的社会影响。如检测到被攻击事件、平台访问缓慢、检测到非法资产接入、系统上线等。</w:t>
            </w:r>
          </w:p>
          <w:p>
            <w:pPr>
              <w:jc w:val="both"/>
            </w:pPr>
            <w:r>
              <w:rPr>
                <w:sz w:val="21"/>
              </w:rPr>
              <w:t>3.1.1.5.5.3.安全事件监测与通报</w:t>
            </w:r>
          </w:p>
          <w:p>
            <w:pPr>
              <w:ind w:firstLine="420"/>
              <w:jc w:val="both"/>
            </w:pPr>
            <w:r>
              <w:rPr>
                <w:sz w:val="21"/>
              </w:rPr>
              <w:t>当监测到重要信息系统存在重大风险隐患或产生安全事件时，根据安全事件等级进行处置，对于重大安全事件通过安全运营平台进行通报下发，被通报的业务运维单位按期反馈处置结果。通报方式包括但不限于手机APP、短信和电话等。在发生严重情况时，可立即通过短信、电话等方式进行通报；当系统监测到轻微安全隐患时，可进行预警提醒或限期整改，被通报单位须及时反馈处置结果。</w:t>
            </w:r>
          </w:p>
          <w:p>
            <w:pPr>
              <w:jc w:val="both"/>
            </w:pPr>
            <w:r>
              <w:rPr>
                <w:sz w:val="21"/>
              </w:rPr>
              <w:t>3.1.1.5.5.4.安全事件闭环管理</w:t>
            </w:r>
          </w:p>
          <w:p>
            <w:pPr>
              <w:ind w:firstLine="420"/>
              <w:jc w:val="both"/>
            </w:pPr>
            <w:r>
              <w:rPr>
                <w:sz w:val="21"/>
              </w:rPr>
              <w:t>将安全运营中心发送的事件通报、收到的通报和抄送中心的安全事件通报进行统一汇总，包括通报的详情信息（包括发布人、接收人、通报状态等）、事件详情、该次通报的通报记录等信息，实现对整个通报过程进行跟踪记录。通报未完成或未通报的可在平台上进行通报，实现Web通报和APP通报的同步。</w:t>
            </w:r>
          </w:p>
          <w:p>
            <w:pPr>
              <w:ind w:firstLine="420"/>
              <w:jc w:val="both"/>
            </w:pPr>
            <w:r>
              <w:rPr>
                <w:sz w:val="21"/>
              </w:rPr>
              <w:t>可按照区域、行业、危险等级、具体单位、具体系统和资产等维度生成安全通报报告。以信息系统的角度统计单位或信息系统所面临的漏洞、威胁、攻击事件等情况，并能提供相关整改建议。可使用预设的整改通知书模板，按照区域、行业、危险等级、单位、网站、限期整改时间等维度生成整改通知书，并提供相关整改建议。支持查询及下载整改通知书和发送到指定邮箱。</w:t>
            </w:r>
          </w:p>
          <w:p>
            <w:pPr>
              <w:jc w:val="both"/>
            </w:pPr>
            <w:r>
              <w:rPr>
                <w:sz w:val="21"/>
              </w:rPr>
              <w:t>3.1.1.5.5.4.1.安全事件应急响应</w:t>
            </w:r>
          </w:p>
          <w:p>
            <w:pPr>
              <w:ind w:firstLine="420"/>
              <w:jc w:val="both"/>
            </w:pPr>
            <w:r>
              <w:rPr>
                <w:sz w:val="21"/>
              </w:rPr>
              <w:t>应急预案库</w:t>
            </w:r>
          </w:p>
          <w:p>
            <w:pPr>
              <w:ind w:firstLine="420"/>
              <w:jc w:val="both"/>
            </w:pPr>
            <w:r>
              <w:rPr>
                <w:sz w:val="21"/>
              </w:rPr>
              <w:t>安全运营中心建立应急预案库，提前对各类安全事件准备应急处置预案，包括但不限于网络攻击应急响应、数据泄露/丢失应急响应、信息内容安全应急响应、设备故障应急响应、灾害破坏应急响应等。当发生了紧急事件、相应的重大事件，可以根据应急预案库中的文档进行处理，操作，使处理流程化、规范化。</w:t>
            </w:r>
          </w:p>
          <w:p>
            <w:pPr>
              <w:ind w:firstLine="420"/>
              <w:jc w:val="both"/>
            </w:pPr>
            <w:r>
              <w:rPr>
                <w:sz w:val="21"/>
              </w:rPr>
              <w:t>应急响应处置</w:t>
            </w:r>
          </w:p>
          <w:p>
            <w:pPr>
              <w:ind w:firstLine="420"/>
              <w:jc w:val="both"/>
            </w:pPr>
            <w:r>
              <w:rPr>
                <w:sz w:val="21"/>
              </w:rPr>
              <w:t>根据安全事件的等级和具体事件的内容，启动相应的应急响应处置流程。如果发生业务系统瘫痪的情况，则以不被二次破坏为前提的情况下，协调系统运维部门尽快恢复业务系统，同时进行原因分析、攻击溯源、调查取证等相关工作。</w:t>
            </w:r>
          </w:p>
          <w:p>
            <w:pPr>
              <w:jc w:val="both"/>
            </w:pPr>
            <w:r>
              <w:rPr>
                <w:sz w:val="21"/>
              </w:rPr>
              <w:t>3.1.1.5.5.5.重保安全运营</w:t>
            </w:r>
          </w:p>
          <w:p>
            <w:pPr>
              <w:ind w:firstLine="420"/>
              <w:jc w:val="both"/>
            </w:pPr>
            <w:r>
              <w:rPr>
                <w:sz w:val="21"/>
              </w:rPr>
              <w:t>重要时期主要指国家、政府或企事业单位及商业社会团体需要经历的，具有重大政治、经济影响的一段时间。在此期间，信息安全责任单位和安全运营团队必须防范重大网络安全事件的发生，保证重要信息系统的安全稳定运行，以保障业务单位或部门更好的完成既定的战略或战术目标。</w:t>
            </w:r>
          </w:p>
          <w:p>
            <w:pPr>
              <w:ind w:firstLine="420"/>
              <w:jc w:val="both"/>
            </w:pPr>
            <w:r>
              <w:rPr>
                <w:sz w:val="21"/>
              </w:rPr>
              <w:t>重要时期安全保障服务主要针对重要IT系统资产、包括主机、网络、应用等系统运行维护场景，保证重大活动期间，能够及时对重大、突发的安全事件，进行监测、跟踪、溯源、处置等，并围绕重要活动的三个阶段提供全方位的安全保障服务。</w:t>
            </w:r>
          </w:p>
          <w:p>
            <w:pPr>
              <w:ind w:firstLine="420"/>
              <w:jc w:val="both"/>
            </w:pPr>
            <w:r>
              <w:rPr>
                <w:sz w:val="21"/>
              </w:rPr>
              <w:t>在安全管理层面，在重保时期开始之前，要组建重保安全专项团队，对涉及到各类责任人进行安全意识官宣学习，提高全体人员网络安全意识和技能水平，防止攻击者通过钓鱼邮件、社工等手段侵入平台；强化组织管理，制定详细工作方案和管控表，落实责任人，强化执行力度，严控账号安全管理及系统责任归属；理顺安全工作机制，规范各项安全制度流程，提高省、市部门之间的联动处置效率以应对突发的应急响应事件。在重保期间，进行必要的定期会议，对各项事件流程进行讨论和研究优化。在重保结束之后，听取各团队的总结报告，对整个重保运营进行归纳总结，查缺补漏，优化日常中安全管理流程和制度。</w:t>
            </w:r>
          </w:p>
          <w:p>
            <w:pPr>
              <w:ind w:firstLine="420"/>
              <w:jc w:val="both"/>
            </w:pPr>
            <w:r>
              <w:rPr>
                <w:sz w:val="21"/>
              </w:rPr>
              <w:t>在技术手段层面，在重保时期开始之前，夯实基础安全防护工作，收敛平台的互联网暴露面，收紧网络边界访问控制策略，对各类远程访问账号进行严格管控并关停非必要的账号访问权限，重新梳理网络出口，严格安全防护策略。举办内部的安全攻防演练，对暴露出来的安全问题即时修复并进行安全加固。在重保时期，建立7</w:t>
            </w:r>
            <w:r>
              <w:rPr>
                <w:sz w:val="21"/>
              </w:rPr>
              <w:t>*</w:t>
            </w:r>
            <w:r>
              <w:rPr>
                <w:sz w:val="21"/>
              </w:rPr>
              <w:t>24小时监控机制，安全运营团队即时对各类安全事件进行分析判研，自动化处置与人工处置相结合，结合威胁情报提前处置安全风险，根据攻击态势及时优化防护策略。在重保结束之后，总结并沉淀相关技术知识，对一些攻击进行还</w:t>
            </w:r>
            <w:r>
              <w:rPr>
                <w:sz w:val="21"/>
              </w:rPr>
              <w:t>原</w:t>
            </w:r>
            <w:r>
              <w:rPr>
                <w:sz w:val="21"/>
              </w:rPr>
              <w:t>分析，优化安全技术体系。</w:t>
            </w:r>
          </w:p>
          <w:p>
            <w:pPr>
              <w:jc w:val="both"/>
            </w:pPr>
            <w:r>
              <w:rPr>
                <w:sz w:val="21"/>
              </w:rPr>
              <w:t>3.1.1.5.5.6.安全教育和培训</w:t>
            </w:r>
          </w:p>
          <w:p>
            <w:pPr>
              <w:ind w:firstLine="420"/>
              <w:jc w:val="both"/>
            </w:pPr>
            <w:r>
              <w:rPr>
                <w:sz w:val="21"/>
              </w:rPr>
              <w:t>开展常态化的网络安全教育和培训管理活动，建立网络安全教育和培训制度，明确培训对象和培训内容，实施培训工作，并定期进行技能考核，以提升人员安全水平，促进各项安全措施的落地执行，保障安全效果。培训安全从业人员专业技能水平和提高安全意识，使其符合安全岗位的要求，促进各项安全措施的有效实施。</w:t>
            </w:r>
          </w:p>
          <w:p>
            <w:pPr>
              <w:ind w:firstLine="420"/>
              <w:jc w:val="both"/>
            </w:pPr>
            <w:r>
              <w:rPr>
                <w:sz w:val="21"/>
              </w:rPr>
              <w:t>主要围绕以下几个方面开展网络安全教育和培训管理活动：</w:t>
            </w:r>
          </w:p>
          <w:p>
            <w:pPr>
              <w:ind w:firstLine="420"/>
              <w:jc w:val="both"/>
            </w:pPr>
            <w:r>
              <w:rPr>
                <w:sz w:val="21"/>
              </w:rPr>
              <w:t>建立网络安全教育和培训制度。建立网络安全教育培训制度，为关键信息基础设施从业人员及其他有关人员提供安全意识教育和基本安全技能培训，为关键岗位人员提供基于岗位的专业安全技能培训；并将安全意识教育和基本安全技能培训作为关键信息基础设施从业人员入职培训的一部分，确保关键岗位人员上岗前参加与岗位相关的安全技能培训。</w:t>
            </w:r>
          </w:p>
          <w:p>
            <w:pPr>
              <w:ind w:firstLine="420"/>
              <w:jc w:val="both"/>
            </w:pPr>
            <w:r>
              <w:rPr>
                <w:sz w:val="21"/>
              </w:rPr>
              <w:t>实施培训工作。按照网络安全教育和培训制度实施培训工作，确保关键信息基础设施从业人员每年参加一次网络安全培训，时长不少于8个学时，网络安全关键岗位的人员年度培训时长不少于24个学时。</w:t>
            </w:r>
          </w:p>
          <w:p>
            <w:pPr>
              <w:ind w:firstLine="420"/>
              <w:jc w:val="both"/>
            </w:pPr>
            <w:r>
              <w:rPr>
                <w:sz w:val="21"/>
              </w:rPr>
              <w:t>进行技能考核，应至少每年开展一次网络安全技能考核，及时记录并保存培训和考核情况，作为从业人员综合评价的一部分。</w:t>
            </w:r>
          </w:p>
          <w:p>
            <w:pPr>
              <w:ind w:firstLine="420"/>
              <w:jc w:val="both"/>
            </w:pPr>
            <w:r>
              <w:rPr>
                <w:sz w:val="21"/>
              </w:rPr>
              <w:t>支持对各类检查材料、工作总结、安全通报、记录文件进行在线知识库管理，方便进行内容查阅和材料归档。</w:t>
            </w:r>
          </w:p>
          <w:p>
            <w:pPr>
              <w:jc w:val="both"/>
            </w:pPr>
            <w:r>
              <w:rPr>
                <w:sz w:val="21"/>
              </w:rPr>
              <w:t>3.1.1.5.6.其他日常工作</w:t>
            </w:r>
          </w:p>
          <w:p>
            <w:pPr>
              <w:ind w:firstLine="420"/>
              <w:jc w:val="both"/>
            </w:pPr>
            <w:r>
              <w:rPr>
                <w:sz w:val="21"/>
              </w:rPr>
              <w:t>包括但不限于开展使能平台运行状态监控、硬件设备定期巡检、紧急事件快速响应、应急演练等日常巡检工作。</w:t>
            </w:r>
          </w:p>
          <w:p>
            <w:pPr>
              <w:jc w:val="both"/>
            </w:pPr>
            <w:r>
              <w:rPr>
                <w:b/>
                <w:sz w:val="21"/>
              </w:rPr>
              <w:t>3.2.服务团队要求</w:t>
            </w:r>
          </w:p>
          <w:p>
            <w:pPr>
              <w:ind w:firstLine="420"/>
              <w:jc w:val="both"/>
            </w:pPr>
            <w:r>
              <w:rPr>
                <w:sz w:val="21"/>
              </w:rPr>
              <w:t>★服务团队包含</w:t>
            </w:r>
            <w:r>
              <w:rPr>
                <w:sz w:val="21"/>
              </w:rPr>
              <w:t>驻场服务组</w:t>
            </w:r>
            <w:r>
              <w:rPr>
                <w:sz w:val="21"/>
              </w:rPr>
              <w:t>、平台运维组、专题运营组、</w:t>
            </w:r>
            <w:r>
              <w:rPr>
                <w:sz w:val="21"/>
              </w:rPr>
              <w:t>安全运营团队及技术支撑组。其中，</w:t>
            </w:r>
            <w:r>
              <w:rPr>
                <w:sz w:val="21"/>
              </w:rPr>
              <w:t>驻场服务组</w:t>
            </w:r>
            <w:r>
              <w:rPr>
                <w:sz w:val="21"/>
              </w:rPr>
              <w:t>、平台运维组、专题运营组、</w:t>
            </w:r>
            <w:r>
              <w:rPr>
                <w:sz w:val="21"/>
              </w:rPr>
              <w:t>安全运营团队总服务人员不少于86人，详见《服务团队岗位表》</w:t>
            </w:r>
            <w:r>
              <w:rPr>
                <w:sz w:val="21"/>
              </w:rPr>
              <w:t>（</w:t>
            </w:r>
            <w:r>
              <w:rPr>
                <w:sz w:val="21"/>
              </w:rPr>
              <w:t>投标时须按拟投入团队人员情况填写《服务团队岗位表》</w:t>
            </w:r>
            <w:r>
              <w:rPr>
                <w:sz w:val="21"/>
              </w:rPr>
              <w:t>）</w:t>
            </w:r>
            <w:r>
              <w:rPr>
                <w:sz w:val="21"/>
              </w:rPr>
              <w:t>。</w:t>
            </w:r>
          </w:p>
          <w:p>
            <w:pPr>
              <w:ind w:firstLine="420"/>
              <w:jc w:val="both"/>
            </w:pPr>
            <w:r>
              <w:rPr>
                <w:sz w:val="21"/>
              </w:rPr>
              <w:t>具体要求如下</w:t>
            </w:r>
            <w:r>
              <w:rPr>
                <w:sz w:val="21"/>
              </w:rPr>
              <w:t>：</w:t>
            </w:r>
          </w:p>
          <w:p>
            <w:pPr>
              <w:ind w:firstLine="420"/>
              <w:jc w:val="both"/>
            </w:pPr>
            <w:r>
              <w:rPr>
                <w:sz w:val="21"/>
              </w:rPr>
              <w:t>（</w:t>
            </w:r>
            <w:r>
              <w:rPr>
                <w:sz w:val="21"/>
              </w:rPr>
              <w:t>1</w:t>
            </w:r>
            <w:r>
              <w:rPr>
                <w:sz w:val="21"/>
              </w:rPr>
              <w:t>）</w:t>
            </w:r>
            <w:r>
              <w:rPr>
                <w:sz w:val="21"/>
              </w:rPr>
              <w:t>服务团队包含</w:t>
            </w:r>
            <w:r>
              <w:rPr>
                <w:sz w:val="21"/>
              </w:rPr>
              <w:t>项目经理</w:t>
            </w:r>
            <w:r>
              <w:rPr>
                <w:sz w:val="21"/>
              </w:rPr>
              <w:t>1名，属于</w:t>
            </w:r>
            <w:r>
              <w:rPr>
                <w:sz w:val="21"/>
              </w:rPr>
              <w:t>驻场服务组</w:t>
            </w:r>
            <w:r>
              <w:rPr>
                <w:sz w:val="21"/>
              </w:rPr>
              <w:t>：提供5*8小时的现场支撑服务。</w:t>
            </w:r>
          </w:p>
          <w:p>
            <w:pPr>
              <w:ind w:firstLine="420"/>
              <w:jc w:val="both"/>
            </w:pPr>
            <w:r>
              <w:rPr>
                <w:sz w:val="21"/>
              </w:rPr>
              <w:t>（</w:t>
            </w:r>
            <w:r>
              <w:rPr>
                <w:sz w:val="21"/>
              </w:rPr>
              <w:t>2</w:t>
            </w:r>
            <w:r>
              <w:rPr>
                <w:sz w:val="21"/>
              </w:rPr>
              <w:t>）驻场服务组</w:t>
            </w:r>
            <w:r>
              <w:rPr>
                <w:sz w:val="21"/>
              </w:rPr>
              <w:t>：</w:t>
            </w:r>
            <w:r>
              <w:rPr>
                <w:sz w:val="21"/>
              </w:rPr>
              <w:t>负责</w:t>
            </w:r>
            <w:r>
              <w:rPr>
                <w:sz w:val="21"/>
              </w:rPr>
              <w:t>在</w:t>
            </w:r>
            <w:r>
              <w:rPr>
                <w:sz w:val="21"/>
              </w:rPr>
              <w:t>采购人</w:t>
            </w:r>
            <w:r>
              <w:rPr>
                <w:sz w:val="21"/>
              </w:rPr>
              <w:t>指定的场地提供驻场服务。</w:t>
            </w:r>
          </w:p>
          <w:p>
            <w:pPr>
              <w:ind w:firstLine="420"/>
              <w:jc w:val="both"/>
            </w:pPr>
            <w:r>
              <w:rPr>
                <w:sz w:val="21"/>
              </w:rPr>
              <w:t>（</w:t>
            </w:r>
            <w:r>
              <w:rPr>
                <w:sz w:val="21"/>
              </w:rPr>
              <w:t>3</w:t>
            </w:r>
            <w:r>
              <w:rPr>
                <w:sz w:val="21"/>
              </w:rPr>
              <w:t>）</w:t>
            </w:r>
            <w:r>
              <w:rPr>
                <w:sz w:val="21"/>
              </w:rPr>
              <w:t>平台维护组：负责业务系统维护，包含数字使能平台、地理空间一张图和智慧应用的日常维护与服务提供。</w:t>
            </w:r>
          </w:p>
          <w:p>
            <w:pPr>
              <w:ind w:firstLine="420"/>
              <w:jc w:val="both"/>
            </w:pPr>
            <w:r>
              <w:rPr>
                <w:sz w:val="21"/>
              </w:rPr>
              <w:t>（</w:t>
            </w:r>
            <w:r>
              <w:rPr>
                <w:sz w:val="21"/>
              </w:rPr>
              <w:t>4</w:t>
            </w:r>
            <w:r>
              <w:rPr>
                <w:sz w:val="21"/>
              </w:rPr>
              <w:t>）</w:t>
            </w:r>
            <w:r>
              <w:rPr>
                <w:sz w:val="21"/>
              </w:rPr>
              <w:t>专题运营组：提供对12个智慧城市专题</w:t>
            </w:r>
            <w:r>
              <w:rPr>
                <w:sz w:val="21"/>
              </w:rPr>
              <w:t>及后续新建专题</w:t>
            </w:r>
            <w:r>
              <w:rPr>
                <w:sz w:val="21"/>
              </w:rPr>
              <w:t>的运营服务。</w:t>
            </w:r>
          </w:p>
          <w:p>
            <w:pPr>
              <w:ind w:firstLine="420"/>
              <w:jc w:val="both"/>
            </w:pPr>
            <w:r>
              <w:rPr>
                <w:sz w:val="21"/>
              </w:rPr>
              <w:t>（5）安全运营团队：负责本项目的安全运营工作。</w:t>
            </w:r>
          </w:p>
          <w:p>
            <w:pPr>
              <w:ind w:firstLine="420"/>
              <w:jc w:val="both"/>
            </w:pPr>
            <w:r>
              <w:rPr>
                <w:sz w:val="21"/>
              </w:rPr>
              <w:t>（6）技术支撑组：</w:t>
            </w:r>
            <w:r>
              <w:rPr>
                <w:sz w:val="21"/>
              </w:rPr>
              <w:t>包含所有作为后备专业力量、随时准备支援项目服务的工程师和专家。</w:t>
            </w:r>
            <w:r>
              <w:rPr>
                <w:sz w:val="21"/>
              </w:rPr>
              <w:t>（</w:t>
            </w:r>
            <w:r>
              <w:rPr>
                <w:sz w:val="21"/>
              </w:rPr>
              <w:t>技术支撑组人员数量不包含在投标时的服务团队人员中，根据采购人在执行项目中的实际需要提供服务人员。</w:t>
            </w:r>
            <w:r>
              <w:rPr>
                <w:sz w:val="21"/>
              </w:rPr>
              <w:t>）</w:t>
            </w:r>
          </w:p>
          <w:p>
            <w:pPr>
              <w:ind w:firstLine="420"/>
              <w:jc w:val="both"/>
            </w:pPr>
            <w:r>
              <w:rPr>
                <w:sz w:val="21"/>
              </w:rPr>
              <w:t>（7）服务团队人员</w:t>
            </w:r>
          </w:p>
          <w:p>
            <w:pPr>
              <w:ind w:firstLine="420"/>
              <w:jc w:val="both"/>
            </w:pPr>
            <w:r>
              <w:rPr>
                <w:sz w:val="21"/>
              </w:rPr>
              <w:t>统一资质要求如下：</w:t>
            </w:r>
          </w:p>
          <w:p>
            <w:pPr>
              <w:ind w:firstLine="420"/>
              <w:jc w:val="both"/>
            </w:pPr>
            <w:r>
              <w:rPr>
                <w:sz w:val="21"/>
              </w:rPr>
              <w:t>①</w:t>
            </w:r>
            <w:r>
              <w:rPr>
                <w:sz w:val="21"/>
              </w:rPr>
              <w:t>中标人</w:t>
            </w:r>
            <w:r>
              <w:rPr>
                <w:sz w:val="21"/>
              </w:rPr>
              <w:t>的用工必须符合国家相关法律、法规；</w:t>
            </w:r>
          </w:p>
          <w:p>
            <w:pPr>
              <w:ind w:firstLine="420"/>
              <w:jc w:val="both"/>
            </w:pPr>
            <w:r>
              <w:rPr>
                <w:sz w:val="21"/>
              </w:rPr>
              <w:t>②运行维护人员必须通过相关专业技能认证；</w:t>
            </w:r>
          </w:p>
          <w:p>
            <w:pPr>
              <w:ind w:firstLine="420"/>
              <w:jc w:val="both"/>
            </w:pPr>
            <w:r>
              <w:rPr>
                <w:sz w:val="21"/>
              </w:rPr>
              <w:t>③</w:t>
            </w:r>
            <w:r>
              <w:rPr>
                <w:sz w:val="21"/>
              </w:rPr>
              <w:t>中标人</w:t>
            </w:r>
            <w:r>
              <w:rPr>
                <w:sz w:val="21"/>
              </w:rPr>
              <w:t>须遵照国家劳动用工法规，与</w:t>
            </w:r>
            <w:r>
              <w:rPr>
                <w:sz w:val="21"/>
              </w:rPr>
              <w:t>服务团队</w:t>
            </w:r>
            <w:r>
              <w:rPr>
                <w:sz w:val="21"/>
              </w:rPr>
              <w:t>人员签订用工合同，依法缴纳社保</w:t>
            </w:r>
            <w:r>
              <w:rPr>
                <w:sz w:val="21"/>
              </w:rPr>
              <w:t>、</w:t>
            </w:r>
            <w:r>
              <w:rPr>
                <w:sz w:val="21"/>
              </w:rPr>
              <w:t>住房公积金</w:t>
            </w:r>
            <w:r>
              <w:rPr>
                <w:sz w:val="21"/>
              </w:rPr>
              <w:t>，严禁</w:t>
            </w:r>
            <w:r>
              <w:rPr>
                <w:sz w:val="21"/>
              </w:rPr>
              <w:t>中标人</w:t>
            </w:r>
            <w:r>
              <w:rPr>
                <w:sz w:val="21"/>
              </w:rPr>
              <w:t>无合同用工等行为存在；</w:t>
            </w:r>
          </w:p>
          <w:p>
            <w:pPr>
              <w:ind w:firstLine="420"/>
              <w:jc w:val="both"/>
            </w:pPr>
            <w:r>
              <w:rPr>
                <w:sz w:val="21"/>
              </w:rPr>
              <w:t>④</w:t>
            </w:r>
            <w:r>
              <w:rPr>
                <w:sz w:val="21"/>
              </w:rPr>
              <w:t>服务团队中的</w:t>
            </w:r>
            <w:r>
              <w:rPr>
                <w:sz w:val="21"/>
              </w:rPr>
              <w:t>特种维护作业人员必须持有劳动部门或授权单位出具的有效资格证明（如登高证、电工证等）方可上岗；</w:t>
            </w:r>
          </w:p>
          <w:p>
            <w:pPr>
              <w:ind w:firstLine="420"/>
              <w:jc w:val="both"/>
            </w:pPr>
            <w:r>
              <w:rPr>
                <w:sz w:val="21"/>
              </w:rPr>
              <w:t>⑤</w:t>
            </w:r>
            <w:r>
              <w:rPr>
                <w:sz w:val="21"/>
              </w:rPr>
              <w:t>服务团队人员</w:t>
            </w:r>
            <w:r>
              <w:rPr>
                <w:sz w:val="21"/>
              </w:rPr>
              <w:t>必须通过指定技能认证方可上岗，</w:t>
            </w:r>
            <w:r>
              <w:rPr>
                <w:sz w:val="21"/>
              </w:rPr>
              <w:t>服务团队人员</w:t>
            </w:r>
            <w:r>
              <w:rPr>
                <w:sz w:val="21"/>
              </w:rPr>
              <w:t>上岗资格，包括但不限于学历、工作经验、专业技能要求等；</w:t>
            </w:r>
          </w:p>
          <w:p>
            <w:pPr>
              <w:ind w:firstLine="420"/>
              <w:jc w:val="both"/>
            </w:pPr>
            <w:r>
              <w:rPr>
                <w:sz w:val="21"/>
              </w:rPr>
              <w:t>⑥</w:t>
            </w:r>
            <w:r>
              <w:rPr>
                <w:sz w:val="21"/>
              </w:rPr>
              <w:t>中标人</w:t>
            </w:r>
            <w:r>
              <w:rPr>
                <w:sz w:val="21"/>
              </w:rPr>
              <w:t>不定期组织</w:t>
            </w:r>
            <w:r>
              <w:rPr>
                <w:sz w:val="21"/>
              </w:rPr>
              <w:t>服务团队人员</w:t>
            </w:r>
            <w:r>
              <w:rPr>
                <w:sz w:val="21"/>
              </w:rPr>
              <w:t>技能培训，以提升运行维护人员整体素质、维护技能。</w:t>
            </w:r>
          </w:p>
          <w:p>
            <w:pPr>
              <w:jc w:val="center"/>
            </w:pPr>
            <w:r>
              <w:rPr>
                <w:sz w:val="21"/>
              </w:rPr>
              <w:t>表</w:t>
            </w:r>
            <w:r>
              <w:rPr>
                <w:sz w:val="28"/>
              </w:rPr>
              <w:t xml:space="preserve"> </w:t>
            </w:r>
            <w:r>
              <w:rPr>
                <w:sz w:val="21"/>
              </w:rPr>
              <w:t>服务团队岗位表</w:t>
            </w:r>
          </w:p>
          <w:tbl>
            <w:tblPr>
              <w:tblInd w:type="dxa" w:w="120"/>
              <w:tblBorders>
                <w:top w:val="none" w:color="000000" w:sz="4"/>
                <w:left w:val="none" w:color="000000" w:sz="4"/>
                <w:bottom w:val="none" w:color="000000" w:sz="4"/>
                <w:right w:val="none" w:color="000000" w:sz="4"/>
                <w:insideH w:val="none"/>
                <w:insideV w:val="none"/>
              </w:tblBorders>
            </w:tblPr>
            <w:tblGrid>
              <w:gridCol w:w="1065"/>
              <w:gridCol w:w="720"/>
              <w:gridCol w:w="1230"/>
              <w:gridCol w:w="2400"/>
            </w:tblGrid>
            <w:tr>
              <w:tc>
                <w:tcPr>
                  <w:tcW w:type="dxa" w:w="5415"/>
                  <w:gridSpan w:val="4"/>
                  <w:tcBorders>
                    <w:top w:val="single" w:color="000000" w:sz="4"/>
                    <w:left w:val="single" w:color="000000" w:sz="4"/>
                    <w:bottom w:val="single" w:color="000000" w:sz="4"/>
                    <w:right w:val="single" w:color="000000" w:sz="4"/>
                  </w:tcBorders>
                  <w:shd w:fill="E7E6E6"/>
                  <w:vAlign w:val="top"/>
                </w:tcPr>
                <w:p>
                  <w:pPr>
                    <w:jc w:val="center"/>
                  </w:pPr>
                  <w:r>
                    <w:rPr>
                      <w:sz w:val="21"/>
                    </w:rPr>
                    <w:t>驻场服务组（20人）</w:t>
                  </w:r>
                </w:p>
              </w:tc>
            </w:tr>
            <w:tr>
              <w:tc>
                <w:tcPr>
                  <w:tcW w:type="dxa" w:w="106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720"/>
                  <w:tcBorders>
                    <w:top w:val="single" w:color="000000" w:sz="4"/>
                    <w:left w:val="single" w:color="000000" w:sz="4"/>
                    <w:bottom w:val="single" w:color="000000" w:sz="4"/>
                    <w:right w:val="single" w:color="000000" w:sz="4"/>
                  </w:tcBorders>
                  <w:vAlign w:val="top"/>
                </w:tcPr>
                <w:p>
                  <w:pPr>
                    <w:jc w:val="center"/>
                  </w:pPr>
                  <w:r>
                    <w:rPr>
                      <w:b/>
                      <w:sz w:val="21"/>
                    </w:rPr>
                    <w:t>驻场人数</w:t>
                  </w:r>
                </w:p>
              </w:tc>
              <w:tc>
                <w:tcPr>
                  <w:tcW w:type="dxa" w:w="1230"/>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2400"/>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项目经理</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安全负责人</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驻点负责人</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需求对接与分析岗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数据归集与治理岗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卡片制作与可视化岗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省市对接岗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质量巡检岗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平台运维岗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需求管理与分析岗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部门对接和省市对接岗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平台功能巡检岗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账号管理岗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数据安全岗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行为审计岗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5415"/>
                  <w:gridSpan w:val="4"/>
                  <w:tcBorders>
                    <w:top w:val="none" w:color="000000" w:sz="4"/>
                    <w:left w:val="single" w:color="000000" w:sz="4"/>
                    <w:bottom w:val="single" w:color="000000" w:sz="4"/>
                    <w:right w:val="single" w:color="000000" w:sz="4"/>
                  </w:tcBorders>
                  <w:shd w:fill="E7E6E6"/>
                  <w:vAlign w:val="top"/>
                </w:tcPr>
                <w:p>
                  <w:pPr>
                    <w:jc w:val="center"/>
                  </w:pPr>
                  <w:r>
                    <w:rPr>
                      <w:sz w:val="21"/>
                    </w:rPr>
                    <w:t>平台维护组（25人）</w:t>
                  </w:r>
                </w:p>
              </w:tc>
            </w:tr>
            <w:tr>
              <w:tc>
                <w:tcPr>
                  <w:tcW w:type="dxa" w:w="106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720"/>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230"/>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2400"/>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平台运维岗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6人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需求管理与分析岗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5人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部门对接和省市对接岗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8人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平台功能巡检岗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综合岗</w:t>
                  </w:r>
                  <w:r>
                    <w:rPr>
                      <w:sz w:val="21"/>
                    </w:rPr>
                    <w:t>（协助项目经理、安全负责人、驻点负责人开展工作）</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4人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5415"/>
                  <w:gridSpan w:val="4"/>
                  <w:tcBorders>
                    <w:top w:val="none" w:color="000000" w:sz="4"/>
                    <w:left w:val="single" w:color="000000" w:sz="4"/>
                    <w:bottom w:val="single" w:color="000000" w:sz="4"/>
                    <w:right w:val="single" w:color="000000" w:sz="4"/>
                  </w:tcBorders>
                  <w:shd w:fill="E7E6E6"/>
                  <w:vAlign w:val="top"/>
                </w:tcPr>
                <w:p>
                  <w:pPr>
                    <w:jc w:val="center"/>
                  </w:pPr>
                  <w:r>
                    <w:rPr>
                      <w:sz w:val="21"/>
                    </w:rPr>
                    <w:t>专题运营组（36人）</w:t>
                  </w:r>
                </w:p>
              </w:tc>
            </w:tr>
            <w:tr>
              <w:tc>
                <w:tcPr>
                  <w:tcW w:type="dxa" w:w="106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720"/>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230"/>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2400"/>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需求对接与分析岗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6人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数据归集与治理岗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卡片制作与可视化岗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10人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省市对接岗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6人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质量巡检岗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5415"/>
                  <w:gridSpan w:val="4"/>
                  <w:tcBorders>
                    <w:top w:val="none" w:color="000000" w:sz="4"/>
                    <w:left w:val="single" w:color="000000" w:sz="4"/>
                    <w:bottom w:val="single" w:color="000000" w:sz="4"/>
                    <w:right w:val="single" w:color="000000" w:sz="4"/>
                  </w:tcBorders>
                  <w:shd w:fill="E7E6E6"/>
                  <w:vAlign w:val="top"/>
                </w:tcPr>
                <w:p>
                  <w:pPr>
                    <w:jc w:val="center"/>
                  </w:pPr>
                  <w:r>
                    <w:rPr>
                      <w:sz w:val="21"/>
                    </w:rPr>
                    <w:t>安全运营</w:t>
                  </w:r>
                  <w:r>
                    <w:rPr>
                      <w:sz w:val="21"/>
                    </w:rPr>
                    <w:t>团队（5人）</w:t>
                  </w:r>
                </w:p>
              </w:tc>
            </w:tr>
            <w:tr>
              <w:tc>
                <w:tcPr>
                  <w:tcW w:type="dxa" w:w="106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720"/>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230"/>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2400"/>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账号管理岗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数据安全岗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2人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r>
              <w:tc>
                <w:tcPr>
                  <w:tcW w:type="dxa" w:w="1065"/>
                  <w:tcBorders>
                    <w:top w:val="none" w:color="000000" w:sz="4"/>
                    <w:left w:val="single" w:color="000000" w:sz="4"/>
                    <w:bottom w:val="single" w:color="000000" w:sz="4"/>
                    <w:right w:val="single" w:color="000000" w:sz="4"/>
                  </w:tcBorders>
                  <w:vAlign w:val="top"/>
                </w:tcPr>
                <w:p>
                  <w:pPr>
                    <w:jc w:val="center"/>
                  </w:pPr>
                  <w:r>
                    <w:rPr>
                      <w:sz w:val="21"/>
                    </w:rPr>
                    <w:t>行为审计岗</w:t>
                  </w:r>
                </w:p>
              </w:tc>
              <w:tc>
                <w:tcPr>
                  <w:tcW w:type="dxa" w:w="720"/>
                  <w:tcBorders>
                    <w:top w:val="none" w:color="000000" w:sz="4"/>
                    <w:left w:val="single" w:color="000000" w:sz="4"/>
                    <w:bottom w:val="single" w:color="000000" w:sz="4"/>
                    <w:right w:val="single" w:color="000000" w:sz="4"/>
                  </w:tcBorders>
                  <w:vAlign w:val="top"/>
                </w:tcPr>
                <w:p>
                  <w:pPr>
                    <w:jc w:val="center"/>
                  </w:pPr>
                  <w:r>
                    <w:rPr>
                      <w:sz w:val="21"/>
                    </w:rPr>
                    <w:t>1人</w:t>
                  </w:r>
                </w:p>
              </w:tc>
              <w:tc>
                <w:tcPr>
                  <w:tcW w:type="dxa" w:w="1230"/>
                  <w:tcBorders>
                    <w:top w:val="none" w:color="000000" w:sz="4"/>
                    <w:left w:val="single" w:color="000000" w:sz="4"/>
                    <w:bottom w:val="single" w:color="000000" w:sz="4"/>
                    <w:right w:val="single" w:color="000000" w:sz="4"/>
                  </w:tcBorders>
                  <w:vAlign w:val="top"/>
                </w:tcPr>
                <w:p>
                  <w:pPr>
                    <w:jc w:val="center"/>
                  </w:pPr>
                </w:p>
              </w:tc>
              <w:tc>
                <w:tcPr>
                  <w:tcW w:type="dxa" w:w="2400"/>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注：</w:t>
            </w:r>
            <w:r>
              <w:rPr>
                <w:sz w:val="21"/>
              </w:rPr>
              <w:t>（</w:t>
            </w:r>
            <w:r>
              <w:rPr>
                <w:sz w:val="21"/>
              </w:rPr>
              <w:t>1</w:t>
            </w:r>
            <w:r>
              <w:rPr>
                <w:sz w:val="21"/>
              </w:rPr>
              <w:t>）</w:t>
            </w:r>
            <w:r>
              <w:rPr>
                <w:sz w:val="21"/>
              </w:rPr>
              <w:t>采购人可按照实际情况进行调整</w:t>
            </w:r>
            <w:r>
              <w:rPr>
                <w:sz w:val="21"/>
              </w:rPr>
              <w:t>，中标人不得以此为由要求采购人额外支付其他费用。</w:t>
            </w:r>
          </w:p>
          <w:p>
            <w:pPr>
              <w:ind w:firstLine="420"/>
              <w:jc w:val="both"/>
            </w:pPr>
            <w:r>
              <w:rPr>
                <w:sz w:val="21"/>
              </w:rPr>
              <w:t>（3）如中标人提供的人员不符合岗位能力要求或</w:t>
            </w:r>
            <w:r>
              <w:rPr>
                <w:sz w:val="21"/>
              </w:rPr>
              <w:t>存在工作态度、责任心、协调能力等方面之一的问题时</w:t>
            </w:r>
            <w:r>
              <w:rPr>
                <w:sz w:val="21"/>
              </w:rPr>
              <w:t>，采购人有权要求中标人更换人员。中标人应在收到采购人书面通知之日起5个工作日内更换，否则采购人有权解除合同。投标人须承诺如中标应为所有项目组人员购买社会保险，对于项目组成员因为工作在现场引起的各种工伤、安全事件和事故，均由投标人负责处理并承担赔偿责任，采购人免予承担一切责任。</w:t>
            </w:r>
          </w:p>
          <w:p>
            <w:pPr>
              <w:jc w:val="both"/>
            </w:pPr>
            <w:r>
              <w:rPr>
                <w:sz w:val="21"/>
              </w:rPr>
              <w:t>3.2.1.项目经理（总负责人）</w:t>
            </w:r>
          </w:p>
          <w:p>
            <w:pPr>
              <w:ind w:firstLine="420"/>
              <w:jc w:val="both"/>
            </w:pPr>
            <w:r>
              <w:rPr>
                <w:sz w:val="21"/>
              </w:rPr>
              <w:t>要求</w:t>
            </w:r>
            <w:r>
              <w:rPr>
                <w:sz w:val="21"/>
              </w:rPr>
              <w:t>中标人</w:t>
            </w:r>
            <w:r>
              <w:rPr>
                <w:sz w:val="21"/>
              </w:rPr>
              <w:t>为本项目设置1名项目经理，提供每周5*8小时的驻场支撑服务，并按</w:t>
            </w:r>
            <w:r>
              <w:rPr>
                <w:sz w:val="21"/>
              </w:rPr>
              <w:t>采购人</w:t>
            </w:r>
            <w:r>
              <w:rPr>
                <w:sz w:val="21"/>
              </w:rPr>
              <w:t>安排响应需求请求。项目经理全面负责服务团队所有人员组织、安全、质量、信息以及生活后勤等全方位的领导工作，并负责做好各方面的协调工作，全权处理维护中的有关事项。</w:t>
            </w:r>
          </w:p>
          <w:p>
            <w:pPr>
              <w:ind w:firstLine="420"/>
              <w:jc w:val="both"/>
            </w:pPr>
            <w:r>
              <w:rPr>
                <w:sz w:val="21"/>
              </w:rPr>
              <w:t>负责整个项目的整体质量；时刻关注</w:t>
            </w:r>
            <w:r>
              <w:rPr>
                <w:sz w:val="21"/>
              </w:rPr>
              <w:t>采购人</w:t>
            </w:r>
            <w:r>
              <w:rPr>
                <w:sz w:val="21"/>
              </w:rPr>
              <w:t>需求，并随时根据</w:t>
            </w:r>
            <w:r>
              <w:rPr>
                <w:sz w:val="21"/>
              </w:rPr>
              <w:t>采购人</w:t>
            </w:r>
            <w:r>
              <w:rPr>
                <w:sz w:val="21"/>
              </w:rPr>
              <w:t>需求做出调整。</w:t>
            </w:r>
          </w:p>
          <w:p>
            <w:pPr>
              <w:ind w:firstLine="420"/>
              <w:jc w:val="both"/>
            </w:pPr>
            <w:r>
              <w:rPr>
                <w:sz w:val="21"/>
              </w:rPr>
              <w:t>作为</w:t>
            </w:r>
            <w:r>
              <w:rPr>
                <w:sz w:val="21"/>
              </w:rPr>
              <w:t>采购人</w:t>
            </w:r>
            <w:r>
              <w:rPr>
                <w:sz w:val="21"/>
              </w:rPr>
              <w:t>和</w:t>
            </w:r>
            <w:r>
              <w:rPr>
                <w:sz w:val="21"/>
              </w:rPr>
              <w:t>中标人</w:t>
            </w:r>
            <w:r>
              <w:rPr>
                <w:sz w:val="21"/>
              </w:rPr>
              <w:t>沟通的媒介，是</w:t>
            </w:r>
            <w:r>
              <w:rPr>
                <w:sz w:val="21"/>
              </w:rPr>
              <w:t>采购人</w:t>
            </w:r>
            <w:r>
              <w:rPr>
                <w:sz w:val="21"/>
              </w:rPr>
              <w:t>和</w:t>
            </w:r>
            <w:r>
              <w:rPr>
                <w:sz w:val="21"/>
              </w:rPr>
              <w:t>中标人</w:t>
            </w:r>
            <w:r>
              <w:rPr>
                <w:sz w:val="21"/>
              </w:rPr>
              <w:t>之间的桥梁，具备促进双方友好沟通、保障信息传递的准确性和有效性的职能，运行维护服务综合管理人员团队的存在能够</w:t>
            </w:r>
          </w:p>
          <w:p>
            <w:pPr>
              <w:ind w:firstLine="420"/>
              <w:jc w:val="both"/>
            </w:pPr>
            <w:r>
              <w:rPr>
                <w:sz w:val="21"/>
              </w:rPr>
              <w:t>更好地规范运行维护流程，保证优质的运行维护服务质量，节约运行维护服务的人力成本，实现提升运行维护效率的目标，达成</w:t>
            </w:r>
            <w:r>
              <w:rPr>
                <w:sz w:val="21"/>
              </w:rPr>
              <w:t>采购人</w:t>
            </w:r>
            <w:r>
              <w:rPr>
                <w:sz w:val="21"/>
              </w:rPr>
              <w:t>与</w:t>
            </w:r>
            <w:r>
              <w:rPr>
                <w:sz w:val="21"/>
              </w:rPr>
              <w:t>中标人</w:t>
            </w:r>
            <w:r>
              <w:rPr>
                <w:sz w:val="21"/>
              </w:rPr>
              <w:t>的双赢。</w:t>
            </w:r>
          </w:p>
          <w:p>
            <w:pPr>
              <w:ind w:firstLine="420"/>
              <w:jc w:val="both"/>
            </w:pPr>
            <w:r>
              <w:rPr>
                <w:sz w:val="21"/>
              </w:rPr>
              <w:t>项目经理要求5年以上大项目管理经验（拥有千万级项目管理成功经验为佳），有项目管理类专业证书优先。同时，对数字化智慧型项目大数据、云平台等产品架构拓扑与系统功能有所了解。</w:t>
            </w:r>
          </w:p>
          <w:p>
            <w:pPr>
              <w:ind w:firstLine="420"/>
              <w:jc w:val="both"/>
            </w:pPr>
            <w:r>
              <w:rPr>
                <w:sz w:val="21"/>
              </w:rPr>
              <w:t>要求如下</w:t>
            </w:r>
          </w:p>
          <w:p>
            <w:pPr>
              <w:ind w:firstLine="420"/>
              <w:jc w:val="both"/>
            </w:pPr>
            <w:r>
              <w:rPr>
                <w:sz w:val="21"/>
              </w:rPr>
              <w:t>（</w:t>
            </w:r>
            <w:r>
              <w:rPr>
                <w:sz w:val="21"/>
              </w:rPr>
              <w:t>1</w:t>
            </w:r>
            <w:r>
              <w:rPr>
                <w:sz w:val="21"/>
              </w:rPr>
              <w:t>）</w:t>
            </w:r>
            <w:r>
              <w:rPr>
                <w:sz w:val="21"/>
              </w:rPr>
              <w:t>沟通能力：有效性是沟通的重要作用。项目经理作为运行维护服务对内、对外统一接口，通过沟通获取有效信息，让团队在项目、任务、工作的理解、反馈、描述、执行等层面达到一致性；与</w:t>
            </w:r>
            <w:r>
              <w:rPr>
                <w:sz w:val="21"/>
              </w:rPr>
              <w:t>采购人</w:t>
            </w:r>
            <w:r>
              <w:rPr>
                <w:sz w:val="21"/>
              </w:rPr>
              <w:t>保持相向，是使项目成功的前提与必要条件。</w:t>
            </w:r>
          </w:p>
          <w:p>
            <w:pPr>
              <w:ind w:firstLine="420"/>
              <w:jc w:val="both"/>
            </w:pPr>
            <w:r>
              <w:rPr>
                <w:sz w:val="21"/>
              </w:rPr>
              <w:t>（</w:t>
            </w:r>
            <w:r>
              <w:rPr>
                <w:sz w:val="21"/>
              </w:rPr>
              <w:t>2</w:t>
            </w:r>
            <w:r>
              <w:rPr>
                <w:sz w:val="21"/>
              </w:rPr>
              <w:t>）</w:t>
            </w:r>
            <w:r>
              <w:rPr>
                <w:sz w:val="21"/>
              </w:rPr>
              <w:t>全局把控能力：站在全局的高度，把控各环节，做到抓大放小。以实现运行维护服务工作的稳定开展和目标的有效达成。</w:t>
            </w:r>
          </w:p>
          <w:p>
            <w:pPr>
              <w:ind w:firstLine="420"/>
              <w:jc w:val="both"/>
            </w:pPr>
            <w:r>
              <w:rPr>
                <w:sz w:val="21"/>
              </w:rPr>
              <w:t>（</w:t>
            </w:r>
            <w:r>
              <w:rPr>
                <w:sz w:val="21"/>
              </w:rPr>
              <w:t>3</w:t>
            </w:r>
            <w:r>
              <w:rPr>
                <w:sz w:val="21"/>
              </w:rPr>
              <w:t>）</w:t>
            </w:r>
            <w:r>
              <w:rPr>
                <w:sz w:val="21"/>
              </w:rPr>
              <w:t>问题管控能力：运行维护服务是持续性发现问题解决问题的过程。良好的问题管控能力可实现运行维护工具与运行维护人员的统一与协调，可实现对问题正面影响扩大化和负面影响最小化，对运行维护服务工作开展与目标实现起到助力作用。</w:t>
            </w:r>
          </w:p>
          <w:p>
            <w:pPr>
              <w:ind w:firstLine="420"/>
              <w:jc w:val="both"/>
            </w:pPr>
            <w:r>
              <w:rPr>
                <w:sz w:val="21"/>
              </w:rPr>
              <w:t>（</w:t>
            </w:r>
            <w:r>
              <w:rPr>
                <w:sz w:val="21"/>
              </w:rPr>
              <w:t>4</w:t>
            </w:r>
            <w:r>
              <w:rPr>
                <w:sz w:val="21"/>
              </w:rPr>
              <w:t>）</w:t>
            </w:r>
            <w:r>
              <w:rPr>
                <w:sz w:val="21"/>
              </w:rPr>
              <w:t>团队管理能力：对团队人员定岗定责，合理安排工作；做到分工明确、责任清晰、开展有序、进展稳定。有效的团队管理能够凝聚人心、提升士气，助力运行维护服务工作的顺利开展与目标高质量达成。</w:t>
            </w:r>
          </w:p>
          <w:p>
            <w:pPr>
              <w:ind w:firstLine="420"/>
              <w:jc w:val="both"/>
            </w:pPr>
            <w:r>
              <w:rPr>
                <w:sz w:val="21"/>
              </w:rPr>
              <w:t>（</w:t>
            </w:r>
            <w:r>
              <w:rPr>
                <w:sz w:val="21"/>
              </w:rPr>
              <w:t>5</w:t>
            </w:r>
            <w:r>
              <w:rPr>
                <w:sz w:val="21"/>
              </w:rPr>
              <w:t>）</w:t>
            </w:r>
            <w:r>
              <w:rPr>
                <w:sz w:val="21"/>
              </w:rPr>
              <w:t>管理项目能力：熟知项目管理方法和运转流程，通过化整为零、化繁为简，为实现服务目标、达到服务目的创造条件，最终实现质量、进度、成本三者的高度统一。</w:t>
            </w:r>
          </w:p>
          <w:p>
            <w:pPr>
              <w:jc w:val="both"/>
            </w:pPr>
            <w:r>
              <w:rPr>
                <w:sz w:val="21"/>
              </w:rPr>
              <w:t>3.2.2.驻场服务</w:t>
            </w:r>
            <w:r>
              <w:rPr>
                <w:sz w:val="21"/>
              </w:rPr>
              <w:t>组</w:t>
            </w:r>
          </w:p>
          <w:p>
            <w:pPr>
              <w:ind w:firstLine="420"/>
              <w:jc w:val="both"/>
            </w:pPr>
            <w:r>
              <w:rPr>
                <w:sz w:val="21"/>
              </w:rPr>
              <w:t>★</w:t>
            </w:r>
            <w:r>
              <w:rPr>
                <w:sz w:val="21"/>
              </w:rPr>
              <w:t>中标人</w:t>
            </w:r>
            <w:r>
              <w:rPr>
                <w:sz w:val="21"/>
              </w:rPr>
              <w:t>应设置驻场服务组，组内要求配备不少于</w:t>
            </w:r>
            <w:r>
              <w:rPr>
                <w:sz w:val="21"/>
              </w:rPr>
              <w:t>20</w:t>
            </w:r>
            <w:r>
              <w:rPr>
                <w:sz w:val="21"/>
              </w:rPr>
              <w:t>人</w:t>
            </w:r>
            <w:r>
              <w:rPr>
                <w:sz w:val="21"/>
              </w:rPr>
              <w:t>。</w:t>
            </w:r>
          </w:p>
          <w:p>
            <w:pPr>
              <w:ind w:firstLine="420"/>
              <w:jc w:val="both"/>
            </w:pPr>
            <w:r>
              <w:rPr>
                <w:sz w:val="21"/>
              </w:rPr>
              <w:t>要求满足下述条件：</w:t>
            </w:r>
          </w:p>
          <w:p>
            <w:pPr>
              <w:ind w:firstLine="420"/>
              <w:jc w:val="both"/>
            </w:pPr>
            <w:r>
              <w:rPr>
                <w:sz w:val="21"/>
              </w:rPr>
              <w:t>（</w:t>
            </w:r>
            <w:r>
              <w:rPr>
                <w:sz w:val="21"/>
              </w:rPr>
              <w:t>1</w:t>
            </w:r>
            <w:r>
              <w:rPr>
                <w:sz w:val="21"/>
              </w:rPr>
              <w:t>）</w:t>
            </w:r>
            <w:r>
              <w:rPr>
                <w:sz w:val="21"/>
              </w:rPr>
              <w:t>组内要求配备不少于</w:t>
            </w:r>
            <w:r>
              <w:rPr>
                <w:sz w:val="21"/>
              </w:rPr>
              <w:t>20</w:t>
            </w:r>
            <w:r>
              <w:rPr>
                <w:sz w:val="21"/>
              </w:rPr>
              <w:t>人</w:t>
            </w:r>
            <w:r>
              <w:rPr>
                <w:sz w:val="21"/>
              </w:rPr>
              <w:t>，</w:t>
            </w:r>
            <w:r>
              <w:rPr>
                <w:sz w:val="21"/>
              </w:rPr>
              <w:t>其中包含服务团队项目经理1人、安全负责人1人、驻点负责人1人，</w:t>
            </w:r>
            <w:r>
              <w:rPr>
                <w:sz w:val="21"/>
              </w:rPr>
              <w:t>其他</w:t>
            </w:r>
            <w:r>
              <w:rPr>
                <w:sz w:val="21"/>
              </w:rPr>
              <w:t>驻场服务组员</w:t>
            </w:r>
            <w:r>
              <w:rPr>
                <w:sz w:val="21"/>
              </w:rPr>
              <w:t>不少于17人</w:t>
            </w:r>
            <w:r>
              <w:rPr>
                <w:sz w:val="21"/>
              </w:rPr>
              <w:t>，</w:t>
            </w:r>
            <w:r>
              <w:rPr>
                <w:sz w:val="21"/>
              </w:rPr>
              <w:t>同时具备全日制本科或以上学历</w:t>
            </w:r>
            <w:r>
              <w:rPr>
                <w:sz w:val="21"/>
              </w:rPr>
              <w:t>（</w:t>
            </w:r>
            <w:r>
              <w:rPr>
                <w:sz w:val="21"/>
              </w:rPr>
              <w:t>投标时须按拟投入驻场服务组情况填写《服务团队岗位表》</w:t>
            </w:r>
            <w:r>
              <w:rPr>
                <w:sz w:val="21"/>
              </w:rPr>
              <w:t>）；</w:t>
            </w:r>
          </w:p>
          <w:p>
            <w:pPr>
              <w:ind w:firstLine="420"/>
              <w:jc w:val="both"/>
            </w:pPr>
            <w:r>
              <w:rPr>
                <w:sz w:val="21"/>
              </w:rPr>
              <w:t>（</w:t>
            </w:r>
            <w:r>
              <w:rPr>
                <w:sz w:val="21"/>
              </w:rPr>
              <w:t>2</w:t>
            </w:r>
            <w:r>
              <w:rPr>
                <w:sz w:val="21"/>
              </w:rPr>
              <w:t>）安全负责人、账号管理岗</w:t>
            </w:r>
            <w:r>
              <w:rPr>
                <w:sz w:val="21"/>
              </w:rPr>
              <w:t>、</w:t>
            </w:r>
            <w:r>
              <w:rPr>
                <w:sz w:val="21"/>
              </w:rPr>
              <w:t>数据安全岗</w:t>
            </w:r>
            <w:r>
              <w:rPr>
                <w:sz w:val="21"/>
              </w:rPr>
              <w:t>、</w:t>
            </w:r>
            <w:r>
              <w:rPr>
                <w:sz w:val="21"/>
              </w:rPr>
              <w:t>行为审计岗</w:t>
            </w:r>
            <w:r>
              <w:rPr>
                <w:sz w:val="21"/>
              </w:rPr>
              <w:t>人员</w:t>
            </w:r>
            <w:r>
              <w:rPr>
                <w:sz w:val="21"/>
              </w:rPr>
              <w:t>需具备三年以上信息安全工作经验，具有注册信息安全专业人员证书（CISP）证书。</w:t>
            </w:r>
          </w:p>
          <w:p>
            <w:pPr>
              <w:ind w:firstLine="420"/>
              <w:jc w:val="both"/>
            </w:pPr>
            <w:r>
              <w:rPr>
                <w:sz w:val="21"/>
              </w:rPr>
              <w:t>（</w:t>
            </w:r>
            <w:r>
              <w:rPr>
                <w:sz w:val="21"/>
              </w:rPr>
              <w:t>3</w:t>
            </w:r>
            <w:r>
              <w:rPr>
                <w:sz w:val="21"/>
              </w:rPr>
              <w:t>）除安全负责人、账号管理岗</w:t>
            </w:r>
            <w:r>
              <w:rPr>
                <w:sz w:val="21"/>
              </w:rPr>
              <w:t>、</w:t>
            </w:r>
            <w:r>
              <w:rPr>
                <w:sz w:val="21"/>
              </w:rPr>
              <w:t>数据安全岗</w:t>
            </w:r>
            <w:r>
              <w:rPr>
                <w:sz w:val="21"/>
              </w:rPr>
              <w:t>、</w:t>
            </w:r>
            <w:r>
              <w:rPr>
                <w:sz w:val="21"/>
              </w:rPr>
              <w:t>行为审计岗</w:t>
            </w:r>
            <w:r>
              <w:rPr>
                <w:sz w:val="21"/>
              </w:rPr>
              <w:t>人员</w:t>
            </w:r>
            <w:r>
              <w:rPr>
                <w:sz w:val="21"/>
              </w:rPr>
              <w:t>外，其他岗位要求具有三年以上系统维护的经验，具有中级职称及以上证书。</w:t>
            </w:r>
          </w:p>
          <w:p>
            <w:pPr>
              <w:ind w:firstLine="420"/>
              <w:jc w:val="both"/>
            </w:pPr>
            <w:r>
              <w:rPr>
                <w:sz w:val="21"/>
              </w:rPr>
              <w:t>★</w:t>
            </w:r>
            <w:r>
              <w:rPr>
                <w:sz w:val="21"/>
              </w:rPr>
              <w:t>（</w:t>
            </w:r>
            <w:r>
              <w:rPr>
                <w:sz w:val="21"/>
              </w:rPr>
              <w:t>4</w:t>
            </w:r>
            <w:r>
              <w:rPr>
                <w:sz w:val="21"/>
              </w:rPr>
              <w:t>）</w:t>
            </w:r>
            <w:r>
              <w:rPr>
                <w:sz w:val="21"/>
              </w:rPr>
              <w:t>投标人</w:t>
            </w:r>
            <w:r>
              <w:rPr>
                <w:sz w:val="21"/>
              </w:rPr>
              <w:t>在投标文件中提供</w:t>
            </w:r>
            <w:r>
              <w:rPr>
                <w:sz w:val="21"/>
              </w:rPr>
              <w:t>承诺</w:t>
            </w:r>
            <w:r>
              <w:rPr>
                <w:sz w:val="21"/>
              </w:rPr>
              <w:t>函并加盖公章</w:t>
            </w:r>
            <w:r>
              <w:rPr>
                <w:sz w:val="21"/>
              </w:rPr>
              <w:t>，</w:t>
            </w:r>
            <w:r>
              <w:rPr>
                <w:sz w:val="21"/>
              </w:rPr>
              <w:t>承诺内容</w:t>
            </w:r>
            <w:r>
              <w:rPr>
                <w:sz w:val="21"/>
              </w:rPr>
              <w:t>包括但不限于</w:t>
            </w:r>
            <w:r>
              <w:rPr>
                <w:sz w:val="21"/>
              </w:rPr>
              <w:t>：承诺中标后投入符合</w:t>
            </w:r>
            <w:r>
              <w:rPr>
                <w:sz w:val="21"/>
              </w:rPr>
              <w:t>上述</w:t>
            </w:r>
            <w:r>
              <w:rPr>
                <w:sz w:val="21"/>
              </w:rPr>
              <w:t>要求的人员，若在项目实施过程中未能提供相应人员，并于签订合同前，向采购人提供人员的相关证明材料以供核查，如在签订合同前，中标人无法提供其承诺中标后投入的上述人员，则视为其放弃中标资格，采购人有权按照评审报告推荐的中标候选人名单排序，确定下一候选人为中标人，或重新开展政府采购活动。</w:t>
            </w:r>
          </w:p>
          <w:p>
            <w:pPr>
              <w:ind w:firstLine="420"/>
              <w:jc w:val="both"/>
            </w:pPr>
            <w:r>
              <w:rPr>
                <w:sz w:val="21"/>
              </w:rPr>
              <w:t>驻场服务组</w:t>
            </w:r>
            <w:r>
              <w:rPr>
                <w:sz w:val="21"/>
              </w:rPr>
              <w:t>主要工作含以下内容：</w:t>
            </w:r>
          </w:p>
          <w:p>
            <w:pPr>
              <w:ind w:firstLine="420"/>
              <w:jc w:val="both"/>
            </w:pPr>
            <w:r>
              <w:rPr>
                <w:sz w:val="21"/>
              </w:rPr>
              <w:t>1）</w:t>
            </w:r>
            <w:r>
              <w:rPr>
                <w:sz w:val="21"/>
              </w:rPr>
              <w:t>客户服务及工单委派</w:t>
            </w:r>
          </w:p>
          <w:p>
            <w:pPr>
              <w:ind w:firstLine="420"/>
              <w:jc w:val="both"/>
            </w:pPr>
            <w:r>
              <w:rPr>
                <w:sz w:val="21"/>
              </w:rPr>
              <w:t>需根据实际服务情况，设置固定若干名工作人员负责和用户单位的协调沟通，接受用户的投诉申告，做好和其他各组组长的互通互达，及时回复</w:t>
            </w:r>
            <w:r>
              <w:rPr>
                <w:sz w:val="21"/>
              </w:rPr>
              <w:t>采购人</w:t>
            </w:r>
            <w:r>
              <w:rPr>
                <w:sz w:val="21"/>
              </w:rPr>
              <w:t>的问题。</w:t>
            </w:r>
          </w:p>
          <w:p>
            <w:pPr>
              <w:ind w:firstLine="420"/>
              <w:jc w:val="both"/>
            </w:pPr>
            <w:r>
              <w:rPr>
                <w:sz w:val="21"/>
              </w:rPr>
              <w:t>在接收到用户单位的委托后，应及时委派至对应专职小组负责人处，协助对应专职小组负责人开展服务工作，并在服务工作完结后，对用户单位进行服务满意度的回访。</w:t>
            </w:r>
          </w:p>
          <w:p>
            <w:pPr>
              <w:ind w:firstLine="420"/>
              <w:jc w:val="both"/>
            </w:pPr>
            <w:r>
              <w:rPr>
                <w:sz w:val="21"/>
              </w:rPr>
              <w:t>2）</w:t>
            </w:r>
            <w:r>
              <w:rPr>
                <w:sz w:val="21"/>
              </w:rPr>
              <w:t>运维知识库整理</w:t>
            </w:r>
          </w:p>
          <w:p>
            <w:pPr>
              <w:ind w:firstLine="420"/>
              <w:jc w:val="both"/>
            </w:pPr>
            <w:r>
              <w:rPr>
                <w:sz w:val="21"/>
              </w:rPr>
              <w:t>需要设置专门的人员对运维知识库进行汇总和整理，负责将各专职小组负责人提交的运维记录、工作记录、运维事件记录整理和汇总进运维知识库，保持运维知识库的持续性和时效性，将重复的工作能够通过知识库沉淀下来，及时针对故障问题输出一个可实施的解决方案，提升知识库的使用率。</w:t>
            </w:r>
          </w:p>
          <w:p>
            <w:pPr>
              <w:ind w:firstLine="420"/>
              <w:jc w:val="both"/>
            </w:pPr>
            <w:r>
              <w:rPr>
                <w:sz w:val="21"/>
              </w:rPr>
              <w:t>3</w:t>
            </w:r>
            <w:r>
              <w:rPr>
                <w:sz w:val="21"/>
              </w:rPr>
              <w:t>）</w:t>
            </w:r>
            <w:r>
              <w:rPr>
                <w:sz w:val="21"/>
              </w:rPr>
              <w:t>技术支持</w:t>
            </w:r>
          </w:p>
          <w:p>
            <w:pPr>
              <w:ind w:firstLine="420"/>
              <w:jc w:val="both"/>
            </w:pPr>
            <w:r>
              <w:rPr>
                <w:sz w:val="21"/>
              </w:rPr>
              <w:t>定期记录用户单位的使用感受和反馈意见，定期陪同用户单位参加相应会议并做技术支持，为用户单位新项目提供方案技术支持。</w:t>
            </w:r>
          </w:p>
          <w:p>
            <w:pPr>
              <w:ind w:firstLine="420"/>
              <w:jc w:val="both"/>
            </w:pPr>
            <w:r>
              <w:rPr>
                <w:sz w:val="21"/>
              </w:rPr>
              <w:t>4</w:t>
            </w:r>
            <w:r>
              <w:rPr>
                <w:sz w:val="21"/>
              </w:rPr>
              <w:t>）</w:t>
            </w:r>
            <w:r>
              <w:rPr>
                <w:sz w:val="21"/>
              </w:rPr>
              <w:t>培训及应用推广</w:t>
            </w:r>
          </w:p>
          <w:p>
            <w:pPr>
              <w:ind w:firstLine="420"/>
              <w:jc w:val="both"/>
            </w:pPr>
            <w:r>
              <w:rPr>
                <w:sz w:val="21"/>
              </w:rPr>
              <w:t>适当联合其他专职小组开展赋能培训和应用推广服务，负责制定培训计划、流程、机制。负责依据中山智慧城市实际需求开发课程体系。负责录制课件，包括但不限于文档、音频、视频、直播等形式。</w:t>
            </w:r>
          </w:p>
          <w:p>
            <w:pPr>
              <w:ind w:firstLine="420"/>
              <w:jc w:val="both"/>
            </w:pPr>
            <w:r>
              <w:rPr>
                <w:sz w:val="21"/>
              </w:rPr>
              <w:t>5</w:t>
            </w:r>
            <w:r>
              <w:rPr>
                <w:sz w:val="21"/>
              </w:rPr>
              <w:t>）</w:t>
            </w:r>
            <w:r>
              <w:rPr>
                <w:sz w:val="21"/>
              </w:rPr>
              <w:t>安全运营服务</w:t>
            </w:r>
          </w:p>
          <w:p>
            <w:pPr>
              <w:ind w:firstLine="420"/>
              <w:jc w:val="both"/>
            </w:pPr>
            <w:r>
              <w:rPr>
                <w:sz w:val="21"/>
              </w:rPr>
              <w:t>负责日常7</w:t>
            </w:r>
            <w:r>
              <w:rPr>
                <w:sz w:val="21"/>
              </w:rPr>
              <w:t>*</w:t>
            </w:r>
            <w:r>
              <w:rPr>
                <w:sz w:val="21"/>
              </w:rPr>
              <w:t>8小时的安全运营工作，包含进行资产管理、漏洞检测、攻击防护、应急响应，当出现事件时响应处置，抑制并拦截攻击行为。给出安全风险和缺陷的修复建议。</w:t>
            </w:r>
          </w:p>
          <w:p>
            <w:pPr>
              <w:ind w:firstLine="420"/>
              <w:jc w:val="both"/>
            </w:pPr>
            <w:r>
              <w:rPr>
                <w:sz w:val="21"/>
              </w:rPr>
              <w:t>6</w:t>
            </w:r>
            <w:r>
              <w:rPr>
                <w:sz w:val="21"/>
              </w:rPr>
              <w:t>）</w:t>
            </w:r>
            <w:r>
              <w:rPr>
                <w:sz w:val="21"/>
              </w:rPr>
              <w:t>其他日常工作</w:t>
            </w:r>
          </w:p>
          <w:p>
            <w:pPr>
              <w:ind w:firstLine="420"/>
              <w:jc w:val="both"/>
            </w:pPr>
            <w:r>
              <w:rPr>
                <w:sz w:val="21"/>
              </w:rPr>
              <w:t>包括但不限于开展使能平台运行状态监控、硬件设备定期巡检、紧急事件快速响应、应急演练等日常巡检工作。</w:t>
            </w:r>
          </w:p>
          <w:p>
            <w:pPr>
              <w:ind w:firstLine="420"/>
              <w:jc w:val="both"/>
            </w:pPr>
            <w:r>
              <w:rPr>
                <w:sz w:val="21"/>
              </w:rPr>
              <w:t>7</w:t>
            </w:r>
            <w:r>
              <w:rPr>
                <w:sz w:val="21"/>
              </w:rPr>
              <w:t>）</w:t>
            </w:r>
            <w:r>
              <w:rPr>
                <w:sz w:val="21"/>
              </w:rPr>
              <w:t>专题需求调研</w:t>
            </w:r>
          </w:p>
          <w:p>
            <w:pPr>
              <w:ind w:firstLine="420"/>
              <w:jc w:val="both"/>
            </w:pPr>
            <w:r>
              <w:rPr>
                <w:sz w:val="21"/>
              </w:rPr>
              <w:t>保持和各个局的良好沟通协调，负责归集各单位提出来的需求，负责需求调研工作，把需求转化成数据，并研究数据获取的可行性。</w:t>
            </w:r>
          </w:p>
          <w:p>
            <w:pPr>
              <w:ind w:firstLine="420"/>
              <w:jc w:val="both"/>
            </w:pPr>
            <w:r>
              <w:rPr>
                <w:sz w:val="21"/>
              </w:rPr>
              <w:t>8</w:t>
            </w:r>
            <w:r>
              <w:rPr>
                <w:sz w:val="21"/>
              </w:rPr>
              <w:t>）</w:t>
            </w:r>
            <w:r>
              <w:rPr>
                <w:sz w:val="21"/>
              </w:rPr>
              <w:t>配合专题建设</w:t>
            </w:r>
          </w:p>
          <w:p>
            <w:pPr>
              <w:ind w:firstLine="420"/>
              <w:jc w:val="both"/>
            </w:pPr>
            <w:r>
              <w:rPr>
                <w:sz w:val="21"/>
              </w:rPr>
              <w:t>配合专题组完成新专题的上线、已上线专题的更新，以及专题故障和数据故障的处理。</w:t>
            </w:r>
          </w:p>
          <w:p>
            <w:pPr>
              <w:jc w:val="both"/>
            </w:pPr>
          </w:p>
          <w:p>
            <w:pPr>
              <w:jc w:val="both"/>
            </w:pPr>
            <w:r>
              <w:rPr>
                <w:sz w:val="21"/>
              </w:rPr>
              <w:t>3.2.3.平台维护组</w:t>
            </w:r>
          </w:p>
          <w:p>
            <w:pPr>
              <w:ind w:firstLine="420"/>
              <w:jc w:val="both"/>
            </w:pPr>
            <w:r>
              <w:rPr>
                <w:sz w:val="21"/>
              </w:rPr>
              <w:t>（1）</w:t>
            </w:r>
            <w:r>
              <w:rPr>
                <w:sz w:val="21"/>
              </w:rPr>
              <w:t>组内要求配备不少于25人（含1名组长），其中包含</w:t>
            </w:r>
            <w:r>
              <w:rPr>
                <w:sz w:val="21"/>
              </w:rPr>
              <w:t>平台运维岗6人、需求管理与分析岗5人、部门对接和省市对接岗8人、平台功能巡检岗2人、综合岗4人</w:t>
            </w:r>
            <w:r>
              <w:rPr>
                <w:sz w:val="21"/>
              </w:rPr>
              <w:t>（协助项目经理、安全负责人、驻点负责人开展工作）。</w:t>
            </w:r>
          </w:p>
          <w:p>
            <w:pPr>
              <w:ind w:firstLine="420"/>
              <w:jc w:val="both"/>
            </w:pPr>
            <w:r>
              <w:rPr>
                <w:sz w:val="21"/>
              </w:rPr>
              <w:t>（</w:t>
            </w:r>
            <w:r>
              <w:rPr>
                <w:sz w:val="21"/>
              </w:rPr>
              <w:t>2</w:t>
            </w:r>
            <w:r>
              <w:rPr>
                <w:sz w:val="21"/>
              </w:rPr>
              <w:t>）</w:t>
            </w:r>
            <w:r>
              <w:rPr>
                <w:sz w:val="21"/>
              </w:rPr>
              <w:t>组长</w:t>
            </w:r>
            <w:r>
              <w:rPr>
                <w:sz w:val="21"/>
              </w:rPr>
              <w:t>可担任上述任意岗位，负责统筹整体平台维护服务，</w:t>
            </w:r>
            <w:r>
              <w:rPr>
                <w:sz w:val="21"/>
              </w:rPr>
              <w:t>要求每个数字使能平台、智慧应用均配备专职负责人。建立通讯录</w:t>
            </w:r>
            <w:r>
              <w:rPr>
                <w:sz w:val="21"/>
              </w:rPr>
              <w:t>，</w:t>
            </w:r>
            <w:r>
              <w:rPr>
                <w:sz w:val="21"/>
              </w:rPr>
              <w:t>合理</w:t>
            </w:r>
            <w:r>
              <w:rPr>
                <w:sz w:val="21"/>
              </w:rPr>
              <w:t>协调</w:t>
            </w:r>
            <w:r>
              <w:rPr>
                <w:sz w:val="21"/>
              </w:rPr>
              <w:t>组内人员，明确职责分工</w:t>
            </w:r>
            <w:r>
              <w:rPr>
                <w:sz w:val="21"/>
              </w:rPr>
              <w:t>，</w:t>
            </w:r>
            <w:r>
              <w:rPr>
                <w:sz w:val="21"/>
              </w:rPr>
              <w:t>按时按质量完成</w:t>
            </w:r>
            <w:r>
              <w:rPr>
                <w:sz w:val="21"/>
              </w:rPr>
              <w:t>采购人</w:t>
            </w:r>
            <w:r>
              <w:rPr>
                <w:sz w:val="21"/>
              </w:rPr>
              <w:t>交代的工作任务。</w:t>
            </w:r>
          </w:p>
          <w:p>
            <w:pPr>
              <w:ind w:firstLine="420"/>
              <w:jc w:val="both"/>
            </w:pPr>
            <w:r>
              <w:rPr>
                <w:sz w:val="21"/>
              </w:rPr>
              <w:t>（</w:t>
            </w:r>
            <w:r>
              <w:rPr>
                <w:sz w:val="21"/>
              </w:rPr>
              <w:t>3</w:t>
            </w:r>
            <w:r>
              <w:rPr>
                <w:sz w:val="21"/>
              </w:rPr>
              <w:t>）</w:t>
            </w:r>
            <w:r>
              <w:rPr>
                <w:sz w:val="21"/>
              </w:rPr>
              <w:t>组长要求</w:t>
            </w:r>
            <w:r>
              <w:rPr>
                <w:sz w:val="21"/>
              </w:rPr>
              <w:t>5</w:t>
            </w:r>
            <w:r>
              <w:rPr>
                <w:sz w:val="21"/>
              </w:rPr>
              <w:t>年的相关系统维护工作经验，拥有项目管理相关资质证书，有较强的管理、组织及沟通协调能力；较强的口头及文字编写能力具有较强的文字功底，能与技术和业务人员沟通协调。</w:t>
            </w:r>
          </w:p>
          <w:p>
            <w:pPr>
              <w:ind w:firstLine="420"/>
              <w:jc w:val="both"/>
            </w:pPr>
            <w:r>
              <w:rPr>
                <w:sz w:val="21"/>
              </w:rPr>
              <w:t>平台维护组</w:t>
            </w:r>
            <w:r>
              <w:rPr>
                <w:sz w:val="21"/>
              </w:rPr>
              <w:t>主要工作含以下内容：</w:t>
            </w:r>
          </w:p>
          <w:p>
            <w:pPr>
              <w:ind w:firstLine="420"/>
              <w:jc w:val="both"/>
            </w:pPr>
            <w:r>
              <w:rPr>
                <w:sz w:val="21"/>
              </w:rPr>
              <w:t>1</w:t>
            </w:r>
            <w:r>
              <w:rPr>
                <w:sz w:val="21"/>
              </w:rPr>
              <w:t>）</w:t>
            </w:r>
            <w:r>
              <w:rPr>
                <w:sz w:val="21"/>
              </w:rPr>
              <w:t>提供7*24小时应急响应和远程支撑服务，若</w:t>
            </w:r>
            <w:r>
              <w:rPr>
                <w:sz w:val="21"/>
              </w:rPr>
              <w:t>采购人</w:t>
            </w:r>
            <w:r>
              <w:rPr>
                <w:sz w:val="21"/>
              </w:rPr>
              <w:t>有要求，需在2小时内到达现场。</w:t>
            </w:r>
          </w:p>
          <w:p>
            <w:pPr>
              <w:ind w:firstLine="420"/>
              <w:jc w:val="both"/>
            </w:pPr>
            <w:r>
              <w:rPr>
                <w:sz w:val="21"/>
              </w:rPr>
              <w:t>2</w:t>
            </w:r>
            <w:r>
              <w:rPr>
                <w:sz w:val="21"/>
              </w:rPr>
              <w:t>）</w:t>
            </w:r>
            <w:r>
              <w:rPr>
                <w:sz w:val="21"/>
              </w:rPr>
              <w:t>要求熟悉平台业务和功能，提供咨询服务，随时为</w:t>
            </w:r>
            <w:r>
              <w:rPr>
                <w:sz w:val="21"/>
              </w:rPr>
              <w:t>采购人</w:t>
            </w:r>
            <w:r>
              <w:rPr>
                <w:sz w:val="21"/>
              </w:rPr>
              <w:t>或其他单位答疑解惑，具备平台常规故障解决能力。</w:t>
            </w:r>
          </w:p>
          <w:p>
            <w:pPr>
              <w:ind w:firstLine="420"/>
              <w:jc w:val="both"/>
            </w:pPr>
            <w:r>
              <w:rPr>
                <w:sz w:val="21"/>
              </w:rPr>
              <w:t>3</w:t>
            </w:r>
            <w:r>
              <w:rPr>
                <w:sz w:val="21"/>
              </w:rPr>
              <w:t>）</w:t>
            </w:r>
            <w:r>
              <w:rPr>
                <w:sz w:val="21"/>
              </w:rPr>
              <w:t>对所负责的平台提供维护服务和技术支撑服务，可合理调配技术支撑组协助完成日常巡检、故障维修、信息安全服务、备份服务等工作。</w:t>
            </w:r>
          </w:p>
          <w:p>
            <w:pPr>
              <w:ind w:firstLine="420"/>
              <w:jc w:val="both"/>
            </w:pPr>
            <w:r>
              <w:rPr>
                <w:sz w:val="21"/>
              </w:rPr>
              <w:t>4</w:t>
            </w:r>
            <w:r>
              <w:rPr>
                <w:sz w:val="21"/>
              </w:rPr>
              <w:t>）</w:t>
            </w:r>
            <w:r>
              <w:rPr>
                <w:sz w:val="21"/>
              </w:rPr>
              <w:t>定时按质量输出对应平台的工作记录，协助整理运维服务过程材料，协助驻场运维组构建运维知识库。</w:t>
            </w:r>
          </w:p>
          <w:p>
            <w:pPr>
              <w:ind w:firstLine="420"/>
              <w:jc w:val="both"/>
            </w:pPr>
            <w:r>
              <w:rPr>
                <w:sz w:val="21"/>
              </w:rPr>
              <w:t>5</w:t>
            </w:r>
            <w:r>
              <w:rPr>
                <w:sz w:val="21"/>
              </w:rPr>
              <w:t>）</w:t>
            </w:r>
            <w:r>
              <w:rPr>
                <w:sz w:val="21"/>
              </w:rPr>
              <w:t>做好硬件设备资产台账管理，负责设备的调测、组装，负责设备的保养和维修，能够迅速判断设备发生的各种故障原因并采取有效的应对措施。在必要时可调配技术支撑组提供技术支持。</w:t>
            </w:r>
          </w:p>
          <w:p>
            <w:pPr>
              <w:ind w:firstLine="420"/>
              <w:jc w:val="both"/>
            </w:pPr>
            <w:r>
              <w:rPr>
                <w:sz w:val="21"/>
              </w:rPr>
              <w:t>6</w:t>
            </w:r>
            <w:r>
              <w:rPr>
                <w:sz w:val="21"/>
              </w:rPr>
              <w:t>）</w:t>
            </w:r>
            <w:r>
              <w:rPr>
                <w:sz w:val="21"/>
              </w:rPr>
              <w:t>定时按质量输出对应设备的工作记录，协助整理运维服务过程材料，协助驻场运维组构建运维知识库。</w:t>
            </w:r>
          </w:p>
          <w:p>
            <w:pPr>
              <w:ind w:firstLine="420"/>
              <w:jc w:val="both"/>
            </w:pPr>
            <w:r>
              <w:rPr>
                <w:sz w:val="21"/>
              </w:rPr>
              <w:t>7）</w:t>
            </w:r>
            <w:r>
              <w:rPr>
                <w:sz w:val="21"/>
              </w:rPr>
              <w:t>与提出能力调用的单位合作，参与业务逻辑的梳理与讨论，提出优化的解决方案。</w:t>
            </w:r>
          </w:p>
          <w:p>
            <w:pPr>
              <w:ind w:firstLine="420"/>
              <w:jc w:val="both"/>
            </w:pPr>
            <w:r>
              <w:rPr>
                <w:sz w:val="21"/>
              </w:rPr>
              <w:t>8</w:t>
            </w:r>
            <w:r>
              <w:rPr>
                <w:sz w:val="21"/>
              </w:rPr>
              <w:t>）</w:t>
            </w:r>
            <w:r>
              <w:rPr>
                <w:sz w:val="21"/>
              </w:rPr>
              <w:t>撰写接口文档和测试用例，提升调用者工作效率。辅助系统对接，提供对接技术支持，在</w:t>
            </w:r>
            <w:r>
              <w:rPr>
                <w:sz w:val="21"/>
              </w:rPr>
              <w:t>采购人</w:t>
            </w:r>
            <w:r>
              <w:rPr>
                <w:sz w:val="21"/>
              </w:rPr>
              <w:t>提出需求时，需按要求对使能平台接口进行改造。</w:t>
            </w:r>
          </w:p>
          <w:p>
            <w:pPr>
              <w:ind w:firstLine="420"/>
              <w:jc w:val="both"/>
            </w:pPr>
            <w:r>
              <w:rPr>
                <w:sz w:val="21"/>
              </w:rPr>
              <w:t>9）</w:t>
            </w:r>
            <w:r>
              <w:rPr>
                <w:sz w:val="21"/>
              </w:rPr>
              <w:t>负责使能平台接口的维护工作，在出现故障时应按时处理故障，遇无法处理的重大故障，应及时提出解决方案，通过其他途径保证使能平台接口正常对外提供服务。</w:t>
            </w:r>
          </w:p>
          <w:p>
            <w:pPr>
              <w:ind w:firstLine="420"/>
              <w:jc w:val="both"/>
            </w:pPr>
            <w:r>
              <w:rPr>
                <w:sz w:val="21"/>
              </w:rPr>
              <w:t>10）</w:t>
            </w:r>
            <w:r>
              <w:rPr>
                <w:sz w:val="21"/>
              </w:rPr>
              <w:t>定时按质量输出工作记录，协助整理运维服务过程材料，协助驻场运维组构建运维知识库。</w:t>
            </w:r>
          </w:p>
          <w:p>
            <w:pPr>
              <w:ind w:firstLine="420"/>
              <w:jc w:val="both"/>
            </w:pPr>
          </w:p>
          <w:p>
            <w:pPr>
              <w:jc w:val="both"/>
            </w:pPr>
            <w:r>
              <w:rPr>
                <w:sz w:val="21"/>
              </w:rPr>
              <w:t>3.2.4.专题运营组</w:t>
            </w:r>
          </w:p>
          <w:p>
            <w:pPr>
              <w:ind w:firstLine="420"/>
              <w:jc w:val="both"/>
            </w:pPr>
            <w:r>
              <w:rPr>
                <w:sz w:val="21"/>
              </w:rPr>
              <w:t>（</w:t>
            </w:r>
            <w:r>
              <w:rPr>
                <w:sz w:val="21"/>
              </w:rPr>
              <w:t>1</w:t>
            </w:r>
            <w:r>
              <w:rPr>
                <w:sz w:val="21"/>
              </w:rPr>
              <w:t>）</w:t>
            </w:r>
            <w:r>
              <w:rPr>
                <w:sz w:val="21"/>
              </w:rPr>
              <w:t>组内要求配备不少于</w:t>
            </w:r>
            <w:r>
              <w:rPr>
                <w:sz w:val="21"/>
              </w:rPr>
              <w:t>36</w:t>
            </w:r>
            <w:r>
              <w:rPr>
                <w:sz w:val="21"/>
              </w:rPr>
              <w:t>人（含1名组长），其中包含</w:t>
            </w:r>
            <w:r>
              <w:rPr>
                <w:sz w:val="21"/>
              </w:rPr>
              <w:t>需求对接与分析岗</w:t>
            </w:r>
            <w:r>
              <w:rPr>
                <w:sz w:val="21"/>
              </w:rPr>
              <w:t>6人、</w:t>
            </w:r>
            <w:r>
              <w:rPr>
                <w:sz w:val="21"/>
              </w:rPr>
              <w:t>数据归集与治理岗12</w:t>
            </w:r>
            <w:r>
              <w:rPr>
                <w:sz w:val="21"/>
              </w:rPr>
              <w:t>人、</w:t>
            </w:r>
            <w:r>
              <w:rPr>
                <w:sz w:val="21"/>
              </w:rPr>
              <w:t>卡片制作与可视化岗10</w:t>
            </w:r>
            <w:r>
              <w:rPr>
                <w:sz w:val="21"/>
              </w:rPr>
              <w:t>人、</w:t>
            </w:r>
            <w:r>
              <w:rPr>
                <w:sz w:val="21"/>
              </w:rPr>
              <w:t>省市对接岗6</w:t>
            </w:r>
            <w:r>
              <w:rPr>
                <w:sz w:val="21"/>
              </w:rPr>
              <w:t>人、</w:t>
            </w:r>
            <w:r>
              <w:rPr>
                <w:sz w:val="21"/>
              </w:rPr>
              <w:t>质量巡检岗2</w:t>
            </w:r>
            <w:r>
              <w:rPr>
                <w:sz w:val="21"/>
              </w:rPr>
              <w:t>人。</w:t>
            </w:r>
          </w:p>
          <w:p>
            <w:pPr>
              <w:ind w:firstLine="420"/>
              <w:jc w:val="both"/>
            </w:pPr>
            <w:r>
              <w:rPr>
                <w:sz w:val="21"/>
              </w:rPr>
              <w:t>（</w:t>
            </w:r>
            <w:r>
              <w:rPr>
                <w:sz w:val="21"/>
              </w:rPr>
              <w:t>2</w:t>
            </w:r>
            <w:r>
              <w:rPr>
                <w:sz w:val="21"/>
              </w:rPr>
              <w:t>）</w:t>
            </w:r>
            <w:r>
              <w:rPr>
                <w:sz w:val="21"/>
              </w:rPr>
              <w:t>组长</w:t>
            </w:r>
            <w:r>
              <w:rPr>
                <w:sz w:val="21"/>
              </w:rPr>
              <w:t>可担任上述任意岗位，负责统筹整体专题运营服务，</w:t>
            </w:r>
            <w:r>
              <w:rPr>
                <w:sz w:val="21"/>
              </w:rPr>
              <w:t>建立通讯录</w:t>
            </w:r>
            <w:r>
              <w:rPr>
                <w:sz w:val="21"/>
              </w:rPr>
              <w:t>，</w:t>
            </w:r>
            <w:r>
              <w:rPr>
                <w:sz w:val="21"/>
              </w:rPr>
              <w:t>合理</w:t>
            </w:r>
            <w:r>
              <w:rPr>
                <w:sz w:val="21"/>
              </w:rPr>
              <w:t>协调</w:t>
            </w:r>
            <w:r>
              <w:rPr>
                <w:sz w:val="21"/>
              </w:rPr>
              <w:t>组内人员，明确职责分工</w:t>
            </w:r>
            <w:r>
              <w:rPr>
                <w:sz w:val="21"/>
              </w:rPr>
              <w:t>，</w:t>
            </w:r>
            <w:r>
              <w:rPr>
                <w:sz w:val="21"/>
              </w:rPr>
              <w:t>按时按质量完成</w:t>
            </w:r>
            <w:r>
              <w:rPr>
                <w:sz w:val="21"/>
              </w:rPr>
              <w:t>采购人</w:t>
            </w:r>
            <w:r>
              <w:rPr>
                <w:sz w:val="21"/>
              </w:rPr>
              <w:t>交代的工作任务。</w:t>
            </w:r>
          </w:p>
          <w:p>
            <w:pPr>
              <w:ind w:firstLine="420"/>
              <w:jc w:val="both"/>
            </w:pPr>
            <w:r>
              <w:rPr>
                <w:sz w:val="21"/>
              </w:rPr>
              <w:t>（</w:t>
            </w:r>
            <w:r>
              <w:rPr>
                <w:sz w:val="21"/>
              </w:rPr>
              <w:t>3</w:t>
            </w:r>
            <w:r>
              <w:rPr>
                <w:sz w:val="21"/>
              </w:rPr>
              <w:t>）</w:t>
            </w:r>
            <w:r>
              <w:rPr>
                <w:sz w:val="21"/>
              </w:rPr>
              <w:t>组长要求至少3年IT服务管理经验，具有3个IT服务管理或咨询项目实践经验、IT服务规划和实施能力。有较强的管理、组织及沟通协调能力；较强的口头及文字编写能力具有较强的文字功底，能与技术和业务人员沟通协调。熟悉掌握政府信息资源方面的相关政策、制度和流程。</w:t>
            </w:r>
          </w:p>
          <w:p>
            <w:pPr>
              <w:ind w:firstLine="420"/>
              <w:jc w:val="both"/>
            </w:pPr>
            <w:r>
              <w:rPr>
                <w:sz w:val="21"/>
              </w:rPr>
              <w:t>专题运营</w:t>
            </w:r>
            <w:r>
              <w:rPr>
                <w:sz w:val="21"/>
              </w:rPr>
              <w:t>组</w:t>
            </w:r>
            <w:r>
              <w:rPr>
                <w:sz w:val="21"/>
              </w:rPr>
              <w:t>主要工作含以下内容：</w:t>
            </w:r>
          </w:p>
          <w:p>
            <w:pPr>
              <w:ind w:firstLine="420"/>
              <w:jc w:val="both"/>
            </w:pPr>
            <w:r>
              <w:rPr>
                <w:sz w:val="21"/>
              </w:rPr>
              <w:t>1</w:t>
            </w:r>
            <w:r>
              <w:rPr>
                <w:sz w:val="21"/>
              </w:rPr>
              <w:t>）</w:t>
            </w:r>
            <w:r>
              <w:rPr>
                <w:sz w:val="21"/>
              </w:rPr>
              <w:t>主要工作为负责新专题的上线、已上线专题的更新，以及专题故障和数据故障的处理。</w:t>
            </w:r>
          </w:p>
          <w:p>
            <w:pPr>
              <w:ind w:firstLine="420"/>
              <w:jc w:val="both"/>
            </w:pPr>
            <w:r>
              <w:rPr>
                <w:sz w:val="21"/>
              </w:rPr>
              <w:t>2）</w:t>
            </w:r>
            <w:r>
              <w:rPr>
                <w:sz w:val="21"/>
              </w:rPr>
              <w:t>提供7*24小时应急响应和远程支撑服务，若</w:t>
            </w:r>
            <w:r>
              <w:rPr>
                <w:sz w:val="21"/>
              </w:rPr>
              <w:t>采购人</w:t>
            </w:r>
            <w:r>
              <w:rPr>
                <w:sz w:val="21"/>
              </w:rPr>
              <w:t>有要求，需在2小时内到达现场。</w:t>
            </w:r>
          </w:p>
          <w:p>
            <w:pPr>
              <w:ind w:firstLine="420"/>
              <w:jc w:val="both"/>
            </w:pPr>
            <w:r>
              <w:rPr>
                <w:sz w:val="21"/>
              </w:rPr>
              <w:t>3）</w:t>
            </w:r>
            <w:r>
              <w:rPr>
                <w:sz w:val="21"/>
              </w:rPr>
              <w:t>定时按质量输出对应平台的各类报告文件，协助整理运维服务过程材料，协助构建运维知识库。</w:t>
            </w:r>
          </w:p>
          <w:p>
            <w:pPr>
              <w:ind w:firstLine="420"/>
              <w:jc w:val="both"/>
            </w:pPr>
            <w:r>
              <w:rPr>
                <w:sz w:val="21"/>
              </w:rPr>
              <w:t>4）</w:t>
            </w:r>
            <w:r>
              <w:rPr>
                <w:sz w:val="21"/>
              </w:rPr>
              <w:t>保持和各个局的良好沟通协调，负责归集各单位提出来的需求，负责需求调研工作，把需求转化成数据，并研究数据获取的可行性。</w:t>
            </w:r>
          </w:p>
          <w:p>
            <w:pPr>
              <w:ind w:firstLine="420"/>
              <w:jc w:val="both"/>
            </w:pPr>
            <w:r>
              <w:rPr>
                <w:sz w:val="21"/>
              </w:rPr>
              <w:t>5</w:t>
            </w:r>
            <w:r>
              <w:rPr>
                <w:sz w:val="21"/>
              </w:rPr>
              <w:t>）</w:t>
            </w:r>
            <w:r>
              <w:rPr>
                <w:sz w:val="21"/>
              </w:rPr>
              <w:t>需与各相关单位建立长期的业务沟通，聚焦于理解各相关单位和发现问题，围绕痛点提出业务解决方案，保障各相关单位的运营业务目标实现。</w:t>
            </w:r>
          </w:p>
          <w:p>
            <w:pPr>
              <w:ind w:firstLine="420"/>
              <w:jc w:val="both"/>
            </w:pPr>
            <w:r>
              <w:rPr>
                <w:sz w:val="21"/>
              </w:rPr>
              <w:t>6）</w:t>
            </w:r>
            <w:r>
              <w:rPr>
                <w:sz w:val="21"/>
              </w:rPr>
              <w:t>熟悉行业及领域业务，站在用户单位视角理解需求，帮助用户单位发现痛点或挑战，牵引用户单位业务。</w:t>
            </w:r>
          </w:p>
          <w:p>
            <w:pPr>
              <w:ind w:firstLine="420"/>
              <w:jc w:val="both"/>
            </w:pPr>
            <w:r>
              <w:rPr>
                <w:sz w:val="21"/>
              </w:rPr>
              <w:t>7）</w:t>
            </w:r>
            <w:r>
              <w:rPr>
                <w:sz w:val="21"/>
              </w:rPr>
              <w:t>深入业务，负责策划业务专题运营方案，并与用户单位就建设方向和早期方案达成一致。</w:t>
            </w:r>
          </w:p>
          <w:p>
            <w:pPr>
              <w:ind w:firstLine="420"/>
              <w:jc w:val="both"/>
            </w:pPr>
            <w:r>
              <w:rPr>
                <w:sz w:val="21"/>
              </w:rPr>
              <w:t>8）</w:t>
            </w:r>
            <w:r>
              <w:rPr>
                <w:sz w:val="21"/>
              </w:rPr>
              <w:t>根据各业务专题的使用情况，组织用户单位访谈，收集用户单位改进建议，并结合自身业务理解给出改进方案，指导后续工作。</w:t>
            </w:r>
          </w:p>
          <w:p>
            <w:pPr>
              <w:ind w:firstLine="420"/>
              <w:jc w:val="both"/>
            </w:pPr>
            <w:r>
              <w:rPr>
                <w:sz w:val="21"/>
              </w:rPr>
              <w:t>9）</w:t>
            </w:r>
            <w:r>
              <w:rPr>
                <w:sz w:val="21"/>
              </w:rPr>
              <w:t>针对场景化运营保障需求，制定总体保障方案，指导相关技术人员进行方案细化和落地。</w:t>
            </w:r>
          </w:p>
          <w:p>
            <w:pPr>
              <w:ind w:firstLine="420"/>
              <w:jc w:val="both"/>
            </w:pPr>
            <w:r>
              <w:rPr>
                <w:sz w:val="21"/>
              </w:rPr>
              <w:t>1</w:t>
            </w:r>
            <w:r>
              <w:rPr>
                <w:sz w:val="21"/>
              </w:rPr>
              <w:t>0）</w:t>
            </w:r>
            <w:r>
              <w:rPr>
                <w:sz w:val="21"/>
              </w:rPr>
              <w:t>负责对源数据进行数据治理（数据清洗、数据分析、数据挖掘、数据建模）。</w:t>
            </w:r>
          </w:p>
          <w:p>
            <w:pPr>
              <w:ind w:firstLine="420"/>
              <w:jc w:val="both"/>
            </w:pPr>
            <w:r>
              <w:rPr>
                <w:sz w:val="21"/>
              </w:rPr>
              <w:t>11）</w:t>
            </w:r>
            <w:r>
              <w:rPr>
                <w:sz w:val="21"/>
              </w:rPr>
              <w:t>负责数据模型的运营维护与迭代，设计数据模型、以及数据处理规则。</w:t>
            </w:r>
          </w:p>
          <w:p>
            <w:pPr>
              <w:ind w:firstLine="420"/>
              <w:jc w:val="both"/>
            </w:pPr>
            <w:r>
              <w:rPr>
                <w:sz w:val="21"/>
              </w:rPr>
              <w:t>12）</w:t>
            </w:r>
            <w:r>
              <w:rPr>
                <w:sz w:val="21"/>
              </w:rPr>
              <w:t>负责处理专题展示的数据故障，应及时分析出数据故障的原因并提出解决方案。</w:t>
            </w:r>
          </w:p>
          <w:p>
            <w:pPr>
              <w:ind w:firstLine="420"/>
              <w:jc w:val="both"/>
            </w:pPr>
            <w:r>
              <w:rPr>
                <w:sz w:val="21"/>
              </w:rPr>
              <w:t>13）</w:t>
            </w:r>
            <w:r>
              <w:rPr>
                <w:sz w:val="21"/>
              </w:rPr>
              <w:t>充分发挥数据价值潜力，为企业发展、政策措施、领导决策提供有效的支撑和依据。</w:t>
            </w:r>
          </w:p>
          <w:p>
            <w:pPr>
              <w:ind w:firstLine="420"/>
              <w:jc w:val="both"/>
            </w:pPr>
            <w:r>
              <w:rPr>
                <w:sz w:val="21"/>
              </w:rPr>
              <w:t>14）</w:t>
            </w:r>
            <w:r>
              <w:rPr>
                <w:sz w:val="21"/>
              </w:rPr>
              <w:t>负责专题所有的技术工作，包括与外部系统对接、卡片构建与上线、专题故障（除数据故障之外的所有故障）等，精通技术，完成辅助运营技术规划和技术管理。</w:t>
            </w:r>
          </w:p>
          <w:p>
            <w:pPr>
              <w:jc w:val="both"/>
            </w:pPr>
            <w:r>
              <w:rPr>
                <w:sz w:val="21"/>
              </w:rPr>
              <w:t>3.2.</w:t>
            </w:r>
            <w:r>
              <w:rPr>
                <w:sz w:val="21"/>
              </w:rPr>
              <w:t>5</w:t>
            </w:r>
            <w:r>
              <w:rPr>
                <w:sz w:val="21"/>
              </w:rPr>
              <w:t>.</w:t>
            </w:r>
            <w:r>
              <w:rPr>
                <w:sz w:val="21"/>
              </w:rPr>
              <w:t>安全运营团队</w:t>
            </w:r>
          </w:p>
          <w:p>
            <w:pPr>
              <w:ind w:firstLine="420"/>
              <w:jc w:val="both"/>
            </w:pPr>
            <w:r>
              <w:rPr>
                <w:sz w:val="21"/>
              </w:rPr>
              <w:t>（</w:t>
            </w:r>
            <w:r>
              <w:rPr>
                <w:sz w:val="21"/>
              </w:rPr>
              <w:t>1</w:t>
            </w:r>
            <w:r>
              <w:rPr>
                <w:sz w:val="21"/>
              </w:rPr>
              <w:t>）</w:t>
            </w:r>
            <w:r>
              <w:rPr>
                <w:sz w:val="21"/>
              </w:rPr>
              <w:t>组内要求配备不少于</w:t>
            </w:r>
            <w:r>
              <w:rPr>
                <w:sz w:val="21"/>
              </w:rPr>
              <w:t>5</w:t>
            </w:r>
            <w:r>
              <w:rPr>
                <w:sz w:val="21"/>
              </w:rPr>
              <w:t>人（含1名组长），其中包含</w:t>
            </w:r>
            <w:r>
              <w:rPr>
                <w:sz w:val="21"/>
              </w:rPr>
              <w:t>账号管理岗2</w:t>
            </w:r>
            <w:r>
              <w:rPr>
                <w:sz w:val="21"/>
              </w:rPr>
              <w:t>人、</w:t>
            </w:r>
            <w:r>
              <w:rPr>
                <w:sz w:val="21"/>
              </w:rPr>
              <w:t>数据安全岗</w:t>
            </w:r>
            <w:r>
              <w:rPr>
                <w:sz w:val="21"/>
              </w:rPr>
              <w:t>2</w:t>
            </w:r>
            <w:r>
              <w:rPr>
                <w:sz w:val="21"/>
              </w:rPr>
              <w:t>人、</w:t>
            </w:r>
            <w:r>
              <w:rPr>
                <w:sz w:val="21"/>
              </w:rPr>
              <w:t>行为审计岗</w:t>
            </w:r>
            <w:r>
              <w:rPr>
                <w:sz w:val="21"/>
              </w:rPr>
              <w:t>1</w:t>
            </w:r>
            <w:r>
              <w:rPr>
                <w:sz w:val="21"/>
              </w:rPr>
              <w:t>人。</w:t>
            </w:r>
          </w:p>
          <w:p>
            <w:pPr>
              <w:ind w:firstLine="420"/>
              <w:jc w:val="both"/>
            </w:pPr>
            <w:r>
              <w:rPr>
                <w:sz w:val="21"/>
              </w:rPr>
              <w:t>（</w:t>
            </w:r>
            <w:r>
              <w:rPr>
                <w:sz w:val="21"/>
              </w:rPr>
              <w:t>2</w:t>
            </w:r>
            <w:r>
              <w:rPr>
                <w:sz w:val="21"/>
              </w:rPr>
              <w:t>）</w:t>
            </w:r>
            <w:r>
              <w:rPr>
                <w:sz w:val="21"/>
              </w:rPr>
              <w:t>组内设置1名组长，</w:t>
            </w:r>
            <w:r>
              <w:rPr>
                <w:sz w:val="21"/>
              </w:rPr>
              <w:t>可担任上述任意岗位，负责统筹整体安全运营服务，</w:t>
            </w:r>
            <w:r>
              <w:rPr>
                <w:sz w:val="21"/>
              </w:rPr>
              <w:t>建立通讯录</w:t>
            </w:r>
            <w:r>
              <w:rPr>
                <w:sz w:val="21"/>
              </w:rPr>
              <w:t>，</w:t>
            </w:r>
            <w:r>
              <w:rPr>
                <w:sz w:val="21"/>
              </w:rPr>
              <w:t>合理</w:t>
            </w:r>
            <w:r>
              <w:rPr>
                <w:sz w:val="21"/>
              </w:rPr>
              <w:t>协调</w:t>
            </w:r>
            <w:r>
              <w:rPr>
                <w:sz w:val="21"/>
              </w:rPr>
              <w:t>组内人员，明确职责分工</w:t>
            </w:r>
            <w:r>
              <w:rPr>
                <w:sz w:val="21"/>
              </w:rPr>
              <w:t>，</w:t>
            </w:r>
            <w:r>
              <w:rPr>
                <w:sz w:val="21"/>
              </w:rPr>
              <w:t>按时按质量完成</w:t>
            </w:r>
            <w:r>
              <w:rPr>
                <w:sz w:val="21"/>
              </w:rPr>
              <w:t>采购人</w:t>
            </w:r>
            <w:r>
              <w:rPr>
                <w:sz w:val="21"/>
              </w:rPr>
              <w:t>交代的工作任务。</w:t>
            </w:r>
          </w:p>
          <w:p>
            <w:pPr>
              <w:ind w:firstLine="420"/>
              <w:jc w:val="both"/>
            </w:pPr>
            <w:r>
              <w:rPr>
                <w:sz w:val="21"/>
              </w:rPr>
              <w:t>安全运营团队主要工作含以下内容：</w:t>
            </w:r>
          </w:p>
          <w:p>
            <w:pPr>
              <w:ind w:firstLine="420"/>
              <w:jc w:val="both"/>
            </w:pPr>
            <w:r>
              <w:rPr>
                <w:sz w:val="21"/>
              </w:rPr>
              <w:t>1）</w:t>
            </w:r>
            <w:r>
              <w:rPr>
                <w:sz w:val="21"/>
              </w:rPr>
              <w:t>负责即时对各类安全事件进行分析判研，自动化处置与人工处置相结合，结合威胁情报提前处置安全风险，根据攻击态势及时优化防护策略。在重保结束之后，总结并沉淀相关技术知识，对一些攻击进行还</w:t>
            </w:r>
            <w:r>
              <w:rPr>
                <w:sz w:val="21"/>
              </w:rPr>
              <w:t>原</w:t>
            </w:r>
            <w:r>
              <w:rPr>
                <w:sz w:val="21"/>
              </w:rPr>
              <w:t>分析，优化安全技术体系。</w:t>
            </w:r>
          </w:p>
          <w:p>
            <w:pPr>
              <w:jc w:val="both"/>
            </w:pPr>
            <w:r>
              <w:rPr>
                <w:sz w:val="21"/>
              </w:rPr>
              <w:t>3.2.</w:t>
            </w:r>
            <w:r>
              <w:rPr>
                <w:sz w:val="21"/>
              </w:rPr>
              <w:t>6</w:t>
            </w:r>
            <w:r>
              <w:rPr>
                <w:sz w:val="21"/>
              </w:rPr>
              <w:t>.技术支撑组</w:t>
            </w:r>
          </w:p>
          <w:p>
            <w:pPr>
              <w:ind w:firstLine="420"/>
              <w:jc w:val="both"/>
            </w:pPr>
            <w:r>
              <w:rPr>
                <w:sz w:val="21"/>
              </w:rPr>
              <w:t>要求</w:t>
            </w:r>
            <w:r>
              <w:rPr>
                <w:sz w:val="21"/>
              </w:rPr>
              <w:t>中标人</w:t>
            </w:r>
            <w:r>
              <w:rPr>
                <w:sz w:val="21"/>
              </w:rPr>
              <w:t>组建技术支撑组，技术支撑组人数不限,主要负责对工作中出现的各类疑难问题和重大故障进行技术支撑，负责对人员的技能培养，以理论和实践相结合的方式将新员工培养成为合格的人才。负责制定相关技术规范和维护流程，指导和监督各维护小组对规范流程的掌握和理解。输出运行维护实施改进计划，上报项目经理。</w:t>
            </w:r>
          </w:p>
          <w:p>
            <w:pPr>
              <w:ind w:firstLine="420"/>
              <w:jc w:val="both"/>
            </w:pPr>
            <w:r>
              <w:rPr>
                <w:sz w:val="21"/>
              </w:rPr>
              <w:t>技术支撑组，主要负责作为本项目服务团队的后备机动力量，可随时补充进入</w:t>
            </w:r>
            <w:r>
              <w:rPr>
                <w:sz w:val="21"/>
              </w:rPr>
              <w:t>驻场服务组</w:t>
            </w:r>
            <w:r>
              <w:rPr>
                <w:sz w:val="21"/>
              </w:rPr>
              <w:t>、</w:t>
            </w:r>
            <w:r>
              <w:rPr>
                <w:sz w:val="21"/>
              </w:rPr>
              <w:t>平台维护组</w:t>
            </w:r>
            <w:r>
              <w:rPr>
                <w:sz w:val="21"/>
              </w:rPr>
              <w:t>、</w:t>
            </w:r>
            <w:r>
              <w:rPr>
                <w:sz w:val="21"/>
              </w:rPr>
              <w:t>专题运营组及安全运营团队</w:t>
            </w:r>
            <w:r>
              <w:rPr>
                <w:sz w:val="21"/>
              </w:rPr>
              <w:t>，保障服务质量，同时需负责巡检服务、故障维修服务、信息安全服务、数据备份服务等工作。</w:t>
            </w:r>
          </w:p>
          <w:p>
            <w:pPr>
              <w:jc w:val="both"/>
            </w:pPr>
            <w:r>
              <w:rPr>
                <w:sz w:val="21"/>
              </w:rPr>
              <w:t>3.2.</w:t>
            </w:r>
            <w:r>
              <w:rPr>
                <w:sz w:val="21"/>
              </w:rPr>
              <w:t>7</w:t>
            </w:r>
            <w:r>
              <w:rPr>
                <w:sz w:val="21"/>
              </w:rPr>
              <w:t>.</w:t>
            </w:r>
            <w:r>
              <w:rPr>
                <w:sz w:val="21"/>
              </w:rPr>
              <w:t>服务团队</w:t>
            </w:r>
            <w:r>
              <w:rPr>
                <w:sz w:val="21"/>
              </w:rPr>
              <w:t>资源配置</w:t>
            </w:r>
          </w:p>
          <w:p>
            <w:pPr>
              <w:ind w:firstLine="420"/>
              <w:jc w:val="both"/>
            </w:pPr>
            <w:r>
              <w:rPr>
                <w:sz w:val="21"/>
              </w:rPr>
              <w:t>要求</w:t>
            </w:r>
            <w:r>
              <w:rPr>
                <w:sz w:val="21"/>
              </w:rPr>
              <w:t>中标人</w:t>
            </w:r>
            <w:r>
              <w:rPr>
                <w:sz w:val="21"/>
              </w:rPr>
              <w:t>需自备运维工具，包括但不限于车辆、笔记本电脑等。</w:t>
            </w:r>
          </w:p>
          <w:p>
            <w:pPr>
              <w:ind w:firstLine="420"/>
              <w:jc w:val="both"/>
            </w:pPr>
            <w:r>
              <w:rPr>
                <w:sz w:val="21"/>
              </w:rPr>
              <w:t>车辆要求：要求至少配备1辆运维工具车。要求车辆可装载大型设备（如智能中屏），如有运维需求需要用到车辆，需在30分钟内到达市政数局或</w:t>
            </w:r>
            <w:r>
              <w:rPr>
                <w:sz w:val="21"/>
              </w:rPr>
              <w:t>采购人</w:t>
            </w:r>
            <w:r>
              <w:rPr>
                <w:sz w:val="21"/>
              </w:rPr>
              <w:t>指定的其他地点。</w:t>
            </w:r>
          </w:p>
          <w:p>
            <w:pPr>
              <w:jc w:val="both"/>
            </w:pPr>
            <w:r>
              <w:rPr>
                <w:b/>
                <w:sz w:val="21"/>
              </w:rPr>
              <w:t>3.3.服务场地管理</w:t>
            </w:r>
          </w:p>
          <w:p>
            <w:pPr>
              <w:ind w:firstLine="420"/>
              <w:jc w:val="both"/>
            </w:pPr>
            <w:r>
              <w:rPr>
                <w:sz w:val="21"/>
              </w:rPr>
              <w:t>中标人</w:t>
            </w:r>
            <w:r>
              <w:rPr>
                <w:sz w:val="21"/>
              </w:rPr>
              <w:t>应该在中山市安全运维中心或</w:t>
            </w:r>
            <w:r>
              <w:rPr>
                <w:sz w:val="21"/>
              </w:rPr>
              <w:t>采购人</w:t>
            </w:r>
            <w:r>
              <w:rPr>
                <w:sz w:val="21"/>
              </w:rPr>
              <w:t>指定的其他场地提供驻点服务，并设置大屏，用于展示中山市智慧城市大脑运行状态、大脑专题运行情况等可视化呈现内容。</w:t>
            </w:r>
          </w:p>
          <w:p>
            <w:pPr>
              <w:jc w:val="both"/>
            </w:pPr>
            <w:r>
              <w:rPr>
                <w:sz w:val="21"/>
              </w:rPr>
              <w:t>3.4</w:t>
            </w:r>
            <w:r>
              <w:rPr>
                <w:sz w:val="21"/>
              </w:rPr>
              <w:t>.</w:t>
            </w:r>
            <w:r>
              <w:rPr>
                <w:sz w:val="21"/>
              </w:rPr>
              <w:t>定期输出服务报告</w:t>
            </w:r>
          </w:p>
          <w:p>
            <w:pPr>
              <w:ind w:firstLine="420"/>
              <w:jc w:val="both"/>
            </w:pPr>
            <w:r>
              <w:rPr>
                <w:sz w:val="21"/>
              </w:rPr>
              <w:t>包括参观来访,指挥调度等统计报告以及巡检记录、故障处理记录、运维记录、工作记录等过程报告。</w:t>
            </w:r>
            <w:r>
              <w:rPr>
                <w:sz w:val="21"/>
              </w:rPr>
              <w:t>服务报告</w:t>
            </w:r>
            <w:r>
              <w:rPr>
                <w:sz w:val="21"/>
              </w:rPr>
              <w:t>每</w:t>
            </w:r>
            <w:r>
              <w:rPr>
                <w:sz w:val="21"/>
              </w:rPr>
              <w:t>半月</w:t>
            </w:r>
            <w:r>
              <w:rPr>
                <w:sz w:val="21"/>
              </w:rPr>
              <w:t>输出</w:t>
            </w:r>
            <w:r>
              <w:rPr>
                <w:sz w:val="21"/>
              </w:rPr>
              <w:t>一次。</w:t>
            </w:r>
          </w:p>
          <w:p>
            <w:pPr>
              <w:jc w:val="both"/>
            </w:pPr>
            <w:r>
              <w:rPr>
                <w:b/>
                <w:sz w:val="21"/>
              </w:rPr>
              <w:t>3.</w:t>
            </w:r>
            <w:r>
              <w:rPr>
                <w:b/>
                <w:sz w:val="21"/>
              </w:rPr>
              <w:t>5</w:t>
            </w:r>
            <w:r>
              <w:rPr>
                <w:b/>
                <w:sz w:val="21"/>
              </w:rPr>
              <w:t>.巡检维护要求</w:t>
            </w:r>
          </w:p>
          <w:p>
            <w:pPr>
              <w:ind w:firstLine="420"/>
              <w:jc w:val="both"/>
            </w:pPr>
            <w:r>
              <w:rPr>
                <w:sz w:val="21"/>
              </w:rPr>
              <w:t>为了保障系统的健康运行，在各系统运行期间通过预防性维护等手段提前发现系统缺陷、隐患或故障，通过事件处理程序及早对相关问题进行干预处理，安全运维中心针对城市智慧大脑平台内各核心系统提供巡检维护服务，采取定期检查的方式排查系统运作隐患并及时处理。</w:t>
            </w:r>
          </w:p>
          <w:p>
            <w:pPr>
              <w:jc w:val="both"/>
            </w:pPr>
            <w:r>
              <w:rPr>
                <w:sz w:val="21"/>
              </w:rPr>
              <w:t>3.4.1.巡检维护方式</w:t>
            </w:r>
          </w:p>
          <w:p>
            <w:pPr>
              <w:jc w:val="both"/>
            </w:pPr>
            <w:r>
              <w:rPr>
                <w:sz w:val="21"/>
              </w:rPr>
              <w:t>3.4.1.1.人工巡检</w:t>
            </w:r>
          </w:p>
          <w:p>
            <w:pPr>
              <w:ind w:firstLine="420"/>
              <w:jc w:val="both"/>
            </w:pPr>
            <w:r>
              <w:rPr>
                <w:sz w:val="21"/>
              </w:rPr>
              <w:t>巡检员定期到现场或通过远程访问的方式进行人工巡检，原则上每周应至少巡检一次，检查各类系统在实际运行环境中的运行状态，及时排除系统隐患或故障现象，发现异常后立即通过相关服务流程办法进行相应操作。</w:t>
            </w:r>
            <w:r>
              <w:rPr>
                <w:sz w:val="21"/>
              </w:rPr>
              <w:t>巡检日志需要当月月报中体现。</w:t>
            </w:r>
          </w:p>
          <w:p>
            <w:pPr>
              <w:jc w:val="both"/>
            </w:pPr>
            <w:r>
              <w:rPr>
                <w:sz w:val="21"/>
              </w:rPr>
              <w:t>3.4.1.2.特殊巡检</w:t>
            </w:r>
          </w:p>
          <w:p>
            <w:pPr>
              <w:ind w:firstLine="420"/>
              <w:jc w:val="both"/>
            </w:pPr>
            <w:r>
              <w:rPr>
                <w:sz w:val="21"/>
              </w:rPr>
              <w:t>用户遇特殊事件或任务时，运营中心人员按用户沟通需求到现场进行值班检查与技术支持工作，与用户一同完成上级交办的各项任务。</w:t>
            </w:r>
          </w:p>
          <w:p>
            <w:pPr>
              <w:jc w:val="both"/>
            </w:pPr>
            <w:r>
              <w:rPr>
                <w:b/>
                <w:sz w:val="21"/>
              </w:rPr>
              <w:t>3.5.故障处理工作要求</w:t>
            </w:r>
          </w:p>
          <w:p>
            <w:pPr>
              <w:jc w:val="both"/>
            </w:pPr>
            <w:r>
              <w:rPr>
                <w:sz w:val="21"/>
              </w:rPr>
              <w:t>3.5.1.报障方式</w:t>
            </w:r>
          </w:p>
          <w:p>
            <w:pPr>
              <w:ind w:firstLine="420"/>
              <w:jc w:val="both"/>
            </w:pPr>
            <w:r>
              <w:rPr>
                <w:sz w:val="21"/>
              </w:rPr>
              <w:t>用户单位通过电话或即时通信应用将故障情况向安全运维中心进行申告，技术人员负责接收所申告的故障并填写故障处理记录；</w:t>
            </w:r>
          </w:p>
          <w:p>
            <w:pPr>
              <w:ind w:firstLine="420"/>
              <w:jc w:val="both"/>
            </w:pPr>
            <w:r>
              <w:rPr>
                <w:sz w:val="21"/>
              </w:rPr>
              <w:t>巡检员在执行例行维护作业计划中，发现系统存在故障、缺陷或隐患，将故障情况向安全运维中心进行申告，技术人员负责接收所申告的故障并填写故障处理记录。故障处理记录见本文《故障处理记录表》。</w:t>
            </w:r>
          </w:p>
          <w:p>
            <w:pPr>
              <w:jc w:val="both"/>
            </w:pPr>
            <w:r>
              <w:rPr>
                <w:sz w:val="21"/>
              </w:rPr>
              <w:t>3.5.2.故障类型判断</w:t>
            </w:r>
          </w:p>
          <w:p>
            <w:pPr>
              <w:ind w:firstLine="420"/>
              <w:jc w:val="both"/>
            </w:pPr>
            <w:r>
              <w:rPr>
                <w:sz w:val="21"/>
              </w:rPr>
              <w:t>项目经理负责对接报的故障情况进行故障类型判断，按软件平台故障类型所预设的故障点排除流程，进一步确定故障点，并沟通对应的故障处理人员（单位），派发故障处理记录工单。</w:t>
            </w:r>
          </w:p>
          <w:p>
            <w:pPr>
              <w:jc w:val="both"/>
            </w:pPr>
            <w:r>
              <w:rPr>
                <w:sz w:val="21"/>
              </w:rPr>
              <w:t>3.5.3.故障处理方式</w:t>
            </w:r>
          </w:p>
          <w:p>
            <w:pPr>
              <w:ind w:firstLine="420"/>
              <w:jc w:val="both"/>
            </w:pPr>
            <w:r>
              <w:rPr>
                <w:sz w:val="21"/>
              </w:rPr>
              <w:t>故障处理人员（单位）在接报具体故障情况后，按故障记录工单的指示联系相关用户单位，沟通故障具体处理方案；故障排除后首先告知用户单位故障处理结果，同时填写故障处理记录，并将记录上报项目经理，由项目经理负责审核故障处理结果。故障处理人员可能执行的故障处理方式如下：</w:t>
            </w:r>
          </w:p>
          <w:p>
            <w:pPr>
              <w:jc w:val="both"/>
            </w:pPr>
            <w:r>
              <w:rPr>
                <w:sz w:val="21"/>
              </w:rPr>
              <w:t>1、远程问题诊断和支持服务</w:t>
            </w:r>
          </w:p>
          <w:p>
            <w:pPr>
              <w:ind w:firstLine="420"/>
              <w:jc w:val="both"/>
            </w:pPr>
            <w:r>
              <w:rPr>
                <w:sz w:val="21"/>
              </w:rPr>
              <w:t>工程师将根据报修的申请，使用远程工具对相关设备进行远程诊断，以更精确的判断故障原因。如确认是软件故障，可以通过远程重启设备等操作来进行恢复操作。</w:t>
            </w:r>
          </w:p>
          <w:p>
            <w:pPr>
              <w:jc w:val="both"/>
            </w:pPr>
            <w:r>
              <w:rPr>
                <w:sz w:val="21"/>
              </w:rPr>
              <w:t>2、现场支持服务</w:t>
            </w:r>
          </w:p>
          <w:p>
            <w:pPr>
              <w:ind w:firstLine="420"/>
              <w:jc w:val="both"/>
            </w:pPr>
            <w:r>
              <w:rPr>
                <w:sz w:val="21"/>
              </w:rPr>
              <w:t>对于不能通过远程方式及时解决的问题，安全运维中心经委派现场服务工程师到现场进行设备的故障处理并尽快使其恢复运行。</w:t>
            </w:r>
          </w:p>
          <w:p>
            <w:pPr>
              <w:jc w:val="both"/>
            </w:pPr>
            <w:r>
              <w:rPr>
                <w:sz w:val="21"/>
              </w:rPr>
              <w:t>3.5.4.故障处理时间要求</w:t>
            </w:r>
          </w:p>
          <w:tbl>
            <w:tblPr>
              <w:tblBorders>
                <w:top w:val="none" w:color="000000" w:sz="4"/>
                <w:left w:val="none" w:color="000000" w:sz="4"/>
                <w:bottom w:val="none" w:color="000000" w:sz="4"/>
                <w:right w:val="none" w:color="000000" w:sz="4"/>
                <w:insideH w:val="none"/>
                <w:insideV w:val="none"/>
              </w:tblBorders>
            </w:tblPr>
            <w:tblGrid>
              <w:gridCol w:w="1746"/>
              <w:gridCol w:w="587"/>
              <w:gridCol w:w="1279"/>
              <w:gridCol w:w="752"/>
              <w:gridCol w:w="1234"/>
            </w:tblGrid>
            <w:tr>
              <w:tc>
                <w:tcPr>
                  <w:tcW w:type="dxa" w:w="1746"/>
                  <w:tcBorders>
                    <w:top w:val="single" w:color="000000" w:sz="4"/>
                    <w:left w:val="single" w:color="000000" w:sz="4"/>
                    <w:bottom w:val="single" w:color="000000" w:sz="4"/>
                    <w:right w:val="single" w:color="000000" w:sz="4"/>
                  </w:tcBorders>
                  <w:vAlign w:val="top"/>
                </w:tcPr>
                <w:p>
                  <w:pPr>
                    <w:jc w:val="center"/>
                  </w:pPr>
                  <w:r>
                    <w:rPr>
                      <w:b/>
                      <w:sz w:val="21"/>
                    </w:rPr>
                    <w:t>故障级别</w:t>
                  </w:r>
                </w:p>
              </w:tc>
              <w:tc>
                <w:tcPr>
                  <w:tcW w:type="dxa" w:w="587"/>
                  <w:tcBorders>
                    <w:top w:val="single" w:color="000000" w:sz="4"/>
                    <w:left w:val="none" w:color="000000" w:sz="4"/>
                    <w:bottom w:val="single" w:color="000000" w:sz="4"/>
                    <w:right w:val="single" w:color="000000" w:sz="4"/>
                  </w:tcBorders>
                  <w:vAlign w:val="top"/>
                </w:tcPr>
                <w:p>
                  <w:pPr>
                    <w:jc w:val="center"/>
                  </w:pPr>
                  <w:r>
                    <w:rPr>
                      <w:b/>
                      <w:sz w:val="21"/>
                    </w:rPr>
                    <w:t>电话响应</w:t>
                  </w:r>
                </w:p>
              </w:tc>
              <w:tc>
                <w:tcPr>
                  <w:tcW w:type="dxa" w:w="1279"/>
                  <w:tcBorders>
                    <w:top w:val="single" w:color="000000" w:sz="4"/>
                    <w:left w:val="none" w:color="000000" w:sz="4"/>
                    <w:bottom w:val="single" w:color="000000" w:sz="4"/>
                    <w:right w:val="single" w:color="000000" w:sz="4"/>
                  </w:tcBorders>
                  <w:vAlign w:val="top"/>
                </w:tcPr>
                <w:p>
                  <w:pPr>
                    <w:jc w:val="center"/>
                  </w:pPr>
                  <w:r>
                    <w:rPr>
                      <w:b/>
                      <w:sz w:val="21"/>
                    </w:rPr>
                    <w:t>运维远程接入时间</w:t>
                  </w:r>
                </w:p>
              </w:tc>
              <w:tc>
                <w:tcPr>
                  <w:tcW w:type="dxa" w:w="752"/>
                  <w:tcBorders>
                    <w:top w:val="single" w:color="000000" w:sz="4"/>
                    <w:left w:val="none" w:color="000000" w:sz="4"/>
                    <w:bottom w:val="single" w:color="000000" w:sz="4"/>
                    <w:right w:val="single" w:color="000000" w:sz="4"/>
                  </w:tcBorders>
                  <w:vAlign w:val="top"/>
                </w:tcPr>
                <w:p>
                  <w:pPr>
                    <w:jc w:val="center"/>
                  </w:pPr>
                  <w:r>
                    <w:rPr>
                      <w:b/>
                      <w:sz w:val="21"/>
                    </w:rPr>
                    <w:t>恢复时间</w:t>
                  </w:r>
                </w:p>
              </w:tc>
              <w:tc>
                <w:tcPr>
                  <w:tcW w:type="dxa" w:w="1234"/>
                  <w:tcBorders>
                    <w:top w:val="single" w:color="000000" w:sz="4"/>
                    <w:left w:val="none" w:color="000000" w:sz="4"/>
                    <w:bottom w:val="single" w:color="000000" w:sz="4"/>
                    <w:right w:val="single" w:color="000000" w:sz="4"/>
                  </w:tcBorders>
                  <w:vAlign w:val="top"/>
                </w:tcPr>
                <w:p>
                  <w:pPr>
                    <w:jc w:val="center"/>
                  </w:pPr>
                  <w:r>
                    <w:rPr>
                      <w:b/>
                      <w:sz w:val="21"/>
                    </w:rPr>
                    <w:t>回溯和版本解决时间</w:t>
                  </w:r>
                </w:p>
              </w:tc>
            </w:tr>
            <w:tr>
              <w:tc>
                <w:tcPr>
                  <w:tcW w:type="dxa" w:w="1746"/>
                  <w:tcBorders>
                    <w:top w:val="none" w:color="000000" w:sz="4"/>
                    <w:left w:val="single" w:color="000000" w:sz="4"/>
                    <w:bottom w:val="single" w:color="000000" w:sz="4"/>
                    <w:right w:val="single" w:color="000000" w:sz="4"/>
                  </w:tcBorders>
                  <w:vAlign w:val="top"/>
                </w:tcPr>
                <w:p>
                  <w:pPr>
                    <w:jc w:val="both"/>
                  </w:pPr>
                  <w:r>
                    <w:rPr>
                      <w:sz w:val="21"/>
                    </w:rPr>
                    <w:t>I级：属于重大故障：平台功能全部不可用，且持续时间超过1小时</w:t>
                  </w:r>
                </w:p>
              </w:tc>
              <w:tc>
                <w:tcPr>
                  <w:tcW w:type="dxa" w:w="587"/>
                  <w:tcBorders>
                    <w:top w:val="none" w:color="000000" w:sz="4"/>
                    <w:left w:val="none" w:color="000000" w:sz="4"/>
                    <w:bottom w:val="single" w:color="000000" w:sz="4"/>
                    <w:right w:val="single" w:color="000000" w:sz="4"/>
                  </w:tcBorders>
                  <w:vAlign w:val="top"/>
                </w:tcPr>
                <w:p>
                  <w:pPr>
                    <w:jc w:val="both"/>
                  </w:pPr>
                  <w:r>
                    <w:rPr>
                      <w:sz w:val="21"/>
                    </w:rPr>
                    <w:t>5分钟</w:t>
                  </w:r>
                </w:p>
              </w:tc>
              <w:tc>
                <w:tcPr>
                  <w:tcW w:type="dxa" w:w="1279"/>
                  <w:tcBorders>
                    <w:top w:val="none" w:color="000000" w:sz="4"/>
                    <w:left w:val="none" w:color="000000" w:sz="4"/>
                    <w:bottom w:val="single" w:color="000000" w:sz="4"/>
                    <w:right w:val="single" w:color="000000" w:sz="4"/>
                  </w:tcBorders>
                  <w:vAlign w:val="top"/>
                </w:tcPr>
                <w:p>
                  <w:pPr>
                    <w:jc w:val="both"/>
                  </w:pPr>
                  <w:r>
                    <w:rPr>
                      <w:sz w:val="21"/>
                    </w:rPr>
                    <w:t>30分钟以内接入</w:t>
                  </w:r>
                </w:p>
              </w:tc>
              <w:tc>
                <w:tcPr>
                  <w:tcW w:type="dxa" w:w="752"/>
                  <w:tcBorders>
                    <w:top w:val="none" w:color="000000" w:sz="4"/>
                    <w:left w:val="none" w:color="000000" w:sz="4"/>
                    <w:bottom w:val="single" w:color="000000" w:sz="4"/>
                    <w:right w:val="single" w:color="000000" w:sz="4"/>
                  </w:tcBorders>
                  <w:vAlign w:val="top"/>
                </w:tcPr>
                <w:p>
                  <w:pPr>
                    <w:jc w:val="both"/>
                  </w:pPr>
                  <w:r>
                    <w:rPr>
                      <w:sz w:val="21"/>
                    </w:rPr>
                    <w:t>4小时内</w:t>
                  </w:r>
                </w:p>
              </w:tc>
              <w:tc>
                <w:tcPr>
                  <w:tcW w:type="dxa" w:w="1234"/>
                  <w:tcBorders>
                    <w:top w:val="none" w:color="000000" w:sz="4"/>
                    <w:left w:val="none" w:color="000000" w:sz="4"/>
                    <w:bottom w:val="single" w:color="000000" w:sz="4"/>
                    <w:right w:val="single" w:color="000000" w:sz="4"/>
                  </w:tcBorders>
                  <w:vAlign w:val="top"/>
                </w:tcPr>
                <w:p>
                  <w:pPr>
                    <w:jc w:val="both"/>
                  </w:pPr>
                  <w:r>
                    <w:rPr>
                      <w:sz w:val="21"/>
                    </w:rPr>
                    <w:t>1周以内</w:t>
                  </w:r>
                </w:p>
              </w:tc>
            </w:tr>
            <w:tr>
              <w:tc>
                <w:tcPr>
                  <w:tcW w:type="dxa" w:w="1746"/>
                  <w:tcBorders>
                    <w:top w:val="none" w:color="000000" w:sz="4"/>
                    <w:left w:val="single" w:color="000000" w:sz="4"/>
                    <w:bottom w:val="single" w:color="000000" w:sz="4"/>
                    <w:right w:val="single" w:color="000000" w:sz="4"/>
                  </w:tcBorders>
                  <w:vAlign w:val="top"/>
                </w:tcPr>
                <w:p>
                  <w:pPr>
                    <w:jc w:val="both"/>
                  </w:pPr>
                  <w:r>
                    <w:rPr>
                      <w:sz w:val="21"/>
                    </w:rPr>
                    <w:t>II级：属于严重故障：影响50%以上的平台功能，且持续时间超过1小时</w:t>
                  </w:r>
                </w:p>
              </w:tc>
              <w:tc>
                <w:tcPr>
                  <w:tcW w:type="dxa" w:w="587"/>
                  <w:tcBorders>
                    <w:top w:val="none" w:color="000000" w:sz="4"/>
                    <w:left w:val="none" w:color="000000" w:sz="4"/>
                    <w:bottom w:val="single" w:color="000000" w:sz="4"/>
                    <w:right w:val="single" w:color="000000" w:sz="4"/>
                  </w:tcBorders>
                  <w:vAlign w:val="top"/>
                </w:tcPr>
                <w:p>
                  <w:pPr>
                    <w:jc w:val="both"/>
                  </w:pPr>
                  <w:r>
                    <w:rPr>
                      <w:sz w:val="21"/>
                    </w:rPr>
                    <w:t>10分钟</w:t>
                  </w:r>
                </w:p>
              </w:tc>
              <w:tc>
                <w:tcPr>
                  <w:tcW w:type="dxa" w:w="1279"/>
                  <w:tcBorders>
                    <w:top w:val="none" w:color="000000" w:sz="4"/>
                    <w:left w:val="none" w:color="000000" w:sz="4"/>
                    <w:bottom w:val="single" w:color="000000" w:sz="4"/>
                    <w:right w:val="single" w:color="000000" w:sz="4"/>
                  </w:tcBorders>
                  <w:vAlign w:val="top"/>
                </w:tcPr>
                <w:p>
                  <w:pPr>
                    <w:jc w:val="both"/>
                  </w:pPr>
                  <w:r>
                    <w:rPr>
                      <w:sz w:val="21"/>
                    </w:rPr>
                    <w:t>30分钟以内接入</w:t>
                  </w:r>
                </w:p>
              </w:tc>
              <w:tc>
                <w:tcPr>
                  <w:tcW w:type="dxa" w:w="752"/>
                  <w:tcBorders>
                    <w:top w:val="none" w:color="000000" w:sz="4"/>
                    <w:left w:val="none" w:color="000000" w:sz="4"/>
                    <w:bottom w:val="single" w:color="000000" w:sz="4"/>
                    <w:right w:val="single" w:color="000000" w:sz="4"/>
                  </w:tcBorders>
                  <w:vAlign w:val="top"/>
                </w:tcPr>
                <w:p>
                  <w:pPr>
                    <w:jc w:val="both"/>
                  </w:pPr>
                  <w:r>
                    <w:rPr>
                      <w:sz w:val="21"/>
                    </w:rPr>
                    <w:t>6小时内</w:t>
                  </w:r>
                </w:p>
              </w:tc>
              <w:tc>
                <w:tcPr>
                  <w:tcW w:type="dxa" w:w="1234"/>
                  <w:tcBorders>
                    <w:top w:val="none" w:color="000000" w:sz="4"/>
                    <w:left w:val="none" w:color="000000" w:sz="4"/>
                    <w:bottom w:val="single" w:color="000000" w:sz="4"/>
                    <w:right w:val="single" w:color="000000" w:sz="4"/>
                  </w:tcBorders>
                  <w:vAlign w:val="top"/>
                </w:tcPr>
                <w:p>
                  <w:pPr>
                    <w:jc w:val="both"/>
                  </w:pPr>
                  <w:r>
                    <w:rPr>
                      <w:sz w:val="21"/>
                    </w:rPr>
                    <w:t>1周以内</w:t>
                  </w:r>
                </w:p>
              </w:tc>
            </w:tr>
            <w:tr>
              <w:tc>
                <w:tcPr>
                  <w:tcW w:type="dxa" w:w="1746"/>
                  <w:tcBorders>
                    <w:top w:val="none" w:color="000000" w:sz="4"/>
                    <w:left w:val="single" w:color="000000" w:sz="4"/>
                    <w:bottom w:val="single" w:color="000000" w:sz="4"/>
                    <w:right w:val="single" w:color="000000" w:sz="4"/>
                  </w:tcBorders>
                  <w:vAlign w:val="top"/>
                </w:tcPr>
                <w:p>
                  <w:pPr>
                    <w:jc w:val="both"/>
                  </w:pPr>
                  <w:r>
                    <w:rPr>
                      <w:sz w:val="21"/>
                    </w:rPr>
                    <w:t>III级：属于一般故障：影响5%以上的平台功能，且持续时间超过1小时</w:t>
                  </w:r>
                </w:p>
              </w:tc>
              <w:tc>
                <w:tcPr>
                  <w:tcW w:type="dxa" w:w="587"/>
                  <w:tcBorders>
                    <w:top w:val="none" w:color="000000" w:sz="4"/>
                    <w:left w:val="none" w:color="000000" w:sz="4"/>
                    <w:bottom w:val="single" w:color="000000" w:sz="4"/>
                    <w:right w:val="single" w:color="000000" w:sz="4"/>
                  </w:tcBorders>
                  <w:vAlign w:val="top"/>
                </w:tcPr>
                <w:p>
                  <w:pPr>
                    <w:jc w:val="both"/>
                  </w:pPr>
                  <w:r>
                    <w:rPr>
                      <w:sz w:val="21"/>
                    </w:rPr>
                    <w:t>20分钟</w:t>
                  </w:r>
                </w:p>
              </w:tc>
              <w:tc>
                <w:tcPr>
                  <w:tcW w:type="dxa" w:w="1279"/>
                  <w:tcBorders>
                    <w:top w:val="none" w:color="000000" w:sz="4"/>
                    <w:left w:val="none" w:color="000000" w:sz="4"/>
                    <w:bottom w:val="single" w:color="000000" w:sz="4"/>
                    <w:right w:val="single" w:color="000000" w:sz="4"/>
                  </w:tcBorders>
                  <w:vAlign w:val="top"/>
                </w:tcPr>
                <w:p>
                  <w:pPr>
                    <w:jc w:val="both"/>
                  </w:pPr>
                  <w:r>
                    <w:rPr>
                      <w:sz w:val="21"/>
                    </w:rPr>
                    <w:t>30分钟以内接入</w:t>
                  </w:r>
                </w:p>
              </w:tc>
              <w:tc>
                <w:tcPr>
                  <w:tcW w:type="dxa" w:w="752"/>
                  <w:tcBorders>
                    <w:top w:val="none" w:color="000000" w:sz="4"/>
                    <w:left w:val="none" w:color="000000" w:sz="4"/>
                    <w:bottom w:val="single" w:color="000000" w:sz="4"/>
                    <w:right w:val="single" w:color="000000" w:sz="4"/>
                  </w:tcBorders>
                  <w:vAlign w:val="top"/>
                </w:tcPr>
                <w:p>
                  <w:pPr>
                    <w:jc w:val="both"/>
                  </w:pPr>
                  <w:r>
                    <w:rPr>
                      <w:sz w:val="21"/>
                    </w:rPr>
                    <w:t>8小时内</w:t>
                  </w:r>
                </w:p>
              </w:tc>
              <w:tc>
                <w:tcPr>
                  <w:tcW w:type="dxa" w:w="1234"/>
                  <w:tcBorders>
                    <w:top w:val="none" w:color="000000" w:sz="4"/>
                    <w:left w:val="none" w:color="000000" w:sz="4"/>
                    <w:bottom w:val="single" w:color="000000" w:sz="4"/>
                    <w:right w:val="single" w:color="000000" w:sz="4"/>
                  </w:tcBorders>
                  <w:vAlign w:val="top"/>
                </w:tcPr>
                <w:p>
                  <w:pPr>
                    <w:jc w:val="both"/>
                  </w:pPr>
                  <w:r>
                    <w:rPr>
                      <w:sz w:val="21"/>
                    </w:rPr>
                    <w:t>1周以内</w:t>
                  </w:r>
                </w:p>
              </w:tc>
            </w:tr>
            <w:tr>
              <w:tc>
                <w:tcPr>
                  <w:tcW w:type="dxa" w:w="1746"/>
                  <w:tcBorders>
                    <w:top w:val="none" w:color="000000" w:sz="4"/>
                    <w:left w:val="single" w:color="000000" w:sz="4"/>
                    <w:bottom w:val="single" w:color="000000" w:sz="4"/>
                    <w:right w:val="single" w:color="000000" w:sz="4"/>
                  </w:tcBorders>
                  <w:vAlign w:val="top"/>
                </w:tcPr>
                <w:p>
                  <w:pPr>
                    <w:jc w:val="both"/>
                  </w:pPr>
                  <w:r>
                    <w:rPr>
                      <w:sz w:val="21"/>
                    </w:rPr>
                    <w:t>IV级：属于轻微故障：除重大、严重和一般故障以外的其他故障。</w:t>
                  </w:r>
                </w:p>
              </w:tc>
              <w:tc>
                <w:tcPr>
                  <w:tcW w:type="dxa" w:w="587"/>
                  <w:tcBorders>
                    <w:top w:val="none" w:color="000000" w:sz="4"/>
                    <w:left w:val="none" w:color="000000" w:sz="4"/>
                    <w:bottom w:val="single" w:color="000000" w:sz="4"/>
                    <w:right w:val="single" w:color="000000" w:sz="4"/>
                  </w:tcBorders>
                  <w:vAlign w:val="top"/>
                </w:tcPr>
                <w:p>
                  <w:pPr>
                    <w:jc w:val="both"/>
                  </w:pPr>
                  <w:r>
                    <w:rPr>
                      <w:sz w:val="21"/>
                    </w:rPr>
                    <w:t>2小时</w:t>
                  </w:r>
                </w:p>
              </w:tc>
              <w:tc>
                <w:tcPr>
                  <w:tcW w:type="dxa" w:w="1279"/>
                  <w:tcBorders>
                    <w:top w:val="none" w:color="000000" w:sz="4"/>
                    <w:left w:val="none" w:color="000000" w:sz="4"/>
                    <w:bottom w:val="single" w:color="000000" w:sz="4"/>
                    <w:right w:val="single" w:color="000000" w:sz="4"/>
                  </w:tcBorders>
                  <w:vAlign w:val="top"/>
                </w:tcPr>
                <w:p>
                  <w:pPr>
                    <w:jc w:val="both"/>
                  </w:pPr>
                  <w:r>
                    <w:rPr>
                      <w:sz w:val="21"/>
                    </w:rPr>
                    <w:t>1小时内接入</w:t>
                  </w:r>
                </w:p>
              </w:tc>
              <w:tc>
                <w:tcPr>
                  <w:tcW w:type="dxa" w:w="752"/>
                  <w:tcBorders>
                    <w:top w:val="none" w:color="000000" w:sz="4"/>
                    <w:left w:val="none" w:color="000000" w:sz="4"/>
                    <w:bottom w:val="single" w:color="000000" w:sz="4"/>
                    <w:right w:val="single" w:color="000000" w:sz="4"/>
                  </w:tcBorders>
                  <w:vAlign w:val="top"/>
                </w:tcPr>
                <w:p>
                  <w:pPr>
                    <w:jc w:val="both"/>
                  </w:pPr>
                  <w:r>
                    <w:rPr>
                      <w:sz w:val="21"/>
                    </w:rPr>
                    <w:t>24小时内</w:t>
                  </w:r>
                </w:p>
              </w:tc>
              <w:tc>
                <w:tcPr>
                  <w:tcW w:type="dxa" w:w="1234"/>
                  <w:tcBorders>
                    <w:top w:val="none" w:color="000000" w:sz="4"/>
                    <w:left w:val="none" w:color="000000" w:sz="4"/>
                    <w:bottom w:val="single" w:color="000000" w:sz="4"/>
                    <w:right w:val="single" w:color="000000" w:sz="4"/>
                  </w:tcBorders>
                  <w:vAlign w:val="top"/>
                </w:tcPr>
                <w:p>
                  <w:pPr>
                    <w:jc w:val="both"/>
                  </w:pPr>
                  <w:r>
                    <w:rPr>
                      <w:sz w:val="21"/>
                    </w:rPr>
                    <w:t>择期发布版本解决</w:t>
                  </w:r>
                </w:p>
              </w:tc>
            </w:tr>
          </w:tbl>
          <w:p>
            <w:pPr>
              <w:jc w:val="both"/>
            </w:pPr>
          </w:p>
          <w:p>
            <w:pPr>
              <w:jc w:val="both"/>
            </w:pPr>
            <w:r>
              <w:rPr>
                <w:sz w:val="21"/>
              </w:rPr>
              <w:t>3.5.5.故障上报机制</w:t>
            </w:r>
          </w:p>
          <w:p>
            <w:pPr>
              <w:ind w:firstLine="420"/>
              <w:jc w:val="both"/>
            </w:pPr>
            <w:r>
              <w:rPr>
                <w:sz w:val="21"/>
              </w:rPr>
              <w:t>发现或申告故障后，相关维护人员应立即启动相关故障处理流程，同时按故障上报机制相关要求，整理故障情况并逐级上报，故障上报内容包括：故障发现时间、故障起始时间、故障发现人员、故障现象描述、故障影响描述等，如已有初步处理方案也应附上，如涉及需求用户单位配合故障处理的也应增加相关表述。</w:t>
            </w:r>
          </w:p>
          <w:p>
            <w:pPr>
              <w:ind w:firstLine="420"/>
              <w:jc w:val="both"/>
            </w:pPr>
            <w:r>
              <w:rPr>
                <w:sz w:val="21"/>
              </w:rPr>
              <w:t>故障上报内容应以简练扼要，避免长篇大论，内容完成编辑后通过即时通讯应用或邮件+电话的形式，及时通传到相关人员或单位，具体包括：运维组长、运营服务经理、用户单位；视事件程度还应向</w:t>
            </w:r>
            <w:r>
              <w:rPr>
                <w:sz w:val="21"/>
              </w:rPr>
              <w:t>采购人</w:t>
            </w:r>
            <w:r>
              <w:rPr>
                <w:sz w:val="21"/>
              </w:rPr>
              <w:t>进行汇报。</w:t>
            </w:r>
          </w:p>
          <w:p>
            <w:pPr>
              <w:jc w:val="both"/>
            </w:pPr>
            <w:r>
              <w:rPr>
                <w:b/>
                <w:sz w:val="21"/>
              </w:rPr>
              <w:t>3.6.备份要求</w:t>
            </w:r>
          </w:p>
          <w:p>
            <w:pPr>
              <w:ind w:firstLine="420"/>
              <w:jc w:val="both"/>
            </w:pPr>
            <w:r>
              <w:rPr>
                <w:sz w:val="21"/>
              </w:rPr>
              <w:t>配合相关单位对城市智慧大脑中重要系统进行全量备份，每周执行1次，增量备份每小时执行1次；所涉及的数据库备份每周执行1次。</w:t>
            </w:r>
          </w:p>
          <w:p>
            <w:pPr>
              <w:jc w:val="both"/>
            </w:pPr>
            <w:r>
              <w:rPr>
                <w:b/>
                <w:sz w:val="21"/>
              </w:rPr>
              <w:t>★</w:t>
            </w:r>
            <w:r>
              <w:rPr>
                <w:b/>
                <w:sz w:val="21"/>
              </w:rPr>
              <w:t>3.7</w:t>
            </w:r>
            <w:r>
              <w:rPr>
                <w:b/>
                <w:sz w:val="21"/>
              </w:rPr>
              <w:t>项目要求</w:t>
            </w:r>
          </w:p>
          <w:p>
            <w:pPr>
              <w:ind w:firstLine="420"/>
              <w:jc w:val="both"/>
            </w:pPr>
            <w:r>
              <w:rPr>
                <w:sz w:val="21"/>
              </w:rPr>
              <w:t>本项目运营服务过程中所用技术</w:t>
            </w:r>
            <w:r>
              <w:rPr>
                <w:sz w:val="21"/>
              </w:rPr>
              <w:t>需</w:t>
            </w:r>
            <w:r>
              <w:rPr>
                <w:sz w:val="21"/>
              </w:rPr>
              <w:t>符合</w:t>
            </w:r>
            <w:r>
              <w:rPr>
                <w:sz w:val="21"/>
              </w:rPr>
              <w:t>信息技术应用创新</w:t>
            </w:r>
            <w:r>
              <w:rPr>
                <w:sz w:val="21"/>
              </w:rPr>
              <w:t>技术路线</w:t>
            </w:r>
            <w:r>
              <w:rPr>
                <w:sz w:val="21"/>
              </w:rPr>
              <w:t>。（投标人</w:t>
            </w:r>
            <w:r>
              <w:rPr>
                <w:sz w:val="21"/>
              </w:rPr>
              <w:t>在投标文件中</w:t>
            </w:r>
            <w:r>
              <w:rPr>
                <w:sz w:val="21"/>
              </w:rPr>
              <w:t>须提供承诺函</w:t>
            </w:r>
            <w:r>
              <w:rPr>
                <w:sz w:val="21"/>
              </w:rPr>
              <w:t>加盖公章</w:t>
            </w:r>
            <w:r>
              <w:rPr>
                <w:sz w:val="21"/>
              </w:rPr>
              <w:t>）</w:t>
            </w:r>
          </w:p>
          <w:p>
            <w:pPr>
              <w:numPr>
                <w:ilvl w:val="0"/>
                <w:numId w:val="1"/>
              </w:numPr>
              <w:jc w:val="both"/>
            </w:pPr>
            <w:r>
              <w:rPr>
                <w:sz w:val="21"/>
              </w:rPr>
              <w:t>中标人在签订合同前，须提交驻点服务组中的项目经理、</w:t>
            </w:r>
            <w:r>
              <w:rPr>
                <w:sz w:val="21"/>
              </w:rPr>
              <w:t>安全负责人、驻点负责人、专题运营组及</w:t>
            </w:r>
            <w:r>
              <w:rPr>
                <w:sz w:val="21"/>
              </w:rPr>
              <w:t>安全运营</w:t>
            </w:r>
            <w:r>
              <w:rPr>
                <w:sz w:val="21"/>
              </w:rPr>
              <w:t>团队人员相关要求的岗位证书（包括学历、职称、资格等）至采购人处进行岗位能力认证审查。</w:t>
            </w:r>
          </w:p>
        </w:tc>
      </w:tr>
      <w:tr>
        <w:tc>
          <w:tcPr>
            <w:tcW w:type="dxa" w:w="2076"/>
          </w:tcPr>
          <w:p/>
        </w:tc>
        <w:tc>
          <w:tcPr>
            <w:tcW w:type="dxa" w:w="415"/>
          </w:tcPr>
          <w:p>
            <w:r>
              <w:rPr/>
              <w:t>4</w:t>
            </w:r>
          </w:p>
        </w:tc>
        <w:tc>
          <w:tcPr>
            <w:tcW w:type="dxa" w:w="5814"/>
          </w:tcPr>
          <w:p>
            <w:pPr>
              <w:jc w:val="both"/>
            </w:pPr>
            <w:r>
              <w:rPr>
                <w:b/>
                <w:sz w:val="21"/>
              </w:rPr>
              <w:t>4.</w:t>
            </w:r>
            <w:r>
              <w:rPr>
                <w:b/>
                <w:sz w:val="21"/>
              </w:rPr>
              <w:t>考核方式</w:t>
            </w:r>
          </w:p>
          <w:p>
            <w:pPr>
              <w:ind w:firstLine="420"/>
              <w:jc w:val="both"/>
            </w:pPr>
            <w:r>
              <w:rPr>
                <w:sz w:val="21"/>
              </w:rPr>
              <w:t>由</w:t>
            </w:r>
            <w:r>
              <w:rPr>
                <w:sz w:val="21"/>
              </w:rPr>
              <w:t>采购人</w:t>
            </w:r>
            <w:r>
              <w:rPr>
                <w:sz w:val="21"/>
              </w:rPr>
              <w:t>成立质量考核小组（小组成员由</w:t>
            </w:r>
            <w:r>
              <w:rPr>
                <w:sz w:val="21"/>
              </w:rPr>
              <w:t>采购人</w:t>
            </w:r>
            <w:r>
              <w:rPr>
                <w:sz w:val="21"/>
              </w:rPr>
              <w:t>确定），负责对</w:t>
            </w:r>
            <w:r>
              <w:rPr>
                <w:sz w:val="21"/>
              </w:rPr>
              <w:t>中标人</w:t>
            </w:r>
            <w:r>
              <w:rPr>
                <w:sz w:val="21"/>
              </w:rPr>
              <w:t>服务质量进行考核评分。</w:t>
            </w:r>
            <w:r>
              <w:rPr>
                <w:sz w:val="21"/>
              </w:rPr>
              <w:t>采购人</w:t>
            </w:r>
            <w:r>
              <w:rPr>
                <w:sz w:val="21"/>
              </w:rPr>
              <w:t>根据《运维服务工作服务考核表》对</w:t>
            </w:r>
            <w:r>
              <w:rPr>
                <w:sz w:val="21"/>
              </w:rPr>
              <w:t>中标</w:t>
            </w:r>
            <w:r>
              <w:rPr>
                <w:sz w:val="21"/>
              </w:rPr>
              <w:t>人</w:t>
            </w:r>
            <w:r>
              <w:rPr>
                <w:sz w:val="21"/>
              </w:rPr>
              <w:t>进行服务质量的评估。</w:t>
            </w:r>
          </w:p>
          <w:p>
            <w:pPr>
              <w:ind w:firstLine="420"/>
              <w:jc w:val="both"/>
            </w:pPr>
            <w:r>
              <w:rPr>
                <w:sz w:val="21"/>
              </w:rPr>
              <w:t>项目考核得分为百分制。考核得分与结算挂钩，服务期内进行</w:t>
            </w:r>
            <w:r>
              <w:rPr>
                <w:sz w:val="21"/>
              </w:rPr>
              <w:t>四</w:t>
            </w:r>
            <w:r>
              <w:rPr>
                <w:sz w:val="21"/>
              </w:rPr>
              <w:t>次考核，分别在第</w:t>
            </w:r>
            <w:r>
              <w:rPr>
                <w:sz w:val="21"/>
              </w:rPr>
              <w:t>一</w:t>
            </w:r>
            <w:r>
              <w:rPr>
                <w:sz w:val="21"/>
              </w:rPr>
              <w:t>、</w:t>
            </w:r>
            <w:r>
              <w:rPr>
                <w:sz w:val="21"/>
              </w:rPr>
              <w:t>二、三、四期支付前一个月内启动考核，并在每次进度款支付前扣除</w:t>
            </w:r>
            <w:r>
              <w:rPr>
                <w:sz w:val="21"/>
              </w:rPr>
              <w:t>相应金额</w:t>
            </w:r>
            <w:r>
              <w:rPr>
                <w:sz w:val="21"/>
              </w:rPr>
              <w:t>。</w:t>
            </w:r>
          </w:p>
          <w:p>
            <w:pPr>
              <w:jc w:val="center"/>
            </w:pPr>
            <w:r>
              <w:rPr>
                <w:sz w:val="21"/>
              </w:rPr>
              <w:t>表</w:t>
            </w:r>
            <w:r>
              <w:rPr>
                <w:sz w:val="21"/>
              </w:rPr>
              <w:t>运维服务工作服务考核表</w:t>
            </w:r>
          </w:p>
          <w:tbl>
            <w:tblPr>
              <w:tblInd w:type="dxa" w:w="120"/>
              <w:tblBorders>
                <w:top w:val="none" w:color="000000" w:sz="4"/>
                <w:left w:val="none" w:color="000000" w:sz="4"/>
                <w:bottom w:val="none" w:color="000000" w:sz="4"/>
                <w:right w:val="none" w:color="000000" w:sz="4"/>
                <w:insideH w:val="none"/>
                <w:insideV w:val="none"/>
              </w:tblBorders>
            </w:tblPr>
            <w:tblGrid>
              <w:gridCol w:w="284"/>
              <w:gridCol w:w="1377"/>
              <w:gridCol w:w="1541"/>
              <w:gridCol w:w="1691"/>
              <w:gridCol w:w="374"/>
              <w:gridCol w:w="284"/>
            </w:tblGrid>
            <w:tr>
              <w:tc>
                <w:tcPr>
                  <w:tcW w:type="dxa" w:w="2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377"/>
                  <w:tcBorders>
                    <w:top w:val="single" w:color="000000" w:sz="4"/>
                    <w:left w:val="none" w:color="000000" w:sz="4"/>
                    <w:bottom w:val="single" w:color="000000" w:sz="4"/>
                    <w:right w:val="single" w:color="000000" w:sz="4"/>
                  </w:tcBorders>
                  <w:vAlign w:val="top"/>
                </w:tcPr>
                <w:p>
                  <w:pPr>
                    <w:jc w:val="center"/>
                  </w:pPr>
                  <w:r>
                    <w:rPr>
                      <w:sz w:val="21"/>
                    </w:rPr>
                    <w:t>考核类别</w:t>
                  </w:r>
                </w:p>
              </w:tc>
              <w:tc>
                <w:tcPr>
                  <w:tcW w:type="dxa" w:w="1541"/>
                  <w:tcBorders>
                    <w:top w:val="single" w:color="000000" w:sz="4"/>
                    <w:left w:val="none" w:color="000000" w:sz="4"/>
                    <w:bottom w:val="single" w:color="000000" w:sz="4"/>
                    <w:right w:val="single" w:color="000000" w:sz="4"/>
                  </w:tcBorders>
                  <w:vAlign w:val="top"/>
                </w:tcPr>
                <w:p>
                  <w:pPr>
                    <w:jc w:val="center"/>
                  </w:pPr>
                  <w:r>
                    <w:rPr>
                      <w:sz w:val="21"/>
                    </w:rPr>
                    <w:t>考核项目</w:t>
                  </w:r>
                </w:p>
              </w:tc>
              <w:tc>
                <w:tcPr>
                  <w:tcW w:type="dxa" w:w="1691"/>
                  <w:tcBorders>
                    <w:top w:val="single" w:color="000000" w:sz="4"/>
                    <w:left w:val="none" w:color="000000" w:sz="4"/>
                    <w:bottom w:val="single" w:color="000000" w:sz="4"/>
                    <w:right w:val="single" w:color="000000" w:sz="4"/>
                  </w:tcBorders>
                  <w:vAlign w:val="top"/>
                </w:tcPr>
                <w:p>
                  <w:pPr>
                    <w:jc w:val="center"/>
                  </w:pPr>
                  <w:r>
                    <w:rPr>
                      <w:sz w:val="21"/>
                    </w:rPr>
                    <w:t>考核内容</w:t>
                  </w:r>
                </w:p>
              </w:tc>
              <w:tc>
                <w:tcPr>
                  <w:tcW w:type="dxa" w:w="374"/>
                  <w:tcBorders>
                    <w:top w:val="single" w:color="000000" w:sz="4"/>
                    <w:left w:val="none" w:color="000000" w:sz="4"/>
                    <w:bottom w:val="single" w:color="000000" w:sz="4"/>
                    <w:right w:val="single" w:color="000000" w:sz="4"/>
                  </w:tcBorders>
                  <w:vAlign w:val="top"/>
                </w:tcPr>
                <w:p>
                  <w:pPr>
                    <w:jc w:val="center"/>
                  </w:pPr>
                  <w:r>
                    <w:rPr>
                      <w:sz w:val="21"/>
                    </w:rPr>
                    <w:t>分值</w:t>
                  </w:r>
                </w:p>
              </w:tc>
              <w:tc>
                <w:tcPr>
                  <w:tcW w:type="dxa" w:w="284"/>
                  <w:tcBorders>
                    <w:top w:val="single" w:color="000000" w:sz="4"/>
                    <w:left w:val="none" w:color="000000" w:sz="4"/>
                    <w:bottom w:val="single" w:color="000000" w:sz="4"/>
                    <w:right w:val="single" w:color="000000" w:sz="4"/>
                  </w:tcBorders>
                  <w:vAlign w:val="top"/>
                </w:tcPr>
                <w:p>
                  <w:pPr>
                    <w:jc w:val="center"/>
                  </w:pPr>
                  <w:r>
                    <w:rPr>
                      <w:sz w:val="21"/>
                    </w:rPr>
                    <w:t>得分</w:t>
                  </w: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77"/>
                  <w:vMerge w:val="restart"/>
                  <w:tcBorders>
                    <w:top w:val="none" w:color="000000" w:sz="4"/>
                    <w:left w:val="none" w:color="000000" w:sz="4"/>
                    <w:bottom w:val="single" w:color="000000" w:sz="4"/>
                    <w:right w:val="single" w:color="000000" w:sz="4"/>
                  </w:tcBorders>
                  <w:vAlign w:val="top"/>
                </w:tcPr>
                <w:p>
                  <w:pPr>
                    <w:jc w:val="center"/>
                  </w:pPr>
                  <w:r>
                    <w:rPr>
                      <w:sz w:val="21"/>
                    </w:rPr>
                    <w:t>服务人员考核</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人员岗位设置</w:t>
                  </w:r>
                </w:p>
              </w:tc>
              <w:tc>
                <w:tcPr>
                  <w:tcW w:type="dxa" w:w="1691"/>
                  <w:tcBorders>
                    <w:top w:val="none" w:color="000000" w:sz="4"/>
                    <w:left w:val="none" w:color="000000" w:sz="4"/>
                    <w:bottom w:val="single" w:color="000000" w:sz="4"/>
                    <w:right w:val="single" w:color="000000" w:sz="4"/>
                  </w:tcBorders>
                  <w:vAlign w:val="top"/>
                </w:tcPr>
                <w:p>
                  <w:pPr>
                    <w:jc w:val="both"/>
                  </w:pPr>
                  <w:r>
                    <w:rPr>
                      <w:sz w:val="21"/>
                    </w:rPr>
                    <w:t>符合要求实际驻场人数</w:t>
                  </w:r>
                  <w:r>
                    <w:rPr>
                      <w:sz w:val="21"/>
                    </w:rPr>
                    <w:t>/</w:t>
                  </w:r>
                  <w:r>
                    <w:rPr>
                      <w:sz w:val="21"/>
                    </w:rPr>
                    <w:t>合同要求人数，不满足要求人数，每人次扣</w:t>
                  </w:r>
                  <w:r>
                    <w:rPr>
                      <w:sz w:val="21"/>
                    </w:rPr>
                    <w:t>1</w:t>
                  </w:r>
                  <w:r>
                    <w:rPr>
                      <w:sz w:val="21"/>
                    </w:rPr>
                    <w:t>分；</w:t>
                  </w:r>
                </w:p>
              </w:tc>
              <w:tc>
                <w:tcPr>
                  <w:tcW w:type="dxa" w:w="374"/>
                  <w:vMerge w:val="restart"/>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4"/>
                  <w:vMerge w:val="restart"/>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人员稳定性</w:t>
                  </w:r>
                </w:p>
              </w:tc>
              <w:tc>
                <w:tcPr>
                  <w:tcW w:type="dxa" w:w="1691"/>
                  <w:tcBorders>
                    <w:top w:val="none" w:color="000000" w:sz="4"/>
                    <w:left w:val="none" w:color="000000" w:sz="4"/>
                    <w:bottom w:val="single" w:color="000000" w:sz="4"/>
                    <w:right w:val="single" w:color="000000" w:sz="4"/>
                  </w:tcBorders>
                  <w:vAlign w:val="top"/>
                </w:tcPr>
                <w:p>
                  <w:pPr>
                    <w:jc w:val="both"/>
                  </w:pPr>
                  <w:r>
                    <w:rPr>
                      <w:sz w:val="21"/>
                    </w:rPr>
                    <w:t>服务团队人员在服务期间未经</w:t>
                  </w:r>
                  <w:r>
                    <w:rPr>
                      <w:sz w:val="21"/>
                    </w:rPr>
                    <w:t>采购人</w:t>
                  </w:r>
                  <w:r>
                    <w:rPr>
                      <w:sz w:val="21"/>
                    </w:rPr>
                    <w:t>许可出现离职更换，属于现场服务人员的，在</w:t>
                  </w:r>
                  <w:r>
                    <w:rPr>
                      <w:sz w:val="21"/>
                    </w:rPr>
                    <w:t>每期</w:t>
                  </w:r>
                  <w:r>
                    <w:rPr>
                      <w:sz w:val="21"/>
                    </w:rPr>
                    <w:t>付款前</w:t>
                  </w:r>
                  <w:r>
                    <w:rPr>
                      <w:sz w:val="21"/>
                    </w:rPr>
                    <w:t>的</w:t>
                  </w:r>
                  <w:r>
                    <w:rPr>
                      <w:sz w:val="21"/>
                    </w:rPr>
                    <w:t>考核</w:t>
                  </w:r>
                  <w:r>
                    <w:rPr>
                      <w:sz w:val="21"/>
                    </w:rPr>
                    <w:t>结果中每人次扣</w:t>
                  </w:r>
                  <w:r>
                    <w:rPr>
                      <w:sz w:val="21"/>
                    </w:rPr>
                    <w:t>2</w:t>
                  </w:r>
                  <w:r>
                    <w:rPr>
                      <w:sz w:val="21"/>
                    </w:rPr>
                    <w:t>分，属于其他服务人员的，在</w:t>
                  </w:r>
                  <w:r>
                    <w:rPr>
                      <w:sz w:val="21"/>
                    </w:rPr>
                    <w:t>每期付款前的考核结果</w:t>
                  </w:r>
                  <w:r>
                    <w:rPr>
                      <w:sz w:val="21"/>
                    </w:rPr>
                    <w:t>中每人次扣</w:t>
                  </w:r>
                  <w:r>
                    <w:rPr>
                      <w:sz w:val="21"/>
                    </w:rPr>
                    <w:t>1</w:t>
                  </w:r>
                  <w:r>
                    <w:rPr>
                      <w:sz w:val="21"/>
                    </w:rPr>
                    <w:t>分；</w:t>
                  </w: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人员工作满意度</w:t>
                  </w:r>
                </w:p>
              </w:tc>
              <w:tc>
                <w:tcPr>
                  <w:tcW w:type="dxa" w:w="1691"/>
                  <w:tcBorders>
                    <w:top w:val="none" w:color="000000" w:sz="4"/>
                    <w:left w:val="none" w:color="000000" w:sz="4"/>
                    <w:bottom w:val="single" w:color="000000" w:sz="4"/>
                    <w:right w:val="single" w:color="000000" w:sz="4"/>
                  </w:tcBorders>
                  <w:vAlign w:val="top"/>
                </w:tcPr>
                <w:p>
                  <w:pPr>
                    <w:jc w:val="both"/>
                  </w:pPr>
                  <w:r>
                    <w:rPr>
                      <w:sz w:val="21"/>
                    </w:rPr>
                    <w:t>客户投诉每次扣</w:t>
                  </w:r>
                  <w:r>
                    <w:rPr>
                      <w:sz w:val="21"/>
                    </w:rPr>
                    <w:t>3</w:t>
                  </w:r>
                  <w:r>
                    <w:rPr>
                      <w:sz w:val="21"/>
                    </w:rPr>
                    <w:t>分，书面警告每次扣</w:t>
                  </w:r>
                  <w:r>
                    <w:rPr>
                      <w:sz w:val="21"/>
                    </w:rPr>
                    <w:t>2</w:t>
                  </w:r>
                  <w:r>
                    <w:rPr>
                      <w:sz w:val="21"/>
                    </w:rPr>
                    <w:t>分；</w:t>
                  </w: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人员业务水平</w:t>
                  </w:r>
                </w:p>
              </w:tc>
              <w:tc>
                <w:tcPr>
                  <w:tcW w:type="dxa" w:w="1691"/>
                  <w:tcBorders>
                    <w:top w:val="none" w:color="000000" w:sz="4"/>
                    <w:left w:val="none" w:color="000000" w:sz="4"/>
                    <w:bottom w:val="single" w:color="000000" w:sz="4"/>
                    <w:right w:val="single" w:color="000000" w:sz="4"/>
                  </w:tcBorders>
                  <w:vAlign w:val="top"/>
                </w:tcPr>
                <w:p>
                  <w:pPr>
                    <w:jc w:val="both"/>
                  </w:pPr>
                  <w:r>
                    <w:rPr>
                      <w:sz w:val="21"/>
                    </w:rPr>
                    <w:t>考核工程师对业务的熟悉程度、相关知识掌握程度、运维项目保密工作等的考核。出现误操作事件每人次扣</w:t>
                  </w:r>
                  <w:r>
                    <w:rPr>
                      <w:sz w:val="21"/>
                    </w:rPr>
                    <w:t>2</w:t>
                  </w:r>
                  <w:r>
                    <w:rPr>
                      <w:sz w:val="21"/>
                    </w:rPr>
                    <w:t>分；</w:t>
                  </w: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77"/>
                  <w:vMerge w:val="restart"/>
                  <w:tcBorders>
                    <w:top w:val="none" w:color="000000" w:sz="4"/>
                    <w:left w:val="none" w:color="000000" w:sz="4"/>
                    <w:bottom w:val="single" w:color="000000" w:sz="4"/>
                    <w:right w:val="single" w:color="000000" w:sz="4"/>
                  </w:tcBorders>
                  <w:vAlign w:val="top"/>
                </w:tcPr>
                <w:p>
                  <w:pPr>
                    <w:jc w:val="center"/>
                  </w:pPr>
                  <w:r>
                    <w:rPr>
                      <w:sz w:val="21"/>
                    </w:rPr>
                    <w:t>日常维护</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巡检和应急支持</w:t>
                  </w:r>
                </w:p>
              </w:tc>
              <w:tc>
                <w:tcPr>
                  <w:tcW w:type="dxa" w:w="1691"/>
                  <w:tcBorders>
                    <w:top w:val="none" w:color="000000" w:sz="4"/>
                    <w:left w:val="none" w:color="000000" w:sz="4"/>
                    <w:bottom w:val="single" w:color="000000" w:sz="4"/>
                    <w:right w:val="single" w:color="000000" w:sz="4"/>
                  </w:tcBorders>
                  <w:vAlign w:val="top"/>
                </w:tcPr>
                <w:p>
                  <w:pPr>
                    <w:jc w:val="both"/>
                  </w:pPr>
                  <w:r>
                    <w:rPr>
                      <w:sz w:val="21"/>
                    </w:rPr>
                    <w:t>按要求完成日常运维任务，未按时进行巡检的，扣</w:t>
                  </w:r>
                  <w:r>
                    <w:rPr>
                      <w:sz w:val="21"/>
                    </w:rPr>
                    <w:t>1</w:t>
                  </w:r>
                  <w:r>
                    <w:rPr>
                      <w:sz w:val="21"/>
                    </w:rPr>
                    <w:t>分</w:t>
                  </w:r>
                  <w:r>
                    <w:rPr>
                      <w:sz w:val="21"/>
                    </w:rPr>
                    <w:t>/</w:t>
                  </w:r>
                  <w:r>
                    <w:rPr>
                      <w:sz w:val="21"/>
                    </w:rPr>
                    <w:t>次；未按要求响应支持应急和处理事件的，扣</w:t>
                  </w:r>
                  <w:r>
                    <w:rPr>
                      <w:sz w:val="21"/>
                    </w:rPr>
                    <w:t>2</w:t>
                  </w:r>
                  <w:r>
                    <w:rPr>
                      <w:sz w:val="21"/>
                    </w:rPr>
                    <w:t>分</w:t>
                  </w:r>
                  <w:r>
                    <w:rPr>
                      <w:sz w:val="21"/>
                    </w:rPr>
                    <w:t>/</w:t>
                  </w:r>
                  <w:r>
                    <w:rPr>
                      <w:sz w:val="21"/>
                    </w:rPr>
                    <w:t>次；</w:t>
                  </w:r>
                  <w:r>
                    <w:rPr>
                      <w:sz w:val="21"/>
                    </w:rPr>
                    <w:t>未在规定时间内将备品备件配送到位的，扣</w:t>
                  </w:r>
                  <w:r>
                    <w:rPr>
                      <w:sz w:val="21"/>
                    </w:rPr>
                    <w:t>2</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报告提交情况</w:t>
                  </w:r>
                </w:p>
              </w:tc>
              <w:tc>
                <w:tcPr>
                  <w:tcW w:type="dxa" w:w="1691"/>
                  <w:tcBorders>
                    <w:top w:val="none" w:color="000000" w:sz="4"/>
                    <w:left w:val="none" w:color="000000" w:sz="4"/>
                    <w:bottom w:val="single" w:color="000000" w:sz="4"/>
                    <w:right w:val="single" w:color="000000" w:sz="4"/>
                  </w:tcBorders>
                  <w:vAlign w:val="top"/>
                </w:tcPr>
                <w:p>
                  <w:pPr>
                    <w:jc w:val="both"/>
                  </w:pPr>
                  <w:r>
                    <w:rPr>
                      <w:sz w:val="21"/>
                    </w:rPr>
                    <w:t>按要求准时提交相关</w:t>
                  </w:r>
                  <w:r>
                    <w:rPr>
                      <w:sz w:val="21"/>
                    </w:rPr>
                    <w:t>报告</w:t>
                  </w:r>
                  <w:r>
                    <w:rPr>
                      <w:sz w:val="21"/>
                    </w:rPr>
                    <w:t>。违规一次扣</w:t>
                  </w:r>
                  <w:r>
                    <w:rPr>
                      <w:sz w:val="21"/>
                    </w:rPr>
                    <w:t>1</w:t>
                  </w:r>
                  <w:r>
                    <w:rPr>
                      <w:sz w:val="21"/>
                    </w:rPr>
                    <w:t>分；</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软硬件升级</w:t>
                  </w:r>
                </w:p>
              </w:tc>
              <w:tc>
                <w:tcPr>
                  <w:tcW w:type="dxa" w:w="1691"/>
                  <w:tcBorders>
                    <w:top w:val="none" w:color="000000" w:sz="4"/>
                    <w:left w:val="none" w:color="000000" w:sz="4"/>
                    <w:bottom w:val="single" w:color="000000" w:sz="4"/>
                    <w:right w:val="single" w:color="000000" w:sz="4"/>
                  </w:tcBorders>
                  <w:vAlign w:val="top"/>
                </w:tcPr>
                <w:p>
                  <w:pPr>
                    <w:jc w:val="both"/>
                  </w:pPr>
                  <w:r>
                    <w:rPr>
                      <w:sz w:val="21"/>
                    </w:rPr>
                    <w:t>软硬件升级前没有事先向</w:t>
                  </w:r>
                  <w:r>
                    <w:rPr>
                      <w:sz w:val="21"/>
                    </w:rPr>
                    <w:t>采购人</w:t>
                  </w:r>
                  <w:r>
                    <w:rPr>
                      <w:sz w:val="21"/>
                    </w:rPr>
                    <w:t>申请或沟通而造成不良影响的，扣</w:t>
                  </w:r>
                  <w:r>
                    <w:rPr>
                      <w:sz w:val="21"/>
                    </w:rPr>
                    <w:t>1</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故障处理</w:t>
                  </w:r>
                </w:p>
              </w:tc>
              <w:tc>
                <w:tcPr>
                  <w:tcW w:type="dxa" w:w="1691"/>
                  <w:tcBorders>
                    <w:top w:val="none" w:color="000000" w:sz="4"/>
                    <w:left w:val="none" w:color="000000" w:sz="4"/>
                    <w:bottom w:val="single" w:color="000000" w:sz="4"/>
                    <w:right w:val="single" w:color="000000" w:sz="4"/>
                  </w:tcBorders>
                  <w:vAlign w:val="top"/>
                </w:tcPr>
                <w:p>
                  <w:pPr>
                    <w:jc w:val="both"/>
                  </w:pPr>
                  <w:r>
                    <w:rPr>
                      <w:sz w:val="21"/>
                    </w:rPr>
                    <w:t>出现故障后没按故障正确的处理流程操作导致重大损失和造成恶劣影响的，扣</w:t>
                  </w:r>
                  <w:r>
                    <w:rPr>
                      <w:sz w:val="21"/>
                    </w:rPr>
                    <w:t>2</w:t>
                  </w:r>
                  <w:r>
                    <w:rPr>
                      <w:sz w:val="21"/>
                    </w:rPr>
                    <w:t>分</w:t>
                  </w:r>
                  <w:r>
                    <w:rPr>
                      <w:sz w:val="21"/>
                    </w:rPr>
                    <w:t>/</w:t>
                  </w:r>
                  <w:r>
                    <w:rPr>
                      <w:sz w:val="21"/>
                    </w:rPr>
                    <w:t>次；故障报告不及时提交给</w:t>
                  </w:r>
                  <w:r>
                    <w:rPr>
                      <w:sz w:val="21"/>
                    </w:rPr>
                    <w:t>采购人</w:t>
                  </w:r>
                  <w:r>
                    <w:rPr>
                      <w:sz w:val="21"/>
                    </w:rPr>
                    <w:t>的（一周内），扣</w:t>
                  </w:r>
                  <w:r>
                    <w:rPr>
                      <w:sz w:val="21"/>
                    </w:rPr>
                    <w:t>1</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监控管理</w:t>
                  </w:r>
                </w:p>
              </w:tc>
              <w:tc>
                <w:tcPr>
                  <w:tcW w:type="dxa" w:w="1691"/>
                  <w:tcBorders>
                    <w:top w:val="none" w:color="000000" w:sz="4"/>
                    <w:left w:val="none" w:color="000000" w:sz="4"/>
                    <w:bottom w:val="single" w:color="000000" w:sz="4"/>
                    <w:right w:val="single" w:color="000000" w:sz="4"/>
                  </w:tcBorders>
                  <w:vAlign w:val="top"/>
                </w:tcPr>
                <w:p>
                  <w:pPr>
                    <w:jc w:val="both"/>
                  </w:pPr>
                  <w:r>
                    <w:rPr>
                      <w:sz w:val="21"/>
                    </w:rPr>
                    <w:t>imoc</w:t>
                  </w:r>
                  <w:r>
                    <w:rPr>
                      <w:sz w:val="21"/>
                    </w:rPr>
                    <w:t>平台监控产生的告警信息要求</w:t>
                  </w:r>
                  <w:r>
                    <w:rPr>
                      <w:sz w:val="21"/>
                    </w:rPr>
                    <w:t>24</w:t>
                  </w:r>
                  <w:r>
                    <w:rPr>
                      <w:sz w:val="21"/>
                    </w:rPr>
                    <w:t>小时内处理完毕，未按时处理的，扣</w:t>
                  </w:r>
                  <w:r>
                    <w:rPr>
                      <w:sz w:val="21"/>
                    </w:rPr>
                    <w:t>1</w:t>
                  </w:r>
                  <w:r>
                    <w:rPr>
                      <w:sz w:val="21"/>
                    </w:rPr>
                    <w:t>分</w:t>
                  </w:r>
                  <w:r>
                    <w:rPr>
                      <w:sz w:val="21"/>
                    </w:rPr>
                    <w:t>/</w:t>
                  </w:r>
                  <w:r>
                    <w:rPr>
                      <w:sz w:val="21"/>
                    </w:rPr>
                    <w:t>次，如由此产生恶劣影响的，扣</w:t>
                  </w:r>
                  <w:r>
                    <w:rPr>
                      <w:sz w:val="21"/>
                    </w:rPr>
                    <w:t>2</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功能变更管理</w:t>
                  </w:r>
                </w:p>
              </w:tc>
              <w:tc>
                <w:tcPr>
                  <w:tcW w:type="dxa" w:w="1691"/>
                  <w:tcBorders>
                    <w:top w:val="none" w:color="000000" w:sz="4"/>
                    <w:left w:val="none" w:color="000000" w:sz="4"/>
                    <w:bottom w:val="single" w:color="000000" w:sz="4"/>
                    <w:right w:val="single" w:color="000000" w:sz="4"/>
                  </w:tcBorders>
                  <w:vAlign w:val="top"/>
                </w:tcPr>
                <w:p>
                  <w:pPr>
                    <w:jc w:val="both"/>
                  </w:pPr>
                  <w:r>
                    <w:rPr>
                      <w:sz w:val="21"/>
                    </w:rPr>
                    <w:t>未经管理方私自进行功能变更的，扣</w:t>
                  </w:r>
                  <w:r>
                    <w:rPr>
                      <w:sz w:val="21"/>
                    </w:rPr>
                    <w:t>1</w:t>
                  </w:r>
                  <w:r>
                    <w:rPr>
                      <w:sz w:val="21"/>
                    </w:rPr>
                    <w:t>分</w:t>
                  </w:r>
                  <w:r>
                    <w:rPr>
                      <w:sz w:val="21"/>
                    </w:rPr>
                    <w:t>/</w:t>
                  </w:r>
                  <w:r>
                    <w:rPr>
                      <w:sz w:val="21"/>
                    </w:rPr>
                    <w:t>次，未按时按质完成功能变更的，扣</w:t>
                  </w:r>
                  <w:r>
                    <w:rPr>
                      <w:sz w:val="21"/>
                    </w:rPr>
                    <w:t>1</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安全管理</w:t>
                  </w:r>
                </w:p>
              </w:tc>
              <w:tc>
                <w:tcPr>
                  <w:tcW w:type="dxa" w:w="1691"/>
                  <w:tcBorders>
                    <w:top w:val="none" w:color="000000" w:sz="4"/>
                    <w:left w:val="none" w:color="000000" w:sz="4"/>
                    <w:bottom w:val="single" w:color="000000" w:sz="4"/>
                    <w:right w:val="single" w:color="000000" w:sz="4"/>
                  </w:tcBorders>
                  <w:vAlign w:val="top"/>
                </w:tcPr>
                <w:p>
                  <w:pPr>
                    <w:jc w:val="both"/>
                  </w:pPr>
                  <w:r>
                    <w:rPr>
                      <w:sz w:val="21"/>
                    </w:rPr>
                    <w:t>违反安全管理制度，人为造成严重、重大故障的，扣</w:t>
                  </w:r>
                  <w:r>
                    <w:rPr>
                      <w:sz w:val="21"/>
                    </w:rPr>
                    <w:t>1</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任务管理</w:t>
                  </w:r>
                </w:p>
              </w:tc>
              <w:tc>
                <w:tcPr>
                  <w:tcW w:type="dxa" w:w="1691"/>
                  <w:tcBorders>
                    <w:top w:val="none" w:color="000000" w:sz="4"/>
                    <w:left w:val="none" w:color="000000" w:sz="4"/>
                    <w:bottom w:val="single" w:color="000000" w:sz="4"/>
                    <w:right w:val="single" w:color="000000" w:sz="4"/>
                  </w:tcBorders>
                  <w:vAlign w:val="top"/>
                </w:tcPr>
                <w:p>
                  <w:pPr>
                    <w:jc w:val="both"/>
                  </w:pPr>
                  <w:r>
                    <w:rPr>
                      <w:sz w:val="21"/>
                    </w:rPr>
                    <w:t>未按时完成其他交办的维护任务的，扣</w:t>
                  </w:r>
                  <w:r>
                    <w:rPr>
                      <w:sz w:val="21"/>
                    </w:rPr>
                    <w:t>1</w:t>
                  </w:r>
                  <w:r>
                    <w:rPr>
                      <w:sz w:val="21"/>
                    </w:rPr>
                    <w:t>分</w:t>
                  </w:r>
                  <w:r>
                    <w:rPr>
                      <w:sz w:val="21"/>
                    </w:rPr>
                    <w:t>/</w:t>
                  </w:r>
                  <w:r>
                    <w:rPr>
                      <w:sz w:val="21"/>
                    </w:rPr>
                    <w:t>个；</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377"/>
                  <w:tcBorders>
                    <w:top w:val="none" w:color="000000" w:sz="4"/>
                    <w:left w:val="none" w:color="000000" w:sz="4"/>
                    <w:bottom w:val="none" w:color="000000" w:sz="4"/>
                    <w:right w:val="single" w:color="000000" w:sz="4"/>
                  </w:tcBorders>
                  <w:vAlign w:val="top"/>
                </w:tcPr>
                <w:p>
                  <w:pPr>
                    <w:jc w:val="center"/>
                  </w:pPr>
                  <w:r>
                    <w:rPr>
                      <w:sz w:val="21"/>
                    </w:rPr>
                    <w:t>运行质量</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总体可用率</w:t>
                  </w:r>
                </w:p>
              </w:tc>
              <w:tc>
                <w:tcPr>
                  <w:tcW w:type="dxa" w:w="1691"/>
                  <w:tcBorders>
                    <w:top w:val="none" w:color="000000" w:sz="4"/>
                    <w:left w:val="none" w:color="000000" w:sz="4"/>
                    <w:bottom w:val="single" w:color="000000" w:sz="4"/>
                    <w:right w:val="single" w:color="000000" w:sz="4"/>
                  </w:tcBorders>
                  <w:vAlign w:val="top"/>
                </w:tcPr>
                <w:p>
                  <w:pPr>
                    <w:jc w:val="both"/>
                  </w:pPr>
                  <w:r>
                    <w:rPr>
                      <w:sz w:val="21"/>
                    </w:rPr>
                    <w:t>每月发生故障次数不可超过三次，从第四次故障开始扣分（按故障级别扣分，</w:t>
                  </w:r>
                  <w:r>
                    <w:rPr>
                      <w:sz w:val="21"/>
                    </w:rPr>
                    <w:t>I</w:t>
                  </w:r>
                  <w:r>
                    <w:rPr>
                      <w:sz w:val="21"/>
                    </w:rPr>
                    <w:t>级</w:t>
                  </w:r>
                  <w:r>
                    <w:rPr>
                      <w:sz w:val="21"/>
                    </w:rPr>
                    <w:t>故障扣</w:t>
                  </w:r>
                  <w:r>
                    <w:rPr>
                      <w:sz w:val="21"/>
                    </w:rPr>
                    <w:t>10</w:t>
                  </w:r>
                  <w:r>
                    <w:rPr>
                      <w:sz w:val="21"/>
                    </w:rPr>
                    <w:t>分，</w:t>
                  </w:r>
                  <w:r>
                    <w:rPr>
                      <w:sz w:val="21"/>
                    </w:rPr>
                    <w:t>II</w:t>
                  </w:r>
                  <w:r>
                    <w:rPr>
                      <w:sz w:val="21"/>
                    </w:rPr>
                    <w:t>级</w:t>
                  </w:r>
                  <w:r>
                    <w:rPr>
                      <w:sz w:val="21"/>
                    </w:rPr>
                    <w:t>故障扣</w:t>
                  </w:r>
                  <w:r>
                    <w:rPr>
                      <w:sz w:val="21"/>
                    </w:rPr>
                    <w:t>5</w:t>
                  </w:r>
                  <w:r>
                    <w:rPr>
                      <w:sz w:val="21"/>
                    </w:rPr>
                    <w:t>分，</w:t>
                  </w:r>
                  <w:r>
                    <w:rPr>
                      <w:sz w:val="21"/>
                    </w:rPr>
                    <w:t>III</w:t>
                  </w:r>
                  <w:r>
                    <w:rPr>
                      <w:sz w:val="21"/>
                    </w:rPr>
                    <w:t>级</w:t>
                  </w:r>
                  <w:r>
                    <w:rPr>
                      <w:sz w:val="21"/>
                    </w:rPr>
                    <w:t>故障扣</w:t>
                  </w:r>
                  <w:r>
                    <w:rPr>
                      <w:sz w:val="21"/>
                    </w:rPr>
                    <w:t>3</w:t>
                  </w:r>
                  <w:r>
                    <w:rPr>
                      <w:sz w:val="21"/>
                    </w:rPr>
                    <w:t>分，</w:t>
                  </w:r>
                  <w:r>
                    <w:rPr>
                      <w:sz w:val="21"/>
                    </w:rPr>
                    <w:t>IV</w:t>
                  </w:r>
                  <w:r>
                    <w:rPr>
                      <w:sz w:val="21"/>
                    </w:rPr>
                    <w:t>级</w:t>
                  </w:r>
                  <w:r>
                    <w:rPr>
                      <w:sz w:val="21"/>
                    </w:rPr>
                    <w:t>故障扣</w:t>
                  </w:r>
                  <w:r>
                    <w:rPr>
                      <w:sz w:val="21"/>
                    </w:rPr>
                    <w:t>1</w:t>
                  </w:r>
                  <w:r>
                    <w:rPr>
                      <w:sz w:val="21"/>
                    </w:rPr>
                    <w:t>分</w:t>
                  </w:r>
                  <w:r>
                    <w:rPr>
                      <w:sz w:val="21"/>
                    </w:rPr>
                    <w:t>）</w:t>
                  </w:r>
                </w:p>
              </w:tc>
              <w:tc>
                <w:tcPr>
                  <w:tcW w:type="dxa" w:w="374"/>
                  <w:tcBorders>
                    <w:top w:val="none" w:color="000000" w:sz="4"/>
                    <w:left w:val="none" w:color="000000" w:sz="4"/>
                    <w:bottom w:val="single" w:color="000000" w:sz="4"/>
                    <w:right w:val="single" w:color="000000" w:sz="4"/>
                  </w:tcBorders>
                  <w:vAlign w:val="top"/>
                </w:tcPr>
                <w:p>
                  <w:pPr>
                    <w:jc w:val="center"/>
                  </w:pPr>
                  <w:r>
                    <w:rPr>
                      <w:sz w:val="21"/>
                    </w:rPr>
                    <w:t>不设上限</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377"/>
                  <w:vMerge w:val="restart"/>
                  <w:tcBorders>
                    <w:top w:val="single" w:color="000000" w:sz="4"/>
                    <w:left w:val="none" w:color="000000" w:sz="4"/>
                    <w:bottom w:val="single" w:color="000000" w:sz="4"/>
                    <w:right w:val="single" w:color="000000" w:sz="4"/>
                  </w:tcBorders>
                  <w:vAlign w:val="top"/>
                </w:tcPr>
                <w:p>
                  <w:pPr>
                    <w:jc w:val="center"/>
                  </w:pPr>
                  <w:r>
                    <w:rPr>
                      <w:sz w:val="21"/>
                    </w:rPr>
                    <w:t>运维工作产出物质量</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周期性报告质量</w:t>
                  </w:r>
                </w:p>
              </w:tc>
              <w:tc>
                <w:tcPr>
                  <w:tcW w:type="dxa" w:w="1691"/>
                  <w:tcBorders>
                    <w:top w:val="none" w:color="000000" w:sz="4"/>
                    <w:left w:val="none" w:color="000000" w:sz="4"/>
                    <w:bottom w:val="single" w:color="000000" w:sz="4"/>
                    <w:right w:val="single" w:color="000000" w:sz="4"/>
                  </w:tcBorders>
                  <w:vAlign w:val="top"/>
                </w:tcPr>
                <w:p>
                  <w:pPr>
                    <w:jc w:val="both"/>
                  </w:pPr>
                  <w:r>
                    <w:rPr>
                      <w:sz w:val="21"/>
                    </w:rPr>
                    <w:t>是否简洁清晰、重点突出、分析深入、建议合理；</w:t>
                  </w:r>
                </w:p>
              </w:tc>
              <w:tc>
                <w:tcPr>
                  <w:tcW w:type="dxa" w:w="374"/>
                  <w:vMerge w:val="restart"/>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vMerge w:val="restart"/>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377"/>
                  <w:vMerge/>
                  <w:tcBorders>
                    <w:top w:val="singl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非周期性产出物质量</w:t>
                  </w:r>
                </w:p>
              </w:tc>
              <w:tc>
                <w:tcPr>
                  <w:tcW w:type="dxa" w:w="1691"/>
                  <w:tcBorders>
                    <w:top w:val="none" w:color="000000" w:sz="4"/>
                    <w:left w:val="none" w:color="000000" w:sz="4"/>
                    <w:bottom w:val="single" w:color="000000" w:sz="4"/>
                    <w:right w:val="single" w:color="000000" w:sz="4"/>
                  </w:tcBorders>
                  <w:vAlign w:val="top"/>
                </w:tcPr>
                <w:p>
                  <w:pPr>
                    <w:jc w:val="both"/>
                  </w:pPr>
                  <w:r>
                    <w:rPr>
                      <w:sz w:val="21"/>
                    </w:rPr>
                    <w:t>如事件解决方案、评估报告、专题报告等，是否简洁清晰、重点突出、分析深入、建议合理。一个事件单不提交事件报告扣</w:t>
                  </w:r>
                  <w:r>
                    <w:rPr>
                      <w:sz w:val="21"/>
                    </w:rPr>
                    <w:t>1</w:t>
                  </w:r>
                  <w:r>
                    <w:rPr>
                      <w:sz w:val="21"/>
                    </w:rPr>
                    <w:t>分；</w:t>
                  </w: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377"/>
                  <w:vMerge w:val="restart"/>
                  <w:tcBorders>
                    <w:top w:val="none" w:color="000000" w:sz="4"/>
                    <w:left w:val="none" w:color="000000" w:sz="4"/>
                    <w:bottom w:val="single" w:color="000000" w:sz="4"/>
                    <w:right w:val="single" w:color="000000" w:sz="4"/>
                  </w:tcBorders>
                  <w:vAlign w:val="top"/>
                </w:tcPr>
                <w:p>
                  <w:pPr>
                    <w:jc w:val="center"/>
                  </w:pPr>
                  <w:r>
                    <w:rPr>
                      <w:sz w:val="21"/>
                    </w:rPr>
                    <w:t>响应型服务质量</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事件响应时间达标率</w:t>
                  </w:r>
                </w:p>
              </w:tc>
              <w:tc>
                <w:tcPr>
                  <w:tcW w:type="dxa" w:w="1691"/>
                  <w:tcBorders>
                    <w:top w:val="none" w:color="000000" w:sz="4"/>
                    <w:left w:val="none" w:color="000000" w:sz="4"/>
                    <w:bottom w:val="single" w:color="000000" w:sz="4"/>
                    <w:right w:val="single" w:color="000000" w:sz="4"/>
                  </w:tcBorders>
                  <w:vAlign w:val="top"/>
                </w:tcPr>
                <w:p>
                  <w:pPr>
                    <w:jc w:val="both"/>
                  </w:pPr>
                  <w:r>
                    <w:rPr>
                      <w:sz w:val="21"/>
                    </w:rPr>
                    <w:t>达标率低于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3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事件处理时间达标率</w:t>
                  </w:r>
                </w:p>
              </w:tc>
              <w:tc>
                <w:tcPr>
                  <w:tcW w:type="dxa" w:w="1691"/>
                  <w:tcBorders>
                    <w:top w:val="none" w:color="000000" w:sz="4"/>
                    <w:left w:val="none" w:color="000000" w:sz="4"/>
                    <w:bottom w:val="single" w:color="000000" w:sz="4"/>
                    <w:right w:val="single" w:color="000000" w:sz="4"/>
                  </w:tcBorders>
                  <w:vAlign w:val="top"/>
                </w:tcPr>
                <w:p>
                  <w:pPr>
                    <w:jc w:val="both"/>
                  </w:pPr>
                  <w:r>
                    <w:rPr>
                      <w:sz w:val="21"/>
                    </w:rPr>
                    <w:t>达标率低于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3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事件完成率（已经完成的事件数</w:t>
                  </w:r>
                  <w:r>
                    <w:rPr>
                      <w:sz w:val="21"/>
                    </w:rPr>
                    <w:t>/</w:t>
                  </w:r>
                  <w:r>
                    <w:rPr>
                      <w:sz w:val="21"/>
                    </w:rPr>
                    <w:t>事件总数）</w:t>
                  </w:r>
                </w:p>
              </w:tc>
              <w:tc>
                <w:tcPr>
                  <w:tcW w:type="dxa" w:w="1691"/>
                  <w:tcBorders>
                    <w:top w:val="none" w:color="000000" w:sz="4"/>
                    <w:left w:val="none" w:color="000000" w:sz="4"/>
                    <w:bottom w:val="single" w:color="000000" w:sz="4"/>
                    <w:right w:val="single" w:color="000000" w:sz="4"/>
                  </w:tcBorders>
                  <w:vAlign w:val="top"/>
                </w:tcPr>
                <w:p>
                  <w:pPr>
                    <w:jc w:val="both"/>
                  </w:pPr>
                  <w:r>
                    <w:rPr>
                      <w:sz w:val="21"/>
                    </w:rPr>
                    <w:t>完成率低于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374"/>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377"/>
                  <w:vMerge w:val="restart"/>
                  <w:tcBorders>
                    <w:top w:val="none" w:color="000000" w:sz="4"/>
                    <w:left w:val="none" w:color="000000" w:sz="4"/>
                    <w:bottom w:val="single" w:color="000000" w:sz="4"/>
                    <w:right w:val="single" w:color="000000" w:sz="4"/>
                  </w:tcBorders>
                  <w:vAlign w:val="top"/>
                </w:tcPr>
                <w:p>
                  <w:pPr>
                    <w:jc w:val="center"/>
                  </w:pPr>
                  <w:r>
                    <w:rPr>
                      <w:sz w:val="21"/>
                    </w:rPr>
                    <w:t>服务评价</w:t>
                  </w:r>
                </w:p>
              </w:tc>
              <w:tc>
                <w:tcPr>
                  <w:tcW w:type="dxa" w:w="1541"/>
                  <w:tcBorders>
                    <w:top w:val="none" w:color="000000" w:sz="4"/>
                    <w:left w:val="none" w:color="000000" w:sz="4"/>
                    <w:bottom w:val="single" w:color="000000" w:sz="4"/>
                    <w:right w:val="single" w:color="000000" w:sz="4"/>
                  </w:tcBorders>
                  <w:vAlign w:val="top"/>
                </w:tcPr>
                <w:p>
                  <w:pPr>
                    <w:jc w:val="center"/>
                  </w:pPr>
                  <w:r>
                    <w:rPr>
                      <w:sz w:val="21"/>
                    </w:rPr>
                    <w:t>数据准确度</w:t>
                  </w:r>
                </w:p>
              </w:tc>
              <w:tc>
                <w:tcPr>
                  <w:tcW w:type="dxa" w:w="1691"/>
                  <w:tcBorders>
                    <w:top w:val="none" w:color="000000" w:sz="4"/>
                    <w:left w:val="none" w:color="000000" w:sz="4"/>
                    <w:bottom w:val="single" w:color="000000" w:sz="4"/>
                    <w:right w:val="single" w:color="000000" w:sz="4"/>
                  </w:tcBorders>
                  <w:vAlign w:val="top"/>
                </w:tcPr>
                <w:p>
                  <w:pPr>
                    <w:jc w:val="both"/>
                  </w:pPr>
                  <w:r>
                    <w:rPr>
                      <w:sz w:val="21"/>
                    </w:rPr>
                    <w:t>出现某类业务数据不准确的，扣</w:t>
                  </w:r>
                  <w:r>
                    <w:rPr>
                      <w:sz w:val="21"/>
                    </w:rPr>
                    <w:t>1</w:t>
                  </w:r>
                  <w:r>
                    <w:rPr>
                      <w:sz w:val="21"/>
                    </w:rPr>
                    <w:t>分</w:t>
                  </w:r>
                  <w:r>
                    <w:rPr>
                      <w:sz w:val="21"/>
                    </w:rPr>
                    <w:t>/</w:t>
                  </w:r>
                  <w:r>
                    <w:rPr>
                      <w:sz w:val="21"/>
                    </w:rPr>
                    <w:t>项；</w:t>
                  </w:r>
                </w:p>
              </w:tc>
              <w:tc>
                <w:tcPr>
                  <w:tcW w:type="dxa" w:w="374"/>
                  <w:tcBorders>
                    <w:top w:val="none" w:color="000000" w:sz="4"/>
                    <w:left w:val="none" w:color="000000" w:sz="4"/>
                    <w:bottom w:val="single" w:color="000000" w:sz="4"/>
                    <w:right w:val="single" w:color="000000" w:sz="4"/>
                  </w:tcBorders>
                  <w:vAlign w:val="top"/>
                </w:tcPr>
                <w:p>
                  <w:pPr>
                    <w:jc w:val="center"/>
                  </w:pPr>
                  <w:r>
                    <w:rPr>
                      <w:sz w:val="21"/>
                    </w:rPr>
                    <w:t>2</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系统可操作性</w:t>
                  </w:r>
                </w:p>
              </w:tc>
              <w:tc>
                <w:tcPr>
                  <w:tcW w:type="dxa" w:w="1691"/>
                  <w:tcBorders>
                    <w:top w:val="none" w:color="000000" w:sz="4"/>
                    <w:left w:val="none" w:color="000000" w:sz="4"/>
                    <w:bottom w:val="single" w:color="000000" w:sz="4"/>
                    <w:right w:val="single" w:color="000000" w:sz="4"/>
                  </w:tcBorders>
                  <w:vAlign w:val="top"/>
                </w:tcPr>
                <w:p>
                  <w:pPr>
                    <w:jc w:val="both"/>
                  </w:pPr>
                  <w:r>
                    <w:rPr>
                      <w:sz w:val="21"/>
                    </w:rPr>
                    <w:t>由于系统原因，造成操作失效、容易出错、甚至导致终端出行死锁情况的，扣</w:t>
                  </w:r>
                  <w:r>
                    <w:rPr>
                      <w:sz w:val="21"/>
                    </w:rPr>
                    <w:t>1</w:t>
                  </w:r>
                  <w:r>
                    <w:rPr>
                      <w:sz w:val="21"/>
                    </w:rPr>
                    <w:t>分</w:t>
                  </w:r>
                  <w:r>
                    <w:rPr>
                      <w:sz w:val="21"/>
                    </w:rPr>
                    <w:t>/</w:t>
                  </w:r>
                  <w:r>
                    <w:rPr>
                      <w:sz w:val="21"/>
                    </w:rPr>
                    <w:t>项；</w:t>
                  </w:r>
                </w:p>
              </w:tc>
              <w:tc>
                <w:tcPr>
                  <w:tcW w:type="dxa" w:w="374"/>
                  <w:tcBorders>
                    <w:top w:val="none" w:color="000000" w:sz="4"/>
                    <w:left w:val="none" w:color="000000" w:sz="4"/>
                    <w:bottom w:val="single" w:color="000000" w:sz="4"/>
                    <w:right w:val="single" w:color="000000" w:sz="4"/>
                  </w:tcBorders>
                  <w:vAlign w:val="top"/>
                </w:tcPr>
                <w:p>
                  <w:pPr>
                    <w:jc w:val="center"/>
                  </w:pPr>
                  <w:r>
                    <w:rPr>
                      <w:sz w:val="21"/>
                    </w:rPr>
                    <w:t>2</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响应速度</w:t>
                  </w:r>
                </w:p>
              </w:tc>
              <w:tc>
                <w:tcPr>
                  <w:tcW w:type="dxa" w:w="1691"/>
                  <w:tcBorders>
                    <w:top w:val="none" w:color="000000" w:sz="4"/>
                    <w:left w:val="none" w:color="000000" w:sz="4"/>
                    <w:bottom w:val="single" w:color="000000" w:sz="4"/>
                    <w:right w:val="single" w:color="000000" w:sz="4"/>
                  </w:tcBorders>
                  <w:vAlign w:val="top"/>
                </w:tcPr>
                <w:p>
                  <w:pPr>
                    <w:jc w:val="both"/>
                  </w:pPr>
                  <w:r>
                    <w:rPr>
                      <w:sz w:val="21"/>
                    </w:rPr>
                    <w:t>对系统故障处理、业务沟通的响应速度不达标，被投诉的，扣</w:t>
                  </w:r>
                  <w:r>
                    <w:rPr>
                      <w:sz w:val="21"/>
                    </w:rPr>
                    <w:t>1</w:t>
                  </w:r>
                  <w:r>
                    <w:rPr>
                      <w:sz w:val="21"/>
                    </w:rPr>
                    <w:t>分</w:t>
                  </w:r>
                  <w:r>
                    <w:rPr>
                      <w:sz w:val="21"/>
                    </w:rPr>
                    <w:t>/</w:t>
                  </w:r>
                  <w:r>
                    <w:rPr>
                      <w:sz w:val="21"/>
                    </w:rPr>
                    <w:t>次；</w:t>
                  </w:r>
                </w:p>
              </w:tc>
              <w:tc>
                <w:tcPr>
                  <w:tcW w:type="dxa" w:w="374"/>
                  <w:tcBorders>
                    <w:top w:val="none" w:color="000000" w:sz="4"/>
                    <w:left w:val="none" w:color="000000" w:sz="4"/>
                    <w:bottom w:val="single" w:color="000000" w:sz="4"/>
                    <w:right w:val="single" w:color="000000" w:sz="4"/>
                  </w:tcBorders>
                  <w:vAlign w:val="top"/>
                </w:tcPr>
                <w:p>
                  <w:pPr>
                    <w:jc w:val="center"/>
                  </w:pPr>
                  <w:r>
                    <w:rPr>
                      <w:sz w:val="21"/>
                    </w:rPr>
                    <w:t>3</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配合程度</w:t>
                  </w:r>
                </w:p>
              </w:tc>
              <w:tc>
                <w:tcPr>
                  <w:tcW w:type="dxa" w:w="1691"/>
                  <w:tcBorders>
                    <w:top w:val="none" w:color="000000" w:sz="4"/>
                    <w:left w:val="none" w:color="000000" w:sz="4"/>
                    <w:bottom w:val="single" w:color="000000" w:sz="4"/>
                    <w:right w:val="single" w:color="000000" w:sz="4"/>
                  </w:tcBorders>
                  <w:vAlign w:val="top"/>
                </w:tcPr>
                <w:p>
                  <w:pPr>
                    <w:jc w:val="both"/>
                  </w:pPr>
                  <w:r>
                    <w:rPr>
                      <w:sz w:val="21"/>
                    </w:rPr>
                    <w:t>对业务实现要求的理解和沟通能力；</w:t>
                  </w:r>
                </w:p>
              </w:tc>
              <w:tc>
                <w:tcPr>
                  <w:tcW w:type="dxa" w:w="374"/>
                  <w:tcBorders>
                    <w:top w:val="none" w:color="000000" w:sz="4"/>
                    <w:left w:val="none" w:color="000000" w:sz="4"/>
                    <w:bottom w:val="single" w:color="000000" w:sz="4"/>
                    <w:right w:val="single" w:color="000000" w:sz="4"/>
                  </w:tcBorders>
                  <w:vAlign w:val="top"/>
                </w:tcPr>
                <w:p>
                  <w:pPr>
                    <w:jc w:val="center"/>
                  </w:pPr>
                  <w:r>
                    <w:rPr>
                      <w:sz w:val="21"/>
                    </w:rPr>
                    <w:t>3</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377"/>
                  <w:vMerge/>
                  <w:tcBorders>
                    <w:top w:val="none" w:color="000000" w:sz="4"/>
                    <w:left w:val="none" w:color="000000" w:sz="4"/>
                    <w:bottom w:val="single" w:color="000000" w:sz="4"/>
                    <w:right w:val="single" w:color="000000" w:sz="4"/>
                  </w:tcBorders>
                </w:tcPr>
                <w:p/>
              </w:tc>
              <w:tc>
                <w:tcPr>
                  <w:tcW w:type="dxa" w:w="1541"/>
                  <w:tcBorders>
                    <w:top w:val="none" w:color="000000" w:sz="4"/>
                    <w:left w:val="none" w:color="000000" w:sz="4"/>
                    <w:bottom w:val="single" w:color="000000" w:sz="4"/>
                    <w:right w:val="single" w:color="000000" w:sz="4"/>
                  </w:tcBorders>
                  <w:vAlign w:val="top"/>
                </w:tcPr>
                <w:p>
                  <w:pPr>
                    <w:jc w:val="center"/>
                  </w:pPr>
                  <w:r>
                    <w:rPr>
                      <w:sz w:val="21"/>
                    </w:rPr>
                    <w:t>总体效果</w:t>
                  </w:r>
                </w:p>
              </w:tc>
              <w:tc>
                <w:tcPr>
                  <w:tcW w:type="dxa" w:w="1691"/>
                  <w:tcBorders>
                    <w:top w:val="none" w:color="000000" w:sz="4"/>
                    <w:left w:val="none" w:color="000000" w:sz="4"/>
                    <w:bottom w:val="single" w:color="000000" w:sz="4"/>
                    <w:right w:val="single" w:color="000000" w:sz="4"/>
                  </w:tcBorders>
                  <w:vAlign w:val="top"/>
                </w:tcPr>
                <w:p>
                  <w:pPr>
                    <w:jc w:val="both"/>
                  </w:pPr>
                  <w:r>
                    <w:rPr>
                      <w:sz w:val="21"/>
                    </w:rPr>
                    <w:t>对业务实现和系统应用效果的综合评价；</w:t>
                  </w:r>
                </w:p>
              </w:tc>
              <w:tc>
                <w:tcPr>
                  <w:tcW w:type="dxa" w:w="374"/>
                  <w:tcBorders>
                    <w:top w:val="none" w:color="000000" w:sz="4"/>
                    <w:left w:val="none" w:color="000000" w:sz="4"/>
                    <w:bottom w:val="single" w:color="000000" w:sz="4"/>
                    <w:right w:val="single" w:color="000000" w:sz="4"/>
                  </w:tcBorders>
                  <w:vAlign w:val="top"/>
                </w:tcPr>
                <w:p>
                  <w:pPr>
                    <w:jc w:val="center"/>
                  </w:pPr>
                  <w:r>
                    <w:rPr>
                      <w:sz w:val="21"/>
                    </w:rPr>
                    <w:t>5</w:t>
                  </w:r>
                </w:p>
              </w:tc>
              <w:tc>
                <w:tcPr>
                  <w:tcW w:type="dxa" w:w="284"/>
                  <w:tcBorders>
                    <w:top w:val="none" w:color="000000" w:sz="4"/>
                    <w:left w:val="none" w:color="000000" w:sz="4"/>
                    <w:bottom w:val="single" w:color="000000" w:sz="4"/>
                    <w:right w:val="single" w:color="000000" w:sz="4"/>
                  </w:tcBorders>
                  <w:vAlign w:val="top"/>
                </w:tcPr>
                <w:p>
                  <w:pPr>
                    <w:jc w:val="center"/>
                  </w:pPr>
                </w:p>
              </w:tc>
            </w:tr>
            <w:tr>
              <w:tc>
                <w:tcPr>
                  <w:tcW w:type="dxa" w:w="28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609"/>
                  <w:gridSpan w:val="3"/>
                  <w:tcBorders>
                    <w:top w:val="none" w:color="000000" w:sz="4"/>
                    <w:left w:val="none" w:color="000000" w:sz="4"/>
                    <w:bottom w:val="single" w:color="000000" w:sz="4"/>
                    <w:right w:val="single" w:color="000000" w:sz="4"/>
                  </w:tcBorders>
                  <w:vAlign w:val="top"/>
                </w:tcPr>
                <w:p>
                  <w:pPr>
                    <w:jc w:val="center"/>
                  </w:pPr>
                  <w:r>
                    <w:rPr>
                      <w:sz w:val="21"/>
                    </w:rPr>
                    <w:t>总分</w:t>
                  </w:r>
                </w:p>
              </w:tc>
              <w:tc>
                <w:tcPr>
                  <w:tcW w:type="dxa" w:w="374"/>
                  <w:tcBorders>
                    <w:top w:val="none" w:color="000000" w:sz="4"/>
                    <w:left w:val="none" w:color="000000" w:sz="4"/>
                    <w:bottom w:val="single" w:color="000000" w:sz="4"/>
                    <w:right w:val="single" w:color="000000" w:sz="4"/>
                  </w:tcBorders>
                  <w:vAlign w:val="top"/>
                </w:tcPr>
                <w:p>
                  <w:pPr>
                    <w:jc w:val="center"/>
                  </w:pPr>
                  <w:r>
                    <w:rPr>
                      <w:sz w:val="21"/>
                    </w:rPr>
                    <w:t>100</w:t>
                  </w:r>
                </w:p>
              </w:tc>
              <w:tc>
                <w:tcPr>
                  <w:tcW w:type="dxa" w:w="284"/>
                  <w:tcBorders>
                    <w:top w:val="none" w:color="000000" w:sz="4"/>
                    <w:left w:val="none" w:color="000000" w:sz="4"/>
                    <w:bottom w:val="single" w:color="000000" w:sz="4"/>
                    <w:right w:val="single" w:color="000000" w:sz="4"/>
                  </w:tcBorders>
                  <w:vAlign w:val="top"/>
                </w:tcPr>
                <w:p>
                  <w:pPr>
                    <w:jc w:val="center"/>
                  </w:pPr>
                </w:p>
              </w:tc>
            </w:tr>
          </w:tbl>
          <w:p>
            <w:pPr>
              <w:jc w:val="left"/>
            </w:pPr>
          </w:p>
        </w:tc>
      </w:tr>
      <w:tr>
        <w:tc>
          <w:tcPr>
            <w:tcW w:type="dxa" w:w="2076"/>
          </w:tcPr>
          <w:p/>
        </w:tc>
        <w:tc>
          <w:tcPr>
            <w:tcW w:type="dxa" w:w="415"/>
          </w:tcPr>
          <w:p>
            <w:r>
              <w:rPr/>
              <w:t>5</w:t>
            </w:r>
          </w:p>
        </w:tc>
        <w:tc>
          <w:tcPr>
            <w:tcW w:type="dxa" w:w="5814"/>
          </w:tcPr>
          <w:p>
            <w:pPr>
              <w:jc w:val="both"/>
            </w:pPr>
            <w:r>
              <w:rPr>
                <w:b/>
                <w:sz w:val="21"/>
              </w:rPr>
              <w:t>5.</w:t>
            </w:r>
            <w:r>
              <w:rPr>
                <w:b/>
                <w:sz w:val="21"/>
              </w:rPr>
              <w:t>付款方式</w:t>
            </w:r>
          </w:p>
          <w:p>
            <w:pPr>
              <w:ind w:firstLine="420"/>
              <w:jc w:val="both"/>
            </w:pPr>
            <w:r>
              <w:rPr>
                <w:sz w:val="21"/>
              </w:rPr>
              <w:t>合同款分</w:t>
            </w:r>
            <w:r>
              <w:rPr>
                <w:sz w:val="21"/>
              </w:rPr>
              <w:t>四</w:t>
            </w:r>
            <w:r>
              <w:rPr>
                <w:sz w:val="21"/>
              </w:rPr>
              <w:t>期支付。由</w:t>
            </w:r>
            <w:r>
              <w:rPr>
                <w:sz w:val="21"/>
              </w:rPr>
              <w:t>采购人</w:t>
            </w:r>
            <w:r>
              <w:rPr>
                <w:sz w:val="21"/>
              </w:rPr>
              <w:t>按下列程序付款：</w:t>
            </w:r>
          </w:p>
          <w:p>
            <w:pPr>
              <w:ind w:firstLine="420"/>
              <w:jc w:val="both"/>
            </w:pPr>
            <w:r>
              <w:rPr>
                <w:sz w:val="21"/>
              </w:rPr>
              <w:t>1</w:t>
            </w:r>
            <w:r>
              <w:rPr>
                <w:sz w:val="21"/>
              </w:rPr>
              <w:t>、第一期支付：</w:t>
            </w:r>
            <w:r>
              <w:rPr>
                <w:sz w:val="21"/>
              </w:rPr>
              <w:t>2024年</w:t>
            </w:r>
            <w:r>
              <w:rPr>
                <w:sz w:val="21"/>
              </w:rPr>
              <w:t>8</w:t>
            </w:r>
            <w:r>
              <w:rPr>
                <w:sz w:val="21"/>
              </w:rPr>
              <w:t>月</w:t>
            </w:r>
            <w:r>
              <w:rPr>
                <w:sz w:val="21"/>
              </w:rPr>
              <w:t>前</w:t>
            </w:r>
            <w:r>
              <w:rPr>
                <w:sz w:val="21"/>
              </w:rPr>
              <w:t>，在</w:t>
            </w:r>
            <w:r>
              <w:rPr>
                <w:sz w:val="21"/>
              </w:rPr>
              <w:t>中标人</w:t>
            </w:r>
            <w:r>
              <w:rPr>
                <w:sz w:val="21"/>
              </w:rPr>
              <w:t>已经提交</w:t>
            </w:r>
            <w:r>
              <w:rPr>
                <w:sz w:val="21"/>
              </w:rPr>
              <w:t>自服务期开始至</w:t>
            </w:r>
            <w:r>
              <w:rPr>
                <w:sz w:val="21"/>
              </w:rPr>
              <w:t>2024年</w:t>
            </w:r>
            <w:r>
              <w:rPr>
                <w:sz w:val="21"/>
              </w:rPr>
              <w:t>6</w:t>
            </w:r>
            <w:r>
              <w:rPr>
                <w:sz w:val="21"/>
              </w:rPr>
              <w:t>月</w:t>
            </w:r>
            <w:r>
              <w:rPr>
                <w:sz w:val="21"/>
              </w:rPr>
              <w:t>的</w:t>
            </w:r>
            <w:r>
              <w:rPr>
                <w:sz w:val="21"/>
              </w:rPr>
              <w:t>服务报告及其它相关文件，且这些报告和文件符合合同附件上的要求并被</w:t>
            </w:r>
            <w:r>
              <w:rPr>
                <w:sz w:val="21"/>
              </w:rPr>
              <w:t>采购人审批通过</w:t>
            </w:r>
            <w:r>
              <w:rPr>
                <w:sz w:val="21"/>
              </w:rPr>
              <w:t>后，</w:t>
            </w:r>
            <w:r>
              <w:rPr>
                <w:sz w:val="21"/>
              </w:rPr>
              <w:t>采购人</w:t>
            </w:r>
            <w:r>
              <w:rPr>
                <w:sz w:val="21"/>
              </w:rPr>
              <w:t>向财政部门提交拨款申请及相关资料，</w:t>
            </w:r>
            <w:r>
              <w:rPr>
                <w:sz w:val="21"/>
              </w:rPr>
              <w:t>在</w:t>
            </w:r>
            <w:r>
              <w:rPr>
                <w:sz w:val="21"/>
              </w:rPr>
              <w:t>15</w:t>
            </w:r>
            <w:r>
              <w:rPr>
                <w:sz w:val="21"/>
              </w:rPr>
              <w:t>个工作日内</w:t>
            </w:r>
            <w:r>
              <w:rPr>
                <w:sz w:val="21"/>
              </w:rPr>
              <w:t>支付合同总额</w:t>
            </w:r>
            <w:r>
              <w:rPr>
                <w:sz w:val="21"/>
              </w:rPr>
              <w:t>20%</w:t>
            </w:r>
            <w:r>
              <w:rPr>
                <w:sz w:val="21"/>
              </w:rPr>
              <w:t>给</w:t>
            </w:r>
            <w:r>
              <w:rPr>
                <w:sz w:val="21"/>
              </w:rPr>
              <w:t>中标人</w:t>
            </w:r>
            <w:r>
              <w:rPr>
                <w:sz w:val="21"/>
              </w:rPr>
              <w:t>；</w:t>
            </w:r>
          </w:p>
          <w:p>
            <w:pPr>
              <w:ind w:firstLine="420"/>
              <w:jc w:val="left"/>
            </w:pPr>
            <w:r>
              <w:rPr>
                <w:sz w:val="21"/>
              </w:rPr>
              <w:t>2</w:t>
            </w:r>
            <w:r>
              <w:rPr>
                <w:sz w:val="21"/>
              </w:rPr>
              <w:t>、第二期支付：</w:t>
            </w:r>
            <w:r>
              <w:rPr>
                <w:sz w:val="21"/>
              </w:rPr>
              <w:t>202</w:t>
            </w:r>
            <w:r>
              <w:rPr>
                <w:sz w:val="21"/>
              </w:rPr>
              <w:t>5</w:t>
            </w:r>
            <w:r>
              <w:rPr>
                <w:sz w:val="21"/>
              </w:rPr>
              <w:t>年</w:t>
            </w:r>
            <w:r>
              <w:rPr>
                <w:sz w:val="21"/>
              </w:rPr>
              <w:t>2</w:t>
            </w:r>
            <w:r>
              <w:rPr>
                <w:sz w:val="21"/>
              </w:rPr>
              <w:t>月</w:t>
            </w:r>
            <w:r>
              <w:rPr>
                <w:sz w:val="21"/>
              </w:rPr>
              <w:t>前</w:t>
            </w:r>
            <w:r>
              <w:rPr>
                <w:sz w:val="21"/>
              </w:rPr>
              <w:t>，在</w:t>
            </w:r>
            <w:r>
              <w:rPr>
                <w:sz w:val="21"/>
              </w:rPr>
              <w:t>中标人</w:t>
            </w:r>
            <w:r>
              <w:rPr>
                <w:sz w:val="21"/>
              </w:rPr>
              <w:t>已经提交自</w:t>
            </w:r>
            <w:r>
              <w:rPr>
                <w:sz w:val="21"/>
              </w:rPr>
              <w:t>2024年</w:t>
            </w:r>
            <w:r>
              <w:rPr>
                <w:sz w:val="21"/>
              </w:rPr>
              <w:t>7</w:t>
            </w:r>
            <w:r>
              <w:rPr>
                <w:sz w:val="21"/>
              </w:rPr>
              <w:t>月至</w:t>
            </w:r>
            <w:r>
              <w:rPr>
                <w:sz w:val="21"/>
              </w:rPr>
              <w:t>202</w:t>
            </w:r>
            <w:r>
              <w:rPr>
                <w:sz w:val="21"/>
              </w:rPr>
              <w:t>4</w:t>
            </w:r>
            <w:r>
              <w:rPr>
                <w:sz w:val="21"/>
              </w:rPr>
              <w:t>年</w:t>
            </w:r>
            <w:r>
              <w:rPr>
                <w:sz w:val="21"/>
              </w:rPr>
              <w:t>12</w:t>
            </w:r>
            <w:r>
              <w:rPr>
                <w:sz w:val="21"/>
              </w:rPr>
              <w:t>月</w:t>
            </w:r>
            <w:r>
              <w:rPr>
                <w:sz w:val="21"/>
              </w:rPr>
              <w:t>的</w:t>
            </w:r>
            <w:r>
              <w:rPr>
                <w:sz w:val="21"/>
              </w:rPr>
              <w:t>服务报告及其它相关文件，且这些报告和文件符合合同附件上的要求并被</w:t>
            </w:r>
            <w:r>
              <w:rPr>
                <w:sz w:val="21"/>
              </w:rPr>
              <w:t>采购人审批通过</w:t>
            </w:r>
            <w:r>
              <w:rPr>
                <w:sz w:val="21"/>
              </w:rPr>
              <w:t>后，</w:t>
            </w:r>
            <w:r>
              <w:rPr>
                <w:sz w:val="21"/>
              </w:rPr>
              <w:t>采购人</w:t>
            </w:r>
            <w:r>
              <w:rPr>
                <w:sz w:val="21"/>
              </w:rPr>
              <w:t>向财政部门提交拨款申请及相关资料，</w:t>
            </w:r>
            <w:r>
              <w:rPr>
                <w:sz w:val="21"/>
              </w:rPr>
              <w:t>在</w:t>
            </w:r>
            <w:r>
              <w:rPr>
                <w:sz w:val="21"/>
              </w:rPr>
              <w:t>15</w:t>
            </w:r>
            <w:r>
              <w:rPr>
                <w:sz w:val="21"/>
              </w:rPr>
              <w:t>个工作日内</w:t>
            </w:r>
            <w:r>
              <w:rPr>
                <w:sz w:val="21"/>
              </w:rPr>
              <w:t>支付合同总额</w:t>
            </w:r>
            <w:r>
              <w:rPr>
                <w:sz w:val="21"/>
              </w:rPr>
              <w:t>20</w:t>
            </w:r>
            <w:r>
              <w:rPr>
                <w:sz w:val="21"/>
              </w:rPr>
              <w:t>%给</w:t>
            </w:r>
            <w:r>
              <w:rPr>
                <w:sz w:val="21"/>
              </w:rPr>
              <w:t>中标人</w:t>
            </w:r>
            <w:r>
              <w:rPr>
                <w:sz w:val="21"/>
              </w:rPr>
              <w:t>；</w:t>
            </w:r>
          </w:p>
          <w:p>
            <w:pPr>
              <w:ind w:firstLine="420"/>
              <w:jc w:val="both"/>
            </w:pPr>
            <w:r>
              <w:rPr>
                <w:sz w:val="21"/>
              </w:rPr>
              <w:t>3</w:t>
            </w:r>
            <w:r>
              <w:rPr>
                <w:sz w:val="21"/>
              </w:rPr>
              <w:t>、第三期支付：</w:t>
            </w:r>
            <w:r>
              <w:rPr>
                <w:sz w:val="21"/>
              </w:rPr>
              <w:t>2025年</w:t>
            </w:r>
            <w:r>
              <w:rPr>
                <w:sz w:val="21"/>
              </w:rPr>
              <w:t>8</w:t>
            </w:r>
            <w:r>
              <w:rPr>
                <w:sz w:val="21"/>
              </w:rPr>
              <w:t>月</w:t>
            </w:r>
            <w:r>
              <w:rPr>
                <w:sz w:val="21"/>
              </w:rPr>
              <w:t>前</w:t>
            </w:r>
            <w:r>
              <w:rPr>
                <w:sz w:val="21"/>
              </w:rPr>
              <w:t>，在</w:t>
            </w:r>
            <w:r>
              <w:rPr>
                <w:sz w:val="21"/>
              </w:rPr>
              <w:t>中标人</w:t>
            </w:r>
            <w:r>
              <w:rPr>
                <w:sz w:val="21"/>
              </w:rPr>
              <w:t>已经提交</w:t>
            </w:r>
            <w:r>
              <w:rPr>
                <w:sz w:val="21"/>
              </w:rPr>
              <w:t>自</w:t>
            </w:r>
            <w:r>
              <w:rPr>
                <w:sz w:val="21"/>
              </w:rPr>
              <w:t>202</w:t>
            </w:r>
            <w:r>
              <w:rPr>
                <w:sz w:val="21"/>
              </w:rPr>
              <w:t>5</w:t>
            </w:r>
            <w:r>
              <w:rPr>
                <w:sz w:val="21"/>
              </w:rPr>
              <w:t>年</w:t>
            </w:r>
            <w:r>
              <w:rPr>
                <w:sz w:val="21"/>
              </w:rPr>
              <w:t>1</w:t>
            </w:r>
            <w:r>
              <w:rPr>
                <w:sz w:val="21"/>
              </w:rPr>
              <w:t>月</w:t>
            </w:r>
            <w:r>
              <w:rPr>
                <w:sz w:val="21"/>
              </w:rPr>
              <w:t>至</w:t>
            </w:r>
            <w:r>
              <w:rPr>
                <w:sz w:val="21"/>
              </w:rPr>
              <w:t>202</w:t>
            </w:r>
            <w:r>
              <w:rPr>
                <w:sz w:val="21"/>
              </w:rPr>
              <w:t>5</w:t>
            </w:r>
            <w:r>
              <w:rPr>
                <w:sz w:val="21"/>
              </w:rPr>
              <w:t>年</w:t>
            </w:r>
            <w:r>
              <w:rPr>
                <w:sz w:val="21"/>
              </w:rPr>
              <w:t>6</w:t>
            </w:r>
            <w:r>
              <w:rPr>
                <w:sz w:val="21"/>
              </w:rPr>
              <w:t>月</w:t>
            </w:r>
            <w:r>
              <w:rPr>
                <w:sz w:val="21"/>
              </w:rPr>
              <w:t>的</w:t>
            </w:r>
            <w:r>
              <w:rPr>
                <w:sz w:val="21"/>
              </w:rPr>
              <w:t>服务报告及其它相关文件，且这些报告和文件符合合同附件上的要求并被</w:t>
            </w:r>
            <w:r>
              <w:rPr>
                <w:sz w:val="21"/>
              </w:rPr>
              <w:t>采购人</w:t>
            </w:r>
            <w:r>
              <w:rPr>
                <w:sz w:val="21"/>
              </w:rPr>
              <w:t>审批通过</w:t>
            </w:r>
            <w:r>
              <w:rPr>
                <w:sz w:val="21"/>
              </w:rPr>
              <w:t>后的前提下，</w:t>
            </w:r>
            <w:r>
              <w:rPr>
                <w:sz w:val="21"/>
              </w:rPr>
              <w:t>采购人</w:t>
            </w:r>
            <w:r>
              <w:rPr>
                <w:sz w:val="21"/>
              </w:rPr>
              <w:t>向财政部门提交拨款申请及相关资料，</w:t>
            </w:r>
            <w:r>
              <w:rPr>
                <w:sz w:val="21"/>
              </w:rPr>
              <w:t>在</w:t>
            </w:r>
            <w:r>
              <w:rPr>
                <w:sz w:val="21"/>
              </w:rPr>
              <w:t>15</w:t>
            </w:r>
            <w:r>
              <w:rPr>
                <w:sz w:val="21"/>
              </w:rPr>
              <w:t>个工作日内</w:t>
            </w:r>
            <w:r>
              <w:rPr>
                <w:sz w:val="21"/>
              </w:rPr>
              <w:t>支付合同总额</w:t>
            </w:r>
            <w:r>
              <w:rPr>
                <w:sz w:val="21"/>
              </w:rPr>
              <w:t>30</w:t>
            </w:r>
            <w:r>
              <w:rPr>
                <w:sz w:val="21"/>
              </w:rPr>
              <w:t>%给</w:t>
            </w:r>
            <w:r>
              <w:rPr>
                <w:sz w:val="21"/>
              </w:rPr>
              <w:t>中标人</w:t>
            </w:r>
            <w:r>
              <w:rPr>
                <w:sz w:val="21"/>
              </w:rPr>
              <w:t>；</w:t>
            </w:r>
          </w:p>
          <w:p>
            <w:pPr>
              <w:ind w:firstLine="420"/>
              <w:jc w:val="both"/>
            </w:pPr>
            <w:r>
              <w:rPr>
                <w:sz w:val="21"/>
              </w:rPr>
              <w:t>4</w:t>
            </w:r>
            <w:r>
              <w:rPr>
                <w:sz w:val="21"/>
              </w:rPr>
              <w:t>、第四期支付：</w:t>
            </w:r>
            <w:r>
              <w:rPr>
                <w:sz w:val="21"/>
              </w:rPr>
              <w:t>202</w:t>
            </w:r>
            <w:r>
              <w:rPr>
                <w:sz w:val="21"/>
              </w:rPr>
              <w:t>6</w:t>
            </w:r>
            <w:r>
              <w:rPr>
                <w:sz w:val="21"/>
              </w:rPr>
              <w:t>年</w:t>
            </w:r>
            <w:r>
              <w:rPr>
                <w:sz w:val="21"/>
              </w:rPr>
              <w:t>8</w:t>
            </w:r>
            <w:r>
              <w:rPr>
                <w:sz w:val="21"/>
              </w:rPr>
              <w:t>月</w:t>
            </w:r>
            <w:r>
              <w:rPr>
                <w:sz w:val="21"/>
              </w:rPr>
              <w:t>前，在</w:t>
            </w:r>
            <w:r>
              <w:rPr>
                <w:sz w:val="21"/>
              </w:rPr>
              <w:t>中标人</w:t>
            </w:r>
            <w:r>
              <w:rPr>
                <w:sz w:val="21"/>
              </w:rPr>
              <w:t>提交服务总结报告和说明</w:t>
            </w:r>
            <w:r>
              <w:rPr>
                <w:sz w:val="21"/>
              </w:rPr>
              <w:t>及其它相关文件</w:t>
            </w:r>
            <w:r>
              <w:rPr>
                <w:sz w:val="21"/>
              </w:rPr>
              <w:t>并完全履行合同完毕且</w:t>
            </w:r>
            <w:r>
              <w:rPr>
                <w:sz w:val="21"/>
              </w:rPr>
              <w:t>采购人</w:t>
            </w:r>
            <w:r>
              <w:rPr>
                <w:sz w:val="21"/>
              </w:rPr>
              <w:t>验收通过后的</w:t>
            </w:r>
            <w:r>
              <w:rPr>
                <w:sz w:val="21"/>
              </w:rPr>
              <w:t>15个工作日内，</w:t>
            </w:r>
            <w:r>
              <w:rPr>
                <w:sz w:val="21"/>
              </w:rPr>
              <w:t>采购人</w:t>
            </w:r>
            <w:r>
              <w:rPr>
                <w:sz w:val="21"/>
              </w:rPr>
              <w:t>向财政部门提交拨款申请及相关资料，支付合同剩</w:t>
            </w:r>
            <w:r>
              <w:rPr>
                <w:sz w:val="21"/>
              </w:rPr>
              <w:t>余尾款，如有扣罚则需扣除相应金额</w:t>
            </w:r>
            <w:r>
              <w:rPr>
                <w:sz w:val="21"/>
              </w:rPr>
              <w:t>。</w:t>
            </w:r>
            <w:r>
              <w:rPr>
                <w:sz w:val="21"/>
              </w:rPr>
              <w:t xml:space="preserve"> </w:t>
            </w:r>
          </w:p>
          <w:p>
            <w:pPr>
              <w:ind w:firstLine="420"/>
              <w:jc w:val="both"/>
            </w:pPr>
            <w:r>
              <w:rPr>
                <w:sz w:val="21"/>
              </w:rPr>
              <w:t>6</w:t>
            </w:r>
            <w:r>
              <w:rPr>
                <w:sz w:val="21"/>
              </w:rPr>
              <w:t>、所有费用支付前中标人须向采购人开具对应款项的发票申请支付，采购人在上述规定时间内向政府采购支付部门提出支付申请手续后即视为采购人已经按期支付，具体到账时间以财政拨款时间为准。</w:t>
            </w:r>
          </w:p>
          <w:p>
            <w:pPr>
              <w:ind w:firstLine="420"/>
              <w:jc w:val="both"/>
            </w:pPr>
            <w:r>
              <w:rPr>
                <w:sz w:val="21"/>
              </w:rPr>
              <w:t>7</w:t>
            </w:r>
            <w:r>
              <w:rPr>
                <w:sz w:val="21"/>
              </w:rPr>
              <w:t>、</w:t>
            </w:r>
            <w:r>
              <w:rPr>
                <w:sz w:val="21"/>
              </w:rPr>
              <w:t>支付金额扣除</w:t>
            </w:r>
            <w:r>
              <w:rPr>
                <w:sz w:val="21"/>
              </w:rPr>
              <w:t>方式：服务期内进行</w:t>
            </w:r>
            <w:r>
              <w:rPr>
                <w:sz w:val="21"/>
              </w:rPr>
              <w:t>四</w:t>
            </w:r>
            <w:r>
              <w:rPr>
                <w:sz w:val="21"/>
              </w:rPr>
              <w:t>次考核，分别在第</w:t>
            </w:r>
            <w:r>
              <w:rPr>
                <w:sz w:val="21"/>
              </w:rPr>
              <w:t>一、</w:t>
            </w:r>
            <w:r>
              <w:rPr>
                <w:sz w:val="21"/>
              </w:rPr>
              <w:t>二、三、四期支付前一个月内启动考核，</w:t>
            </w:r>
            <w:r>
              <w:rPr>
                <w:sz w:val="21"/>
              </w:rPr>
              <w:t>如考核需要扣罚，扣罚</w:t>
            </w:r>
            <w:r>
              <w:rPr>
                <w:sz w:val="21"/>
              </w:rPr>
              <w:t>费用</w:t>
            </w:r>
            <w:r>
              <w:rPr>
                <w:sz w:val="21"/>
              </w:rPr>
              <w:t>在每</w:t>
            </w:r>
            <w:r>
              <w:rPr>
                <w:sz w:val="21"/>
              </w:rPr>
              <w:t>期</w:t>
            </w:r>
            <w:r>
              <w:rPr>
                <w:sz w:val="21"/>
              </w:rPr>
              <w:t>支付</w:t>
            </w:r>
            <w:r>
              <w:rPr>
                <w:sz w:val="21"/>
              </w:rPr>
              <w:t>的服务费</w:t>
            </w:r>
            <w:r>
              <w:rPr>
                <w:sz w:val="21"/>
              </w:rPr>
              <w:t>中</w:t>
            </w:r>
            <w:r>
              <w:rPr>
                <w:sz w:val="21"/>
              </w:rPr>
              <w:t>予以</w:t>
            </w:r>
            <w:r>
              <w:rPr>
                <w:sz w:val="21"/>
              </w:rPr>
              <w:t>扣除。按</w:t>
            </w:r>
            <w:r>
              <w:rPr>
                <w:sz w:val="21"/>
              </w:rPr>
              <w:t>5</w:t>
            </w:r>
            <w:r>
              <w:rPr>
                <w:sz w:val="21"/>
              </w:rPr>
              <w:t>个档次设置扣除款项，具体计算公式如下：</w:t>
            </w:r>
          </w:p>
          <w:p>
            <w:pPr>
              <w:jc w:val="both"/>
            </w:pPr>
            <w:r>
              <w:rPr>
                <w:sz w:val="21"/>
              </w:rPr>
              <w:t>应支付服务费</w:t>
            </w:r>
            <w:r>
              <w:rPr>
                <w:sz w:val="21"/>
              </w:rPr>
              <w:t>=</w:t>
            </w:r>
            <w:r>
              <w:rPr>
                <w:sz w:val="21"/>
              </w:rPr>
              <w:t>（</w:t>
            </w:r>
            <w:r>
              <w:rPr>
                <w:sz w:val="21"/>
              </w:rPr>
              <w:t>1-</w:t>
            </w:r>
            <w:r>
              <w:rPr>
                <w:sz w:val="21"/>
              </w:rPr>
              <w:t>扣除系数</w:t>
            </w:r>
            <w:r>
              <w:rPr>
                <w:sz w:val="21"/>
              </w:rPr>
              <w:t>）</w:t>
            </w:r>
            <w:r>
              <w:rPr>
                <w:sz w:val="21"/>
              </w:rPr>
              <w:t>*</w:t>
            </w:r>
            <w:r>
              <w:rPr>
                <w:sz w:val="21"/>
              </w:rPr>
              <w:t>当期支付</w:t>
            </w:r>
            <w:r>
              <w:rPr>
                <w:sz w:val="21"/>
              </w:rPr>
              <w:t>总额</w:t>
            </w:r>
          </w:p>
          <w:p>
            <w:pPr>
              <w:ind w:firstLine="420"/>
              <w:jc w:val="both"/>
            </w:pPr>
            <w:r>
              <w:rPr>
                <w:sz w:val="21"/>
              </w:rPr>
              <w:t>（</w:t>
            </w:r>
            <w:r>
              <w:rPr>
                <w:sz w:val="21"/>
              </w:rPr>
              <w:t>1</w:t>
            </w:r>
            <w:r>
              <w:rPr>
                <w:sz w:val="21"/>
              </w:rPr>
              <w:t>）</w:t>
            </w:r>
            <w:r>
              <w:rPr>
                <w:sz w:val="21"/>
              </w:rPr>
              <w:t>85</w:t>
            </w:r>
            <w:r>
              <w:rPr>
                <w:sz w:val="21"/>
              </w:rPr>
              <w:t>分及以上，无需扣除；</w:t>
            </w:r>
          </w:p>
          <w:p>
            <w:pPr>
              <w:ind w:firstLine="420"/>
              <w:jc w:val="both"/>
            </w:pPr>
            <w:r>
              <w:rPr>
                <w:sz w:val="21"/>
              </w:rPr>
              <w:t>（</w:t>
            </w:r>
            <w:r>
              <w:rPr>
                <w:sz w:val="21"/>
              </w:rPr>
              <w:t>2</w:t>
            </w:r>
            <w:r>
              <w:rPr>
                <w:sz w:val="21"/>
              </w:rPr>
              <w:t>）</w:t>
            </w:r>
            <w:r>
              <w:rPr>
                <w:sz w:val="21"/>
              </w:rPr>
              <w:t>80-85</w:t>
            </w:r>
            <w:r>
              <w:rPr>
                <w:sz w:val="21"/>
              </w:rPr>
              <w:t>分，扣除系数为</w:t>
            </w:r>
            <w:r>
              <w:rPr>
                <w:sz w:val="21"/>
              </w:rPr>
              <w:t>10</w:t>
            </w:r>
            <w:r>
              <w:rPr>
                <w:sz w:val="21"/>
              </w:rPr>
              <w:t>%</w:t>
            </w:r>
            <w:r>
              <w:rPr>
                <w:sz w:val="21"/>
              </w:rPr>
              <w:t>；</w:t>
            </w:r>
          </w:p>
          <w:p>
            <w:pPr>
              <w:ind w:firstLine="420"/>
              <w:jc w:val="both"/>
            </w:pPr>
            <w:r>
              <w:rPr>
                <w:sz w:val="21"/>
              </w:rPr>
              <w:t>（</w:t>
            </w:r>
            <w:r>
              <w:rPr>
                <w:sz w:val="21"/>
              </w:rPr>
              <w:t>3</w:t>
            </w:r>
            <w:r>
              <w:rPr>
                <w:sz w:val="21"/>
              </w:rPr>
              <w:t>）</w:t>
            </w:r>
            <w:r>
              <w:rPr>
                <w:sz w:val="21"/>
              </w:rPr>
              <w:t>70-79</w:t>
            </w:r>
            <w:r>
              <w:rPr>
                <w:sz w:val="21"/>
              </w:rPr>
              <w:t>分，扣除系数为</w:t>
            </w:r>
            <w:r>
              <w:rPr>
                <w:sz w:val="21"/>
              </w:rPr>
              <w:t>20</w:t>
            </w:r>
            <w:r>
              <w:rPr>
                <w:sz w:val="21"/>
              </w:rPr>
              <w:t>%</w:t>
            </w:r>
            <w:r>
              <w:rPr>
                <w:sz w:val="21"/>
              </w:rPr>
              <w:t>；</w:t>
            </w:r>
          </w:p>
          <w:p>
            <w:pPr>
              <w:ind w:firstLine="420"/>
              <w:jc w:val="both"/>
            </w:pPr>
            <w:r>
              <w:rPr>
                <w:sz w:val="21"/>
              </w:rPr>
              <w:t>（</w:t>
            </w:r>
            <w:r>
              <w:rPr>
                <w:sz w:val="21"/>
              </w:rPr>
              <w:t>4</w:t>
            </w:r>
            <w:r>
              <w:rPr>
                <w:sz w:val="21"/>
              </w:rPr>
              <w:t>）</w:t>
            </w:r>
            <w:r>
              <w:rPr>
                <w:sz w:val="21"/>
              </w:rPr>
              <w:t>60-69</w:t>
            </w:r>
            <w:r>
              <w:rPr>
                <w:sz w:val="21"/>
              </w:rPr>
              <w:t>分，扣除系数为</w:t>
            </w:r>
            <w:r>
              <w:rPr>
                <w:sz w:val="21"/>
              </w:rPr>
              <w:t>3</w:t>
            </w:r>
            <w:r>
              <w:rPr>
                <w:sz w:val="21"/>
              </w:rPr>
              <w:t>0%</w:t>
            </w:r>
            <w:r>
              <w:rPr>
                <w:sz w:val="21"/>
              </w:rPr>
              <w:t>；</w:t>
            </w:r>
          </w:p>
          <w:p>
            <w:pPr>
              <w:ind w:firstLine="420"/>
              <w:jc w:val="both"/>
            </w:pPr>
            <w:r>
              <w:rPr>
                <w:sz w:val="21"/>
              </w:rPr>
              <w:t>（</w:t>
            </w:r>
            <w:r>
              <w:rPr>
                <w:sz w:val="21"/>
              </w:rPr>
              <w:t>5</w:t>
            </w:r>
            <w:r>
              <w:rPr>
                <w:sz w:val="21"/>
              </w:rPr>
              <w:t>）</w:t>
            </w:r>
            <w:r>
              <w:rPr>
                <w:sz w:val="21"/>
              </w:rPr>
              <w:t>60</w:t>
            </w:r>
            <w:r>
              <w:rPr>
                <w:sz w:val="21"/>
              </w:rPr>
              <w:t>分以下，扣除系数为</w:t>
            </w:r>
            <w:r>
              <w:rPr>
                <w:sz w:val="21"/>
              </w:rPr>
              <w:t>5</w:t>
            </w:r>
            <w:r>
              <w:rPr>
                <w:sz w:val="21"/>
              </w:rPr>
              <w:t>0%</w:t>
            </w:r>
            <w:r>
              <w:rPr>
                <w:sz w:val="21"/>
              </w:rPr>
              <w:t>；</w:t>
            </w:r>
            <w:r>
              <w:rPr>
                <w:sz w:val="21"/>
              </w:rPr>
              <w:t>采购人</w:t>
            </w:r>
            <w:r>
              <w:rPr>
                <w:sz w:val="21"/>
              </w:rPr>
              <w:t>可视情况无条件</w:t>
            </w:r>
            <w:r>
              <w:rPr>
                <w:sz w:val="21"/>
              </w:rPr>
              <w:t>解除</w:t>
            </w:r>
            <w:r>
              <w:rPr>
                <w:sz w:val="21"/>
              </w:rPr>
              <w:t>合同，</w:t>
            </w:r>
            <w:r>
              <w:rPr>
                <w:sz w:val="21"/>
              </w:rPr>
              <w:t>因此给采购人造成</w:t>
            </w:r>
            <w:r>
              <w:rPr>
                <w:sz w:val="21"/>
              </w:rPr>
              <w:t>的损失由</w:t>
            </w:r>
            <w:r>
              <w:rPr>
                <w:sz w:val="21"/>
              </w:rPr>
              <w:t>中标人</w:t>
            </w:r>
            <w:r>
              <w:rPr>
                <w:sz w:val="21"/>
              </w:rPr>
              <w:t>负责赔偿。</w:t>
            </w:r>
          </w:p>
        </w:tc>
      </w:tr>
      <w:tr>
        <w:tc>
          <w:tcPr>
            <w:tcW w:type="dxa" w:w="2076"/>
          </w:tcPr>
          <w:p/>
        </w:tc>
        <w:tc>
          <w:tcPr>
            <w:tcW w:type="dxa" w:w="415"/>
          </w:tcPr>
          <w:p>
            <w:r>
              <w:rPr/>
              <w:t>6</w:t>
            </w:r>
          </w:p>
        </w:tc>
        <w:tc>
          <w:tcPr>
            <w:tcW w:type="dxa" w:w="5814"/>
          </w:tcPr>
          <w:p>
            <w:pPr>
              <w:jc w:val="left"/>
            </w:pPr>
            <w:r>
              <w:rPr>
                <w:b/>
                <w:sz w:val="21"/>
              </w:rPr>
              <w:t>6.</w:t>
            </w:r>
            <w:r>
              <w:rPr>
                <w:b/>
                <w:sz w:val="21"/>
              </w:rPr>
              <w:t>述标</w:t>
            </w:r>
          </w:p>
          <w:p>
            <w:pPr>
              <w:jc w:val="both"/>
            </w:pPr>
            <w:r>
              <w:rPr>
                <w:sz w:val="21"/>
              </w:rPr>
              <w:t>（</w:t>
            </w:r>
            <w:r>
              <w:rPr>
                <w:sz w:val="21"/>
              </w:rPr>
              <w:t>1</w:t>
            </w:r>
            <w:r>
              <w:rPr>
                <w:sz w:val="21"/>
              </w:rPr>
              <w:t>）</w:t>
            </w:r>
            <w:r>
              <w:rPr>
                <w:sz w:val="21"/>
              </w:rPr>
              <w:t>本项目设置</w:t>
            </w:r>
            <w:r>
              <w:rPr>
                <w:sz w:val="21"/>
              </w:rPr>
              <w:t>述标</w:t>
            </w:r>
            <w:r>
              <w:rPr>
                <w:sz w:val="21"/>
              </w:rPr>
              <w:t>环节，</w:t>
            </w:r>
            <w:r>
              <w:rPr>
                <w:sz w:val="21"/>
              </w:rPr>
              <w:t>投标人</w:t>
            </w:r>
            <w:r>
              <w:rPr>
                <w:sz w:val="21"/>
              </w:rPr>
              <w:t>需按</w:t>
            </w:r>
            <w:r>
              <w:rPr>
                <w:sz w:val="21"/>
              </w:rPr>
              <w:t>招标文件</w:t>
            </w:r>
            <w:r>
              <w:rPr>
                <w:sz w:val="21"/>
              </w:rPr>
              <w:t>详细评审</w:t>
            </w:r>
            <w:r>
              <w:rPr>
                <w:sz w:val="21"/>
              </w:rPr>
              <w:t>-</w:t>
            </w:r>
            <w:r>
              <w:rPr>
                <w:sz w:val="21"/>
              </w:rPr>
              <w:t>技术部分</w:t>
            </w:r>
            <w:r>
              <w:rPr>
                <w:sz w:val="21"/>
              </w:rPr>
              <w:t>-“</w:t>
            </w:r>
            <w:r>
              <w:rPr>
                <w:sz w:val="21"/>
              </w:rPr>
              <w:t>述标</w:t>
            </w:r>
            <w:r>
              <w:rPr>
                <w:sz w:val="21"/>
              </w:rPr>
              <w:t>”</w:t>
            </w:r>
            <w:r>
              <w:rPr>
                <w:sz w:val="21"/>
              </w:rPr>
              <w:t>要求的内容</w:t>
            </w:r>
            <w:r>
              <w:rPr>
                <w:sz w:val="21"/>
              </w:rPr>
              <w:t>准备资料</w:t>
            </w:r>
            <w:r>
              <w:rPr>
                <w:sz w:val="21"/>
              </w:rPr>
              <w:t>。</w:t>
            </w:r>
          </w:p>
          <w:p>
            <w:pPr>
              <w:jc w:val="both"/>
            </w:pPr>
            <w:r>
              <w:rPr>
                <w:sz w:val="21"/>
              </w:rPr>
              <w:t>（</w:t>
            </w:r>
            <w:r>
              <w:rPr>
                <w:sz w:val="21"/>
              </w:rPr>
              <w:t>2</w:t>
            </w:r>
            <w:r>
              <w:rPr>
                <w:sz w:val="21"/>
              </w:rPr>
              <w:t>）</w:t>
            </w:r>
            <w:r>
              <w:rPr>
                <w:sz w:val="21"/>
              </w:rPr>
              <w:t>述标</w:t>
            </w:r>
            <w:r>
              <w:rPr>
                <w:sz w:val="21"/>
              </w:rPr>
              <w:t>方式：因评标现场无法提供联网服务，也不允许携带手机等通讯设备，只允许脱机</w:t>
            </w:r>
            <w:r>
              <w:rPr>
                <w:sz w:val="21"/>
              </w:rPr>
              <w:t>述标</w:t>
            </w:r>
            <w:r>
              <w:rPr>
                <w:sz w:val="21"/>
              </w:rPr>
              <w:t>，</w:t>
            </w:r>
            <w:r>
              <w:rPr>
                <w:sz w:val="21"/>
              </w:rPr>
              <w:t>投标人</w:t>
            </w:r>
            <w:r>
              <w:rPr>
                <w:sz w:val="21"/>
              </w:rPr>
              <w:t>需自行准备</w:t>
            </w:r>
            <w:r>
              <w:rPr>
                <w:sz w:val="21"/>
              </w:rPr>
              <w:t>述标</w:t>
            </w:r>
            <w:r>
              <w:rPr>
                <w:sz w:val="21"/>
              </w:rPr>
              <w:t>相关必要设备，评审现场仅提供</w:t>
            </w:r>
            <w:r>
              <w:rPr>
                <w:sz w:val="21"/>
              </w:rPr>
              <w:t>VGA</w:t>
            </w:r>
            <w:r>
              <w:rPr>
                <w:sz w:val="21"/>
              </w:rPr>
              <w:t>/HDMI</w:t>
            </w:r>
            <w:r>
              <w:rPr>
                <w:sz w:val="21"/>
              </w:rPr>
              <w:t>接口投影仪，请自行准备接口转换器。如需使用移动终端实现</w:t>
            </w:r>
            <w:r>
              <w:rPr>
                <w:sz w:val="21"/>
              </w:rPr>
              <w:t>述标</w:t>
            </w:r>
            <w:r>
              <w:rPr>
                <w:sz w:val="21"/>
              </w:rPr>
              <w:t>功能的，建议使用平板电脑等非手机移动终端。</w:t>
            </w:r>
          </w:p>
          <w:p>
            <w:pPr>
              <w:jc w:val="both"/>
            </w:pPr>
            <w:r>
              <w:rPr>
                <w:sz w:val="21"/>
              </w:rPr>
              <w:t>（</w:t>
            </w:r>
            <w:r>
              <w:rPr>
                <w:sz w:val="21"/>
              </w:rPr>
              <w:t>3</w:t>
            </w:r>
            <w:r>
              <w:rPr>
                <w:sz w:val="21"/>
              </w:rPr>
              <w:t>）</w:t>
            </w:r>
            <w:r>
              <w:rPr>
                <w:sz w:val="21"/>
              </w:rPr>
              <w:t>述标</w:t>
            </w:r>
            <w:r>
              <w:rPr>
                <w:sz w:val="21"/>
              </w:rPr>
              <w:t>地点：中山市博爱六路</w:t>
            </w:r>
            <w:r>
              <w:rPr>
                <w:sz w:val="21"/>
              </w:rPr>
              <w:t>22</w:t>
            </w:r>
            <w:r>
              <w:rPr>
                <w:sz w:val="21"/>
              </w:rPr>
              <w:t>号政务服务中心二楼中山市公共资源交易中心评标室。</w:t>
            </w:r>
          </w:p>
          <w:p>
            <w:pPr>
              <w:jc w:val="both"/>
            </w:pPr>
            <w:r>
              <w:rPr>
                <w:sz w:val="21"/>
              </w:rPr>
              <w:t>（</w:t>
            </w:r>
            <w:r>
              <w:rPr>
                <w:sz w:val="21"/>
              </w:rPr>
              <w:t>4</w:t>
            </w:r>
            <w:r>
              <w:rPr>
                <w:sz w:val="21"/>
              </w:rPr>
              <w:t>）</w:t>
            </w:r>
            <w:r>
              <w:rPr>
                <w:sz w:val="21"/>
              </w:rPr>
              <w:t>述标</w:t>
            </w:r>
            <w:r>
              <w:rPr>
                <w:sz w:val="21"/>
              </w:rPr>
              <w:t>时间：每</w:t>
            </w:r>
            <w:r>
              <w:rPr>
                <w:sz w:val="21"/>
              </w:rPr>
              <w:t>个</w:t>
            </w:r>
            <w:r>
              <w:rPr>
                <w:sz w:val="21"/>
              </w:rPr>
              <w:t>投标人</w:t>
            </w:r>
            <w:r>
              <w:rPr>
                <w:sz w:val="21"/>
              </w:rPr>
              <w:t>述标</w:t>
            </w:r>
            <w:r>
              <w:rPr>
                <w:sz w:val="21"/>
              </w:rPr>
              <w:t>不得超过</w:t>
            </w:r>
            <w:r>
              <w:rPr>
                <w:sz w:val="21"/>
              </w:rPr>
              <w:t>45</w:t>
            </w:r>
            <w:r>
              <w:rPr>
                <w:sz w:val="21"/>
              </w:rPr>
              <w:t>分钟。因本项目为远程现场</w:t>
            </w:r>
            <w:r>
              <w:rPr>
                <w:sz w:val="21"/>
              </w:rPr>
              <w:t>投标</w:t>
            </w:r>
            <w:r>
              <w:rPr>
                <w:sz w:val="21"/>
              </w:rPr>
              <w:t>，</w:t>
            </w:r>
            <w:r>
              <w:rPr>
                <w:sz w:val="21"/>
              </w:rPr>
              <w:t>述标</w:t>
            </w:r>
            <w:r>
              <w:rPr>
                <w:sz w:val="21"/>
              </w:rPr>
              <w:t>环节在资格性审查</w:t>
            </w:r>
            <w:r>
              <w:rPr>
                <w:sz w:val="21"/>
              </w:rPr>
              <w:t>-</w:t>
            </w:r>
            <w:r>
              <w:rPr>
                <w:sz w:val="21"/>
              </w:rPr>
              <w:t>符合性审查</w:t>
            </w:r>
            <w:r>
              <w:rPr>
                <w:sz w:val="21"/>
              </w:rPr>
              <w:t>-</w:t>
            </w:r>
            <w:r>
              <w:rPr>
                <w:sz w:val="21"/>
              </w:rPr>
              <w:t>商务评审结束后的技术评审阶段，参与现场</w:t>
            </w:r>
            <w:r>
              <w:rPr>
                <w:sz w:val="21"/>
              </w:rPr>
              <w:t>述标</w:t>
            </w:r>
            <w:r>
              <w:rPr>
                <w:sz w:val="21"/>
              </w:rPr>
              <w:t>的</w:t>
            </w:r>
            <w:r>
              <w:rPr>
                <w:sz w:val="21"/>
              </w:rPr>
              <w:t>投标人</w:t>
            </w:r>
            <w:r>
              <w:rPr>
                <w:sz w:val="21"/>
              </w:rPr>
              <w:t>请在</w:t>
            </w:r>
            <w:r>
              <w:rPr>
                <w:sz w:val="21"/>
              </w:rPr>
              <w:t>投标</w:t>
            </w:r>
            <w:r>
              <w:rPr>
                <w:sz w:val="21"/>
              </w:rPr>
              <w:t>当天合理时间内提前到达本项目对应开标室现场等待</w:t>
            </w:r>
            <w:r>
              <w:rPr>
                <w:sz w:val="21"/>
              </w:rPr>
              <w:t>述标</w:t>
            </w:r>
            <w:r>
              <w:rPr>
                <w:sz w:val="21"/>
              </w:rPr>
              <w:t>并保持电话畅通（具体开标室详见</w:t>
            </w:r>
            <w:r>
              <w:rPr>
                <w:sz w:val="21"/>
              </w:rPr>
              <w:t>投标</w:t>
            </w:r>
            <w:r>
              <w:rPr>
                <w:sz w:val="21"/>
              </w:rPr>
              <w:t>当天开标大厅大屏幕）。</w:t>
            </w:r>
            <w:r>
              <w:rPr>
                <w:sz w:val="21"/>
              </w:rPr>
              <w:t>投标人</w:t>
            </w:r>
            <w:r>
              <w:rPr>
                <w:sz w:val="21"/>
              </w:rPr>
              <w:t>请自行判断到达时间，如提交进场</w:t>
            </w:r>
            <w:r>
              <w:rPr>
                <w:sz w:val="21"/>
              </w:rPr>
              <w:t>述标</w:t>
            </w:r>
            <w:r>
              <w:rPr>
                <w:sz w:val="21"/>
              </w:rPr>
              <w:t>申请的</w:t>
            </w:r>
            <w:r>
              <w:rPr>
                <w:sz w:val="21"/>
              </w:rPr>
              <w:t>投标人</w:t>
            </w:r>
            <w:r>
              <w:rPr>
                <w:sz w:val="21"/>
              </w:rPr>
              <w:t>在代理机构电话通知</w:t>
            </w:r>
            <w:r>
              <w:rPr>
                <w:sz w:val="21"/>
              </w:rPr>
              <w:t>述标</w:t>
            </w:r>
            <w:r>
              <w:rPr>
                <w:sz w:val="21"/>
              </w:rPr>
              <w:t>超过</w:t>
            </w:r>
            <w:r>
              <w:rPr>
                <w:sz w:val="21"/>
              </w:rPr>
              <w:t>10</w:t>
            </w:r>
            <w:r>
              <w:rPr>
                <w:sz w:val="21"/>
              </w:rPr>
              <w:t>分钟仍未前往评标室进行</w:t>
            </w:r>
            <w:r>
              <w:rPr>
                <w:sz w:val="21"/>
              </w:rPr>
              <w:t>述标</w:t>
            </w:r>
            <w:r>
              <w:rPr>
                <w:sz w:val="21"/>
              </w:rPr>
              <w:t>的，视为自动放弃</w:t>
            </w:r>
            <w:r>
              <w:rPr>
                <w:sz w:val="21"/>
              </w:rPr>
              <w:t>述标</w:t>
            </w:r>
            <w:r>
              <w:rPr>
                <w:sz w:val="21"/>
              </w:rPr>
              <w:t>不予得分）</w:t>
            </w:r>
          </w:p>
          <w:p>
            <w:pPr>
              <w:jc w:val="both"/>
            </w:pPr>
            <w:r>
              <w:rPr>
                <w:sz w:val="21"/>
              </w:rPr>
              <w:t>（</w:t>
            </w:r>
            <w:r>
              <w:rPr>
                <w:sz w:val="21"/>
              </w:rPr>
              <w:t>5</w:t>
            </w:r>
            <w:r>
              <w:rPr>
                <w:sz w:val="21"/>
              </w:rPr>
              <w:t>）</w:t>
            </w:r>
            <w:r>
              <w:rPr>
                <w:sz w:val="21"/>
              </w:rPr>
              <w:t>述标</w:t>
            </w:r>
            <w:r>
              <w:rPr>
                <w:sz w:val="21"/>
              </w:rPr>
              <w:t>顺序：按广东省政府采购开标大厅已签到</w:t>
            </w:r>
            <w:r>
              <w:rPr>
                <w:sz w:val="21"/>
              </w:rPr>
              <w:t>投标人</w:t>
            </w:r>
            <w:r>
              <w:rPr>
                <w:sz w:val="21"/>
              </w:rPr>
              <w:t>序号进行</w:t>
            </w:r>
            <w:r>
              <w:rPr>
                <w:sz w:val="21"/>
              </w:rPr>
              <w:t>述标</w:t>
            </w:r>
            <w:r>
              <w:rPr>
                <w:sz w:val="21"/>
              </w:rPr>
              <w:t>。</w:t>
            </w:r>
          </w:p>
          <w:p>
            <w:pPr>
              <w:jc w:val="both"/>
            </w:pPr>
            <w:r>
              <w:rPr>
                <w:sz w:val="21"/>
              </w:rPr>
              <w:t>（</w:t>
            </w:r>
            <w:r>
              <w:rPr>
                <w:sz w:val="21"/>
              </w:rPr>
              <w:t>6</w:t>
            </w:r>
            <w:r>
              <w:rPr>
                <w:sz w:val="21"/>
              </w:rPr>
              <w:t>）</w:t>
            </w:r>
            <w:r>
              <w:rPr>
                <w:sz w:val="21"/>
              </w:rPr>
              <w:t>授权委托：参与</w:t>
            </w:r>
            <w:r>
              <w:rPr>
                <w:sz w:val="21"/>
              </w:rPr>
              <w:t>述标</w:t>
            </w:r>
            <w:r>
              <w:rPr>
                <w:sz w:val="21"/>
              </w:rPr>
              <w:t>人员须携带有效授权委托书</w:t>
            </w:r>
            <w:r>
              <w:rPr>
                <w:sz w:val="21"/>
              </w:rPr>
              <w:t>和</w:t>
            </w:r>
            <w:r>
              <w:rPr>
                <w:sz w:val="21"/>
              </w:rPr>
              <w:t>身份证，</w:t>
            </w:r>
            <w:r>
              <w:rPr>
                <w:sz w:val="21"/>
              </w:rPr>
              <w:t>述标</w:t>
            </w:r>
            <w:r>
              <w:rPr>
                <w:sz w:val="21"/>
              </w:rPr>
              <w:t>人员至多</w:t>
            </w:r>
            <w:r>
              <w:rPr>
                <w:sz w:val="21"/>
              </w:rPr>
              <w:t>2</w:t>
            </w:r>
            <w:r>
              <w:rPr>
                <w:sz w:val="21"/>
              </w:rPr>
              <w:t>人。</w:t>
            </w:r>
          </w:p>
        </w:tc>
      </w:tr>
      <w:tr>
        <w:tc>
          <w:tcPr>
            <w:tcW w:type="dxa" w:w="2076"/>
          </w:tcPr>
          <w:p/>
        </w:tc>
        <w:tc>
          <w:tcPr>
            <w:tcW w:type="dxa" w:w="415"/>
          </w:tcPr>
          <w:p>
            <w:r>
              <w:rPr/>
              <w:t>7</w:t>
            </w:r>
          </w:p>
        </w:tc>
        <w:tc>
          <w:tcPr>
            <w:tcW w:type="dxa" w:w="5814"/>
          </w:tcPr>
          <w:p>
            <w:pPr>
              <w:jc w:val="left"/>
            </w:pPr>
            <w:r>
              <w:rPr>
                <w:sz w:val="21"/>
              </w:rPr>
              <w:t>7.</w:t>
            </w:r>
            <w:r>
              <w:rPr>
                <w:sz w:val="21"/>
              </w:rPr>
              <w:t>其他</w:t>
            </w:r>
          </w:p>
          <w:p>
            <w:pPr>
              <w:ind w:firstLine="420"/>
              <w:jc w:val="left"/>
            </w:pPr>
            <w:r>
              <w:rPr>
                <w:sz w:val="21"/>
              </w:rPr>
              <w:t>投标人如需要采购人提供城市智慧大脑项目相关资料的，</w:t>
            </w:r>
            <w:r>
              <w:rPr>
                <w:sz w:val="21"/>
              </w:rPr>
              <w:t>可在投标截止时间前</w:t>
            </w:r>
            <w:r>
              <w:rPr>
                <w:sz w:val="21"/>
              </w:rPr>
              <w:t>7</w:t>
            </w:r>
            <w:r>
              <w:rPr>
                <w:sz w:val="21"/>
              </w:rPr>
              <w:t>天</w:t>
            </w:r>
            <w:r>
              <w:rPr>
                <w:sz w:val="21"/>
              </w:rPr>
              <w:t>（</w:t>
            </w:r>
            <w:r>
              <w:rPr>
                <w:sz w:val="21"/>
              </w:rPr>
              <w:t>2023</w:t>
            </w:r>
            <w:r>
              <w:rPr>
                <w:sz w:val="21"/>
              </w:rPr>
              <w:t>年</w:t>
            </w:r>
            <w:r>
              <w:rPr>
                <w:sz w:val="21"/>
              </w:rPr>
              <w:t>1</w:t>
            </w:r>
            <w:r>
              <w:rPr>
                <w:sz w:val="21"/>
              </w:rPr>
              <w:t>2</w:t>
            </w:r>
            <w:r>
              <w:rPr>
                <w:sz w:val="21"/>
              </w:rPr>
              <w:t>月</w:t>
            </w:r>
            <w:r>
              <w:rPr>
                <w:sz w:val="21"/>
              </w:rPr>
              <w:t>07</w:t>
            </w:r>
            <w:r>
              <w:rPr>
                <w:sz w:val="21"/>
              </w:rPr>
              <w:t>日）</w:t>
            </w:r>
            <w:r>
              <w:rPr>
                <w:sz w:val="21"/>
              </w:rPr>
              <w:t>内以书面形式向采购人</w:t>
            </w:r>
            <w:r>
              <w:rPr>
                <w:sz w:val="21"/>
              </w:rPr>
              <w:t>/</w:t>
            </w:r>
            <w:r>
              <w:rPr>
                <w:sz w:val="21"/>
              </w:rPr>
              <w:t>采购代理提出申请。</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中山市政务服务数据管理局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质押融资，关于中山市政府采购支持中小微企业质押融资优惠政策，1.根据《中国人民银行中山市中心支行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黄先生</w:t>
      </w:r>
    </w:p>
    <w:p>
      <w:pPr>
        <w:ind w:firstLine="480"/>
      </w:pPr>
      <w:r>
        <w:rPr/>
        <w:t>电话：</w:t>
      </w:r>
      <w:r>
        <w:rPr/>
        <w:t>0760-88811601、88808187</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中山市东区中山四路亨尾大街3号软件园东园区2楼22室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城市智慧大脑运维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采购包1（中山市城市智慧大脑运维服务项目）：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采购包1（中山市城市智慧大脑运维服务项目）：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供应商必须具有良好的商业信誉和健全的财务会计制度（提供2022年财务报告（或2023年任意一个月份财务报表）关键页或由基本开户银行出具的资信证明）。</w:t>
            </w:r>
          </w:p>
        </w:tc>
      </w:tr>
      <w:tr>
        <w:tc>
          <w:tcPr>
            <w:tcW w:type="dxa" w:w="890"/>
          </w:tcPr>
          <w:p>
            <w:r>
              <w:rPr/>
              <w:t>4</w:t>
            </w:r>
          </w:p>
        </w:tc>
        <w:tc>
          <w:tcPr>
            <w:tcW w:type="dxa" w:w="3178"/>
          </w:tcPr>
          <w:p>
            <w:r>
              <w:rPr/>
              <w:t>履行合同所必需的设备和专业技术能力</w:t>
            </w:r>
          </w:p>
        </w:tc>
        <w:tc>
          <w:tcPr>
            <w:tcW w:type="dxa" w:w="4238"/>
          </w:tcPr>
          <w:p>
            <w:r>
              <w:rPr/>
              <w:t>需同时提供设备及专业技术能力（人员）两类信息，格式自拟。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采购包1（中山市城市智慧大脑运维服务项目）：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采购包1(中山市城市智慧大脑运维服务项目):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对项目的理解程度 (5.0分)</w:t>
            </w:r>
          </w:p>
        </w:tc>
        <w:tc>
          <w:tcPr>
            <w:tcW w:type="dxa" w:w="5076"/>
          </w:tcPr>
          <w:p>
            <w:pPr>
              <w:jc w:val="left"/>
            </w:pPr>
            <w:r>
              <w:rPr/>
              <w:t>考察投标人对运营维护服务内容总体理解程度，包括项目背景、需求理解、现状分析（系统架构、数据架构、指标体系、安全体系、技术路线）、运营目标、运营思路。 一、对运维服务内容进行评审：（2分） （1）描述的内容包括：项目背景、需求理解、现状分析（系统架构、数据架构、指标体系、安全体系、技术路线）、运营目标、运营思路得2分，每缺失1项扣0.4分。 二、对项目理解程度进行评审：（3分） （1）能准确理解并详细完整描述项目背景、需求理解，对现状分析（系统架构、数据架构、指标体系、安全体系、技术路线）描述完整，运营目标明确、运营思路清晰，完全满足采购人需求的，得3分； （2）能对项目背景、需求理解、现状分析（系统架构、数据架构、指标体系、安全体系、技术路线）、运营目标、运营思路进行描述，但有偏差或缺失，或现状分析与实际有偏差，并未能准确完整地进行描述，项目理解一般，得1.5分； （3）无相关内容，得0分。</w:t>
            </w:r>
          </w:p>
        </w:tc>
      </w:tr>
      <w:tr>
        <w:tc>
          <w:tcPr>
            <w:tcW w:type="dxa" w:w="922"/>
            <w:gridSpan w:val="2"/>
            <w:vMerge/>
          </w:tcPr>
          <w:p/>
        </w:tc>
        <w:tc>
          <w:tcPr>
            <w:tcW w:type="dxa" w:w="2307"/>
          </w:tcPr>
          <w:p>
            <w:pPr>
              <w:jc w:val="left"/>
            </w:pPr>
            <w:r>
              <w:rPr/>
              <w:t>专题运营方案 (15.0分)</w:t>
            </w:r>
          </w:p>
        </w:tc>
        <w:tc>
          <w:tcPr>
            <w:tcW w:type="dxa" w:w="5076"/>
          </w:tcPr>
          <w:p>
            <w:pPr>
              <w:jc w:val="left"/>
            </w:pPr>
            <w:r>
              <w:rPr/>
              <w:t>考察投标人专题运营方案，包括专题日常维护及迭代、省市对接、新需求响应、故障处理、应用推广。重点包括大中小屏省市对接、根据部门需求及高质量发展重点工作要求建立新专题或新页面。要求方案合理、可落地性强。 一、对专题运营方案内容进行评审：（2分） （1）描述的内容包括：专题日常维护及迭代、省市对接、新需求响应、故障处理、应用推广得2分，每缺失1项扣0.4分。 二、投标人对中山市城市智慧大脑大、中、小屏省市对接方案进行评审，包括省市对接总体技术方案、用户体系适配、可视化效果适配、数据一致性。（5分） （1）投标人能准确提出大、中、小屏专题部分省市对接的总体技术方案、用户体系适配、可视化效果适配、数据一致性运营方案，内容完整详细，符合项目实际，可落地性强，得5分； （2）投标人基本提出大、中、小屏专题部分省市对接的总体技术方案、用户体系适配、可视化效果适配、数据一致性运营方案，或有缺失或内容部分不全或不符合实际，部分内容存在不能完全满足项目落地的情况，得3分； （3）无相关内容，得0分。 三、对投标人响应部门需求建立新专题及新页面建设方案进行评审，包括指标体系设计、数源治理、数图交互、使能平台的对接及应用。（4分） （1）投标人能准确就响应部门提出建立新专题及新页面建设需求作出指标体系设计、数源治理、数图交互、使能平台的对接及应用的描述，内容完整详细，符合项目实际，可落地性强，得4分； （2）投标人基本能就响应部门提出建立新专题及新页面建设需求作出指标体系设计、数源治理、数图交互、使能平台的对接及应用的描述，但有缺失或内容部分不全或不符合实际，部分内容存在不能完全满足项目落地的情况，得2分； （3）无相关内容，得0分。 四、对投标人响应省市重点工作要求建立省市联动新专题或新页面的方案进行评审，包括省市指标联动设计、数源治理、数图交互、使能平台的对接及应用，需提供类似工作经验案例说明。（4分） （1）投标人能准确就响应省市重点工作需求，对省市指标联动设计、数源治理、数图交互、使能平台的对接及应用提出实施方案，内容完整详细，符合项目实际，可落地性强，并有详细类似工作经验案例说明且能贯穿上述内容，得4分； （2）投标人基本能就响应省市重点工作需求，对省市指标联动设计、数源治理、数图交互、使能平台的对接及应用提出实施方案，但有缺失或内容部分不全或不符合实际，部分内容存在不能完全满足项目落地的情况。有类似工作经验案例说明，案例说明基本能贯穿上述内容或有缺失或不足，得2分； （3）无相关内容或无类似工作经验案例说明，得0分。</w:t>
            </w:r>
          </w:p>
        </w:tc>
      </w:tr>
      <w:tr>
        <w:tc>
          <w:tcPr>
            <w:tcW w:type="dxa" w:w="922"/>
            <w:gridSpan w:val="2"/>
            <w:vMerge/>
          </w:tcPr>
          <w:p/>
        </w:tc>
        <w:tc>
          <w:tcPr>
            <w:tcW w:type="dxa" w:w="2307"/>
          </w:tcPr>
          <w:p>
            <w:pPr>
              <w:jc w:val="left"/>
            </w:pPr>
            <w:r>
              <w:rPr/>
              <w:t>中山市城市智慧大脑使能平台运营能力 (10.0分)</w:t>
            </w:r>
          </w:p>
        </w:tc>
        <w:tc>
          <w:tcPr>
            <w:tcW w:type="dxa" w:w="5076"/>
          </w:tcPr>
          <w:p>
            <w:pPr>
              <w:jc w:val="left"/>
            </w:pPr>
            <w:r>
              <w:rPr/>
              <w:t>考察投标人使能平台运营方案，包括使能平台的现状、维护重难点、运维方案、运营方案等内容。重点包括数字使能平台14个功能现状描述、省市对接运营方案、平台能力应用支撑方案。要求方案合理、可落地性强。 一、对投标人的的使能平台现状分析进行评审，包括使能平台各功能模块现状、日常运维重难点及建议。（4分） （1）运营方案完整详细，能准确地分析数字使能平台14个功能模块现状，根据项目实际日常运维要求提出有针对性的重难点，并就解决重难点提出切实可靠的技术建议，得4分； （2）运营方案基本能分析数字使能平台14个功能模块现状，或有缺失或内容部分不全或不符合实际，基本能对日常运维要求提出重难点并有解决技术建议，但针对性一般或内容较为普遍缺乏针对性，得2分； （3）无相关内容，得0分。 二、对投标人的使能平台省市对接运营方案进行评审，包括使能平台省市对接总体技术方案、用户体系适配、数据资源共享方案，提供2个省市对接工作类似经验 案例。（3分） （1）投标人提供详细、符合实际的使能平台省市对接总体技术方案、用户体系适配、数据资源共享方案，内容完整，并提供2个省市对接工作类似经验案例，内容详细能反映出投标人充分理解省市对接工作内容，得3分； （2）投标人基本能提供符合实际的使能平台省市对接总体技术方案、用户体系适配、数据资源共享方案，或有缺失或内容部分不全或不符合实际。有省市对接工作类似经验案例，内容基本能反映出投标人理解省市对接工作或有缺失或不足，得1分； （3）无相关内容或无案例说明，得0分。 三、对使能平台支撑业务部门信息化工作提供实施方案。（3分） （1）投标人提供完整详细、符合实际、可落地性强的数字使能平台可对外服务实施方案，能提供6个或以上类似工作经验应用案例，得3分； （2）投标人基本能提供数字使能平台可对外服务实施方案，或有缺失或内容部分不全或不符合实际。提供不足6个类似工作经验应用案例，得1分； （3）无相关内容或无案例说明，得0分。</w:t>
            </w:r>
          </w:p>
        </w:tc>
      </w:tr>
      <w:tr>
        <w:tc>
          <w:tcPr>
            <w:tcW w:type="dxa" w:w="922"/>
            <w:gridSpan w:val="2"/>
            <w:vMerge/>
          </w:tcPr>
          <w:p/>
        </w:tc>
        <w:tc>
          <w:tcPr>
            <w:tcW w:type="dxa" w:w="2307"/>
          </w:tcPr>
          <w:p>
            <w:pPr>
              <w:jc w:val="left"/>
            </w:pPr>
            <w:r>
              <w:rPr/>
              <w:t>数据治理与分析 (8.0分)</w:t>
            </w:r>
          </w:p>
        </w:tc>
        <w:tc>
          <w:tcPr>
            <w:tcW w:type="dxa" w:w="5076"/>
          </w:tcPr>
          <w:p>
            <w:pPr>
              <w:jc w:val="left"/>
            </w:pPr>
            <w:r>
              <w:rPr/>
              <w:t>考察投标人对数据治理与分析的运维方案，包括12个专题的各类数据库运维，指标卡片库运维、数据归集与应用、数据质量保障、数据分析、指标卡片资产沉淀。 一、对投标人中山市城市智慧大脑12个专题数据治理与分析运维方案进行评审，包括指标卡片现状、管理、平台内复用及资产化。（4分） （1）投标人能提供详细、符合实际的中山市城市智慧大脑12个专题卡片资产现状、管理、平台内复用及资产化方案，内容完整，切实可落地性强，得4分； （2）投标人基本能提出中山市城市智慧大脑12个专题卡片资产现状、管理、平台内复用及资产化方案， 或有缺失或内容部分不全或不符合实际，得2分； （3）无相关内容，得0分。 二、对投标人数据质量管理方案进行评审，包括12个专题数据鲜活度现状、鲜活度管理痛难点及对应方案。（4分） （1）投标人提供详细、符合实际的12个专题数据鲜活度现状、鲜活度管理痛难点及对应方案，内容完整，对应方案切实可靠，能针对12个专题举例说明，符合实际，得4分； （2）投标人基本能提供12个专题数据鲜活度现状、鲜活度管理痛难点及对应方案，或有缺失或内容部分不全或不符合实际，有对应方案且基本能就12个专题举例说明或内容有缺失或不全，针对性一般，得2分； （3）无相关内容或无举例说明，得0分。</w:t>
            </w:r>
          </w:p>
        </w:tc>
      </w:tr>
      <w:tr>
        <w:tc>
          <w:tcPr>
            <w:tcW w:type="dxa" w:w="922"/>
            <w:gridSpan w:val="2"/>
            <w:vMerge/>
          </w:tcPr>
          <w:p/>
        </w:tc>
        <w:tc>
          <w:tcPr>
            <w:tcW w:type="dxa" w:w="2307"/>
          </w:tcPr>
          <w:p>
            <w:pPr>
              <w:jc w:val="left"/>
            </w:pPr>
            <w:r>
              <w:rPr/>
              <w:t>安全运营 (6.0分)</w:t>
            </w:r>
          </w:p>
        </w:tc>
        <w:tc>
          <w:tcPr>
            <w:tcW w:type="dxa" w:w="5076"/>
          </w:tcPr>
          <w:p>
            <w:pPr>
              <w:jc w:val="left"/>
            </w:pPr>
            <w:r>
              <w:rPr/>
              <w:t>考察投标人安全运营方案，包括涉及使能平台及专题的网络环境安全、业务安全、数据安全、系统安全的保障体系、监测体系及处置体系，跨平台安全隔离方案、重大保障方案、应急保障方案、数据全生命周期安全管理方案。要求合理、可落地性强。 一、对安全运营方案内容进行评审：（1分） （1）描述的内容包括：①涉及使能平台及专题的网络环境安全、业务安全、数据安全、系统安全的保障体系；②监测体系及处置体系；③跨平台安全隔离方案；④重大保障方案；⑤应急保障方案；⑥数据全生命周期安全管理方案，得1分，每缺失1项扣0.2分，扣至0分为止。 二、对投标人提供的数据全生命周期安全管理方案进行评审，包括专题数据接入、治理、权限管理方案。（2.5分） （1）投标人能提供详细的专题数据全生命周期安全管理方案，内容完整，满足上述内容，流程针对性强，符合实际，且能至少就1个专题提出数据全生命周期安全管理方案，内容详细明确，能反映投标人对该要求的理解，切实做好项目服务，得2.5分； （2）投标人基本能提供专题数据全生命周期安全管理方案，或有缺失或内容部分不全或不符合实际，针对性一般，能就1个专题提出数据全生命周期安全管理方案，内容一般或有欠缺或不符合实际缺乏针对性，得1分； （3）无相关内容，得0分。 三、对投标人提供的专题和平台应急保障方案进行评审。包括安全风险点识别、安全风险程度评估、安全事件紧急响应措施、应急处理预案、应急服务流程；（2.5分） （1）投标人识别安全风险点的方案完整详细，流程、步骤符合实际情况，对应安全事件紧急响应措施准确、完善、可操作性强，能提供至少1个平台和1个专题的安全事件紧急响应措施，且措施切实可靠，能反映投标人对平台及专题应急服务的理解，切实做好项目服务，得2.5分； （2）投标人有基本的识别安全风险点的方案，有对应安全事件紧急响应措施，或有缺失或内容部分不全或不符合实际，操作性一般，有至少1个平台和1个专题的安全事件紧急响应措施，内容一般或有欠缺或不符合实际缺乏可行性，得1分； （3）无相关内容，得0分。</w:t>
            </w:r>
          </w:p>
        </w:tc>
      </w:tr>
      <w:tr>
        <w:tc>
          <w:tcPr>
            <w:tcW w:type="dxa" w:w="922"/>
            <w:gridSpan w:val="2"/>
            <w:vMerge/>
          </w:tcPr>
          <w:p/>
        </w:tc>
        <w:tc>
          <w:tcPr>
            <w:tcW w:type="dxa" w:w="2307"/>
          </w:tcPr>
          <w:p>
            <w:pPr>
              <w:jc w:val="left"/>
            </w:pPr>
            <w:r>
              <w:rPr/>
              <w:t>述标 (16.0分)</w:t>
            </w:r>
          </w:p>
        </w:tc>
        <w:tc>
          <w:tcPr>
            <w:tcW w:type="dxa" w:w="5076"/>
          </w:tcPr>
          <w:p>
            <w:pPr>
              <w:jc w:val="left"/>
            </w:pPr>
            <w:r>
              <w:rPr/>
              <w:t>由投标人进行述标，参与人员至多2人，时间不超过45分钟，根据述标内容进行综合打分。述标人员必须是投标人自有人员且是拟投入本项目团队人员，须提供授权委托书和身份证； 述标要求：针对项目理解、专题运营思路、使能平台非结构化数据应用进行述标，要求可实现以下步骤和功能内容，包括： 一、投标人对项目理解进行述标。能够详细描述：①中山市城市智慧大脑整个系统架构和平台、应用、专题等之间的联系，②描述省粤治慧对接，③专题数字资产等2个事项的详细思路；（5分） （一）述标内容包含上述3项得1.5分，每缺失1项扣0.5分。 （二）对项目理解述标进行评审：（3.5分） （1）述标包含上述内容3项的，述标内容全面完整、详细，各项之间联系贴切项目，思路符合项目要求的得3.5分； （2）述标缺失上述内容任意1项的，述标内容较为完整，各项之间联系较为贴切项目，思路较为符合项目要求的得1分； （3）述标缺失上述内容任意2项的，述标内容不完整，各项之间联系不贴切项目，思路不符合项目要求的得0.5分； （4）未述标的，得0分。 二．对专题运营思路进行述标。分别以全市概况、党建引领、政务服务、经济运行、城市管理、公共安全、生态环境、交通运行、云网数安、民生幸福、人口云图、土地利用共12个专题展示运营思路、指标迭代、卡片资产沉淀。（8分） （一）述标内容包含上述专题：经济运行、城市管理、人口云图（每个专题必须有展示运营思路、指标迭代、卡片资产沉淀内容），全部符合得3分，每缺失1个专题（专题内缺失任意上述内容的视为缺失1个专题）扣1分。 （二）（1）述标专题运营思路逻辑详细清晰，指标迭代符合实际工作需要，卡片资产沉淀成果丰富，述标内容完整、详细，符合项目要求的得5分； （2）述标专题运营思路逻辑一般清晰，指标迭代较符合实际工作需要，卡片资产沉淀成果较为丰富，述标内容较为完整，基本符合项目要求的得3分； （3）述标专题运营思路逻辑不清晰，指标迭代不符合实际工作需要，卡片资产沉淀成果较少，述标内容不完整，一般符合项目要求的得1分； （4）未述标的，得0分。 三、对投标人使能平台非结构化数据应用进行述标。能够展示使能平台非结构化数据应用现状、应用场景情况，阐述3个或以上使能平台非结构化数据应用案例（3分）。 （1）述标内容全面、详细，能清晰阐述3个或以上使能平台非结构化数据应用场景，得3分； （2）述标内容满足要求，阐述2个使能平台非结构化数据应用场景，得1分； （3）述标内容满足要求，阐述1个使能平台非结构化数据应用场景，得0.5分； （4）其他的，得0分。</w:t>
            </w:r>
          </w:p>
        </w:tc>
      </w:tr>
      <w:tr>
        <w:tc>
          <w:tcPr>
            <w:tcW w:type="dxa" w:w="922"/>
            <w:gridSpan w:val="2"/>
            <w:vMerge w:val="restart"/>
          </w:tcPr>
          <w:p>
            <w:pPr>
              <w:jc w:val="center"/>
            </w:pPr>
            <w:r>
              <w:rPr/>
              <w:t>商务部分</w:t>
            </w:r>
          </w:p>
        </w:tc>
        <w:tc>
          <w:tcPr>
            <w:tcW w:type="dxa" w:w="2307"/>
          </w:tcPr>
          <w:p>
            <w:pPr>
              <w:jc w:val="left"/>
            </w:pPr>
            <w:r>
              <w:rPr/>
              <w:t>商务响应情况 (2.0分)</w:t>
            </w:r>
            <w:r>
              <w:rPr/>
              <w:t>，（等次分值选择：</w:t>
            </w:r>
            <w:r>
              <w:rPr/>
              <w:t>0.0;</w:t>
            </w:r>
            <w:r>
              <w:rPr/>
              <w:t>1.0;</w:t>
            </w:r>
            <w:r>
              <w:rPr/>
              <w:t>2.0;</w:t>
            </w:r>
            <w:r>
              <w:rPr/>
              <w:t>）</w:t>
            </w:r>
          </w:p>
        </w:tc>
        <w:tc>
          <w:tcPr>
            <w:tcW w:type="dxa" w:w="5076"/>
          </w:tcPr>
          <w:p>
            <w:pPr>
              <w:jc w:val="left"/>
            </w:pPr>
            <w:r>
              <w:rPr/>
              <w:t>对招标文件“第二章 采购需求”中“1. 主要商务要求”务内容（除“★”和“▲”条款外）响应情况： （1）全部响应无偏离或优于招标文件要求，得2分； （2）有负偏离，得1分； （3）不响应，得0分；</w:t>
            </w:r>
          </w:p>
        </w:tc>
      </w:tr>
      <w:tr>
        <w:tc>
          <w:tcPr>
            <w:tcW w:type="dxa" w:w="922"/>
            <w:gridSpan w:val="2"/>
            <w:vMerge/>
          </w:tcPr>
          <w:p/>
        </w:tc>
        <w:tc>
          <w:tcPr>
            <w:tcW w:type="dxa" w:w="2307"/>
          </w:tcPr>
          <w:p>
            <w:pPr>
              <w:jc w:val="left"/>
            </w:pPr>
            <w:r>
              <w:rPr/>
              <w:t>项目经理资质要求 (3.0分)</w:t>
            </w:r>
            <w:r>
              <w:rPr/>
              <w:t>，（等次分值选择：</w:t>
            </w:r>
            <w:r>
              <w:rPr/>
              <w:t>0.0;</w:t>
            </w:r>
            <w:r>
              <w:rPr/>
              <w:t>1.0;</w:t>
            </w:r>
            <w:r>
              <w:rPr/>
              <w:t>2.0;</w:t>
            </w:r>
            <w:r>
              <w:rPr/>
              <w:t>3.0;</w:t>
            </w:r>
            <w:r>
              <w:rPr/>
              <w:t>）</w:t>
            </w:r>
          </w:p>
        </w:tc>
        <w:tc>
          <w:tcPr>
            <w:tcW w:type="dxa" w:w="5076"/>
          </w:tcPr>
          <w:p>
            <w:pPr>
              <w:jc w:val="left"/>
            </w:pPr>
            <w:r>
              <w:rPr/>
              <w:t>投入本项目的项目经理（1人）： 1、具备其中任意一个证书（信息系统项目管理师、系统集成项目管理工程师）的，得1分，无得0分； 2、具备其中任意一个证书（注册信息系统安全专业人员CISP、信息安全工程师）的，得1分，无得0分； 3、具备其中任意一个证书（大数据工程师（中级或以上）、数据库系统工程师）的，得1分，无得0分。本项最高得3分。 注：（1）投标文件内提供人员证书复印件并加盖投标人公章（如为条款（2）中b情况的则不需提供）； （2）关于上述人员用工形式的证明（投标人满足以下任意一项即可，未按要求提供的不得分）：a）提供投标人为其购买的至投标截止时间为止近半年内任意1个月的社保证明复印件（代缴个税税单或代缴社会保险证明或参加社会保险的《投保单》或《社会保险参保人员证明》等证明均可）；b）承诺中标后投入符合要求的人员（承诺内容如下： 承诺中标后投入符合要求的人员，若在项目实施过程中未能提供相应人员，采购人有权扣罚相应合同金额或终止合同）；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安全负责人资质要求 (4.0分)</w:t>
            </w:r>
            <w:r>
              <w:rPr/>
              <w:t>，（等次分值选择：</w:t>
            </w:r>
            <w:r>
              <w:rPr/>
              <w:t>0.0;</w:t>
            </w:r>
            <w:r>
              <w:rPr/>
              <w:t>1.0;</w:t>
            </w:r>
            <w:r>
              <w:rPr/>
              <w:t>2.0;</w:t>
            </w:r>
            <w:r>
              <w:rPr/>
              <w:t>3.0;</w:t>
            </w:r>
            <w:r>
              <w:rPr/>
              <w:t>4.0;</w:t>
            </w:r>
            <w:r>
              <w:rPr/>
              <w:t>）</w:t>
            </w:r>
          </w:p>
        </w:tc>
        <w:tc>
          <w:tcPr>
            <w:tcW w:type="dxa" w:w="5076"/>
          </w:tcPr>
          <w:p>
            <w:pPr>
              <w:jc w:val="left"/>
            </w:pPr>
            <w:r>
              <w:rPr/>
              <w:t>投入本项目的安全负责人（1人）： 1、具备其中任意一个证书（信息系统项目管理师、系统集成项目管理工程师）的，得1分，无得0分； 2、除本项内1要求的证书外，安全负责人还具备以下证书：信息安全工程师、注册信息安全专业人员CISP、网络与信息安全管理师、通信网络管理员证书、信息安全保障人员认证CISAW证书、网络安全应急响应工程师CSERE，每有1个证书，得1分，最高得3分（注：一证多专业按专业数量计算）。 注： （1）本项总分为第1点和第2点得分合计； （2）投标文件内提供人员证书复印件并加盖投标人公章（如为条款（3）中b情况的则不需提供）； （3）关于上述人员用工形式的证明（投标人满足以下任意一项即可，未按要求提供的不得分）：a）提供投标人为其购买的至投标截止时间为止近半年内任意1个月的社保证明复印件（代缴个税税单或代缴社会保险证明或参加社会保险的《投保单》或《社会保险参保人员证明》等证明均可）；b）承诺中标后投入符合要求的人员（承诺内容如下： 承诺中标后投入符合要求的人员，若在项目实施过程中未能提供相应人员，采购人有权扣罚相应合同金额或终止合同）；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驻点负责人资质要求 (3.0分)</w:t>
            </w:r>
            <w:r>
              <w:rPr/>
              <w:t>，（等次分值选择：</w:t>
            </w:r>
            <w:r>
              <w:rPr/>
              <w:t>0.0;</w:t>
            </w:r>
            <w:r>
              <w:rPr/>
              <w:t>1.0;</w:t>
            </w:r>
            <w:r>
              <w:rPr/>
              <w:t>2.0;</w:t>
            </w:r>
            <w:r>
              <w:rPr/>
              <w:t>3.0;</w:t>
            </w:r>
            <w:r>
              <w:rPr/>
              <w:t>）</w:t>
            </w:r>
          </w:p>
        </w:tc>
        <w:tc>
          <w:tcPr>
            <w:tcW w:type="dxa" w:w="5076"/>
          </w:tcPr>
          <w:p>
            <w:pPr>
              <w:jc w:val="left"/>
            </w:pPr>
            <w:r>
              <w:rPr/>
              <w:t>投入本项目的驻点负责人（1人）： 1、具备其中任意一个证书（信息系统项目管理师、系统规划与管理师）的，得1分，无得0分； 2、具备其中任意一个证书（信息安全工程师、网络与信息安全管理师、注册信息安全专业人员CISP）的，得1分，无得0分； 3、具备其中任意一个证书（大数据工程师（中级或以上）、数据库系统工程师）的，得1分，无得0分。本项最高得3分。 注： （1）投标文件内提供人员证书复印件并加盖投标人公章（如为条款（2）中b情况的则不需提供）； （2）关于上述人员用工形式的证明（投标人满足以下任意一项即可，未按要求提供的不得分）：a）提供投标人为其购买的至投标截止时间为止近半年内任意1个月的社保证明复印件（代缴个税税单或代缴社会保险证明或参加社会保险的《投保单》或《社会保险参保人员证明》等证明均可）；b）承诺中标后投入符合要求的人员（承诺内容如下： 承诺中标后投入符合要求的人员，若在项目实施过程中未能提供相应人员，采购人有权扣罚相应合同金额或终止合同）；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项目团队人员情况（项目经理、安全负责人、驻点负责人除外） (10.0分)</w:t>
            </w:r>
          </w:p>
        </w:tc>
        <w:tc>
          <w:tcPr>
            <w:tcW w:type="dxa" w:w="5076"/>
          </w:tcPr>
          <w:p>
            <w:pPr>
              <w:jc w:val="left"/>
            </w:pPr>
            <w:r>
              <w:rPr/>
              <w:t>1、投入本项目的驻场人员能力（安全运营岗除外）能力：具备计算机技术与软件专业技术资格（水平）证书（中级或以上资格）的，每提供1人得0.5分，本项最高得7分，无得0分； 2、投入本项目的驻场安全运营岗能力：安全运营岗人员具有注册信息安全专业人员证书（CISP）的，每提供1人得1分，本项最高得3分，无得0分； 注： （1）同一人员不得重复计分，同一人员有多个证的按得分最高的证书计算。 （2）投标文件内提供人员证书复印件并加盖投标人公章（如为条款（3）中b情况的则不需提供）； （3）关于上述人员用工形式的证明（投标人满足以下任意一项即可，未按要求提供的不得分）：a）提供投标人为其购买的至投标截止时间为止近半年内任意1个月的社保证明复印件（代缴个税税单或代缴社会保险证明或参加社会保险的《投保单》或《社会保险参保人员证明》等证明均可）；b）承诺中标后投入符合要求的人员（承诺内容如下： 承诺中标后投入符合要求的人员，若在项目实施过程中未能提供相应人员，采购人有权扣罚相应合同金额或终止合同）；c）如果投标人上述人员为其他用工形式，则投标人还需提供该人员用工关系的证明资料且人员用工关系证明中须列明该人员的用工期限，用工期限应涵盖本项目服务时间。</w:t>
            </w:r>
          </w:p>
        </w:tc>
      </w:tr>
      <w:tr>
        <w:tc>
          <w:tcPr>
            <w:tcW w:type="dxa" w:w="922"/>
            <w:gridSpan w:val="2"/>
            <w:vMerge/>
          </w:tcPr>
          <w:p/>
        </w:tc>
        <w:tc>
          <w:tcPr>
            <w:tcW w:type="dxa" w:w="2307"/>
          </w:tcPr>
          <w:p>
            <w:pPr>
              <w:jc w:val="left"/>
            </w:pPr>
            <w:r>
              <w:rPr/>
              <w:t>资质体系认证 (3.0分)</w:t>
            </w:r>
            <w:r>
              <w:rPr/>
              <w:t>，（等次分值选择：</w:t>
            </w:r>
            <w:r>
              <w:rPr/>
              <w:t>0.0;</w:t>
            </w:r>
            <w:r>
              <w:rPr/>
              <w:t>1.0;</w:t>
            </w:r>
            <w:r>
              <w:rPr/>
              <w:t>2.0;</w:t>
            </w:r>
            <w:r>
              <w:rPr/>
              <w:t>3.0;</w:t>
            </w:r>
            <w:r>
              <w:rPr/>
              <w:t>）</w:t>
            </w:r>
          </w:p>
        </w:tc>
        <w:tc>
          <w:tcPr>
            <w:tcW w:type="dxa" w:w="5076"/>
          </w:tcPr>
          <w:p>
            <w:pPr>
              <w:jc w:val="left"/>
            </w:pPr>
            <w:r>
              <w:rPr/>
              <w:t>考察投标人体系认证情况： 1、具备有效期内的质量管理体系认证； 2、具备有效期内的环境管理体系认证； 3、具备有效期内的职业健康安全管理体系认证； 每提供1项得1分，最高得3分。 注：提供有效期内的证书扫描件，证书须能在“全国认证认可信息公共服务平台”（http://cx.cnca.cn/）查询并提供网页截图方可得分，已失效或撤销或暂停的不得分，证书组织名称需与投标人一致，不一致的不得分。</w:t>
            </w:r>
          </w:p>
        </w:tc>
      </w:tr>
      <w:tr>
        <w:tc>
          <w:tcPr>
            <w:tcW w:type="dxa" w:w="922"/>
            <w:gridSpan w:val="2"/>
            <w:vMerge/>
          </w:tcPr>
          <w:p/>
        </w:tc>
        <w:tc>
          <w:tcPr>
            <w:tcW w:type="dxa" w:w="2307"/>
          </w:tcPr>
          <w:p>
            <w:pPr>
              <w:jc w:val="left"/>
            </w:pPr>
            <w:r>
              <w:rPr/>
              <w:t>同类项目业绩 (5.0分)</w:t>
            </w:r>
            <w:r>
              <w:rPr/>
              <w:t>，（等次分值选择：</w:t>
            </w:r>
            <w:r>
              <w:rPr/>
              <w:t>0.0;</w:t>
            </w:r>
            <w:r>
              <w:rPr/>
              <w:t>1.0;</w:t>
            </w:r>
            <w:r>
              <w:rPr/>
              <w:t>2.0;</w:t>
            </w:r>
            <w:r>
              <w:rPr/>
              <w:t>3.0;</w:t>
            </w:r>
            <w:r>
              <w:rPr/>
              <w:t>4.0;</w:t>
            </w:r>
            <w:r>
              <w:rPr/>
              <w:t>5.0;</w:t>
            </w:r>
            <w:r>
              <w:rPr/>
              <w:t>）</w:t>
            </w:r>
          </w:p>
        </w:tc>
        <w:tc>
          <w:tcPr>
            <w:tcW w:type="dxa" w:w="5076"/>
          </w:tcPr>
          <w:p>
            <w:pPr>
              <w:jc w:val="left"/>
            </w:pPr>
            <w:r>
              <w:rPr/>
              <w:t>自2020年1月1日（以合同签订日期为准）以来投标人承接过（软件或系统运维类或平台运营类）同类项目的合同，每提供一个项目合同得1分，本项最高5分。  注：每个合同不重复计分，须提供上述合同关键页扫描件并加盖投标人公章，未提供或提供的项目内容不符合要求的不得分；提供合同关键页（包括但不限于合同首页、合同金额页、建设内容页、合同盖章页）扫描件，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
      <w:pPr>
        <w:jc w:val="center"/>
      </w:pPr>
      <w:r>
        <w:rPr>
          <w:b/>
          <w:color w:val="222222"/>
          <w:sz w:val="48"/>
        </w:rPr>
        <w:t>中山市城市智慧大脑运维服务项目</w:t>
      </w:r>
    </w:p>
    <w:p>
      <w:pPr>
        <w:jc w:val="both"/>
      </w:pPr>
      <w:r>
        <w:rPr>
          <w:sz w:val="21"/>
        </w:rPr>
        <w:t xml:space="preserve"> </w:t>
      </w:r>
    </w:p>
    <w:p>
      <w:pPr>
        <w:jc w:val="center"/>
      </w:pPr>
      <w:r>
        <w:rPr>
          <w:b/>
          <w:color w:val="222222"/>
          <w:sz w:val="48"/>
        </w:rPr>
        <w:t>采购</w:t>
      </w:r>
      <w:r>
        <w:rPr>
          <w:b/>
          <w:color w:val="222222"/>
          <w:sz w:val="48"/>
        </w:rPr>
        <w:t>合同</w:t>
      </w:r>
    </w:p>
    <w:p>
      <w:pPr>
        <w:ind w:firstLine="210"/>
        <w:jc w:val="center"/>
      </w:pPr>
      <w:r>
        <w:br/>
      </w:r>
      <w:r>
        <w:br/>
      </w:r>
      <w:r>
        <w:br/>
      </w:r>
      <w:r>
        <w:br/>
      </w:r>
      <w:r>
        <w:br/>
      </w:r>
      <w:r>
        <w:br/>
      </w:r>
      <w:r>
        <w:br/>
      </w:r>
      <w:r>
        <w:rPr>
          <w:b/>
          <w:sz w:val="21"/>
        </w:rPr>
        <w:t>（注：此合同为参考合同，以本招标文件的《用户需求书》的要求为基础，根据采购人需求签订合同，以采购人与中标人签订中标合同为准，采购人有权在签订合同时对合同的相关条款及内容作进一步的细化和修改。）</w:t>
      </w:r>
    </w:p>
    <w:p>
      <w:pPr>
        <w:ind w:firstLine="210"/>
        <w:jc w:val="center"/>
      </w:pPr>
    </w:p>
    <w:p>
      <w:pPr>
        <w:ind w:firstLine="2949"/>
        <w:jc w:val="both"/>
      </w:pPr>
      <w:r>
        <w:rPr>
          <w:b/>
          <w:sz w:val="32"/>
        </w:rPr>
        <w:t>签订地点：</w:t>
      </w:r>
      <w:r>
        <w:rPr>
          <w:b/>
          <w:sz w:val="21"/>
        </w:rPr>
        <w:t xml:space="preserve">           </w:t>
      </w:r>
    </w:p>
    <w:p>
      <w:pPr>
        <w:ind w:firstLine="210"/>
        <w:jc w:val="center"/>
      </w:pPr>
      <w:r>
        <w:rPr>
          <w:b/>
          <w:sz w:val="32"/>
        </w:rPr>
        <w:t>签订日期：</w:t>
      </w:r>
      <w:r>
        <w:rPr>
          <w:b/>
          <w:sz w:val="21"/>
          <w:u w:val="single"/>
        </w:rPr>
        <w:t xml:space="preserve">    </w:t>
      </w:r>
      <w:r>
        <w:rPr>
          <w:b/>
          <w:sz w:val="32"/>
          <w:u w:val="single"/>
        </w:rPr>
        <w:t>年</w:t>
      </w:r>
      <w:r>
        <w:rPr>
          <w:b/>
          <w:sz w:val="21"/>
          <w:u w:val="single"/>
        </w:rPr>
        <w:t xml:space="preserve"> </w:t>
      </w:r>
      <w:r>
        <w:rPr>
          <w:b/>
          <w:sz w:val="32"/>
          <w:u w:val="single"/>
        </w:rPr>
        <w:t xml:space="preserve">  </w:t>
      </w:r>
      <w:r>
        <w:rPr>
          <w:b/>
          <w:sz w:val="32"/>
          <w:u w:val="single"/>
        </w:rPr>
        <w:t>月</w:t>
      </w:r>
      <w:r>
        <w:rPr>
          <w:b/>
          <w:sz w:val="32"/>
          <w:u w:val="single"/>
        </w:rPr>
        <w:t xml:space="preserve">   </w:t>
      </w:r>
      <w:r>
        <w:rPr>
          <w:b/>
          <w:sz w:val="32"/>
          <w:u w:val="single"/>
        </w:rPr>
        <w:t>日</w:t>
      </w:r>
    </w:p>
    <w:p>
      <w:pPr>
        <w:jc w:val="center"/>
      </w:pPr>
      <w:r>
        <w:br/>
      </w:r>
      <w:r>
        <w:rPr>
          <w:sz w:val="21"/>
        </w:rPr>
        <w:t xml:space="preserve"> </w:t>
      </w:r>
    </w:p>
    <w:p>
      <w:pPr>
        <w:jc w:val="both"/>
      </w:pPr>
      <w:r>
        <w:rPr>
          <w:sz w:val="21"/>
        </w:rPr>
        <w:t xml:space="preserve"> </w:t>
      </w:r>
    </w:p>
    <w:p>
      <w:pPr>
        <w:jc w:val="both"/>
      </w:pPr>
      <w:r>
        <w:rPr>
          <w:sz w:val="21"/>
        </w:rPr>
        <w:t xml:space="preserve"> </w:t>
      </w:r>
    </w:p>
    <w:p/>
    <w:p/>
    <w:p>
      <w:pPr>
        <w:jc w:val="left"/>
      </w:pPr>
      <w:r>
        <w:rPr>
          <w:sz w:val="24"/>
        </w:rPr>
        <w:t>采购人</w:t>
      </w:r>
      <w:r>
        <w:rPr>
          <w:sz w:val="24"/>
        </w:rPr>
        <w:t>（甲方）：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住</w:t>
      </w:r>
      <w:r>
        <w:rPr>
          <w:sz w:val="24"/>
        </w:rPr>
        <w:t xml:space="preserve"> </w:t>
      </w:r>
      <w:r>
        <w:rPr>
          <w:sz w:val="24"/>
        </w:rPr>
        <w:t>所</w:t>
      </w:r>
      <w:r>
        <w:rPr>
          <w:sz w:val="24"/>
        </w:rPr>
        <w:t xml:space="preserve"> </w:t>
      </w:r>
      <w:r>
        <w:rPr>
          <w:sz w:val="24"/>
        </w:rPr>
        <w:t>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4"/>
        </w:rPr>
        <w:t>法定代表人：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项目联系人：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联系方式：</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通讯地址：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联系</w:t>
      </w:r>
      <w:r>
        <w:rPr>
          <w:sz w:val="24"/>
        </w:rPr>
        <w:t>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 xml:space="preserve"> </w:t>
      </w:r>
      <w:r>
        <w:rPr>
          <w:sz w:val="24"/>
        </w:rPr>
        <w:t>传真：</w:t>
      </w:r>
      <w:r>
        <w:rPr>
          <w:sz w:val="21"/>
          <w:u w:val="single"/>
        </w:rPr>
        <w:t xml:space="preserve">    </w:t>
      </w:r>
      <w:r>
        <w:rPr>
          <w:sz w:val="21"/>
          <w:u w:val="single"/>
        </w:rPr>
        <w:t xml:space="preserve">             </w:t>
      </w:r>
      <w:r>
        <w:rPr>
          <w:sz w:val="21"/>
          <w:u w:val="single"/>
        </w:rPr>
        <w:t xml:space="preserve">             </w:t>
      </w:r>
    </w:p>
    <w:p>
      <w:pPr>
        <w:ind w:firstLine="480"/>
        <w:jc w:val="both"/>
      </w:pPr>
    </w:p>
    <w:p>
      <w:pPr>
        <w:jc w:val="both"/>
      </w:pPr>
      <w:r>
        <w:rPr>
          <w:sz w:val="24"/>
        </w:rPr>
        <w:t>中标人</w:t>
      </w:r>
      <w:r>
        <w:rPr>
          <w:sz w:val="24"/>
        </w:rPr>
        <w:t>（乙方）：</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住</w:t>
      </w:r>
      <w:r>
        <w:rPr>
          <w:sz w:val="24"/>
        </w:rPr>
        <w:t xml:space="preserve"> </w:t>
      </w:r>
      <w:r>
        <w:rPr>
          <w:sz w:val="24"/>
        </w:rPr>
        <w:t>所</w:t>
      </w:r>
      <w:r>
        <w:rPr>
          <w:sz w:val="24"/>
        </w:rPr>
        <w:t xml:space="preserve"> </w:t>
      </w:r>
      <w:r>
        <w:rPr>
          <w:sz w:val="24"/>
        </w:rPr>
        <w:t>地：</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4"/>
        </w:rPr>
        <w:t>法定代表人：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项目联系人：</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联系方式：</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通讯地址：</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jc w:val="both"/>
      </w:pPr>
      <w:r>
        <w:rPr>
          <w:sz w:val="24"/>
        </w:rPr>
        <w:t>联系</w:t>
      </w:r>
      <w:r>
        <w:rPr>
          <w:sz w:val="24"/>
        </w:rPr>
        <w:t>电话：</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4"/>
        </w:rPr>
        <w:t xml:space="preserve"> </w:t>
      </w:r>
      <w:r>
        <w:rPr>
          <w:sz w:val="24"/>
        </w:rPr>
        <w:t>传真：</w:t>
      </w:r>
      <w:r>
        <w:rPr>
          <w:sz w:val="21"/>
          <w:u w:val="single"/>
        </w:rPr>
        <w:t xml:space="preserve">  </w:t>
      </w:r>
      <w:r>
        <w:rPr>
          <w:sz w:val="21"/>
          <w:u w:val="single"/>
        </w:rPr>
        <w:t xml:space="preserve">              </w:t>
      </w:r>
      <w:r>
        <w:rPr>
          <w:sz w:val="21"/>
          <w:u w:val="single"/>
        </w:rPr>
        <w:t xml:space="preserve">                 </w:t>
      </w:r>
    </w:p>
    <w:p>
      <w:pPr>
        <w:jc w:val="both"/>
      </w:pPr>
      <w:r>
        <w:rPr>
          <w:sz w:val="24"/>
        </w:rPr>
        <w:t>电子信箱：</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rPr>
        <w:t xml:space="preserve">  </w:t>
      </w:r>
    </w:p>
    <w:p>
      <w:pPr>
        <w:jc w:val="both"/>
      </w:pPr>
      <w:r>
        <w:rPr>
          <w:sz w:val="21"/>
        </w:rPr>
        <w:t xml:space="preserve">    </w:t>
      </w:r>
    </w:p>
    <w:p>
      <w:pPr>
        <w:ind w:firstLine="480"/>
        <w:jc w:val="both"/>
      </w:pPr>
      <w:r>
        <w:rPr>
          <w:sz w:val="24"/>
        </w:rPr>
        <w:t>本合同甲方委托乙方提供</w:t>
      </w:r>
      <w:r>
        <w:rPr>
          <w:sz w:val="24"/>
          <w:u w:val="single"/>
        </w:rPr>
        <w:t xml:space="preserve"> </w:t>
      </w:r>
      <w:r>
        <w:rPr>
          <w:sz w:val="24"/>
          <w:u w:val="single"/>
        </w:rPr>
        <w:t>中山市城市智慧大脑运维服务项目</w:t>
      </w:r>
      <w:r>
        <w:rPr>
          <w:sz w:val="24"/>
        </w:rPr>
        <w:t>（以下简称该系统）技术运维服务</w:t>
      </w:r>
      <w:r>
        <w:rPr>
          <w:sz w:val="24"/>
        </w:rPr>
        <w:t>，并支付相应报酬，乙方接受委托并进行此项维护工作。双方经过平等协商，在真实、充分地表达各自意愿的基础上，根据《中华人民共和国</w:t>
      </w:r>
      <w:r>
        <w:rPr>
          <w:sz w:val="24"/>
        </w:rPr>
        <w:t>民法典</w:t>
      </w:r>
      <w:r>
        <w:rPr>
          <w:sz w:val="24"/>
        </w:rPr>
        <w:t>》的规定，达成</w:t>
      </w:r>
      <w:r>
        <w:rPr>
          <w:sz w:val="24"/>
        </w:rPr>
        <w:t>本</w:t>
      </w:r>
      <w:r>
        <w:rPr>
          <w:sz w:val="24"/>
        </w:rPr>
        <w:t>合同</w:t>
      </w:r>
      <w:r>
        <w:rPr>
          <w:sz w:val="24"/>
        </w:rPr>
        <w:t>，并由双方共同恪守。</w:t>
      </w:r>
    </w:p>
    <w:p>
      <w:pPr>
        <w:ind w:firstLine="420"/>
        <w:jc w:val="left"/>
      </w:pPr>
    </w:p>
    <w:p>
      <w:pPr>
        <w:ind w:firstLine="420"/>
        <w:jc w:val="left"/>
      </w:pPr>
      <w:r>
        <w:rPr>
          <w:b/>
          <w:sz w:val="24"/>
        </w:rPr>
        <w:t>第一条</w:t>
      </w:r>
      <w:r>
        <w:rPr>
          <w:b/>
          <w:sz w:val="24"/>
        </w:rPr>
        <w:t xml:space="preserve"> </w:t>
      </w:r>
      <w:r>
        <w:rPr>
          <w:b/>
          <w:color w:val="000000"/>
          <w:sz w:val="24"/>
        </w:rPr>
        <w:t>项目基本情况</w:t>
      </w:r>
    </w:p>
    <w:p>
      <w:pPr>
        <w:numPr>
          <w:ilvl w:val="0"/>
          <w:numId w:val="2"/>
        </w:numPr>
        <w:jc w:val="left"/>
      </w:pPr>
      <w:r>
        <w:rPr>
          <w:color w:val="000000"/>
          <w:sz w:val="24"/>
        </w:rPr>
        <w:t>类型：运维服务类。</w:t>
      </w:r>
    </w:p>
    <w:p>
      <w:pPr>
        <w:numPr>
          <w:ilvl w:val="0"/>
          <w:numId w:val="2"/>
        </w:numPr>
        <w:jc w:val="left"/>
      </w:pPr>
      <w:r>
        <w:rPr>
          <w:color w:val="000000"/>
          <w:sz w:val="24"/>
        </w:rPr>
        <w:t>委托服务构成细目详见</w:t>
      </w:r>
      <w:r>
        <w:rPr>
          <w:color w:val="000000"/>
          <w:sz w:val="24"/>
        </w:rPr>
        <w:t>招标文件第二章采购需求。</w:t>
      </w:r>
    </w:p>
    <w:p>
      <w:pPr>
        <w:ind w:firstLine="420"/>
        <w:jc w:val="left"/>
      </w:pPr>
      <w:r>
        <w:rPr>
          <w:b/>
          <w:sz w:val="24"/>
        </w:rPr>
        <w:t>第二条</w:t>
      </w:r>
      <w:r>
        <w:rPr>
          <w:b/>
          <w:sz w:val="24"/>
        </w:rPr>
        <w:t xml:space="preserve"> </w:t>
      </w:r>
      <w:r>
        <w:rPr>
          <w:b/>
          <w:sz w:val="24"/>
        </w:rPr>
        <w:t>价格</w:t>
      </w:r>
    </w:p>
    <w:p>
      <w:pPr>
        <w:numPr>
          <w:ilvl w:val="0"/>
          <w:numId w:val="2"/>
        </w:numPr>
        <w:jc w:val="left"/>
      </w:pPr>
      <w:r>
        <w:rPr>
          <w:color w:val="000000"/>
          <w:sz w:val="24"/>
        </w:rPr>
        <w:t>本</w:t>
      </w:r>
      <w:r>
        <w:rPr>
          <w:color w:val="000000"/>
          <w:sz w:val="24"/>
        </w:rPr>
        <w:t>合同总价：（人民币）大写</w:t>
      </w:r>
      <w:r>
        <w:rPr>
          <w:sz w:val="21"/>
          <w:u w:val="single"/>
        </w:rPr>
        <w:t xml:space="preserve">           </w:t>
      </w:r>
      <w:r>
        <w:rPr>
          <w:color w:val="000000"/>
          <w:sz w:val="24"/>
        </w:rPr>
        <w:t>元整</w:t>
      </w:r>
      <w:r>
        <w:rPr>
          <w:color w:val="000000"/>
          <w:sz w:val="24"/>
        </w:rPr>
        <w:t>(￥</w:t>
      </w:r>
      <w:r>
        <w:rPr>
          <w:sz w:val="21"/>
          <w:u w:val="single"/>
        </w:rPr>
        <w:t xml:space="preserve">        </w:t>
      </w:r>
      <w:r>
        <w:rPr>
          <w:color w:val="000000"/>
          <w:sz w:val="24"/>
        </w:rPr>
        <w:t>)。</w:t>
      </w:r>
      <w:r>
        <w:rPr>
          <w:color w:val="000000"/>
          <w:sz w:val="24"/>
        </w:rPr>
        <w:t>本</w:t>
      </w:r>
      <w:r>
        <w:rPr>
          <w:color w:val="000000"/>
          <w:sz w:val="24"/>
        </w:rPr>
        <w:t>合同总价已包括乙方为完成本项目需要的人工费、服务费、</w:t>
      </w:r>
      <w:r>
        <w:rPr>
          <w:color w:val="000000"/>
          <w:sz w:val="24"/>
        </w:rPr>
        <w:t>软件使用授权</w:t>
      </w:r>
      <w:r>
        <w:rPr>
          <w:color w:val="000000"/>
          <w:sz w:val="24"/>
        </w:rPr>
        <w:t>费</w:t>
      </w:r>
      <w:r>
        <w:rPr>
          <w:color w:val="000000"/>
          <w:sz w:val="24"/>
        </w:rPr>
        <w:t>、</w:t>
      </w:r>
      <w:r>
        <w:rPr>
          <w:color w:val="000000"/>
          <w:sz w:val="24"/>
        </w:rPr>
        <w:t>维护费、</w:t>
      </w:r>
      <w:r>
        <w:rPr>
          <w:color w:val="000000"/>
          <w:sz w:val="24"/>
        </w:rPr>
        <w:t>差旅费、税费等一切费用，</w:t>
      </w:r>
      <w:r>
        <w:rPr>
          <w:color w:val="000000"/>
          <w:sz w:val="24"/>
        </w:rPr>
        <w:t>未经甲方书面同意，</w:t>
      </w:r>
      <w:r>
        <w:rPr>
          <w:color w:val="000000"/>
          <w:sz w:val="24"/>
        </w:rPr>
        <w:t>乙方不得再以任何理由要求甲方支付除合同总价</w:t>
      </w:r>
      <w:r>
        <w:rPr>
          <w:color w:val="000000"/>
          <w:sz w:val="24"/>
        </w:rPr>
        <w:t>以</w:t>
      </w:r>
      <w:r>
        <w:rPr>
          <w:color w:val="000000"/>
          <w:sz w:val="24"/>
        </w:rPr>
        <w:t>外的其他费用。</w:t>
      </w:r>
    </w:p>
    <w:p>
      <w:pPr>
        <w:numPr>
          <w:ilvl w:val="0"/>
          <w:numId w:val="2"/>
        </w:numPr>
        <w:jc w:val="left"/>
      </w:pPr>
      <w:r>
        <w:rPr>
          <w:color w:val="000000"/>
          <w:sz w:val="24"/>
        </w:rPr>
        <w:t>本</w:t>
      </w:r>
      <w:r>
        <w:rPr>
          <w:color w:val="000000"/>
          <w:sz w:val="24"/>
        </w:rPr>
        <w:t>合同价格明细详见合同附件。</w:t>
      </w:r>
    </w:p>
    <w:p>
      <w:pPr>
        <w:ind w:firstLine="420"/>
        <w:jc w:val="left"/>
      </w:pPr>
      <w:r>
        <w:rPr>
          <w:b/>
          <w:sz w:val="24"/>
        </w:rPr>
        <w:t>第三条</w:t>
      </w:r>
      <w:r>
        <w:rPr>
          <w:b/>
          <w:sz w:val="24"/>
        </w:rPr>
        <w:t xml:space="preserve"> </w:t>
      </w:r>
      <w:r>
        <w:rPr>
          <w:b/>
          <w:sz w:val="24"/>
        </w:rPr>
        <w:t>服务范围、服务内容和项目要求</w:t>
      </w:r>
    </w:p>
    <w:p>
      <w:pPr>
        <w:numPr>
          <w:ilvl w:val="0"/>
          <w:numId w:val="2"/>
        </w:numPr>
        <w:jc w:val="left"/>
      </w:pPr>
      <w:r>
        <w:rPr>
          <w:color w:val="000000"/>
          <w:sz w:val="24"/>
        </w:rPr>
        <w:t>项目要求</w:t>
      </w:r>
      <w:r>
        <w:rPr>
          <w:color w:val="000000"/>
          <w:sz w:val="24"/>
        </w:rPr>
        <w:t>、</w:t>
      </w:r>
      <w:r>
        <w:rPr>
          <w:color w:val="000000"/>
          <w:sz w:val="24"/>
        </w:rPr>
        <w:t>服务范围和内容：</w:t>
      </w:r>
    </w:p>
    <w:p>
      <w:pPr>
        <w:ind w:firstLine="480"/>
        <w:jc w:val="left"/>
      </w:pPr>
      <w:r>
        <w:rPr>
          <w:color w:val="000000"/>
          <w:sz w:val="24"/>
        </w:rPr>
        <w:t>（</w:t>
      </w:r>
      <w:r>
        <w:rPr>
          <w:color w:val="000000"/>
          <w:sz w:val="24"/>
        </w:rPr>
        <w:t>1）提供</w:t>
      </w:r>
      <w:r>
        <w:rPr>
          <w:color w:val="000000"/>
          <w:sz w:val="24"/>
        </w:rPr>
        <w:t>各</w:t>
      </w:r>
      <w:r>
        <w:rPr>
          <w:color w:val="000000"/>
          <w:sz w:val="24"/>
        </w:rPr>
        <w:t>系统</w:t>
      </w:r>
      <w:r>
        <w:rPr>
          <w:color w:val="000000"/>
          <w:sz w:val="24"/>
        </w:rPr>
        <w:t>、</w:t>
      </w:r>
      <w:r>
        <w:rPr>
          <w:color w:val="000000"/>
          <w:sz w:val="24"/>
        </w:rPr>
        <w:t>平台</w:t>
      </w:r>
      <w:r>
        <w:rPr>
          <w:color w:val="000000"/>
          <w:sz w:val="24"/>
        </w:rPr>
        <w:t>的</w:t>
      </w:r>
      <w:r>
        <w:rPr>
          <w:color w:val="000000"/>
          <w:sz w:val="24"/>
        </w:rPr>
        <w:t>日常</w:t>
      </w:r>
      <w:r>
        <w:rPr>
          <w:color w:val="000000"/>
          <w:sz w:val="24"/>
        </w:rPr>
        <w:t>运营</w:t>
      </w:r>
      <w:r>
        <w:rPr>
          <w:color w:val="000000"/>
          <w:sz w:val="24"/>
        </w:rPr>
        <w:t>运维</w:t>
      </w:r>
      <w:r>
        <w:rPr>
          <w:color w:val="000000"/>
          <w:sz w:val="24"/>
        </w:rPr>
        <w:t>服务；</w:t>
      </w:r>
    </w:p>
    <w:p>
      <w:pPr>
        <w:ind w:firstLine="480"/>
        <w:jc w:val="left"/>
      </w:pPr>
      <w:r>
        <w:rPr>
          <w:color w:val="000000"/>
          <w:sz w:val="24"/>
        </w:rPr>
        <w:t>（</w:t>
      </w:r>
      <w:r>
        <w:rPr>
          <w:color w:val="000000"/>
          <w:sz w:val="24"/>
        </w:rPr>
        <w:t>2）提出优化建议；</w:t>
      </w:r>
    </w:p>
    <w:p>
      <w:pPr>
        <w:ind w:firstLine="480"/>
        <w:jc w:val="left"/>
      </w:pPr>
      <w:r>
        <w:rPr>
          <w:color w:val="000000"/>
          <w:sz w:val="24"/>
        </w:rPr>
        <w:t>（</w:t>
      </w:r>
      <w:r>
        <w:rPr>
          <w:color w:val="000000"/>
          <w:sz w:val="24"/>
        </w:rPr>
        <w:t>3）提供例行巡查及修复漏洞服务；</w:t>
      </w:r>
    </w:p>
    <w:p>
      <w:pPr>
        <w:ind w:firstLine="480"/>
        <w:jc w:val="left"/>
      </w:pPr>
      <w:r>
        <w:rPr>
          <w:color w:val="000000"/>
          <w:sz w:val="24"/>
        </w:rPr>
        <w:t>（</w:t>
      </w:r>
      <w:r>
        <w:rPr>
          <w:color w:val="000000"/>
          <w:sz w:val="24"/>
        </w:rPr>
        <w:t>4</w:t>
      </w:r>
      <w:r>
        <w:rPr>
          <w:color w:val="000000"/>
          <w:sz w:val="24"/>
        </w:rPr>
        <w:t>）</w:t>
      </w:r>
      <w:r>
        <w:rPr>
          <w:color w:val="000000"/>
          <w:sz w:val="24"/>
        </w:rPr>
        <w:t>提供紧急事件响应服务；</w:t>
      </w:r>
    </w:p>
    <w:p>
      <w:pPr>
        <w:ind w:firstLine="480"/>
        <w:jc w:val="left"/>
      </w:pPr>
      <w:r>
        <w:rPr>
          <w:color w:val="000000"/>
          <w:sz w:val="24"/>
        </w:rPr>
        <w:t>（</w:t>
      </w:r>
      <w:r>
        <w:rPr>
          <w:color w:val="000000"/>
          <w:sz w:val="24"/>
        </w:rPr>
        <w:t>5</w:t>
      </w:r>
      <w:r>
        <w:rPr>
          <w:color w:val="000000"/>
          <w:sz w:val="24"/>
        </w:rPr>
        <w:t>）提供系统数据库维护；</w:t>
      </w:r>
    </w:p>
    <w:p>
      <w:pPr>
        <w:ind w:firstLine="480"/>
        <w:jc w:val="left"/>
      </w:pPr>
      <w:r>
        <w:rPr>
          <w:color w:val="000000"/>
          <w:sz w:val="24"/>
        </w:rPr>
        <w:t>（</w:t>
      </w:r>
      <w:r>
        <w:rPr>
          <w:color w:val="000000"/>
          <w:sz w:val="24"/>
        </w:rPr>
        <w:t>6</w:t>
      </w:r>
      <w:r>
        <w:rPr>
          <w:color w:val="000000"/>
          <w:sz w:val="24"/>
        </w:rPr>
        <w:t>）提供系统数据采集维护服务；</w:t>
      </w:r>
    </w:p>
    <w:p>
      <w:pPr>
        <w:ind w:firstLine="480"/>
        <w:jc w:val="left"/>
      </w:pPr>
      <w:r>
        <w:rPr>
          <w:color w:val="000000"/>
          <w:sz w:val="24"/>
        </w:rPr>
        <w:t>（</w:t>
      </w:r>
      <w:r>
        <w:rPr>
          <w:color w:val="000000"/>
          <w:sz w:val="24"/>
        </w:rPr>
        <w:t>7</w:t>
      </w:r>
      <w:r>
        <w:rPr>
          <w:color w:val="000000"/>
          <w:sz w:val="24"/>
        </w:rPr>
        <w:t>）提供运维管理咨询服务</w:t>
      </w:r>
      <w:r>
        <w:rPr>
          <w:color w:val="000000"/>
          <w:sz w:val="24"/>
        </w:rPr>
        <w:t>；</w:t>
      </w:r>
    </w:p>
    <w:p>
      <w:pPr>
        <w:ind w:firstLine="480"/>
        <w:jc w:val="left"/>
      </w:pPr>
      <w:r>
        <w:rPr>
          <w:color w:val="000000"/>
          <w:sz w:val="24"/>
        </w:rPr>
        <w:t>（</w:t>
      </w:r>
      <w:r>
        <w:rPr>
          <w:color w:val="000000"/>
          <w:sz w:val="24"/>
        </w:rPr>
        <w:t>8）</w:t>
      </w:r>
      <w:r>
        <w:rPr>
          <w:color w:val="000000"/>
          <w:sz w:val="24"/>
        </w:rPr>
        <w:t>提供</w:t>
      </w:r>
      <w:r>
        <w:rPr>
          <w:color w:val="000000"/>
          <w:sz w:val="24"/>
        </w:rPr>
        <w:t>使用</w:t>
      </w:r>
      <w:r>
        <w:rPr>
          <w:color w:val="000000"/>
          <w:sz w:val="24"/>
        </w:rPr>
        <w:t>指导</w:t>
      </w:r>
      <w:r>
        <w:rPr>
          <w:color w:val="000000"/>
          <w:sz w:val="24"/>
        </w:rPr>
        <w:t>培训</w:t>
      </w:r>
      <w:r>
        <w:rPr>
          <w:color w:val="000000"/>
          <w:sz w:val="24"/>
        </w:rPr>
        <w:t>服务</w:t>
      </w:r>
      <w:r>
        <w:rPr>
          <w:color w:val="000000"/>
          <w:sz w:val="24"/>
        </w:rPr>
        <w:t>；</w:t>
      </w:r>
    </w:p>
    <w:p>
      <w:pPr>
        <w:ind w:firstLine="480"/>
        <w:jc w:val="left"/>
      </w:pPr>
      <w:r>
        <w:rPr>
          <w:color w:val="000000"/>
          <w:sz w:val="24"/>
        </w:rPr>
        <w:t>（</w:t>
      </w:r>
      <w:r>
        <w:rPr>
          <w:color w:val="000000"/>
          <w:sz w:val="24"/>
        </w:rPr>
        <w:t>9</w:t>
      </w:r>
      <w:r>
        <w:rPr>
          <w:color w:val="000000"/>
          <w:sz w:val="24"/>
        </w:rPr>
        <w:t>）</w:t>
      </w:r>
      <w:r>
        <w:rPr>
          <w:color w:val="000000"/>
          <w:sz w:val="24"/>
        </w:rPr>
        <w:t>提供平台域名的续租服务。</w:t>
      </w:r>
    </w:p>
    <w:p>
      <w:pPr>
        <w:ind w:firstLine="480"/>
        <w:jc w:val="left"/>
      </w:pPr>
      <w:r>
        <w:rPr>
          <w:color w:val="000000"/>
          <w:sz w:val="24"/>
        </w:rPr>
        <w:t>（</w:t>
      </w:r>
      <w:r>
        <w:rPr>
          <w:color w:val="000000"/>
          <w:sz w:val="24"/>
        </w:rPr>
        <w:t>1</w:t>
      </w:r>
      <w:r>
        <w:rPr>
          <w:color w:val="000000"/>
          <w:sz w:val="24"/>
        </w:rPr>
        <w:t>0</w:t>
      </w:r>
      <w:r>
        <w:rPr>
          <w:color w:val="000000"/>
          <w:sz w:val="24"/>
        </w:rPr>
        <w:t>）</w:t>
      </w:r>
      <w:r>
        <w:rPr>
          <w:color w:val="000000"/>
          <w:sz w:val="24"/>
        </w:rPr>
        <w:t>提供硬件</w:t>
      </w:r>
      <w:r>
        <w:rPr>
          <w:color w:val="000000"/>
          <w:sz w:val="24"/>
        </w:rPr>
        <w:t>维护</w:t>
      </w:r>
      <w:r>
        <w:rPr>
          <w:color w:val="000000"/>
          <w:sz w:val="24"/>
        </w:rPr>
        <w:t>及备件更换服务</w:t>
      </w:r>
    </w:p>
    <w:p>
      <w:pPr>
        <w:ind w:firstLine="480"/>
        <w:jc w:val="left"/>
      </w:pPr>
      <w:r>
        <w:rPr>
          <w:color w:val="000000"/>
          <w:sz w:val="24"/>
        </w:rPr>
        <w:t>服务期间确保</w:t>
      </w:r>
      <w:r>
        <w:rPr>
          <w:color w:val="000000"/>
          <w:sz w:val="24"/>
        </w:rPr>
        <w:t>各</w:t>
      </w:r>
      <w:r>
        <w:rPr>
          <w:color w:val="000000"/>
          <w:sz w:val="24"/>
        </w:rPr>
        <w:t>系统的正常安全运行；</w:t>
      </w:r>
      <w:r>
        <w:rPr>
          <w:color w:val="000000"/>
          <w:sz w:val="24"/>
        </w:rPr>
        <w:t>具体服务范围、服务内容和项目要求详见招标文件第二章采购需求。</w:t>
      </w:r>
    </w:p>
    <w:p>
      <w:pPr>
        <w:ind w:firstLine="420"/>
        <w:jc w:val="left"/>
      </w:pPr>
    </w:p>
    <w:p>
      <w:pPr>
        <w:ind w:firstLine="420"/>
        <w:jc w:val="left"/>
      </w:pPr>
      <w:r>
        <w:rPr>
          <w:b/>
          <w:sz w:val="24"/>
        </w:rPr>
        <w:t>第四条</w:t>
      </w:r>
      <w:r>
        <w:rPr>
          <w:b/>
          <w:sz w:val="24"/>
        </w:rPr>
        <w:t xml:space="preserve"> </w:t>
      </w:r>
      <w:r>
        <w:rPr>
          <w:b/>
          <w:sz w:val="24"/>
        </w:rPr>
        <w:t>项目服务期及服务质量标准</w:t>
      </w:r>
    </w:p>
    <w:p>
      <w:pPr>
        <w:ind w:firstLine="480"/>
        <w:jc w:val="left"/>
      </w:pPr>
      <w:r>
        <w:rPr>
          <w:color w:val="000000"/>
          <w:sz w:val="24"/>
        </w:rPr>
        <w:t>1.</w:t>
      </w:r>
      <w:r>
        <w:rPr>
          <w:color w:val="000000"/>
          <w:sz w:val="24"/>
        </w:rPr>
        <w:t>本项目服务期限为</w:t>
      </w:r>
      <w:r>
        <w:rPr>
          <w:color w:val="000000"/>
          <w:sz w:val="24"/>
          <w:u w:val="single"/>
        </w:rPr>
        <w:t xml:space="preserve"> </w:t>
      </w:r>
      <w:r>
        <w:rPr>
          <w:color w:val="000000"/>
          <w:sz w:val="24"/>
          <w:u w:val="single"/>
        </w:rPr>
        <w:t>30</w:t>
      </w:r>
      <w:r>
        <w:rPr>
          <w:color w:val="000000"/>
          <w:sz w:val="24"/>
        </w:rPr>
        <w:t>个月，自</w:t>
      </w:r>
      <w:r>
        <w:rPr>
          <w:sz w:val="21"/>
        </w:rPr>
        <w:t xml:space="preserve">    </w:t>
      </w:r>
      <w:r>
        <w:rPr>
          <w:color w:val="000000"/>
          <w:sz w:val="24"/>
        </w:rPr>
        <w:t>年</w:t>
      </w:r>
      <w:r>
        <w:rPr>
          <w:sz w:val="21"/>
        </w:rPr>
        <w:t xml:space="preserve">   </w:t>
      </w:r>
      <w:r>
        <w:rPr>
          <w:color w:val="000000"/>
          <w:sz w:val="24"/>
        </w:rPr>
        <w:t>月</w:t>
      </w:r>
      <w:r>
        <w:rPr>
          <w:sz w:val="21"/>
        </w:rPr>
        <w:t xml:space="preserve">    </w:t>
      </w:r>
      <w:r>
        <w:rPr>
          <w:color w:val="000000"/>
          <w:sz w:val="24"/>
        </w:rPr>
        <w:t>日起至</w:t>
      </w:r>
      <w:r>
        <w:rPr>
          <w:sz w:val="21"/>
        </w:rPr>
        <w:t xml:space="preserve">   </w:t>
      </w:r>
      <w:r>
        <w:rPr>
          <w:color w:val="000000"/>
          <w:sz w:val="24"/>
        </w:rPr>
        <w:t>年</w:t>
      </w:r>
      <w:r>
        <w:rPr>
          <w:sz w:val="21"/>
        </w:rPr>
        <w:t xml:space="preserve">    </w:t>
      </w:r>
      <w:r>
        <w:rPr>
          <w:color w:val="000000"/>
          <w:sz w:val="24"/>
        </w:rPr>
        <w:t>月</w:t>
      </w:r>
      <w:r>
        <w:rPr>
          <w:sz w:val="21"/>
        </w:rPr>
        <w:t xml:space="preserve">    </w:t>
      </w:r>
      <w:r>
        <w:rPr>
          <w:color w:val="000000"/>
          <w:sz w:val="24"/>
        </w:rPr>
        <w:t>日止。</w:t>
      </w:r>
    </w:p>
    <w:p>
      <w:pPr>
        <w:ind w:firstLine="480"/>
        <w:jc w:val="left"/>
      </w:pPr>
      <w:r>
        <w:rPr>
          <w:color w:val="000000"/>
          <w:sz w:val="24"/>
        </w:rPr>
        <w:t>2.</w:t>
      </w:r>
      <w:r>
        <w:rPr>
          <w:color w:val="000000"/>
          <w:sz w:val="24"/>
        </w:rPr>
        <w:t>服务质</w:t>
      </w:r>
      <w:r>
        <w:rPr>
          <w:color w:val="000000"/>
          <w:sz w:val="24"/>
        </w:rPr>
        <w:t>量标准：</w:t>
      </w:r>
      <w:r>
        <w:rPr>
          <w:color w:val="000000"/>
          <w:sz w:val="24"/>
        </w:rPr>
        <w:t>甲方</w:t>
      </w:r>
      <w:r>
        <w:rPr>
          <w:color w:val="000000"/>
          <w:sz w:val="24"/>
        </w:rPr>
        <w:t>按照</w:t>
      </w:r>
      <w:r>
        <w:rPr>
          <w:sz w:val="24"/>
        </w:rPr>
        <w:t>《运维服务工作服务考核表》（附件</w:t>
      </w:r>
      <w:r>
        <w:rPr>
          <w:sz w:val="24"/>
        </w:rPr>
        <w:t>1</w:t>
      </w:r>
      <w:r>
        <w:rPr>
          <w:sz w:val="24"/>
        </w:rPr>
        <w:t>）中的运维服务内容进行考核。</w:t>
      </w:r>
    </w:p>
    <w:p>
      <w:pPr>
        <w:ind w:firstLine="420"/>
        <w:jc w:val="left"/>
      </w:pPr>
    </w:p>
    <w:p>
      <w:pPr>
        <w:ind w:firstLine="420"/>
        <w:jc w:val="left"/>
      </w:pPr>
      <w:r>
        <w:rPr>
          <w:b/>
          <w:sz w:val="24"/>
        </w:rPr>
        <w:t>第五条</w:t>
      </w:r>
      <w:r>
        <w:rPr>
          <w:b/>
          <w:sz w:val="24"/>
        </w:rPr>
        <w:t xml:space="preserve"> </w:t>
      </w:r>
      <w:r>
        <w:rPr>
          <w:b/>
          <w:sz w:val="24"/>
        </w:rPr>
        <w:t>项目人员要求和项目办公地点</w:t>
      </w:r>
    </w:p>
    <w:p>
      <w:pPr>
        <w:numPr>
          <w:ilvl w:val="0"/>
          <w:numId w:val="2"/>
        </w:numPr>
        <w:jc w:val="left"/>
      </w:pPr>
      <w:r>
        <w:rPr>
          <w:color w:val="000000"/>
          <w:sz w:val="24"/>
        </w:rPr>
        <w:t>乙方投入的人员要求：</w:t>
      </w:r>
      <w:r>
        <w:rPr>
          <w:color w:val="000000"/>
          <w:sz w:val="24"/>
        </w:rPr>
        <w:t>驻场服务组</w:t>
      </w:r>
      <w:r>
        <w:rPr>
          <w:sz w:val="21"/>
          <w:u w:val="single"/>
        </w:rPr>
        <w:t xml:space="preserve">  </w:t>
      </w:r>
      <w:r>
        <w:rPr>
          <w:color w:val="000000"/>
          <w:sz w:val="24"/>
        </w:rPr>
        <w:t>名</w:t>
      </w:r>
      <w:r>
        <w:rPr>
          <w:color w:val="000000"/>
          <w:sz w:val="24"/>
        </w:rPr>
        <w:t>（</w:t>
      </w:r>
      <w:r>
        <w:rPr>
          <w:color w:val="000000"/>
          <w:sz w:val="24"/>
        </w:rPr>
        <w:t>项目经理</w:t>
      </w:r>
      <w:r>
        <w:rPr>
          <w:sz w:val="21"/>
          <w:u w:val="single"/>
        </w:rPr>
        <w:t xml:space="preserve">  </w:t>
      </w:r>
      <w:r>
        <w:rPr>
          <w:color w:val="000000"/>
          <w:sz w:val="24"/>
        </w:rPr>
        <w:t>名、</w:t>
      </w:r>
      <w:r>
        <w:rPr>
          <w:color w:val="000000"/>
          <w:sz w:val="24"/>
        </w:rPr>
        <w:t>安全负责人</w:t>
      </w:r>
      <w:r>
        <w:rPr>
          <w:sz w:val="21"/>
          <w:u w:val="single"/>
        </w:rPr>
        <w:t xml:space="preserve">  </w:t>
      </w:r>
      <w:r>
        <w:rPr>
          <w:color w:val="000000"/>
          <w:sz w:val="24"/>
        </w:rPr>
        <w:t>名、</w:t>
      </w:r>
      <w:r>
        <w:rPr>
          <w:color w:val="000000"/>
          <w:sz w:val="24"/>
        </w:rPr>
        <w:t>驻点负责</w:t>
      </w:r>
      <w:r>
        <w:rPr>
          <w:color w:val="000000"/>
          <w:sz w:val="24"/>
        </w:rPr>
        <w:t>人</w:t>
      </w:r>
      <w:r>
        <w:rPr>
          <w:sz w:val="21"/>
          <w:u w:val="single"/>
        </w:rPr>
        <w:t xml:space="preserve">  </w:t>
      </w:r>
      <w:r>
        <w:rPr>
          <w:color w:val="000000"/>
          <w:sz w:val="24"/>
        </w:rPr>
        <w:t>名、</w:t>
      </w:r>
      <w:r>
        <w:rPr>
          <w:color w:val="000000"/>
          <w:sz w:val="24"/>
        </w:rPr>
        <w:t>其他</w:t>
      </w:r>
      <w:r>
        <w:rPr>
          <w:color w:val="000000"/>
          <w:sz w:val="24"/>
        </w:rPr>
        <w:t>驻场</w:t>
      </w:r>
      <w:r>
        <w:rPr>
          <w:color w:val="000000"/>
          <w:sz w:val="24"/>
        </w:rPr>
        <w:t>服务</w:t>
      </w:r>
      <w:r>
        <w:rPr>
          <w:color w:val="000000"/>
          <w:sz w:val="24"/>
        </w:rPr>
        <w:t>组</w:t>
      </w:r>
      <w:r>
        <w:rPr>
          <w:color w:val="000000"/>
          <w:sz w:val="24"/>
        </w:rPr>
        <w:t>员</w:t>
      </w:r>
      <w:r>
        <w:rPr>
          <w:sz w:val="21"/>
          <w:u w:val="single"/>
        </w:rPr>
        <w:t xml:space="preserve">  </w:t>
      </w:r>
      <w:r>
        <w:rPr>
          <w:color w:val="000000"/>
          <w:sz w:val="24"/>
        </w:rPr>
        <w:t>名</w:t>
      </w:r>
      <w:r>
        <w:rPr>
          <w:color w:val="000000"/>
          <w:sz w:val="24"/>
        </w:rPr>
        <w:t>）</w:t>
      </w:r>
      <w:r>
        <w:rPr>
          <w:color w:val="000000"/>
          <w:sz w:val="24"/>
        </w:rPr>
        <w:t>、平台维护组</w:t>
      </w:r>
      <w:r>
        <w:rPr>
          <w:sz w:val="21"/>
          <w:u w:val="single"/>
        </w:rPr>
        <w:t xml:space="preserve">  </w:t>
      </w:r>
      <w:r>
        <w:rPr>
          <w:color w:val="000000"/>
          <w:sz w:val="24"/>
        </w:rPr>
        <w:t>名、专题运营组</w:t>
      </w:r>
      <w:r>
        <w:rPr>
          <w:sz w:val="21"/>
          <w:u w:val="single"/>
        </w:rPr>
        <w:t xml:space="preserve">  </w:t>
      </w:r>
      <w:r>
        <w:rPr>
          <w:color w:val="000000"/>
          <w:sz w:val="24"/>
        </w:rPr>
        <w:t>名</w:t>
      </w:r>
      <w:r>
        <w:rPr>
          <w:color w:val="000000"/>
          <w:sz w:val="24"/>
        </w:rPr>
        <w:t>、</w:t>
      </w:r>
      <w:r>
        <w:rPr>
          <w:color w:val="000000"/>
          <w:sz w:val="24"/>
        </w:rPr>
        <w:t>安全运营团队及</w:t>
      </w:r>
      <w:r>
        <w:rPr>
          <w:color w:val="000000"/>
          <w:sz w:val="24"/>
        </w:rPr>
        <w:t>技术</w:t>
      </w:r>
      <w:r>
        <w:rPr>
          <w:color w:val="000000"/>
          <w:sz w:val="24"/>
        </w:rPr>
        <w:t>支撑</w:t>
      </w:r>
      <w:r>
        <w:rPr>
          <w:color w:val="000000"/>
          <w:sz w:val="24"/>
        </w:rPr>
        <w:t>组</w:t>
      </w:r>
      <w:r>
        <w:rPr>
          <w:sz w:val="21"/>
        </w:rPr>
        <w:t xml:space="preserve">  </w:t>
      </w:r>
      <w:r>
        <w:rPr>
          <w:color w:val="000000"/>
          <w:sz w:val="24"/>
        </w:rPr>
        <w:t>名</w:t>
      </w:r>
      <w:r>
        <w:rPr>
          <w:color w:val="000000"/>
          <w:sz w:val="24"/>
        </w:rPr>
        <w:t>（</w:t>
      </w:r>
      <w:r>
        <w:rPr>
          <w:color w:val="000000"/>
          <w:sz w:val="24"/>
        </w:rPr>
        <w:t>如</w:t>
      </w:r>
      <w:r>
        <w:rPr>
          <w:color w:val="000000"/>
          <w:sz w:val="24"/>
        </w:rPr>
        <w:t>有</w:t>
      </w:r>
      <w:r>
        <w:rPr>
          <w:color w:val="000000"/>
          <w:sz w:val="24"/>
        </w:rPr>
        <w:t>）</w:t>
      </w:r>
      <w:r>
        <w:rPr>
          <w:color w:val="000000"/>
          <w:sz w:val="24"/>
        </w:rPr>
        <w:t>。</w:t>
      </w:r>
      <w:r>
        <w:rPr>
          <w:color w:val="000000"/>
          <w:sz w:val="24"/>
        </w:rPr>
        <w:t>（</w:t>
      </w:r>
      <w:r>
        <w:rPr>
          <w:color w:val="000000"/>
          <w:sz w:val="24"/>
        </w:rPr>
        <w:t>详见</w:t>
      </w:r>
      <w:r>
        <w:rPr>
          <w:color w:val="000000"/>
          <w:sz w:val="24"/>
        </w:rPr>
        <w:t>合同</w:t>
      </w:r>
      <w:r>
        <w:rPr>
          <w:color w:val="000000"/>
          <w:sz w:val="24"/>
        </w:rPr>
        <w:t>附</w:t>
      </w:r>
      <w:r>
        <w:rPr>
          <w:color w:val="000000"/>
          <w:sz w:val="24"/>
        </w:rPr>
        <w:t>件</w:t>
      </w:r>
      <w:r>
        <w:rPr>
          <w:color w:val="000000"/>
          <w:sz w:val="24"/>
        </w:rPr>
        <w:t>3</w:t>
      </w:r>
      <w:r>
        <w:rPr>
          <w:sz w:val="21"/>
        </w:rPr>
        <w:t xml:space="preserve"> </w:t>
      </w:r>
      <w:r>
        <w:rPr>
          <w:color w:val="000000"/>
          <w:sz w:val="24"/>
        </w:rPr>
        <w:t>《</w:t>
      </w:r>
      <w:r>
        <w:rPr>
          <w:color w:val="000000"/>
          <w:sz w:val="24"/>
        </w:rPr>
        <w:t>服务团队岗位表</w:t>
      </w:r>
      <w:r>
        <w:rPr>
          <w:color w:val="000000"/>
          <w:sz w:val="24"/>
        </w:rPr>
        <w:t>》</w:t>
      </w:r>
      <w:r>
        <w:rPr>
          <w:color w:val="000000"/>
          <w:sz w:val="24"/>
        </w:rPr>
        <w:t>）</w:t>
      </w:r>
    </w:p>
    <w:p>
      <w:pPr>
        <w:numPr>
          <w:ilvl w:val="0"/>
          <w:numId w:val="2"/>
        </w:numPr>
        <w:jc w:val="left"/>
      </w:pPr>
      <w:r>
        <w:rPr>
          <w:color w:val="000000"/>
          <w:sz w:val="24"/>
        </w:rPr>
        <w:t>项目办公地点：中山</w:t>
      </w:r>
      <w:r>
        <w:rPr>
          <w:color w:val="000000"/>
          <w:sz w:val="24"/>
        </w:rPr>
        <w:t>市。</w:t>
      </w:r>
    </w:p>
    <w:p>
      <w:pPr>
        <w:ind w:firstLine="420"/>
        <w:jc w:val="left"/>
      </w:pPr>
    </w:p>
    <w:p>
      <w:pPr>
        <w:ind w:firstLine="420"/>
        <w:jc w:val="left"/>
      </w:pPr>
      <w:r>
        <w:rPr>
          <w:b/>
          <w:sz w:val="24"/>
        </w:rPr>
        <w:t>第六条</w:t>
      </w:r>
      <w:r>
        <w:rPr>
          <w:b/>
          <w:sz w:val="24"/>
        </w:rPr>
        <w:t xml:space="preserve"> </w:t>
      </w:r>
      <w:r>
        <w:rPr>
          <w:b/>
          <w:sz w:val="24"/>
        </w:rPr>
        <w:t>双方的义务和权利</w:t>
      </w:r>
    </w:p>
    <w:p>
      <w:pPr>
        <w:numPr>
          <w:ilvl w:val="0"/>
          <w:numId w:val="2"/>
        </w:numPr>
        <w:jc w:val="left"/>
      </w:pPr>
      <w:r>
        <w:rPr>
          <w:color w:val="000000"/>
          <w:sz w:val="24"/>
        </w:rPr>
        <w:t>甲方的权利和义务</w:t>
      </w:r>
    </w:p>
    <w:p>
      <w:pPr>
        <w:ind w:firstLine="480"/>
        <w:jc w:val="left"/>
      </w:pPr>
      <w:r>
        <w:rPr>
          <w:color w:val="000000"/>
          <w:sz w:val="24"/>
        </w:rPr>
        <w:t>（</w:t>
      </w:r>
      <w:r>
        <w:rPr>
          <w:color w:val="000000"/>
          <w:sz w:val="24"/>
        </w:rPr>
        <w:t>1）指定项目负责人，负责项目运维过程中相关问题的协调</w:t>
      </w:r>
      <w:r>
        <w:rPr>
          <w:color w:val="000000"/>
          <w:sz w:val="24"/>
        </w:rPr>
        <w:t>；</w:t>
      </w:r>
    </w:p>
    <w:p>
      <w:pPr>
        <w:ind w:firstLine="480"/>
        <w:jc w:val="left"/>
      </w:pPr>
      <w:r>
        <w:rPr>
          <w:color w:val="000000"/>
          <w:sz w:val="24"/>
        </w:rPr>
        <w:t>（</w:t>
      </w:r>
      <w:r>
        <w:rPr>
          <w:color w:val="000000"/>
          <w:sz w:val="24"/>
        </w:rPr>
        <w:t>2）按照合同约定按时支付合同费用</w:t>
      </w:r>
      <w:r>
        <w:rPr>
          <w:color w:val="000000"/>
          <w:sz w:val="24"/>
        </w:rPr>
        <w:t>；</w:t>
      </w:r>
    </w:p>
    <w:p>
      <w:pPr>
        <w:ind w:firstLine="480"/>
        <w:jc w:val="left"/>
      </w:pPr>
      <w:r>
        <w:rPr>
          <w:color w:val="000000"/>
          <w:sz w:val="24"/>
        </w:rPr>
        <w:t>（</w:t>
      </w:r>
      <w:r>
        <w:rPr>
          <w:color w:val="000000"/>
          <w:sz w:val="24"/>
        </w:rPr>
        <w:t>3）审核乙方提出的服务年度计划，监督乙方实施运维工作并对运维工作情况进行考核</w:t>
      </w:r>
      <w:r>
        <w:rPr>
          <w:color w:val="000000"/>
          <w:sz w:val="24"/>
        </w:rPr>
        <w:t>；</w:t>
      </w:r>
    </w:p>
    <w:p>
      <w:pPr>
        <w:ind w:firstLine="480"/>
        <w:jc w:val="left"/>
      </w:pPr>
      <w:r>
        <w:rPr>
          <w:color w:val="000000"/>
          <w:sz w:val="24"/>
        </w:rPr>
        <w:t>（</w:t>
      </w:r>
      <w:r>
        <w:rPr>
          <w:color w:val="000000"/>
          <w:sz w:val="24"/>
        </w:rPr>
        <w:t>4）甲方有权对不履行合同或违反甲方管理规定的乙方人员提出警告或有权要求乙方将其调离甲方的工作场地。</w:t>
      </w:r>
    </w:p>
    <w:p>
      <w:pPr>
        <w:ind w:firstLine="480"/>
        <w:jc w:val="left"/>
      </w:pPr>
      <w:r>
        <w:rPr>
          <w:color w:val="000000"/>
          <w:sz w:val="24"/>
        </w:rPr>
        <w:t>（</w:t>
      </w:r>
      <w:r>
        <w:rPr>
          <w:color w:val="000000"/>
          <w:sz w:val="24"/>
        </w:rPr>
        <w:t>1）乙方须在合同及</w:t>
      </w:r>
      <w:r>
        <w:rPr>
          <w:color w:val="000000"/>
          <w:sz w:val="24"/>
        </w:rPr>
        <w:t>招标文件</w:t>
      </w:r>
      <w:r>
        <w:rPr>
          <w:color w:val="000000"/>
          <w:sz w:val="24"/>
        </w:rPr>
        <w:t>约定的时间内完成运维的全部工作；</w:t>
      </w:r>
    </w:p>
    <w:p>
      <w:pPr>
        <w:ind w:firstLine="480"/>
        <w:jc w:val="left"/>
      </w:pPr>
      <w:r>
        <w:rPr>
          <w:sz w:val="24"/>
        </w:rPr>
        <w:t>（</w:t>
      </w:r>
      <w:r>
        <w:rPr>
          <w:sz w:val="24"/>
        </w:rPr>
        <w:t>2</w:t>
      </w:r>
      <w:r>
        <w:rPr>
          <w:sz w:val="24"/>
        </w:rPr>
        <w:t>）乙方于每年</w:t>
      </w:r>
      <w:r>
        <w:rPr>
          <w:sz w:val="21"/>
          <w:u w:val="single"/>
        </w:rPr>
        <w:t xml:space="preserve">    </w:t>
      </w:r>
      <w:r>
        <w:rPr>
          <w:sz w:val="24"/>
        </w:rPr>
        <w:t>月向甲方提</w:t>
      </w:r>
      <w:r>
        <w:rPr>
          <w:sz w:val="24"/>
        </w:rPr>
        <w:t>出当年的服务年度计划，并严格按照技术标准和技术要求开展工作，接受甲方的监督和考核；</w:t>
      </w:r>
    </w:p>
    <w:p>
      <w:pPr>
        <w:ind w:firstLine="480"/>
        <w:jc w:val="left"/>
      </w:pPr>
      <w:r>
        <w:rPr>
          <w:color w:val="000000"/>
          <w:sz w:val="24"/>
        </w:rPr>
        <w:t>（</w:t>
      </w:r>
      <w:r>
        <w:rPr>
          <w:color w:val="000000"/>
          <w:sz w:val="24"/>
        </w:rPr>
        <w:t>3）</w:t>
      </w:r>
      <w:r>
        <w:rPr>
          <w:sz w:val="24"/>
        </w:rPr>
        <w:t>乙</w:t>
      </w:r>
      <w:r>
        <w:rPr>
          <w:sz w:val="24"/>
        </w:rPr>
        <w:t>方应为所有项目组人员购买</w:t>
      </w:r>
      <w:r>
        <w:rPr>
          <w:sz w:val="24"/>
        </w:rPr>
        <w:t>社会</w:t>
      </w:r>
      <w:r>
        <w:rPr>
          <w:sz w:val="24"/>
        </w:rPr>
        <w:t>保险</w:t>
      </w:r>
      <w:r>
        <w:rPr>
          <w:sz w:val="24"/>
        </w:rPr>
        <w:t>并承担因此产生的费用，对于项目组成员因为工作在现场引起的各种工伤、安全事件和事故，均由乙方负责处理并承担赔偿责任，甲方免予承担一切责任，如给甲方造成损失的，乙方须承担赔偿责任</w:t>
      </w:r>
      <w:r>
        <w:rPr>
          <w:color w:val="000000"/>
          <w:sz w:val="24"/>
        </w:rPr>
        <w:t>；</w:t>
      </w:r>
    </w:p>
    <w:p>
      <w:pPr>
        <w:ind w:firstLine="480"/>
        <w:jc w:val="left"/>
      </w:pPr>
      <w:r>
        <w:rPr>
          <w:sz w:val="24"/>
        </w:rPr>
        <w:t>（</w:t>
      </w:r>
      <w:r>
        <w:rPr>
          <w:sz w:val="24"/>
        </w:rPr>
        <w:t>4）乙方应按照招标文件要求向甲方提供相关的系统维护报告，并于项目服务期届满之日起</w:t>
      </w:r>
      <w:r>
        <w:rPr>
          <w:sz w:val="21"/>
          <w:u w:val="single"/>
        </w:rPr>
        <w:t xml:space="preserve">    </w:t>
      </w:r>
      <w:r>
        <w:rPr>
          <w:sz w:val="24"/>
        </w:rPr>
        <w:t>日内将系统的全部有关维护处理文档汇集成册交付给甲方</w:t>
      </w:r>
      <w:r>
        <w:rPr>
          <w:sz w:val="24"/>
        </w:rPr>
        <w:t>；</w:t>
      </w:r>
    </w:p>
    <w:p>
      <w:pPr>
        <w:ind w:firstLine="480"/>
        <w:jc w:val="left"/>
      </w:pPr>
      <w:r>
        <w:rPr>
          <w:color w:val="000000"/>
          <w:sz w:val="24"/>
        </w:rPr>
        <w:t>（</w:t>
      </w:r>
      <w:r>
        <w:rPr>
          <w:color w:val="000000"/>
          <w:sz w:val="24"/>
        </w:rPr>
        <w:t>5）</w:t>
      </w:r>
      <w:r>
        <w:rPr>
          <w:color w:val="000000"/>
          <w:sz w:val="24"/>
        </w:rPr>
        <w:t>乙方应保证，甲方在中华人民共和国使用乙方提供的服务的全部或任何一部分时，免受第三方提出的侵犯其专利权、商标权、著作权</w:t>
      </w:r>
      <w:r>
        <w:rPr>
          <w:color w:val="000000"/>
          <w:sz w:val="24"/>
        </w:rPr>
        <w:t>等知识产权</w:t>
      </w:r>
      <w:r>
        <w:rPr>
          <w:color w:val="000000"/>
          <w:sz w:val="24"/>
        </w:rPr>
        <w:t>或其他合法权利的起诉。如发生此类纠纷，由乙方承担一切责任。如造成甲方损失的，乙方还应赔偿甲方因此遭受一切损失</w:t>
      </w:r>
      <w:r>
        <w:rPr>
          <w:color w:val="000000"/>
          <w:sz w:val="24"/>
        </w:rPr>
        <w:t>；</w:t>
      </w:r>
    </w:p>
    <w:p>
      <w:pPr>
        <w:ind w:firstLine="480"/>
        <w:jc w:val="left"/>
      </w:pPr>
      <w:r>
        <w:rPr>
          <w:color w:val="000000"/>
          <w:sz w:val="24"/>
        </w:rPr>
        <w:t>（</w:t>
      </w:r>
      <w:r>
        <w:rPr>
          <w:color w:val="000000"/>
          <w:sz w:val="24"/>
        </w:rPr>
        <w:t>6</w:t>
      </w:r>
      <w:r>
        <w:rPr>
          <w:color w:val="000000"/>
          <w:sz w:val="24"/>
        </w:rPr>
        <w:t>）</w:t>
      </w:r>
      <w:r>
        <w:rPr>
          <w:color w:val="000000"/>
          <w:sz w:val="24"/>
        </w:rPr>
        <w:t>乙方一般情况不得更换项目团队人员，如需更换提前</w:t>
      </w:r>
      <w:r>
        <w:rPr>
          <w:color w:val="000000"/>
          <w:sz w:val="24"/>
        </w:rPr>
        <w:t>5个工作日书面报告甲方，征得甲方同意情况下才能更换</w:t>
      </w:r>
      <w:r>
        <w:rPr>
          <w:color w:val="000000"/>
          <w:sz w:val="24"/>
        </w:rPr>
        <w:t>，</w:t>
      </w:r>
      <w:r>
        <w:rPr>
          <w:color w:val="000000"/>
          <w:sz w:val="24"/>
        </w:rPr>
        <w:t>更换</w:t>
      </w:r>
      <w:r>
        <w:rPr>
          <w:color w:val="000000"/>
          <w:sz w:val="24"/>
        </w:rPr>
        <w:t>的</w:t>
      </w:r>
      <w:r>
        <w:rPr>
          <w:color w:val="000000"/>
          <w:sz w:val="24"/>
        </w:rPr>
        <w:t>人员</w:t>
      </w:r>
      <w:r>
        <w:rPr>
          <w:color w:val="000000"/>
          <w:sz w:val="24"/>
        </w:rPr>
        <w:t>资质</w:t>
      </w:r>
      <w:r>
        <w:rPr>
          <w:color w:val="000000"/>
          <w:sz w:val="24"/>
        </w:rPr>
        <w:t>不得</w:t>
      </w:r>
      <w:r>
        <w:rPr>
          <w:color w:val="000000"/>
          <w:sz w:val="24"/>
        </w:rPr>
        <w:t>低于</w:t>
      </w:r>
      <w:r>
        <w:rPr>
          <w:color w:val="000000"/>
          <w:sz w:val="24"/>
        </w:rPr>
        <w:t>原</w:t>
      </w:r>
      <w:r>
        <w:rPr>
          <w:color w:val="000000"/>
          <w:sz w:val="24"/>
        </w:rPr>
        <w:t>人员</w:t>
      </w:r>
      <w:r>
        <w:rPr>
          <w:color w:val="000000"/>
          <w:sz w:val="24"/>
        </w:rPr>
        <w:t>的</w:t>
      </w:r>
      <w:r>
        <w:rPr>
          <w:color w:val="000000"/>
          <w:sz w:val="24"/>
        </w:rPr>
        <w:t>资质</w:t>
      </w:r>
      <w:r>
        <w:rPr>
          <w:color w:val="000000"/>
          <w:sz w:val="24"/>
        </w:rPr>
        <w:t>；如果项目团队人员存在工作态度、责任心、技术能力、协调能力等方面之一的问题时，甲方有权要求乙方更换项目团队人员，并且乙方在收到甲方书面通知之日起</w:t>
      </w:r>
      <w:r>
        <w:rPr>
          <w:color w:val="000000"/>
          <w:sz w:val="24"/>
        </w:rPr>
        <w:t>5个工作日内更换，否则，甲方有权解除本合同。</w:t>
      </w:r>
    </w:p>
    <w:p>
      <w:pPr>
        <w:ind w:firstLine="420"/>
        <w:jc w:val="left"/>
      </w:pPr>
    </w:p>
    <w:p>
      <w:pPr>
        <w:ind w:firstLine="420"/>
        <w:jc w:val="left"/>
      </w:pPr>
      <w:r>
        <w:rPr>
          <w:b/>
          <w:sz w:val="24"/>
        </w:rPr>
        <w:t>第七条</w:t>
      </w:r>
      <w:r>
        <w:rPr>
          <w:b/>
          <w:sz w:val="24"/>
        </w:rPr>
        <w:t xml:space="preserve"> </w:t>
      </w:r>
      <w:r>
        <w:rPr>
          <w:b/>
          <w:sz w:val="24"/>
        </w:rPr>
        <w:t>付款方式</w:t>
      </w:r>
    </w:p>
    <w:p>
      <w:pPr>
        <w:ind w:firstLine="480"/>
      </w:pPr>
      <w:r>
        <w:rPr>
          <w:sz w:val="24"/>
        </w:rPr>
        <w:t>1.</w:t>
      </w:r>
      <w:r>
        <w:rPr>
          <w:sz w:val="24"/>
        </w:rPr>
        <w:t>合同款分</w:t>
      </w:r>
      <w:r>
        <w:rPr>
          <w:sz w:val="24"/>
        </w:rPr>
        <w:t>四</w:t>
      </w:r>
      <w:r>
        <w:rPr>
          <w:sz w:val="24"/>
        </w:rPr>
        <w:t>期支付。由</w:t>
      </w:r>
      <w:r>
        <w:rPr>
          <w:sz w:val="24"/>
        </w:rPr>
        <w:t>甲方</w:t>
      </w:r>
      <w:r>
        <w:rPr>
          <w:sz w:val="24"/>
        </w:rPr>
        <w:t>按下列程序付款：</w:t>
      </w:r>
    </w:p>
    <w:p>
      <w:pPr>
        <w:ind w:firstLine="480"/>
        <w:jc w:val="left"/>
      </w:pPr>
      <w:r>
        <w:rPr>
          <w:sz w:val="24"/>
        </w:rPr>
        <w:t>（</w:t>
      </w:r>
      <w:r>
        <w:rPr>
          <w:sz w:val="24"/>
        </w:rPr>
        <w:t>1）第一期支付：</w:t>
      </w:r>
      <w:r>
        <w:rPr>
          <w:sz w:val="24"/>
        </w:rPr>
        <w:t>2024年</w:t>
      </w:r>
      <w:r>
        <w:rPr>
          <w:sz w:val="24"/>
        </w:rPr>
        <w:t>8</w:t>
      </w:r>
      <w:r>
        <w:rPr>
          <w:sz w:val="24"/>
        </w:rPr>
        <w:t>月</w:t>
      </w:r>
      <w:r>
        <w:rPr>
          <w:sz w:val="24"/>
        </w:rPr>
        <w:t>前</w:t>
      </w:r>
      <w:r>
        <w:rPr>
          <w:sz w:val="24"/>
        </w:rPr>
        <w:t>，在</w:t>
      </w:r>
      <w:r>
        <w:rPr>
          <w:sz w:val="24"/>
        </w:rPr>
        <w:t>乙方</w:t>
      </w:r>
      <w:r>
        <w:rPr>
          <w:sz w:val="24"/>
        </w:rPr>
        <w:t>已经提交自服务期开始至</w:t>
      </w:r>
      <w:r>
        <w:rPr>
          <w:sz w:val="24"/>
        </w:rPr>
        <w:t>2024年</w:t>
      </w:r>
      <w:r>
        <w:rPr>
          <w:sz w:val="24"/>
        </w:rPr>
        <w:t>6</w:t>
      </w:r>
      <w:r>
        <w:rPr>
          <w:sz w:val="24"/>
        </w:rPr>
        <w:t>月的</w:t>
      </w:r>
      <w:r>
        <w:rPr>
          <w:sz w:val="24"/>
        </w:rPr>
        <w:t>服务报告及其它相关文件，且这些报告和文件符合合同附件上的要求并被</w:t>
      </w:r>
      <w:r>
        <w:rPr>
          <w:sz w:val="24"/>
        </w:rPr>
        <w:t>甲方</w:t>
      </w:r>
      <w:r>
        <w:rPr>
          <w:sz w:val="24"/>
        </w:rPr>
        <w:t>审批通过后，</w:t>
      </w:r>
      <w:r>
        <w:rPr>
          <w:sz w:val="24"/>
        </w:rPr>
        <w:t>甲方</w:t>
      </w:r>
      <w:r>
        <w:rPr>
          <w:sz w:val="24"/>
        </w:rPr>
        <w:t>向财政部门提交拨款申请及相关资料，在</w:t>
      </w:r>
      <w:r>
        <w:rPr>
          <w:sz w:val="24"/>
        </w:rPr>
        <w:t>15个工作日内支付合同总额20%给</w:t>
      </w:r>
      <w:r>
        <w:rPr>
          <w:sz w:val="24"/>
        </w:rPr>
        <w:t>乙方</w:t>
      </w:r>
      <w:r>
        <w:rPr>
          <w:sz w:val="24"/>
        </w:rPr>
        <w:t>；</w:t>
      </w:r>
    </w:p>
    <w:p>
      <w:pPr>
        <w:ind w:firstLine="480"/>
        <w:jc w:val="left"/>
      </w:pPr>
      <w:r>
        <w:rPr>
          <w:sz w:val="24"/>
        </w:rPr>
        <w:t>（</w:t>
      </w:r>
      <w:r>
        <w:rPr>
          <w:sz w:val="24"/>
        </w:rPr>
        <w:t>2）第二期支付：</w:t>
      </w:r>
      <w:r>
        <w:rPr>
          <w:sz w:val="24"/>
        </w:rPr>
        <w:t>2025年</w:t>
      </w:r>
      <w:r>
        <w:rPr>
          <w:sz w:val="24"/>
        </w:rPr>
        <w:t>2</w:t>
      </w:r>
      <w:r>
        <w:rPr>
          <w:sz w:val="24"/>
        </w:rPr>
        <w:t>月</w:t>
      </w:r>
      <w:r>
        <w:rPr>
          <w:sz w:val="24"/>
        </w:rPr>
        <w:t>前</w:t>
      </w:r>
      <w:r>
        <w:rPr>
          <w:sz w:val="24"/>
        </w:rPr>
        <w:t>，在</w:t>
      </w:r>
      <w:r>
        <w:rPr>
          <w:sz w:val="24"/>
        </w:rPr>
        <w:t>乙方</w:t>
      </w:r>
      <w:r>
        <w:rPr>
          <w:sz w:val="24"/>
        </w:rPr>
        <w:t>已经提交自</w:t>
      </w:r>
      <w:r>
        <w:rPr>
          <w:sz w:val="24"/>
        </w:rPr>
        <w:t>2024年</w:t>
      </w:r>
      <w:r>
        <w:rPr>
          <w:sz w:val="24"/>
        </w:rPr>
        <w:t>7</w:t>
      </w:r>
      <w:r>
        <w:rPr>
          <w:sz w:val="24"/>
        </w:rPr>
        <w:t>月至</w:t>
      </w:r>
      <w:r>
        <w:rPr>
          <w:sz w:val="24"/>
        </w:rPr>
        <w:t>202</w:t>
      </w:r>
      <w:r>
        <w:rPr>
          <w:sz w:val="24"/>
        </w:rPr>
        <w:t>4</w:t>
      </w:r>
      <w:r>
        <w:rPr>
          <w:sz w:val="24"/>
        </w:rPr>
        <w:t>年</w:t>
      </w:r>
      <w:r>
        <w:rPr>
          <w:sz w:val="24"/>
        </w:rPr>
        <w:t>1</w:t>
      </w:r>
      <w:r>
        <w:rPr>
          <w:sz w:val="24"/>
        </w:rPr>
        <w:t>2月</w:t>
      </w:r>
      <w:r>
        <w:rPr>
          <w:sz w:val="24"/>
        </w:rPr>
        <w:t>的服务报告及其它相关文件，且这些报告和文件符合合同附件上的要求并被</w:t>
      </w:r>
      <w:r>
        <w:rPr>
          <w:sz w:val="24"/>
        </w:rPr>
        <w:t>甲方</w:t>
      </w:r>
      <w:r>
        <w:rPr>
          <w:sz w:val="24"/>
        </w:rPr>
        <w:t>审批通过后，</w:t>
      </w:r>
      <w:r>
        <w:rPr>
          <w:sz w:val="24"/>
        </w:rPr>
        <w:t>甲方</w:t>
      </w:r>
      <w:r>
        <w:rPr>
          <w:sz w:val="24"/>
        </w:rPr>
        <w:t>向财政部门提交拨款申请及相关资料，在</w:t>
      </w:r>
      <w:r>
        <w:rPr>
          <w:sz w:val="24"/>
        </w:rPr>
        <w:t>15个工作日内支付合同总额20%给</w:t>
      </w:r>
      <w:r>
        <w:rPr>
          <w:sz w:val="24"/>
        </w:rPr>
        <w:t>乙方</w:t>
      </w:r>
      <w:r>
        <w:rPr>
          <w:sz w:val="24"/>
        </w:rPr>
        <w:t>；</w:t>
      </w:r>
    </w:p>
    <w:p>
      <w:pPr>
        <w:ind w:firstLine="480"/>
        <w:jc w:val="left"/>
      </w:pPr>
      <w:r>
        <w:rPr>
          <w:sz w:val="24"/>
        </w:rPr>
        <w:t>（</w:t>
      </w:r>
      <w:r>
        <w:rPr>
          <w:sz w:val="24"/>
        </w:rPr>
        <w:t>3）第三期支付：</w:t>
      </w:r>
      <w:r>
        <w:rPr>
          <w:sz w:val="24"/>
        </w:rPr>
        <w:t>2025年</w:t>
      </w:r>
      <w:r>
        <w:rPr>
          <w:sz w:val="24"/>
        </w:rPr>
        <w:t>8</w:t>
      </w:r>
      <w:r>
        <w:rPr>
          <w:sz w:val="24"/>
        </w:rPr>
        <w:t>月</w:t>
      </w:r>
      <w:r>
        <w:rPr>
          <w:sz w:val="24"/>
        </w:rPr>
        <w:t>前</w:t>
      </w:r>
      <w:r>
        <w:rPr>
          <w:sz w:val="24"/>
        </w:rPr>
        <w:t>，在</w:t>
      </w:r>
      <w:r>
        <w:rPr>
          <w:sz w:val="24"/>
        </w:rPr>
        <w:t>已经提交自</w:t>
      </w:r>
      <w:r>
        <w:rPr>
          <w:sz w:val="24"/>
        </w:rPr>
        <w:t>202</w:t>
      </w:r>
      <w:r>
        <w:rPr>
          <w:sz w:val="24"/>
        </w:rPr>
        <w:t>5</w:t>
      </w:r>
      <w:r>
        <w:rPr>
          <w:sz w:val="24"/>
        </w:rPr>
        <w:t>年</w:t>
      </w:r>
      <w:r>
        <w:rPr>
          <w:sz w:val="24"/>
        </w:rPr>
        <w:t>1</w:t>
      </w:r>
      <w:r>
        <w:rPr>
          <w:sz w:val="24"/>
        </w:rPr>
        <w:t>月至</w:t>
      </w:r>
      <w:r>
        <w:rPr>
          <w:sz w:val="24"/>
        </w:rPr>
        <w:t>202</w:t>
      </w:r>
      <w:r>
        <w:rPr>
          <w:sz w:val="24"/>
        </w:rPr>
        <w:t>5</w:t>
      </w:r>
      <w:r>
        <w:rPr>
          <w:sz w:val="24"/>
        </w:rPr>
        <w:t>年</w:t>
      </w:r>
      <w:r>
        <w:rPr>
          <w:sz w:val="24"/>
        </w:rPr>
        <w:t>6</w:t>
      </w:r>
      <w:r>
        <w:rPr>
          <w:sz w:val="24"/>
        </w:rPr>
        <w:t>月</w:t>
      </w:r>
      <w:r>
        <w:rPr>
          <w:sz w:val="24"/>
        </w:rPr>
        <w:t>的服务报告及其它相关文件，且这些报告和文件符合合同附件上的要求并被</w:t>
      </w:r>
      <w:r>
        <w:rPr>
          <w:sz w:val="24"/>
        </w:rPr>
        <w:t>甲方</w:t>
      </w:r>
      <w:r>
        <w:rPr>
          <w:sz w:val="24"/>
        </w:rPr>
        <w:t>审批通过后的前提下，</w:t>
      </w:r>
      <w:r>
        <w:rPr>
          <w:sz w:val="24"/>
        </w:rPr>
        <w:t>甲方</w:t>
      </w:r>
      <w:r>
        <w:rPr>
          <w:sz w:val="24"/>
        </w:rPr>
        <w:t>向财政部门提交拨款申请及相关资料，在</w:t>
      </w:r>
      <w:r>
        <w:rPr>
          <w:sz w:val="24"/>
        </w:rPr>
        <w:t>15个工作日内支付合同总额</w:t>
      </w:r>
      <w:r>
        <w:rPr>
          <w:sz w:val="24"/>
        </w:rPr>
        <w:t>3</w:t>
      </w:r>
      <w:r>
        <w:rPr>
          <w:sz w:val="24"/>
        </w:rPr>
        <w:t>0%给</w:t>
      </w:r>
      <w:r>
        <w:rPr>
          <w:sz w:val="24"/>
        </w:rPr>
        <w:t>乙方</w:t>
      </w:r>
      <w:r>
        <w:rPr>
          <w:sz w:val="24"/>
        </w:rPr>
        <w:t>；</w:t>
      </w:r>
    </w:p>
    <w:p>
      <w:pPr>
        <w:ind w:firstLine="480"/>
        <w:jc w:val="left"/>
      </w:pPr>
      <w:r>
        <w:rPr>
          <w:sz w:val="24"/>
        </w:rPr>
        <w:t>（</w:t>
      </w:r>
      <w:r>
        <w:rPr>
          <w:sz w:val="24"/>
        </w:rPr>
        <w:t>4</w:t>
      </w:r>
      <w:r>
        <w:rPr>
          <w:sz w:val="24"/>
        </w:rPr>
        <w:t>）第</w:t>
      </w:r>
      <w:r>
        <w:rPr>
          <w:sz w:val="24"/>
        </w:rPr>
        <w:t>四</w:t>
      </w:r>
      <w:r>
        <w:rPr>
          <w:sz w:val="24"/>
        </w:rPr>
        <w:t>期支付：</w:t>
      </w:r>
      <w:r>
        <w:rPr>
          <w:sz w:val="24"/>
        </w:rPr>
        <w:t>2026年</w:t>
      </w:r>
      <w:r>
        <w:rPr>
          <w:sz w:val="24"/>
        </w:rPr>
        <w:t>8</w:t>
      </w:r>
      <w:r>
        <w:rPr>
          <w:sz w:val="24"/>
        </w:rPr>
        <w:t>月</w:t>
      </w:r>
      <w:r>
        <w:rPr>
          <w:sz w:val="24"/>
        </w:rPr>
        <w:t>前</w:t>
      </w:r>
      <w:r>
        <w:rPr>
          <w:sz w:val="24"/>
        </w:rPr>
        <w:t>，</w:t>
      </w:r>
      <w:r>
        <w:rPr>
          <w:sz w:val="24"/>
        </w:rPr>
        <w:t>在</w:t>
      </w:r>
      <w:r>
        <w:rPr>
          <w:sz w:val="24"/>
        </w:rPr>
        <w:t>乙方提交服务总结报告和说明及其它相关文件并完全履行合同完毕且甲方验收通过后的</w:t>
      </w:r>
      <w:r>
        <w:rPr>
          <w:sz w:val="24"/>
        </w:rPr>
        <w:t>15个工作日内，甲方向财政部门提交拨款申请及相关资料，支付合同剩余尾款，如有扣罚则需扣除相应金额；</w:t>
      </w:r>
    </w:p>
    <w:p>
      <w:pPr>
        <w:ind w:firstLine="480"/>
        <w:jc w:val="left"/>
      </w:pPr>
      <w:r>
        <w:rPr>
          <w:sz w:val="24"/>
        </w:rPr>
        <w:t>2.</w:t>
      </w:r>
      <w:r>
        <w:rPr>
          <w:color w:val="000000"/>
          <w:sz w:val="24"/>
        </w:rPr>
        <w:t>所有费用支付前乙方须向甲方开具对应款项的发票申请支付，</w:t>
      </w:r>
      <w:r>
        <w:rPr>
          <w:sz w:val="24"/>
        </w:rPr>
        <w:t>甲方在上述规定时间内向政府采购支付部门提出支付申请手续后即视为甲方已经按期支付。</w:t>
      </w:r>
      <w:r>
        <w:rPr>
          <w:color w:val="000000"/>
          <w:sz w:val="24"/>
        </w:rPr>
        <w:t>具体到账时间以</w:t>
      </w:r>
      <w:r>
        <w:rPr>
          <w:color w:val="000000"/>
          <w:sz w:val="24"/>
        </w:rPr>
        <w:t>财政拨款时间为准。</w:t>
      </w:r>
    </w:p>
    <w:p>
      <w:pPr>
        <w:ind w:firstLine="480"/>
        <w:jc w:val="left"/>
      </w:pPr>
      <w:r>
        <w:rPr>
          <w:color w:val="000000"/>
          <w:sz w:val="24"/>
        </w:rPr>
        <w:t>注：</w:t>
      </w:r>
      <w:r>
        <w:rPr>
          <w:color w:val="000000"/>
          <w:sz w:val="24"/>
        </w:rPr>
        <w:t>1）因</w:t>
      </w:r>
      <w:r>
        <w:rPr>
          <w:color w:val="000000"/>
          <w:sz w:val="24"/>
        </w:rPr>
        <w:t>甲方</w:t>
      </w:r>
      <w:r>
        <w:rPr>
          <w:color w:val="000000"/>
          <w:sz w:val="24"/>
        </w:rPr>
        <w:t>使用的是财政资金，</w:t>
      </w:r>
      <w:r>
        <w:rPr>
          <w:color w:val="000000"/>
          <w:sz w:val="24"/>
        </w:rPr>
        <w:t>甲方</w:t>
      </w:r>
      <w:r>
        <w:rPr>
          <w:color w:val="000000"/>
          <w:sz w:val="24"/>
        </w:rPr>
        <w:t>付款时间为向政府采购支付部门提出办理财政支付申请手续的时间（不含政府财政支付部门审核的时间），在规定时间内提出支付申请手续后即视为</w:t>
      </w:r>
      <w:r>
        <w:rPr>
          <w:color w:val="000000"/>
          <w:sz w:val="24"/>
        </w:rPr>
        <w:t>甲方</w:t>
      </w:r>
      <w:r>
        <w:rPr>
          <w:color w:val="000000"/>
          <w:sz w:val="24"/>
        </w:rPr>
        <w:t>已经按期支付。</w:t>
      </w:r>
    </w:p>
    <w:p>
      <w:pPr>
        <w:ind w:firstLine="480"/>
        <w:jc w:val="left"/>
      </w:pPr>
      <w:r>
        <w:rPr>
          <w:color w:val="000000"/>
          <w:sz w:val="24"/>
        </w:rPr>
        <w:t>2）本项目涉及跨年资金，跨年资金的支付以当年下达的实际资金为准</w:t>
      </w:r>
      <w:r>
        <w:rPr>
          <w:color w:val="000000"/>
          <w:sz w:val="24"/>
        </w:rPr>
        <w:t>，</w:t>
      </w:r>
      <w:r>
        <w:rPr>
          <w:color w:val="000000"/>
          <w:sz w:val="24"/>
        </w:rPr>
        <w:t>如有</w:t>
      </w:r>
      <w:r>
        <w:rPr>
          <w:color w:val="000000"/>
          <w:sz w:val="24"/>
        </w:rPr>
        <w:t>变化</w:t>
      </w:r>
      <w:r>
        <w:rPr>
          <w:color w:val="000000"/>
          <w:sz w:val="24"/>
        </w:rPr>
        <w:t>，</w:t>
      </w:r>
      <w:r>
        <w:rPr>
          <w:color w:val="000000"/>
          <w:sz w:val="24"/>
        </w:rPr>
        <w:t>经</w:t>
      </w:r>
      <w:r>
        <w:rPr>
          <w:color w:val="000000"/>
          <w:sz w:val="24"/>
        </w:rPr>
        <w:t>双方</w:t>
      </w:r>
      <w:r>
        <w:rPr>
          <w:color w:val="000000"/>
          <w:sz w:val="24"/>
        </w:rPr>
        <w:t>协商</w:t>
      </w:r>
      <w:r>
        <w:rPr>
          <w:color w:val="000000"/>
          <w:sz w:val="24"/>
        </w:rPr>
        <w:t>可</w:t>
      </w:r>
      <w:r>
        <w:rPr>
          <w:color w:val="000000"/>
          <w:sz w:val="24"/>
        </w:rPr>
        <w:t>另行</w:t>
      </w:r>
      <w:r>
        <w:rPr>
          <w:color w:val="000000"/>
          <w:sz w:val="24"/>
        </w:rPr>
        <w:t>约定</w:t>
      </w:r>
      <w:r>
        <w:rPr>
          <w:color w:val="000000"/>
          <w:sz w:val="24"/>
        </w:rPr>
        <w:t>。</w:t>
      </w:r>
    </w:p>
    <w:p>
      <w:pPr>
        <w:jc w:val="left"/>
      </w:pPr>
      <w:r>
        <w:rPr>
          <w:color w:val="000000"/>
          <w:sz w:val="24"/>
        </w:rPr>
        <w:t>3.</w:t>
      </w:r>
      <w:r>
        <w:rPr>
          <w:color w:val="000000"/>
          <w:sz w:val="24"/>
        </w:rPr>
        <w:t>乙方开户银行名称、地址和账号为：</w:t>
      </w:r>
    </w:p>
    <w:p>
      <w:pPr>
        <w:ind w:firstLine="480"/>
        <w:jc w:val="both"/>
      </w:pPr>
      <w:r>
        <w:rPr>
          <w:color w:val="000000"/>
          <w:sz w:val="24"/>
        </w:rPr>
        <w:t>开户名称：</w:t>
      </w:r>
      <w:r>
        <w:rPr>
          <w:sz w:val="21"/>
          <w:u w:val="single"/>
        </w:rPr>
        <w:t xml:space="preserve">                        </w:t>
      </w:r>
      <w:r>
        <w:rPr>
          <w:sz w:val="21"/>
          <w:u w:val="single"/>
        </w:rPr>
        <w:t xml:space="preserve">                                </w:t>
      </w:r>
    </w:p>
    <w:p>
      <w:pPr>
        <w:ind w:firstLine="480"/>
        <w:jc w:val="both"/>
      </w:pPr>
      <w:r>
        <w:rPr>
          <w:color w:val="000000"/>
          <w:sz w:val="24"/>
        </w:rPr>
        <w:t>开户银行：</w:t>
      </w:r>
      <w:r>
        <w:rPr>
          <w:sz w:val="21"/>
          <w:u w:val="single"/>
        </w:rPr>
        <w:t xml:space="preserve">                        </w:t>
      </w:r>
      <w:r>
        <w:rPr>
          <w:sz w:val="21"/>
          <w:u w:val="single"/>
        </w:rPr>
        <w:t xml:space="preserve">                                </w:t>
      </w:r>
      <w:r>
        <w:rPr>
          <w:sz w:val="21"/>
        </w:rPr>
        <w:t xml:space="preserve"> </w:t>
      </w:r>
    </w:p>
    <w:p>
      <w:pPr>
        <w:ind w:firstLine="480"/>
        <w:jc w:val="both"/>
      </w:pPr>
      <w:r>
        <w:rPr>
          <w:color w:val="000000"/>
          <w:sz w:val="24"/>
        </w:rPr>
        <w:t>银行账号：</w:t>
      </w:r>
      <w:r>
        <w:rPr>
          <w:sz w:val="21"/>
          <w:u w:val="single"/>
        </w:rPr>
        <w:t xml:space="preserve">                        </w:t>
      </w:r>
      <w:r>
        <w:rPr>
          <w:sz w:val="21"/>
          <w:u w:val="single"/>
        </w:rPr>
        <w:t xml:space="preserve">                               </w:t>
      </w:r>
      <w:r>
        <w:rPr>
          <w:sz w:val="21"/>
          <w:u w:val="single"/>
        </w:rPr>
        <w:t xml:space="preserve"> </w:t>
      </w:r>
      <w:r>
        <w:rPr>
          <w:sz w:val="21"/>
        </w:rPr>
        <w:t xml:space="preserve"> </w:t>
      </w:r>
    </w:p>
    <w:p>
      <w:pPr>
        <w:ind w:firstLine="420"/>
        <w:jc w:val="left"/>
      </w:pPr>
    </w:p>
    <w:p>
      <w:pPr>
        <w:jc w:val="center"/>
      </w:pPr>
      <w:r>
        <w:rPr>
          <w:sz w:val="24"/>
        </w:rPr>
        <w:t>应</w:t>
      </w:r>
      <w:r>
        <w:rPr>
          <w:sz w:val="24"/>
        </w:rPr>
        <w:t>支付</w:t>
      </w:r>
      <w:r>
        <w:rPr>
          <w:sz w:val="24"/>
        </w:rPr>
        <w:t>服务费</w:t>
      </w:r>
      <w:r>
        <w:rPr>
          <w:sz w:val="24"/>
        </w:rPr>
        <w:t>=</w:t>
      </w:r>
      <w:r>
        <w:rPr>
          <w:sz w:val="24"/>
        </w:rPr>
        <w:t>（</w:t>
      </w:r>
      <w:r>
        <w:rPr>
          <w:sz w:val="24"/>
        </w:rPr>
        <w:t>1-</w:t>
      </w:r>
      <w:r>
        <w:rPr>
          <w:sz w:val="24"/>
        </w:rPr>
        <w:t>扣除系数）</w:t>
      </w:r>
      <w:r>
        <w:rPr>
          <w:sz w:val="24"/>
        </w:rPr>
        <w:t>*</w:t>
      </w:r>
      <w:r>
        <w:rPr>
          <w:sz w:val="24"/>
        </w:rPr>
        <w:t>当期支付总额</w:t>
      </w:r>
    </w:p>
    <w:p>
      <w:pPr>
        <w:ind w:firstLine="480"/>
      </w:pPr>
      <w:r>
        <w:rPr>
          <w:sz w:val="24"/>
        </w:rPr>
        <w:t>（</w:t>
      </w:r>
      <w:r>
        <w:rPr>
          <w:sz w:val="24"/>
        </w:rPr>
        <w:t>1）85分及以上，无需扣除；</w:t>
      </w:r>
    </w:p>
    <w:p>
      <w:pPr>
        <w:ind w:firstLine="480"/>
      </w:pPr>
      <w:r>
        <w:rPr>
          <w:sz w:val="24"/>
        </w:rPr>
        <w:t>（</w:t>
      </w:r>
      <w:r>
        <w:rPr>
          <w:sz w:val="24"/>
        </w:rPr>
        <w:t>2）80-85分，扣除系数为1</w:t>
      </w:r>
      <w:r>
        <w:rPr>
          <w:sz w:val="24"/>
        </w:rPr>
        <w:t>0</w:t>
      </w:r>
      <w:r>
        <w:rPr>
          <w:sz w:val="24"/>
        </w:rPr>
        <w:t>%；</w:t>
      </w:r>
    </w:p>
    <w:p>
      <w:pPr>
        <w:ind w:firstLine="480"/>
      </w:pPr>
      <w:r>
        <w:rPr>
          <w:sz w:val="24"/>
        </w:rPr>
        <w:t>（</w:t>
      </w:r>
      <w:r>
        <w:rPr>
          <w:sz w:val="24"/>
        </w:rPr>
        <w:t>3）70-79分，扣除系数为</w:t>
      </w:r>
      <w:r>
        <w:rPr>
          <w:sz w:val="24"/>
        </w:rPr>
        <w:t>20</w:t>
      </w:r>
      <w:r>
        <w:rPr>
          <w:sz w:val="24"/>
        </w:rPr>
        <w:t>%；</w:t>
      </w:r>
    </w:p>
    <w:p>
      <w:pPr>
        <w:ind w:firstLine="480"/>
      </w:pPr>
      <w:r>
        <w:rPr>
          <w:sz w:val="24"/>
        </w:rPr>
        <w:t>（</w:t>
      </w:r>
      <w:r>
        <w:rPr>
          <w:sz w:val="24"/>
        </w:rPr>
        <w:t>4）60-69分，扣除系数为</w:t>
      </w:r>
      <w:r>
        <w:rPr>
          <w:sz w:val="24"/>
        </w:rPr>
        <w:t>3</w:t>
      </w:r>
      <w:r>
        <w:rPr>
          <w:sz w:val="24"/>
        </w:rPr>
        <w:t>0%；</w:t>
      </w:r>
    </w:p>
    <w:p>
      <w:pPr>
        <w:ind w:firstLine="480"/>
      </w:pPr>
      <w:r>
        <w:rPr>
          <w:sz w:val="24"/>
        </w:rPr>
        <w:t>（</w:t>
      </w:r>
      <w:r>
        <w:rPr>
          <w:sz w:val="24"/>
        </w:rPr>
        <w:t>5）60分以下，扣除系数为</w:t>
      </w:r>
      <w:r>
        <w:rPr>
          <w:sz w:val="24"/>
        </w:rPr>
        <w:t>5</w:t>
      </w:r>
      <w:r>
        <w:rPr>
          <w:sz w:val="24"/>
        </w:rPr>
        <w:t>0%；</w:t>
      </w:r>
    </w:p>
    <w:p>
      <w:pPr>
        <w:ind w:firstLine="480"/>
      </w:pPr>
      <w:r>
        <w:rPr>
          <w:sz w:val="24"/>
        </w:rPr>
        <w:t>甲方</w:t>
      </w:r>
      <w:r>
        <w:rPr>
          <w:sz w:val="24"/>
        </w:rPr>
        <w:t>可视情况无条件</w:t>
      </w:r>
      <w:r>
        <w:rPr>
          <w:sz w:val="24"/>
        </w:rPr>
        <w:t>解除本</w:t>
      </w:r>
      <w:r>
        <w:rPr>
          <w:sz w:val="24"/>
        </w:rPr>
        <w:t>合同，因此给</w:t>
      </w:r>
      <w:r>
        <w:rPr>
          <w:sz w:val="24"/>
        </w:rPr>
        <w:t>甲方</w:t>
      </w:r>
      <w:r>
        <w:rPr>
          <w:sz w:val="24"/>
        </w:rPr>
        <w:t>造成的损失由</w:t>
      </w:r>
      <w:r>
        <w:rPr>
          <w:sz w:val="24"/>
        </w:rPr>
        <w:t>乙方</w:t>
      </w:r>
      <w:r>
        <w:rPr>
          <w:sz w:val="24"/>
        </w:rPr>
        <w:t>负责赔偿。</w:t>
      </w:r>
    </w:p>
    <w:p>
      <w:pPr>
        <w:jc w:val="left"/>
      </w:pPr>
    </w:p>
    <w:p>
      <w:pPr>
        <w:ind w:firstLine="420"/>
        <w:jc w:val="left"/>
      </w:pPr>
      <w:r>
        <w:rPr>
          <w:b/>
          <w:sz w:val="24"/>
        </w:rPr>
        <w:t>第九条</w:t>
      </w:r>
      <w:r>
        <w:rPr>
          <w:b/>
          <w:sz w:val="21"/>
        </w:rPr>
        <w:t xml:space="preserve">  </w:t>
      </w:r>
      <w:r>
        <w:rPr>
          <w:b/>
          <w:sz w:val="24"/>
        </w:rPr>
        <w:t>保密条款</w:t>
      </w:r>
    </w:p>
    <w:p>
      <w:pPr>
        <w:ind w:firstLine="480"/>
        <w:jc w:val="left"/>
      </w:pPr>
      <w:r>
        <w:rPr>
          <w:color w:val="000000"/>
          <w:sz w:val="24"/>
        </w:rPr>
        <w:t>1.根据《中华人民共和国保密法》及相关法规的规定，本合同项下的保密内容为乙方在履行本合同过程中涉及的甲方业务数据、程序源代码、业务程序及方式、管理的方法制度、专业技术、全部资料及其他用人单位和个人的信息。</w:t>
      </w:r>
    </w:p>
    <w:p>
      <w:pPr>
        <w:ind w:firstLine="480"/>
        <w:jc w:val="left"/>
      </w:pPr>
      <w:r>
        <w:rPr>
          <w:color w:val="000000"/>
          <w:sz w:val="24"/>
        </w:rPr>
        <w:t>2.乙方保证保密内容的使用仅限于本服务项目，未经甲方书面同意，不得直接或间接以泄露、公布、发布、出版、传授、转让或者其他任何方式使任何第三方（包括按照保密制度的约定不得知悉该项秘密的乙方的其他人员）知悉，或将其使用在其他项目中，也不得在履行本合同以外以任何方式使用或传播保密内容，禁止任何与保密内容无关之人员接触或取得保密内容。否则，乙方承担所有责任，并赔偿甲方及被侵权方因此遭受的一切损失。</w:t>
      </w:r>
    </w:p>
    <w:p>
      <w:pPr>
        <w:ind w:firstLine="480"/>
        <w:jc w:val="left"/>
      </w:pPr>
      <w:r>
        <w:rPr>
          <w:color w:val="000000"/>
          <w:sz w:val="24"/>
        </w:rPr>
        <w:t>3.乙方及参与本项目的人员须对保密内容予以保密，并自觉接受甲方对保密情况的监督和检查。</w:t>
      </w:r>
    </w:p>
    <w:p>
      <w:pPr>
        <w:ind w:firstLine="480"/>
        <w:jc w:val="left"/>
      </w:pPr>
      <w:r>
        <w:rPr>
          <w:color w:val="000000"/>
          <w:sz w:val="24"/>
        </w:rPr>
        <w:t>4.不论本合同是否变更、解除、终止，不论参与本项目的人员是否在职，本条款对乙方及曾参与本项目的人员均永久有效。</w:t>
      </w:r>
    </w:p>
    <w:p>
      <w:pPr>
        <w:ind w:firstLine="420"/>
        <w:jc w:val="left"/>
      </w:pPr>
    </w:p>
    <w:p>
      <w:pPr>
        <w:ind w:firstLine="420"/>
        <w:jc w:val="left"/>
      </w:pPr>
      <w:r>
        <w:rPr>
          <w:b/>
          <w:sz w:val="24"/>
        </w:rPr>
        <w:t>第</w:t>
      </w:r>
      <w:r>
        <w:rPr>
          <w:b/>
          <w:sz w:val="24"/>
        </w:rPr>
        <w:t>十</w:t>
      </w:r>
      <w:r>
        <w:rPr>
          <w:b/>
          <w:sz w:val="24"/>
        </w:rPr>
        <w:t>条</w:t>
      </w:r>
      <w:r>
        <w:rPr>
          <w:b/>
          <w:sz w:val="24"/>
        </w:rPr>
        <w:t xml:space="preserve"> </w:t>
      </w:r>
      <w:r>
        <w:rPr>
          <w:b/>
          <w:sz w:val="24"/>
        </w:rPr>
        <w:t>违约与赔偿责任</w:t>
      </w:r>
    </w:p>
    <w:p>
      <w:pPr>
        <w:ind w:firstLine="480"/>
        <w:jc w:val="both"/>
      </w:pPr>
      <w:r>
        <w:rPr>
          <w:color w:val="000000"/>
          <w:sz w:val="24"/>
        </w:rPr>
        <w:t>1.</w:t>
      </w:r>
      <w:r>
        <w:rPr>
          <w:color w:val="000000"/>
          <w:sz w:val="24"/>
        </w:rPr>
        <w:t>服务期内，因乙方</w:t>
      </w:r>
      <w:r>
        <w:rPr>
          <w:color w:val="000000"/>
          <w:sz w:val="24"/>
        </w:rPr>
        <w:t>未能按本合同或</w:t>
      </w:r>
      <w:r>
        <w:rPr>
          <w:color w:val="000000"/>
          <w:sz w:val="24"/>
        </w:rPr>
        <w:t>招标文件或《</w:t>
      </w:r>
      <w:r>
        <w:rPr>
          <w:color w:val="000000"/>
          <w:sz w:val="24"/>
        </w:rPr>
        <w:t>运维服务工作服务考核表》要求提供服务的，</w:t>
      </w:r>
      <w:r>
        <w:rPr>
          <w:color w:val="000000"/>
          <w:sz w:val="24"/>
        </w:rPr>
        <w:t>且</w:t>
      </w:r>
      <w:r>
        <w:rPr>
          <w:color w:val="000000"/>
          <w:sz w:val="24"/>
        </w:rPr>
        <w:t>甲方书面</w:t>
      </w:r>
      <w:r>
        <w:rPr>
          <w:color w:val="000000"/>
          <w:sz w:val="24"/>
        </w:rPr>
        <w:t>要求</w:t>
      </w:r>
      <w:r>
        <w:rPr>
          <w:color w:val="000000"/>
          <w:sz w:val="24"/>
        </w:rPr>
        <w:t>乙方</w:t>
      </w:r>
      <w:r>
        <w:rPr>
          <w:color w:val="000000"/>
          <w:sz w:val="24"/>
        </w:rPr>
        <w:t>整改</w:t>
      </w:r>
      <w:r>
        <w:rPr>
          <w:color w:val="000000"/>
          <w:sz w:val="24"/>
        </w:rPr>
        <w:t>，</w:t>
      </w:r>
      <w:r>
        <w:rPr>
          <w:color w:val="000000"/>
          <w:sz w:val="24"/>
        </w:rPr>
        <w:t>乙方</w:t>
      </w:r>
      <w:r>
        <w:rPr>
          <w:color w:val="000000"/>
          <w:sz w:val="24"/>
        </w:rPr>
        <w:t>拒不整改</w:t>
      </w:r>
      <w:r>
        <w:rPr>
          <w:color w:val="000000"/>
          <w:sz w:val="24"/>
        </w:rPr>
        <w:t>或整改</w:t>
      </w:r>
      <w:r>
        <w:rPr>
          <w:color w:val="000000"/>
          <w:sz w:val="24"/>
        </w:rPr>
        <w:t>后</w:t>
      </w:r>
      <w:r>
        <w:rPr>
          <w:color w:val="000000"/>
          <w:sz w:val="24"/>
        </w:rPr>
        <w:t>仍不</w:t>
      </w:r>
      <w:r>
        <w:rPr>
          <w:color w:val="000000"/>
          <w:sz w:val="24"/>
        </w:rPr>
        <w:t>符合</w:t>
      </w:r>
      <w:r>
        <w:rPr>
          <w:color w:val="000000"/>
          <w:sz w:val="24"/>
        </w:rPr>
        <w:t>要求的</w:t>
      </w:r>
      <w:r>
        <w:rPr>
          <w:color w:val="000000"/>
          <w:sz w:val="24"/>
        </w:rPr>
        <w:t>，</w:t>
      </w:r>
      <w:r>
        <w:rPr>
          <w:color w:val="000000"/>
          <w:sz w:val="24"/>
        </w:rPr>
        <w:t>甲方有权单方解除本合同，无需支付剩余的合同款项</w:t>
      </w:r>
      <w:r>
        <w:rPr>
          <w:color w:val="000000"/>
          <w:sz w:val="24"/>
        </w:rPr>
        <w:t>，</w:t>
      </w:r>
      <w:r>
        <w:rPr>
          <w:color w:val="000000"/>
          <w:sz w:val="24"/>
        </w:rPr>
        <w:t>乙方</w:t>
      </w:r>
      <w:r>
        <w:rPr>
          <w:color w:val="000000"/>
          <w:sz w:val="24"/>
        </w:rPr>
        <w:t>应向甲方支付相当于合同总价</w:t>
      </w:r>
      <w:r>
        <w:rPr>
          <w:color w:val="000000"/>
          <w:sz w:val="24"/>
        </w:rPr>
        <w:t>20</w:t>
      </w:r>
      <w:r>
        <w:rPr>
          <w:color w:val="000000"/>
          <w:sz w:val="24"/>
        </w:rPr>
        <w:t>%的违约金，并赔偿因此给甲方造成的损失。</w:t>
      </w:r>
      <w:r>
        <w:rPr>
          <w:sz w:val="21"/>
        </w:rPr>
        <w:t xml:space="preserve"> </w:t>
      </w:r>
    </w:p>
    <w:p>
      <w:pPr>
        <w:ind w:firstLine="480"/>
        <w:jc w:val="both"/>
      </w:pPr>
      <w:r>
        <w:rPr>
          <w:color w:val="000000"/>
          <w:sz w:val="24"/>
        </w:rPr>
        <w:t>2.</w:t>
      </w:r>
      <w:r>
        <w:rPr>
          <w:color w:val="000000"/>
          <w:sz w:val="24"/>
        </w:rPr>
        <w:t>如甲方</w:t>
      </w:r>
      <w:r>
        <w:rPr>
          <w:sz w:val="24"/>
        </w:rPr>
        <w:t>无故延期付款的，</w:t>
      </w:r>
      <w:r>
        <w:rPr>
          <w:sz w:val="24"/>
        </w:rPr>
        <w:t>乙方</w:t>
      </w:r>
      <w:r>
        <w:rPr>
          <w:sz w:val="24"/>
        </w:rPr>
        <w:t>有权</w:t>
      </w:r>
      <w:r>
        <w:rPr>
          <w:sz w:val="24"/>
        </w:rPr>
        <w:t>书面</w:t>
      </w:r>
      <w:r>
        <w:rPr>
          <w:sz w:val="24"/>
        </w:rPr>
        <w:t>敦促甲方</w:t>
      </w:r>
      <w:r>
        <w:rPr>
          <w:sz w:val="24"/>
        </w:rPr>
        <w:t>限期</w:t>
      </w:r>
      <w:r>
        <w:rPr>
          <w:sz w:val="24"/>
        </w:rPr>
        <w:t>支付，</w:t>
      </w:r>
      <w:r>
        <w:rPr>
          <w:sz w:val="24"/>
        </w:rPr>
        <w:t>如</w:t>
      </w:r>
      <w:r>
        <w:rPr>
          <w:sz w:val="24"/>
        </w:rPr>
        <w:t>甲方</w:t>
      </w:r>
      <w:r>
        <w:rPr>
          <w:sz w:val="24"/>
        </w:rPr>
        <w:t>未在</w:t>
      </w:r>
      <w:r>
        <w:rPr>
          <w:sz w:val="24"/>
        </w:rPr>
        <w:t>宽限期</w:t>
      </w:r>
      <w:r>
        <w:rPr>
          <w:sz w:val="24"/>
        </w:rPr>
        <w:t>内支付</w:t>
      </w:r>
      <w:r>
        <w:rPr>
          <w:sz w:val="24"/>
        </w:rPr>
        <w:t>的，</w:t>
      </w:r>
      <w:r>
        <w:rPr>
          <w:sz w:val="24"/>
        </w:rPr>
        <w:t>自宽限期届满次日起，</w:t>
      </w:r>
      <w:r>
        <w:rPr>
          <w:sz w:val="24"/>
        </w:rPr>
        <w:t>甲方应当</w:t>
      </w:r>
      <w:r>
        <w:rPr>
          <w:sz w:val="24"/>
        </w:rPr>
        <w:t>按</w:t>
      </w:r>
      <w:r>
        <w:rPr>
          <w:sz w:val="24"/>
        </w:rPr>
        <w:t>应付未付合同款项</w:t>
      </w:r>
      <w:r>
        <w:rPr>
          <w:sz w:val="24"/>
        </w:rPr>
        <w:t>的</w:t>
      </w:r>
      <w:r>
        <w:rPr>
          <w:sz w:val="24"/>
        </w:rPr>
        <w:t>0.</w:t>
      </w:r>
      <w:r>
        <w:rPr>
          <w:sz w:val="24"/>
        </w:rPr>
        <w:t>1</w:t>
      </w:r>
      <w:r>
        <w:rPr>
          <w:sz w:val="24"/>
        </w:rPr>
        <w:t>‰</w:t>
      </w:r>
      <w:r>
        <w:rPr>
          <w:sz w:val="24"/>
          <w:u w:val="single"/>
        </w:rPr>
        <w:t>向</w:t>
      </w:r>
      <w:r>
        <w:rPr>
          <w:sz w:val="24"/>
          <w:u w:val="single"/>
        </w:rPr>
        <w:t>乙方</w:t>
      </w:r>
      <w:r>
        <w:rPr>
          <w:sz w:val="24"/>
          <w:u w:val="single"/>
        </w:rPr>
        <w:t>支付</w:t>
      </w:r>
      <w:r>
        <w:rPr>
          <w:sz w:val="24"/>
        </w:rPr>
        <w:t>的违约金，违约金总额不得超过应付未付款的</w:t>
      </w:r>
      <w:r>
        <w:rPr>
          <w:sz w:val="21"/>
          <w:u w:val="single"/>
        </w:rPr>
        <w:t xml:space="preserve">    </w:t>
      </w:r>
      <w:r>
        <w:rPr>
          <w:sz w:val="24"/>
        </w:rPr>
        <w:t>%。</w:t>
      </w:r>
    </w:p>
    <w:p>
      <w:pPr>
        <w:ind w:firstLine="480"/>
        <w:jc w:val="both"/>
      </w:pPr>
      <w:r>
        <w:rPr>
          <w:color w:val="000000"/>
          <w:sz w:val="24"/>
        </w:rPr>
        <w:t>3.因乙方维护人员失误操作造成重大故障、蓄意破坏信息系统设施、发布非法信息或造成泄密事件的，一经查证，则视作乙方严重违约，甲方有权单方解除本合同，无需支付剩余的合同款项，</w:t>
      </w:r>
      <w:r>
        <w:rPr>
          <w:color w:val="000000"/>
          <w:sz w:val="24"/>
        </w:rPr>
        <w:t>乙方</w:t>
      </w:r>
      <w:r>
        <w:rPr>
          <w:color w:val="000000"/>
          <w:sz w:val="24"/>
        </w:rPr>
        <w:t>应</w:t>
      </w:r>
      <w:r>
        <w:rPr>
          <w:color w:val="000000"/>
          <w:sz w:val="24"/>
        </w:rPr>
        <w:t>向甲方支付本合同总价的</w:t>
      </w:r>
      <w:r>
        <w:rPr>
          <w:color w:val="000000"/>
          <w:sz w:val="24"/>
        </w:rPr>
        <w:t>20%违约金；如违约金不能足额赔偿甲方损失的，乙方还须赔偿甲方所遭受的一切损失。</w:t>
      </w:r>
    </w:p>
    <w:p>
      <w:pPr>
        <w:ind w:firstLine="480"/>
        <w:jc w:val="left"/>
      </w:pPr>
      <w:r>
        <w:rPr>
          <w:color w:val="000000"/>
          <w:sz w:val="24"/>
        </w:rPr>
        <w:t>4.</w:t>
      </w:r>
      <w:r>
        <w:rPr>
          <w:color w:val="000000"/>
          <w:sz w:val="24"/>
        </w:rPr>
        <w:t>除甲方事先书面同意外，乙方不得部分或全部转让其应履行的本合同项下的义务。否则，甲方有权单方解除本合同，乙方应向甲方支付相当于合同总价</w:t>
      </w:r>
      <w:r>
        <w:rPr>
          <w:color w:val="000000"/>
          <w:sz w:val="24"/>
          <w:u w:val="single"/>
        </w:rPr>
        <w:t>20</w:t>
      </w:r>
      <w:r>
        <w:rPr>
          <w:color w:val="000000"/>
          <w:sz w:val="24"/>
        </w:rPr>
        <w:t>%的违约金，并赔偿因此给甲方造成的损失。</w:t>
      </w:r>
    </w:p>
    <w:p>
      <w:pPr>
        <w:ind w:firstLine="480"/>
        <w:jc w:val="left"/>
      </w:pPr>
      <w:r>
        <w:rPr>
          <w:sz w:val="24"/>
        </w:rPr>
        <w:t>5.如乙方或乙方参与项目的工作人员泄露保密内容，甲方有权视情况单方解除本合同，并循法律途径追究乙方责任，</w:t>
      </w:r>
      <w:r>
        <w:rPr>
          <w:color w:val="000000"/>
          <w:sz w:val="24"/>
        </w:rPr>
        <w:t>乙方</w:t>
      </w:r>
      <w:r>
        <w:rPr>
          <w:color w:val="000000"/>
          <w:sz w:val="24"/>
        </w:rPr>
        <w:t>应</w:t>
      </w:r>
      <w:r>
        <w:rPr>
          <w:sz w:val="24"/>
        </w:rPr>
        <w:t>承担由此产生的一切责任（包括经济责任、社会责任等），并赔偿甲方由此遭受的一切损失。</w:t>
      </w:r>
    </w:p>
    <w:p>
      <w:pPr>
        <w:ind w:firstLine="480"/>
        <w:jc w:val="left"/>
      </w:pPr>
      <w:r>
        <w:rPr>
          <w:sz w:val="24"/>
        </w:rPr>
        <w:t>6</w:t>
      </w:r>
      <w:r>
        <w:rPr>
          <w:sz w:val="24"/>
        </w:rPr>
        <w:t>.</w:t>
      </w:r>
      <w:r>
        <w:rPr>
          <w:color w:val="000000"/>
          <w:sz w:val="24"/>
        </w:rPr>
        <w:t>乙方因违反本合同约定给甲方造成损失的，乙方需要向甲方赔偿的损失范围包括但不限于甲方因采取补救措施而支出的费用、第三方索赔、公证费、鉴定费、评估费、</w:t>
      </w:r>
      <w:r>
        <w:rPr>
          <w:color w:val="000000"/>
          <w:sz w:val="24"/>
        </w:rPr>
        <w:t>诉讼</w:t>
      </w:r>
      <w:r>
        <w:rPr>
          <w:color w:val="000000"/>
          <w:sz w:val="24"/>
        </w:rPr>
        <w:t>保全</w:t>
      </w:r>
      <w:r>
        <w:rPr>
          <w:color w:val="000000"/>
          <w:sz w:val="24"/>
        </w:rPr>
        <w:t>申请</w:t>
      </w:r>
      <w:r>
        <w:rPr>
          <w:color w:val="000000"/>
          <w:sz w:val="24"/>
        </w:rPr>
        <w:t>费、</w:t>
      </w:r>
      <w:r>
        <w:rPr>
          <w:color w:val="000000"/>
          <w:sz w:val="24"/>
        </w:rPr>
        <w:t>诉讼</w:t>
      </w:r>
      <w:r>
        <w:rPr>
          <w:color w:val="000000"/>
          <w:sz w:val="24"/>
        </w:rPr>
        <w:t>保全</w:t>
      </w:r>
      <w:r>
        <w:rPr>
          <w:color w:val="000000"/>
          <w:sz w:val="24"/>
        </w:rPr>
        <w:t>保险费、</w:t>
      </w:r>
      <w:r>
        <w:rPr>
          <w:color w:val="000000"/>
          <w:sz w:val="24"/>
        </w:rPr>
        <w:t>律师费、诉讼费等。</w:t>
      </w:r>
    </w:p>
    <w:p>
      <w:pPr>
        <w:ind w:firstLine="480"/>
        <w:jc w:val="left"/>
      </w:pPr>
    </w:p>
    <w:p>
      <w:pPr>
        <w:ind w:firstLine="420"/>
        <w:jc w:val="left"/>
      </w:pPr>
      <w:r>
        <w:rPr>
          <w:b/>
          <w:sz w:val="24"/>
        </w:rPr>
        <w:t>第十</w:t>
      </w:r>
      <w:r>
        <w:rPr>
          <w:b/>
          <w:sz w:val="24"/>
        </w:rPr>
        <w:t>一</w:t>
      </w:r>
      <w:r>
        <w:rPr>
          <w:b/>
          <w:sz w:val="24"/>
        </w:rPr>
        <w:t>条</w:t>
      </w:r>
      <w:r>
        <w:rPr>
          <w:b/>
          <w:sz w:val="24"/>
        </w:rPr>
        <w:t xml:space="preserve"> </w:t>
      </w:r>
      <w:r>
        <w:rPr>
          <w:b/>
          <w:sz w:val="24"/>
        </w:rPr>
        <w:t>不可抗力</w:t>
      </w:r>
    </w:p>
    <w:p>
      <w:pPr>
        <w:ind w:firstLine="420"/>
        <w:jc w:val="left"/>
      </w:pPr>
    </w:p>
    <w:p>
      <w:pPr>
        <w:ind w:firstLine="420"/>
        <w:jc w:val="left"/>
      </w:pPr>
      <w:r>
        <w:rPr>
          <w:b/>
          <w:sz w:val="24"/>
        </w:rPr>
        <w:t>第十</w:t>
      </w:r>
      <w:r>
        <w:rPr>
          <w:b/>
          <w:sz w:val="24"/>
        </w:rPr>
        <w:t>二</w:t>
      </w:r>
      <w:r>
        <w:rPr>
          <w:b/>
          <w:sz w:val="24"/>
        </w:rPr>
        <w:t>条</w:t>
      </w:r>
      <w:r>
        <w:rPr>
          <w:b/>
          <w:sz w:val="24"/>
        </w:rPr>
        <w:t xml:space="preserve"> </w:t>
      </w:r>
      <w:r>
        <w:rPr>
          <w:b/>
          <w:sz w:val="24"/>
        </w:rPr>
        <w:t>争端的解决和法律适用</w:t>
      </w:r>
    </w:p>
    <w:p>
      <w:pPr>
        <w:ind w:firstLine="420"/>
        <w:jc w:val="left"/>
      </w:pPr>
    </w:p>
    <w:p>
      <w:pPr>
        <w:ind w:firstLine="420"/>
        <w:jc w:val="left"/>
      </w:pPr>
      <w:r>
        <w:rPr>
          <w:b/>
          <w:sz w:val="24"/>
        </w:rPr>
        <w:t>第十</w:t>
      </w:r>
      <w:r>
        <w:rPr>
          <w:b/>
          <w:sz w:val="24"/>
        </w:rPr>
        <w:t>三</w:t>
      </w:r>
      <w:r>
        <w:rPr>
          <w:b/>
          <w:sz w:val="24"/>
        </w:rPr>
        <w:t>条</w:t>
      </w:r>
      <w:r>
        <w:rPr>
          <w:b/>
          <w:sz w:val="24"/>
        </w:rPr>
        <w:t xml:space="preserve"> </w:t>
      </w:r>
      <w:r>
        <w:rPr>
          <w:b/>
          <w:sz w:val="24"/>
        </w:rPr>
        <w:t>合同的变更与终止</w:t>
      </w:r>
    </w:p>
    <w:p>
      <w:pPr>
        <w:ind w:firstLine="420"/>
        <w:jc w:val="left"/>
      </w:pPr>
    </w:p>
    <w:p>
      <w:pPr>
        <w:ind w:firstLine="482"/>
        <w:jc w:val="left"/>
      </w:pPr>
      <w:r>
        <w:rPr>
          <w:b/>
          <w:sz w:val="24"/>
        </w:rPr>
        <w:t>第十四条</w:t>
      </w:r>
      <w:r>
        <w:rPr>
          <w:b/>
          <w:sz w:val="21"/>
        </w:rPr>
        <w:t xml:space="preserve"> </w:t>
      </w:r>
      <w:r>
        <w:rPr>
          <w:b/>
          <w:sz w:val="21"/>
        </w:rPr>
        <w:t xml:space="preserve"> </w:t>
      </w:r>
      <w:r>
        <w:rPr>
          <w:b/>
          <w:sz w:val="24"/>
        </w:rPr>
        <w:t>通知</w:t>
      </w:r>
    </w:p>
    <w:tbl>
      <w:tblPr>
        <w:tblW w:w="0" w:type="auto"/>
        <w:tblBorders>
          <w:top w:val="none" w:color="000000" w:sz="4"/>
          <w:left w:val="none" w:color="000000" w:sz="4"/>
          <w:bottom w:val="none" w:color="000000" w:sz="4"/>
          <w:right w:val="none" w:color="000000" w:sz="4"/>
          <w:insideH w:val="none"/>
          <w:insideV w:val="none"/>
        </w:tblBorders>
      </w:tblPr>
      <w:tblGrid>
        <w:gridCol w:w="4145"/>
        <w:gridCol w:w="4145"/>
      </w:tblGrid>
      <w:tr>
        <w:tc>
          <w:tcPr>
            <w:tcW w:type="dxa" w:w="4145"/>
            <w:tcBorders>
              <w:top w:val="single" w:color="000000" w:sz="4"/>
              <w:left w:val="single" w:color="000000" w:sz="4"/>
              <w:bottom w:val="single" w:color="000000" w:sz="4"/>
              <w:right w:val="single" w:color="000000" w:sz="4"/>
            </w:tcBorders>
            <w:vAlign w:val="top"/>
          </w:tcPr>
          <w:p>
            <w:pPr>
              <w:jc w:val="center"/>
            </w:pPr>
            <w:r>
              <w:rPr>
                <w:b/>
                <w:sz w:val="28"/>
              </w:rPr>
              <w:t>甲方</w:t>
            </w:r>
            <w:r>
              <w:rPr>
                <w:b/>
                <w:sz w:val="28"/>
              </w:rPr>
              <w:t>联络人</w:t>
            </w:r>
          </w:p>
        </w:tc>
        <w:tc>
          <w:tcPr>
            <w:tcW w:type="dxa" w:w="4145"/>
            <w:tcBorders>
              <w:top w:val="single" w:color="000000" w:sz="4"/>
              <w:left w:val="single" w:color="000000" w:sz="4"/>
              <w:bottom w:val="single" w:color="000000" w:sz="4"/>
              <w:right w:val="single" w:color="000000" w:sz="4"/>
            </w:tcBorders>
            <w:vAlign w:val="top"/>
          </w:tcPr>
          <w:p>
            <w:pPr>
              <w:jc w:val="center"/>
            </w:pPr>
            <w:r>
              <w:rPr>
                <w:b/>
                <w:sz w:val="28"/>
              </w:rPr>
              <w:t>乙方</w:t>
            </w:r>
            <w:r>
              <w:rPr>
                <w:b/>
                <w:sz w:val="28"/>
              </w:rPr>
              <w:t>联络人</w:t>
            </w:r>
          </w:p>
        </w:tc>
      </w:tr>
      <w:tr>
        <w:tc>
          <w:tcPr>
            <w:tcW w:type="dxa" w:w="4145"/>
            <w:tcBorders>
              <w:top w:val="none" w:color="000000" w:sz="4"/>
              <w:left w:val="single" w:color="000000" w:sz="4"/>
              <w:bottom w:val="single" w:color="000000" w:sz="4"/>
              <w:right w:val="single" w:color="000000" w:sz="4"/>
            </w:tcBorders>
            <w:vAlign w:val="top"/>
          </w:tcPr>
          <w:p>
            <w:pPr>
              <w:jc w:val="both"/>
            </w:pPr>
            <w:r>
              <w:rPr>
                <w:sz w:val="21"/>
              </w:rPr>
              <w:t>姓名：</w:t>
            </w:r>
          </w:p>
          <w:p>
            <w:pPr>
              <w:jc w:val="both"/>
            </w:pPr>
            <w:r>
              <w:rPr>
                <w:sz w:val="21"/>
              </w:rPr>
              <w:t>地址：</w:t>
            </w:r>
          </w:p>
          <w:p>
            <w:pPr>
              <w:jc w:val="both"/>
            </w:pPr>
            <w:r>
              <w:rPr>
                <w:sz w:val="21"/>
              </w:rPr>
              <w:t>电话：</w:t>
            </w:r>
          </w:p>
          <w:p>
            <w:pPr>
              <w:jc w:val="both"/>
            </w:pPr>
            <w:r>
              <w:rPr>
                <w:sz w:val="21"/>
              </w:rPr>
              <w:t>邮箱：</w:t>
            </w:r>
          </w:p>
        </w:tc>
        <w:tc>
          <w:tcPr>
            <w:tcW w:type="dxa" w:w="4145"/>
            <w:tcBorders>
              <w:top w:val="none" w:color="000000" w:sz="4"/>
              <w:left w:val="single" w:color="000000" w:sz="4"/>
              <w:bottom w:val="single" w:color="000000" w:sz="4"/>
              <w:right w:val="single" w:color="000000" w:sz="4"/>
            </w:tcBorders>
            <w:vAlign w:val="top"/>
          </w:tcPr>
          <w:p>
            <w:pPr>
              <w:jc w:val="both"/>
            </w:pPr>
            <w:r>
              <w:rPr>
                <w:sz w:val="21"/>
              </w:rPr>
              <w:t>姓名：</w:t>
            </w:r>
            <w:r>
              <w:rPr>
                <w:sz w:val="21"/>
              </w:rPr>
              <w:t xml:space="preserve"> </w:t>
            </w:r>
          </w:p>
          <w:p>
            <w:pPr>
              <w:jc w:val="both"/>
            </w:pPr>
            <w:r>
              <w:rPr>
                <w:sz w:val="21"/>
              </w:rPr>
              <w:t>地址：</w:t>
            </w:r>
            <w:r>
              <w:rPr>
                <w:sz w:val="21"/>
              </w:rPr>
              <w:t xml:space="preserve"> </w:t>
            </w:r>
          </w:p>
          <w:p>
            <w:pPr>
              <w:jc w:val="both"/>
            </w:pPr>
            <w:r>
              <w:rPr>
                <w:sz w:val="21"/>
              </w:rPr>
              <w:t>电话：</w:t>
            </w:r>
          </w:p>
          <w:p>
            <w:pPr>
              <w:jc w:val="both"/>
            </w:pPr>
            <w:r>
              <w:rPr>
                <w:sz w:val="21"/>
              </w:rPr>
              <w:t>邮箱：</w:t>
            </w:r>
          </w:p>
        </w:tc>
      </w:tr>
    </w:tbl>
    <w:p>
      <w:pPr>
        <w:numPr>
          <w:ilvl w:val="0"/>
          <w:numId w:val="3"/>
        </w:numPr>
        <w:jc w:val="left"/>
      </w:pPr>
      <w:r>
        <w:rPr>
          <w:color w:val="000000"/>
          <w:sz w:val="24"/>
        </w:rPr>
        <w:t>乙方的权利和义务</w:t>
      </w:r>
    </w:p>
    <w:p>
      <w:pPr>
        <w:numPr>
          <w:ilvl w:val="1"/>
          <w:numId w:val="3"/>
        </w:numPr>
        <w:jc w:val="left"/>
      </w:pPr>
      <w:r>
        <w:rPr>
          <w:b/>
          <w:sz w:val="21"/>
        </w:rPr>
        <w:t xml:space="preserve"> </w:t>
      </w:r>
      <w:r>
        <w:rPr>
          <w:b/>
          <w:sz w:val="24"/>
        </w:rPr>
        <w:t>服务</w:t>
      </w:r>
      <w:r>
        <w:rPr>
          <w:b/>
          <w:sz w:val="24"/>
        </w:rPr>
        <w:t>考核</w:t>
      </w:r>
    </w:p>
    <w:p>
      <w:pPr>
        <w:numPr>
          <w:ilvl w:val="1"/>
          <w:numId w:val="3"/>
        </w:numPr>
      </w:pPr>
      <w:r>
        <w:rPr>
          <w:color w:val="000000"/>
          <w:sz w:val="24"/>
        </w:rPr>
        <w:t>由</w:t>
      </w:r>
      <w:r>
        <w:rPr>
          <w:color w:val="000000"/>
          <w:sz w:val="24"/>
        </w:rPr>
        <w:t>甲方</w:t>
      </w:r>
      <w:r>
        <w:rPr>
          <w:color w:val="000000"/>
          <w:sz w:val="24"/>
        </w:rPr>
        <w:t>成立质量考核小组（小组成员由</w:t>
      </w:r>
      <w:r>
        <w:rPr>
          <w:color w:val="000000"/>
          <w:sz w:val="24"/>
        </w:rPr>
        <w:t>甲方</w:t>
      </w:r>
      <w:r>
        <w:rPr>
          <w:color w:val="000000"/>
          <w:sz w:val="24"/>
        </w:rPr>
        <w:t>确定），负责对</w:t>
      </w:r>
      <w:r>
        <w:rPr>
          <w:color w:val="000000"/>
          <w:sz w:val="24"/>
        </w:rPr>
        <w:t>乙方</w:t>
      </w:r>
      <w:r>
        <w:rPr>
          <w:color w:val="000000"/>
          <w:sz w:val="24"/>
        </w:rPr>
        <w:t>服务质量进行考核评分。</w:t>
      </w:r>
      <w:r>
        <w:rPr>
          <w:color w:val="000000"/>
          <w:sz w:val="24"/>
        </w:rPr>
        <w:t>甲方</w:t>
      </w:r>
      <w:r>
        <w:rPr>
          <w:color w:val="000000"/>
          <w:sz w:val="24"/>
        </w:rPr>
        <w:t>根据</w:t>
      </w:r>
      <w:r>
        <w:rPr>
          <w:color w:val="000000"/>
          <w:sz w:val="24"/>
        </w:rPr>
        <w:t>附件</w:t>
      </w:r>
      <w:r>
        <w:rPr>
          <w:color w:val="000000"/>
          <w:sz w:val="24"/>
        </w:rPr>
        <w:t>1</w:t>
      </w:r>
      <w:r>
        <w:rPr>
          <w:color w:val="000000"/>
          <w:sz w:val="24"/>
        </w:rPr>
        <w:t>《运维服务工作服务考核表》对</w:t>
      </w:r>
      <w:r>
        <w:rPr>
          <w:color w:val="000000"/>
          <w:sz w:val="24"/>
        </w:rPr>
        <w:t>乙方</w:t>
      </w:r>
      <w:r>
        <w:rPr>
          <w:color w:val="000000"/>
          <w:sz w:val="24"/>
        </w:rPr>
        <w:t>进行服务质量的评估。</w:t>
      </w:r>
      <w:r>
        <w:rPr>
          <w:color w:val="000000"/>
          <w:sz w:val="24"/>
        </w:rPr>
        <w:t>项目考核得分为百分制。</w:t>
      </w:r>
    </w:p>
    <w:p>
      <w:pPr>
        <w:numPr>
          <w:ilvl w:val="1"/>
          <w:numId w:val="3"/>
        </w:numPr>
      </w:pPr>
      <w:r>
        <w:rPr>
          <w:color w:val="000000"/>
          <w:sz w:val="24"/>
        </w:rPr>
        <w:t>考核得分与结算挂钩，服务期内进行四次考核，分别在第</w:t>
      </w:r>
      <w:r>
        <w:rPr>
          <w:color w:val="000000"/>
          <w:sz w:val="24"/>
        </w:rPr>
        <w:t>一</w:t>
      </w:r>
      <w:r>
        <w:rPr>
          <w:color w:val="000000"/>
          <w:sz w:val="24"/>
        </w:rPr>
        <w:t>、</w:t>
      </w:r>
      <w:r>
        <w:rPr>
          <w:color w:val="000000"/>
          <w:sz w:val="24"/>
        </w:rPr>
        <w:t>二、三、四期支付前一个月内启动考核，并在每次进度款支付前扣除相应金额。</w:t>
      </w:r>
    </w:p>
    <w:p>
      <w:pPr>
        <w:numPr>
          <w:ilvl w:val="1"/>
          <w:numId w:val="3"/>
        </w:numPr>
      </w:pPr>
      <w:r>
        <w:rPr>
          <w:sz w:val="24"/>
        </w:rPr>
        <w:t>支付金额扣除方式：服务期内进行</w:t>
      </w:r>
      <w:r>
        <w:rPr>
          <w:sz w:val="24"/>
        </w:rPr>
        <w:t>四</w:t>
      </w:r>
      <w:r>
        <w:rPr>
          <w:sz w:val="24"/>
        </w:rPr>
        <w:t>次考核，分别在第</w:t>
      </w:r>
      <w:r>
        <w:rPr>
          <w:sz w:val="24"/>
        </w:rPr>
        <w:t>一</w:t>
      </w:r>
      <w:r>
        <w:rPr>
          <w:sz w:val="24"/>
        </w:rPr>
        <w:t>、</w:t>
      </w:r>
      <w:r>
        <w:rPr>
          <w:sz w:val="24"/>
        </w:rPr>
        <w:t>二、三、四期支付前一个月内启动考核，如考核需要扣罚，扣罚</w:t>
      </w:r>
      <w:r>
        <w:rPr>
          <w:sz w:val="24"/>
        </w:rPr>
        <w:t>费用</w:t>
      </w:r>
      <w:r>
        <w:rPr>
          <w:sz w:val="24"/>
        </w:rPr>
        <w:t>在每</w:t>
      </w:r>
      <w:r>
        <w:rPr>
          <w:sz w:val="24"/>
        </w:rPr>
        <w:t>期</w:t>
      </w:r>
      <w:r>
        <w:rPr>
          <w:sz w:val="24"/>
        </w:rPr>
        <w:t>支付</w:t>
      </w:r>
      <w:r>
        <w:rPr>
          <w:sz w:val="24"/>
        </w:rPr>
        <w:t>的服务费</w:t>
      </w:r>
      <w:r>
        <w:rPr>
          <w:sz w:val="24"/>
        </w:rPr>
        <w:t>中</w:t>
      </w:r>
      <w:r>
        <w:rPr>
          <w:sz w:val="24"/>
        </w:rPr>
        <w:t>予以</w:t>
      </w:r>
      <w:r>
        <w:rPr>
          <w:sz w:val="24"/>
        </w:rPr>
        <w:t>扣除</w:t>
      </w:r>
      <w:r>
        <w:rPr>
          <w:sz w:val="24"/>
        </w:rPr>
        <w:t>。按</w:t>
      </w:r>
      <w:r>
        <w:rPr>
          <w:sz w:val="24"/>
        </w:rPr>
        <w:t>5个档次设置扣除款项，具体计算公式如下：</w:t>
      </w:r>
    </w:p>
    <w:p>
      <w:pPr>
        <w:numPr>
          <w:ilvl w:val="1"/>
          <w:numId w:val="3"/>
        </w:numPr>
        <w:jc w:val="left"/>
      </w:pPr>
      <w:r>
        <w:rPr>
          <w:color w:val="000000"/>
          <w:sz w:val="24"/>
        </w:rPr>
        <w:t>由于不可抗力，直接影响本合同的履行或者不能按照合同的约定履行时，遇有上述不可抗力的一方可以免除相关合同责任。但遇有上述不可抗力的一方应立即书面通知对方，并在</w:t>
      </w:r>
      <w:r>
        <w:rPr>
          <w:color w:val="000000"/>
          <w:sz w:val="24"/>
        </w:rPr>
        <w:t>15天之内提供不可抗力的详细情况及合同不能履行，或者部分不能履行，或者需要延期履行的理由和有效的证明文件。按不可抗力对履行合同影响的程度，由双方协商决定是否解除合同，或者部分免除履行合同的义务，或者延期履行合同。一方迟延履行本合同时发生不可抗力的，迟延方的合同义务不能免除。</w:t>
      </w:r>
    </w:p>
    <w:p>
      <w:pPr>
        <w:numPr>
          <w:ilvl w:val="1"/>
          <w:numId w:val="3"/>
        </w:numPr>
        <w:jc w:val="left"/>
      </w:pPr>
      <w:r>
        <w:rPr>
          <w:color w:val="000000"/>
          <w:sz w:val="24"/>
        </w:rPr>
        <w:t>受到不可抗力影响的一方，应尽可能地采取合理的行为和适当的措施减轻不可抗力对本合同的履行所造成的影响。没有采取适当措施致使损失扩大的，该方不得就扩大损失的部分要求免责或赔偿。</w:t>
      </w:r>
    </w:p>
    <w:p>
      <w:pPr>
        <w:numPr>
          <w:ilvl w:val="1"/>
          <w:numId w:val="3"/>
        </w:numPr>
        <w:jc w:val="left"/>
      </w:pPr>
      <w:r>
        <w:rPr>
          <w:color w:val="000000"/>
          <w:sz w:val="24"/>
        </w:rPr>
        <w:t>凡与本合同有关而引起的一切争议，甲、乙双方应首先通过友好协商解决，如经协商后仍不能达成协议时，任何一方可以向甲方所在地人民法院提出诉讼。</w:t>
      </w:r>
    </w:p>
    <w:p>
      <w:pPr>
        <w:numPr>
          <w:ilvl w:val="1"/>
          <w:numId w:val="3"/>
        </w:numPr>
        <w:jc w:val="left"/>
      </w:pPr>
      <w:r>
        <w:rPr>
          <w:color w:val="000000"/>
          <w:sz w:val="24"/>
        </w:rPr>
        <w:t>在进行法院审理期间，除提交法院审理的事项外，合同其他部分仍应继续履行。</w:t>
      </w:r>
    </w:p>
    <w:p>
      <w:pPr>
        <w:numPr>
          <w:ilvl w:val="1"/>
          <w:numId w:val="3"/>
        </w:numPr>
        <w:jc w:val="left"/>
      </w:pPr>
      <w:r>
        <w:rPr>
          <w:color w:val="000000"/>
          <w:sz w:val="24"/>
        </w:rPr>
        <w:t>本合同按照中华人民共和国的法律进行解释。</w:t>
      </w:r>
    </w:p>
    <w:p>
      <w:pPr>
        <w:numPr>
          <w:ilvl w:val="1"/>
          <w:numId w:val="3"/>
        </w:numPr>
        <w:jc w:val="left"/>
      </w:pPr>
      <w:r>
        <w:rPr>
          <w:color w:val="000000"/>
          <w:sz w:val="24"/>
        </w:rPr>
        <w:t>服务期</w:t>
      </w:r>
      <w:r>
        <w:rPr>
          <w:color w:val="000000"/>
          <w:sz w:val="24"/>
        </w:rPr>
        <w:t>届</w:t>
      </w:r>
      <w:r>
        <w:rPr>
          <w:color w:val="000000"/>
          <w:sz w:val="24"/>
        </w:rPr>
        <w:t>满，本合同自然终止。</w:t>
      </w:r>
    </w:p>
    <w:p>
      <w:pPr>
        <w:numPr>
          <w:ilvl w:val="1"/>
          <w:numId w:val="3"/>
        </w:numPr>
        <w:jc w:val="left"/>
      </w:pPr>
      <w:r>
        <w:rPr>
          <w:color w:val="000000"/>
          <w:sz w:val="24"/>
        </w:rPr>
        <w:t>如甲方决定终止本项目运营，则本合同自然终止，双方根据实际服务时间支付相应比例服务费用，甲方不承担违约责任。</w:t>
      </w:r>
    </w:p>
    <w:p>
      <w:pPr>
        <w:numPr>
          <w:ilvl w:val="1"/>
          <w:numId w:val="3"/>
        </w:numPr>
        <w:jc w:val="left"/>
      </w:pPr>
      <w:r>
        <w:rPr>
          <w:color w:val="000000"/>
          <w:sz w:val="24"/>
        </w:rPr>
        <w:t>如本项目由于国家、省、市政策等原因作出调整，乙方应配合执行，若涉及相应工作量的调整，相关费用由甲乙双方协商决定。</w:t>
      </w:r>
    </w:p>
    <w:p>
      <w:pPr>
        <w:numPr>
          <w:ilvl w:val="1"/>
          <w:numId w:val="3"/>
        </w:numPr>
        <w:jc w:val="left"/>
      </w:pPr>
      <w:r>
        <w:rPr>
          <w:color w:val="000000"/>
          <w:sz w:val="24"/>
        </w:rPr>
        <w:t>甲乙双方保证本条所载明的双方地址、联系电话等信息真实有效，并确认该地址和联系方式适用范围包括非诉时的各类通知、协议等文件以及合同发生纠纷时相关文件和法律文书的送达，同时包括在纠纷进入仲裁、民事诉讼程序后的一审、二审、再审和执行程序。</w:t>
      </w:r>
    </w:p>
    <w:p>
      <w:pPr>
        <w:numPr>
          <w:ilvl w:val="1"/>
          <w:numId w:val="3"/>
        </w:numPr>
        <w:jc w:val="left"/>
      </w:pPr>
      <w:r>
        <w:rPr>
          <w:color w:val="000000"/>
          <w:sz w:val="24"/>
        </w:rPr>
        <w:t>在本合同履行过程中，双方分别指定如下</w:t>
      </w:r>
      <w:r>
        <w:rPr>
          <w:color w:val="000000"/>
          <w:sz w:val="24"/>
        </w:rPr>
        <w:t>联络人：</w:t>
      </w:r>
    </w:p>
    <w:p>
      <w:pPr>
        <w:ind w:firstLine="482"/>
        <w:jc w:val="left"/>
      </w:pPr>
    </w:p>
    <w:p>
      <w:pPr>
        <w:ind w:firstLine="482"/>
        <w:jc w:val="left"/>
      </w:pPr>
      <w:r>
        <w:rPr>
          <w:b/>
          <w:sz w:val="24"/>
        </w:rPr>
        <w:t>第</w:t>
      </w:r>
      <w:r>
        <w:rPr>
          <w:b/>
          <w:sz w:val="24"/>
        </w:rPr>
        <w:t>十</w:t>
      </w:r>
      <w:r>
        <w:rPr>
          <w:b/>
          <w:sz w:val="24"/>
        </w:rPr>
        <w:t>五</w:t>
      </w:r>
      <w:r>
        <w:rPr>
          <w:b/>
          <w:sz w:val="24"/>
        </w:rPr>
        <w:t>条</w:t>
      </w:r>
      <w:r>
        <w:rPr>
          <w:b/>
          <w:sz w:val="21"/>
        </w:rPr>
        <w:t xml:space="preserve">  </w:t>
      </w:r>
      <w:r>
        <w:rPr>
          <w:b/>
          <w:sz w:val="24"/>
        </w:rPr>
        <w:t>附则</w:t>
      </w:r>
    </w:p>
    <w:p>
      <w:pPr>
        <w:ind w:firstLine="480"/>
        <w:jc w:val="left"/>
      </w:pPr>
      <w:r>
        <w:rPr>
          <w:color w:val="000000"/>
          <w:sz w:val="24"/>
        </w:rPr>
        <w:t>1.</w:t>
      </w:r>
      <w:r>
        <w:rPr>
          <w:color w:val="000000"/>
          <w:sz w:val="24"/>
        </w:rPr>
        <w:t>本合同所有附件均为合同的有效组成部分，与本合同具有同等法律效力。包括：</w:t>
      </w:r>
    </w:p>
    <w:p>
      <w:pPr>
        <w:ind w:firstLine="480"/>
        <w:jc w:val="left"/>
      </w:pPr>
      <w:r>
        <w:rPr>
          <w:color w:val="000000"/>
          <w:sz w:val="24"/>
        </w:rPr>
        <w:t>附件</w:t>
      </w:r>
      <w:r>
        <w:rPr>
          <w:color w:val="000000"/>
          <w:sz w:val="24"/>
        </w:rPr>
        <w:t>1</w:t>
      </w:r>
      <w:r>
        <w:rPr>
          <w:color w:val="000000"/>
          <w:sz w:val="24"/>
        </w:rPr>
        <w:t>：《运维服务工作服务考核表》</w:t>
      </w:r>
      <w:r>
        <w:rPr>
          <w:color w:val="000000"/>
          <w:sz w:val="24"/>
        </w:rPr>
        <w:t>。</w:t>
      </w:r>
    </w:p>
    <w:p>
      <w:pPr>
        <w:ind w:firstLine="480"/>
        <w:jc w:val="left"/>
      </w:pPr>
      <w:r>
        <w:rPr>
          <w:color w:val="000000"/>
          <w:sz w:val="24"/>
        </w:rPr>
        <w:t>附件</w:t>
      </w:r>
      <w:r>
        <w:rPr>
          <w:color w:val="000000"/>
          <w:sz w:val="24"/>
        </w:rPr>
        <w:t>2</w:t>
      </w:r>
      <w:r>
        <w:rPr>
          <w:color w:val="000000"/>
          <w:sz w:val="24"/>
        </w:rPr>
        <w:t>：《保密协议》</w:t>
      </w:r>
      <w:r>
        <w:rPr>
          <w:color w:val="000000"/>
          <w:sz w:val="24"/>
        </w:rPr>
        <w:t>。</w:t>
      </w:r>
    </w:p>
    <w:p>
      <w:pPr>
        <w:ind w:firstLine="480"/>
        <w:jc w:val="left"/>
      </w:pPr>
      <w:r>
        <w:rPr>
          <w:color w:val="000000"/>
          <w:sz w:val="24"/>
        </w:rPr>
        <w:t>附件</w:t>
      </w:r>
      <w:r>
        <w:rPr>
          <w:color w:val="000000"/>
          <w:sz w:val="24"/>
        </w:rPr>
        <w:t>3</w:t>
      </w:r>
      <w:r>
        <w:rPr>
          <w:color w:val="000000"/>
          <w:sz w:val="24"/>
        </w:rPr>
        <w:t>：</w:t>
      </w:r>
      <w:r>
        <w:rPr>
          <w:color w:val="000000"/>
          <w:sz w:val="24"/>
        </w:rPr>
        <w:t>《</w:t>
      </w:r>
      <w:r>
        <w:rPr>
          <w:color w:val="000000"/>
          <w:sz w:val="24"/>
        </w:rPr>
        <w:t>服务团队岗位表</w:t>
      </w:r>
      <w:r>
        <w:rPr>
          <w:color w:val="000000"/>
          <w:sz w:val="24"/>
        </w:rPr>
        <w:t>》</w:t>
      </w:r>
      <w:r>
        <w:rPr>
          <w:color w:val="000000"/>
          <w:sz w:val="24"/>
        </w:rPr>
        <w:t>。</w:t>
      </w:r>
    </w:p>
    <w:p>
      <w:pPr>
        <w:ind w:firstLine="480"/>
        <w:jc w:val="left"/>
      </w:pPr>
      <w:r>
        <w:rPr>
          <w:color w:val="000000"/>
          <w:sz w:val="24"/>
        </w:rPr>
        <w:t>2. 本合同一式___份，甲乙双方各执___份，均具同等法律效力。</w:t>
      </w:r>
    </w:p>
    <w:p>
      <w:pPr>
        <w:ind w:firstLine="480"/>
        <w:jc w:val="left"/>
      </w:pPr>
      <w:r>
        <w:rPr>
          <w:color w:val="000000"/>
          <w:sz w:val="24"/>
        </w:rPr>
        <w:t>3.</w:t>
      </w:r>
      <w:r>
        <w:rPr>
          <w:color w:val="000000"/>
          <w:sz w:val="24"/>
        </w:rPr>
        <w:t>本合同经甲乙双方代表</w:t>
      </w:r>
      <w:r>
        <w:rPr>
          <w:color w:val="000000"/>
          <w:sz w:val="24"/>
        </w:rPr>
        <w:t>签名</w:t>
      </w:r>
      <w:r>
        <w:rPr>
          <w:color w:val="000000"/>
          <w:sz w:val="24"/>
        </w:rPr>
        <w:t>盖章</w:t>
      </w:r>
      <w:r>
        <w:rPr>
          <w:color w:val="000000"/>
          <w:sz w:val="24"/>
        </w:rPr>
        <w:t>之日起</w:t>
      </w:r>
      <w:r>
        <w:rPr>
          <w:color w:val="000000"/>
          <w:sz w:val="24"/>
        </w:rPr>
        <w:t>生效。</w:t>
      </w:r>
    </w:p>
    <w:p>
      <w:pPr>
        <w:ind w:firstLine="480"/>
        <w:jc w:val="left"/>
      </w:pPr>
      <w:r>
        <w:rPr>
          <w:color w:val="000000"/>
          <w:sz w:val="24"/>
        </w:rPr>
        <w:t>（以下无正文）</w:t>
      </w:r>
    </w:p>
    <w:p>
      <w:pPr>
        <w:jc w:val="both"/>
      </w:pPr>
    </w:p>
    <w:p>
      <w:pPr>
        <w:jc w:val="both"/>
      </w:pPr>
      <w:r>
        <w:rPr>
          <w:color w:val="000000"/>
          <w:sz w:val="24"/>
        </w:rPr>
        <w:t>甲方（盖章）：</w:t>
      </w:r>
      <w:r>
        <w:rPr>
          <w:sz w:val="21"/>
        </w:rPr>
        <w:t xml:space="preserve">  </w:t>
      </w:r>
    </w:p>
    <w:p>
      <w:pPr>
        <w:jc w:val="both"/>
      </w:pPr>
      <w:r>
        <w:rPr>
          <w:color w:val="000000"/>
          <w:sz w:val="24"/>
        </w:rPr>
        <w:t>代表（签</w:t>
      </w:r>
      <w:r>
        <w:rPr>
          <w:color w:val="000000"/>
          <w:sz w:val="24"/>
        </w:rPr>
        <w:t>名</w:t>
      </w:r>
      <w:r>
        <w:rPr>
          <w:color w:val="000000"/>
          <w:sz w:val="24"/>
        </w:rPr>
        <w:t>）：</w:t>
      </w:r>
      <w:r>
        <w:rPr>
          <w:sz w:val="21"/>
          <w:u w:val="single"/>
        </w:rPr>
        <w:t xml:space="preserve">                   </w:t>
      </w:r>
      <w:r>
        <w:rPr>
          <w:sz w:val="21"/>
        </w:rPr>
        <w:t xml:space="preserve">                   </w:t>
      </w:r>
    </w:p>
    <w:p>
      <w:pPr>
        <w:jc w:val="both"/>
      </w:pPr>
      <w:r>
        <w:rPr>
          <w:color w:val="000000"/>
          <w:sz w:val="24"/>
        </w:rPr>
        <w:t>签订日期：</w:t>
      </w:r>
      <w:r>
        <w:rPr>
          <w:sz w:val="21"/>
        </w:rPr>
        <w:t xml:space="preserve">   </w:t>
      </w:r>
      <w:r>
        <w:rPr>
          <w:sz w:val="21"/>
          <w:u w:val="single"/>
        </w:rPr>
        <w:t xml:space="preserve">                   </w:t>
      </w:r>
    </w:p>
    <w:p>
      <w:pPr>
        <w:jc w:val="both"/>
      </w:pPr>
      <w:r>
        <w:rPr>
          <w:sz w:val="21"/>
        </w:rPr>
        <w:t xml:space="preserve">                            </w:t>
      </w:r>
    </w:p>
    <w:p>
      <w:pPr>
        <w:jc w:val="both"/>
      </w:pPr>
    </w:p>
    <w:p>
      <w:pPr>
        <w:jc w:val="both"/>
      </w:pPr>
      <w:r>
        <w:rPr>
          <w:color w:val="000000"/>
          <w:sz w:val="24"/>
        </w:rPr>
        <w:t>乙方（盖章）：</w:t>
      </w:r>
      <w:r>
        <w:rPr>
          <w:sz w:val="21"/>
        </w:rPr>
        <w:t xml:space="preserve"> </w:t>
      </w:r>
    </w:p>
    <w:p>
      <w:pPr>
        <w:jc w:val="both"/>
      </w:pPr>
      <w:r>
        <w:rPr>
          <w:color w:val="000000"/>
          <w:sz w:val="24"/>
        </w:rPr>
        <w:t>代表（签</w:t>
      </w:r>
      <w:r>
        <w:rPr>
          <w:color w:val="000000"/>
          <w:sz w:val="24"/>
        </w:rPr>
        <w:t>名</w:t>
      </w:r>
      <w:r>
        <w:rPr>
          <w:color w:val="000000"/>
          <w:sz w:val="24"/>
        </w:rPr>
        <w:t>）：</w:t>
      </w:r>
      <w:r>
        <w:rPr>
          <w:sz w:val="21"/>
          <w:u w:val="single"/>
        </w:rPr>
        <w:t xml:space="preserve">                   </w:t>
      </w:r>
      <w:r>
        <w:rPr>
          <w:sz w:val="21"/>
        </w:rPr>
        <w:t xml:space="preserve">                 </w:t>
      </w:r>
    </w:p>
    <w:p>
      <w:pPr>
        <w:jc w:val="both"/>
      </w:pPr>
      <w:r>
        <w:rPr>
          <w:color w:val="000000"/>
          <w:sz w:val="24"/>
        </w:rPr>
        <w:t>签订日期：</w:t>
      </w:r>
      <w:r>
        <w:rPr>
          <w:sz w:val="21"/>
        </w:rPr>
        <w:t xml:space="preserve">  </w:t>
      </w:r>
      <w:r>
        <w:rPr>
          <w:sz w:val="21"/>
          <w:u w:val="single"/>
        </w:rPr>
        <w:t xml:space="preserve">                   </w:t>
      </w:r>
    </w:p>
    <w:p>
      <w:pPr>
        <w:ind w:firstLine="480"/>
        <w:jc w:val="left"/>
      </w:pPr>
      <w:r>
        <w:rPr>
          <w:sz w:val="21"/>
        </w:rPr>
        <w:t xml:space="preserve">        </w:t>
      </w:r>
    </w:p>
    <w:p>
      <w:r>
        <w:rPr>
          <w:sz w:val="32"/>
        </w:rPr>
        <w:t>1</w:t>
      </w:r>
    </w:p>
    <w:p>
      <w:r>
        <w:rPr/>
        <w:t xml:space="preserve"> </w:t>
      </w:r>
    </w:p>
    <w:p>
      <w:pPr>
        <w:jc w:val="left"/>
      </w:pPr>
    </w:p>
    <w:p>
      <w:pPr>
        <w:jc w:val="center"/>
      </w:pPr>
      <w:r>
        <w:rPr>
          <w:sz w:val="32"/>
        </w:rPr>
        <w:t>运维服务工作服务考核表</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381"/>
        <w:gridCol w:w="1251"/>
        <w:gridCol w:w="1400"/>
        <w:gridCol w:w="3915"/>
        <w:gridCol w:w="653"/>
        <w:gridCol w:w="707"/>
      </w:tblGrid>
      <w:tr>
        <w:tc>
          <w:tcPr>
            <w:tcW w:type="dxa" w:w="38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51"/>
            <w:tcBorders>
              <w:top w:val="single" w:color="000000" w:sz="4"/>
              <w:left w:val="none" w:color="000000" w:sz="4"/>
              <w:bottom w:val="single" w:color="000000" w:sz="4"/>
              <w:right w:val="single" w:color="000000" w:sz="4"/>
            </w:tcBorders>
            <w:vAlign w:val="top"/>
          </w:tcPr>
          <w:p>
            <w:pPr>
              <w:jc w:val="center"/>
            </w:pPr>
            <w:r>
              <w:rPr>
                <w:sz w:val="21"/>
              </w:rPr>
              <w:t>考核类别</w:t>
            </w:r>
          </w:p>
        </w:tc>
        <w:tc>
          <w:tcPr>
            <w:tcW w:type="dxa" w:w="1400"/>
            <w:tcBorders>
              <w:top w:val="single" w:color="000000" w:sz="4"/>
              <w:left w:val="none" w:color="000000" w:sz="4"/>
              <w:bottom w:val="single" w:color="000000" w:sz="4"/>
              <w:right w:val="single" w:color="000000" w:sz="4"/>
            </w:tcBorders>
            <w:vAlign w:val="top"/>
          </w:tcPr>
          <w:p>
            <w:pPr>
              <w:jc w:val="center"/>
            </w:pPr>
            <w:r>
              <w:rPr>
                <w:sz w:val="21"/>
              </w:rPr>
              <w:t>考核项目</w:t>
            </w:r>
          </w:p>
        </w:tc>
        <w:tc>
          <w:tcPr>
            <w:tcW w:type="dxa" w:w="3915"/>
            <w:tcBorders>
              <w:top w:val="single" w:color="000000" w:sz="4"/>
              <w:left w:val="none" w:color="000000" w:sz="4"/>
              <w:bottom w:val="single" w:color="000000" w:sz="4"/>
              <w:right w:val="single" w:color="000000" w:sz="4"/>
            </w:tcBorders>
            <w:vAlign w:val="top"/>
          </w:tcPr>
          <w:p>
            <w:pPr>
              <w:jc w:val="center"/>
            </w:pPr>
            <w:r>
              <w:rPr>
                <w:sz w:val="21"/>
              </w:rPr>
              <w:t>考核内容</w:t>
            </w:r>
          </w:p>
        </w:tc>
        <w:tc>
          <w:tcPr>
            <w:tcW w:type="dxa" w:w="653"/>
            <w:tcBorders>
              <w:top w:val="single" w:color="000000" w:sz="4"/>
              <w:left w:val="none" w:color="000000" w:sz="4"/>
              <w:bottom w:val="single" w:color="000000" w:sz="4"/>
              <w:right w:val="single" w:color="000000" w:sz="4"/>
            </w:tcBorders>
            <w:vAlign w:val="top"/>
          </w:tcPr>
          <w:p>
            <w:pPr>
              <w:jc w:val="center"/>
            </w:pPr>
            <w:r>
              <w:rPr>
                <w:sz w:val="21"/>
              </w:rPr>
              <w:t>分值</w:t>
            </w:r>
          </w:p>
        </w:tc>
        <w:tc>
          <w:tcPr>
            <w:tcW w:type="dxa" w:w="707"/>
            <w:tcBorders>
              <w:top w:val="single" w:color="000000" w:sz="4"/>
              <w:left w:val="none" w:color="000000" w:sz="4"/>
              <w:bottom w:val="single" w:color="000000" w:sz="4"/>
              <w:right w:val="single" w:color="000000" w:sz="4"/>
            </w:tcBorders>
            <w:vAlign w:val="top"/>
          </w:tcPr>
          <w:p>
            <w:pPr>
              <w:jc w:val="center"/>
            </w:pPr>
            <w:r>
              <w:rPr>
                <w:sz w:val="21"/>
              </w:rPr>
              <w:t>得分</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51"/>
            <w:vMerge w:val="restart"/>
            <w:tcBorders>
              <w:top w:val="none" w:color="000000" w:sz="4"/>
              <w:left w:val="none" w:color="000000" w:sz="4"/>
              <w:bottom w:val="single" w:color="000000" w:sz="4"/>
              <w:right w:val="single" w:color="000000" w:sz="4"/>
            </w:tcBorders>
            <w:vAlign w:val="top"/>
          </w:tcPr>
          <w:p>
            <w:pPr>
              <w:jc w:val="center"/>
            </w:pPr>
            <w:r>
              <w:rPr>
                <w:sz w:val="21"/>
              </w:rPr>
              <w:t>服务人员考核</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人员岗位设置</w:t>
            </w:r>
          </w:p>
        </w:tc>
        <w:tc>
          <w:tcPr>
            <w:tcW w:type="dxa" w:w="3915"/>
            <w:tcBorders>
              <w:top w:val="none" w:color="000000" w:sz="4"/>
              <w:left w:val="none" w:color="000000" w:sz="4"/>
              <w:bottom w:val="single" w:color="000000" w:sz="4"/>
              <w:right w:val="single" w:color="000000" w:sz="4"/>
            </w:tcBorders>
            <w:vAlign w:val="top"/>
          </w:tcPr>
          <w:p>
            <w:pPr>
              <w:jc w:val="both"/>
            </w:pPr>
            <w:r>
              <w:rPr>
                <w:sz w:val="21"/>
              </w:rPr>
              <w:t>符合要求实际驻场人数</w:t>
            </w:r>
            <w:r>
              <w:rPr>
                <w:sz w:val="21"/>
              </w:rPr>
              <w:t>/</w:t>
            </w:r>
            <w:r>
              <w:rPr>
                <w:sz w:val="21"/>
              </w:rPr>
              <w:t>合同要求人数，不满足要求人数，每人次扣</w:t>
            </w:r>
            <w:r>
              <w:rPr>
                <w:sz w:val="21"/>
              </w:rPr>
              <w:t>1</w:t>
            </w:r>
            <w:r>
              <w:rPr>
                <w:sz w:val="21"/>
              </w:rPr>
              <w:t>分；</w:t>
            </w:r>
          </w:p>
        </w:tc>
        <w:tc>
          <w:tcPr>
            <w:tcW w:type="dxa" w:w="653"/>
            <w:vMerge w:val="restart"/>
            <w:tcBorders>
              <w:top w:val="none" w:color="000000" w:sz="4"/>
              <w:left w:val="none" w:color="000000" w:sz="4"/>
              <w:bottom w:val="single" w:color="000000" w:sz="4"/>
              <w:right w:val="single" w:color="000000" w:sz="4"/>
            </w:tcBorders>
            <w:vAlign w:val="top"/>
          </w:tcPr>
          <w:p>
            <w:pPr>
              <w:jc w:val="center"/>
            </w:pPr>
            <w:r>
              <w:rPr>
                <w:sz w:val="21"/>
              </w:rPr>
              <w:t>10</w:t>
            </w:r>
          </w:p>
        </w:tc>
        <w:tc>
          <w:tcPr>
            <w:tcW w:type="dxa" w:w="707"/>
            <w:vMerge w:val="restart"/>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人员稳定性</w:t>
            </w:r>
          </w:p>
        </w:tc>
        <w:tc>
          <w:tcPr>
            <w:tcW w:type="dxa" w:w="3915"/>
            <w:tcBorders>
              <w:top w:val="none" w:color="000000" w:sz="4"/>
              <w:left w:val="none" w:color="000000" w:sz="4"/>
              <w:bottom w:val="single" w:color="000000" w:sz="4"/>
              <w:right w:val="single" w:color="000000" w:sz="4"/>
            </w:tcBorders>
            <w:vAlign w:val="top"/>
          </w:tcPr>
          <w:p>
            <w:pPr>
              <w:jc w:val="both"/>
            </w:pPr>
            <w:r>
              <w:rPr>
                <w:sz w:val="21"/>
              </w:rPr>
              <w:t>服务团队人员在服务期间未经</w:t>
            </w:r>
            <w:r>
              <w:rPr>
                <w:sz w:val="21"/>
              </w:rPr>
              <w:t>甲方</w:t>
            </w:r>
            <w:r>
              <w:rPr>
                <w:sz w:val="21"/>
              </w:rPr>
              <w:t>许可出现离职更换，属于现场服务人员的，在</w:t>
            </w:r>
            <w:r>
              <w:rPr>
                <w:sz w:val="21"/>
              </w:rPr>
              <w:t>每期</w:t>
            </w:r>
            <w:r>
              <w:rPr>
                <w:sz w:val="21"/>
              </w:rPr>
              <w:t>付款</w:t>
            </w:r>
            <w:r>
              <w:rPr>
                <w:sz w:val="21"/>
              </w:rPr>
              <w:t>前的</w:t>
            </w:r>
            <w:r>
              <w:rPr>
                <w:sz w:val="21"/>
              </w:rPr>
              <w:t>考核结果中每人次扣</w:t>
            </w:r>
            <w:r>
              <w:rPr>
                <w:sz w:val="21"/>
              </w:rPr>
              <w:t>2</w:t>
            </w:r>
            <w:r>
              <w:rPr>
                <w:sz w:val="21"/>
              </w:rPr>
              <w:t>分，属于其他服务人员的，在</w:t>
            </w:r>
            <w:r>
              <w:rPr>
                <w:sz w:val="21"/>
              </w:rPr>
              <w:t>每期付款前的考核</w:t>
            </w:r>
            <w:r>
              <w:rPr>
                <w:sz w:val="21"/>
              </w:rPr>
              <w:t>结果中每人次扣</w:t>
            </w:r>
            <w:r>
              <w:rPr>
                <w:sz w:val="21"/>
              </w:rPr>
              <w:t>1</w:t>
            </w:r>
            <w:r>
              <w:rPr>
                <w:sz w:val="21"/>
              </w:rPr>
              <w:t>分；</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人员工作满意度</w:t>
            </w:r>
          </w:p>
        </w:tc>
        <w:tc>
          <w:tcPr>
            <w:tcW w:type="dxa" w:w="3915"/>
            <w:tcBorders>
              <w:top w:val="none" w:color="000000" w:sz="4"/>
              <w:left w:val="none" w:color="000000" w:sz="4"/>
              <w:bottom w:val="single" w:color="000000" w:sz="4"/>
              <w:right w:val="single" w:color="000000" w:sz="4"/>
            </w:tcBorders>
            <w:vAlign w:val="top"/>
          </w:tcPr>
          <w:p>
            <w:pPr>
              <w:jc w:val="both"/>
            </w:pPr>
            <w:r>
              <w:rPr>
                <w:sz w:val="21"/>
              </w:rPr>
              <w:t>客户投诉每次扣</w:t>
            </w:r>
            <w:r>
              <w:rPr>
                <w:sz w:val="21"/>
              </w:rPr>
              <w:t>3</w:t>
            </w:r>
            <w:r>
              <w:rPr>
                <w:sz w:val="21"/>
              </w:rPr>
              <w:t>分，书面警告每次扣</w:t>
            </w:r>
            <w:r>
              <w:rPr>
                <w:sz w:val="21"/>
              </w:rPr>
              <w:t>2</w:t>
            </w:r>
            <w:r>
              <w:rPr>
                <w:sz w:val="21"/>
              </w:rPr>
              <w:t>分；</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人员业务水平</w:t>
            </w:r>
          </w:p>
        </w:tc>
        <w:tc>
          <w:tcPr>
            <w:tcW w:type="dxa" w:w="3915"/>
            <w:tcBorders>
              <w:top w:val="none" w:color="000000" w:sz="4"/>
              <w:left w:val="none" w:color="000000" w:sz="4"/>
              <w:bottom w:val="single" w:color="000000" w:sz="4"/>
              <w:right w:val="single" w:color="000000" w:sz="4"/>
            </w:tcBorders>
            <w:vAlign w:val="top"/>
          </w:tcPr>
          <w:p>
            <w:pPr>
              <w:jc w:val="both"/>
            </w:pPr>
            <w:r>
              <w:rPr>
                <w:sz w:val="21"/>
              </w:rPr>
              <w:t>考核工程师对业务的熟悉程度、相关知识掌握程度、运维项目保密工作等的考核。出现误操作事件每人次扣</w:t>
            </w:r>
            <w:r>
              <w:rPr>
                <w:sz w:val="21"/>
              </w:rPr>
              <w:t>2</w:t>
            </w:r>
            <w:r>
              <w:rPr>
                <w:sz w:val="21"/>
              </w:rPr>
              <w:t>分；</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51"/>
            <w:vMerge w:val="restart"/>
            <w:tcBorders>
              <w:top w:val="none" w:color="000000" w:sz="4"/>
              <w:left w:val="none" w:color="000000" w:sz="4"/>
              <w:bottom w:val="single" w:color="000000" w:sz="4"/>
              <w:right w:val="single" w:color="000000" w:sz="4"/>
            </w:tcBorders>
            <w:vAlign w:val="top"/>
          </w:tcPr>
          <w:p>
            <w:pPr>
              <w:jc w:val="center"/>
            </w:pPr>
            <w:r>
              <w:rPr>
                <w:sz w:val="21"/>
              </w:rPr>
              <w:t>日常维护</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巡检和应急支持</w:t>
            </w:r>
          </w:p>
        </w:tc>
        <w:tc>
          <w:tcPr>
            <w:tcW w:type="dxa" w:w="3915"/>
            <w:tcBorders>
              <w:top w:val="none" w:color="000000" w:sz="4"/>
              <w:left w:val="none" w:color="000000" w:sz="4"/>
              <w:bottom w:val="single" w:color="000000" w:sz="4"/>
              <w:right w:val="single" w:color="000000" w:sz="4"/>
            </w:tcBorders>
            <w:vAlign w:val="top"/>
          </w:tcPr>
          <w:p>
            <w:pPr>
              <w:jc w:val="both"/>
            </w:pPr>
            <w:r>
              <w:rPr>
                <w:sz w:val="21"/>
              </w:rPr>
              <w:t>按要求完成日常运维任务，未按时进行巡检的，扣</w:t>
            </w:r>
            <w:r>
              <w:rPr>
                <w:sz w:val="21"/>
              </w:rPr>
              <w:t>1</w:t>
            </w:r>
            <w:r>
              <w:rPr>
                <w:sz w:val="21"/>
              </w:rPr>
              <w:t>分</w:t>
            </w:r>
            <w:r>
              <w:rPr>
                <w:sz w:val="21"/>
              </w:rPr>
              <w:t>/</w:t>
            </w:r>
            <w:r>
              <w:rPr>
                <w:sz w:val="21"/>
              </w:rPr>
              <w:t>次；未按要求响应支持应急和处理事件的，扣</w:t>
            </w:r>
            <w:r>
              <w:rPr>
                <w:sz w:val="21"/>
              </w:rPr>
              <w:t>1</w:t>
            </w:r>
            <w:r>
              <w:rPr>
                <w:sz w:val="21"/>
              </w:rPr>
              <w:t>分</w:t>
            </w:r>
            <w:r>
              <w:rPr>
                <w:sz w:val="21"/>
              </w:rPr>
              <w:t>/</w:t>
            </w:r>
            <w:r>
              <w:rPr>
                <w:sz w:val="21"/>
              </w:rPr>
              <w:t>次；</w:t>
            </w:r>
            <w:r>
              <w:rPr>
                <w:sz w:val="21"/>
              </w:rPr>
              <w:t>未在规定时间内将备品备件配送到位的，扣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报告提交情况</w:t>
            </w:r>
          </w:p>
        </w:tc>
        <w:tc>
          <w:tcPr>
            <w:tcW w:type="dxa" w:w="3915"/>
            <w:tcBorders>
              <w:top w:val="none" w:color="000000" w:sz="4"/>
              <w:left w:val="none" w:color="000000" w:sz="4"/>
              <w:bottom w:val="single" w:color="000000" w:sz="4"/>
              <w:right w:val="single" w:color="000000" w:sz="4"/>
            </w:tcBorders>
            <w:vAlign w:val="top"/>
          </w:tcPr>
          <w:p>
            <w:pPr>
              <w:jc w:val="both"/>
            </w:pPr>
            <w:r>
              <w:rPr>
                <w:sz w:val="21"/>
              </w:rPr>
              <w:t>按要求准时提交相关日报、月报、周报、季度报告、重大故障报告等相关报告。违规一次扣</w:t>
            </w:r>
            <w:r>
              <w:rPr>
                <w:sz w:val="21"/>
              </w:rPr>
              <w:t>1</w:t>
            </w:r>
            <w:r>
              <w:rPr>
                <w:sz w:val="21"/>
              </w:rPr>
              <w:t>分；</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软硬件升级</w:t>
            </w:r>
          </w:p>
        </w:tc>
        <w:tc>
          <w:tcPr>
            <w:tcW w:type="dxa" w:w="3915"/>
            <w:tcBorders>
              <w:top w:val="none" w:color="000000" w:sz="4"/>
              <w:left w:val="none" w:color="000000" w:sz="4"/>
              <w:bottom w:val="single" w:color="000000" w:sz="4"/>
              <w:right w:val="single" w:color="000000" w:sz="4"/>
            </w:tcBorders>
            <w:vAlign w:val="top"/>
          </w:tcPr>
          <w:p>
            <w:pPr>
              <w:jc w:val="both"/>
            </w:pPr>
            <w:r>
              <w:rPr>
                <w:sz w:val="21"/>
              </w:rPr>
              <w:t>软硬件升级前没有事先向</w:t>
            </w:r>
            <w:r>
              <w:rPr>
                <w:sz w:val="21"/>
              </w:rPr>
              <w:t>甲方</w:t>
            </w:r>
            <w:r>
              <w:rPr>
                <w:sz w:val="21"/>
              </w:rPr>
              <w:t>申请或沟通而造成不良影响的，扣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故障处理</w:t>
            </w:r>
          </w:p>
        </w:tc>
        <w:tc>
          <w:tcPr>
            <w:tcW w:type="dxa" w:w="3915"/>
            <w:tcBorders>
              <w:top w:val="none" w:color="000000" w:sz="4"/>
              <w:left w:val="none" w:color="000000" w:sz="4"/>
              <w:bottom w:val="single" w:color="000000" w:sz="4"/>
              <w:right w:val="single" w:color="000000" w:sz="4"/>
            </w:tcBorders>
            <w:vAlign w:val="top"/>
          </w:tcPr>
          <w:p>
            <w:pPr>
              <w:jc w:val="both"/>
            </w:pPr>
            <w:r>
              <w:rPr>
                <w:sz w:val="21"/>
              </w:rPr>
              <w:t>出现故障后没按故障正确的处理流程操作导致重大损失和造成恶劣影响的，扣</w:t>
            </w:r>
            <w:r>
              <w:rPr>
                <w:sz w:val="21"/>
              </w:rPr>
              <w:t>1</w:t>
            </w:r>
            <w:r>
              <w:rPr>
                <w:sz w:val="21"/>
              </w:rPr>
              <w:t>分</w:t>
            </w:r>
            <w:r>
              <w:rPr>
                <w:sz w:val="21"/>
              </w:rPr>
              <w:t>/</w:t>
            </w:r>
            <w:r>
              <w:rPr>
                <w:sz w:val="21"/>
              </w:rPr>
              <w:t>次；故障报告不及时提交给</w:t>
            </w:r>
            <w:r>
              <w:rPr>
                <w:sz w:val="21"/>
              </w:rPr>
              <w:t>甲方</w:t>
            </w:r>
            <w:r>
              <w:rPr>
                <w:sz w:val="21"/>
              </w:rPr>
              <w:t>的（一周内），扣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监控管理</w:t>
            </w:r>
          </w:p>
        </w:tc>
        <w:tc>
          <w:tcPr>
            <w:tcW w:type="dxa" w:w="3915"/>
            <w:tcBorders>
              <w:top w:val="none" w:color="000000" w:sz="4"/>
              <w:left w:val="none" w:color="000000" w:sz="4"/>
              <w:bottom w:val="single" w:color="000000" w:sz="4"/>
              <w:right w:val="single" w:color="000000" w:sz="4"/>
            </w:tcBorders>
            <w:vAlign w:val="top"/>
          </w:tcPr>
          <w:p>
            <w:pPr>
              <w:jc w:val="both"/>
            </w:pPr>
            <w:r>
              <w:rPr>
                <w:sz w:val="21"/>
              </w:rPr>
              <w:t>imoc</w:t>
            </w:r>
            <w:r>
              <w:rPr>
                <w:sz w:val="21"/>
              </w:rPr>
              <w:t>平台监控产生的告警信息要求</w:t>
            </w:r>
            <w:r>
              <w:rPr>
                <w:sz w:val="21"/>
              </w:rPr>
              <w:t>24</w:t>
            </w:r>
            <w:r>
              <w:rPr>
                <w:sz w:val="21"/>
              </w:rPr>
              <w:t>小时内处理完毕，未按时处理的，扣</w:t>
            </w:r>
            <w:r>
              <w:rPr>
                <w:sz w:val="21"/>
              </w:rPr>
              <w:t>1</w:t>
            </w:r>
            <w:r>
              <w:rPr>
                <w:sz w:val="21"/>
              </w:rPr>
              <w:t>分</w:t>
            </w:r>
            <w:r>
              <w:rPr>
                <w:sz w:val="21"/>
              </w:rPr>
              <w:t>/</w:t>
            </w:r>
            <w:r>
              <w:rPr>
                <w:sz w:val="21"/>
              </w:rPr>
              <w:t>次，如由此产生恶劣影响的，扣</w:t>
            </w:r>
            <w:r>
              <w:rPr>
                <w:sz w:val="21"/>
              </w:rPr>
              <w:t>2</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功能变更管理</w:t>
            </w:r>
          </w:p>
        </w:tc>
        <w:tc>
          <w:tcPr>
            <w:tcW w:type="dxa" w:w="3915"/>
            <w:tcBorders>
              <w:top w:val="none" w:color="000000" w:sz="4"/>
              <w:left w:val="none" w:color="000000" w:sz="4"/>
              <w:bottom w:val="single" w:color="000000" w:sz="4"/>
              <w:right w:val="single" w:color="000000" w:sz="4"/>
            </w:tcBorders>
            <w:vAlign w:val="top"/>
          </w:tcPr>
          <w:p>
            <w:pPr>
              <w:jc w:val="both"/>
            </w:pPr>
            <w:r>
              <w:rPr>
                <w:sz w:val="21"/>
              </w:rPr>
              <w:t>未经管理方私自进行功能变更的，扣</w:t>
            </w:r>
            <w:r>
              <w:rPr>
                <w:sz w:val="21"/>
              </w:rPr>
              <w:t>1</w:t>
            </w:r>
            <w:r>
              <w:rPr>
                <w:sz w:val="21"/>
              </w:rPr>
              <w:t>分</w:t>
            </w:r>
            <w:r>
              <w:rPr>
                <w:sz w:val="21"/>
              </w:rPr>
              <w:t>/</w:t>
            </w:r>
            <w:r>
              <w:rPr>
                <w:sz w:val="21"/>
              </w:rPr>
              <w:t>次，未按时按质完成功能变更的，扣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安全管理</w:t>
            </w:r>
          </w:p>
        </w:tc>
        <w:tc>
          <w:tcPr>
            <w:tcW w:type="dxa" w:w="3915"/>
            <w:tcBorders>
              <w:top w:val="none" w:color="000000" w:sz="4"/>
              <w:left w:val="none" w:color="000000" w:sz="4"/>
              <w:bottom w:val="single" w:color="000000" w:sz="4"/>
              <w:right w:val="single" w:color="000000" w:sz="4"/>
            </w:tcBorders>
            <w:vAlign w:val="top"/>
          </w:tcPr>
          <w:p>
            <w:pPr>
              <w:jc w:val="both"/>
            </w:pPr>
            <w:r>
              <w:rPr>
                <w:sz w:val="21"/>
              </w:rPr>
              <w:t>违反安全管理制度，人为造成严重、重大故障的，扣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任务管理</w:t>
            </w:r>
          </w:p>
        </w:tc>
        <w:tc>
          <w:tcPr>
            <w:tcW w:type="dxa" w:w="3915"/>
            <w:tcBorders>
              <w:top w:val="none" w:color="000000" w:sz="4"/>
              <w:left w:val="none" w:color="000000" w:sz="4"/>
              <w:bottom w:val="single" w:color="000000" w:sz="4"/>
              <w:right w:val="single" w:color="000000" w:sz="4"/>
            </w:tcBorders>
            <w:vAlign w:val="top"/>
          </w:tcPr>
          <w:p>
            <w:pPr>
              <w:jc w:val="both"/>
            </w:pPr>
            <w:r>
              <w:rPr>
                <w:sz w:val="21"/>
              </w:rPr>
              <w:t>未按时完成其他交办的维护任务的，扣</w:t>
            </w:r>
            <w:r>
              <w:rPr>
                <w:sz w:val="21"/>
              </w:rPr>
              <w:t>1</w:t>
            </w:r>
            <w:r>
              <w:rPr>
                <w:sz w:val="21"/>
              </w:rPr>
              <w:t>分</w:t>
            </w:r>
            <w:r>
              <w:rPr>
                <w:sz w:val="21"/>
              </w:rPr>
              <w:t>/</w:t>
            </w:r>
            <w:r>
              <w:rPr>
                <w:sz w:val="21"/>
              </w:rPr>
              <w:t>个；</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51"/>
            <w:tcBorders>
              <w:top w:val="none" w:color="000000" w:sz="4"/>
              <w:left w:val="none" w:color="000000" w:sz="4"/>
              <w:bottom w:val="none" w:color="000000" w:sz="4"/>
              <w:right w:val="single" w:color="000000" w:sz="4"/>
            </w:tcBorders>
            <w:vAlign w:val="top"/>
          </w:tcPr>
          <w:p>
            <w:pPr>
              <w:jc w:val="center"/>
            </w:pPr>
            <w:r>
              <w:rPr>
                <w:sz w:val="21"/>
              </w:rPr>
              <w:t>运行质量</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总体可用率</w:t>
            </w:r>
          </w:p>
        </w:tc>
        <w:tc>
          <w:tcPr>
            <w:tcW w:type="dxa" w:w="3915"/>
            <w:tcBorders>
              <w:top w:val="none" w:color="000000" w:sz="4"/>
              <w:left w:val="none" w:color="000000" w:sz="4"/>
              <w:bottom w:val="single" w:color="000000" w:sz="4"/>
              <w:right w:val="single" w:color="000000" w:sz="4"/>
            </w:tcBorders>
            <w:vAlign w:val="top"/>
          </w:tcPr>
          <w:p>
            <w:pPr>
              <w:jc w:val="both"/>
            </w:pPr>
            <w:r>
              <w:rPr>
                <w:sz w:val="21"/>
              </w:rPr>
              <w:t>每月发生故障次数不可超过三次，从第四次故障开始扣分（按故障级别扣分，</w:t>
            </w:r>
            <w:r>
              <w:rPr>
                <w:sz w:val="21"/>
              </w:rPr>
              <w:t>I</w:t>
            </w:r>
            <w:r>
              <w:rPr>
                <w:sz w:val="21"/>
              </w:rPr>
              <w:t>级</w:t>
            </w:r>
            <w:r>
              <w:rPr>
                <w:sz w:val="21"/>
              </w:rPr>
              <w:t>故障扣</w:t>
            </w:r>
            <w:r>
              <w:rPr>
                <w:sz w:val="21"/>
              </w:rPr>
              <w:t>10</w:t>
            </w:r>
            <w:r>
              <w:rPr>
                <w:sz w:val="21"/>
              </w:rPr>
              <w:t>分，</w:t>
            </w:r>
            <w:r>
              <w:rPr>
                <w:sz w:val="21"/>
              </w:rPr>
              <w:t>II</w:t>
            </w:r>
            <w:r>
              <w:rPr>
                <w:sz w:val="21"/>
              </w:rPr>
              <w:t>级</w:t>
            </w:r>
            <w:r>
              <w:rPr>
                <w:sz w:val="21"/>
              </w:rPr>
              <w:t>故障扣</w:t>
            </w:r>
            <w:r>
              <w:rPr>
                <w:sz w:val="21"/>
              </w:rPr>
              <w:t>5</w:t>
            </w:r>
            <w:r>
              <w:rPr>
                <w:sz w:val="21"/>
              </w:rPr>
              <w:t>分，</w:t>
            </w:r>
            <w:r>
              <w:rPr>
                <w:sz w:val="21"/>
              </w:rPr>
              <w:t>III</w:t>
            </w:r>
            <w:r>
              <w:rPr>
                <w:sz w:val="21"/>
              </w:rPr>
              <w:t>级</w:t>
            </w:r>
            <w:r>
              <w:rPr>
                <w:sz w:val="21"/>
              </w:rPr>
              <w:t>故障扣</w:t>
            </w:r>
            <w:r>
              <w:rPr>
                <w:sz w:val="21"/>
              </w:rPr>
              <w:t>3</w:t>
            </w:r>
            <w:r>
              <w:rPr>
                <w:sz w:val="21"/>
              </w:rPr>
              <w:t>分，</w:t>
            </w:r>
            <w:r>
              <w:rPr>
                <w:sz w:val="21"/>
              </w:rPr>
              <w:t>IV</w:t>
            </w:r>
            <w:r>
              <w:rPr>
                <w:sz w:val="21"/>
              </w:rPr>
              <w:t>级</w:t>
            </w:r>
            <w:r>
              <w:rPr>
                <w:sz w:val="21"/>
              </w:rPr>
              <w:t>故障扣</w:t>
            </w:r>
            <w:r>
              <w:rPr>
                <w:sz w:val="21"/>
              </w:rPr>
              <w:t>1</w:t>
            </w:r>
            <w:r>
              <w:rPr>
                <w:sz w:val="21"/>
              </w:rPr>
              <w:t>分</w:t>
            </w:r>
            <w:r>
              <w:rPr>
                <w:sz w:val="21"/>
              </w:rPr>
              <w:t>）</w:t>
            </w:r>
          </w:p>
        </w:tc>
        <w:tc>
          <w:tcPr>
            <w:tcW w:type="dxa" w:w="653"/>
            <w:tcBorders>
              <w:top w:val="none" w:color="000000" w:sz="4"/>
              <w:left w:val="none" w:color="000000" w:sz="4"/>
              <w:bottom w:val="single" w:color="000000" w:sz="4"/>
              <w:right w:val="single" w:color="000000" w:sz="4"/>
            </w:tcBorders>
            <w:vAlign w:val="top"/>
          </w:tcPr>
          <w:p>
            <w:pPr>
              <w:jc w:val="center"/>
            </w:pPr>
            <w:r>
              <w:rPr>
                <w:sz w:val="21"/>
              </w:rPr>
              <w:t>不设上限</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51"/>
            <w:vMerge w:val="restart"/>
            <w:tcBorders>
              <w:top w:val="single" w:color="000000" w:sz="4"/>
              <w:left w:val="none" w:color="000000" w:sz="4"/>
              <w:bottom w:val="single" w:color="000000" w:sz="4"/>
              <w:right w:val="single" w:color="000000" w:sz="4"/>
            </w:tcBorders>
            <w:vAlign w:val="top"/>
          </w:tcPr>
          <w:p>
            <w:pPr>
              <w:jc w:val="center"/>
            </w:pPr>
            <w:r>
              <w:rPr>
                <w:sz w:val="21"/>
              </w:rPr>
              <w:t>运维工作产出物质量</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周期性报告质量</w:t>
            </w:r>
          </w:p>
        </w:tc>
        <w:tc>
          <w:tcPr>
            <w:tcW w:type="dxa" w:w="3915"/>
            <w:tcBorders>
              <w:top w:val="none" w:color="000000" w:sz="4"/>
              <w:left w:val="none" w:color="000000" w:sz="4"/>
              <w:bottom w:val="single" w:color="000000" w:sz="4"/>
              <w:right w:val="single" w:color="000000" w:sz="4"/>
            </w:tcBorders>
            <w:vAlign w:val="top"/>
          </w:tcPr>
          <w:p>
            <w:pPr>
              <w:jc w:val="both"/>
            </w:pPr>
            <w:r>
              <w:rPr>
                <w:sz w:val="21"/>
              </w:rPr>
              <w:t>包括季报、月报、周报、日报等，是否简洁清晰、重点突出、分析深入、建议合理；</w:t>
            </w:r>
          </w:p>
        </w:tc>
        <w:tc>
          <w:tcPr>
            <w:tcW w:type="dxa" w:w="653"/>
            <w:vMerge w:val="restart"/>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vMerge w:val="restart"/>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51"/>
            <w:vMerge/>
            <w:tcBorders>
              <w:top w:val="singl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非周期性产出物质量</w:t>
            </w:r>
          </w:p>
        </w:tc>
        <w:tc>
          <w:tcPr>
            <w:tcW w:type="dxa" w:w="3915"/>
            <w:tcBorders>
              <w:top w:val="none" w:color="000000" w:sz="4"/>
              <w:left w:val="none" w:color="000000" w:sz="4"/>
              <w:bottom w:val="single" w:color="000000" w:sz="4"/>
              <w:right w:val="single" w:color="000000" w:sz="4"/>
            </w:tcBorders>
            <w:vAlign w:val="top"/>
          </w:tcPr>
          <w:p>
            <w:pPr>
              <w:jc w:val="both"/>
            </w:pPr>
            <w:r>
              <w:rPr>
                <w:sz w:val="21"/>
              </w:rPr>
              <w:t>如事件解决方案、评估报告、专题报告等，是否简洁清晰、重点突出、分析深入、建议合理。一个事件单不提交事件报告扣</w:t>
            </w:r>
            <w:r>
              <w:rPr>
                <w:sz w:val="21"/>
              </w:rPr>
              <w:t>1</w:t>
            </w:r>
            <w:r>
              <w:rPr>
                <w:sz w:val="21"/>
              </w:rPr>
              <w:t>分；</w:t>
            </w: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251"/>
            <w:vMerge w:val="restart"/>
            <w:tcBorders>
              <w:top w:val="none" w:color="000000" w:sz="4"/>
              <w:left w:val="none" w:color="000000" w:sz="4"/>
              <w:bottom w:val="single" w:color="000000" w:sz="4"/>
              <w:right w:val="single" w:color="000000" w:sz="4"/>
            </w:tcBorders>
            <w:vAlign w:val="top"/>
          </w:tcPr>
          <w:p>
            <w:pPr>
              <w:jc w:val="center"/>
            </w:pPr>
            <w:r>
              <w:rPr>
                <w:sz w:val="21"/>
              </w:rPr>
              <w:t>响应型服务质量</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事件响应时间达标率</w:t>
            </w:r>
          </w:p>
        </w:tc>
        <w:tc>
          <w:tcPr>
            <w:tcW w:type="dxa" w:w="3915"/>
            <w:tcBorders>
              <w:top w:val="none" w:color="000000" w:sz="4"/>
              <w:left w:val="none" w:color="000000" w:sz="4"/>
              <w:bottom w:val="single" w:color="000000" w:sz="4"/>
              <w:right w:val="single" w:color="000000" w:sz="4"/>
            </w:tcBorders>
            <w:vAlign w:val="top"/>
          </w:tcPr>
          <w:p>
            <w:pPr>
              <w:jc w:val="both"/>
            </w:pPr>
            <w:r>
              <w:rPr>
                <w:sz w:val="21"/>
              </w:rPr>
              <w:t>达标率低于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653"/>
            <w:tcBorders>
              <w:top w:val="none" w:color="000000" w:sz="4"/>
              <w:left w:val="none" w:color="000000" w:sz="4"/>
              <w:bottom w:val="single" w:color="000000" w:sz="4"/>
              <w:right w:val="single" w:color="000000" w:sz="4"/>
            </w:tcBorders>
            <w:vAlign w:val="top"/>
          </w:tcPr>
          <w:p>
            <w:pPr>
              <w:jc w:val="center"/>
            </w:pPr>
            <w:r>
              <w:rPr>
                <w:sz w:val="21"/>
              </w:rPr>
              <w:t>10</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事件处理时间达标率</w:t>
            </w:r>
          </w:p>
        </w:tc>
        <w:tc>
          <w:tcPr>
            <w:tcW w:type="dxa" w:w="3915"/>
            <w:tcBorders>
              <w:top w:val="none" w:color="000000" w:sz="4"/>
              <w:left w:val="none" w:color="000000" w:sz="4"/>
              <w:bottom w:val="single" w:color="000000" w:sz="4"/>
              <w:right w:val="single" w:color="000000" w:sz="4"/>
            </w:tcBorders>
            <w:vAlign w:val="top"/>
          </w:tcPr>
          <w:p>
            <w:pPr>
              <w:jc w:val="both"/>
            </w:pPr>
            <w:r>
              <w:rPr>
                <w:sz w:val="21"/>
              </w:rPr>
              <w:t>达标率低于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653"/>
            <w:tcBorders>
              <w:top w:val="none" w:color="000000" w:sz="4"/>
              <w:left w:val="none" w:color="000000" w:sz="4"/>
              <w:bottom w:val="single" w:color="000000" w:sz="4"/>
              <w:right w:val="single" w:color="000000" w:sz="4"/>
            </w:tcBorders>
            <w:vAlign w:val="top"/>
          </w:tcPr>
          <w:p>
            <w:pPr>
              <w:jc w:val="center"/>
            </w:pPr>
            <w:r>
              <w:rPr>
                <w:sz w:val="21"/>
              </w:rPr>
              <w:t>10</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事件完成率（已经完成的事件数</w:t>
            </w:r>
            <w:r>
              <w:rPr>
                <w:sz w:val="21"/>
              </w:rPr>
              <w:t>/</w:t>
            </w:r>
            <w:r>
              <w:rPr>
                <w:sz w:val="21"/>
              </w:rPr>
              <w:t>事件总数）</w:t>
            </w:r>
          </w:p>
        </w:tc>
        <w:tc>
          <w:tcPr>
            <w:tcW w:type="dxa" w:w="3915"/>
            <w:tcBorders>
              <w:top w:val="none" w:color="000000" w:sz="4"/>
              <w:left w:val="none" w:color="000000" w:sz="4"/>
              <w:bottom w:val="single" w:color="000000" w:sz="4"/>
              <w:right w:val="single" w:color="000000" w:sz="4"/>
            </w:tcBorders>
            <w:vAlign w:val="top"/>
          </w:tcPr>
          <w:p>
            <w:pPr>
              <w:jc w:val="both"/>
            </w:pPr>
            <w:r>
              <w:rPr>
                <w:sz w:val="21"/>
              </w:rPr>
              <w:t>完成率低于</w:t>
            </w:r>
            <w:r>
              <w:rPr>
                <w:sz w:val="21"/>
              </w:rPr>
              <w:t>70%</w:t>
            </w:r>
            <w:r>
              <w:rPr>
                <w:sz w:val="21"/>
              </w:rPr>
              <w:t>（扣</w:t>
            </w:r>
            <w:r>
              <w:rPr>
                <w:sz w:val="21"/>
              </w:rPr>
              <w:t>5</w:t>
            </w:r>
            <w:r>
              <w:rPr>
                <w:sz w:val="21"/>
              </w:rPr>
              <w:t>分）；低于</w:t>
            </w:r>
            <w:r>
              <w:rPr>
                <w:sz w:val="21"/>
              </w:rPr>
              <w:t>80%</w:t>
            </w:r>
            <w:r>
              <w:rPr>
                <w:sz w:val="21"/>
              </w:rPr>
              <w:t>（扣</w:t>
            </w:r>
            <w:r>
              <w:rPr>
                <w:sz w:val="21"/>
              </w:rPr>
              <w:t>4</w:t>
            </w:r>
            <w:r>
              <w:rPr>
                <w:sz w:val="21"/>
              </w:rPr>
              <w:t>分）；低于</w:t>
            </w:r>
            <w:r>
              <w:rPr>
                <w:sz w:val="21"/>
              </w:rPr>
              <w:t>90%</w:t>
            </w:r>
            <w:r>
              <w:rPr>
                <w:sz w:val="21"/>
              </w:rPr>
              <w:t>（扣</w:t>
            </w:r>
            <w:r>
              <w:rPr>
                <w:sz w:val="21"/>
              </w:rPr>
              <w:t>2</w:t>
            </w:r>
            <w:r>
              <w:rPr>
                <w:sz w:val="21"/>
              </w:rPr>
              <w:t>分）；低于</w:t>
            </w:r>
            <w:r>
              <w:rPr>
                <w:sz w:val="21"/>
              </w:rPr>
              <w:t>100%</w:t>
            </w:r>
            <w:r>
              <w:rPr>
                <w:sz w:val="21"/>
              </w:rPr>
              <w:t>（扣</w:t>
            </w:r>
            <w:r>
              <w:rPr>
                <w:sz w:val="21"/>
              </w:rPr>
              <w:t>1</w:t>
            </w:r>
            <w:r>
              <w:rPr>
                <w:sz w:val="21"/>
              </w:rPr>
              <w:t>分）；</w:t>
            </w:r>
          </w:p>
        </w:tc>
        <w:tc>
          <w:tcPr>
            <w:tcW w:type="dxa" w:w="653"/>
            <w:tcBorders>
              <w:top w:val="none" w:color="000000" w:sz="4"/>
              <w:left w:val="none" w:color="000000" w:sz="4"/>
              <w:bottom w:val="single" w:color="000000" w:sz="4"/>
              <w:right w:val="single" w:color="000000" w:sz="4"/>
            </w:tcBorders>
            <w:vAlign w:val="top"/>
          </w:tcPr>
          <w:p>
            <w:pPr>
              <w:jc w:val="center"/>
            </w:pPr>
            <w:r>
              <w:rPr>
                <w:sz w:val="21"/>
              </w:rPr>
              <w:t>10</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251"/>
            <w:vMerge w:val="restart"/>
            <w:tcBorders>
              <w:top w:val="none" w:color="000000" w:sz="4"/>
              <w:left w:val="none" w:color="000000" w:sz="4"/>
              <w:bottom w:val="single" w:color="000000" w:sz="4"/>
              <w:right w:val="single" w:color="000000" w:sz="4"/>
            </w:tcBorders>
            <w:vAlign w:val="top"/>
          </w:tcPr>
          <w:p>
            <w:pPr>
              <w:jc w:val="center"/>
            </w:pPr>
            <w:r>
              <w:rPr>
                <w:sz w:val="21"/>
              </w:rPr>
              <w:t>服务评价</w:t>
            </w:r>
          </w:p>
        </w:tc>
        <w:tc>
          <w:tcPr>
            <w:tcW w:type="dxa" w:w="1400"/>
            <w:tcBorders>
              <w:top w:val="none" w:color="000000" w:sz="4"/>
              <w:left w:val="none" w:color="000000" w:sz="4"/>
              <w:bottom w:val="single" w:color="000000" w:sz="4"/>
              <w:right w:val="single" w:color="000000" w:sz="4"/>
            </w:tcBorders>
            <w:vAlign w:val="top"/>
          </w:tcPr>
          <w:p>
            <w:pPr>
              <w:jc w:val="center"/>
            </w:pPr>
            <w:r>
              <w:rPr>
                <w:sz w:val="21"/>
              </w:rPr>
              <w:t>数据准确度</w:t>
            </w:r>
          </w:p>
        </w:tc>
        <w:tc>
          <w:tcPr>
            <w:tcW w:type="dxa" w:w="3915"/>
            <w:tcBorders>
              <w:top w:val="none" w:color="000000" w:sz="4"/>
              <w:left w:val="none" w:color="000000" w:sz="4"/>
              <w:bottom w:val="single" w:color="000000" w:sz="4"/>
              <w:right w:val="single" w:color="000000" w:sz="4"/>
            </w:tcBorders>
            <w:vAlign w:val="top"/>
          </w:tcPr>
          <w:p>
            <w:pPr>
              <w:jc w:val="both"/>
            </w:pPr>
            <w:r>
              <w:rPr>
                <w:sz w:val="21"/>
              </w:rPr>
              <w:t>出现某类业务数据不准确的，扣</w:t>
            </w:r>
            <w:r>
              <w:rPr>
                <w:sz w:val="21"/>
              </w:rPr>
              <w:t>1</w:t>
            </w:r>
            <w:r>
              <w:rPr>
                <w:sz w:val="21"/>
              </w:rPr>
              <w:t>分</w:t>
            </w:r>
            <w:r>
              <w:rPr>
                <w:sz w:val="21"/>
              </w:rPr>
              <w:t>/</w:t>
            </w:r>
            <w:r>
              <w:rPr>
                <w:sz w:val="21"/>
              </w:rPr>
              <w:t>项；</w:t>
            </w:r>
          </w:p>
        </w:tc>
        <w:tc>
          <w:tcPr>
            <w:tcW w:type="dxa" w:w="653"/>
            <w:tcBorders>
              <w:top w:val="none" w:color="000000" w:sz="4"/>
              <w:left w:val="none" w:color="000000" w:sz="4"/>
              <w:bottom w:val="single" w:color="000000" w:sz="4"/>
              <w:right w:val="single" w:color="000000" w:sz="4"/>
            </w:tcBorders>
            <w:vAlign w:val="top"/>
          </w:tcPr>
          <w:p>
            <w:pPr>
              <w:jc w:val="center"/>
            </w:pPr>
            <w:r>
              <w:rPr>
                <w:sz w:val="21"/>
              </w:rPr>
              <w:t>2</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系统可操作性</w:t>
            </w:r>
          </w:p>
        </w:tc>
        <w:tc>
          <w:tcPr>
            <w:tcW w:type="dxa" w:w="3915"/>
            <w:tcBorders>
              <w:top w:val="none" w:color="000000" w:sz="4"/>
              <w:left w:val="none" w:color="000000" w:sz="4"/>
              <w:bottom w:val="single" w:color="000000" w:sz="4"/>
              <w:right w:val="single" w:color="000000" w:sz="4"/>
            </w:tcBorders>
            <w:vAlign w:val="top"/>
          </w:tcPr>
          <w:p>
            <w:pPr>
              <w:jc w:val="both"/>
            </w:pPr>
            <w:r>
              <w:rPr>
                <w:sz w:val="21"/>
              </w:rPr>
              <w:t>由于系统原因，造成操作失效、容易出错、甚至导致终端出行死锁情况的，扣</w:t>
            </w:r>
            <w:r>
              <w:rPr>
                <w:sz w:val="21"/>
              </w:rPr>
              <w:t>1</w:t>
            </w:r>
            <w:r>
              <w:rPr>
                <w:sz w:val="21"/>
              </w:rPr>
              <w:t>分</w:t>
            </w:r>
            <w:r>
              <w:rPr>
                <w:sz w:val="21"/>
              </w:rPr>
              <w:t>/</w:t>
            </w:r>
            <w:r>
              <w:rPr>
                <w:sz w:val="21"/>
              </w:rPr>
              <w:t>项；</w:t>
            </w:r>
          </w:p>
        </w:tc>
        <w:tc>
          <w:tcPr>
            <w:tcW w:type="dxa" w:w="653"/>
            <w:tcBorders>
              <w:top w:val="none" w:color="000000" w:sz="4"/>
              <w:left w:val="none" w:color="000000" w:sz="4"/>
              <w:bottom w:val="single" w:color="000000" w:sz="4"/>
              <w:right w:val="single" w:color="000000" w:sz="4"/>
            </w:tcBorders>
            <w:vAlign w:val="top"/>
          </w:tcPr>
          <w:p>
            <w:pPr>
              <w:jc w:val="center"/>
            </w:pPr>
            <w:r>
              <w:rPr>
                <w:sz w:val="21"/>
              </w:rPr>
              <w:t>2</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响应速度</w:t>
            </w:r>
          </w:p>
        </w:tc>
        <w:tc>
          <w:tcPr>
            <w:tcW w:type="dxa" w:w="3915"/>
            <w:tcBorders>
              <w:top w:val="none" w:color="000000" w:sz="4"/>
              <w:left w:val="none" w:color="000000" w:sz="4"/>
              <w:bottom w:val="single" w:color="000000" w:sz="4"/>
              <w:right w:val="single" w:color="000000" w:sz="4"/>
            </w:tcBorders>
            <w:vAlign w:val="top"/>
          </w:tcPr>
          <w:p>
            <w:pPr>
              <w:jc w:val="both"/>
            </w:pPr>
            <w:r>
              <w:rPr>
                <w:sz w:val="21"/>
              </w:rPr>
              <w:t>对系统故障处理、业务沟通的响应速度不达标，被投诉的，扣</w:t>
            </w:r>
            <w:r>
              <w:rPr>
                <w:sz w:val="21"/>
              </w:rPr>
              <w:t>1</w:t>
            </w:r>
            <w:r>
              <w:rPr>
                <w:sz w:val="21"/>
              </w:rPr>
              <w:t>分</w:t>
            </w:r>
            <w:r>
              <w:rPr>
                <w:sz w:val="21"/>
              </w:rPr>
              <w:t>/</w:t>
            </w:r>
            <w:r>
              <w:rPr>
                <w:sz w:val="21"/>
              </w:rPr>
              <w:t>次；</w:t>
            </w:r>
          </w:p>
        </w:tc>
        <w:tc>
          <w:tcPr>
            <w:tcW w:type="dxa" w:w="653"/>
            <w:tcBorders>
              <w:top w:val="none" w:color="000000" w:sz="4"/>
              <w:left w:val="none" w:color="000000" w:sz="4"/>
              <w:bottom w:val="single" w:color="000000" w:sz="4"/>
              <w:right w:val="single" w:color="000000" w:sz="4"/>
            </w:tcBorders>
            <w:vAlign w:val="top"/>
          </w:tcPr>
          <w:p>
            <w:pPr>
              <w:jc w:val="center"/>
            </w:pPr>
            <w:r>
              <w:rPr>
                <w:sz w:val="21"/>
              </w:rPr>
              <w:t>3</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配合程度</w:t>
            </w:r>
          </w:p>
        </w:tc>
        <w:tc>
          <w:tcPr>
            <w:tcW w:type="dxa" w:w="3915"/>
            <w:tcBorders>
              <w:top w:val="none" w:color="000000" w:sz="4"/>
              <w:left w:val="none" w:color="000000" w:sz="4"/>
              <w:bottom w:val="single" w:color="000000" w:sz="4"/>
              <w:right w:val="single" w:color="000000" w:sz="4"/>
            </w:tcBorders>
            <w:vAlign w:val="top"/>
          </w:tcPr>
          <w:p>
            <w:pPr>
              <w:jc w:val="both"/>
            </w:pPr>
            <w:r>
              <w:rPr>
                <w:sz w:val="21"/>
              </w:rPr>
              <w:t>对业务实现要求的理解和沟通能力；</w:t>
            </w:r>
          </w:p>
        </w:tc>
        <w:tc>
          <w:tcPr>
            <w:tcW w:type="dxa" w:w="653"/>
            <w:tcBorders>
              <w:top w:val="none" w:color="000000" w:sz="4"/>
              <w:left w:val="none" w:color="000000" w:sz="4"/>
              <w:bottom w:val="single" w:color="000000" w:sz="4"/>
              <w:right w:val="single" w:color="000000" w:sz="4"/>
            </w:tcBorders>
            <w:vAlign w:val="top"/>
          </w:tcPr>
          <w:p>
            <w:pPr>
              <w:jc w:val="center"/>
            </w:pPr>
            <w:r>
              <w:rPr>
                <w:sz w:val="21"/>
              </w:rPr>
              <w:t>3</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251"/>
            <w:vMerge/>
            <w:tcBorders>
              <w:top w:val="none" w:color="000000" w:sz="4"/>
              <w:left w:val="none" w:color="000000" w:sz="4"/>
              <w:bottom w:val="single" w:color="000000" w:sz="4"/>
              <w:right w:val="single" w:color="000000" w:sz="4"/>
            </w:tcBorders>
          </w:tcPr>
          <w:p/>
        </w:tc>
        <w:tc>
          <w:tcPr>
            <w:tcW w:type="dxa" w:w="1400"/>
            <w:tcBorders>
              <w:top w:val="none" w:color="000000" w:sz="4"/>
              <w:left w:val="none" w:color="000000" w:sz="4"/>
              <w:bottom w:val="single" w:color="000000" w:sz="4"/>
              <w:right w:val="single" w:color="000000" w:sz="4"/>
            </w:tcBorders>
            <w:vAlign w:val="top"/>
          </w:tcPr>
          <w:p>
            <w:pPr>
              <w:jc w:val="center"/>
            </w:pPr>
            <w:r>
              <w:rPr>
                <w:sz w:val="21"/>
              </w:rPr>
              <w:t>总体效果</w:t>
            </w:r>
          </w:p>
        </w:tc>
        <w:tc>
          <w:tcPr>
            <w:tcW w:type="dxa" w:w="3915"/>
            <w:tcBorders>
              <w:top w:val="none" w:color="000000" w:sz="4"/>
              <w:left w:val="none" w:color="000000" w:sz="4"/>
              <w:bottom w:val="single" w:color="000000" w:sz="4"/>
              <w:right w:val="single" w:color="000000" w:sz="4"/>
            </w:tcBorders>
            <w:vAlign w:val="top"/>
          </w:tcPr>
          <w:p>
            <w:pPr>
              <w:jc w:val="both"/>
            </w:pPr>
            <w:r>
              <w:rPr>
                <w:sz w:val="21"/>
              </w:rPr>
              <w:t>对业务实现和系统应用效果的综合评价；</w:t>
            </w:r>
          </w:p>
        </w:tc>
        <w:tc>
          <w:tcPr>
            <w:tcW w:type="dxa" w:w="653"/>
            <w:tcBorders>
              <w:top w:val="none" w:color="000000" w:sz="4"/>
              <w:left w:val="none" w:color="000000" w:sz="4"/>
              <w:bottom w:val="single" w:color="000000" w:sz="4"/>
              <w:right w:val="single" w:color="000000" w:sz="4"/>
            </w:tcBorders>
            <w:vAlign w:val="top"/>
          </w:tcPr>
          <w:p>
            <w:pPr>
              <w:jc w:val="center"/>
            </w:pPr>
            <w:r>
              <w:rPr>
                <w:sz w:val="21"/>
              </w:rPr>
              <w:t>5</w:t>
            </w:r>
          </w:p>
        </w:tc>
        <w:tc>
          <w:tcPr>
            <w:tcW w:type="dxa" w:w="707"/>
            <w:tcBorders>
              <w:top w:val="none" w:color="000000" w:sz="4"/>
              <w:left w:val="none" w:color="000000" w:sz="4"/>
              <w:bottom w:val="single" w:color="000000" w:sz="4"/>
              <w:right w:val="single" w:color="000000" w:sz="4"/>
            </w:tcBorders>
            <w:vAlign w:val="top"/>
          </w:tcPr>
          <w:p>
            <w:pPr>
              <w:jc w:val="center"/>
            </w:pPr>
          </w:p>
        </w:tc>
      </w:tr>
      <w:tr>
        <w:tc>
          <w:tcPr>
            <w:tcW w:type="dxa" w:w="38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6566"/>
            <w:gridSpan w:val="3"/>
            <w:tcBorders>
              <w:top w:val="none" w:color="000000" w:sz="4"/>
              <w:left w:val="none" w:color="000000" w:sz="4"/>
              <w:bottom w:val="single" w:color="000000" w:sz="4"/>
              <w:right w:val="single" w:color="000000" w:sz="4"/>
            </w:tcBorders>
            <w:vAlign w:val="top"/>
          </w:tcPr>
          <w:p>
            <w:pPr>
              <w:jc w:val="center"/>
            </w:pPr>
            <w:r>
              <w:rPr>
                <w:sz w:val="21"/>
              </w:rPr>
              <w:t>总分</w:t>
            </w:r>
          </w:p>
        </w:tc>
        <w:tc>
          <w:tcPr>
            <w:tcW w:type="dxa" w:w="653"/>
            <w:tcBorders>
              <w:top w:val="none" w:color="000000" w:sz="4"/>
              <w:left w:val="none" w:color="000000" w:sz="4"/>
              <w:bottom w:val="single" w:color="000000" w:sz="4"/>
              <w:right w:val="single" w:color="000000" w:sz="4"/>
            </w:tcBorders>
            <w:vAlign w:val="top"/>
          </w:tcPr>
          <w:p>
            <w:pPr>
              <w:jc w:val="center"/>
            </w:pPr>
            <w:r>
              <w:rPr>
                <w:sz w:val="21"/>
              </w:rPr>
              <w:t>100</w:t>
            </w:r>
          </w:p>
        </w:tc>
        <w:tc>
          <w:tcPr>
            <w:tcW w:type="dxa" w:w="707"/>
            <w:tcBorders>
              <w:top w:val="none" w:color="000000" w:sz="4"/>
              <w:left w:val="none" w:color="000000" w:sz="4"/>
              <w:bottom w:val="single" w:color="000000" w:sz="4"/>
              <w:right w:val="single" w:color="000000" w:sz="4"/>
            </w:tcBorders>
            <w:vAlign w:val="top"/>
          </w:tcPr>
          <w:p>
            <w:pPr>
              <w:jc w:val="center"/>
            </w:pPr>
          </w:p>
        </w:tc>
      </w:tr>
    </w:tbl>
    <w:p>
      <w:pPr>
        <w:numPr>
          <w:ilvl w:val="1"/>
          <w:numId w:val="3"/>
        </w:numPr>
        <w:jc w:val="left"/>
      </w:pPr>
      <w:r>
        <w:rPr>
          <w:color w:val="000000"/>
          <w:sz w:val="24"/>
        </w:rPr>
        <w:t>如一方地址、电话、传真号码有变更，应在变更当日内书面通知对方，否则视为原地址有效。因变更提供的地址不准确，送达地址变更未及时告知对方或指定接收人拒绝签收等原因，导致通知或相关法律文书未能被对方实际接收的，文书退回之日视为送达之日。</w:t>
      </w:r>
    </w:p>
    <w:p/>
    <w:p>
      <w:pPr>
        <w:ind w:firstLine="640"/>
        <w:jc w:val="left"/>
      </w:pPr>
      <w:r>
        <w:rPr>
          <w:sz w:val="32"/>
        </w:rPr>
        <w:t>附件</w:t>
      </w:r>
      <w:r>
        <w:rPr>
          <w:sz w:val="32"/>
        </w:rPr>
        <w:t>2</w:t>
      </w:r>
    </w:p>
    <w:p>
      <w:pPr>
        <w:jc w:val="left"/>
      </w:pPr>
    </w:p>
    <w:p>
      <w:pPr>
        <w:ind w:firstLine="420"/>
        <w:jc w:val="center"/>
      </w:pPr>
      <w:r>
        <w:rPr>
          <w:b/>
          <w:sz w:val="36"/>
        </w:rPr>
        <w:t>保密协议</w:t>
      </w:r>
    </w:p>
    <w:p>
      <w:pPr>
        <w:ind w:firstLine="420"/>
        <w:jc w:val="left"/>
      </w:pPr>
      <w:r>
        <w:rPr>
          <w:sz w:val="21"/>
        </w:rPr>
        <w:t>甲方：</w:t>
      </w:r>
    </w:p>
    <w:p>
      <w:pPr>
        <w:ind w:firstLine="420"/>
        <w:jc w:val="left"/>
      </w:pPr>
      <w:r>
        <w:rPr>
          <w:sz w:val="21"/>
        </w:rPr>
        <w:t>乙方：</w:t>
      </w:r>
    </w:p>
    <w:p>
      <w:pPr>
        <w:ind w:firstLine="480"/>
        <w:jc w:val="left"/>
      </w:pPr>
    </w:p>
    <w:p>
      <w:pPr>
        <w:ind w:firstLine="420"/>
        <w:jc w:val="both"/>
      </w:pPr>
      <w:r>
        <w:rPr>
          <w:sz w:val="21"/>
        </w:rPr>
        <w:t>2023</w:t>
      </w:r>
      <w:r>
        <w:rPr>
          <w:sz w:val="21"/>
        </w:rPr>
        <w:t>年</w:t>
      </w:r>
      <w:r>
        <w:rPr>
          <w:sz w:val="21"/>
        </w:rPr>
        <w:t>___</w:t>
      </w:r>
      <w:r>
        <w:rPr>
          <w:sz w:val="21"/>
        </w:rPr>
        <w:t>月</w:t>
      </w:r>
      <w:r>
        <w:rPr>
          <w:sz w:val="21"/>
        </w:rPr>
        <w:t>___</w:t>
      </w:r>
      <w:r>
        <w:rPr>
          <w:sz w:val="21"/>
        </w:rPr>
        <w:t>日，甲、乙双方就</w:t>
      </w:r>
      <w:r>
        <w:rPr>
          <w:sz w:val="21"/>
        </w:rPr>
        <w:t>中山市城市智慧大脑运维服务项目</w:t>
      </w:r>
      <w:r>
        <w:rPr>
          <w:sz w:val="21"/>
        </w:rPr>
        <w:t>（下称：项目）签订了《</w:t>
      </w:r>
      <w:r>
        <w:rPr>
          <w:sz w:val="21"/>
        </w:rPr>
        <w:t>中山市城市智慧大脑运维服务项目采购合同</w:t>
      </w:r>
      <w:r>
        <w:rPr>
          <w:sz w:val="21"/>
        </w:rPr>
        <w:t>》（下称：《合同》），《合同》明确约定了乙方的保密义务。为加强项目的保密度，进一步规范乙方在</w:t>
      </w:r>
      <w:r>
        <w:rPr>
          <w:sz w:val="21"/>
          <w:u w:val="single"/>
        </w:rPr>
        <w:t>系统安全和信息保密方面</w:t>
      </w:r>
      <w:r>
        <w:rPr>
          <w:sz w:val="21"/>
        </w:rPr>
        <w:t>的义务，甲、乙双方经友好协商一致，就安全信息保障义务及保密义务之相关事宜，签订本协议，以资双方共同遵守。</w:t>
      </w:r>
    </w:p>
    <w:p>
      <w:pPr>
        <w:ind w:firstLine="422"/>
        <w:jc w:val="both"/>
      </w:pPr>
      <w:r>
        <w:rPr>
          <w:b/>
          <w:sz w:val="21"/>
        </w:rPr>
        <w:t>一、安全信息保障义务</w:t>
      </w:r>
    </w:p>
    <w:p>
      <w:pPr>
        <w:ind w:firstLine="420"/>
        <w:jc w:val="both"/>
      </w:pPr>
      <w:r>
        <w:rPr>
          <w:sz w:val="21"/>
        </w:rPr>
        <w:t>乙方保证乙方及其人员在履行项目过程中，严格遵守国家有关法律、法规及政策，并作出如下保证：</w:t>
      </w:r>
    </w:p>
    <w:p>
      <w:pPr>
        <w:ind w:firstLine="420"/>
        <w:jc w:val="both"/>
      </w:pPr>
      <w:r>
        <w:rPr>
          <w:sz w:val="21"/>
        </w:rPr>
        <w:t>1</w:t>
      </w:r>
      <w:r>
        <w:rPr>
          <w:sz w:val="21"/>
        </w:rPr>
        <w:t>、乙方不得利用甲方的项目、办公场所及办公设施发送、传播有关煽动、破坏社会稳定或危及国家安全的信息。</w:t>
      </w:r>
    </w:p>
    <w:p>
      <w:pPr>
        <w:ind w:firstLine="420"/>
        <w:jc w:val="both"/>
      </w:pPr>
      <w:r>
        <w:rPr>
          <w:sz w:val="21"/>
        </w:rPr>
        <w:t>2</w:t>
      </w:r>
      <w:r>
        <w:rPr>
          <w:sz w:val="21"/>
        </w:rPr>
        <w:t>、乙方不得利用甲方的项目、办公场所及办公设施发送、传播对社会稳定不利的敏感事件信息，包括制造事端的集会、上访、罢工、罢课等信息。</w:t>
      </w:r>
    </w:p>
    <w:p>
      <w:pPr>
        <w:ind w:firstLine="420"/>
        <w:jc w:val="both"/>
      </w:pPr>
      <w:r>
        <w:rPr>
          <w:sz w:val="21"/>
        </w:rPr>
        <w:t>3</w:t>
      </w:r>
      <w:r>
        <w:rPr>
          <w:sz w:val="21"/>
        </w:rPr>
        <w:t>、乙方不得利用甲方的项目、办公场所及办公设施发送、传播攻击党政机关领导人、损害国家声誉的政治谣言信息。</w:t>
      </w:r>
    </w:p>
    <w:p>
      <w:pPr>
        <w:ind w:firstLine="420"/>
        <w:jc w:val="both"/>
      </w:pPr>
      <w:r>
        <w:rPr>
          <w:sz w:val="21"/>
        </w:rPr>
        <w:t>4</w:t>
      </w:r>
      <w:r>
        <w:rPr>
          <w:sz w:val="21"/>
        </w:rPr>
        <w:t>、乙方不得利用甲方的项目、办公场所及办公设施发送、传播危及国家和社会安全的爆炸、投毒、恐吓等恶性恐怖事件信息。</w:t>
      </w:r>
    </w:p>
    <w:p>
      <w:pPr>
        <w:ind w:firstLine="420"/>
        <w:jc w:val="both"/>
      </w:pPr>
      <w:r>
        <w:rPr>
          <w:sz w:val="21"/>
        </w:rPr>
        <w:t>5</w:t>
      </w:r>
      <w:r>
        <w:rPr>
          <w:sz w:val="21"/>
        </w:rPr>
        <w:t>、在履行项目过程中，乙方自觉接受甲方对信息安全管理的监督和检查。</w:t>
      </w:r>
    </w:p>
    <w:p>
      <w:pPr>
        <w:ind w:firstLine="420"/>
        <w:jc w:val="both"/>
      </w:pPr>
      <w:r>
        <w:rPr>
          <w:sz w:val="21"/>
        </w:rPr>
        <w:t>6</w:t>
      </w:r>
      <w:r>
        <w:rPr>
          <w:sz w:val="21"/>
        </w:rPr>
        <w:t>、本协议保密信息的任何载体，包括但不限于原件、复印件、磁盘、电子信息等均为甲方的专有财产，未经甲方的书面批准不得带离特定的工作场所或私有化存储，不得未经甲方的书面同意以复制、拷贝、刻录、拍照、网络传播等任何形式获取《合同》及本协议保密范围规定所涉及保密内容及相关资料，不得未经甲方书面允许以任何方式直接或间接自己收录或披露给任何第三方。在《合同》因任何原因终止或解除后，乙方及其人员必须将其所持有、使用或掌握的上述载体交还给甲方。</w:t>
      </w:r>
    </w:p>
    <w:p>
      <w:pPr>
        <w:ind w:firstLine="420"/>
        <w:jc w:val="both"/>
      </w:pPr>
      <w:r>
        <w:rPr>
          <w:sz w:val="21"/>
        </w:rPr>
        <w:t>7</w:t>
      </w:r>
      <w:r>
        <w:rPr>
          <w:sz w:val="21"/>
        </w:rPr>
        <w:t>、乙方及其人员应承诺并保证对以任何电子记存方式储存于乙方或其人员所使用的电脑上的任何保密信息，按甲方的指示把所有的保密信息清除或作适当处理。</w:t>
      </w:r>
    </w:p>
    <w:p>
      <w:pPr>
        <w:ind w:firstLine="420"/>
        <w:jc w:val="both"/>
      </w:pPr>
      <w:r>
        <w:rPr>
          <w:sz w:val="21"/>
        </w:rPr>
        <w:t>8</w:t>
      </w:r>
      <w:r>
        <w:rPr>
          <w:sz w:val="21"/>
        </w:rPr>
        <w:t>、乙方应按招标文件要求、《合同》约定做好网络安全等级防护措施，保证项目信息安全管理，不得随意更改、停用、降低安全防护等级和防护策略。</w:t>
      </w:r>
    </w:p>
    <w:p>
      <w:pPr>
        <w:ind w:firstLine="420"/>
        <w:jc w:val="both"/>
      </w:pPr>
      <w:r>
        <w:rPr>
          <w:sz w:val="21"/>
        </w:rPr>
        <w:t>9</w:t>
      </w:r>
      <w:r>
        <w:rPr>
          <w:sz w:val="21"/>
        </w:rPr>
        <w:t>、乙方应建立健全的日常项目信息安全运维管理制度，配合甲方及相关部门做好不定期的制度检查和技术巡查工作。</w:t>
      </w:r>
    </w:p>
    <w:p>
      <w:pPr>
        <w:ind w:firstLine="422"/>
        <w:jc w:val="both"/>
      </w:pPr>
      <w:r>
        <w:rPr>
          <w:b/>
          <w:sz w:val="21"/>
        </w:rPr>
        <w:t>二、保密信息</w:t>
      </w:r>
    </w:p>
    <w:p>
      <w:pPr>
        <w:ind w:firstLine="420"/>
        <w:jc w:val="both"/>
      </w:pPr>
      <w:r>
        <w:rPr>
          <w:sz w:val="21"/>
        </w:rPr>
        <w:t>1</w:t>
      </w:r>
      <w:r>
        <w:rPr>
          <w:sz w:val="21"/>
        </w:rPr>
        <w:t>、保密信息范围：乙方在履行项目过程中获悉的全部信息及数据，包括但不限于项目技术方案、研究开发成果、软件源代码、规范流程、技术文档、管理制度及数据交换平台上运行的自然人、法人、其他组织基础信息库和自然人、法人证照信息库的所有信息、数据。</w:t>
      </w:r>
    </w:p>
    <w:p>
      <w:pPr>
        <w:ind w:firstLine="480"/>
        <w:jc w:val="both"/>
      </w:pPr>
      <w:r>
        <w:rPr>
          <w:sz w:val="21"/>
        </w:rPr>
        <w:t>2</w:t>
      </w:r>
      <w:r>
        <w:rPr>
          <w:sz w:val="21"/>
        </w:rPr>
        <w:t>、保密信息载体：承载保密信息内容的物品，包括但不限于书面文件、电子文档、磁盘、</w:t>
      </w:r>
      <w:r>
        <w:rPr>
          <w:sz w:val="21"/>
        </w:rPr>
        <w:t>CD</w:t>
      </w:r>
      <w:r>
        <w:rPr>
          <w:sz w:val="21"/>
        </w:rPr>
        <w:t>、电子信息数据或其他任何形式的载体。</w:t>
      </w:r>
    </w:p>
    <w:p>
      <w:pPr>
        <w:ind w:firstLine="480"/>
        <w:jc w:val="both"/>
      </w:pPr>
      <w:r>
        <w:rPr>
          <w:sz w:val="21"/>
        </w:rPr>
        <w:t>3</w:t>
      </w:r>
      <w:r>
        <w:rPr>
          <w:sz w:val="21"/>
        </w:rPr>
        <w:t>、保密信息的所有权归甲方所有，乙方不享有上述保密信息的所有权、排他独占使用权、再许可使用权或其他权利，乙方对上述保密信息使用的方式和程度仅限于在取得甲方事先书面同意和本协议约定的范围内。</w:t>
      </w:r>
    </w:p>
    <w:p>
      <w:pPr>
        <w:ind w:firstLine="480"/>
        <w:jc w:val="both"/>
      </w:pPr>
      <w:r>
        <w:rPr>
          <w:b/>
          <w:sz w:val="21"/>
        </w:rPr>
        <w:t>三、非保密信息</w:t>
      </w:r>
    </w:p>
    <w:p>
      <w:pPr>
        <w:ind w:firstLine="480"/>
        <w:jc w:val="both"/>
      </w:pPr>
      <w:r>
        <w:rPr>
          <w:sz w:val="21"/>
        </w:rPr>
        <w:t>乙方可以证明属于下述各项的信息，不属于保密信息：</w:t>
      </w:r>
    </w:p>
    <w:p>
      <w:pPr>
        <w:ind w:firstLine="480"/>
        <w:jc w:val="both"/>
      </w:pPr>
      <w:r>
        <w:rPr>
          <w:sz w:val="21"/>
        </w:rPr>
        <w:t>1</w:t>
      </w:r>
      <w:r>
        <w:rPr>
          <w:sz w:val="21"/>
        </w:rPr>
        <w:t>、已公开发表或非因乙方原因已被公众所知悉的保密信息。</w:t>
      </w:r>
    </w:p>
    <w:p>
      <w:pPr>
        <w:ind w:firstLine="480"/>
        <w:jc w:val="both"/>
      </w:pPr>
      <w:r>
        <w:rPr>
          <w:sz w:val="21"/>
        </w:rPr>
        <w:t>2</w:t>
      </w:r>
      <w:r>
        <w:rPr>
          <w:sz w:val="21"/>
        </w:rPr>
        <w:t>、甲方书面同意公开的保密信息。</w:t>
      </w:r>
    </w:p>
    <w:p>
      <w:pPr>
        <w:ind w:firstLine="480"/>
        <w:jc w:val="both"/>
      </w:pPr>
      <w:r>
        <w:rPr>
          <w:sz w:val="21"/>
        </w:rPr>
        <w:t>3</w:t>
      </w:r>
      <w:r>
        <w:rPr>
          <w:sz w:val="21"/>
        </w:rPr>
        <w:t>、乙方从第三方处合法、正当地取得的保密信息，且该第三方对该等保密信息不承担保密义务。</w:t>
      </w:r>
    </w:p>
    <w:p>
      <w:pPr>
        <w:ind w:firstLine="480"/>
        <w:jc w:val="both"/>
      </w:pPr>
      <w:r>
        <w:rPr>
          <w:b/>
          <w:sz w:val="21"/>
        </w:rPr>
        <w:t>四、保密义务</w:t>
      </w:r>
    </w:p>
    <w:p>
      <w:pPr>
        <w:ind w:firstLine="480"/>
        <w:jc w:val="both"/>
      </w:pPr>
      <w:r>
        <w:rPr>
          <w:sz w:val="21"/>
        </w:rPr>
        <w:t>1</w:t>
      </w:r>
      <w:r>
        <w:rPr>
          <w:sz w:val="21"/>
        </w:rPr>
        <w:t>、乙方承诺采取一切合理保密措施，妥善保管本协议约定的保密信息，禁止任何与该保密信息无关之人员接触或取得保密信息。</w:t>
      </w:r>
    </w:p>
    <w:p>
      <w:pPr>
        <w:ind w:firstLine="480"/>
        <w:jc w:val="both"/>
      </w:pPr>
      <w:r>
        <w:rPr>
          <w:sz w:val="21"/>
        </w:rPr>
        <w:t>2</w:t>
      </w:r>
      <w:r>
        <w:rPr>
          <w:sz w:val="21"/>
        </w:rPr>
        <w:t>、未经甲方书面同意，乙方承诺不以书面、口头或电子等任何方式将保密信息告知、公布、发布、泄露、披露、转让给任何第三方，不许可任何第三方使用或与任何第三方共同使用保密信息。</w:t>
      </w:r>
    </w:p>
    <w:p>
      <w:pPr>
        <w:ind w:firstLine="480"/>
        <w:jc w:val="both"/>
      </w:pPr>
      <w:r>
        <w:rPr>
          <w:sz w:val="21"/>
        </w:rPr>
        <w:t>3</w:t>
      </w:r>
      <w:r>
        <w:rPr>
          <w:sz w:val="21"/>
        </w:rPr>
        <w:t>、乙方仅可为履行《合同》的需要，将保密信息披露给其直接或间接参与项目的管理人员、员工和顾问，但乙方应确保接触保密信息的人员遵守保密信息的义务，与接触保密信息的人员签订《保密协议》，并就接触保密信息的人员对保密信息的保密义务承担连带责任。</w:t>
      </w:r>
    </w:p>
    <w:p>
      <w:pPr>
        <w:ind w:firstLine="480"/>
        <w:jc w:val="both"/>
      </w:pPr>
      <w:r>
        <w:rPr>
          <w:sz w:val="21"/>
        </w:rPr>
        <w:t>4</w:t>
      </w:r>
      <w:r>
        <w:rPr>
          <w:sz w:val="21"/>
        </w:rPr>
        <w:t>、乙方承诺仅为完成项目使用保密信息，不将保密信息用于其他任何场合及交易，也不以任何其他方式滥用保密信息。</w:t>
      </w:r>
    </w:p>
    <w:p>
      <w:pPr>
        <w:ind w:firstLine="480"/>
        <w:jc w:val="both"/>
      </w:pPr>
      <w:r>
        <w:rPr>
          <w:sz w:val="21"/>
        </w:rPr>
        <w:t>5</w:t>
      </w:r>
      <w:r>
        <w:rPr>
          <w:sz w:val="21"/>
        </w:rPr>
        <w:t>、乙方承诺采取一切合理措施对甲方的保密信息予以保密，尽到与保护自身商业秘密相同的最高程度的谨慎注意义务。</w:t>
      </w:r>
    </w:p>
    <w:p>
      <w:pPr>
        <w:ind w:firstLine="480"/>
        <w:jc w:val="both"/>
      </w:pPr>
      <w:r>
        <w:rPr>
          <w:sz w:val="21"/>
        </w:rPr>
        <w:t>6</w:t>
      </w:r>
      <w:r>
        <w:rPr>
          <w:sz w:val="21"/>
        </w:rPr>
        <w:t>、乙方承诺在项目中不存在利益冲突，并确保接触保密信息的人员在项目中不存在利益冲突。</w:t>
      </w:r>
    </w:p>
    <w:p>
      <w:pPr>
        <w:ind w:firstLine="480"/>
        <w:jc w:val="both"/>
      </w:pPr>
      <w:r>
        <w:rPr>
          <w:sz w:val="21"/>
        </w:rPr>
        <w:t>7</w:t>
      </w:r>
      <w:r>
        <w:rPr>
          <w:sz w:val="21"/>
        </w:rPr>
        <w:t>、项目结束后，甲方有权要求乙方将其自行保存的保密信息予以返还、销毁或永久删除，乙方不得私下留存复印件，并在项目结束当日向甲方书面保证其已经采取前述措施。</w:t>
      </w:r>
    </w:p>
    <w:p>
      <w:pPr>
        <w:ind w:firstLine="480"/>
        <w:jc w:val="both"/>
      </w:pPr>
      <w:r>
        <w:rPr>
          <w:sz w:val="21"/>
        </w:rPr>
        <w:t>8</w:t>
      </w:r>
      <w:r>
        <w:rPr>
          <w:sz w:val="21"/>
        </w:rPr>
        <w:t>、乙方履行本协议约定的保密义务而发生的所有费用均由乙方承担。</w:t>
      </w:r>
    </w:p>
    <w:p>
      <w:pPr>
        <w:ind w:firstLine="480"/>
        <w:jc w:val="both"/>
      </w:pPr>
      <w:r>
        <w:rPr>
          <w:sz w:val="21"/>
        </w:rPr>
        <w:t>9</w:t>
      </w:r>
      <w:r>
        <w:rPr>
          <w:sz w:val="21"/>
        </w:rPr>
        <w:t>、乙方知晓和同意，为保证甲方信息的保密效果，甲方有权在甲方控制的区域和设备安装电子监控系统，包括但不限于在办公室和实验室安装录音录像设备、在甲方提供的计算机和其他设备上安装文件监控系统等措施。</w:t>
      </w:r>
    </w:p>
    <w:p>
      <w:pPr>
        <w:ind w:firstLine="480"/>
        <w:jc w:val="both"/>
      </w:pPr>
      <w:r>
        <w:rPr>
          <w:b/>
          <w:sz w:val="21"/>
        </w:rPr>
        <w:t>五、保密期限</w:t>
      </w:r>
    </w:p>
    <w:p>
      <w:pPr>
        <w:ind w:firstLine="480"/>
        <w:jc w:val="both"/>
      </w:pPr>
      <w:r>
        <w:rPr>
          <w:sz w:val="21"/>
        </w:rPr>
        <w:t>乙方自执行项目起履行永久保密义务及安全信息保障义务。</w:t>
      </w:r>
    </w:p>
    <w:p>
      <w:pPr>
        <w:ind w:firstLine="480"/>
        <w:jc w:val="both"/>
      </w:pPr>
      <w:r>
        <w:rPr>
          <w:b/>
          <w:sz w:val="21"/>
        </w:rPr>
        <w:t>六、违约责任</w:t>
      </w:r>
    </w:p>
    <w:p>
      <w:pPr>
        <w:ind w:firstLine="480"/>
        <w:jc w:val="both"/>
      </w:pPr>
      <w:r>
        <w:rPr>
          <w:sz w:val="21"/>
        </w:rPr>
        <w:t>1</w:t>
      </w:r>
      <w:r>
        <w:rPr>
          <w:sz w:val="21"/>
        </w:rPr>
        <w:t>、乙方在违约或可能违约的情况下，甲方有权要求乙方立即停止违约行为或避免违约。</w:t>
      </w:r>
    </w:p>
    <w:p>
      <w:pPr>
        <w:ind w:firstLine="480"/>
        <w:jc w:val="both"/>
      </w:pPr>
      <w:r>
        <w:rPr>
          <w:sz w:val="21"/>
        </w:rPr>
        <w:t>2</w:t>
      </w:r>
      <w:r>
        <w:rPr>
          <w:sz w:val="21"/>
        </w:rPr>
        <w:t>、若乙方因自身及其接触保密信息的人员原因违反本协议任何一款约定，应一次性向甲方支付违约金</w:t>
      </w:r>
      <w:r>
        <w:rPr>
          <w:sz w:val="21"/>
        </w:rPr>
        <w:t>人民币</w:t>
      </w:r>
      <w:r>
        <w:rPr>
          <w:sz w:val="21"/>
        </w:rPr>
        <w:t>10</w:t>
      </w:r>
      <w:r>
        <w:rPr>
          <w:sz w:val="21"/>
        </w:rPr>
        <w:t>万元（大写：人民币壹拾万圆整），该违约金不足以弥补甲方经济损失的，乙方就不足部分承担赔偿责任。</w:t>
      </w:r>
    </w:p>
    <w:p>
      <w:pPr>
        <w:ind w:firstLine="480"/>
        <w:jc w:val="both"/>
      </w:pPr>
      <w:r>
        <w:rPr>
          <w:sz w:val="21"/>
        </w:rPr>
        <w:t>3</w:t>
      </w:r>
      <w:r>
        <w:rPr>
          <w:sz w:val="21"/>
        </w:rPr>
        <w:t>、如乙方违反本协议约定的安全信息保障义务或保密义务而给甲方造成经济损失的，乙方应赔偿甲方因此遭受的全部经济损失，包括：</w:t>
      </w:r>
    </w:p>
    <w:p>
      <w:pPr>
        <w:ind w:firstLine="480"/>
        <w:jc w:val="both"/>
      </w:pPr>
      <w:r>
        <w:rPr>
          <w:sz w:val="21"/>
        </w:rPr>
        <w:t>（</w:t>
      </w:r>
      <w:r>
        <w:rPr>
          <w:sz w:val="21"/>
        </w:rPr>
        <w:t>1</w:t>
      </w:r>
      <w:r>
        <w:rPr>
          <w:sz w:val="21"/>
        </w:rPr>
        <w:t>）损失赔偿额为甲方因乙方的违反协议行为所受到的实际经济损失，如果甲方的损失依照上述计算方法难以计算，损失赔偿额为乙方支付不低于甲方就该保密信息已发生的实际投资费用或《合同》总金额（以较高者为准）作为损失赔偿额；</w:t>
      </w:r>
    </w:p>
    <w:p>
      <w:pPr>
        <w:ind w:firstLine="480"/>
        <w:jc w:val="both"/>
      </w:pPr>
      <w:r>
        <w:rPr>
          <w:sz w:val="21"/>
        </w:rPr>
        <w:t>（</w:t>
      </w:r>
      <w:r>
        <w:rPr>
          <w:sz w:val="21"/>
        </w:rPr>
        <w:t>2</w:t>
      </w:r>
      <w:r>
        <w:rPr>
          <w:sz w:val="21"/>
        </w:rPr>
        <w:t>）甲方因调查乙方违约行为而支付的合理费用；</w:t>
      </w:r>
    </w:p>
    <w:p>
      <w:pPr>
        <w:ind w:firstLine="480"/>
        <w:jc w:val="both"/>
      </w:pPr>
      <w:r>
        <w:rPr>
          <w:sz w:val="21"/>
        </w:rPr>
        <w:t>（</w:t>
      </w:r>
      <w:r>
        <w:rPr>
          <w:sz w:val="21"/>
        </w:rPr>
        <w:t>3</w:t>
      </w:r>
      <w:r>
        <w:rPr>
          <w:sz w:val="21"/>
        </w:rPr>
        <w:t>）甲方依照法律规定，如在受理业务过程中知悉的客户信息、秘密和资料等，对外承担保密义务，但因乙方违反本协议的约定导致甲方对外承担违约责任的，由此产生的责任由乙方承担（包括甲方遭受的第三方索赔、行政处罚、诉讼费、律师费以及争取补救措施所发生的所有实际合理费用等）。</w:t>
      </w:r>
    </w:p>
    <w:p>
      <w:pPr>
        <w:ind w:firstLine="480"/>
        <w:jc w:val="both"/>
      </w:pPr>
      <w:r>
        <w:rPr>
          <w:sz w:val="21"/>
        </w:rPr>
        <w:t>4</w:t>
      </w:r>
      <w:r>
        <w:rPr>
          <w:sz w:val="21"/>
        </w:rPr>
        <w:t>、乙方违反保密义务的约定，侵犯甲方的保密信息，或有过错泄密行为，涉及影响甲方合作伙伴、业务办理人等第三方的，甲方在通知乙方后可以向该等第三方通报乙方行为，并甲方有权与该等第三方根据国家有关法律、法规共同维权追究乙方其他责任（包括刑事责任）。</w:t>
      </w:r>
    </w:p>
    <w:p>
      <w:pPr>
        <w:ind w:firstLine="480"/>
        <w:jc w:val="both"/>
      </w:pPr>
      <w:r>
        <w:rPr>
          <w:sz w:val="21"/>
        </w:rPr>
        <w:t>5</w:t>
      </w:r>
      <w:r>
        <w:rPr>
          <w:sz w:val="21"/>
        </w:rPr>
        <w:t>、如乙方全部或部分不履行本协议约定的安全信息保障义务或保密义务，甲方有权单方解除《合同》。</w:t>
      </w:r>
    </w:p>
    <w:p>
      <w:pPr>
        <w:ind w:firstLine="480"/>
        <w:jc w:val="both"/>
      </w:pPr>
      <w:r>
        <w:rPr>
          <w:sz w:val="21"/>
        </w:rPr>
        <w:t>6</w:t>
      </w:r>
      <w:r>
        <w:rPr>
          <w:sz w:val="21"/>
        </w:rPr>
        <w:t>、乙方充分理解和同意，本协议中约定的违约金及损失的计算方式，系双方基于实际情况和保密信息的重要程度共同认可的计算结果。</w:t>
      </w:r>
    </w:p>
    <w:p>
      <w:pPr>
        <w:ind w:firstLine="480"/>
        <w:jc w:val="both"/>
      </w:pPr>
      <w:r>
        <w:rPr>
          <w:sz w:val="21"/>
        </w:rPr>
        <w:t>7</w:t>
      </w:r>
      <w:r>
        <w:rPr>
          <w:sz w:val="21"/>
        </w:rPr>
        <w:t>、如乙方接触保密信息的人员违反本协议约定的安全信息保障义务或保密义务，乙方保证承担连带责任。</w:t>
      </w:r>
    </w:p>
    <w:p>
      <w:pPr>
        <w:ind w:firstLine="480"/>
        <w:jc w:val="both"/>
      </w:pPr>
      <w:r>
        <w:rPr>
          <w:b/>
          <w:sz w:val="21"/>
        </w:rPr>
        <w:t>七、法律适用</w:t>
      </w:r>
    </w:p>
    <w:p>
      <w:pPr>
        <w:ind w:firstLine="480"/>
        <w:jc w:val="both"/>
      </w:pPr>
      <w:r>
        <w:rPr>
          <w:sz w:val="21"/>
        </w:rPr>
        <w:t>本协议的订立、效力、解释、履行等均适用中华人民共和国法律。</w:t>
      </w:r>
    </w:p>
    <w:p>
      <w:pPr>
        <w:ind w:firstLine="480"/>
        <w:jc w:val="both"/>
      </w:pPr>
      <w:r>
        <w:rPr>
          <w:b/>
          <w:sz w:val="21"/>
        </w:rPr>
        <w:t>八、争议之解决</w:t>
      </w:r>
    </w:p>
    <w:p>
      <w:pPr>
        <w:ind w:firstLine="480"/>
        <w:jc w:val="both"/>
      </w:pPr>
      <w:r>
        <w:rPr>
          <w:sz w:val="21"/>
        </w:rPr>
        <w:t>甲、乙双方在履行本协议过程发生纠纷的，应友好协商解决；协商不成的，任何一方均有权向对甲方所在地（广东省范围内）有管辖权的人民法院提起诉讼。</w:t>
      </w:r>
    </w:p>
    <w:p>
      <w:pPr>
        <w:ind w:firstLine="480"/>
        <w:jc w:val="both"/>
      </w:pPr>
      <w:r>
        <w:rPr>
          <w:b/>
          <w:sz w:val="21"/>
        </w:rPr>
        <w:t>九、未尽事宜</w:t>
      </w:r>
    </w:p>
    <w:p>
      <w:pPr>
        <w:ind w:firstLine="420"/>
        <w:jc w:val="both"/>
      </w:pPr>
      <w:r>
        <w:rPr>
          <w:sz w:val="21"/>
        </w:rPr>
        <w:t>1</w:t>
      </w:r>
      <w:r>
        <w:rPr>
          <w:sz w:val="21"/>
        </w:rPr>
        <w:t>、非经甲、乙双方书面确认，乙方不能撤回、变更或声明作废本协议，不得将其在本协议项下的义务全部或部分转让给第三方。</w:t>
      </w:r>
    </w:p>
    <w:p>
      <w:pPr>
        <w:ind w:firstLine="420"/>
        <w:jc w:val="both"/>
      </w:pPr>
      <w:r>
        <w:rPr>
          <w:sz w:val="21"/>
        </w:rPr>
        <w:t>2</w:t>
      </w:r>
      <w:r>
        <w:rPr>
          <w:sz w:val="21"/>
        </w:rPr>
        <w:t>、本协议如有未尽事宜，甲、乙双方应友好协商解决，签订补充协议，该补充协议与本协议具有同等法律效力。</w:t>
      </w:r>
    </w:p>
    <w:p>
      <w:pPr>
        <w:ind w:firstLine="480"/>
        <w:jc w:val="both"/>
      </w:pPr>
      <w:r>
        <w:rPr>
          <w:b/>
          <w:sz w:val="21"/>
        </w:rPr>
        <w:t>十、附则</w:t>
      </w:r>
    </w:p>
    <w:p>
      <w:pPr>
        <w:ind w:firstLine="480"/>
        <w:jc w:val="both"/>
      </w:pPr>
      <w:r>
        <w:rPr>
          <w:sz w:val="21"/>
        </w:rPr>
        <w:t>1</w:t>
      </w:r>
      <w:r>
        <w:rPr>
          <w:sz w:val="21"/>
        </w:rPr>
        <w:t>、本协议一式肆份，甲、乙双方各执贰份，均具同等法律效力。</w:t>
      </w:r>
    </w:p>
    <w:p>
      <w:pPr>
        <w:ind w:firstLine="480"/>
        <w:jc w:val="both"/>
      </w:pPr>
      <w:r>
        <w:rPr>
          <w:sz w:val="21"/>
        </w:rPr>
        <w:t>2</w:t>
      </w:r>
      <w:r>
        <w:rPr>
          <w:sz w:val="21"/>
        </w:rPr>
        <w:t>、本协议自甲、乙双方代表签字盖章之日起生效。</w:t>
      </w:r>
    </w:p>
    <w:p>
      <w:pPr>
        <w:ind w:firstLine="420"/>
        <w:jc w:val="both"/>
      </w:pPr>
      <w:r>
        <w:rPr>
          <w:sz w:val="21"/>
        </w:rPr>
        <w:t>（以下无正文）</w:t>
      </w:r>
    </w:p>
    <w:p>
      <w:pPr>
        <w:ind w:firstLine="480"/>
        <w:jc w:val="left"/>
      </w:pPr>
    </w:p>
    <w:p>
      <w:pPr>
        <w:ind w:firstLine="420"/>
        <w:jc w:val="left"/>
      </w:pPr>
      <w:r>
        <w:rPr>
          <w:sz w:val="21"/>
        </w:rPr>
        <w:t>甲方（盖章）：</w:t>
      </w:r>
      <w:r>
        <w:rPr>
          <w:sz w:val="21"/>
        </w:rPr>
        <w:t xml:space="preserve">                      </w:t>
      </w:r>
      <w:r>
        <w:rPr>
          <w:sz w:val="21"/>
        </w:rPr>
        <w:t>乙方（盖章）：</w:t>
      </w:r>
    </w:p>
    <w:p>
      <w:pPr>
        <w:ind w:firstLine="420"/>
        <w:jc w:val="left"/>
      </w:pPr>
      <w:r>
        <w:rPr>
          <w:sz w:val="21"/>
        </w:rPr>
        <w:t>代表</w:t>
      </w:r>
      <w:r>
        <w:rPr>
          <w:sz w:val="21"/>
        </w:rPr>
        <w:t>（签名）</w:t>
      </w:r>
      <w:r>
        <w:rPr>
          <w:sz w:val="21"/>
        </w:rPr>
        <w:t>：</w:t>
      </w:r>
      <w:r>
        <w:rPr>
          <w:sz w:val="21"/>
        </w:rPr>
        <w:t xml:space="preserve">   </w:t>
      </w:r>
      <w:r>
        <w:rPr>
          <w:sz w:val="21"/>
        </w:rPr>
        <w:t>代表</w:t>
      </w:r>
      <w:r>
        <w:rPr>
          <w:sz w:val="21"/>
        </w:rPr>
        <w:t>（签名）</w:t>
      </w:r>
      <w:r>
        <w:rPr>
          <w:sz w:val="21"/>
        </w:rPr>
        <w:t>：</w:t>
      </w:r>
    </w:p>
    <w:p>
      <w:pPr>
        <w:ind w:firstLine="420"/>
        <w:jc w:val="left"/>
      </w:pPr>
      <w:r>
        <w:rPr>
          <w:sz w:val="21"/>
        </w:rPr>
        <w:t>日期</w:t>
      </w:r>
      <w:r>
        <w:rPr>
          <w:sz w:val="21"/>
        </w:rPr>
        <w:t xml:space="preserve"> </w:t>
      </w:r>
      <w:r>
        <w:rPr>
          <w:sz w:val="21"/>
        </w:rPr>
        <w:t>：</w:t>
      </w:r>
      <w:r>
        <w:rPr>
          <w:sz w:val="21"/>
        </w:rPr>
        <w:t xml:space="preserve">  </w:t>
      </w:r>
      <w:r>
        <w:rPr>
          <w:sz w:val="21"/>
        </w:rPr>
        <w:t>年</w:t>
      </w:r>
      <w:r>
        <w:rPr>
          <w:sz w:val="21"/>
        </w:rPr>
        <w:t>月</w:t>
      </w:r>
      <w:r>
        <w:rPr>
          <w:sz w:val="21"/>
        </w:rPr>
        <w:t>日</w:t>
      </w:r>
      <w:r>
        <w:rPr>
          <w:sz w:val="21"/>
        </w:rPr>
        <w:t xml:space="preserve">   </w:t>
      </w:r>
      <w:r>
        <w:rPr>
          <w:sz w:val="21"/>
        </w:rPr>
        <w:t>日期：</w:t>
      </w:r>
      <w:r>
        <w:rPr>
          <w:sz w:val="21"/>
        </w:rPr>
        <w:t>年</w:t>
      </w:r>
      <w:r>
        <w:rPr>
          <w:sz w:val="21"/>
        </w:rPr>
        <w:t>月</w:t>
      </w:r>
      <w:r>
        <w:rPr>
          <w:sz w:val="21"/>
        </w:rPr>
        <w:t>日</w:t>
      </w:r>
    </w:p>
    <w:p>
      <w:pPr>
        <w:jc w:val="both"/>
      </w:pPr>
      <w:r>
        <w:rPr>
          <w:sz w:val="32"/>
        </w:rPr>
        <w:t>附件</w:t>
      </w:r>
      <w:r>
        <w:rPr>
          <w:sz w:val="32"/>
        </w:rPr>
        <w:t>3</w:t>
      </w:r>
    </w:p>
    <w:p>
      <w:pPr>
        <w:jc w:val="center"/>
      </w:pPr>
      <w:r>
        <w:rPr>
          <w:sz w:val="28"/>
        </w:rPr>
        <w:t>表</w:t>
      </w:r>
      <w:r>
        <w:rPr>
          <w:sz w:val="28"/>
        </w:rPr>
        <w:t xml:space="preserve"> </w:t>
      </w:r>
      <w:r>
        <w:rPr>
          <w:sz w:val="28"/>
        </w:rPr>
        <w:t>服务团队岗位表</w:t>
      </w:r>
    </w:p>
    <w:tbl>
      <w:tblPr>
        <w:tblW w:w="0" w:type="auto"/>
        <w:tblBorders>
          <w:top w:val="none" w:color="000000" w:sz="4"/>
          <w:left w:val="none" w:color="000000" w:sz="4"/>
          <w:bottom w:val="none" w:color="000000" w:sz="4"/>
          <w:right w:val="none" w:color="000000" w:sz="4"/>
          <w:insideH w:val="none"/>
          <w:insideV w:val="none"/>
        </w:tblBorders>
      </w:tblPr>
      <w:tblGrid>
        <w:gridCol w:w="1635"/>
        <w:gridCol w:w="1108"/>
        <w:gridCol w:w="1891"/>
        <w:gridCol w:w="3672"/>
      </w:tblGrid>
      <w:tr>
        <w:tc>
          <w:tcPr>
            <w:tcW w:type="dxa" w:w="8306"/>
            <w:gridSpan w:val="4"/>
            <w:tcBorders>
              <w:top w:val="single" w:color="000000" w:sz="4"/>
              <w:left w:val="single" w:color="000000" w:sz="4"/>
              <w:bottom w:val="single" w:color="000000" w:sz="4"/>
              <w:right w:val="single" w:color="000000" w:sz="4"/>
            </w:tcBorders>
            <w:shd w:fill="E7E6E6"/>
            <w:vAlign w:val="top"/>
          </w:tcPr>
          <w:p>
            <w:pPr>
              <w:jc w:val="center"/>
            </w:pPr>
            <w:r>
              <w:rPr>
                <w:sz w:val="21"/>
              </w:rPr>
              <w:t>驻场服务组（</w:t>
            </w:r>
            <w:r>
              <w:rPr>
                <w:sz w:val="21"/>
              </w:rPr>
              <w:t>20</w:t>
            </w:r>
            <w:r>
              <w:rPr>
                <w:sz w:val="21"/>
              </w:rPr>
              <w:t>人）</w:t>
            </w:r>
          </w:p>
        </w:tc>
      </w:tr>
      <w:tr>
        <w:tc>
          <w:tcPr>
            <w:tcW w:type="dxa" w:w="163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1108"/>
            <w:tcBorders>
              <w:top w:val="single" w:color="000000" w:sz="4"/>
              <w:left w:val="single" w:color="000000" w:sz="4"/>
              <w:bottom w:val="single" w:color="000000" w:sz="4"/>
              <w:right w:val="single" w:color="000000" w:sz="4"/>
            </w:tcBorders>
            <w:vAlign w:val="top"/>
          </w:tcPr>
          <w:p>
            <w:pPr>
              <w:jc w:val="center"/>
            </w:pPr>
            <w:r>
              <w:rPr>
                <w:b/>
                <w:sz w:val="21"/>
              </w:rPr>
              <w:t>驻场人数</w:t>
            </w:r>
          </w:p>
        </w:tc>
        <w:tc>
          <w:tcPr>
            <w:tcW w:type="dxa" w:w="1891"/>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3672"/>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项目经理</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安全负责人</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驻点负责人</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需求对接与分析岗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数据归集与治理岗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卡片制作与可视化岗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省市对接岗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质量巡检岗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平台运维岗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需求管理与分析岗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部门对接和省市对接岗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平台功能巡检岗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账号管理岗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数据安全岗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行为审计岗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8306"/>
            <w:gridSpan w:val="4"/>
            <w:tcBorders>
              <w:top w:val="none" w:color="000000" w:sz="4"/>
              <w:left w:val="single" w:color="000000" w:sz="4"/>
              <w:bottom w:val="single" w:color="000000" w:sz="4"/>
              <w:right w:val="single" w:color="000000" w:sz="4"/>
            </w:tcBorders>
            <w:shd w:fill="E7E6E6"/>
            <w:vAlign w:val="top"/>
          </w:tcPr>
          <w:p>
            <w:pPr>
              <w:jc w:val="center"/>
            </w:pPr>
            <w:r>
              <w:rPr>
                <w:sz w:val="21"/>
              </w:rPr>
              <w:t>平台维护组（</w:t>
            </w:r>
            <w:r>
              <w:rPr>
                <w:sz w:val="21"/>
              </w:rPr>
              <w:t>25</w:t>
            </w:r>
            <w:r>
              <w:rPr>
                <w:sz w:val="21"/>
              </w:rPr>
              <w:t>人）</w:t>
            </w:r>
          </w:p>
        </w:tc>
      </w:tr>
      <w:tr>
        <w:tc>
          <w:tcPr>
            <w:tcW w:type="dxa" w:w="163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1108"/>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891"/>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3672"/>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平台运维岗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6</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需求管理与分析岗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5</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部门对接和省市对接岗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8</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平台功能巡检岗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综合岗</w:t>
            </w:r>
            <w:r>
              <w:rPr>
                <w:sz w:val="21"/>
              </w:rPr>
              <w:t>（协助项目经理、安全负责人、驻点负责人开展工作）</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4</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8306"/>
            <w:gridSpan w:val="4"/>
            <w:tcBorders>
              <w:top w:val="none" w:color="000000" w:sz="4"/>
              <w:left w:val="single" w:color="000000" w:sz="4"/>
              <w:bottom w:val="single" w:color="000000" w:sz="4"/>
              <w:right w:val="single" w:color="000000" w:sz="4"/>
            </w:tcBorders>
            <w:shd w:fill="E7E6E6"/>
            <w:vAlign w:val="top"/>
          </w:tcPr>
          <w:p>
            <w:pPr>
              <w:jc w:val="center"/>
            </w:pPr>
            <w:r>
              <w:rPr>
                <w:sz w:val="21"/>
              </w:rPr>
              <w:t>专题运营组（</w:t>
            </w:r>
            <w:r>
              <w:rPr>
                <w:sz w:val="21"/>
              </w:rPr>
              <w:t>36</w:t>
            </w:r>
            <w:r>
              <w:rPr>
                <w:sz w:val="21"/>
              </w:rPr>
              <w:t>人）</w:t>
            </w:r>
          </w:p>
        </w:tc>
      </w:tr>
      <w:tr>
        <w:tc>
          <w:tcPr>
            <w:tcW w:type="dxa" w:w="163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1108"/>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891"/>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3672"/>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需求对接与分析岗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6</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数据归集与治理岗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卡片制作与可视化岗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10</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省市对接岗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6</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质量巡检岗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8306"/>
            <w:gridSpan w:val="4"/>
            <w:tcBorders>
              <w:top w:val="none" w:color="000000" w:sz="4"/>
              <w:left w:val="single" w:color="000000" w:sz="4"/>
              <w:bottom w:val="single" w:color="000000" w:sz="4"/>
              <w:right w:val="single" w:color="000000" w:sz="4"/>
            </w:tcBorders>
            <w:shd w:fill="E7E6E6"/>
            <w:vAlign w:val="top"/>
          </w:tcPr>
          <w:p>
            <w:pPr>
              <w:jc w:val="center"/>
            </w:pPr>
            <w:r>
              <w:rPr>
                <w:sz w:val="21"/>
              </w:rPr>
              <w:t>安全运营</w:t>
            </w:r>
            <w:r>
              <w:rPr>
                <w:sz w:val="21"/>
              </w:rPr>
              <w:t>团队（</w:t>
            </w:r>
            <w:r>
              <w:rPr>
                <w:sz w:val="21"/>
              </w:rPr>
              <w:t>5</w:t>
            </w:r>
            <w:r>
              <w:rPr>
                <w:sz w:val="21"/>
              </w:rPr>
              <w:t>人）</w:t>
            </w:r>
          </w:p>
        </w:tc>
      </w:tr>
      <w:tr>
        <w:tc>
          <w:tcPr>
            <w:tcW w:type="dxa" w:w="1635"/>
            <w:tcBorders>
              <w:top w:val="none" w:color="000000" w:sz="4"/>
              <w:left w:val="single" w:color="000000" w:sz="4"/>
              <w:bottom w:val="single" w:color="000000" w:sz="4"/>
              <w:right w:val="single" w:color="000000" w:sz="4"/>
            </w:tcBorders>
            <w:vAlign w:val="top"/>
          </w:tcPr>
          <w:p>
            <w:pPr>
              <w:jc w:val="center"/>
            </w:pPr>
            <w:r>
              <w:rPr>
                <w:b/>
                <w:sz w:val="21"/>
              </w:rPr>
              <w:t>岗位名称</w:t>
            </w:r>
          </w:p>
        </w:tc>
        <w:tc>
          <w:tcPr>
            <w:tcW w:type="dxa" w:w="1108"/>
            <w:tcBorders>
              <w:top w:val="single" w:color="000000" w:sz="4"/>
              <w:left w:val="single" w:color="000000" w:sz="4"/>
              <w:bottom w:val="single" w:color="000000" w:sz="4"/>
              <w:right w:val="single" w:color="000000" w:sz="4"/>
            </w:tcBorders>
            <w:vAlign w:val="top"/>
          </w:tcPr>
          <w:p>
            <w:pPr>
              <w:jc w:val="center"/>
            </w:pPr>
            <w:r>
              <w:rPr>
                <w:b/>
                <w:sz w:val="21"/>
              </w:rPr>
              <w:t>非驻场人数</w:t>
            </w:r>
          </w:p>
        </w:tc>
        <w:tc>
          <w:tcPr>
            <w:tcW w:type="dxa" w:w="1891"/>
            <w:tcBorders>
              <w:top w:val="single" w:color="000000" w:sz="4"/>
              <w:left w:val="single" w:color="000000" w:sz="4"/>
              <w:bottom w:val="single" w:color="000000" w:sz="4"/>
              <w:right w:val="single" w:color="000000" w:sz="4"/>
            </w:tcBorders>
            <w:vAlign w:val="top"/>
          </w:tcPr>
          <w:p>
            <w:pPr>
              <w:jc w:val="center"/>
            </w:pPr>
            <w:r>
              <w:rPr>
                <w:b/>
                <w:sz w:val="21"/>
              </w:rPr>
              <w:t>人员名称</w:t>
            </w:r>
          </w:p>
        </w:tc>
        <w:tc>
          <w:tcPr>
            <w:tcW w:type="dxa" w:w="3672"/>
            <w:tcBorders>
              <w:top w:val="single" w:color="000000" w:sz="4"/>
              <w:left w:val="single" w:color="000000" w:sz="4"/>
              <w:bottom w:val="single" w:color="000000" w:sz="4"/>
              <w:right w:val="single" w:color="000000" w:sz="4"/>
            </w:tcBorders>
            <w:vAlign w:val="top"/>
          </w:tcPr>
          <w:p>
            <w:pPr>
              <w:jc w:val="center"/>
            </w:pPr>
            <w:r>
              <w:rPr>
                <w:b/>
                <w:sz w:val="21"/>
              </w:rPr>
              <w:t>提供相关岗位要求证书</w:t>
            </w: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账号管理岗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数据安全岗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2</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r>
        <w:tc>
          <w:tcPr>
            <w:tcW w:type="dxa" w:w="1635"/>
            <w:tcBorders>
              <w:top w:val="none" w:color="000000" w:sz="4"/>
              <w:left w:val="single" w:color="000000" w:sz="4"/>
              <w:bottom w:val="single" w:color="000000" w:sz="4"/>
              <w:right w:val="single" w:color="000000" w:sz="4"/>
            </w:tcBorders>
            <w:vAlign w:val="top"/>
          </w:tcPr>
          <w:p>
            <w:pPr>
              <w:jc w:val="center"/>
            </w:pPr>
            <w:r>
              <w:rPr>
                <w:sz w:val="21"/>
              </w:rPr>
              <w:t>行为审计岗</w:t>
            </w:r>
          </w:p>
        </w:tc>
        <w:tc>
          <w:tcPr>
            <w:tcW w:type="dxa" w:w="1108"/>
            <w:tcBorders>
              <w:top w:val="none" w:color="000000" w:sz="4"/>
              <w:left w:val="single" w:color="000000" w:sz="4"/>
              <w:bottom w:val="single" w:color="000000" w:sz="4"/>
              <w:right w:val="single" w:color="000000" w:sz="4"/>
            </w:tcBorders>
            <w:vAlign w:val="top"/>
          </w:tcPr>
          <w:p>
            <w:pPr>
              <w:jc w:val="center"/>
            </w:pPr>
            <w:r>
              <w:rPr>
                <w:sz w:val="21"/>
              </w:rPr>
              <w:t>1</w:t>
            </w:r>
            <w:r>
              <w:rPr>
                <w:sz w:val="21"/>
              </w:rPr>
              <w:t>人</w:t>
            </w:r>
          </w:p>
        </w:tc>
        <w:tc>
          <w:tcPr>
            <w:tcW w:type="dxa" w:w="1891"/>
            <w:tcBorders>
              <w:top w:val="none" w:color="000000" w:sz="4"/>
              <w:left w:val="single" w:color="000000" w:sz="4"/>
              <w:bottom w:val="single" w:color="000000" w:sz="4"/>
              <w:right w:val="single" w:color="000000" w:sz="4"/>
            </w:tcBorders>
            <w:vAlign w:val="top"/>
          </w:tcPr>
          <w:p>
            <w:pPr>
              <w:jc w:val="center"/>
            </w:pPr>
          </w:p>
        </w:tc>
        <w:tc>
          <w:tcPr>
            <w:tcW w:type="dxa" w:w="3672"/>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注：</w:t>
      </w:r>
      <w:r>
        <w:rPr>
          <w:sz w:val="21"/>
        </w:rPr>
        <w:t>（</w:t>
      </w:r>
      <w:r>
        <w:rPr>
          <w:sz w:val="21"/>
        </w:rPr>
        <w:t>1</w:t>
      </w:r>
      <w:r>
        <w:rPr>
          <w:sz w:val="21"/>
        </w:rPr>
        <w:t>）</w:t>
      </w:r>
      <w:r>
        <w:rPr>
          <w:sz w:val="21"/>
        </w:rPr>
        <w:t>甲方</w:t>
      </w:r>
      <w:r>
        <w:rPr>
          <w:sz w:val="21"/>
        </w:rPr>
        <w:t>可按照实际情况进行调整</w:t>
      </w:r>
      <w:r>
        <w:rPr>
          <w:sz w:val="21"/>
        </w:rPr>
        <w:t>，乙方不得以此为由要求甲方额外支付其他费用。</w:t>
      </w:r>
    </w:p>
    <w:p>
      <w:pPr>
        <w:ind w:firstLine="420"/>
        <w:jc w:val="both"/>
      </w:pPr>
      <w:r>
        <w:rPr>
          <w:sz w:val="21"/>
        </w:rPr>
        <w:t>（</w:t>
      </w:r>
      <w:r>
        <w:rPr>
          <w:sz w:val="21"/>
        </w:rPr>
        <w:t>3</w:t>
      </w:r>
      <w:r>
        <w:rPr>
          <w:sz w:val="21"/>
        </w:rPr>
        <w:t>）如乙方提供的人员不符合岗位能力要求或</w:t>
      </w:r>
      <w:r>
        <w:rPr>
          <w:sz w:val="21"/>
        </w:rPr>
        <w:t>存在工作态度、责任心、协调能力等方面之一的问题时</w:t>
      </w:r>
      <w:r>
        <w:rPr>
          <w:sz w:val="21"/>
        </w:rPr>
        <w:t>，甲方有权要求乙方更换人员。乙方应在收到甲方书面通知之日起</w:t>
      </w:r>
      <w:r>
        <w:rPr>
          <w:sz w:val="21"/>
        </w:rPr>
        <w:t>5</w:t>
      </w:r>
      <w:r>
        <w:rPr>
          <w:sz w:val="21"/>
        </w:rPr>
        <w:t>个工作日内更换，否则甲方有权解除合同。投标人须承诺如中标应为所有项目组人员购买社会保险，对于项目组成员因为工作在现场引起的各种工伤、安全事件和事故，均由投标人负责处理并承担赔偿责任，甲方免予承担一切责任。</w:t>
      </w:r>
    </w:p>
    <w:p>
      <w:pPr>
        <w:numPr>
          <w:ilvl w:val="0"/>
          <w:numId w:val="3"/>
        </w:numPr>
        <w:jc w:val="both"/>
      </w:pPr>
      <w:r>
        <w:rPr>
          <w:sz w:val="21"/>
        </w:rPr>
        <w:t>乙方在签订合同前，须提交驻点服务组中的项目经理、</w:t>
      </w:r>
      <w:r>
        <w:rPr>
          <w:sz w:val="21"/>
        </w:rPr>
        <w:t>安全负责人、驻点负责人专题、运营组及</w:t>
      </w:r>
      <w:r>
        <w:rPr>
          <w:sz w:val="21"/>
        </w:rPr>
        <w:t>安全运营</w:t>
      </w:r>
      <w:r>
        <w:rPr>
          <w:sz w:val="21"/>
        </w:rPr>
        <w:t>团队人员相关要求的岗位证书（包括学历、职称、资格等）至甲方处进行岗位能力认证审查。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442000-2023-05920</w:t>
      </w:r>
    </w:p>
    <w:p>
      <w:pPr>
        <w:jc w:val="center"/>
      </w:pPr>
      <w:r>
        <w:rPr>
          <w:b/>
          <w:sz w:val="24"/>
        </w:rPr>
        <w:t>采购项目编号：</w:t>
      </w:r>
      <w:r>
        <w:rPr>
          <w:b/>
          <w:sz w:val="24"/>
        </w:rPr>
        <w:t>ZZ22320938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中山市城市智慧大脑运维服务项目</w:t>
      </w:r>
      <w:r>
        <w:rPr>
          <w:u w:val="single"/>
        </w:rPr>
        <w:t>”</w:t>
      </w:r>
      <w:r>
        <w:rPr/>
        <w:t>项目的招标[采购项目编号为：</w:t>
      </w:r>
      <w:r>
        <w:rPr>
          <w:u w:val="single"/>
        </w:rPr>
        <w:t>ZZ22320938</w:t>
      </w:r>
      <w:r>
        <w:rPr/>
        <w:t>]，我方愿参与投标。</w:t>
      </w:r>
    </w:p>
    <w:p>
      <w:pPr>
        <w:ind w:firstLine="480"/>
      </w:pPr>
      <w:r>
        <w:rPr/>
        <w:t>我方确认收到贵方提供的</w:t>
      </w:r>
      <w:r>
        <w:rPr>
          <w:u w:val="single"/>
        </w:rPr>
        <w:t>“</w:t>
      </w:r>
      <w:r>
        <w:rPr>
          <w:u w:val="single"/>
        </w:rPr>
        <w:t>中山市城市智慧大脑运维服务项目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中山市城市智慧大脑运维服务项目</w:t>
      </w:r>
      <w:r>
        <w:rPr/>
        <w:t>”项目采购[采购项目编号为</w:t>
      </w:r>
      <w:r>
        <w:rPr/>
        <w:t>ZZ22320938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中山市政务服务数据管理局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中山市城市智慧大脑运维服务项目</w:t>
      </w:r>
      <w:r>
        <w:rPr/>
        <w:t>招标中获中标（采购项目编号：</w:t>
      </w:r>
      <w:r>
        <w:rPr/>
        <w:t>ZZ22320938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中山市城市智慧大脑运维服务项目</w:t>
      </w:r>
      <w:r>
        <w:rPr/>
        <w:t>”项目（采购项目编号：</w:t>
      </w:r>
      <w:r>
        <w:rPr/>
        <w:t>ZZ22320938</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lvl>
  </w:abstractNum>
  <w:abstractNum w:abstractNumId="2">
    <w:multiLevelType w:val="hybridMultilevel"/>
    <w:lvl w:ilvl="0">
      <w:start w:val="1"/>
      <w:numFmt w:val="decimal"/>
      <w:lvlText w:val="%1."/>
      <w:lvlJc w:val="left"/>
      <w:pPr>
        <w:ind w:left="0"/>
      </w:pPr>
    </w:lvl>
    <w:lvl w:ilvl="1">
      <w:start w:val="1"/>
      <w:numFmt w:val="bullet"/>
      <w:lvlText w:val="⚫"/>
      <w:lvlJc w:val="left"/>
      <w:pPr>
        <w:ind w:left="360"/>
      </w:pPr>
    </w:lvl>
    <w:lvl w:ilvl="2">
      <w:start w:val="1"/>
      <w:numFmt w:val="bullet"/>
      <w:lvlText w:val="⚫"/>
      <w:lvlJc w:val="left"/>
      <w:pPr>
        <w:ind w:left="720"/>
      </w:pPr>
    </w:lvl>
    <w:lvl w:ilvl="3">
      <w:start w:val="1"/>
      <w:numFmt w:val="bullet"/>
      <w:lvlText w:val="⚫"/>
      <w:lvlJc w:val="left"/>
      <w:pPr>
        <w:ind w:left="1080"/>
      </w:pPr>
    </w:lvl>
    <w:lvl w:ilvl="4">
      <w:start w:val="1"/>
      <w:numFmt w:val="bullet"/>
      <w:lvlText w:val="⚫"/>
      <w:lvlJc w:val="left"/>
      <w:pPr>
        <w:ind w:left="1440"/>
      </w:pPr>
    </w:lvl>
    <w:lvl w:ilvl="5">
      <w:start w:val="1"/>
      <w:numFmt w:val="bullet"/>
      <w:lvlText w:val="⚫"/>
      <w:lvlJc w:val="left"/>
      <w:pPr>
        <w:ind w:left="1800"/>
      </w:pPr>
    </w:lvl>
    <w:lvl w:ilvl="6">
      <w:start w:val="1"/>
      <w:numFmt w:val="bullet"/>
      <w:lvlText w:val="⚫"/>
      <w:lvlJc w:val="left"/>
      <w:pPr>
        <w:ind w:left="2160"/>
      </w:pPr>
    </w:lvl>
    <w:lvl w:ilvl="7">
      <w:start w:val="1"/>
      <w:numFmt w:val="decimal"/>
      <w:lvlText w:val="%8."/>
      <w:lvlJc w:val="left"/>
      <w:pPr>
        <w:ind w:left="25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