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黑体" w:eastAsia="黑体"/>
          <w:color w:val="auto"/>
          <w:szCs w:val="21"/>
          <w:highlight w:val="none"/>
        </w:rPr>
      </w:pPr>
    </w:p>
    <w:p>
      <w:pPr>
        <w:pStyle w:val="41"/>
        <w:ind w:firstLine="400"/>
        <w:rPr>
          <w:color w:val="auto"/>
          <w:highlight w:val="none"/>
        </w:rPr>
      </w:pPr>
    </w:p>
    <w:p>
      <w:pPr>
        <w:rPr>
          <w:color w:val="auto"/>
          <w:highlight w:val="none"/>
        </w:rPr>
      </w:pPr>
    </w:p>
    <w:p>
      <w:pPr>
        <w:rPr>
          <w:color w:val="auto"/>
          <w:highlight w:val="none"/>
        </w:rPr>
      </w:pPr>
    </w:p>
    <w:p>
      <w:pPr>
        <w:rPr>
          <w:color w:val="auto"/>
          <w:highlight w:val="none"/>
        </w:rPr>
      </w:pPr>
    </w:p>
    <w:p>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公开采购文件</w:t>
      </w:r>
    </w:p>
    <w:p>
      <w:pPr>
        <w:rPr>
          <w:color w:val="auto"/>
          <w:highlight w:val="none"/>
        </w:rPr>
      </w:pPr>
    </w:p>
    <w:p>
      <w:pPr>
        <w:pStyle w:val="2"/>
        <w:rPr>
          <w:color w:val="auto"/>
          <w:highlight w:val="none"/>
        </w:rPr>
      </w:pPr>
    </w:p>
    <w:tbl>
      <w:tblPr>
        <w:tblStyle w:val="34"/>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203" w:type="dxa"/>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val="en-US" w:eastAsia="zh-CN"/>
              </w:rPr>
              <w:t>道滘镇南丫片区城中村改造项目掌洲工业安置房地块全过程驻场造价咨询服务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203" w:type="dxa"/>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ZZ12602338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203" w:type="dxa"/>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东莞市东实旗云投资有限公司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203" w:type="dxa"/>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none"/>
                <w:lang w:eastAsia="zh-CN"/>
              </w:rPr>
              <w:t>广东志正招标有限公司东莞分公司</w:t>
            </w:r>
          </w:p>
        </w:tc>
      </w:tr>
    </w:tbl>
    <w:p>
      <w:pPr>
        <w:jc w:val="center"/>
        <w:rPr>
          <w:rFonts w:ascii="黑体" w:eastAsia="黑体"/>
          <w:color w:val="auto"/>
          <w:szCs w:val="21"/>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pStyle w:val="41"/>
        <w:ind w:firstLine="400"/>
        <w:rPr>
          <w:color w:val="auto"/>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lang w:eastAsia="zh-CN"/>
        </w:rPr>
        <w:t>202</w:t>
      </w:r>
      <w:r>
        <w:rPr>
          <w:rFonts w:hint="eastAsia" w:ascii="黑体" w:hAnsi="黑体" w:eastAsia="黑体" w:cs="黑体"/>
          <w:bCs/>
          <w:color w:val="auto"/>
          <w:sz w:val="32"/>
          <w:szCs w:val="24"/>
          <w:highlight w:val="none"/>
          <w:lang w:val="en-US" w:eastAsia="zh-CN"/>
        </w:rPr>
        <w:t>6</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4</w:t>
      </w:r>
      <w:r>
        <w:rPr>
          <w:rFonts w:hint="eastAsia" w:ascii="黑体" w:hAnsi="黑体" w:eastAsia="黑体" w:cs="黑体"/>
          <w:bCs/>
          <w:color w:val="auto"/>
          <w:sz w:val="32"/>
          <w:szCs w:val="24"/>
          <w:highlight w:val="none"/>
        </w:rPr>
        <w:t>月</w:t>
      </w:r>
    </w:p>
    <w:p>
      <w:pPr>
        <w:rPr>
          <w:color w:val="auto"/>
          <w:highlight w:val="none"/>
        </w:rPr>
        <w:sectPr>
          <w:headerReference r:id="rId6" w:type="first"/>
          <w:footerReference r:id="rId8" w:type="firs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pPr>
        <w:pStyle w:val="25"/>
        <w:ind w:left="0" w:leftChars="0"/>
        <w:rPr>
          <w:color w:val="auto"/>
          <w:sz w:val="40"/>
          <w:szCs w:val="40"/>
          <w:highlight w:val="none"/>
        </w:rPr>
      </w:pPr>
      <w:r>
        <w:rPr>
          <w:rFonts w:hint="eastAsia"/>
          <w:color w:val="auto"/>
          <w:sz w:val="40"/>
          <w:szCs w:val="40"/>
          <w:highlight w:val="none"/>
        </w:rPr>
        <w:t>目录</w:t>
      </w:r>
    </w:p>
    <w:p>
      <w:pPr>
        <w:pStyle w:val="25"/>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TOC \o "1-4" \h \z \u </w:instrText>
      </w:r>
      <w:r>
        <w:rPr>
          <w:rFonts w:hint="eastAsia"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"_Toc21044" </w:instrText>
      </w:r>
      <w:r>
        <w:rPr>
          <w:color w:val="auto"/>
          <w:highlight w:val="none"/>
        </w:rPr>
        <w:fldChar w:fldCharType="separate"/>
      </w:r>
      <w:r>
        <w:rPr>
          <w:rFonts w:hint="eastAsia" w:cs="宋体"/>
          <w:color w:val="auto"/>
          <w:sz w:val="21"/>
          <w:szCs w:val="21"/>
          <w:highlight w:val="none"/>
        </w:rPr>
        <w:t>第一部分投标邀请</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_Toc21044 \h </w:instrText>
      </w:r>
      <w:r>
        <w:rPr>
          <w:rFonts w:hint="eastAsia" w:cs="宋体"/>
          <w:color w:val="auto"/>
          <w:sz w:val="21"/>
          <w:szCs w:val="21"/>
          <w:highlight w:val="none"/>
        </w:rPr>
        <w:fldChar w:fldCharType="separate"/>
      </w:r>
      <w:r>
        <w:rPr>
          <w:rFonts w:hint="eastAsia" w:cs="宋体"/>
          <w:color w:val="auto"/>
          <w:sz w:val="21"/>
          <w:szCs w:val="21"/>
          <w:highlight w:val="none"/>
        </w:rPr>
        <w:t>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"_Toc8950" </w:instrText>
      </w:r>
      <w:r>
        <w:rPr>
          <w:color w:val="auto"/>
          <w:highlight w:val="none"/>
        </w:rPr>
        <w:fldChar w:fldCharType="separate"/>
      </w:r>
      <w:r>
        <w:rPr>
          <w:rFonts w:hint="eastAsia" w:cs="宋体"/>
          <w:color w:val="auto"/>
          <w:sz w:val="21"/>
          <w:szCs w:val="21"/>
          <w:highlight w:val="none"/>
        </w:rPr>
        <w:t>投标邀请书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_Toc8950 \h </w:instrText>
      </w:r>
      <w:r>
        <w:rPr>
          <w:rFonts w:hint="eastAsia" w:cs="宋体"/>
          <w:color w:val="auto"/>
          <w:sz w:val="21"/>
          <w:szCs w:val="21"/>
          <w:highlight w:val="none"/>
        </w:rPr>
        <w:fldChar w:fldCharType="separate"/>
      </w:r>
      <w:r>
        <w:rPr>
          <w:rFonts w:hint="eastAsia" w:cs="宋体"/>
          <w:color w:val="auto"/>
          <w:sz w:val="21"/>
          <w:szCs w:val="21"/>
          <w:highlight w:val="none"/>
        </w:rPr>
        <w:t>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"_Toc20564" </w:instrText>
      </w:r>
      <w:r>
        <w:rPr>
          <w:color w:val="auto"/>
          <w:highlight w:val="none"/>
        </w:rPr>
        <w:fldChar w:fldCharType="separate"/>
      </w:r>
      <w:r>
        <w:rPr>
          <w:rFonts w:hint="eastAsia" w:cs="宋体"/>
          <w:color w:val="auto"/>
          <w:sz w:val="21"/>
          <w:szCs w:val="21"/>
          <w:highlight w:val="none"/>
        </w:rPr>
        <w:t>第二部分相关资料表格</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_Toc20564 \h </w:instrText>
      </w:r>
      <w:r>
        <w:rPr>
          <w:rFonts w:hint="eastAsia" w:cs="宋体"/>
          <w:color w:val="auto"/>
          <w:sz w:val="21"/>
          <w:szCs w:val="21"/>
          <w:highlight w:val="none"/>
        </w:rPr>
        <w:fldChar w:fldCharType="separate"/>
      </w:r>
      <w:r>
        <w:rPr>
          <w:rFonts w:hint="eastAsia" w:cs="宋体"/>
          <w:color w:val="auto"/>
          <w:sz w:val="21"/>
          <w:szCs w:val="21"/>
          <w:highlight w:val="none"/>
        </w:rPr>
        <w:t>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"_Toc14333" </w:instrText>
      </w:r>
      <w:r>
        <w:rPr>
          <w:color w:val="auto"/>
          <w:highlight w:val="none"/>
        </w:rPr>
        <w:fldChar w:fldCharType="separate"/>
      </w:r>
      <w:r>
        <w:rPr>
          <w:rFonts w:hint="eastAsia" w:cs="宋体"/>
          <w:color w:val="auto"/>
          <w:sz w:val="21"/>
          <w:szCs w:val="21"/>
          <w:highlight w:val="none"/>
        </w:rPr>
        <w:t>附表一：投标资料表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_Toc14333 \h </w:instrText>
      </w:r>
      <w:r>
        <w:rPr>
          <w:rFonts w:hint="eastAsia" w:cs="宋体"/>
          <w:color w:val="auto"/>
          <w:sz w:val="21"/>
          <w:szCs w:val="21"/>
          <w:highlight w:val="none"/>
        </w:rPr>
        <w:fldChar w:fldCharType="separate"/>
      </w:r>
      <w:r>
        <w:rPr>
          <w:rFonts w:hint="eastAsia" w:cs="宋体"/>
          <w:color w:val="auto"/>
          <w:sz w:val="21"/>
          <w:szCs w:val="21"/>
          <w:highlight w:val="none"/>
        </w:rPr>
        <w:t>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"_Toc1445" </w:instrText>
      </w:r>
      <w:r>
        <w:rPr>
          <w:color w:val="auto"/>
          <w:highlight w:val="none"/>
        </w:rPr>
        <w:fldChar w:fldCharType="separate"/>
      </w:r>
      <w:r>
        <w:rPr>
          <w:rFonts w:hint="eastAsia" w:cs="宋体"/>
          <w:color w:val="auto"/>
          <w:sz w:val="21"/>
          <w:szCs w:val="21"/>
          <w:highlight w:val="none"/>
        </w:rPr>
        <w:t>附表二：商务技术评分及价格权重表（满分100分）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_Toc1445 \h </w:instrText>
      </w:r>
      <w:r>
        <w:rPr>
          <w:rFonts w:hint="eastAsia" w:cs="宋体"/>
          <w:color w:val="auto"/>
          <w:sz w:val="21"/>
          <w:szCs w:val="21"/>
          <w:highlight w:val="none"/>
        </w:rPr>
        <w:fldChar w:fldCharType="separate"/>
      </w:r>
      <w:r>
        <w:rPr>
          <w:rFonts w:hint="eastAsia" w:cs="宋体"/>
          <w:color w:val="auto"/>
          <w:sz w:val="21"/>
          <w:szCs w:val="21"/>
          <w:highlight w:val="none"/>
        </w:rPr>
        <w:t>11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"_Toc21237" </w:instrText>
      </w:r>
      <w:r>
        <w:rPr>
          <w:color w:val="auto"/>
          <w:highlight w:val="none"/>
        </w:rPr>
        <w:fldChar w:fldCharType="separate"/>
      </w:r>
      <w:r>
        <w:rPr>
          <w:rFonts w:hint="eastAsia" w:cs="宋体"/>
          <w:color w:val="auto"/>
          <w:sz w:val="21"/>
          <w:szCs w:val="21"/>
          <w:highlight w:val="none"/>
        </w:rPr>
        <w:t>第三部分用户需求书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_Toc21237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"_Toc31595" </w:instrText>
      </w:r>
      <w:r>
        <w:rPr>
          <w:color w:val="auto"/>
          <w:highlight w:val="none"/>
        </w:rPr>
        <w:fldChar w:fldCharType="separate"/>
      </w:r>
      <w:r>
        <w:rPr>
          <w:rFonts w:hint="eastAsia" w:cs="宋体"/>
          <w:color w:val="auto"/>
          <w:sz w:val="21"/>
          <w:szCs w:val="21"/>
          <w:highlight w:val="none"/>
        </w:rPr>
        <w:t>第四部分投标人须知</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_Toc31595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"_Toc25201" </w:instrText>
      </w:r>
      <w:r>
        <w:rPr>
          <w:color w:val="auto"/>
          <w:highlight w:val="none"/>
        </w:rPr>
        <w:fldChar w:fldCharType="separate"/>
      </w:r>
      <w:r>
        <w:rPr>
          <w:rFonts w:cs="宋体"/>
          <w:color w:val="auto"/>
          <w:sz w:val="21"/>
          <w:szCs w:val="21"/>
          <w:highlight w:val="none"/>
        </w:rPr>
        <w:t xml:space="preserve">一、 </w:t>
      </w:r>
      <w:r>
        <w:rPr>
          <w:rFonts w:hint="eastAsia" w:cs="宋体"/>
          <w:color w:val="auto"/>
          <w:sz w:val="21"/>
          <w:szCs w:val="21"/>
          <w:highlight w:val="none"/>
        </w:rPr>
        <w:t>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_Toc25201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"_Toc18690" </w:instrText>
      </w:r>
      <w:r>
        <w:rPr>
          <w:color w:val="auto"/>
          <w:highlight w:val="none"/>
        </w:rPr>
        <w:fldChar w:fldCharType="separate"/>
      </w:r>
      <w:r>
        <w:rPr>
          <w:rFonts w:cs="宋体"/>
          <w:color w:val="auto"/>
          <w:sz w:val="21"/>
          <w:szCs w:val="21"/>
          <w:highlight w:val="none"/>
        </w:rPr>
        <w:t xml:space="preserve">1. </w:t>
      </w:r>
      <w:r>
        <w:rPr>
          <w:rFonts w:hint="eastAsia" w:cs="宋体"/>
          <w:color w:val="auto"/>
          <w:sz w:val="21"/>
          <w:szCs w:val="21"/>
          <w:highlight w:val="none"/>
        </w:rPr>
        <w:t>适用范围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_Toc18690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"_Toc28435" </w:instrText>
      </w:r>
      <w:r>
        <w:rPr>
          <w:color w:val="auto"/>
          <w:highlight w:val="none"/>
        </w:rPr>
        <w:fldChar w:fldCharType="separate"/>
      </w:r>
      <w:r>
        <w:rPr>
          <w:rFonts w:cs="宋体"/>
          <w:color w:val="auto"/>
          <w:sz w:val="21"/>
          <w:szCs w:val="21"/>
          <w:highlight w:val="none"/>
        </w:rPr>
        <w:t xml:space="preserve">2. </w:t>
      </w:r>
      <w:r>
        <w:rPr>
          <w:rFonts w:hint="eastAsia" w:cs="宋体"/>
          <w:color w:val="auto"/>
          <w:sz w:val="21"/>
          <w:szCs w:val="21"/>
          <w:highlight w:val="none"/>
        </w:rPr>
        <w:t>定义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_Toc28435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"_Toc10625" </w:instrText>
      </w:r>
      <w:r>
        <w:rPr>
          <w:color w:val="auto"/>
          <w:highlight w:val="none"/>
        </w:rPr>
        <w:fldChar w:fldCharType="separate"/>
      </w:r>
      <w:r>
        <w:rPr>
          <w:rFonts w:cs="宋体"/>
          <w:color w:val="auto"/>
          <w:sz w:val="21"/>
          <w:szCs w:val="21"/>
          <w:highlight w:val="none"/>
        </w:rPr>
        <w:t xml:space="preserve">3. </w:t>
      </w:r>
      <w:r>
        <w:rPr>
          <w:rFonts w:hint="eastAsia" w:cs="宋体"/>
          <w:color w:val="auto"/>
          <w:sz w:val="21"/>
          <w:szCs w:val="21"/>
          <w:highlight w:val="none"/>
        </w:rPr>
        <w:t>货物和服务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_Toc10625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"_Toc1673" </w:instrText>
      </w:r>
      <w:r>
        <w:rPr>
          <w:color w:val="auto"/>
          <w:highlight w:val="none"/>
        </w:rPr>
        <w:fldChar w:fldCharType="separate"/>
      </w:r>
      <w:r>
        <w:rPr>
          <w:rFonts w:cs="宋体"/>
          <w:color w:val="auto"/>
          <w:sz w:val="21"/>
          <w:szCs w:val="21"/>
          <w:highlight w:val="none"/>
        </w:rPr>
        <w:t xml:space="preserve">4. </w:t>
      </w:r>
      <w:r>
        <w:rPr>
          <w:rFonts w:hint="eastAsia" w:cs="宋体"/>
          <w:color w:val="auto"/>
          <w:sz w:val="21"/>
          <w:szCs w:val="21"/>
          <w:highlight w:val="none"/>
        </w:rPr>
        <w:t>投标费用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_Toc1673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"_Toc21477" </w:instrText>
      </w:r>
      <w:r>
        <w:rPr>
          <w:color w:val="auto"/>
          <w:highlight w:val="none"/>
        </w:rPr>
        <w:fldChar w:fldCharType="separate"/>
      </w:r>
      <w:r>
        <w:rPr>
          <w:rFonts w:cs="宋体"/>
          <w:color w:val="auto"/>
          <w:sz w:val="21"/>
          <w:szCs w:val="21"/>
          <w:highlight w:val="none"/>
        </w:rPr>
        <w:t xml:space="preserve">5. </w:t>
      </w:r>
      <w:r>
        <w:rPr>
          <w:rFonts w:hint="eastAsia" w:cs="宋体"/>
          <w:color w:val="auto"/>
          <w:sz w:val="21"/>
          <w:szCs w:val="21"/>
          <w:highlight w:val="none"/>
        </w:rPr>
        <w:t>知识产权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_Toc21477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"_Toc25122" </w:instrText>
      </w:r>
      <w:r>
        <w:rPr>
          <w:color w:val="auto"/>
          <w:highlight w:val="none"/>
        </w:rPr>
        <w:fldChar w:fldCharType="separate"/>
      </w:r>
      <w:r>
        <w:rPr>
          <w:rFonts w:cs="宋体"/>
          <w:color w:val="auto"/>
          <w:sz w:val="21"/>
          <w:szCs w:val="21"/>
          <w:highlight w:val="none"/>
        </w:rPr>
        <w:t xml:space="preserve">6. </w:t>
      </w:r>
      <w:r>
        <w:rPr>
          <w:rFonts w:hint="eastAsia" w:cs="宋体"/>
          <w:color w:val="auto"/>
          <w:sz w:val="21"/>
          <w:szCs w:val="21"/>
          <w:highlight w:val="none"/>
        </w:rPr>
        <w:t>关于联合体投标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_Toc25122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"_Toc10603" </w:instrText>
      </w:r>
      <w:r>
        <w:rPr>
          <w:color w:val="auto"/>
          <w:highlight w:val="none"/>
        </w:rPr>
        <w:fldChar w:fldCharType="separate"/>
      </w:r>
      <w:r>
        <w:rPr>
          <w:rFonts w:cs="宋体"/>
          <w:color w:val="auto"/>
          <w:sz w:val="21"/>
          <w:szCs w:val="21"/>
          <w:highlight w:val="none"/>
        </w:rPr>
        <w:t xml:space="preserve">7. </w:t>
      </w:r>
      <w:r>
        <w:rPr>
          <w:rFonts w:hint="eastAsia" w:cs="宋体"/>
          <w:color w:val="auto"/>
          <w:sz w:val="21"/>
          <w:szCs w:val="21"/>
          <w:highlight w:val="none"/>
        </w:rPr>
        <w:t>关于分支机构投标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_Toc10603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"_Toc16068" </w:instrText>
      </w:r>
      <w:r>
        <w:rPr>
          <w:color w:val="auto"/>
          <w:highlight w:val="none"/>
        </w:rPr>
        <w:fldChar w:fldCharType="separate"/>
      </w:r>
      <w:r>
        <w:rPr>
          <w:rFonts w:cs="宋体"/>
          <w:color w:val="auto"/>
          <w:sz w:val="21"/>
          <w:szCs w:val="21"/>
          <w:highlight w:val="none"/>
        </w:rPr>
        <w:t xml:space="preserve">8. </w:t>
      </w:r>
      <w:r>
        <w:rPr>
          <w:rFonts w:hint="eastAsia" w:cs="宋体"/>
          <w:color w:val="auto"/>
          <w:sz w:val="21"/>
          <w:szCs w:val="21"/>
          <w:highlight w:val="none"/>
        </w:rPr>
        <w:t>踏勘现场</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_Toc16068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"_Toc14732" </w:instrText>
      </w:r>
      <w:r>
        <w:rPr>
          <w:color w:val="auto"/>
          <w:highlight w:val="none"/>
        </w:rPr>
        <w:fldChar w:fldCharType="separate"/>
      </w:r>
      <w:r>
        <w:rPr>
          <w:rFonts w:cs="宋体"/>
          <w:color w:val="auto"/>
          <w:sz w:val="21"/>
          <w:szCs w:val="21"/>
          <w:highlight w:val="none"/>
        </w:rPr>
        <w:t xml:space="preserve">二、 </w:t>
      </w:r>
      <w:r>
        <w:rPr>
          <w:rFonts w:hint="eastAsia" w:cs="宋体"/>
          <w:color w:val="auto"/>
          <w:sz w:val="21"/>
          <w:szCs w:val="21"/>
          <w:highlight w:val="none"/>
        </w:rPr>
        <w:t>采购文件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_Toc14732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"_Toc25451" </w:instrText>
      </w:r>
      <w:r>
        <w:rPr>
          <w:color w:val="auto"/>
          <w:highlight w:val="none"/>
        </w:rPr>
        <w:fldChar w:fldCharType="separate"/>
      </w:r>
      <w:r>
        <w:rPr>
          <w:rFonts w:cs="宋体"/>
          <w:color w:val="auto"/>
          <w:sz w:val="21"/>
          <w:szCs w:val="21"/>
          <w:highlight w:val="none"/>
        </w:rPr>
        <w:t xml:space="preserve">9. </w:t>
      </w:r>
      <w:r>
        <w:rPr>
          <w:rFonts w:hint="eastAsia" w:cs="宋体"/>
          <w:color w:val="auto"/>
          <w:sz w:val="21"/>
          <w:szCs w:val="21"/>
          <w:highlight w:val="none"/>
        </w:rPr>
        <w:t>采购文件的组成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_Toc25451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"_Toc30490" </w:instrText>
      </w:r>
      <w:r>
        <w:rPr>
          <w:color w:val="auto"/>
          <w:highlight w:val="none"/>
        </w:rPr>
        <w:fldChar w:fldCharType="separate"/>
      </w:r>
      <w:r>
        <w:rPr>
          <w:rFonts w:cs="宋体"/>
          <w:color w:val="auto"/>
          <w:sz w:val="21"/>
          <w:szCs w:val="21"/>
          <w:highlight w:val="none"/>
        </w:rPr>
        <w:t xml:space="preserve">10. </w:t>
      </w:r>
      <w:r>
        <w:rPr>
          <w:rFonts w:hint="eastAsia" w:cs="宋体"/>
          <w:color w:val="auto"/>
          <w:sz w:val="21"/>
          <w:szCs w:val="21"/>
          <w:highlight w:val="none"/>
        </w:rPr>
        <w:t>采购文件的澄清或修改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_Toc30490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"_Toc10333" </w:instrText>
      </w:r>
      <w:r>
        <w:rPr>
          <w:color w:val="auto"/>
          <w:highlight w:val="none"/>
        </w:rPr>
        <w:fldChar w:fldCharType="separate"/>
      </w:r>
      <w:r>
        <w:rPr>
          <w:rFonts w:cs="宋体"/>
          <w:color w:val="auto"/>
          <w:sz w:val="21"/>
          <w:szCs w:val="21"/>
          <w:highlight w:val="none"/>
        </w:rPr>
        <w:t xml:space="preserve">三、 </w:t>
      </w:r>
      <w:r>
        <w:rPr>
          <w:rFonts w:hint="eastAsia" w:cs="宋体"/>
          <w:color w:val="auto"/>
          <w:sz w:val="21"/>
          <w:szCs w:val="21"/>
          <w:highlight w:val="none"/>
        </w:rPr>
        <w:t>投标文件的编制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_Toc10333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"_Toc12048" </w:instrText>
      </w:r>
      <w:r>
        <w:rPr>
          <w:color w:val="auto"/>
          <w:highlight w:val="none"/>
        </w:rPr>
        <w:fldChar w:fldCharType="separate"/>
      </w:r>
      <w:r>
        <w:rPr>
          <w:rFonts w:cs="宋体"/>
          <w:color w:val="auto"/>
          <w:sz w:val="21"/>
          <w:szCs w:val="21"/>
          <w:highlight w:val="none"/>
        </w:rPr>
        <w:t xml:space="preserve">11. </w:t>
      </w:r>
      <w:r>
        <w:rPr>
          <w:rFonts w:hint="eastAsia" w:cs="宋体"/>
          <w:color w:val="auto"/>
          <w:sz w:val="21"/>
          <w:szCs w:val="21"/>
          <w:highlight w:val="none"/>
        </w:rPr>
        <w:t>投标文件的语言及度量衡单位</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_Toc12048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"_Toc27953" </w:instrText>
      </w:r>
      <w:r>
        <w:rPr>
          <w:color w:val="auto"/>
          <w:highlight w:val="none"/>
        </w:rPr>
        <w:fldChar w:fldCharType="separate"/>
      </w:r>
      <w:r>
        <w:rPr>
          <w:rFonts w:cs="宋体"/>
          <w:color w:val="auto"/>
          <w:sz w:val="21"/>
          <w:szCs w:val="21"/>
          <w:highlight w:val="none"/>
        </w:rPr>
        <w:t xml:space="preserve">12. </w:t>
      </w:r>
      <w:r>
        <w:rPr>
          <w:rFonts w:hint="eastAsia" w:cs="宋体"/>
          <w:color w:val="auto"/>
          <w:sz w:val="21"/>
          <w:szCs w:val="21"/>
          <w:highlight w:val="none"/>
        </w:rPr>
        <w:t>投标文件的组成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_Toc27953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"_Toc5904" </w:instrText>
      </w:r>
      <w:r>
        <w:rPr>
          <w:color w:val="auto"/>
          <w:highlight w:val="none"/>
        </w:rPr>
        <w:fldChar w:fldCharType="separate"/>
      </w:r>
      <w:r>
        <w:rPr>
          <w:rFonts w:cs="宋体"/>
          <w:color w:val="auto"/>
          <w:sz w:val="21"/>
          <w:szCs w:val="21"/>
          <w:highlight w:val="none"/>
        </w:rPr>
        <w:t xml:space="preserve">13. </w:t>
      </w:r>
      <w:r>
        <w:rPr>
          <w:rFonts w:hint="eastAsia" w:cs="宋体"/>
          <w:color w:val="auto"/>
          <w:sz w:val="21"/>
          <w:szCs w:val="21"/>
          <w:highlight w:val="none"/>
        </w:rPr>
        <w:t>投标文件编制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_Toc5904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"_Toc7134" </w:instrText>
      </w:r>
      <w:r>
        <w:rPr>
          <w:color w:val="auto"/>
          <w:highlight w:val="none"/>
        </w:rPr>
        <w:fldChar w:fldCharType="separate"/>
      </w:r>
      <w:r>
        <w:rPr>
          <w:rFonts w:cs="宋体"/>
          <w:color w:val="auto"/>
          <w:sz w:val="21"/>
          <w:szCs w:val="21"/>
          <w:highlight w:val="none"/>
        </w:rPr>
        <w:t xml:space="preserve">14. </w:t>
      </w:r>
      <w:r>
        <w:rPr>
          <w:rFonts w:hint="eastAsia" w:cs="宋体"/>
          <w:color w:val="auto"/>
          <w:sz w:val="21"/>
          <w:szCs w:val="21"/>
          <w:highlight w:val="none"/>
        </w:rPr>
        <w:t>投标报价说明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_Toc7134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"_Toc14501" </w:instrText>
      </w:r>
      <w:r>
        <w:rPr>
          <w:color w:val="auto"/>
          <w:highlight w:val="none"/>
        </w:rPr>
        <w:fldChar w:fldCharType="separate"/>
      </w:r>
      <w:r>
        <w:rPr>
          <w:rFonts w:cs="宋体"/>
          <w:color w:val="auto"/>
          <w:sz w:val="21"/>
          <w:szCs w:val="21"/>
          <w:highlight w:val="none"/>
        </w:rPr>
        <w:t xml:space="preserve">15. </w:t>
      </w:r>
      <w:r>
        <w:rPr>
          <w:rFonts w:hint="eastAsia" w:cs="宋体"/>
          <w:color w:val="auto"/>
          <w:sz w:val="21"/>
          <w:szCs w:val="21"/>
          <w:highlight w:val="none"/>
        </w:rPr>
        <w:t>投标人所提供的服务或货物的证明文件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_Toc14501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"_Toc2409" </w:instrText>
      </w:r>
      <w:r>
        <w:rPr>
          <w:color w:val="auto"/>
          <w:highlight w:val="none"/>
        </w:rPr>
        <w:fldChar w:fldCharType="separate"/>
      </w:r>
      <w:r>
        <w:rPr>
          <w:rFonts w:cs="宋体"/>
          <w:color w:val="auto"/>
          <w:sz w:val="21"/>
          <w:szCs w:val="21"/>
          <w:highlight w:val="none"/>
        </w:rPr>
        <w:t xml:space="preserve">16. </w:t>
      </w:r>
      <w:r>
        <w:rPr>
          <w:rFonts w:hint="eastAsia" w:cs="宋体"/>
          <w:color w:val="auto"/>
          <w:sz w:val="21"/>
          <w:szCs w:val="21"/>
          <w:highlight w:val="none"/>
        </w:rPr>
        <w:t>投标有效期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_Toc2409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"_Toc26564" </w:instrText>
      </w:r>
      <w:r>
        <w:rPr>
          <w:color w:val="auto"/>
          <w:highlight w:val="none"/>
        </w:rPr>
        <w:fldChar w:fldCharType="separate"/>
      </w:r>
      <w:r>
        <w:rPr>
          <w:rFonts w:cs="宋体"/>
          <w:color w:val="auto"/>
          <w:sz w:val="21"/>
          <w:szCs w:val="21"/>
          <w:highlight w:val="none"/>
        </w:rPr>
        <w:t xml:space="preserve">17. </w:t>
      </w:r>
      <w:r>
        <w:rPr>
          <w:rFonts w:hint="eastAsia" w:cs="宋体"/>
          <w:color w:val="auto"/>
          <w:sz w:val="21"/>
          <w:szCs w:val="21"/>
          <w:highlight w:val="none"/>
        </w:rPr>
        <w:t>投标保证金</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_Toc26564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"_Toc18672" </w:instrText>
      </w:r>
      <w:r>
        <w:rPr>
          <w:color w:val="auto"/>
          <w:highlight w:val="none"/>
        </w:rPr>
        <w:fldChar w:fldCharType="separate"/>
      </w:r>
      <w:r>
        <w:rPr>
          <w:rFonts w:cs="宋体"/>
          <w:color w:val="auto"/>
          <w:sz w:val="21"/>
          <w:szCs w:val="21"/>
          <w:highlight w:val="none"/>
        </w:rPr>
        <w:t xml:space="preserve">四、 </w:t>
      </w:r>
      <w:r>
        <w:rPr>
          <w:rFonts w:hint="eastAsia" w:cs="宋体"/>
          <w:color w:val="auto"/>
          <w:sz w:val="21"/>
          <w:szCs w:val="21"/>
          <w:highlight w:val="none"/>
        </w:rPr>
        <w:t>投标文件的递交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_Toc18672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"_Toc9759" </w:instrText>
      </w:r>
      <w:r>
        <w:rPr>
          <w:color w:val="auto"/>
          <w:highlight w:val="none"/>
        </w:rPr>
        <w:fldChar w:fldCharType="separate"/>
      </w:r>
      <w:r>
        <w:rPr>
          <w:rFonts w:cs="宋体"/>
          <w:color w:val="auto"/>
          <w:sz w:val="21"/>
          <w:szCs w:val="21"/>
          <w:highlight w:val="none"/>
        </w:rPr>
        <w:t xml:space="preserve">18. </w:t>
      </w:r>
      <w:r>
        <w:rPr>
          <w:rFonts w:hint="eastAsia" w:cs="宋体"/>
          <w:color w:val="auto"/>
          <w:sz w:val="21"/>
          <w:szCs w:val="21"/>
          <w:highlight w:val="none"/>
        </w:rPr>
        <w:t>投标文件的装订，签署，密封和标记</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_Toc9759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"_Toc27686" </w:instrText>
      </w:r>
      <w:r>
        <w:rPr>
          <w:color w:val="auto"/>
          <w:highlight w:val="none"/>
        </w:rPr>
        <w:fldChar w:fldCharType="separate"/>
      </w:r>
      <w:r>
        <w:rPr>
          <w:rFonts w:cs="宋体"/>
          <w:color w:val="auto"/>
          <w:sz w:val="21"/>
          <w:szCs w:val="21"/>
          <w:highlight w:val="none"/>
        </w:rPr>
        <w:t xml:space="preserve">19. </w:t>
      </w:r>
      <w:r>
        <w:rPr>
          <w:rFonts w:hint="eastAsia" w:cs="宋体"/>
          <w:color w:val="auto"/>
          <w:sz w:val="21"/>
          <w:szCs w:val="21"/>
          <w:highlight w:val="none"/>
        </w:rPr>
        <w:t>迟交的投标文件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_Toc27686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"_Toc8776" </w:instrText>
      </w:r>
      <w:r>
        <w:rPr>
          <w:color w:val="auto"/>
          <w:highlight w:val="none"/>
        </w:rPr>
        <w:fldChar w:fldCharType="separate"/>
      </w:r>
      <w:r>
        <w:rPr>
          <w:rFonts w:cs="宋体"/>
          <w:color w:val="auto"/>
          <w:sz w:val="21"/>
          <w:szCs w:val="21"/>
          <w:highlight w:val="none"/>
        </w:rPr>
        <w:t xml:space="preserve">20. </w:t>
      </w:r>
      <w:r>
        <w:rPr>
          <w:rFonts w:hint="eastAsia" w:cs="宋体"/>
          <w:color w:val="auto"/>
          <w:sz w:val="21"/>
          <w:szCs w:val="21"/>
          <w:highlight w:val="none"/>
        </w:rPr>
        <w:t>投标样品（如需提交）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_Toc8776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"_Toc17522" </w:instrText>
      </w:r>
      <w:r>
        <w:rPr>
          <w:color w:val="auto"/>
          <w:highlight w:val="none"/>
        </w:rPr>
        <w:fldChar w:fldCharType="separate"/>
      </w:r>
      <w:r>
        <w:rPr>
          <w:rFonts w:cs="宋体"/>
          <w:color w:val="auto"/>
          <w:sz w:val="21"/>
          <w:szCs w:val="21"/>
          <w:highlight w:val="none"/>
        </w:rPr>
        <w:t xml:space="preserve">21. </w:t>
      </w:r>
      <w:r>
        <w:rPr>
          <w:rFonts w:hint="eastAsia" w:cs="宋体"/>
          <w:color w:val="auto"/>
          <w:sz w:val="21"/>
          <w:szCs w:val="21"/>
          <w:highlight w:val="none"/>
        </w:rPr>
        <w:t>投标截止期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_Toc17522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"_Toc14518" </w:instrText>
      </w:r>
      <w:r>
        <w:rPr>
          <w:color w:val="auto"/>
          <w:highlight w:val="none"/>
        </w:rPr>
        <w:fldChar w:fldCharType="separate"/>
      </w:r>
      <w:r>
        <w:rPr>
          <w:rFonts w:cs="宋体"/>
          <w:color w:val="auto"/>
          <w:sz w:val="21"/>
          <w:szCs w:val="21"/>
          <w:highlight w:val="none"/>
        </w:rPr>
        <w:t xml:space="preserve">22. </w:t>
      </w:r>
      <w:r>
        <w:rPr>
          <w:rFonts w:hint="eastAsia" w:cs="宋体"/>
          <w:color w:val="auto"/>
          <w:sz w:val="21"/>
          <w:szCs w:val="21"/>
          <w:highlight w:val="none"/>
        </w:rPr>
        <w:t>投标文件的补充、修改与撤回</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_Toc14518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"_Toc4693" </w:instrText>
      </w:r>
      <w:r>
        <w:rPr>
          <w:color w:val="auto"/>
          <w:highlight w:val="none"/>
        </w:rPr>
        <w:fldChar w:fldCharType="separate"/>
      </w:r>
      <w:r>
        <w:rPr>
          <w:rFonts w:cs="宋体"/>
          <w:color w:val="auto"/>
          <w:sz w:val="21"/>
          <w:szCs w:val="21"/>
          <w:highlight w:val="none"/>
        </w:rPr>
        <w:t xml:space="preserve">五、 </w:t>
      </w:r>
      <w:r>
        <w:rPr>
          <w:rFonts w:hint="eastAsia" w:cs="宋体"/>
          <w:color w:val="auto"/>
          <w:sz w:val="21"/>
          <w:szCs w:val="21"/>
          <w:highlight w:val="none"/>
        </w:rPr>
        <w:t>开标与评标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_Toc4693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"_Toc20009" </w:instrText>
      </w:r>
      <w:r>
        <w:rPr>
          <w:color w:val="auto"/>
          <w:highlight w:val="none"/>
        </w:rPr>
        <w:fldChar w:fldCharType="separate"/>
      </w:r>
      <w:r>
        <w:rPr>
          <w:rFonts w:cs="宋体"/>
          <w:color w:val="auto"/>
          <w:sz w:val="21"/>
          <w:szCs w:val="21"/>
          <w:highlight w:val="none"/>
        </w:rPr>
        <w:t xml:space="preserve">23. </w:t>
      </w:r>
      <w:r>
        <w:rPr>
          <w:rFonts w:hint="eastAsia" w:cs="宋体"/>
          <w:color w:val="auto"/>
          <w:sz w:val="21"/>
          <w:szCs w:val="21"/>
          <w:highlight w:val="none"/>
        </w:rPr>
        <w:t>开标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_Toc20009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"_Toc15560" </w:instrText>
      </w:r>
      <w:r>
        <w:rPr>
          <w:color w:val="auto"/>
          <w:highlight w:val="none"/>
        </w:rPr>
        <w:fldChar w:fldCharType="separate"/>
      </w:r>
      <w:r>
        <w:rPr>
          <w:rFonts w:cs="宋体"/>
          <w:color w:val="auto"/>
          <w:sz w:val="21"/>
          <w:szCs w:val="21"/>
          <w:highlight w:val="none"/>
        </w:rPr>
        <w:t xml:space="preserve">24. </w:t>
      </w:r>
      <w:r>
        <w:rPr>
          <w:rFonts w:hint="eastAsia" w:cs="宋体"/>
          <w:color w:val="auto"/>
          <w:sz w:val="21"/>
          <w:szCs w:val="21"/>
          <w:highlight w:val="none"/>
        </w:rPr>
        <w:t>评标委员会及评标方法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_Toc15560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"_Toc22022" </w:instrText>
      </w:r>
      <w:r>
        <w:rPr>
          <w:color w:val="auto"/>
          <w:highlight w:val="none"/>
        </w:rPr>
        <w:fldChar w:fldCharType="separate"/>
      </w:r>
      <w:r>
        <w:rPr>
          <w:rFonts w:cs="宋体"/>
          <w:color w:val="auto"/>
          <w:sz w:val="21"/>
          <w:szCs w:val="21"/>
          <w:highlight w:val="none"/>
        </w:rPr>
        <w:t xml:space="preserve">25. </w:t>
      </w:r>
      <w:r>
        <w:rPr>
          <w:rFonts w:hint="eastAsia" w:cs="宋体"/>
          <w:color w:val="auto"/>
          <w:sz w:val="21"/>
          <w:szCs w:val="21"/>
          <w:highlight w:val="none"/>
        </w:rPr>
        <w:t>评审原则及评标过程的保密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_Toc22022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"_Toc14506" </w:instrText>
      </w:r>
      <w:r>
        <w:rPr>
          <w:color w:val="auto"/>
          <w:highlight w:val="none"/>
        </w:rPr>
        <w:fldChar w:fldCharType="separate"/>
      </w:r>
      <w:r>
        <w:rPr>
          <w:rFonts w:cs="宋体"/>
          <w:color w:val="auto"/>
          <w:sz w:val="21"/>
          <w:szCs w:val="21"/>
          <w:highlight w:val="none"/>
        </w:rPr>
        <w:t xml:space="preserve">26. </w:t>
      </w:r>
      <w:r>
        <w:rPr>
          <w:rFonts w:hint="eastAsia" w:cs="宋体"/>
          <w:color w:val="auto"/>
          <w:sz w:val="21"/>
          <w:szCs w:val="21"/>
          <w:highlight w:val="none"/>
        </w:rPr>
        <w:t>评标程序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_Toc14506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"_Toc11415" </w:instrText>
      </w:r>
      <w:r>
        <w:rPr>
          <w:color w:val="auto"/>
          <w:highlight w:val="none"/>
        </w:rPr>
        <w:fldChar w:fldCharType="separate"/>
      </w:r>
      <w:r>
        <w:rPr>
          <w:rFonts w:cs="宋体"/>
          <w:color w:val="auto"/>
          <w:sz w:val="21"/>
          <w:szCs w:val="21"/>
          <w:highlight w:val="none"/>
        </w:rPr>
        <w:t xml:space="preserve">27. </w:t>
      </w:r>
      <w:r>
        <w:rPr>
          <w:rFonts w:hint="eastAsia" w:cs="宋体"/>
          <w:color w:val="auto"/>
          <w:sz w:val="21"/>
          <w:szCs w:val="21"/>
          <w:highlight w:val="none"/>
        </w:rPr>
        <w:t>商务、技术、价格评审（具体评审项目详见投标资料表）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_Toc11415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"_Toc18550" </w:instrText>
      </w:r>
      <w:r>
        <w:rPr>
          <w:color w:val="auto"/>
          <w:highlight w:val="none"/>
        </w:rPr>
        <w:fldChar w:fldCharType="separate"/>
      </w:r>
      <w:r>
        <w:rPr>
          <w:rFonts w:cs="宋体"/>
          <w:color w:val="auto"/>
          <w:sz w:val="21"/>
          <w:szCs w:val="21"/>
          <w:highlight w:val="none"/>
        </w:rPr>
        <w:t xml:space="preserve">28. </w:t>
      </w:r>
      <w:r>
        <w:rPr>
          <w:rFonts w:hint="eastAsia" w:cs="宋体"/>
          <w:color w:val="auto"/>
          <w:sz w:val="21"/>
          <w:szCs w:val="21"/>
          <w:highlight w:val="none"/>
        </w:rPr>
        <w:t>纪律和保密事项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_Toc18550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"_Toc27738" </w:instrText>
      </w:r>
      <w:r>
        <w:rPr>
          <w:color w:val="auto"/>
          <w:highlight w:val="none"/>
        </w:rPr>
        <w:fldChar w:fldCharType="separate"/>
      </w:r>
      <w:r>
        <w:rPr>
          <w:rFonts w:cs="宋体"/>
          <w:color w:val="auto"/>
          <w:sz w:val="21"/>
          <w:szCs w:val="21"/>
          <w:highlight w:val="none"/>
        </w:rPr>
        <w:t xml:space="preserve">六、 </w:t>
      </w:r>
      <w:r>
        <w:rPr>
          <w:rFonts w:hint="eastAsia" w:cs="宋体"/>
          <w:color w:val="auto"/>
          <w:sz w:val="21"/>
          <w:szCs w:val="21"/>
          <w:highlight w:val="none"/>
        </w:rPr>
        <w:t>授予合同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_Toc27738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"_Toc16090" </w:instrText>
      </w:r>
      <w:r>
        <w:rPr>
          <w:color w:val="auto"/>
          <w:highlight w:val="none"/>
        </w:rPr>
        <w:fldChar w:fldCharType="separate"/>
      </w:r>
      <w:r>
        <w:rPr>
          <w:rFonts w:cs="宋体"/>
          <w:color w:val="auto"/>
          <w:sz w:val="21"/>
          <w:szCs w:val="21"/>
          <w:highlight w:val="none"/>
        </w:rPr>
        <w:t xml:space="preserve">29. </w:t>
      </w:r>
      <w:r>
        <w:rPr>
          <w:rFonts w:hint="eastAsia" w:cs="宋体"/>
          <w:color w:val="auto"/>
          <w:sz w:val="21"/>
          <w:szCs w:val="21"/>
          <w:highlight w:val="none"/>
        </w:rPr>
        <w:t>合同授予标准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_Toc16090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"_Toc24261" </w:instrText>
      </w:r>
      <w:r>
        <w:rPr>
          <w:color w:val="auto"/>
          <w:highlight w:val="none"/>
        </w:rPr>
        <w:fldChar w:fldCharType="separate"/>
      </w:r>
      <w:r>
        <w:rPr>
          <w:rFonts w:cs="宋体"/>
          <w:color w:val="auto"/>
          <w:sz w:val="21"/>
          <w:szCs w:val="21"/>
          <w:highlight w:val="none"/>
        </w:rPr>
        <w:t xml:space="preserve">30. </w:t>
      </w:r>
      <w:r>
        <w:rPr>
          <w:rFonts w:hint="eastAsia" w:cs="宋体"/>
          <w:color w:val="auto"/>
          <w:sz w:val="21"/>
          <w:szCs w:val="21"/>
          <w:highlight w:val="none"/>
        </w:rPr>
        <w:t>发布中标结果</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_Toc24261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"_Toc749" </w:instrText>
      </w:r>
      <w:r>
        <w:rPr>
          <w:color w:val="auto"/>
          <w:highlight w:val="none"/>
        </w:rPr>
        <w:fldChar w:fldCharType="separate"/>
      </w:r>
      <w:r>
        <w:rPr>
          <w:rFonts w:cs="宋体"/>
          <w:color w:val="auto"/>
          <w:sz w:val="21"/>
          <w:szCs w:val="21"/>
          <w:highlight w:val="none"/>
        </w:rPr>
        <w:t xml:space="preserve">31. </w:t>
      </w:r>
      <w:r>
        <w:rPr>
          <w:rFonts w:hint="eastAsia" w:cs="宋体"/>
          <w:color w:val="auto"/>
          <w:sz w:val="21"/>
          <w:szCs w:val="21"/>
          <w:highlight w:val="none"/>
        </w:rPr>
        <w:t>资格后审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_Toc749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"_Toc27689" </w:instrText>
      </w:r>
      <w:r>
        <w:rPr>
          <w:color w:val="auto"/>
          <w:highlight w:val="none"/>
        </w:rPr>
        <w:fldChar w:fldCharType="separate"/>
      </w:r>
      <w:r>
        <w:rPr>
          <w:rFonts w:cs="宋体"/>
          <w:color w:val="auto"/>
          <w:sz w:val="21"/>
          <w:szCs w:val="21"/>
          <w:highlight w:val="none"/>
        </w:rPr>
        <w:t xml:space="preserve">32. </w:t>
      </w:r>
      <w:r>
        <w:rPr>
          <w:rFonts w:hint="eastAsia" w:cs="宋体"/>
          <w:color w:val="auto"/>
          <w:sz w:val="21"/>
          <w:szCs w:val="21"/>
          <w:highlight w:val="none"/>
        </w:rPr>
        <w:t>合同的签订与履行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_Toc27689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"_Toc19211" </w:instrText>
      </w:r>
      <w:r>
        <w:rPr>
          <w:color w:val="auto"/>
          <w:highlight w:val="none"/>
        </w:rPr>
        <w:fldChar w:fldCharType="separate"/>
      </w:r>
      <w:r>
        <w:rPr>
          <w:rFonts w:cs="宋体"/>
          <w:color w:val="auto"/>
          <w:sz w:val="21"/>
          <w:szCs w:val="21"/>
          <w:highlight w:val="none"/>
        </w:rPr>
        <w:t xml:space="preserve">33. </w:t>
      </w:r>
      <w:r>
        <w:rPr>
          <w:rFonts w:hint="eastAsia" w:cs="宋体"/>
          <w:color w:val="auto"/>
          <w:sz w:val="21"/>
          <w:szCs w:val="21"/>
          <w:highlight w:val="none"/>
        </w:rPr>
        <w:t>履约担保</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_Toc19211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"_Toc19347" </w:instrText>
      </w:r>
      <w:r>
        <w:rPr>
          <w:color w:val="auto"/>
          <w:highlight w:val="none"/>
        </w:rPr>
        <w:fldChar w:fldCharType="separate"/>
      </w:r>
      <w:r>
        <w:rPr>
          <w:rFonts w:cs="宋体"/>
          <w:color w:val="auto"/>
          <w:sz w:val="21"/>
          <w:szCs w:val="21"/>
          <w:highlight w:val="none"/>
        </w:rPr>
        <w:t xml:space="preserve">34. </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_Toc19347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"_Toc27556" </w:instrText>
      </w:r>
      <w:r>
        <w:rPr>
          <w:color w:val="auto"/>
          <w:highlight w:val="none"/>
        </w:rPr>
        <w:fldChar w:fldCharType="separate"/>
      </w:r>
      <w:r>
        <w:rPr>
          <w:rFonts w:cs="宋体"/>
          <w:color w:val="auto"/>
          <w:sz w:val="21"/>
          <w:szCs w:val="21"/>
          <w:highlight w:val="none"/>
        </w:rPr>
        <w:t xml:space="preserve">七、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_Toc27556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"_Toc31457" </w:instrText>
      </w:r>
      <w:r>
        <w:rPr>
          <w:color w:val="auto"/>
          <w:highlight w:val="none"/>
        </w:rPr>
        <w:fldChar w:fldCharType="separate"/>
      </w:r>
      <w:r>
        <w:rPr>
          <w:rFonts w:cs="宋体"/>
          <w:color w:val="auto"/>
          <w:sz w:val="21"/>
          <w:szCs w:val="21"/>
          <w:highlight w:val="none"/>
        </w:rPr>
        <w:t xml:space="preserve">35.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_Toc31457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"_Toc16776" </w:instrText>
      </w:r>
      <w:r>
        <w:rPr>
          <w:color w:val="auto"/>
          <w:highlight w:val="none"/>
        </w:rPr>
        <w:fldChar w:fldCharType="separate"/>
      </w:r>
      <w:r>
        <w:rPr>
          <w:rFonts w:cs="宋体"/>
          <w:color w:val="auto"/>
          <w:sz w:val="21"/>
          <w:szCs w:val="21"/>
          <w:highlight w:val="none"/>
        </w:rPr>
        <w:t xml:space="preserve">八、 </w:t>
      </w:r>
      <w:r>
        <w:rPr>
          <w:rFonts w:hint="eastAsia" w:cs="宋体"/>
          <w:color w:val="auto"/>
          <w:sz w:val="21"/>
          <w:szCs w:val="21"/>
          <w:highlight w:val="none"/>
        </w:rPr>
        <w:t>其他</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_Toc16776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"_Toc2155" </w:instrText>
      </w:r>
      <w:r>
        <w:rPr>
          <w:color w:val="auto"/>
          <w:highlight w:val="none"/>
        </w:rPr>
        <w:fldChar w:fldCharType="separate"/>
      </w:r>
      <w:r>
        <w:rPr>
          <w:rFonts w:cs="宋体"/>
          <w:color w:val="auto"/>
          <w:sz w:val="21"/>
          <w:szCs w:val="21"/>
          <w:highlight w:val="none"/>
        </w:rPr>
        <w:t xml:space="preserve">36. </w:t>
      </w:r>
      <w:r>
        <w:rPr>
          <w:rFonts w:hint="eastAsia" w:cs="宋体"/>
          <w:color w:val="auto"/>
          <w:sz w:val="21"/>
          <w:szCs w:val="21"/>
          <w:highlight w:val="none"/>
        </w:rPr>
        <w:t>采购文件的解释权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_Toc2155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"_Toc15211" </w:instrText>
      </w:r>
      <w:r>
        <w:rPr>
          <w:color w:val="auto"/>
          <w:highlight w:val="none"/>
        </w:rPr>
        <w:fldChar w:fldCharType="separate"/>
      </w:r>
      <w:r>
        <w:rPr>
          <w:rFonts w:hint="eastAsia" w:cs="宋体"/>
          <w:color w:val="auto"/>
          <w:sz w:val="21"/>
          <w:szCs w:val="21"/>
          <w:highlight w:val="none"/>
        </w:rPr>
        <w:t>第五部分  合同条款格式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_Toc15211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"_Toc17124" </w:instrText>
      </w:r>
      <w:r>
        <w:rPr>
          <w:color w:val="auto"/>
          <w:highlight w:val="none"/>
        </w:rPr>
        <w:fldChar w:fldCharType="separate"/>
      </w:r>
      <w:r>
        <w:rPr>
          <w:rFonts w:hint="eastAsia" w:cs="宋体"/>
          <w:color w:val="auto"/>
          <w:sz w:val="21"/>
          <w:szCs w:val="21"/>
          <w:highlight w:val="none"/>
        </w:rPr>
        <w:t>第六部分附件－投标文件格式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_Toc17124 \h </w:instrText>
      </w:r>
      <w:r>
        <w:rPr>
          <w:rFonts w:hint="eastAsia" w:cs="宋体"/>
          <w:color w:val="auto"/>
          <w:sz w:val="21"/>
          <w:szCs w:val="21"/>
          <w:highlight w:val="none"/>
        </w:rPr>
        <w:fldChar w:fldCharType="separate"/>
      </w:r>
      <w:r>
        <w:rPr>
          <w:rFonts w:hint="eastAsia" w:cs="宋体"/>
          <w:color w:val="auto"/>
          <w:sz w:val="21"/>
          <w:szCs w:val="21"/>
          <w:highlight w:val="none"/>
        </w:rPr>
        <w:t>80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"_Toc25786" </w:instrText>
      </w:r>
      <w:r>
        <w:rPr>
          <w:color w:val="auto"/>
          <w:highlight w:val="none"/>
        </w:rPr>
        <w:fldChar w:fldCharType="separate"/>
      </w:r>
      <w:r>
        <w:rPr>
          <w:rFonts w:hint="eastAsia" w:cs="宋体"/>
          <w:color w:val="auto"/>
          <w:sz w:val="21"/>
          <w:szCs w:val="21"/>
          <w:highlight w:val="none"/>
        </w:rPr>
        <w:t>投标文件目录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_Toc25786 \h </w:instrText>
      </w:r>
      <w:r>
        <w:rPr>
          <w:rFonts w:hint="eastAsia" w:cs="宋体"/>
          <w:color w:val="auto"/>
          <w:sz w:val="21"/>
          <w:szCs w:val="21"/>
          <w:highlight w:val="none"/>
        </w:rPr>
        <w:fldChar w:fldCharType="separate"/>
      </w:r>
      <w:r>
        <w:rPr>
          <w:rFonts w:hint="eastAsia" w:cs="宋体"/>
          <w:color w:val="auto"/>
          <w:sz w:val="21"/>
          <w:szCs w:val="21"/>
          <w:highlight w:val="none"/>
        </w:rPr>
        <w:t>80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"_Toc18792" </w:instrText>
      </w:r>
      <w:r>
        <w:rPr>
          <w:color w:val="auto"/>
          <w:highlight w:val="none"/>
        </w:rPr>
        <w:fldChar w:fldCharType="separate"/>
      </w:r>
      <w:r>
        <w:rPr>
          <w:rFonts w:hint="eastAsia" w:cs="宋体"/>
          <w:color w:val="auto"/>
          <w:sz w:val="21"/>
          <w:szCs w:val="21"/>
          <w:highlight w:val="none"/>
        </w:rPr>
        <w:t>附件1.评分标准索引表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_Toc18792 \h </w:instrText>
      </w:r>
      <w:r>
        <w:rPr>
          <w:rFonts w:hint="eastAsia" w:cs="宋体"/>
          <w:color w:val="auto"/>
          <w:sz w:val="21"/>
          <w:szCs w:val="21"/>
          <w:highlight w:val="none"/>
        </w:rPr>
        <w:fldChar w:fldCharType="separate"/>
      </w:r>
      <w:r>
        <w:rPr>
          <w:rFonts w:hint="eastAsia" w:cs="宋体"/>
          <w:color w:val="auto"/>
          <w:sz w:val="21"/>
          <w:szCs w:val="21"/>
          <w:highlight w:val="none"/>
        </w:rPr>
        <w:t>81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"_Toc9213" </w:instrText>
      </w:r>
      <w:r>
        <w:rPr>
          <w:color w:val="auto"/>
          <w:highlight w:val="none"/>
        </w:rPr>
        <w:fldChar w:fldCharType="separate"/>
      </w:r>
      <w:r>
        <w:rPr>
          <w:rFonts w:hint="eastAsia" w:cs="宋体"/>
          <w:color w:val="auto"/>
          <w:sz w:val="21"/>
          <w:szCs w:val="21"/>
          <w:highlight w:val="none"/>
        </w:rPr>
        <w:t>价格文件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_Toc9213 \h </w:instrText>
      </w:r>
      <w:r>
        <w:rPr>
          <w:rFonts w:hint="eastAsia" w:cs="宋体"/>
          <w:color w:val="auto"/>
          <w:sz w:val="21"/>
          <w:szCs w:val="21"/>
          <w:highlight w:val="none"/>
        </w:rPr>
        <w:fldChar w:fldCharType="separate"/>
      </w:r>
      <w:r>
        <w:rPr>
          <w:rFonts w:hint="eastAsia" w:cs="宋体"/>
          <w:color w:val="auto"/>
          <w:sz w:val="21"/>
          <w:szCs w:val="21"/>
          <w:highlight w:val="none"/>
        </w:rPr>
        <w:t>82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"_Toc1232" </w:instrText>
      </w:r>
      <w:r>
        <w:rPr>
          <w:color w:val="auto"/>
          <w:highlight w:val="none"/>
        </w:rPr>
        <w:fldChar w:fldCharType="separate"/>
      </w:r>
      <w:r>
        <w:rPr>
          <w:rFonts w:hint="eastAsia" w:cs="宋体"/>
          <w:color w:val="auto"/>
          <w:sz w:val="21"/>
          <w:szCs w:val="21"/>
          <w:highlight w:val="none"/>
        </w:rPr>
        <w:t>附件2.开标一览表格式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_Toc1232 \h </w:instrText>
      </w:r>
      <w:r>
        <w:rPr>
          <w:rFonts w:hint="eastAsia" w:cs="宋体"/>
          <w:color w:val="auto"/>
          <w:sz w:val="21"/>
          <w:szCs w:val="21"/>
          <w:highlight w:val="none"/>
        </w:rPr>
        <w:fldChar w:fldCharType="separate"/>
      </w:r>
      <w:r>
        <w:rPr>
          <w:rFonts w:hint="eastAsia" w:cs="宋体"/>
          <w:color w:val="auto"/>
          <w:sz w:val="21"/>
          <w:szCs w:val="21"/>
          <w:highlight w:val="none"/>
        </w:rPr>
        <w:t>83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"_Toc7358" </w:instrText>
      </w:r>
      <w:r>
        <w:rPr>
          <w:color w:val="auto"/>
          <w:highlight w:val="none"/>
        </w:rPr>
        <w:fldChar w:fldCharType="separate"/>
      </w:r>
      <w:r>
        <w:rPr>
          <w:rFonts w:hint="eastAsia" w:cs="宋体"/>
          <w:color w:val="auto"/>
          <w:sz w:val="21"/>
          <w:szCs w:val="21"/>
          <w:highlight w:val="none"/>
        </w:rPr>
        <w:t>商务文件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_Toc7358 \h </w:instrText>
      </w:r>
      <w:r>
        <w:rPr>
          <w:rFonts w:hint="eastAsia" w:cs="宋体"/>
          <w:color w:val="auto"/>
          <w:sz w:val="21"/>
          <w:szCs w:val="21"/>
          <w:highlight w:val="none"/>
        </w:rPr>
        <w:fldChar w:fldCharType="separate"/>
      </w:r>
      <w:r>
        <w:rPr>
          <w:rFonts w:hint="eastAsia" w:cs="宋体"/>
          <w:color w:val="auto"/>
          <w:sz w:val="21"/>
          <w:szCs w:val="21"/>
          <w:highlight w:val="none"/>
        </w:rPr>
        <w:t>84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"_Toc11732"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3</w:t>
      </w:r>
      <w:r>
        <w:rPr>
          <w:rFonts w:hint="eastAsia" w:cs="宋体"/>
          <w:color w:val="auto"/>
          <w:sz w:val="21"/>
          <w:szCs w:val="21"/>
          <w:highlight w:val="none"/>
        </w:rPr>
        <w:t>.投标书格式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_Toc11732 \h </w:instrText>
      </w:r>
      <w:r>
        <w:rPr>
          <w:rFonts w:hint="eastAsia" w:cs="宋体"/>
          <w:color w:val="auto"/>
          <w:sz w:val="21"/>
          <w:szCs w:val="21"/>
          <w:highlight w:val="none"/>
        </w:rPr>
        <w:fldChar w:fldCharType="separate"/>
      </w:r>
      <w:r>
        <w:rPr>
          <w:rFonts w:hint="eastAsia" w:cs="宋体"/>
          <w:color w:val="auto"/>
          <w:sz w:val="21"/>
          <w:szCs w:val="21"/>
          <w:highlight w:val="none"/>
        </w:rPr>
        <w:t>85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"_Toc19972"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4</w:t>
      </w:r>
      <w:r>
        <w:rPr>
          <w:rFonts w:hint="eastAsia" w:cs="宋体"/>
          <w:color w:val="auto"/>
          <w:sz w:val="21"/>
          <w:szCs w:val="21"/>
          <w:highlight w:val="none"/>
        </w:rPr>
        <w:t>. 法定代表人证明书格式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_Toc19972 \h </w:instrText>
      </w:r>
      <w:r>
        <w:rPr>
          <w:rFonts w:hint="eastAsia" w:cs="宋体"/>
          <w:color w:val="auto"/>
          <w:sz w:val="21"/>
          <w:szCs w:val="21"/>
          <w:highlight w:val="none"/>
        </w:rPr>
        <w:fldChar w:fldCharType="separate"/>
      </w:r>
      <w:r>
        <w:rPr>
          <w:rFonts w:hint="eastAsia" w:cs="宋体"/>
          <w:color w:val="auto"/>
          <w:sz w:val="21"/>
          <w:szCs w:val="21"/>
          <w:highlight w:val="none"/>
        </w:rPr>
        <w:t>86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"_Toc19149"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5</w:t>
      </w:r>
      <w:r>
        <w:rPr>
          <w:rFonts w:hint="eastAsia" w:cs="宋体"/>
          <w:color w:val="auto"/>
          <w:sz w:val="21"/>
          <w:szCs w:val="21"/>
          <w:highlight w:val="none"/>
        </w:rPr>
        <w:t>.法定代表人授权书格式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_Toc19149 \h </w:instrText>
      </w:r>
      <w:r>
        <w:rPr>
          <w:rFonts w:hint="eastAsia" w:cs="宋体"/>
          <w:color w:val="auto"/>
          <w:sz w:val="21"/>
          <w:szCs w:val="21"/>
          <w:highlight w:val="none"/>
        </w:rPr>
        <w:fldChar w:fldCharType="separate"/>
      </w:r>
      <w:r>
        <w:rPr>
          <w:rFonts w:hint="eastAsia" w:cs="宋体"/>
          <w:color w:val="auto"/>
          <w:sz w:val="21"/>
          <w:szCs w:val="21"/>
          <w:highlight w:val="none"/>
        </w:rPr>
        <w:t>87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"_Toc30038"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.资格申明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_Toc30038 \h </w:instrText>
      </w:r>
      <w:r>
        <w:rPr>
          <w:rFonts w:hint="eastAsia" w:cs="宋体"/>
          <w:color w:val="auto"/>
          <w:sz w:val="21"/>
          <w:szCs w:val="21"/>
          <w:highlight w:val="none"/>
        </w:rPr>
        <w:fldChar w:fldCharType="separate"/>
      </w:r>
      <w:r>
        <w:rPr>
          <w:rFonts w:hint="eastAsia" w:cs="宋体"/>
          <w:color w:val="auto"/>
          <w:sz w:val="21"/>
          <w:szCs w:val="21"/>
          <w:highlight w:val="none"/>
        </w:rPr>
        <w:t>88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"_Toc10305"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7</w:t>
      </w:r>
      <w:r>
        <w:rPr>
          <w:rFonts w:hint="eastAsia" w:cs="宋体"/>
          <w:color w:val="auto"/>
          <w:sz w:val="21"/>
          <w:szCs w:val="21"/>
          <w:highlight w:val="none"/>
        </w:rPr>
        <w:t>.营业执照</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_Toc10305 \h </w:instrText>
      </w:r>
      <w:r>
        <w:rPr>
          <w:rFonts w:hint="eastAsia" w:cs="宋体"/>
          <w:color w:val="auto"/>
          <w:sz w:val="21"/>
          <w:szCs w:val="21"/>
          <w:highlight w:val="none"/>
        </w:rPr>
        <w:fldChar w:fldCharType="separate"/>
      </w:r>
      <w:r>
        <w:rPr>
          <w:rFonts w:hint="eastAsia" w:cs="宋体"/>
          <w:color w:val="auto"/>
          <w:sz w:val="21"/>
          <w:szCs w:val="21"/>
          <w:highlight w:val="none"/>
        </w:rPr>
        <w:t>89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"_Toc30816"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8</w:t>
      </w:r>
      <w:r>
        <w:rPr>
          <w:rFonts w:hint="eastAsia" w:cs="宋体"/>
          <w:color w:val="auto"/>
          <w:sz w:val="21"/>
          <w:szCs w:val="21"/>
          <w:highlight w:val="none"/>
        </w:rPr>
        <w:t>.相关资质证明文件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_Toc30816 \h </w:instrText>
      </w:r>
      <w:r>
        <w:rPr>
          <w:rFonts w:hint="eastAsia" w:cs="宋体"/>
          <w:color w:val="auto"/>
          <w:sz w:val="21"/>
          <w:szCs w:val="21"/>
          <w:highlight w:val="none"/>
        </w:rPr>
        <w:fldChar w:fldCharType="separate"/>
      </w:r>
      <w:r>
        <w:rPr>
          <w:rFonts w:hint="eastAsia" w:cs="宋体"/>
          <w:color w:val="auto"/>
          <w:sz w:val="21"/>
          <w:szCs w:val="21"/>
          <w:highlight w:val="none"/>
        </w:rPr>
        <w:t>90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"_Toc3091"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9</w:t>
      </w:r>
      <w:r>
        <w:rPr>
          <w:rFonts w:hint="eastAsia" w:cs="宋体"/>
          <w:color w:val="auto"/>
          <w:sz w:val="21"/>
          <w:szCs w:val="21"/>
          <w:highlight w:val="none"/>
        </w:rPr>
        <w:t>.在经营活动中没有重大违法记录的书面声明格式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_Toc3091 \h </w:instrText>
      </w:r>
      <w:r>
        <w:rPr>
          <w:rFonts w:hint="eastAsia" w:cs="宋体"/>
          <w:color w:val="auto"/>
          <w:sz w:val="21"/>
          <w:szCs w:val="21"/>
          <w:highlight w:val="none"/>
        </w:rPr>
        <w:fldChar w:fldCharType="separate"/>
      </w:r>
      <w:r>
        <w:rPr>
          <w:rFonts w:hint="eastAsia" w:cs="宋体"/>
          <w:color w:val="auto"/>
          <w:sz w:val="21"/>
          <w:szCs w:val="21"/>
          <w:highlight w:val="none"/>
        </w:rPr>
        <w:t>91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"_Toc18616"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0</w:t>
      </w:r>
      <w:r>
        <w:rPr>
          <w:rFonts w:hint="eastAsia" w:cs="宋体"/>
          <w:color w:val="auto"/>
          <w:sz w:val="21"/>
          <w:szCs w:val="21"/>
          <w:highlight w:val="none"/>
        </w:rPr>
        <w:t>.承诺书格式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_Toc18616 \h </w:instrText>
      </w:r>
      <w:r>
        <w:rPr>
          <w:rFonts w:hint="eastAsia" w:cs="宋体"/>
          <w:color w:val="auto"/>
          <w:sz w:val="21"/>
          <w:szCs w:val="21"/>
          <w:highlight w:val="none"/>
        </w:rPr>
        <w:fldChar w:fldCharType="separate"/>
      </w:r>
      <w:r>
        <w:rPr>
          <w:rFonts w:hint="eastAsia" w:cs="宋体"/>
          <w:color w:val="auto"/>
          <w:sz w:val="21"/>
          <w:szCs w:val="21"/>
          <w:highlight w:val="none"/>
        </w:rPr>
        <w:t>92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"_Toc24507"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1</w:t>
      </w:r>
      <w:r>
        <w:rPr>
          <w:rFonts w:hint="eastAsia" w:cs="宋体"/>
          <w:color w:val="auto"/>
          <w:sz w:val="21"/>
          <w:szCs w:val="21"/>
          <w:highlight w:val="none"/>
        </w:rPr>
        <w:t>.商务需求条款偏离表格式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_Toc24507 \h </w:instrText>
      </w:r>
      <w:r>
        <w:rPr>
          <w:rFonts w:hint="eastAsia" w:cs="宋体"/>
          <w:color w:val="auto"/>
          <w:sz w:val="21"/>
          <w:szCs w:val="21"/>
          <w:highlight w:val="none"/>
        </w:rPr>
        <w:fldChar w:fldCharType="separate"/>
      </w:r>
      <w:r>
        <w:rPr>
          <w:rFonts w:hint="eastAsia" w:cs="宋体"/>
          <w:color w:val="auto"/>
          <w:sz w:val="21"/>
          <w:szCs w:val="21"/>
          <w:highlight w:val="none"/>
        </w:rPr>
        <w:t>93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"_Toc22347"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2</w:t>
      </w:r>
      <w:r>
        <w:rPr>
          <w:rFonts w:hint="eastAsia" w:cs="宋体"/>
          <w:color w:val="auto"/>
          <w:sz w:val="21"/>
          <w:szCs w:val="21"/>
          <w:highlight w:val="none"/>
        </w:rPr>
        <w:t>.业绩表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_Toc22347 \h </w:instrText>
      </w:r>
      <w:r>
        <w:rPr>
          <w:rFonts w:hint="eastAsia" w:cs="宋体"/>
          <w:color w:val="auto"/>
          <w:sz w:val="21"/>
          <w:szCs w:val="21"/>
          <w:highlight w:val="none"/>
        </w:rPr>
        <w:fldChar w:fldCharType="separate"/>
      </w:r>
      <w:r>
        <w:rPr>
          <w:rFonts w:hint="eastAsia" w:cs="宋体"/>
          <w:color w:val="auto"/>
          <w:sz w:val="21"/>
          <w:szCs w:val="21"/>
          <w:highlight w:val="none"/>
        </w:rPr>
        <w:t>94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"_Toc4222"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3</w:t>
      </w:r>
      <w:r>
        <w:rPr>
          <w:rFonts w:hint="eastAsia" w:cs="宋体"/>
          <w:color w:val="auto"/>
          <w:sz w:val="21"/>
          <w:szCs w:val="21"/>
          <w:highlight w:val="none"/>
        </w:rPr>
        <w:t>.联合体协议书（如有）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_Toc4222 \h </w:instrText>
      </w:r>
      <w:r>
        <w:rPr>
          <w:rFonts w:hint="eastAsia" w:cs="宋体"/>
          <w:color w:val="auto"/>
          <w:sz w:val="21"/>
          <w:szCs w:val="21"/>
          <w:highlight w:val="none"/>
        </w:rPr>
        <w:fldChar w:fldCharType="separate"/>
      </w:r>
      <w:r>
        <w:rPr>
          <w:rFonts w:hint="eastAsia" w:cs="宋体"/>
          <w:color w:val="auto"/>
          <w:sz w:val="21"/>
          <w:szCs w:val="21"/>
          <w:highlight w:val="none"/>
        </w:rPr>
        <w:t>95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"_Toc17454" </w:instrText>
      </w:r>
      <w:r>
        <w:rPr>
          <w:color w:val="auto"/>
          <w:highlight w:val="none"/>
        </w:rPr>
        <w:fldChar w:fldCharType="separate"/>
      </w:r>
      <w:r>
        <w:rPr>
          <w:rFonts w:hint="eastAsia" w:cs="宋体"/>
          <w:color w:val="auto"/>
          <w:sz w:val="21"/>
          <w:szCs w:val="21"/>
          <w:highlight w:val="none"/>
        </w:rPr>
        <w:t>技术文件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_Toc17454 \h </w:instrText>
      </w:r>
      <w:r>
        <w:rPr>
          <w:rFonts w:hint="eastAsia" w:cs="宋体"/>
          <w:color w:val="auto"/>
          <w:sz w:val="21"/>
          <w:szCs w:val="21"/>
          <w:highlight w:val="none"/>
        </w:rPr>
        <w:fldChar w:fldCharType="separate"/>
      </w:r>
      <w:r>
        <w:rPr>
          <w:rFonts w:hint="eastAsia" w:cs="宋体"/>
          <w:color w:val="auto"/>
          <w:sz w:val="21"/>
          <w:szCs w:val="21"/>
          <w:highlight w:val="none"/>
        </w:rPr>
        <w:t>97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"_Toc3704"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4</w:t>
      </w:r>
      <w:r>
        <w:rPr>
          <w:rFonts w:hint="eastAsia" w:cs="宋体"/>
          <w:color w:val="auto"/>
          <w:sz w:val="21"/>
          <w:szCs w:val="21"/>
          <w:highlight w:val="none"/>
        </w:rPr>
        <w:t>. 技术规格偏离表格式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_Toc3704 \h </w:instrText>
      </w:r>
      <w:r>
        <w:rPr>
          <w:rFonts w:hint="eastAsia" w:cs="宋体"/>
          <w:color w:val="auto"/>
          <w:sz w:val="21"/>
          <w:szCs w:val="21"/>
          <w:highlight w:val="none"/>
        </w:rPr>
        <w:fldChar w:fldCharType="separate"/>
      </w:r>
      <w:r>
        <w:rPr>
          <w:rFonts w:hint="eastAsia" w:cs="宋体"/>
          <w:color w:val="auto"/>
          <w:sz w:val="21"/>
          <w:szCs w:val="21"/>
          <w:highlight w:val="none"/>
        </w:rPr>
        <w:t>98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"_Toc13819"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5</w:t>
      </w:r>
      <w:r>
        <w:rPr>
          <w:rFonts w:hint="eastAsia" w:cs="宋体"/>
          <w:color w:val="auto"/>
          <w:sz w:val="21"/>
          <w:szCs w:val="21"/>
          <w:highlight w:val="none"/>
        </w:rPr>
        <w:t>.项目实施方案格式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_Toc13819 \h </w:instrText>
      </w:r>
      <w:r>
        <w:rPr>
          <w:rFonts w:hint="eastAsia" w:cs="宋体"/>
          <w:color w:val="auto"/>
          <w:sz w:val="21"/>
          <w:szCs w:val="21"/>
          <w:highlight w:val="none"/>
        </w:rPr>
        <w:fldChar w:fldCharType="separate"/>
      </w:r>
      <w:r>
        <w:rPr>
          <w:rFonts w:hint="eastAsia" w:cs="宋体"/>
          <w:color w:val="auto"/>
          <w:sz w:val="21"/>
          <w:szCs w:val="21"/>
          <w:highlight w:val="none"/>
        </w:rPr>
        <w:t>99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6</w:t>
      </w:r>
      <w:r>
        <w:rPr>
          <w:rFonts w:hint="eastAsia" w:cs="宋体"/>
          <w:color w:val="auto"/>
          <w:sz w:val="21"/>
          <w:szCs w:val="21"/>
          <w:highlight w:val="none"/>
        </w:rPr>
        <w:t>.实施本项目的有关人员资料表格式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_Toc23846 \h </w:instrText>
      </w:r>
      <w:r>
        <w:rPr>
          <w:rFonts w:hint="eastAsia" w:cs="宋体"/>
          <w:color w:val="auto"/>
          <w:sz w:val="21"/>
          <w:szCs w:val="21"/>
          <w:highlight w:val="none"/>
        </w:rPr>
        <w:fldChar w:fldCharType="separate"/>
      </w:r>
      <w:r>
        <w:rPr>
          <w:rFonts w:hint="eastAsia" w:cs="宋体"/>
          <w:color w:val="auto"/>
          <w:sz w:val="21"/>
          <w:szCs w:val="21"/>
          <w:highlight w:val="none"/>
        </w:rPr>
        <w:t>100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"_Toc15162"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7</w:t>
      </w:r>
      <w:r>
        <w:rPr>
          <w:rFonts w:hint="eastAsia" w:cs="宋体"/>
          <w:color w:val="auto"/>
          <w:sz w:val="21"/>
          <w:szCs w:val="21"/>
          <w:highlight w:val="none"/>
        </w:rPr>
        <w:t>.投标保证金汇入情况说明格式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_Toc15162 \h </w:instrText>
      </w:r>
      <w:r>
        <w:rPr>
          <w:rFonts w:hint="eastAsia" w:cs="宋体"/>
          <w:color w:val="auto"/>
          <w:sz w:val="21"/>
          <w:szCs w:val="21"/>
          <w:highlight w:val="none"/>
        </w:rPr>
        <w:fldChar w:fldCharType="separate"/>
      </w:r>
      <w:r>
        <w:rPr>
          <w:rFonts w:hint="eastAsia" w:cs="宋体"/>
          <w:color w:val="auto"/>
          <w:sz w:val="21"/>
          <w:szCs w:val="21"/>
          <w:highlight w:val="none"/>
        </w:rPr>
        <w:t>101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"_Toc2801"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8</w:t>
      </w:r>
      <w:r>
        <w:rPr>
          <w:rFonts w:hint="eastAsia" w:cs="宋体"/>
          <w:color w:val="auto"/>
          <w:sz w:val="21"/>
          <w:szCs w:val="21"/>
          <w:highlight w:val="none"/>
        </w:rPr>
        <w:t>.不可撤销履约保函</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_Toc2801 \h </w:instrText>
      </w:r>
      <w:r>
        <w:rPr>
          <w:rFonts w:hint="eastAsia" w:cs="宋体"/>
          <w:color w:val="auto"/>
          <w:sz w:val="21"/>
          <w:szCs w:val="21"/>
          <w:highlight w:val="none"/>
        </w:rPr>
        <w:fldChar w:fldCharType="separate"/>
      </w:r>
      <w:r>
        <w:rPr>
          <w:rFonts w:hint="eastAsia" w:cs="宋体"/>
          <w:color w:val="auto"/>
          <w:sz w:val="21"/>
          <w:szCs w:val="21"/>
          <w:highlight w:val="none"/>
        </w:rPr>
        <w:t>103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"_Toc29098"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19</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_Toc29098 \h </w:instrText>
      </w:r>
      <w:r>
        <w:rPr>
          <w:rFonts w:hint="eastAsia" w:cs="宋体"/>
          <w:color w:val="auto"/>
          <w:sz w:val="21"/>
          <w:szCs w:val="21"/>
          <w:highlight w:val="none"/>
        </w:rPr>
        <w:fldChar w:fldCharType="separate"/>
      </w:r>
      <w:r>
        <w:rPr>
          <w:rFonts w:hint="eastAsia" w:cs="宋体"/>
          <w:color w:val="auto"/>
          <w:sz w:val="21"/>
          <w:szCs w:val="21"/>
          <w:highlight w:val="none"/>
        </w:rPr>
        <w:t>104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"_Toc16601" </w:instrText>
      </w:r>
      <w:r>
        <w:rPr>
          <w:color w:val="auto"/>
          <w:highlight w:val="none"/>
        </w:rPr>
        <w:fldChar w:fldCharType="separate"/>
      </w:r>
      <w:r>
        <w:rPr>
          <w:rFonts w:hint="eastAsia" w:cs="宋体"/>
          <w:color w:val="auto"/>
          <w:sz w:val="21"/>
          <w:szCs w:val="21"/>
          <w:highlight w:val="none"/>
        </w:rPr>
        <w:t>唱标信封</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_Toc16601 \h </w:instrText>
      </w:r>
      <w:r>
        <w:rPr>
          <w:rFonts w:hint="eastAsia" w:cs="宋体"/>
          <w:color w:val="auto"/>
          <w:sz w:val="21"/>
          <w:szCs w:val="21"/>
          <w:highlight w:val="none"/>
        </w:rPr>
        <w:fldChar w:fldCharType="separate"/>
      </w:r>
      <w:r>
        <w:rPr>
          <w:rFonts w:hint="eastAsia" w:cs="宋体"/>
          <w:color w:val="auto"/>
          <w:sz w:val="21"/>
          <w:szCs w:val="21"/>
          <w:highlight w:val="none"/>
        </w:rPr>
        <w:t>105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"_Toc31340" </w:instrText>
      </w:r>
      <w:r>
        <w:rPr>
          <w:color w:val="auto"/>
          <w:highlight w:val="none"/>
        </w:rPr>
        <w:fldChar w:fldCharType="separate"/>
      </w:r>
      <w:r>
        <w:rPr>
          <w:rFonts w:hint="eastAsia" w:cs="宋体"/>
          <w:color w:val="auto"/>
          <w:sz w:val="21"/>
          <w:szCs w:val="21"/>
          <w:highlight w:val="none"/>
        </w:rPr>
        <w:t>附件2</w:t>
      </w:r>
      <w:r>
        <w:rPr>
          <w:rFonts w:hint="eastAsia" w:cs="宋体"/>
          <w:color w:val="auto"/>
          <w:sz w:val="21"/>
          <w:szCs w:val="21"/>
          <w:highlight w:val="none"/>
          <w:lang w:val="en-US" w:eastAsia="zh-CN"/>
        </w:rPr>
        <w:t>0</w:t>
      </w:r>
      <w:r>
        <w:rPr>
          <w:rFonts w:hint="eastAsia" w:cs="宋体"/>
          <w:color w:val="auto"/>
          <w:sz w:val="21"/>
          <w:szCs w:val="21"/>
          <w:highlight w:val="none"/>
        </w:rPr>
        <w:t>.唱标信封内装（内容务必与投标文件正本一致）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_Toc31340 \h </w:instrText>
      </w:r>
      <w:r>
        <w:rPr>
          <w:rFonts w:hint="eastAsia" w:cs="宋体"/>
          <w:color w:val="auto"/>
          <w:sz w:val="21"/>
          <w:szCs w:val="21"/>
          <w:highlight w:val="none"/>
        </w:rPr>
        <w:fldChar w:fldCharType="separate"/>
      </w:r>
      <w:r>
        <w:rPr>
          <w:rFonts w:hint="eastAsia" w:cs="宋体"/>
          <w:color w:val="auto"/>
          <w:sz w:val="21"/>
          <w:szCs w:val="21"/>
          <w:highlight w:val="none"/>
        </w:rPr>
        <w:t>106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end"/>
      </w: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4"/>
        <w:spacing w:before="0" w:after="0" w:line="240" w:lineRule="auto"/>
        <w:rPr>
          <w:color w:val="auto"/>
          <w:sz w:val="28"/>
          <w:szCs w:val="28"/>
          <w:highlight w:val="none"/>
        </w:rPr>
      </w:pPr>
      <w:bookmarkStart w:id="0" w:name="_Toc21044"/>
      <w:r>
        <w:rPr>
          <w:rFonts w:hint="eastAsia"/>
          <w:color w:val="auto"/>
          <w:sz w:val="28"/>
          <w:szCs w:val="28"/>
          <w:highlight w:val="none"/>
        </w:rPr>
        <w:t>第一部分</w:t>
      </w:r>
      <w:r>
        <w:rPr>
          <w:rFonts w:hint="eastAsia"/>
          <w:color w:val="auto"/>
          <w:sz w:val="28"/>
          <w:szCs w:val="28"/>
          <w:highlight w:val="none"/>
          <w:lang w:val="en-US" w:eastAsia="zh-CN"/>
        </w:rPr>
        <w:t xml:space="preserve"> </w:t>
      </w:r>
      <w:r>
        <w:rPr>
          <w:rFonts w:hint="eastAsia"/>
          <w:color w:val="auto"/>
          <w:sz w:val="28"/>
          <w:szCs w:val="28"/>
          <w:highlight w:val="none"/>
        </w:rPr>
        <w:t>投标邀请</w:t>
      </w:r>
      <w:bookmarkEnd w:id="0"/>
    </w:p>
    <w:p>
      <w:pPr>
        <w:pStyle w:val="5"/>
        <w:spacing w:before="0" w:after="0" w:line="360" w:lineRule="auto"/>
        <w:jc w:val="center"/>
        <w:rPr>
          <w:rFonts w:hint="default" w:ascii="宋体" w:hAnsi="宋体" w:cs="宋体"/>
          <w:color w:val="auto"/>
          <w:highlight w:val="none"/>
          <w:lang w:val="en-US"/>
        </w:rPr>
      </w:pPr>
      <w:bookmarkStart w:id="1" w:name="_Toc8950"/>
      <w:r>
        <w:rPr>
          <w:rFonts w:hint="default" w:ascii="宋体" w:hAnsi="宋体" w:cs="宋体"/>
          <w:color w:val="auto"/>
          <w:highlight w:val="none"/>
          <w:lang w:val="en-US"/>
        </w:rPr>
        <w:t>投标邀请书</w:t>
      </w:r>
      <w:bookmarkEnd w:id="1"/>
    </w:p>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u w:val="single"/>
          <w:lang w:val="en-US" w:eastAsia="zh-CN"/>
        </w:rPr>
        <w:t>广东志正招标有限公司东莞分公司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（以下简称“采购代理机构”）受</w:t>
      </w:r>
      <w:r>
        <w:rPr>
          <w:rFonts w:hint="eastAsia" w:ascii="宋体" w:hAnsi="宋体" w:cs="宋体"/>
          <w:b/>
          <w:bCs/>
          <w:color w:val="auto"/>
          <w:sz w:val="21"/>
          <w:szCs w:val="21"/>
          <w:highlight w:val="none"/>
          <w:u w:val="single"/>
          <w:lang w:eastAsia="zh-CN"/>
        </w:rPr>
        <w:t>东莞市东实旗云投资有限公司</w:t>
      </w:r>
      <w:r>
        <w:rPr>
          <w:rFonts w:hint="eastAsia" w:ascii="宋体" w:hAnsi="宋体" w:eastAsia="宋体" w:cs="宋体"/>
          <w:color w:val="auto"/>
          <w:sz w:val="21"/>
          <w:szCs w:val="21"/>
          <w:highlight w:val="none"/>
        </w:rPr>
        <w:t>（以下简称“采购人”）委托，现就</w:t>
      </w:r>
      <w:r>
        <w:rPr>
          <w:rFonts w:hint="eastAsia" w:ascii="宋体" w:hAnsi="宋体" w:cs="宋体"/>
          <w:b/>
          <w:color w:val="auto"/>
          <w:sz w:val="21"/>
          <w:szCs w:val="21"/>
          <w:highlight w:val="none"/>
          <w:u w:val="single"/>
          <w:lang w:eastAsia="zh-CN"/>
        </w:rPr>
        <w:t>道滘镇南丫片区城中村改造项目掌洲工业安置房地块全过程驻场造价咨询服务</w:t>
      </w: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u w:val="single"/>
          <w:lang w:val="en-US" w:eastAsia="zh-CN"/>
        </w:rPr>
        <w:t>ZZ12602338</w:t>
      </w:r>
      <w:r>
        <w:rPr>
          <w:rFonts w:hint="eastAsia" w:ascii="宋体" w:hAnsi="宋体" w:eastAsia="宋体" w:cs="宋体"/>
          <w:color w:val="auto"/>
          <w:sz w:val="21"/>
          <w:szCs w:val="21"/>
          <w:highlight w:val="none"/>
        </w:rPr>
        <w:t>）进行国内公开采购，欢迎符合采购文件要求的国内投标人参加投标。有关事项如下：</w:t>
      </w:r>
    </w:p>
    <w:p>
      <w:pPr>
        <w:spacing w:line="360" w:lineRule="auto"/>
        <w:ind w:firstLine="295" w:firstLineChars="196"/>
        <w:rPr>
          <w:rFonts w:hint="eastAsia" w:ascii="宋体" w:hAnsi="宋体" w:eastAsia="宋体" w:cs="宋体"/>
          <w:b/>
          <w:color w:val="auto"/>
          <w:sz w:val="15"/>
          <w:szCs w:val="15"/>
          <w:highlight w:val="none"/>
        </w:rPr>
      </w:pPr>
    </w:p>
    <w:p>
      <w:pPr>
        <w:spacing w:line="360" w:lineRule="auto"/>
        <w:ind w:firstLine="41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一、采购项目概况</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1、采购项目名称：</w:t>
      </w:r>
      <w:r>
        <w:rPr>
          <w:rFonts w:hint="eastAsia" w:ascii="宋体" w:hAnsi="宋体" w:cs="宋体"/>
          <w:b/>
          <w:color w:val="auto"/>
          <w:sz w:val="21"/>
          <w:szCs w:val="21"/>
          <w:highlight w:val="none"/>
          <w:u w:val="single"/>
          <w:lang w:eastAsia="zh-CN"/>
        </w:rPr>
        <w:t>道滘镇南丫片区城中村改造项目掌洲工业安置房地块全过程驻场造价咨询服务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2、预算金额（元）：</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 xml:space="preserve"> </w:t>
      </w:r>
      <w:r>
        <w:rPr>
          <w:rFonts w:hint="eastAsia" w:ascii="宋体" w:hAnsi="宋体" w:cs="宋体"/>
          <w:color w:val="auto"/>
          <w:sz w:val="21"/>
          <w:szCs w:val="21"/>
          <w:highlight w:val="none"/>
          <w:lang w:val="en-US" w:eastAsia="zh-CN"/>
        </w:rPr>
        <w:t>1,513,010.00</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3、最高限价（元）：¥</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none"/>
          <w:lang w:val="en-US" w:eastAsia="zh-CN"/>
        </w:rPr>
        <w:t>968,326.40</w:t>
      </w:r>
      <w:r>
        <w:rPr>
          <w:rFonts w:hint="eastAsia" w:ascii="宋体" w:hAnsi="宋体" w:eastAsia="宋体" w:cs="宋体"/>
          <w:color w:val="auto"/>
          <w:sz w:val="21"/>
          <w:szCs w:val="21"/>
          <w:highlight w:val="none"/>
          <w:u w:val="none"/>
          <w:lang w:val="en-US" w:eastAsia="zh-CN"/>
        </w:rPr>
        <w:t>元</w:t>
      </w:r>
      <w:r>
        <w:rPr>
          <w:rFonts w:hint="eastAsia" w:ascii="宋体" w:hAnsi="宋体" w:cs="宋体"/>
          <w:color w:val="auto"/>
          <w:szCs w:val="21"/>
          <w:highlight w:val="none"/>
          <w:u w:val="none"/>
        </w:rPr>
        <w:t>（服务系数0.64）</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详细内容请参阅采购文件第三部分《用户需求书》。</w:t>
      </w:r>
    </w:p>
    <w:p>
      <w:pPr>
        <w:spacing w:line="360" w:lineRule="auto"/>
        <w:ind w:firstLine="413" w:firstLineChars="196"/>
        <w:rPr>
          <w:rFonts w:hint="eastAsia" w:ascii="宋体" w:hAnsi="宋体" w:eastAsia="宋体" w:cs="宋体"/>
          <w:b/>
          <w:color w:val="auto"/>
          <w:sz w:val="21"/>
          <w:szCs w:val="21"/>
          <w:highlight w:val="none"/>
        </w:rPr>
      </w:pPr>
    </w:p>
    <w:p>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二、投标人资格要求</w:t>
      </w:r>
    </w:p>
    <w:p>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（3）投标人的单位负责人为同一人或者存在直接控股、管理关系的不同投标人，不得参加同一合同项下的采购活动。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（5）未被列入东实集团及下属企业相关领域黑名单。【以</w:t>
      </w:r>
      <w:r>
        <w:rPr>
          <w:rFonts w:hint="eastAsia" w:ascii="宋体" w:hAnsi="宋体" w:eastAsia="宋体" w:cs="宋体"/>
          <w:color w:val="auto"/>
          <w:kern w:val="2"/>
          <w:sz w:val="21"/>
          <w:szCs w:val="21"/>
          <w:highlight w:val="none"/>
          <w:lang w:val="zh-CN"/>
        </w:rPr>
        <w:t>东莞实业投资控股集团有限公司</w:t>
      </w:r>
      <w:r>
        <w:rPr>
          <w:rFonts w:hint="eastAsia" w:ascii="宋体" w:hAnsi="宋体" w:eastAsia="宋体" w:cs="宋体"/>
          <w:color w:val="auto"/>
          <w:sz w:val="21"/>
          <w:szCs w:val="21"/>
          <w:highlight w:val="none"/>
        </w:rPr>
        <w:t>发文（东实通〔2021〕44号）、（东实通〔2021〕98号）、（东实通〔2022〕75号）（东实通〔2023〕37号）、（东实通〔2024〕163号）、（东实通〔2024〕195号）、（东实通〔2025〕157号）为准，如有最新发文通知，按最新文件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p>
      <w:pPr>
        <w:spacing w:line="360" w:lineRule="auto"/>
        <w:ind w:firstLine="413" w:firstLineChars="196"/>
        <w:rPr>
          <w:rFonts w:hint="eastAsia" w:ascii="宋体" w:hAnsi="宋体" w:eastAsia="宋体" w:cs="宋体"/>
          <w:b/>
          <w:color w:val="auto"/>
          <w:sz w:val="21"/>
          <w:szCs w:val="21"/>
          <w:highlight w:val="none"/>
        </w:rPr>
      </w:pPr>
    </w:p>
    <w:p>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三、获取采购文件方式及要求：</w:t>
      </w:r>
    </w:p>
    <w:p>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cs="宋体"/>
          <w:color w:val="auto"/>
          <w:sz w:val="21"/>
          <w:szCs w:val="21"/>
          <w:highlight w:val="none"/>
          <w:u w:val="single"/>
          <w:lang w:eastAsia="zh-CN"/>
        </w:rPr>
        <w:t>广东志正招标有限公司东莞分公司</w:t>
      </w:r>
      <w:r>
        <w:rPr>
          <w:rFonts w:hint="eastAsia" w:ascii="宋体" w:hAnsi="宋体" w:eastAsia="宋体" w:cs="宋体"/>
          <w:color w:val="auto"/>
          <w:sz w:val="21"/>
          <w:szCs w:val="21"/>
          <w:highlight w:val="none"/>
          <w:u w:val="single"/>
        </w:rPr>
        <w:t>网（</w:t>
      </w:r>
      <w:r>
        <w:rPr>
          <w:rFonts w:hint="eastAsia" w:ascii="宋体" w:hAnsi="宋体" w:cs="宋体"/>
          <w:color w:val="auto"/>
          <w:sz w:val="21"/>
          <w:szCs w:val="21"/>
          <w:highlight w:val="none"/>
          <w:u w:val="single"/>
          <w:lang w:eastAsia="zh-CN"/>
        </w:rPr>
        <w:t>https://www.zztender.com/</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p>
    <w:p>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四、投标文件的递交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1、递交投标文件时间：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日（北京时间）</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2、递交投标文件截止及开标时间：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（北京时间）</w:t>
      </w:r>
      <w:r>
        <w:rPr>
          <w:rFonts w:hint="eastAsia" w:ascii="宋体" w:hAnsi="宋体" w:eastAsia="宋体" w:cs="宋体"/>
          <w:color w:val="auto"/>
          <w:sz w:val="21"/>
          <w:szCs w:val="21"/>
          <w:highlight w:val="none"/>
        </w:rPr>
        <w:t>，所有投标文件应于截止时间之前递交，迟交或以电报、传真形式的投标文件将拒绝接收。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3、开标地点：</w:t>
      </w:r>
      <w:r>
        <w:rPr>
          <w:rFonts w:hint="eastAsia" w:ascii="宋体" w:hAnsi="宋体" w:cs="宋体"/>
          <w:color w:val="auto"/>
          <w:sz w:val="21"/>
          <w:szCs w:val="21"/>
          <w:highlight w:val="none"/>
          <w:u w:val="single"/>
          <w:lang w:val="en-US" w:eastAsia="zh-CN"/>
        </w:rPr>
        <w:t>广东省东莞市旗峰路190号城市花园商贸中心903室广东志正招标有限公司东莞分公司会议室。</w:t>
      </w:r>
    </w:p>
    <w:p>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4、开标事宜：</w:t>
      </w:r>
      <w:r>
        <w:rPr>
          <w:rFonts w:hint="eastAsia" w:ascii="宋体" w:hAnsi="宋体" w:eastAsia="宋体" w:cs="宋体"/>
          <w:b/>
          <w:bCs/>
          <w:color w:val="auto"/>
          <w:sz w:val="21"/>
          <w:szCs w:val="21"/>
          <w:highlight w:val="none"/>
        </w:rPr>
        <w:t>届时请投标人的法定代表人或其授权代表务必携带有效身份证明出席开标会</w:t>
      </w:r>
      <w:r>
        <w:rPr>
          <w:rFonts w:hint="eastAsia" w:ascii="宋体" w:hAnsi="宋体" w:eastAsia="宋体" w:cs="宋体"/>
          <w:bCs/>
          <w:color w:val="auto"/>
          <w:sz w:val="21"/>
          <w:szCs w:val="21"/>
          <w:highlight w:val="none"/>
        </w:rPr>
        <w:t>。</w:t>
      </w:r>
    </w:p>
    <w:p>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pPr>
        <w:pStyle w:val="41"/>
        <w:spacing w:line="360" w:lineRule="auto"/>
        <w:ind w:firstLine="400"/>
        <w:rPr>
          <w:rFonts w:hint="eastAsia" w:ascii="宋体" w:hAnsi="宋体" w:eastAsia="宋体" w:cs="宋体"/>
          <w:color w:val="auto"/>
          <w:sz w:val="21"/>
          <w:szCs w:val="21"/>
          <w:highlight w:val="none"/>
        </w:rPr>
      </w:pPr>
    </w:p>
    <w:p>
      <w:pPr>
        <w:pStyle w:val="41"/>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eastAsia="宋体" w:cs="宋体"/>
          <w:color w:val="auto"/>
          <w:sz w:val="21"/>
          <w:szCs w:val="21"/>
          <w:highlight w:val="none"/>
          <w:u w:val="single"/>
          <w:lang w:eastAsia="zh-CN"/>
        </w:rPr>
        <w:t>广东志正招标有限公司东莞分公司</w:t>
      </w:r>
      <w:r>
        <w:rPr>
          <w:rFonts w:hint="eastAsia" w:ascii="宋体" w:hAnsi="宋体" w:eastAsia="宋体" w:cs="宋体"/>
          <w:color w:val="auto"/>
          <w:sz w:val="21"/>
          <w:szCs w:val="21"/>
          <w:highlight w:val="none"/>
          <w:u w:val="single"/>
        </w:rPr>
        <w:t>网（</w:t>
      </w:r>
      <w:r>
        <w:rPr>
          <w:rFonts w:hint="eastAsia" w:ascii="宋体" w:hAnsi="宋体" w:cs="宋体"/>
          <w:color w:val="auto"/>
          <w:sz w:val="21"/>
          <w:szCs w:val="21"/>
          <w:highlight w:val="none"/>
          <w:u w:val="single"/>
          <w:lang w:eastAsia="zh-CN"/>
        </w:rPr>
        <w:t>https://www.zztender.com/</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Style w:val="41"/>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pPr>
        <w:pStyle w:val="41"/>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pPr>
        <w:spacing w:line="360" w:lineRule="auto"/>
        <w:ind w:firstLine="413" w:firstLineChars="196"/>
        <w:rPr>
          <w:rFonts w:hint="eastAsia" w:ascii="宋体" w:hAnsi="宋体" w:eastAsia="宋体" w:cs="宋体"/>
          <w:b/>
          <w:color w:val="auto"/>
          <w:sz w:val="21"/>
          <w:szCs w:val="21"/>
          <w:highlight w:val="none"/>
        </w:rPr>
      </w:pPr>
    </w:p>
    <w:p>
      <w:pPr>
        <w:spacing w:line="360" w:lineRule="auto"/>
        <w:ind w:firstLine="413" w:firstLineChars="196"/>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六、采购人及采购代理机构的名称、地址和联系方法：</w:t>
      </w:r>
    </w:p>
    <w:p>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采购人名称：</w:t>
      </w:r>
      <w:r>
        <w:rPr>
          <w:rFonts w:hint="eastAsia" w:ascii="宋体" w:hAnsi="宋体" w:cs="宋体"/>
          <w:bCs/>
          <w:color w:val="auto"/>
          <w:sz w:val="21"/>
          <w:szCs w:val="21"/>
          <w:highlight w:val="none"/>
          <w:lang w:eastAsia="zh-CN"/>
        </w:rPr>
        <w:t>东莞市东实旗云投资有限公司</w:t>
      </w:r>
    </w:p>
    <w:p>
      <w:pPr>
        <w:spacing w:line="336" w:lineRule="auto"/>
        <w:ind w:firstLine="420" w:firstLineChars="200"/>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采购人联系人：</w:t>
      </w:r>
      <w:r>
        <w:rPr>
          <w:rFonts w:hint="eastAsia" w:ascii="宋体" w:hAnsi="宋体" w:cs="宋体"/>
          <w:bCs/>
          <w:color w:val="auto"/>
          <w:szCs w:val="21"/>
          <w:highlight w:val="none"/>
          <w:lang w:val="en-US" w:eastAsia="zh-CN"/>
        </w:rPr>
        <w:t>卢工</w:t>
      </w:r>
    </w:p>
    <w:p>
      <w:pPr>
        <w:spacing w:line="336"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采购人地址：东莞市东城街道八一路1号机关二号大院9号楼</w:t>
      </w:r>
    </w:p>
    <w:p>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Cs w:val="21"/>
          <w:highlight w:val="none"/>
        </w:rPr>
        <w:t>采购人联系电话：0769-28681293</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采购代理机构名称：</w:t>
      </w:r>
      <w:r>
        <w:rPr>
          <w:rFonts w:hint="eastAsia" w:ascii="宋体" w:hAnsi="宋体" w:cs="宋体"/>
          <w:color w:val="auto"/>
          <w:szCs w:val="21"/>
          <w:highlight w:val="none"/>
          <w:lang w:val="en-US" w:eastAsia="zh-CN"/>
        </w:rPr>
        <w:t>广东志正招标有限公司东莞分公司</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采购代理机构地址：</w:t>
      </w:r>
      <w:r>
        <w:rPr>
          <w:rFonts w:hint="eastAsia" w:ascii="宋体" w:hAnsi="宋体" w:cs="宋体"/>
          <w:color w:val="auto"/>
          <w:sz w:val="21"/>
          <w:szCs w:val="21"/>
          <w:highlight w:val="none"/>
          <w:lang w:eastAsia="zh-CN"/>
        </w:rPr>
        <w:t>广东省东莞市旗峰路190号城市花园商贸中心903室</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采购代理机构联系人：</w:t>
      </w:r>
      <w:r>
        <w:rPr>
          <w:rFonts w:hint="eastAsia" w:ascii="宋体" w:hAnsi="宋体" w:cs="宋体"/>
          <w:color w:val="auto"/>
          <w:sz w:val="21"/>
          <w:szCs w:val="21"/>
          <w:highlight w:val="none"/>
          <w:lang w:val="en-US" w:eastAsia="zh-CN"/>
        </w:rPr>
        <w:t>黄小姐</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采购代理机构联系电话：0769-22306832</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采购代理机构邮箱：</w:t>
      </w:r>
      <w:r>
        <w:rPr>
          <w:rFonts w:hint="eastAsia" w:ascii="宋体" w:hAnsi="宋体"/>
          <w:color w:val="auto"/>
          <w:szCs w:val="21"/>
          <w:highlight w:val="none"/>
          <w:lang w:eastAsia="zh-CN"/>
        </w:rPr>
        <w:t>546797358@qq.com</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right="752" w:rightChars="358"/>
        <w:jc w:val="right"/>
        <w:rPr>
          <w:rFonts w:hint="eastAsia" w:ascii="宋体" w:hAnsi="宋体" w:eastAsia="宋体" w:cs="宋体"/>
          <w:color w:val="auto"/>
          <w:sz w:val="21"/>
          <w:szCs w:val="21"/>
          <w:highlight w:val="none"/>
        </w:rPr>
      </w:pPr>
    </w:p>
    <w:p>
      <w:pPr>
        <w:spacing w:line="360" w:lineRule="auto"/>
        <w:ind w:right="-92" w:rightChars="-44"/>
        <w:jc w:val="right"/>
        <w:rPr>
          <w:rFonts w:hint="eastAsia" w:ascii="宋体" w:hAnsi="宋体" w:eastAsia="宋体" w:cs="宋体"/>
          <w:bCs/>
          <w:color w:val="auto"/>
          <w:sz w:val="21"/>
          <w:szCs w:val="21"/>
          <w:highlight w:val="none"/>
          <w:lang w:eastAsia="zh-CN"/>
        </w:rPr>
      </w:pPr>
    </w:p>
    <w:p>
      <w:pPr>
        <w:spacing w:line="360" w:lineRule="auto"/>
        <w:ind w:right="-92" w:rightChars="-44"/>
        <w:jc w:val="right"/>
        <w:rPr>
          <w:rFonts w:hint="eastAsia" w:ascii="宋体" w:hAnsi="宋体" w:eastAsia="宋体" w:cs="宋体"/>
          <w:color w:val="auto"/>
          <w:szCs w:val="21"/>
          <w:highlight w:val="none"/>
          <w:lang w:val="en-US" w:eastAsia="zh-CN"/>
        </w:rPr>
      </w:pPr>
      <w:r>
        <w:rPr>
          <w:rFonts w:hint="eastAsia" w:ascii="宋体" w:hAnsi="宋体" w:cs="宋体"/>
          <w:bCs/>
          <w:color w:val="auto"/>
          <w:sz w:val="21"/>
          <w:szCs w:val="21"/>
          <w:highlight w:val="none"/>
          <w:lang w:eastAsia="zh-CN"/>
        </w:rPr>
        <w:t>东莞市东实旗云投资有限公司</w:t>
      </w:r>
    </w:p>
    <w:p>
      <w:pPr>
        <w:spacing w:line="360" w:lineRule="auto"/>
        <w:ind w:right="-92" w:rightChars="-44"/>
        <w:jc w:val="right"/>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广东志正招标有限公司东莞分公司</w:t>
      </w:r>
    </w:p>
    <w:p>
      <w:pPr>
        <w:jc w:val="right"/>
        <w:rPr>
          <w:rFonts w:hint="default" w:eastAsia="宋体"/>
          <w:color w:val="auto"/>
          <w:highlight w:val="none"/>
          <w:lang w:val="en-US" w:eastAsia="zh-CN"/>
        </w:rPr>
      </w:pP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09日</w:t>
      </w:r>
    </w:p>
    <w:p>
      <w:pP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p>
    <w:p>
      <w:pPr>
        <w:pStyle w:val="4"/>
        <w:spacing w:before="0" w:after="0" w:line="240" w:lineRule="auto"/>
        <w:rPr>
          <w:color w:val="auto"/>
          <w:sz w:val="28"/>
          <w:szCs w:val="28"/>
          <w:highlight w:val="none"/>
        </w:rPr>
      </w:pPr>
      <w:bookmarkStart w:id="2" w:name="_Toc20564"/>
      <w:r>
        <w:rPr>
          <w:rFonts w:hint="eastAsia"/>
          <w:color w:val="auto"/>
          <w:sz w:val="28"/>
          <w:szCs w:val="28"/>
          <w:highlight w:val="none"/>
        </w:rPr>
        <w:t>第二部分</w:t>
      </w:r>
      <w:r>
        <w:rPr>
          <w:rFonts w:hint="eastAsia"/>
          <w:color w:val="auto"/>
          <w:sz w:val="28"/>
          <w:szCs w:val="28"/>
          <w:highlight w:val="none"/>
          <w:lang w:val="en-US" w:eastAsia="zh-CN"/>
        </w:rPr>
        <w:t xml:space="preserve"> </w:t>
      </w:r>
      <w:r>
        <w:rPr>
          <w:rFonts w:hint="eastAsia"/>
          <w:color w:val="auto"/>
          <w:sz w:val="28"/>
          <w:szCs w:val="28"/>
          <w:highlight w:val="none"/>
        </w:rPr>
        <w:t>相关资料表格</w:t>
      </w:r>
      <w:bookmarkEnd w:id="2"/>
    </w:p>
    <w:p>
      <w:pPr>
        <w:pStyle w:val="5"/>
        <w:spacing w:before="0" w:after="0" w:line="240" w:lineRule="auto"/>
        <w:jc w:val="center"/>
        <w:rPr>
          <w:rFonts w:ascii="宋体" w:hAnsi="宋体" w:cs="宋体"/>
          <w:color w:val="auto"/>
          <w:sz w:val="24"/>
          <w:szCs w:val="24"/>
          <w:highlight w:val="none"/>
        </w:rPr>
      </w:pPr>
      <w:bookmarkStart w:id="3" w:name="_Toc14333"/>
      <w:r>
        <w:rPr>
          <w:rFonts w:hint="eastAsia" w:ascii="宋体" w:hAnsi="宋体" w:cs="宋体"/>
          <w:color w:val="auto"/>
          <w:sz w:val="24"/>
          <w:szCs w:val="24"/>
          <w:highlight w:val="none"/>
        </w:rPr>
        <w:t>附表一：投标资料表</w:t>
      </w:r>
      <w:bookmarkEnd w:id="3"/>
    </w:p>
    <w:tbl>
      <w:tblPr>
        <w:tblStyle w:val="33"/>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532" w:type="dxa"/>
            <w:gridSpan w:val="2"/>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项目最高限价（</w:t>
            </w:r>
            <w:r>
              <w:rPr>
                <w:rFonts w:hint="eastAsia" w:ascii="宋体" w:hAnsi="宋体"/>
                <w:b/>
                <w:bCs/>
                <w:color w:val="auto"/>
                <w:szCs w:val="21"/>
                <w:highlight w:val="none"/>
                <w:u w:val="single"/>
              </w:rPr>
              <w:t>单位：元</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968,326.40</w:t>
            </w:r>
            <w:r>
              <w:rPr>
                <w:rFonts w:hint="eastAsia" w:ascii="宋体" w:hAnsi="宋体"/>
                <w:b/>
                <w:bCs/>
                <w:color w:val="auto"/>
                <w:szCs w:val="21"/>
                <w:highlight w:val="none"/>
              </w:rPr>
              <w:t>元（</w:t>
            </w:r>
            <w:r>
              <w:rPr>
                <w:rFonts w:hint="eastAsia" w:ascii="宋体" w:hAnsi="宋体"/>
                <w:b/>
                <w:bCs/>
                <w:color w:val="auto"/>
                <w:szCs w:val="21"/>
                <w:highlight w:val="none"/>
                <w:lang w:val="en-US" w:eastAsia="zh-CN"/>
              </w:rPr>
              <w:t>人民币玖拾陆万捌仟叁佰贰拾陆元肆角整</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固定总价包干；</w:t>
            </w:r>
          </w:p>
          <w:p>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固定单价暂定总价包干；</w:t>
            </w:r>
          </w:p>
          <w:p>
            <w:pPr>
              <w:rPr>
                <w:rFonts w:ascii="宋体" w:hAnsi="宋体"/>
                <w:b/>
                <w:bCs/>
                <w:color w:val="auto"/>
                <w:szCs w:val="21"/>
                <w:highlight w:val="none"/>
                <w:u w:val="single"/>
              </w:rPr>
            </w:pPr>
            <w:r>
              <w:rPr>
                <w:rFonts w:hint="eastAsia" w:ascii="宋体" w:hAnsi="宋体"/>
                <w:b w:val="0"/>
                <w:bCs w:val="0"/>
                <w:color w:val="auto"/>
                <w:szCs w:val="21"/>
                <w:highlight w:val="none"/>
                <w:lang w:val="en-US" w:eastAsia="zh-CN"/>
              </w:rPr>
              <w:sym w:font="Wingdings" w:char="00FE"/>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eastAsia="zh-CN"/>
              </w:rPr>
              <w:t>工程造价咨询服务收费系数</w:t>
            </w:r>
            <w:r>
              <w:rPr>
                <w:rFonts w:hint="eastAsia" w:ascii="宋体" w:hAnsi="宋体"/>
                <w:b/>
                <w:bCs/>
                <w:color w:val="auto"/>
                <w:szCs w:val="21"/>
                <w:highlight w:val="none"/>
                <w:u w:val="single"/>
              </w:rPr>
              <w:t xml:space="preserve"> ；</w:t>
            </w:r>
          </w:p>
          <w:p>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是否接受联合体投标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pStyle w:val="44"/>
              <w:ind w:firstLine="0" w:firstLineChars="0"/>
              <w:rPr>
                <w:rFonts w:ascii="宋体" w:hAnsi="宋体" w:cs="宋体"/>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cs="宋体"/>
                <w:color w:val="auto"/>
                <w:szCs w:val="21"/>
                <w:highlight w:val="none"/>
              </w:rPr>
              <w:t>是，</w:t>
            </w:r>
            <w:r>
              <w:rPr>
                <w:rFonts w:hint="eastAsia" w:ascii="宋体" w:hAnsi="宋体"/>
                <w:color w:val="auto"/>
                <w:szCs w:val="21"/>
                <w:highlight w:val="none"/>
              </w:rPr>
              <w:t>联合体投标的，应满足下列要求：</w:t>
            </w:r>
            <w:r>
              <w:rPr>
                <w:rFonts w:ascii="宋体" w:hAnsi="宋体"/>
                <w:color w:val="auto"/>
                <w:szCs w:val="21"/>
                <w:highlight w:val="none"/>
                <w:u w:val="single"/>
              </w:rPr>
              <w:t xml:space="preserve">         </w:t>
            </w:r>
            <w:r>
              <w:rPr>
                <w:rFonts w:hint="eastAsia" w:ascii="宋体" w:hAnsi="宋体" w:cs="宋体"/>
                <w:color w:val="auto"/>
                <w:szCs w:val="21"/>
                <w:highlight w:val="none"/>
              </w:rPr>
              <w:t>；</w:t>
            </w:r>
          </w:p>
          <w:p>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color w:val="auto"/>
                <w:szCs w:val="21"/>
                <w:highlight w:val="none"/>
                <w:u w:val="single"/>
                <w:lang w:val="en-US" w:eastAsia="zh-CN"/>
              </w:rPr>
              <w:t>企业自投</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532" w:type="dxa"/>
            <w:gridSpan w:val="2"/>
            <w:tcBorders>
              <w:tl2br w:val="nil"/>
              <w:tr2bl w:val="nil"/>
            </w:tcBorders>
            <w:vAlign w:val="center"/>
          </w:tcPr>
          <w:p>
            <w:pPr>
              <w:rPr>
                <w:rFonts w:ascii="宋体" w:hAnsi="宋体"/>
                <w:b/>
                <w:color w:val="auto"/>
                <w:szCs w:val="21"/>
                <w:highlight w:val="none"/>
              </w:rPr>
            </w:pPr>
            <w:r>
              <w:rPr>
                <w:rFonts w:hint="eastAsia" w:ascii="宋体" w:hAnsi="宋体"/>
                <w:b/>
                <w:color w:val="auto"/>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Cs/>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bCs/>
                <w:color w:val="auto"/>
                <w:szCs w:val="21"/>
                <w:highlight w:val="none"/>
              </w:rPr>
              <w:t>不组织 。</w:t>
            </w:r>
          </w:p>
          <w:p>
            <w:pPr>
              <w:rPr>
                <w:rFonts w:ascii="宋体" w:hAnsi="宋体"/>
                <w:bCs/>
                <w:color w:val="auto"/>
                <w:szCs w:val="21"/>
                <w:highlight w:val="none"/>
              </w:rPr>
            </w:pP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二、投标文件的编制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532" w:type="dxa"/>
            <w:gridSpan w:val="2"/>
            <w:tcBorders>
              <w:tl2br w:val="nil"/>
              <w:tr2bl w:val="nil"/>
            </w:tcBorders>
            <w:vAlign w:val="center"/>
          </w:tcPr>
          <w:p>
            <w:pPr>
              <w:rPr>
                <w:rFonts w:ascii="宋体" w:hAnsi="宋体"/>
                <w:b/>
                <w:color w:val="auto"/>
                <w:szCs w:val="21"/>
                <w:highlight w:val="none"/>
              </w:rPr>
            </w:pPr>
            <w:r>
              <w:rPr>
                <w:rFonts w:hint="eastAsia" w:ascii="宋体" w:hAnsi="宋体"/>
                <w:b/>
                <w:color w:val="auto"/>
                <w:szCs w:val="21"/>
                <w:highlight w:val="none"/>
              </w:rPr>
              <w:t>投标语言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
                <w:color w:val="auto"/>
                <w:szCs w:val="21"/>
                <w:highlight w:val="none"/>
              </w:rPr>
            </w:pPr>
            <w:r>
              <w:rPr>
                <w:rFonts w:hint="eastAsia" w:ascii="宋体" w:hAnsi="宋体"/>
                <w:color w:val="auto"/>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投标报价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color w:val="auto"/>
                <w:szCs w:val="21"/>
                <w:highlight w:val="none"/>
              </w:rPr>
              <w:t>详见投标人须知。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color w:val="auto"/>
                <w:szCs w:val="21"/>
                <w:highlight w:val="none"/>
              </w:rPr>
              <w:t>（1）投标保证金金额：人民币</w:t>
            </w:r>
            <w:r>
              <w:rPr>
                <w:rFonts w:hint="eastAsia" w:ascii="宋体" w:hAnsi="宋体"/>
                <w:b/>
                <w:color w:val="auto"/>
                <w:szCs w:val="21"/>
                <w:highlight w:val="none"/>
                <w:u w:val="single"/>
              </w:rPr>
              <w:t>（大写）</w:t>
            </w:r>
            <w:r>
              <w:rPr>
                <w:rFonts w:hint="eastAsia" w:ascii="宋体" w:hAnsi="宋体"/>
                <w:b/>
                <w:color w:val="auto"/>
                <w:szCs w:val="21"/>
                <w:highlight w:val="none"/>
                <w:u w:val="single"/>
                <w:lang w:val="en-US" w:eastAsia="zh-CN"/>
              </w:rPr>
              <w:t>壹</w:t>
            </w:r>
            <w:r>
              <w:rPr>
                <w:rFonts w:hint="eastAsia" w:ascii="宋体" w:hAnsi="宋体"/>
                <w:b/>
                <w:bCs/>
                <w:color w:val="auto"/>
                <w:szCs w:val="21"/>
                <w:highlight w:val="none"/>
                <w:u w:val="single"/>
                <w:lang w:val="en-US" w:eastAsia="zh-CN"/>
              </w:rPr>
              <w:t>万玖仟元整</w:t>
            </w:r>
            <w:r>
              <w:rPr>
                <w:rFonts w:hint="eastAsia" w:ascii="宋体" w:hAnsi="宋体"/>
                <w:color w:val="auto"/>
                <w:szCs w:val="21"/>
                <w:highlight w:val="none"/>
                <w:u w:val="single"/>
              </w:rPr>
              <w:t>（</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19</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000</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00</w:t>
            </w:r>
            <w:r>
              <w:rPr>
                <w:rFonts w:hint="eastAsia" w:ascii="宋体" w:hAnsi="宋体"/>
                <w:b/>
                <w:color w:val="auto"/>
                <w:szCs w:val="21"/>
                <w:highlight w:val="none"/>
                <w:u w:val="single"/>
              </w:rPr>
              <w:t>元</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投标保证金专用账户如下：</w:t>
            </w:r>
          </w:p>
          <w:p>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帐户名称： 广东志正招标有限公司东莞分公司；</w:t>
            </w:r>
          </w:p>
          <w:p>
            <w:pPr>
              <w:shd w:val="clear"/>
              <w:tabs>
                <w:tab w:val="left" w:pos="567"/>
              </w:tabs>
              <w:ind w:firstLine="420" w:firstLine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开户银行： 招商银行东莞分行东城支行；</w:t>
            </w:r>
          </w:p>
          <w:p>
            <w:pPr>
              <w:tabs>
                <w:tab w:val="left" w:pos="567"/>
              </w:tabs>
              <w:ind w:firstLine="420" w:firstLineChars="200"/>
              <w:jc w:val="both"/>
              <w:rPr>
                <w:rFonts w:hint="eastAsia" w:hAnsi="宋体" w:cs="宋体"/>
                <w:color w:val="auto"/>
                <w:kern w:val="2"/>
                <w:sz w:val="21"/>
                <w:szCs w:val="21"/>
                <w:highlight w:val="none"/>
                <w:u w:val="none"/>
              </w:rPr>
            </w:pPr>
            <w:r>
              <w:rPr>
                <w:rFonts w:hint="eastAsia" w:hAnsi="宋体" w:cs="宋体"/>
                <w:color w:val="auto"/>
                <w:kern w:val="2"/>
                <w:sz w:val="21"/>
                <w:szCs w:val="21"/>
                <w:highlight w:val="none"/>
                <w:lang w:val="zh-CN"/>
              </w:rPr>
              <w:t>银行帐号：769904271810788</w:t>
            </w:r>
            <w:r>
              <w:rPr>
                <w:rFonts w:hint="eastAsia" w:hAnsi="宋体" w:cs="宋体"/>
                <w:color w:val="auto"/>
                <w:kern w:val="2"/>
                <w:sz w:val="21"/>
                <w:szCs w:val="21"/>
                <w:highlight w:val="none"/>
                <w:u w:val="none"/>
                <w:lang w:val="zh-CN"/>
              </w:rPr>
              <w:t>；</w:t>
            </w:r>
            <w:r>
              <w:rPr>
                <w:rFonts w:hint="eastAsia" w:hAnsi="宋体" w:cs="宋体"/>
                <w:color w:val="auto"/>
                <w:kern w:val="2"/>
                <w:sz w:val="21"/>
                <w:szCs w:val="21"/>
                <w:highlight w:val="none"/>
                <w:u w:val="none"/>
              </w:rPr>
              <w:t xml:space="preserve"> </w:t>
            </w:r>
          </w:p>
          <w:p>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（注：各投标人在转帐或电汇时须在用途栏上备注项目编号，及项目名称，如有字数限制项目名称可简写。）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532" w:type="dxa"/>
            <w:gridSpan w:val="2"/>
            <w:tcBorders>
              <w:tl2br w:val="nil"/>
              <w:tr2bl w:val="nil"/>
            </w:tcBorders>
            <w:vAlign w:val="center"/>
          </w:tcPr>
          <w:p>
            <w:pPr>
              <w:jc w:val="both"/>
              <w:rPr>
                <w:rFonts w:ascii="宋体" w:hAnsi="宋体"/>
                <w:b/>
                <w:bCs/>
                <w:color w:val="auto"/>
                <w:szCs w:val="21"/>
                <w:highlight w:val="none"/>
                <w:lang w:val="zh-CN"/>
              </w:rPr>
            </w:pPr>
            <w:r>
              <w:rPr>
                <w:rFonts w:hint="eastAsia" w:ascii="宋体" w:hAnsi="宋体"/>
                <w:b/>
                <w:bCs/>
                <w:color w:val="auto"/>
                <w:szCs w:val="21"/>
                <w:highlight w:val="none"/>
                <w:lang w:val="zh-CN"/>
              </w:rPr>
              <w:t>投标保证金退还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）未中标的投标人的保证金应当在中标通知书发出后退还，中标</w:t>
            </w:r>
            <w:r>
              <w:rPr>
                <w:rFonts w:hint="eastAsia" w:ascii="宋体" w:hAnsi="宋体"/>
                <w:color w:val="auto"/>
                <w:szCs w:val="21"/>
                <w:highlight w:val="none"/>
              </w:rPr>
              <w:t>的</w:t>
            </w:r>
            <w:r>
              <w:rPr>
                <w:rFonts w:hint="eastAsia" w:ascii="宋体" w:hAnsi="宋体"/>
                <w:color w:val="auto"/>
                <w:szCs w:val="21"/>
                <w:highlight w:val="none"/>
                <w:lang w:val="zh-CN"/>
              </w:rPr>
              <w:t>投标人的保证金应当在采购合同签订</w:t>
            </w:r>
            <w:r>
              <w:rPr>
                <w:rFonts w:hint="eastAsia" w:ascii="宋体" w:hAnsi="宋体"/>
                <w:color w:val="auto"/>
                <w:szCs w:val="21"/>
                <w:highlight w:val="none"/>
              </w:rPr>
              <w:t>并缴纳履约保证金</w:t>
            </w:r>
            <w:r>
              <w:rPr>
                <w:rFonts w:hint="eastAsia" w:ascii="宋体" w:hAnsi="宋体"/>
                <w:color w:val="auto"/>
                <w:szCs w:val="21"/>
                <w:highlight w:val="none"/>
                <w:lang w:val="zh-CN"/>
              </w:rPr>
              <w:t>后退还。</w:t>
            </w:r>
          </w:p>
          <w:p>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）为方便退还未中标的投标人的保证金，投标人应制作《投标保证金汇入情况说明》随唱标信封一并递交。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投标有效期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color w:val="auto"/>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7532" w:type="dxa"/>
            <w:gridSpan w:val="2"/>
            <w:tcBorders>
              <w:tl2br w:val="nil"/>
              <w:tr2bl w:val="nil"/>
            </w:tcBorders>
            <w:vAlign w:val="center"/>
          </w:tcPr>
          <w:p>
            <w:pPr>
              <w:jc w:val="left"/>
              <w:rPr>
                <w:rFonts w:ascii="宋体" w:hAnsi="宋体"/>
                <w:b/>
                <w:color w:val="auto"/>
                <w:szCs w:val="21"/>
                <w:highlight w:val="none"/>
              </w:rPr>
            </w:pPr>
            <w:r>
              <w:rPr>
                <w:rFonts w:hint="eastAsia" w:ascii="宋体" w:hAnsi="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投标文件类型</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唱标信封</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投标文件正本</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投标文件副本</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b/>
                <w:color w:val="auto"/>
                <w:szCs w:val="21"/>
                <w:highlight w:val="none"/>
              </w:rPr>
              <w:t xml:space="preserve">5  </w:t>
            </w:r>
            <w:r>
              <w:rPr>
                <w:rFonts w:hint="eastAsia" w:ascii="宋体" w:hAnsi="宋体"/>
                <w:b w:val="0"/>
                <w:bCs w:val="0"/>
                <w:color w:val="auto"/>
                <w:szCs w:val="21"/>
                <w:highlight w:val="none"/>
                <w:lang w:val="en-US" w:eastAsia="zh-CN"/>
              </w:rPr>
              <w:sym w:font="Wingdings" w:char="00A8"/>
            </w:r>
            <w:r>
              <w:rPr>
                <w:rFonts w:hint="eastAsia" w:ascii="宋体" w:hAnsi="宋体"/>
                <w:b/>
                <w:color w:val="auto"/>
                <w:szCs w:val="21"/>
                <w:highlight w:val="none"/>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vMerge w:val="restart"/>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电子文档</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vMerge w:val="continue"/>
            <w:tcBorders>
              <w:tl2br w:val="nil"/>
              <w:tr2bl w:val="nil"/>
            </w:tcBorders>
            <w:vAlign w:val="center"/>
          </w:tcPr>
          <w:p>
            <w:pPr>
              <w:jc w:val="center"/>
              <w:rPr>
                <w:rFonts w:ascii="宋体" w:hAnsi="宋体"/>
                <w:b/>
                <w:color w:val="auto"/>
                <w:szCs w:val="21"/>
                <w:highlight w:val="none"/>
              </w:rPr>
            </w:pP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cs="Times New Roman"/>
                <w:b/>
                <w:color w:val="auto"/>
                <w:szCs w:val="21"/>
                <w:highlight w:val="none"/>
              </w:rPr>
              <w:t>U盘，须含盖章版PDF投标文件和WORD版投标文件各一版，文字采用WORD文档，计算表格采用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b/>
                <w:color w:val="auto"/>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color w:val="auto"/>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color w:val="auto"/>
                <w:szCs w:val="21"/>
                <w:highlight w:val="none"/>
              </w:rPr>
              <w:t>见附表二。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b/>
                <w:color w:val="auto"/>
                <w:szCs w:val="21"/>
                <w:highlight w:val="none"/>
              </w:rPr>
              <w:t>评标委员会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color w:val="auto"/>
                <w:szCs w:val="21"/>
                <w:highlight w:val="none"/>
              </w:rPr>
              <w:t>评标委员会成员共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五</w:t>
            </w:r>
            <w:r>
              <w:rPr>
                <w:rFonts w:hint="eastAsia" w:ascii="宋体" w:hAnsi="宋体"/>
                <w:color w:val="auto"/>
                <w:szCs w:val="21"/>
                <w:highlight w:val="none"/>
                <w:u w:val="single"/>
              </w:rPr>
              <w:t xml:space="preserve"> </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成员人数为五人或五人以上单数</w:t>
            </w:r>
            <w:r>
              <w:rPr>
                <w:rFonts w:hint="eastAsia" w:ascii="宋体" w:hAnsi="宋体"/>
                <w:color w:val="auto"/>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7532" w:type="dxa"/>
            <w:gridSpan w:val="2"/>
            <w:tcBorders>
              <w:tl2br w:val="nil"/>
              <w:tr2bl w:val="nil"/>
            </w:tcBorders>
            <w:shd w:val="clear" w:color="auto" w:fill="auto"/>
            <w:vAlign w:val="center"/>
          </w:tcPr>
          <w:p>
            <w:pPr>
              <w:jc w:val="both"/>
              <w:rPr>
                <w:rFonts w:ascii="宋体" w:hAnsi="宋体"/>
                <w:b/>
                <w:color w:val="auto"/>
                <w:szCs w:val="21"/>
                <w:highlight w:val="none"/>
              </w:rPr>
            </w:pPr>
            <w:r>
              <w:rPr>
                <w:rFonts w:hint="eastAsia" w:ascii="宋体" w:hAnsi="宋体"/>
                <w:b/>
                <w:color w:val="auto"/>
                <w:szCs w:val="21"/>
                <w:highlight w:val="none"/>
              </w:rPr>
              <w:t>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shd w:val="clear" w:color="auto" w:fill="auto"/>
            <w:vAlign w:val="center"/>
          </w:tcPr>
          <w:p>
            <w:pPr>
              <w:jc w:val="both"/>
              <w:rPr>
                <w:rFonts w:ascii="宋体" w:hAnsi="宋体"/>
                <w:color w:val="auto"/>
                <w:szCs w:val="21"/>
                <w:highlight w:val="none"/>
              </w:rPr>
            </w:pPr>
            <w:r>
              <w:rPr>
                <w:rFonts w:hint="eastAsia" w:ascii="宋体" w:hAnsi="宋体"/>
                <w:color w:val="auto"/>
                <w:szCs w:val="21"/>
                <w:highlight w:val="none"/>
              </w:rPr>
              <w:t>1.</w:t>
            </w:r>
            <w:r>
              <w:rPr>
                <w:rFonts w:hint="eastAsia" w:ascii="宋体" w:hAnsi="宋体" w:eastAsia="宋体" w:cs="宋体"/>
                <w:color w:val="auto"/>
                <w:szCs w:val="21"/>
                <w:highlight w:val="none"/>
              </w:rPr>
              <w:t>履约担保金额为：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暂定</w:t>
            </w:r>
            <w:r>
              <w:rPr>
                <w:rFonts w:hint="eastAsia" w:ascii="宋体" w:hAnsi="宋体" w:eastAsia="宋体" w:cs="宋体"/>
                <w:color w:val="auto"/>
                <w:szCs w:val="21"/>
                <w:highlight w:val="none"/>
                <w:u w:val="single"/>
              </w:rPr>
              <w:t>合同金额的10%    。</w:t>
            </w:r>
          </w:p>
          <w:p>
            <w:pPr>
              <w:jc w:val="both"/>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履约保证金账户信息：</w:t>
            </w:r>
          </w:p>
          <w:p>
            <w:pPr>
              <w:ind w:firstLine="420" w:firstLineChars="200"/>
              <w:jc w:val="both"/>
              <w:rPr>
                <w:rFonts w:hint="eastAsia" w:ascii="宋体" w:hAnsi="宋体"/>
                <w:color w:val="auto"/>
                <w:szCs w:val="21"/>
                <w:highlight w:val="none"/>
              </w:rPr>
            </w:pPr>
            <w:r>
              <w:rPr>
                <w:rFonts w:hint="eastAsia" w:ascii="宋体" w:hAnsi="宋体"/>
                <w:color w:val="auto"/>
                <w:szCs w:val="21"/>
                <w:highlight w:val="none"/>
              </w:rPr>
              <w:t>账户名称：</w:t>
            </w:r>
            <w:bookmarkStart w:id="4" w:name="OLE_LINK4"/>
            <w:r>
              <w:rPr>
                <w:rFonts w:hint="eastAsia" w:ascii="宋体" w:hAnsi="宋体"/>
                <w:color w:val="auto"/>
                <w:szCs w:val="21"/>
                <w:highlight w:val="none"/>
                <w:u w:val="single"/>
              </w:rPr>
              <w:t>东莞市东实旗云投资有限公司</w:t>
            </w:r>
            <w:bookmarkEnd w:id="4"/>
            <w:r>
              <w:rPr>
                <w:rFonts w:hint="eastAsia" w:hAnsi="宋体" w:cs="宋体"/>
                <w:color w:val="auto"/>
                <w:kern w:val="2"/>
                <w:szCs w:val="21"/>
                <w:highlight w:val="none"/>
                <w:u w:val="single"/>
              </w:rPr>
              <w:t xml:space="preserve"> </w:t>
            </w:r>
            <w:r>
              <w:rPr>
                <w:rFonts w:hint="eastAsia" w:hAnsi="宋体" w:cs="宋体"/>
                <w:color w:val="auto"/>
                <w:kern w:val="2"/>
                <w:szCs w:val="21"/>
                <w:highlight w:val="none"/>
                <w:lang w:val="zh-CN"/>
              </w:rPr>
              <w:t>；</w:t>
            </w:r>
          </w:p>
          <w:p>
            <w:pPr>
              <w:ind w:firstLine="420" w:firstLineChars="200"/>
              <w:jc w:val="both"/>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lang w:val="en-US" w:eastAsia="zh-CN"/>
              </w:rPr>
              <w:t>440501778986 0000 0445</w:t>
            </w:r>
            <w:r>
              <w:rPr>
                <w:rFonts w:hint="eastAsia" w:hAnsi="宋体" w:cs="宋体"/>
                <w:color w:val="auto"/>
                <w:kern w:val="2"/>
                <w:szCs w:val="21"/>
                <w:highlight w:val="none"/>
                <w:lang w:val="zh-CN"/>
              </w:rPr>
              <w:t>；</w:t>
            </w:r>
          </w:p>
          <w:p>
            <w:pPr>
              <w:ind w:firstLine="420" w:firstLineChars="200"/>
              <w:jc w:val="both"/>
              <w:rPr>
                <w:rFonts w:ascii="宋体" w:hAnsi="宋体"/>
                <w:color w:val="auto"/>
                <w:szCs w:val="21"/>
                <w:highlight w:val="none"/>
              </w:rPr>
            </w:pPr>
            <w:r>
              <w:rPr>
                <w:rFonts w:hint="eastAsia" w:ascii="宋体" w:hAnsi="宋体"/>
                <w:color w:val="auto"/>
                <w:szCs w:val="21"/>
                <w:highlight w:val="none"/>
              </w:rPr>
              <w:t>银行账号：</w:t>
            </w:r>
            <w:r>
              <w:rPr>
                <w:rFonts w:hint="eastAsia" w:hAnsi="宋体" w:cs="宋体"/>
                <w:color w:val="auto"/>
                <w:kern w:val="2"/>
                <w:szCs w:val="21"/>
                <w:highlight w:val="none"/>
                <w:u w:val="single"/>
              </w:rPr>
              <w:t>中国建设银行股份有限公司东莞石龙支行</w:t>
            </w:r>
            <w:r>
              <w:rPr>
                <w:rFonts w:hint="eastAsia" w:hAnsi="宋体" w:cs="宋体"/>
                <w:color w:val="auto"/>
                <w:kern w:val="2"/>
                <w:szCs w:val="21"/>
                <w:highlight w:val="none"/>
                <w:lang w:val="zh-CN"/>
              </w:rPr>
              <w:t>；</w:t>
            </w:r>
          </w:p>
          <w:p>
            <w:pPr>
              <w:jc w:val="both"/>
              <w:rPr>
                <w:rFonts w:ascii="宋体" w:hAnsi="宋体"/>
                <w:color w:val="auto"/>
                <w:szCs w:val="21"/>
                <w:highlight w:val="none"/>
              </w:rPr>
            </w:pPr>
            <w:r>
              <w:rPr>
                <w:rFonts w:hint="eastAsia" w:ascii="宋体" w:hAnsi="宋体"/>
                <w:color w:val="auto"/>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pPr>
              <w:jc w:val="both"/>
              <w:rPr>
                <w:rFonts w:ascii="宋体" w:hAnsi="宋体"/>
                <w:color w:val="auto"/>
                <w:szCs w:val="21"/>
                <w:highlight w:val="none"/>
              </w:rPr>
            </w:pPr>
            <w:r>
              <w:rPr>
                <w:rFonts w:hint="eastAsia" w:ascii="宋体" w:hAnsi="宋体"/>
                <w:color w:val="auto"/>
                <w:szCs w:val="21"/>
                <w:highlight w:val="none"/>
              </w:rPr>
              <w:t>4.履约担保期限从合同签订之日起至项目完工验收合格并结算完毕后，经双方签字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w:t>
            </w:r>
            <w:r>
              <w:rPr>
                <w:rFonts w:hint="eastAsia" w:ascii="宋体" w:hAnsi="宋体"/>
                <w:color w:val="auto"/>
                <w:szCs w:val="21"/>
                <w:highlight w:val="none"/>
              </w:rPr>
              <w:t>天内保持有效。</w:t>
            </w:r>
          </w:p>
          <w:p>
            <w:pPr>
              <w:jc w:val="both"/>
              <w:rPr>
                <w:rFonts w:ascii="宋体" w:hAnsi="宋体"/>
                <w:color w:val="auto"/>
                <w:szCs w:val="21"/>
                <w:highlight w:val="none"/>
              </w:rPr>
            </w:pPr>
            <w:r>
              <w:rPr>
                <w:rFonts w:hint="eastAsia" w:ascii="宋体" w:hAnsi="宋体"/>
                <w:color w:val="auto"/>
                <w:szCs w:val="21"/>
                <w:highlight w:val="none"/>
              </w:rPr>
              <w:t>5、履约担保要求：</w:t>
            </w:r>
          </w:p>
          <w:p>
            <w:pPr>
              <w:jc w:val="both"/>
              <w:rPr>
                <w:rFonts w:ascii="宋体" w:hAnsi="宋体"/>
                <w:color w:val="auto"/>
                <w:szCs w:val="21"/>
                <w:highlight w:val="none"/>
              </w:rPr>
            </w:pPr>
            <w:r>
              <w:rPr>
                <w:rFonts w:hint="eastAsia" w:ascii="宋体" w:hAnsi="宋体"/>
                <w:color w:val="auto"/>
                <w:szCs w:val="21"/>
                <w:highlight w:val="none"/>
              </w:rPr>
              <w:t>（1）履约保函。如果中标人的履约担保是以</w:t>
            </w:r>
            <w:r>
              <w:rPr>
                <w:rFonts w:hint="eastAsia" w:ascii="宋体" w:hAnsi="宋体"/>
                <w:b/>
                <w:bCs/>
                <w:color w:val="auto"/>
                <w:szCs w:val="21"/>
                <w:highlight w:val="none"/>
              </w:rPr>
              <w:t>银行保函</w:t>
            </w:r>
            <w:r>
              <w:rPr>
                <w:rFonts w:hint="eastAsia" w:ascii="宋体" w:hAnsi="宋体"/>
                <w:color w:val="auto"/>
                <w:szCs w:val="21"/>
                <w:highlight w:val="none"/>
              </w:rPr>
              <w:t>形式提供的，则该银行保函应：</w:t>
            </w:r>
          </w:p>
          <w:p>
            <w:pPr>
              <w:jc w:val="both"/>
              <w:rPr>
                <w:rFonts w:ascii="宋体" w:hAnsi="宋体"/>
                <w:color w:val="auto"/>
                <w:szCs w:val="21"/>
                <w:highlight w:val="none"/>
              </w:rPr>
            </w:pPr>
            <w:r>
              <w:rPr>
                <w:rFonts w:hint="eastAsia" w:ascii="宋体" w:hAnsi="宋体"/>
                <w:color w:val="auto"/>
                <w:szCs w:val="21"/>
                <w:highlight w:val="none"/>
              </w:rPr>
              <w:t>①保函应由银行支行或以上银行机构开具。</w:t>
            </w:r>
          </w:p>
          <w:p>
            <w:pPr>
              <w:jc w:val="both"/>
              <w:rPr>
                <w:rFonts w:ascii="宋体" w:hAnsi="宋体"/>
                <w:color w:val="auto"/>
                <w:szCs w:val="21"/>
                <w:highlight w:val="none"/>
              </w:rPr>
            </w:pPr>
            <w:r>
              <w:rPr>
                <w:rFonts w:hint="eastAsia" w:ascii="宋体" w:hAnsi="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jc w:val="both"/>
              <w:rPr>
                <w:rFonts w:ascii="宋体" w:hAnsi="宋体"/>
                <w:color w:val="auto"/>
                <w:szCs w:val="21"/>
                <w:highlight w:val="none"/>
              </w:rPr>
            </w:pPr>
            <w:r>
              <w:rPr>
                <w:rFonts w:hint="eastAsia" w:ascii="宋体" w:hAnsi="宋体"/>
                <w:color w:val="auto"/>
                <w:szCs w:val="21"/>
                <w:highlight w:val="none"/>
              </w:rPr>
              <w:t>③履约保函必须打印，手写、涂改无效。</w:t>
            </w:r>
          </w:p>
          <w:p>
            <w:pPr>
              <w:jc w:val="both"/>
              <w:rPr>
                <w:rFonts w:ascii="宋体" w:hAnsi="宋体"/>
                <w:color w:val="auto"/>
                <w:szCs w:val="21"/>
                <w:highlight w:val="none"/>
              </w:rPr>
            </w:pPr>
            <w:r>
              <w:rPr>
                <w:rFonts w:hint="eastAsia" w:ascii="宋体" w:hAnsi="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pPr>
              <w:jc w:val="both"/>
              <w:rPr>
                <w:rFonts w:ascii="宋体" w:hAnsi="宋体"/>
                <w:color w:val="auto"/>
                <w:szCs w:val="21"/>
                <w:highlight w:val="none"/>
              </w:rPr>
            </w:pPr>
            <w:r>
              <w:rPr>
                <w:rFonts w:hint="eastAsia" w:ascii="宋体" w:hAnsi="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jc w:val="both"/>
              <w:rPr>
                <w:rFonts w:ascii="宋体" w:hAnsi="宋体"/>
                <w:color w:val="auto"/>
                <w:szCs w:val="21"/>
                <w:highlight w:val="none"/>
              </w:rPr>
            </w:pPr>
            <w:r>
              <w:rPr>
                <w:rFonts w:hint="eastAsia" w:ascii="宋体" w:hAnsi="宋体"/>
                <w:color w:val="auto"/>
                <w:szCs w:val="21"/>
                <w:highlight w:val="none"/>
              </w:rPr>
              <w:t>（4）为取得履约担保所需的费用，由中标人承担；若工期延误，履约担保时间延长，延长费用由中标人承担。</w:t>
            </w:r>
          </w:p>
          <w:p>
            <w:pPr>
              <w:jc w:val="both"/>
              <w:rPr>
                <w:rFonts w:ascii="宋体" w:hAnsi="宋体"/>
                <w:color w:val="auto"/>
                <w:szCs w:val="21"/>
                <w:highlight w:val="none"/>
              </w:rPr>
            </w:pPr>
            <w:r>
              <w:rPr>
                <w:rFonts w:hint="eastAsia" w:ascii="宋体" w:hAnsi="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jc w:val="both"/>
              <w:rPr>
                <w:rFonts w:ascii="宋体" w:hAnsi="宋体"/>
                <w:color w:val="auto"/>
                <w:szCs w:val="21"/>
                <w:highlight w:val="none"/>
              </w:rPr>
            </w:pPr>
            <w:r>
              <w:rPr>
                <w:rFonts w:hint="eastAsia" w:ascii="宋体" w:hAnsi="宋体"/>
                <w:color w:val="auto"/>
                <w:szCs w:val="21"/>
                <w:highlight w:val="none"/>
              </w:rPr>
              <w:t>（6）下列任何情况发生时，采购人有权行使享有的担保权利：</w:t>
            </w:r>
          </w:p>
          <w:p>
            <w:pPr>
              <w:jc w:val="both"/>
              <w:rPr>
                <w:rFonts w:ascii="宋体" w:hAnsi="宋体"/>
                <w:color w:val="auto"/>
                <w:szCs w:val="21"/>
                <w:highlight w:val="none"/>
              </w:rPr>
            </w:pPr>
            <w:r>
              <w:rPr>
                <w:rFonts w:hint="eastAsia" w:ascii="宋体" w:hAnsi="宋体"/>
                <w:color w:val="auto"/>
                <w:szCs w:val="21"/>
                <w:highlight w:val="none"/>
              </w:rPr>
              <w:t>①中标人将本项目转让给他人，或者在投标文件中未说明，且未经采购人同意，将中标项目分包给他人的；</w:t>
            </w:r>
          </w:p>
          <w:p>
            <w:pPr>
              <w:jc w:val="both"/>
              <w:rPr>
                <w:rFonts w:ascii="宋体" w:hAnsi="宋体"/>
                <w:color w:val="auto"/>
                <w:szCs w:val="21"/>
                <w:highlight w:val="none"/>
              </w:rPr>
            </w:pPr>
            <w:r>
              <w:rPr>
                <w:rFonts w:hint="eastAsia" w:ascii="宋体" w:hAnsi="宋体"/>
                <w:color w:val="auto"/>
                <w:szCs w:val="21"/>
                <w:highlight w:val="none"/>
              </w:rPr>
              <w:t>②中标人在履行采购合同期间，违反有关法律法规的规定及合同约定的条款，损害了采购人的利益。</w:t>
            </w:r>
          </w:p>
          <w:p>
            <w:pPr>
              <w:jc w:val="both"/>
              <w:rPr>
                <w:rFonts w:ascii="宋体" w:hAnsi="宋体"/>
                <w:b/>
                <w:color w:val="auto"/>
                <w:szCs w:val="21"/>
                <w:highlight w:val="none"/>
              </w:rPr>
            </w:pPr>
            <w:r>
              <w:rPr>
                <w:rFonts w:hint="eastAsia" w:ascii="宋体" w:hAnsi="宋体"/>
                <w:color w:val="auto"/>
                <w:szCs w:val="21"/>
                <w:highlight w:val="none"/>
              </w:rPr>
              <w:t>（7）在整个项目验收合格后，中标人向采购人提交退回履约担保的申请，采购人办理履约担保退还手续。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中标服务费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b/>
                <w:bCs/>
                <w:color w:val="auto"/>
                <w:szCs w:val="21"/>
                <w:highlight w:val="none"/>
              </w:rPr>
              <w:t>本项目中标服务费由</w:t>
            </w:r>
            <w:r>
              <w:rPr>
                <w:rFonts w:hint="eastAsia" w:ascii="宋体" w:hAnsi="宋体"/>
                <w:b/>
                <w:bCs/>
                <w:color w:val="auto"/>
                <w:szCs w:val="21"/>
                <w:highlight w:val="none"/>
                <w:lang w:val="en-US" w:eastAsia="zh-CN"/>
              </w:rPr>
              <w:t>采购人</w:t>
            </w:r>
            <w:r>
              <w:rPr>
                <w:rFonts w:hint="eastAsia" w:ascii="宋体" w:hAnsi="宋体"/>
                <w:b/>
                <w:bCs/>
                <w:color w:val="auto"/>
                <w:szCs w:val="21"/>
                <w:highlight w:val="none"/>
              </w:rPr>
              <w:t>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pPr>
        <w:jc w:val="center"/>
        <w:rPr>
          <w:color w:val="auto"/>
          <w:highlight w:val="none"/>
        </w:rPr>
      </w:pPr>
      <w:r>
        <w:rPr>
          <w:rFonts w:hint="eastAsia"/>
          <w:color w:val="auto"/>
          <w:highlight w:val="none"/>
        </w:rPr>
        <w:br w:type="page"/>
      </w:r>
    </w:p>
    <w:p>
      <w:pPr>
        <w:pStyle w:val="5"/>
        <w:spacing w:before="0" w:after="0" w:line="240" w:lineRule="auto"/>
        <w:jc w:val="center"/>
        <w:rPr>
          <w:rFonts w:hAnsi="宋体" w:cs="宋体"/>
          <w:color w:val="auto"/>
          <w:sz w:val="21"/>
          <w:szCs w:val="21"/>
          <w:highlight w:val="none"/>
        </w:rPr>
      </w:pPr>
      <w:bookmarkStart w:id="5" w:name="_Toc1445"/>
      <w:r>
        <w:rPr>
          <w:rFonts w:hint="eastAsia" w:ascii="宋体" w:hAnsi="宋体" w:cs="宋体"/>
          <w:color w:val="auto"/>
          <w:sz w:val="24"/>
          <w:szCs w:val="24"/>
          <w:highlight w:val="none"/>
        </w:rPr>
        <w:t>附表二：商务技术评分及价格权重表（满分100分）</w:t>
      </w:r>
      <w:bookmarkEnd w:id="5"/>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34"/>
        <w:gridCol w:w="795"/>
        <w:gridCol w:w="314"/>
        <w:gridCol w:w="5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34"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795"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商务评审（</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企业业绩</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自2021年4月1日至投标截止日前承接</w:t>
            </w:r>
            <w:r>
              <w:rPr>
                <w:rFonts w:hint="eastAsia" w:ascii="宋体" w:hAnsi="宋体" w:eastAsia="宋体" w:cs="宋体"/>
                <w:color w:val="auto"/>
                <w:sz w:val="21"/>
                <w:szCs w:val="21"/>
                <w:highlight w:val="none"/>
                <w:lang w:val="en-US" w:eastAsia="zh-CN"/>
              </w:rPr>
              <w:t>过</w:t>
            </w:r>
            <w:r>
              <w:rPr>
                <w:rFonts w:hint="eastAsia" w:ascii="宋体" w:hAnsi="宋体" w:eastAsia="宋体" w:cs="宋体"/>
                <w:color w:val="auto"/>
                <w:sz w:val="21"/>
                <w:szCs w:val="21"/>
                <w:highlight w:val="none"/>
              </w:rPr>
              <w:t>房屋建筑工程造价咨询服务</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sz w:val="21"/>
                <w:szCs w:val="21"/>
                <w:highlight w:val="none"/>
                <w:u w:val="none"/>
                <w:lang w:val="zh-CN"/>
              </w:rPr>
            </w:pPr>
            <w:r>
              <w:rPr>
                <w:rFonts w:hint="eastAsia" w:ascii="宋体" w:hAnsi="宋体" w:eastAsia="宋体" w:cs="宋体"/>
                <w:color w:val="auto"/>
                <w:sz w:val="21"/>
                <w:szCs w:val="21"/>
                <w:highlight w:val="none"/>
              </w:rPr>
              <w:t>注：①造价咨询业绩证明资料须提供咨询合同（或协议书）关键页复印件，及与项目相关的发票等材料（张数不限）。②咨询业绩以咨询合同（或协议书）签订时间为准。③同一项目的业绩不能重复计分，如重复时按高分值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拟派从事本项目服务人员情况</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（1）拟派项目负责人：</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①具备</w:t>
            </w:r>
            <w:r>
              <w:rPr>
                <w:rFonts w:hint="eastAsia" w:ascii="宋体" w:hAnsi="宋体" w:eastAsia="宋体" w:cs="宋体"/>
                <w:color w:val="auto"/>
                <w:sz w:val="21"/>
                <w:szCs w:val="21"/>
                <w:highlight w:val="none"/>
                <w:lang w:val="en-US" w:eastAsia="zh-CN"/>
              </w:rPr>
              <w:t>工程造价</w:t>
            </w:r>
            <w:r>
              <w:rPr>
                <w:rFonts w:hint="eastAsia" w:ascii="宋体" w:hAnsi="宋体" w:eastAsia="宋体" w:cs="宋体"/>
                <w:color w:val="auto"/>
                <w:sz w:val="21"/>
                <w:szCs w:val="21"/>
                <w:highlight w:val="none"/>
              </w:rPr>
              <w:t>高级（或以上）职称的得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拟派项目负责人</w:t>
            </w:r>
            <w:r>
              <w:rPr>
                <w:rFonts w:hint="eastAsia" w:ascii="宋体" w:hAnsi="宋体" w:eastAsia="宋体" w:cs="宋体"/>
                <w:color w:val="auto"/>
                <w:sz w:val="21"/>
                <w:szCs w:val="21"/>
                <w:highlight w:val="none"/>
              </w:rPr>
              <w:t>自</w:t>
            </w:r>
            <w:r>
              <w:rPr>
                <w:rFonts w:hint="eastAsia" w:ascii="宋体" w:hAnsi="宋体" w:cs="宋体"/>
                <w:color w:val="auto"/>
                <w:szCs w:val="21"/>
                <w:highlight w:val="none"/>
              </w:rPr>
              <w:t>2021年4月1日</w:t>
            </w:r>
            <w:r>
              <w:rPr>
                <w:rFonts w:hint="eastAsia" w:ascii="宋体" w:hAnsi="宋体" w:eastAsia="宋体" w:cs="宋体"/>
                <w:color w:val="auto"/>
                <w:sz w:val="21"/>
                <w:szCs w:val="21"/>
                <w:highlight w:val="none"/>
              </w:rPr>
              <w:t>至投标截止日前</w:t>
            </w:r>
            <w:r>
              <w:rPr>
                <w:rFonts w:hint="eastAsia" w:ascii="宋体" w:hAnsi="宋体" w:eastAsia="宋体" w:cs="宋体"/>
                <w:color w:val="auto"/>
                <w:sz w:val="21"/>
                <w:szCs w:val="21"/>
                <w:highlight w:val="none"/>
                <w:lang w:eastAsia="zh-CN"/>
              </w:rPr>
              <w:t>作为项目负责人承接过</w:t>
            </w:r>
            <w:r>
              <w:rPr>
                <w:rFonts w:hint="eastAsia" w:ascii="宋体" w:hAnsi="宋体" w:eastAsia="宋体" w:cs="宋体"/>
                <w:color w:val="auto"/>
                <w:sz w:val="21"/>
                <w:szCs w:val="21"/>
                <w:highlight w:val="none"/>
              </w:rPr>
              <w:t>房屋建筑工程造价咨询服务</w:t>
            </w:r>
            <w:r>
              <w:rPr>
                <w:rFonts w:hint="eastAsia" w:ascii="宋体" w:hAnsi="宋体" w:eastAsia="宋体" w:cs="宋体"/>
                <w:color w:val="auto"/>
                <w:sz w:val="21"/>
                <w:szCs w:val="21"/>
                <w:highlight w:val="none"/>
                <w:lang w:eastAsia="zh-CN"/>
              </w:rPr>
              <w:t>经验的，每个</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（2）拟派专业负责人</w:t>
            </w:r>
            <w:r>
              <w:rPr>
                <w:rFonts w:hint="eastAsia" w:ascii="宋体" w:hAnsi="宋体" w:eastAsia="宋体" w:cs="宋体"/>
                <w:b w:val="0"/>
                <w:bCs/>
                <w:color w:val="auto"/>
                <w:highlight w:val="none"/>
                <w:u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具备工程造价高级（或以上）职称的每人得1分，本分项最高得2分。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（3）拟派造价人员</w:t>
            </w:r>
            <w:r>
              <w:rPr>
                <w:rFonts w:hint="eastAsia" w:ascii="宋体" w:hAnsi="宋体" w:eastAsia="宋体" w:cs="宋体"/>
                <w:b w:val="0"/>
                <w:bCs/>
                <w:color w:val="auto"/>
                <w:highlight w:val="none"/>
                <w:u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具有《中华人民共和国</w:t>
            </w:r>
            <w:r>
              <w:rPr>
                <w:rFonts w:hint="eastAsia" w:ascii="宋体" w:hAnsi="宋体" w:eastAsia="宋体" w:cs="宋体"/>
                <w:b w:val="0"/>
                <w:bCs/>
                <w:color w:val="auto"/>
                <w:highlight w:val="none"/>
                <w:u w:val="none"/>
                <w:lang w:val="en-US" w:eastAsia="zh-CN"/>
              </w:rPr>
              <w:t>一</w:t>
            </w:r>
            <w:r>
              <w:rPr>
                <w:rFonts w:hint="eastAsia" w:ascii="宋体" w:hAnsi="宋体" w:eastAsia="宋体" w:cs="宋体"/>
                <w:b w:val="0"/>
                <w:bCs/>
                <w:color w:val="auto"/>
                <w:highlight w:val="none"/>
                <w:u w:val="none"/>
              </w:rPr>
              <w:t>级造价工程师注册证书》或以上并注册在投标人本单位的，每人得0.5分，本分项最高得2分。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注：①上述人员须提供相关证件复印件、社保证明（社保证明应为投标文件递交截止日前半年时间内连续不少于三个月的有效证明材料，可以是在投标人总公司或分公司的社保缴纳证明文件，可以是原件或复印件但均需加盖投标人公章）</w:t>
            </w:r>
            <w:r>
              <w:rPr>
                <w:rFonts w:hint="eastAsia" w:ascii="宋体" w:hAnsi="宋体" w:cs="宋体"/>
                <w:b w:val="0"/>
                <w:bCs/>
                <w:color w:val="auto"/>
                <w:highlight w:val="none"/>
                <w:u w:val="none"/>
                <w:lang w:eastAsia="zh-CN"/>
              </w:rPr>
              <w:t>、</w:t>
            </w:r>
            <w:r>
              <w:rPr>
                <w:rFonts w:hint="eastAsia" w:ascii="宋体" w:hAnsi="宋体" w:cs="宋体"/>
                <w:b w:val="0"/>
                <w:bCs/>
                <w:color w:val="auto"/>
                <w:highlight w:val="none"/>
                <w:u w:val="none"/>
                <w:lang w:val="en-US" w:eastAsia="zh-CN"/>
              </w:rPr>
              <w:t>劳动合同复印件</w:t>
            </w:r>
            <w:r>
              <w:rPr>
                <w:rFonts w:hint="eastAsia" w:ascii="宋体" w:hAnsi="宋体" w:eastAsia="宋体" w:cs="宋体"/>
                <w:b w:val="0"/>
                <w:bCs/>
                <w:color w:val="auto"/>
                <w:highlight w:val="none"/>
                <w:u w:val="none"/>
              </w:rPr>
              <w:t>等。②造价咨询业绩证明资料须提供咨询合同（或协议书）关键页复印件，及与项目相关的发票等材料（张数不限），咨询业绩以咨询合同（或协议书）签订时间为准。③若合同复印件中不能体现项目负责人姓名的，还需提供担任项目负责人职位的相关证明文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技术评审（</w:t>
            </w:r>
            <w:r>
              <w:rPr>
                <w:rFonts w:hint="eastAsia" w:ascii="宋体" w:hAnsi="宋体" w:eastAsia="宋体" w:cs="宋体"/>
                <w:b/>
                <w:bCs/>
                <w:color w:val="auto"/>
                <w:sz w:val="21"/>
                <w:szCs w:val="21"/>
                <w:highlight w:val="none"/>
                <w:lang w:val="en-US" w:eastAsia="zh-CN"/>
              </w:rPr>
              <w:t>50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组织与管理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依据投标人所提供的方案中组织</w:t>
            </w:r>
            <w:r>
              <w:rPr>
                <w:rFonts w:hint="eastAsia" w:ascii="宋体" w:hAnsi="宋体" w:eastAsia="宋体" w:cs="宋体"/>
                <w:b w:val="0"/>
                <w:bCs/>
                <w:color w:val="auto"/>
                <w:highlight w:val="none"/>
                <w:u w:val="none"/>
                <w:lang w:eastAsia="zh-CN"/>
              </w:rPr>
              <w:t>与管理的</w:t>
            </w:r>
            <w:r>
              <w:rPr>
                <w:rFonts w:hint="eastAsia" w:ascii="宋体" w:hAnsi="宋体" w:eastAsia="宋体" w:cs="宋体"/>
                <w:b w:val="0"/>
                <w:bCs/>
                <w:color w:val="auto"/>
                <w:highlight w:val="none"/>
                <w:u w:val="none"/>
              </w:rPr>
              <w:t>情况等进行综合评</w:t>
            </w:r>
            <w:r>
              <w:rPr>
                <w:rFonts w:hint="eastAsia" w:ascii="宋体" w:hAnsi="宋体" w:eastAsia="宋体" w:cs="宋体"/>
                <w:b w:val="0"/>
                <w:bCs/>
                <w:color w:val="auto"/>
                <w:highlight w:val="none"/>
                <w:u w:val="none"/>
                <w:lang w:eastAsia="zh-CN"/>
              </w:rPr>
              <w:t>价：</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优</w:t>
            </w:r>
            <w:r>
              <w:rPr>
                <w:rFonts w:hint="eastAsia" w:ascii="宋体" w:hAnsi="宋体" w:cs="宋体"/>
                <w:b w:val="0"/>
                <w:bCs/>
                <w:color w:val="auto"/>
                <w:highlight w:val="none"/>
                <w:u w:val="none"/>
                <w:lang w:val="en-US" w:eastAsia="zh-CN"/>
              </w:rPr>
              <w:t>：</w:t>
            </w:r>
            <w:r>
              <w:rPr>
                <w:rFonts w:hint="eastAsia" w:ascii="宋体" w:hAnsi="宋体" w:eastAsia="宋体" w:cs="宋体"/>
                <w:b w:val="0"/>
                <w:bCs/>
                <w:color w:val="auto"/>
                <w:highlight w:val="none"/>
                <w:u w:val="none"/>
                <w:lang w:val="en-US" w:eastAsia="zh-CN"/>
              </w:rPr>
              <w:t>组织结构的层次非常清晰、明确，组织职责划分明确，</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能力强，</w:t>
            </w:r>
            <w:r>
              <w:rPr>
                <w:rFonts w:hint="eastAsia" w:ascii="宋体" w:hAnsi="宋体" w:eastAsia="宋体" w:cs="宋体"/>
                <w:b w:val="0"/>
                <w:bCs/>
                <w:color w:val="auto"/>
                <w:highlight w:val="none"/>
                <w:u w:val="none"/>
                <w:lang w:val="en-US" w:eastAsia="zh-CN"/>
              </w:rPr>
              <w:t>有利于支持项目目标的实现，得10分；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良：</w:t>
            </w:r>
            <w:r>
              <w:rPr>
                <w:rFonts w:hint="eastAsia" w:ascii="宋体" w:hAnsi="宋体" w:eastAsia="宋体" w:cs="宋体"/>
                <w:b w:val="0"/>
                <w:bCs/>
                <w:color w:val="auto"/>
                <w:highlight w:val="none"/>
                <w:u w:val="none"/>
                <w:lang w:val="en-US" w:eastAsia="zh-CN"/>
              </w:rPr>
              <w:t>组织结构的层次清晰，有组织职责划分，</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能力较强，</w:t>
            </w:r>
            <w:r>
              <w:rPr>
                <w:rFonts w:hint="eastAsia" w:ascii="宋体" w:hAnsi="宋体" w:eastAsia="宋体" w:cs="宋体"/>
                <w:b w:val="0"/>
                <w:bCs/>
                <w:color w:val="auto"/>
                <w:highlight w:val="none"/>
                <w:u w:val="none"/>
                <w:lang w:val="en-US" w:eastAsia="zh-CN"/>
              </w:rPr>
              <w:t>有利于支持项目目标的实现，得7分；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中：</w:t>
            </w:r>
            <w:r>
              <w:rPr>
                <w:rFonts w:hint="eastAsia" w:ascii="宋体" w:hAnsi="宋体" w:eastAsia="宋体" w:cs="宋体"/>
                <w:b w:val="0"/>
                <w:bCs/>
                <w:color w:val="auto"/>
                <w:highlight w:val="none"/>
                <w:u w:val="none"/>
                <w:lang w:val="en-US" w:eastAsia="zh-CN"/>
              </w:rPr>
              <w:t>组织结构的层次较为清晰，有组织职责划分，有</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力，</w:t>
            </w:r>
            <w:r>
              <w:rPr>
                <w:rFonts w:hint="eastAsia" w:ascii="宋体" w:hAnsi="宋体" w:eastAsia="宋体" w:cs="宋体"/>
                <w:b w:val="0"/>
                <w:bCs/>
                <w:color w:val="auto"/>
                <w:highlight w:val="none"/>
                <w:u w:val="none"/>
                <w:lang w:val="en-US" w:eastAsia="zh-CN"/>
              </w:rPr>
              <w:t>有利于支持项目目标的实现，得4分；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差：</w:t>
            </w:r>
            <w:r>
              <w:rPr>
                <w:rFonts w:hint="eastAsia" w:ascii="宋体" w:hAnsi="宋体" w:eastAsia="宋体" w:cs="宋体"/>
                <w:b w:val="0"/>
                <w:bCs/>
                <w:color w:val="auto"/>
                <w:highlight w:val="none"/>
                <w:u w:val="none"/>
                <w:lang w:val="en-US" w:eastAsia="zh-CN"/>
              </w:rPr>
              <w:t>组织结构的层次、组织职责划分不清晰，</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力较弱，</w:t>
            </w:r>
            <w:r>
              <w:rPr>
                <w:rFonts w:hint="eastAsia" w:ascii="宋体" w:hAnsi="宋体" w:eastAsia="宋体" w:cs="宋体"/>
                <w:b w:val="0"/>
                <w:bCs/>
                <w:color w:val="auto"/>
                <w:highlight w:val="none"/>
                <w:u w:val="none"/>
                <w:lang w:val="en-US" w:eastAsia="zh-CN"/>
              </w:rPr>
              <w:t>不利于支持项目目标的实现，得1分；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项目重点、难点分析及解决方案</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根据对项目重点难点分析、应对措施及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等方面进行评</w:t>
            </w:r>
            <w:r>
              <w:rPr>
                <w:rFonts w:hint="eastAsia" w:ascii="宋体" w:hAnsi="宋体" w:eastAsia="宋体" w:cs="宋体"/>
                <w:b w:val="0"/>
                <w:bCs/>
                <w:color w:val="auto"/>
                <w:highlight w:val="none"/>
                <w:u w:val="none"/>
                <w:lang w:eastAsia="zh-CN"/>
              </w:rPr>
              <w:t>价：</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优：</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非常具体、合理、细致，重点非常突出，得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良：</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具体、合理、细致，重点突出，得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中：</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基本具体、合理，重点</w:t>
            </w:r>
            <w:r>
              <w:rPr>
                <w:rFonts w:hint="eastAsia" w:ascii="宋体" w:hAnsi="宋体" w:eastAsia="宋体" w:cs="宋体"/>
                <w:b w:val="0"/>
                <w:bCs/>
                <w:color w:val="auto"/>
                <w:highlight w:val="none"/>
                <w:u w:val="none"/>
                <w:lang w:eastAsia="zh-CN"/>
              </w:rPr>
              <w:t>不</w:t>
            </w:r>
            <w:r>
              <w:rPr>
                <w:rFonts w:hint="eastAsia" w:ascii="宋体" w:hAnsi="宋体" w:eastAsia="宋体" w:cs="宋体"/>
                <w:b w:val="0"/>
                <w:bCs/>
                <w:color w:val="auto"/>
                <w:highlight w:val="none"/>
                <w:u w:val="none"/>
              </w:rPr>
              <w:t>突出，得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差：</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解决方案不</w:t>
            </w:r>
            <w:r>
              <w:rPr>
                <w:rFonts w:hint="eastAsia" w:ascii="宋体" w:hAnsi="宋体" w:eastAsia="宋体" w:cs="宋体"/>
                <w:b w:val="0"/>
                <w:bCs/>
                <w:color w:val="auto"/>
                <w:highlight w:val="none"/>
                <w:u w:val="none"/>
              </w:rPr>
              <w:t>具体，重点</w:t>
            </w:r>
            <w:r>
              <w:rPr>
                <w:rFonts w:hint="eastAsia" w:ascii="宋体" w:hAnsi="宋体" w:eastAsia="宋体" w:cs="宋体"/>
                <w:b w:val="0"/>
                <w:bCs/>
                <w:color w:val="auto"/>
                <w:highlight w:val="none"/>
                <w:u w:val="none"/>
                <w:lang w:eastAsia="zh-CN"/>
              </w:rPr>
              <w:t>不</w:t>
            </w:r>
            <w:r>
              <w:rPr>
                <w:rFonts w:hint="eastAsia" w:ascii="宋体" w:hAnsi="宋体" w:eastAsia="宋体" w:cs="宋体"/>
                <w:b w:val="0"/>
                <w:bCs/>
                <w:color w:val="auto"/>
                <w:highlight w:val="none"/>
                <w:u w:val="none"/>
              </w:rPr>
              <w:t>突出，得</w:t>
            </w:r>
            <w:r>
              <w:rPr>
                <w:rFonts w:hint="eastAsia" w:ascii="宋体" w:hAnsi="宋体" w:eastAsia="宋体" w:cs="宋体"/>
                <w:b w:val="0"/>
                <w:bCs/>
                <w:color w:val="auto"/>
                <w:highlight w:val="none"/>
                <w:u w:val="none"/>
                <w:lang w:val="en-US" w:eastAsia="zh-CN"/>
              </w:rPr>
              <w:t>1</w:t>
            </w:r>
            <w:r>
              <w:rPr>
                <w:rFonts w:hint="eastAsia" w:ascii="宋体" w:hAnsi="宋体" w:eastAsia="宋体" w:cs="宋体"/>
                <w:b w:val="0"/>
                <w:bCs/>
                <w:color w:val="auto"/>
                <w:highlight w:val="none"/>
                <w:u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工程造价编制进度控制方案</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lang w:eastAsia="zh-CN"/>
              </w:rPr>
              <w:t xml:space="preserve">根据投标人提供的工程造价编制进度控制方案是否详细可行、合理等方面进行综合评价：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优：</w:t>
            </w:r>
            <w:r>
              <w:rPr>
                <w:rFonts w:hint="eastAsia" w:ascii="宋体" w:hAnsi="宋体" w:eastAsia="宋体" w:cs="宋体"/>
                <w:b w:val="0"/>
                <w:bCs/>
                <w:color w:val="auto"/>
                <w:highlight w:val="none"/>
                <w:u w:val="none"/>
                <w:lang w:eastAsia="zh-CN"/>
              </w:rPr>
              <w:t>工程造价编制进度控制方案有针对本项目制定的工作进度计划，进度计划详细可行、合理、以严谨且可执行的保障措施实现本项目对时间的要求的，得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lang w:eastAsia="zh-CN"/>
              </w:rPr>
              <w:t xml:space="preserve">分；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良：</w:t>
            </w:r>
            <w:r>
              <w:rPr>
                <w:rFonts w:hint="eastAsia" w:ascii="宋体" w:hAnsi="宋体" w:eastAsia="宋体" w:cs="宋体"/>
                <w:b w:val="0"/>
                <w:bCs/>
                <w:color w:val="auto"/>
                <w:highlight w:val="none"/>
                <w:u w:val="none"/>
                <w:lang w:eastAsia="zh-CN"/>
              </w:rPr>
              <w:t>工程造价编制进度控制方案有针对本项目制定的工作进度计划，进度计划较为可行、有保障措施实现本项目对时间的要求的，得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lang w:eastAsia="zh-CN"/>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中：</w:t>
            </w:r>
            <w:r>
              <w:rPr>
                <w:rFonts w:hint="eastAsia" w:ascii="宋体" w:hAnsi="宋体" w:eastAsia="宋体" w:cs="宋体"/>
                <w:b w:val="0"/>
                <w:bCs/>
                <w:color w:val="auto"/>
                <w:highlight w:val="none"/>
                <w:u w:val="none"/>
                <w:lang w:eastAsia="zh-CN"/>
              </w:rPr>
              <w:t>工程造价编制进度控制方案有工作进度计划，进度计划一般、有保障措施实现本项目对时间的要求的，得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lang w:eastAsia="zh-CN"/>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差：</w:t>
            </w:r>
            <w:r>
              <w:rPr>
                <w:rFonts w:hint="eastAsia" w:ascii="宋体" w:hAnsi="宋体" w:eastAsia="宋体" w:cs="宋体"/>
                <w:b w:val="0"/>
                <w:bCs/>
                <w:color w:val="auto"/>
                <w:highlight w:val="none"/>
                <w:u w:val="none"/>
                <w:lang w:eastAsia="zh-CN"/>
              </w:rPr>
              <w:t>工程造价编制进度控制方案有工作进度计划，进度计划较差、无保障措施实现本项目对时间的要求的，得</w:t>
            </w:r>
            <w:r>
              <w:rPr>
                <w:rFonts w:hint="eastAsia" w:ascii="宋体" w:hAnsi="宋体" w:eastAsia="宋体" w:cs="宋体"/>
                <w:b w:val="0"/>
                <w:bCs/>
                <w:color w:val="auto"/>
                <w:highlight w:val="none"/>
                <w:u w:val="none"/>
                <w:lang w:val="en-US" w:eastAsia="zh-CN"/>
              </w:rPr>
              <w:t>1</w:t>
            </w:r>
            <w:r>
              <w:rPr>
                <w:rFonts w:hint="eastAsia" w:ascii="宋体" w:hAnsi="宋体" w:eastAsia="宋体" w:cs="宋体"/>
                <w:b w:val="0"/>
                <w:bCs/>
                <w:color w:val="auto"/>
                <w:highlight w:val="none"/>
                <w:u w:val="none"/>
                <w:lang w:eastAsia="zh-CN"/>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工程造价编制质量控制方案</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10分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根据投标人的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，人力、物力等资源的投入，</w:t>
            </w:r>
            <w:r>
              <w:rPr>
                <w:rFonts w:hint="eastAsia" w:ascii="宋体" w:hAnsi="宋体" w:eastAsia="宋体" w:cs="宋体"/>
                <w:b w:val="0"/>
                <w:bCs/>
                <w:color w:val="auto"/>
                <w:highlight w:val="none"/>
                <w:u w:val="none"/>
                <w:lang w:eastAsia="zh-CN"/>
              </w:rPr>
              <w:t>工程造价编制质量控制</w:t>
            </w:r>
            <w:r>
              <w:rPr>
                <w:rFonts w:hint="eastAsia" w:ascii="宋体" w:hAnsi="宋体" w:eastAsia="宋体" w:cs="宋体"/>
                <w:b w:val="0"/>
                <w:bCs/>
                <w:color w:val="auto"/>
                <w:highlight w:val="none"/>
                <w:u w:val="none"/>
              </w:rPr>
              <w:t xml:space="preserve">保证、服务方案，同时对此作出违约责任的承诺情况进行综合评价：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优：</w:t>
            </w:r>
            <w:r>
              <w:rPr>
                <w:rFonts w:hint="eastAsia" w:ascii="宋体" w:hAnsi="宋体" w:eastAsia="宋体" w:cs="宋体"/>
                <w:b w:val="0"/>
                <w:bCs/>
                <w:color w:val="auto"/>
                <w:highlight w:val="none"/>
                <w:u w:val="none"/>
              </w:rPr>
              <w:t>有完善的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，投入的人力、物力等资源充足，有利于按时按质按量完成委托的任务，提供优质服务，作出具体详细的违约责任承诺，得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rPr>
              <w:t xml:space="preserve">分；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良：</w:t>
            </w:r>
            <w:r>
              <w:rPr>
                <w:rFonts w:hint="eastAsia" w:ascii="宋体" w:hAnsi="宋体" w:eastAsia="宋体" w:cs="宋体"/>
                <w:b w:val="0"/>
                <w:bCs/>
                <w:color w:val="auto"/>
                <w:highlight w:val="none"/>
                <w:u w:val="none"/>
              </w:rPr>
              <w:t>有较完善的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，投入的人力、物力等资源比较充足，有利于按时按质按量完成委托的任务，提供优质服务，作出比较具体的违约责任承诺，得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rPr>
              <w:t xml:space="preserve">分；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中：</w:t>
            </w:r>
            <w:r>
              <w:rPr>
                <w:rFonts w:hint="eastAsia" w:ascii="宋体" w:hAnsi="宋体" w:eastAsia="宋体" w:cs="宋体"/>
                <w:b w:val="0"/>
                <w:bCs/>
                <w:color w:val="auto"/>
                <w:highlight w:val="none"/>
                <w:u w:val="none"/>
              </w:rPr>
              <w:t>有基本的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，投入的人力、物力等资源符合基本要求，作出基本的违约责任承诺，得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rPr>
              <w:t xml:space="preserve">分；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差：</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 xml:space="preserve">简单，投入的人力、物力等资源较少，作出简单的违约责任承诺，得1分。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34" w:type="dxa"/>
            <w:tcBorders>
              <w:top w:val="single" w:color="auto" w:sz="4" w:space="0"/>
              <w:left w:val="single" w:color="auto" w:sz="4" w:space="0"/>
              <w:bottom w:val="single" w:color="auto" w:sz="4" w:space="0"/>
              <w:right w:val="single" w:color="auto" w:sz="4" w:space="0"/>
            </w:tcBorders>
            <w:vAlign w:val="center"/>
          </w:tcPr>
          <w:p>
            <w:pPr>
              <w:pStyle w:val="92"/>
              <w:spacing w:line="240" w:lineRule="auto"/>
              <w:jc w:val="center"/>
              <w:rPr>
                <w:rFonts w:hint="eastAsia" w:ascii="宋体" w:hAnsi="宋体" w:eastAsia="宋体" w:cs="宋体"/>
                <w:color w:val="auto"/>
                <w:spacing w:val="2"/>
                <w:szCs w:val="21"/>
                <w:highlight w:val="none"/>
                <w:u w:val="single"/>
              </w:rPr>
            </w:pPr>
            <w:r>
              <w:rPr>
                <w:rFonts w:hint="eastAsia" w:ascii="宋体" w:hAnsi="宋体" w:eastAsia="宋体" w:cs="宋体"/>
                <w:color w:val="auto"/>
                <w:sz w:val="21"/>
                <w:szCs w:val="21"/>
                <w:highlight w:val="none"/>
              </w:rPr>
              <w:t>合理化建议</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依据投标人所提出的合理化建议进行综合评价</w:t>
            </w:r>
            <w:r>
              <w:rPr>
                <w:rFonts w:hint="eastAsia" w:ascii="宋体" w:hAnsi="宋体" w:eastAsia="宋体" w:cs="宋体"/>
                <w:b w:val="0"/>
                <w:bCs/>
                <w:color w:val="auto"/>
                <w:highlight w:val="none"/>
                <w:u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cs="宋体"/>
                <w:color w:val="auto"/>
                <w:sz w:val="21"/>
                <w:szCs w:val="21"/>
                <w:highlight w:val="none"/>
                <w:lang w:eastAsia="zh-CN"/>
              </w:rPr>
              <w:t>优：</w:t>
            </w:r>
            <w:r>
              <w:rPr>
                <w:rFonts w:hint="eastAsia" w:ascii="宋体" w:hAnsi="宋体" w:eastAsia="宋体" w:cs="宋体"/>
                <w:b w:val="0"/>
                <w:bCs/>
                <w:color w:val="auto"/>
                <w:highlight w:val="none"/>
                <w:u w:val="none"/>
                <w:lang w:eastAsia="zh-CN"/>
              </w:rPr>
              <w:t>合理</w:t>
            </w:r>
            <w:r>
              <w:rPr>
                <w:rFonts w:hint="eastAsia" w:ascii="宋体" w:hAnsi="宋体" w:eastAsia="宋体" w:cs="宋体"/>
                <w:b w:val="0"/>
                <w:bCs/>
                <w:color w:val="auto"/>
                <w:highlight w:val="none"/>
                <w:u w:val="none"/>
              </w:rPr>
              <w:t>建议内容详实、全面，逻辑</w:t>
            </w:r>
            <w:r>
              <w:rPr>
                <w:rFonts w:hint="eastAsia" w:ascii="宋体" w:hAnsi="宋体" w:eastAsia="宋体" w:cs="宋体"/>
                <w:b w:val="0"/>
                <w:bCs/>
                <w:color w:val="auto"/>
                <w:highlight w:val="none"/>
                <w:u w:val="none"/>
                <w:lang w:eastAsia="zh-CN"/>
              </w:rPr>
              <w:t>清晰、</w:t>
            </w:r>
            <w:r>
              <w:rPr>
                <w:rFonts w:hint="eastAsia" w:ascii="宋体" w:hAnsi="宋体" w:eastAsia="宋体" w:cs="宋体"/>
                <w:b w:val="0"/>
                <w:bCs/>
                <w:color w:val="auto"/>
                <w:highlight w:val="none"/>
                <w:u w:val="none"/>
              </w:rPr>
              <w:t>表达准确</w:t>
            </w:r>
            <w:r>
              <w:rPr>
                <w:rFonts w:hint="eastAsia" w:ascii="宋体" w:hAnsi="宋体" w:eastAsia="宋体" w:cs="宋体"/>
                <w:b w:val="0"/>
                <w:bCs/>
                <w:color w:val="auto"/>
                <w:highlight w:val="none"/>
                <w:u w:val="none"/>
                <w:lang w:eastAsia="zh-CN"/>
              </w:rPr>
              <w:t>，</w:t>
            </w:r>
            <w:r>
              <w:rPr>
                <w:rFonts w:hint="eastAsia" w:ascii="宋体" w:hAnsi="宋体" w:eastAsia="宋体" w:cs="宋体"/>
                <w:b w:val="0"/>
                <w:bCs/>
                <w:color w:val="auto"/>
                <w:highlight w:val="none"/>
                <w:u w:val="none"/>
                <w:lang w:val="en-US" w:eastAsia="zh-CN"/>
              </w:rPr>
              <w:t>紧密结合项目实际，针对关键问题提出有效解决方案，具有较强的实用价值，得10分。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良：</w:t>
            </w:r>
            <w:r>
              <w:rPr>
                <w:rFonts w:hint="eastAsia" w:ascii="宋体" w:hAnsi="宋体" w:eastAsia="宋体" w:cs="宋体"/>
                <w:b w:val="0"/>
                <w:bCs/>
                <w:color w:val="auto"/>
                <w:highlight w:val="none"/>
                <w:u w:val="none"/>
                <w:lang w:val="en-US" w:eastAsia="zh-CN"/>
              </w:rPr>
              <w:t>合理化建议内容基本完整，逻辑较为清晰，表达较为准确，能够针对项目中的一些问题提出较为有效的改进措施，具有一定的实用价值，得7分。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中：</w:t>
            </w:r>
            <w:r>
              <w:rPr>
                <w:rFonts w:hint="eastAsia" w:ascii="宋体" w:hAnsi="宋体" w:eastAsia="宋体" w:cs="宋体"/>
                <w:b w:val="0"/>
                <w:bCs/>
                <w:color w:val="auto"/>
                <w:highlight w:val="none"/>
                <w:u w:val="none"/>
                <w:lang w:val="en-US" w:eastAsia="zh-CN"/>
              </w:rPr>
              <w:t>建议内容基本完整，但逻辑不够清晰，表达较为平淡，针对性不强，得4分。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eastAsia="宋体"/>
                <w:color w:val="auto"/>
                <w:szCs w:val="21"/>
                <w:highlight w:val="none"/>
                <w:lang w:val="en-US" w:eastAsia="zh-CN"/>
              </w:rPr>
              <w:t>差：</w:t>
            </w:r>
            <w:r>
              <w:rPr>
                <w:rFonts w:hint="eastAsia" w:ascii="宋体" w:hAnsi="宋体" w:eastAsia="宋体" w:cs="宋体"/>
                <w:b w:val="0"/>
                <w:bCs/>
                <w:color w:val="auto"/>
                <w:highlight w:val="none"/>
                <w:u w:val="none"/>
                <w:lang w:val="en-US" w:eastAsia="zh-CN"/>
              </w:rPr>
              <w:t>合理化内容不够完整，逻辑</w:t>
            </w:r>
            <w:r>
              <w:rPr>
                <w:rFonts w:hint="eastAsia" w:ascii="宋体" w:hAnsi="宋体" w:eastAsia="宋体" w:cs="宋体"/>
                <w:b w:val="0"/>
                <w:bCs/>
                <w:color w:val="auto"/>
                <w:highlight w:val="none"/>
                <w:u w:val="none"/>
              </w:rPr>
              <w:t>混乱，表达不清，存在明显的错误或遗漏</w:t>
            </w:r>
            <w:r>
              <w:rPr>
                <w:rFonts w:hint="eastAsia" w:ascii="宋体" w:hAnsi="宋体" w:eastAsia="宋体" w:cs="宋体"/>
                <w:b w:val="0"/>
                <w:bCs/>
                <w:color w:val="auto"/>
                <w:highlight w:val="none"/>
                <w:u w:val="none"/>
                <w:lang w:eastAsia="zh-CN"/>
              </w:rPr>
              <w:t>，得</w:t>
            </w:r>
            <w:r>
              <w:rPr>
                <w:rFonts w:hint="eastAsia" w:ascii="宋体" w:hAnsi="宋体" w:eastAsia="宋体" w:cs="宋体"/>
                <w:b w:val="0"/>
                <w:bCs/>
                <w:color w:val="auto"/>
                <w:highlight w:val="none"/>
                <w:u w:val="none"/>
                <w:lang w:val="en-US" w:eastAsia="zh-CN"/>
              </w:rPr>
              <w:t>1分</w:t>
            </w:r>
            <w:r>
              <w:rPr>
                <w:rFonts w:hint="eastAsia" w:ascii="宋体" w:hAnsi="宋体" w:eastAsia="宋体" w:cs="宋体"/>
                <w:b w:val="0"/>
                <w:bCs/>
                <w:color w:val="auto"/>
                <w:highlight w:val="none"/>
                <w:u w:val="none"/>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（1）无特殊说明外，以上评审项，同一证明文件不重复计分。</w:t>
            </w:r>
          </w:p>
          <w:p>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（2）投标人根据以上评分要求提供的投标材料因模糊不清导致评标委员会无法清晰辨认进行评审的，视为无效材料。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u w:val="none"/>
              </w:rPr>
              <w:t>价格评审（40分）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投标总价</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40</w:t>
            </w:r>
            <w:r>
              <w:rPr>
                <w:rFonts w:hint="eastAsia" w:ascii="宋体" w:hAnsi="宋体" w:cs="宋体"/>
                <w:color w:val="auto"/>
                <w:kern w:val="2"/>
                <w:szCs w:val="21"/>
                <w:highlight w:val="none"/>
                <w:lang w:val="en-US" w:eastAsia="zh-CN"/>
              </w:rPr>
              <w:t>分</w:t>
            </w:r>
          </w:p>
        </w:tc>
        <w:tc>
          <w:tcPr>
            <w:tcW w:w="54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价格分计算方法：满足投标文件要求且投标价格（含税报价）最低的投标报价为评标基准价，其价格分为满分。其他投标人的价格分统一按照下列公式计算：投标报价得分=（评标基准价／投标报价）×价格权重×100。</w:t>
            </w:r>
          </w:p>
        </w:tc>
      </w:tr>
    </w:tbl>
    <w:p>
      <w:pPr>
        <w:ind w:firstLine="420" w:firstLineChars="200"/>
        <w:rPr>
          <w:color w:val="auto"/>
          <w:highlight w:val="none"/>
        </w:rPr>
      </w:pPr>
      <w:r>
        <w:rPr>
          <w:rFonts w:hint="eastAsia"/>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color w:val="auto"/>
          <w:highlight w:val="none"/>
        </w:rPr>
        <w:br w:type="page"/>
      </w:r>
    </w:p>
    <w:p>
      <w:pPr>
        <w:pStyle w:val="4"/>
        <w:pageBreakBefore w:val="0"/>
        <w:widowControl/>
        <w:kinsoku/>
        <w:wordWrap/>
        <w:overflowPunct/>
        <w:topLinePunct w:val="0"/>
        <w:autoSpaceDE/>
        <w:autoSpaceDN/>
        <w:bidi w:val="0"/>
        <w:adjustRightInd w:val="0"/>
        <w:snapToGrid w:val="0"/>
        <w:spacing w:before="0" w:after="0" w:line="360" w:lineRule="auto"/>
        <w:textAlignment w:val="auto"/>
        <w:rPr>
          <w:color w:val="auto"/>
          <w:sz w:val="36"/>
          <w:szCs w:val="36"/>
          <w:highlight w:val="none"/>
        </w:rPr>
      </w:pPr>
      <w:bookmarkStart w:id="6" w:name="_Toc21237"/>
      <w:r>
        <w:rPr>
          <w:rFonts w:hint="eastAsia"/>
          <w:color w:val="auto"/>
          <w:sz w:val="28"/>
          <w:szCs w:val="28"/>
          <w:highlight w:val="none"/>
        </w:rPr>
        <w:t>第三部分</w:t>
      </w:r>
      <w:r>
        <w:rPr>
          <w:rFonts w:hint="eastAsia"/>
          <w:color w:val="auto"/>
          <w:sz w:val="28"/>
          <w:szCs w:val="28"/>
          <w:highlight w:val="none"/>
          <w:lang w:val="en-US" w:eastAsia="zh-CN"/>
        </w:rPr>
        <w:t xml:space="preserve"> </w:t>
      </w:r>
      <w:r>
        <w:rPr>
          <w:rFonts w:hint="eastAsia"/>
          <w:color w:val="auto"/>
          <w:sz w:val="28"/>
          <w:szCs w:val="28"/>
          <w:highlight w:val="none"/>
        </w:rPr>
        <w:t>用户需求书</w:t>
      </w:r>
      <w:bookmarkEnd w:id="6"/>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7" w:name="_Toc31595"/>
      <w:r>
        <w:rPr>
          <w:rFonts w:hint="eastAsia" w:hAnsi="宋体" w:eastAsia="宋体" w:cs="宋体"/>
          <w:b/>
          <w:bCs/>
          <w:color w:val="auto"/>
          <w:sz w:val="21"/>
          <w:szCs w:val="21"/>
          <w:highlight w:val="none"/>
        </w:rPr>
        <w:t>一、项目概况</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工程名称：</w:t>
      </w:r>
      <w:r>
        <w:rPr>
          <w:rFonts w:hint="eastAsia" w:hAnsi="宋体" w:eastAsia="宋体" w:cs="宋体"/>
          <w:color w:val="auto"/>
          <w:sz w:val="21"/>
          <w:szCs w:val="21"/>
          <w:highlight w:val="none"/>
          <w:lang w:val="en-US" w:eastAsia="zh-CN"/>
        </w:rPr>
        <w:t>道滘镇南丫片区城中村改造项目掌洲工业安置房地块全过程驻场造价咨询服务</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工程地点：东莞市</w:t>
      </w:r>
      <w:r>
        <w:rPr>
          <w:rFonts w:hint="eastAsia" w:hAnsi="宋体" w:cs="宋体"/>
          <w:color w:val="auto"/>
          <w:sz w:val="21"/>
          <w:szCs w:val="21"/>
          <w:highlight w:val="none"/>
          <w:lang w:val="en-US" w:eastAsia="zh-CN"/>
        </w:rPr>
        <w:t>道滘</w:t>
      </w:r>
      <w:r>
        <w:rPr>
          <w:rFonts w:hint="eastAsia" w:hAnsi="宋体" w:eastAsia="宋体" w:cs="宋体"/>
          <w:color w:val="auto"/>
          <w:sz w:val="21"/>
          <w:szCs w:val="21"/>
          <w:highlight w:val="none"/>
        </w:rPr>
        <w:t>镇</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资金来源：</w:t>
      </w:r>
      <w:r>
        <w:rPr>
          <w:rFonts w:hint="eastAsia" w:hAnsi="宋体" w:cs="宋体"/>
          <w:color w:val="auto"/>
          <w:sz w:val="21"/>
          <w:szCs w:val="21"/>
          <w:highlight w:val="none"/>
          <w:lang w:val="en-US" w:eastAsia="zh-CN"/>
        </w:rPr>
        <w:t>企业自投</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rPr>
        <w:t>工程规模：</w:t>
      </w:r>
      <w:r>
        <w:rPr>
          <w:rFonts w:hint="eastAsia" w:hAnsi="宋体" w:eastAsia="宋体" w:cs="宋体"/>
          <w:color w:val="auto"/>
          <w:sz w:val="21"/>
          <w:szCs w:val="21"/>
          <w:highlight w:val="none"/>
          <w:lang w:val="en-US" w:eastAsia="zh-CN"/>
        </w:rPr>
        <w:t>项目占地面积约2</w:t>
      </w:r>
      <w:r>
        <w:rPr>
          <w:rFonts w:hint="eastAsia" w:hAnsi="宋体" w:cs="宋体"/>
          <w:color w:val="auto"/>
          <w:sz w:val="21"/>
          <w:szCs w:val="21"/>
          <w:highlight w:val="none"/>
          <w:lang w:val="en-US" w:eastAsia="zh-CN"/>
        </w:rPr>
        <w:t>3374.51</w:t>
      </w:r>
      <w:r>
        <w:rPr>
          <w:rFonts w:hint="eastAsia" w:hAnsi="宋体" w:eastAsia="宋体" w:cs="宋体"/>
          <w:color w:val="auto"/>
          <w:sz w:val="21"/>
          <w:szCs w:val="21"/>
          <w:highlight w:val="none"/>
          <w:lang w:val="en-US" w:eastAsia="zh-CN"/>
        </w:rPr>
        <w:t>平方米，</w:t>
      </w:r>
      <w:r>
        <w:rPr>
          <w:rFonts w:hint="eastAsia" w:hAnsi="宋体" w:cs="宋体"/>
          <w:color w:val="auto"/>
          <w:sz w:val="21"/>
          <w:szCs w:val="21"/>
          <w:highlight w:val="none"/>
          <w:lang w:val="en-US" w:eastAsia="zh-CN"/>
        </w:rPr>
        <w:t>计容</w:t>
      </w:r>
      <w:r>
        <w:rPr>
          <w:rFonts w:hint="eastAsia" w:hAnsi="宋体" w:eastAsia="宋体" w:cs="宋体"/>
          <w:color w:val="auto"/>
          <w:sz w:val="21"/>
          <w:szCs w:val="21"/>
          <w:highlight w:val="none"/>
          <w:lang w:val="en-US" w:eastAsia="zh-CN"/>
        </w:rPr>
        <w:t>面积</w:t>
      </w:r>
      <w:r>
        <w:rPr>
          <w:rFonts w:hint="eastAsia" w:hAnsi="宋体" w:cs="宋体"/>
          <w:color w:val="auto"/>
          <w:sz w:val="21"/>
          <w:szCs w:val="21"/>
          <w:highlight w:val="none"/>
          <w:lang w:val="en-US" w:eastAsia="zh-CN"/>
        </w:rPr>
        <w:t>为81810.79</w:t>
      </w:r>
      <w:r>
        <w:rPr>
          <w:rFonts w:hint="eastAsia" w:hAnsi="宋体" w:eastAsia="宋体" w:cs="宋体"/>
          <w:color w:val="auto"/>
          <w:sz w:val="21"/>
          <w:szCs w:val="21"/>
          <w:highlight w:val="none"/>
          <w:lang w:val="en-US" w:eastAsia="zh-CN"/>
        </w:rPr>
        <w:t>平方米（最终建设规模以相关批复文件为准）。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投资金额：本项目建安工程费</w:t>
      </w:r>
      <w:r>
        <w:rPr>
          <w:rFonts w:hint="eastAsia" w:hAnsi="宋体" w:eastAsia="宋体" w:cs="宋体"/>
          <w:color w:val="auto"/>
          <w:sz w:val="21"/>
          <w:szCs w:val="21"/>
          <w:highlight w:val="none"/>
          <w:lang w:eastAsia="zh-CN"/>
        </w:rPr>
        <w:t>为</w:t>
      </w:r>
      <w:r>
        <w:rPr>
          <w:rFonts w:hint="eastAsia" w:hAnsi="宋体" w:cs="宋体"/>
          <w:color w:val="auto"/>
          <w:sz w:val="21"/>
          <w:szCs w:val="21"/>
          <w:highlight w:val="none"/>
          <w:lang w:val="en-US" w:eastAsia="zh-CN"/>
        </w:rPr>
        <w:t>19243</w:t>
      </w:r>
      <w:r>
        <w:rPr>
          <w:rFonts w:hint="eastAsia" w:hAnsi="宋体" w:eastAsia="宋体" w:cs="宋体"/>
          <w:color w:val="auto"/>
          <w:sz w:val="21"/>
          <w:szCs w:val="21"/>
          <w:highlight w:val="none"/>
        </w:rPr>
        <w:t>万元（投资金额以最终批复的文件为准）。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服务期限：从合同签订之日起至咨询合同结算完毕经</w:t>
      </w:r>
      <w:r>
        <w:rPr>
          <w:rFonts w:hint="eastAsia" w:hAnsi="宋体" w:cs="宋体"/>
          <w:color w:val="auto"/>
          <w:sz w:val="21"/>
          <w:szCs w:val="21"/>
          <w:highlight w:val="none"/>
          <w:lang w:val="en-US" w:eastAsia="zh-CN"/>
        </w:rPr>
        <w:t>双</w:t>
      </w:r>
      <w:r>
        <w:rPr>
          <w:rFonts w:hint="eastAsia" w:hAnsi="宋体" w:eastAsia="宋体" w:cs="宋体"/>
          <w:color w:val="auto"/>
          <w:sz w:val="21"/>
          <w:szCs w:val="21"/>
          <w:highlight w:val="none"/>
        </w:rPr>
        <w:t xml:space="preserve">方确认后结束。 </w:t>
      </w: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color w:val="auto"/>
          <w:sz w:val="21"/>
          <w:szCs w:val="21"/>
          <w:highlight w:val="none"/>
        </w:rPr>
      </w:pP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二、服务内容</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道滘镇南丫片区城中村改造项目掌洲工业安置房地块全过程驻场造价咨询服务</w:t>
      </w:r>
      <w:r>
        <w:rPr>
          <w:rFonts w:hint="eastAsia" w:hAnsi="宋体" w:eastAsia="宋体" w:cs="宋体"/>
          <w:color w:val="auto"/>
          <w:sz w:val="21"/>
          <w:szCs w:val="21"/>
          <w:highlight w:val="none"/>
        </w:rPr>
        <w:t>，包括但不限于以下内容：设计阶段、发承包阶段、实施阶段、竣工阶段、财务决算阶段、审计阶段（如有）</w:t>
      </w:r>
      <w:r>
        <w:rPr>
          <w:rFonts w:hint="eastAsia" w:hAnsi="宋体" w:eastAsia="宋体" w:cs="宋体"/>
          <w:color w:val="auto"/>
          <w:sz w:val="21"/>
          <w:szCs w:val="21"/>
          <w:highlight w:val="none"/>
          <w:lang w:eastAsia="zh-CN"/>
        </w:rPr>
        <w:t>的：</w:t>
      </w:r>
      <w:r>
        <w:rPr>
          <w:rFonts w:hint="eastAsia" w:hAnsi="宋体" w:eastAsia="宋体" w:cs="宋体"/>
          <w:color w:val="auto"/>
          <w:sz w:val="21"/>
          <w:szCs w:val="21"/>
          <w:highlight w:val="none"/>
        </w:rPr>
        <w:t>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 配合</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年度或工程竣工后的审计工作。⑬按实际需要派驻造价人员</w:t>
      </w:r>
      <w:r>
        <w:rPr>
          <w:rFonts w:hint="eastAsia" w:hAnsi="宋体" w:cs="宋体"/>
          <w:color w:val="auto"/>
          <w:sz w:val="21"/>
          <w:szCs w:val="21"/>
          <w:highlight w:val="none"/>
          <w:lang w:val="en-US" w:eastAsia="zh-CN"/>
        </w:rPr>
        <w:t>到</w:t>
      </w:r>
      <w:r>
        <w:rPr>
          <w:rFonts w:hint="eastAsia" w:hAnsi="宋体" w:eastAsia="宋体" w:cs="宋体"/>
          <w:color w:val="auto"/>
          <w:sz w:val="21"/>
          <w:szCs w:val="21"/>
          <w:highlight w:val="none"/>
          <w:lang w:val="en-US" w:eastAsia="zh-CN"/>
        </w:rPr>
        <w:t>招标</w:t>
      </w:r>
      <w:r>
        <w:rPr>
          <w:rFonts w:hint="eastAsia" w:hAnsi="宋体" w:eastAsia="宋体" w:cs="宋体"/>
          <w:color w:val="auto"/>
          <w:sz w:val="21"/>
          <w:szCs w:val="21"/>
          <w:highlight w:val="none"/>
        </w:rPr>
        <w:t>人场地进行造价咨询服务（</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保留调整工作范围和内容的权利）。⑭</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委托的其他造价咨询服务工作（包含且不限于进行经济技术指标分析、对标分析、商务询价、参与各方组织的关于工程造价控制的工作会议、信息化管理、项目合约管理、各类台账管理等）。</w:t>
      </w: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三、对造价咨询单位（中标后）要求</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（1）造价咨询单位应严格按照国家和省、市有关财政、财务、基建管理、工程造价的法规、政策文件的有关规定、以及</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有关投资管控与造价管理的相关规定和对审核成果文件的要求，本着合理、合规节约投资的原则，客观、公正地开展投资项目编制工作</w:t>
      </w:r>
      <w:r>
        <w:rPr>
          <w:rFonts w:hint="eastAsia" w:hAnsi="宋体" w:cs="宋体"/>
          <w:color w:val="auto"/>
          <w:sz w:val="21"/>
          <w:szCs w:val="21"/>
          <w:highlight w:val="none"/>
        </w:rPr>
        <w:t xml:space="preserve">， </w:t>
      </w:r>
      <w:r>
        <w:rPr>
          <w:rFonts w:hint="eastAsia" w:hAnsi="宋体" w:eastAsia="宋体" w:cs="宋体"/>
          <w:color w:val="auto"/>
          <w:sz w:val="21"/>
          <w:szCs w:val="21"/>
          <w:highlight w:val="none"/>
        </w:rPr>
        <w:t>按时保质保量提供编制服务，对编制成果的真实性、准确性、完整性、合法性、合理性负责，并负有保密责任。</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w:t>
      </w:r>
      <w:r>
        <w:rPr>
          <w:rFonts w:hint="eastAsia" w:hAnsi="宋体" w:eastAsia="宋体" w:cs="宋体"/>
          <w:color w:val="auto"/>
          <w:sz w:val="21"/>
          <w:szCs w:val="21"/>
          <w:highlight w:val="none"/>
          <w:lang w:val="en-US" w:eastAsia="zh-CN"/>
        </w:rPr>
        <w:t>咨询人</w:t>
      </w:r>
      <w:r>
        <w:rPr>
          <w:rFonts w:hint="eastAsia" w:hAnsi="宋体" w:eastAsia="宋体" w:cs="宋体"/>
          <w:color w:val="auto"/>
          <w:sz w:val="21"/>
          <w:szCs w:val="21"/>
          <w:highlight w:val="none"/>
        </w:rPr>
        <w:t>应</w:t>
      </w:r>
      <w:r>
        <w:rPr>
          <w:rFonts w:hint="eastAsia" w:hAnsi="宋体" w:eastAsia="宋体" w:cs="宋体"/>
          <w:color w:val="auto"/>
          <w:sz w:val="21"/>
          <w:szCs w:val="21"/>
          <w:highlight w:val="none"/>
          <w:lang w:val="en-US" w:eastAsia="zh-CN"/>
        </w:rPr>
        <w:t>充分</w:t>
      </w:r>
      <w:r>
        <w:rPr>
          <w:rFonts w:hint="eastAsia" w:hAnsi="宋体" w:eastAsia="宋体" w:cs="宋体"/>
          <w:color w:val="auto"/>
          <w:sz w:val="21"/>
          <w:szCs w:val="21"/>
          <w:highlight w:val="none"/>
        </w:rPr>
        <w:t>带动公司后台资源服务项目</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在项目各阶段提出成本优化建议。</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3</w:t>
      </w:r>
      <w:r>
        <w:rPr>
          <w:rFonts w:hint="eastAsia" w:hAnsi="宋体" w:eastAsia="宋体" w:cs="宋体"/>
          <w:color w:val="auto"/>
          <w:sz w:val="21"/>
          <w:szCs w:val="21"/>
          <w:highlight w:val="none"/>
        </w:rPr>
        <w:t>）中标后，</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必须按投标时提交的人员配置表配置本项目造价咨询服务人员。</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有权根据项目实际情况要求</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增加专业造价工程师的投入，保证项目按</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规定的进度完成。</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必须在东莞市设有固定的办公场所、资料档案保管场所；配备专业造价管理软件和交通工具等。</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4</w:t>
      </w:r>
      <w:r>
        <w:rPr>
          <w:rFonts w:hint="eastAsia" w:hAnsi="宋体" w:eastAsia="宋体" w:cs="宋体"/>
          <w:color w:val="auto"/>
          <w:sz w:val="21"/>
          <w:szCs w:val="21"/>
          <w:highlight w:val="none"/>
        </w:rPr>
        <w:t>）造价咨询单位人员连续二次不参加工作例会、有关专题会议等，</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代表将记录缺位人员情况，必要时</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提出更换人员要求，或书面告诫，直到经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认可的人员到位。</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5</w:t>
      </w:r>
      <w:r>
        <w:rPr>
          <w:rFonts w:hint="eastAsia" w:hAnsi="宋体" w:eastAsia="宋体" w:cs="宋体"/>
          <w:color w:val="auto"/>
          <w:sz w:val="21"/>
          <w:szCs w:val="21"/>
          <w:highlight w:val="none"/>
        </w:rPr>
        <w:t>）如果</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人员渎职、拒不执行</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意见、服务态度恶劣，影响工作的，</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认为有必要更换</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人员时，将出具书面通知</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勿需说明理由</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应立即撤换，并重新委派经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认可的人员到位。</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6</w:t>
      </w:r>
      <w:r>
        <w:rPr>
          <w:rFonts w:hint="eastAsia" w:hAnsi="宋体" w:eastAsia="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7</w:t>
      </w:r>
      <w:r>
        <w:rPr>
          <w:rFonts w:hint="eastAsia" w:hAnsi="宋体" w:eastAsia="宋体" w:cs="宋体"/>
          <w:color w:val="auto"/>
          <w:sz w:val="21"/>
          <w:szCs w:val="21"/>
          <w:highlight w:val="none"/>
        </w:rPr>
        <w:t>）中标咨询单位须承诺服从</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的有关规定。合同执行过程中，</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颁布新的管理办法、细则或操作手册的，按最新制度执行。</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8</w:t>
      </w:r>
      <w:r>
        <w:rPr>
          <w:rFonts w:hint="eastAsia" w:hAnsi="宋体" w:eastAsia="宋体" w:cs="宋体"/>
          <w:color w:val="auto"/>
          <w:sz w:val="21"/>
          <w:szCs w:val="21"/>
          <w:highlight w:val="none"/>
        </w:rPr>
        <w:t>）造价咨询单位须独立完成</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委托的编制业务，不得将编制任务转让第三方完成，保证项目资料的完整，不得遗失、损坏项目资料，并按</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的要求按期做好已完项目的相关资料移交和归档工作。未经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同意，不得以任何形式向任何单位或个人披露编制项目有关的信息，不得对外提供、泄露编制有关情况。</w:t>
      </w:r>
    </w:p>
    <w:p>
      <w:pPr>
        <w:ind w:firstLine="420" w:firstLineChars="200"/>
        <w:rPr>
          <w:rFonts w:hint="eastAsia" w:eastAsia="宋体"/>
          <w:lang w:eastAsia="zh-CN"/>
        </w:rPr>
      </w:pPr>
      <w:r>
        <w:rPr>
          <w:rFonts w:hint="eastAsia" w:ascii="Arial" w:hAnsi="宋体" w:eastAsia="宋体" w:cs="宋体"/>
          <w:color w:val="auto"/>
          <w:sz w:val="21"/>
          <w:szCs w:val="21"/>
          <w:highlight w:val="none"/>
          <w:lang w:val="en-US" w:eastAsia="zh-CN" w:bidi="ar-SA"/>
        </w:rPr>
        <w:t>（9）因政策或其他客观原因导致本项目无法正常开展的，采购人可与投标人友好协商终止本次采购工作，双方互不追究缔约过失责任及违约责任。</w:t>
      </w: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四、主要工作要求</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一</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项目组织与实施</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1.1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承担工程造价管理咨询项目后应编制工程造价管理咨询项目工作大纲，完善</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承担咨询项目本身的管理内容。工作大纲的内容应包括项目概况、咨询服务范围、工作组织、工作进度、人员安排、实施方案、质量管理等内容。</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1.2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通知，</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需要及时安排人员去现场考察以及了解施工情况并及时处理。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1.3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应按工程造价咨询合同的要求制订工作进度计划，进度计划应服从整个建设项目的总体进度要求，各类工程造价咨询成果文件的提交时间与总体进度相协调，各类咨询成果的编制应有合理的工作周期，并须满足</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要求。</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二</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风险管理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2.1</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在项目实施中应进行正确的风险分析与风险评估，风险评估应包括对建设项目工程造价的影响和整个建设项目经济评价指标的影响。</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2.2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对于已经发生的风险事件应进行风险的分析与评估，为处理风险事件、工程索赔等问题提出合理建议，降低风险损失，避免风险带来的损失扩大。</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三</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信息管理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3.1 信息管理应包括工程造价信息数据库建立、工程造价软件使用及咨询单位管理系统的建设，利用计算机及网络通信技术为工程造价信息化管理服务。</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3.2 信息管理应服务本建设工程项目的全过程，对所收集的工程造价信息资料应及时处理，并应用于工程造价的确定及成本分析等环节。</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3.3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通过现场和非现场两种渠道，建立可靠的信息来源途径，随时掌握工程计价在不同阶段和不同时期的人工、材料、机械、设备等价格信息的变化，利用编码体系，做好信息获取、分析整理、信息利用、信息更新及信息淘汰。</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3.4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应遵循统一化、标准化、网络化的原则，应有效地应用工程项目工程造价软件，主要包括基础数据管理软件，工程项目预</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结</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 xml:space="preserve">算编审软件等。 </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四</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质量管理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4.1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应建立相应的质量管理体系。对其承担阶段工程造价咨询的基础资料的收集、归纳和整理，成果文件的提交、报审和归档等，都要有具体的规定。</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4.2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应对</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提供的书面资料</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提供的书面资料应加盖公章或有效合法的签名</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进行有效性和合理性核对，应保证自身收集的或已有的造价基础资料和编制依据全面、现行、有效。</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4.3</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4.4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出具的工程造价咨询成果文件质量应符合国家或行业工程计价的有关规定、标准、规范的要求，并须满足</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要求。工程造价咨询合同应约定具体的工程咨询质量精度标准。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4.5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在工程造价咨询服务完成后，项目负责人应组织有关人员对</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进行回访，听取</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对服务质量的评价意见，及时总结咨询服务的优、缺点和经验教训， 将存在的问题纳入质量改进计划，提出相应的改进措施。</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五</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档案管理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5.1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应依照《中华人民共和国档案法》的有关规定，建立、健全档案管理的各项规章制度，包括：档案收集制度、统计制度、保密制度、借阅制度和库房管理制度，以及档案管理人员守则等。</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5.2</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确认的材料、设备价款、甲供材料、设备清单，承包人的营业执照及资质等级证书等。成果文件包括：工程计量支付文件、工程索赔处理报告、工程结算等。</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5.3工程造价技术档案应按委托服务合同建立，按服务项目分类整理归纳。</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5.4工程造价技术档案过程文件保存期应遵照执行</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档案管理办法和相关规定。</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（六）</w:t>
      </w:r>
      <w:r>
        <w:rPr>
          <w:rFonts w:hint="default" w:hAnsi="宋体" w:eastAsia="宋体" w:cs="宋体"/>
          <w:color w:val="auto"/>
          <w:sz w:val="21"/>
          <w:szCs w:val="21"/>
          <w:highlight w:val="none"/>
          <w:lang w:val="en-US" w:eastAsia="zh-CN"/>
        </w:rPr>
        <w:t>全过程驻场造价咨询服务人员要求</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6.1 </w:t>
      </w:r>
      <w:r>
        <w:rPr>
          <w:rFonts w:hint="default" w:hAnsi="宋体" w:eastAsia="宋体" w:cs="宋体"/>
          <w:color w:val="auto"/>
          <w:sz w:val="21"/>
          <w:szCs w:val="21"/>
          <w:highlight w:val="none"/>
          <w:lang w:val="en-US" w:eastAsia="zh-CN"/>
        </w:rPr>
        <w:t>咨询专业人员要求：满足</w:t>
      </w:r>
      <w:r>
        <w:rPr>
          <w:rFonts w:hint="eastAsia" w:hAnsi="宋体" w:eastAsia="宋体" w:cs="宋体"/>
          <w:color w:val="auto"/>
          <w:sz w:val="21"/>
          <w:szCs w:val="21"/>
          <w:highlight w:val="none"/>
          <w:lang w:val="en-US" w:eastAsia="zh-CN"/>
        </w:rPr>
        <w:t>采购文件</w:t>
      </w:r>
      <w:r>
        <w:rPr>
          <w:rFonts w:hint="default" w:hAnsi="宋体" w:eastAsia="宋体" w:cs="宋体"/>
          <w:color w:val="auto"/>
          <w:sz w:val="21"/>
          <w:szCs w:val="21"/>
          <w:highlight w:val="none"/>
          <w:lang w:val="en-US" w:eastAsia="zh-CN"/>
        </w:rPr>
        <w:t>中“全过程造价管理服务人员配备要求表”的要求。</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6.2 </w:t>
      </w:r>
      <w:r>
        <w:rPr>
          <w:rFonts w:hint="default" w:hAnsi="宋体" w:eastAsia="宋体" w:cs="宋体"/>
          <w:color w:val="auto"/>
          <w:sz w:val="21"/>
          <w:szCs w:val="21"/>
          <w:highlight w:val="none"/>
          <w:lang w:val="en-US" w:eastAsia="zh-CN"/>
        </w:rPr>
        <w:t>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6.3 </w:t>
      </w:r>
      <w:r>
        <w:rPr>
          <w:rFonts w:hint="default" w:hAnsi="宋体" w:eastAsia="宋体" w:cs="宋体"/>
          <w:color w:val="auto"/>
          <w:sz w:val="21"/>
          <w:szCs w:val="21"/>
          <w:highlight w:val="none"/>
          <w:lang w:val="en-US" w:eastAsia="zh-CN"/>
        </w:rPr>
        <w:t>咨询人必须在拟派人员名单中按</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要求安排足够的技术人员开展工作，并明确各个项目的咨询专业人员，如</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认为造价咨询单位派出的咨询人员不足以按期完成咨询任务，造价咨询单位应按</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要求增派符合专业资格要求的咨询专业人员。如</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认为造价咨询单位派出的咨询专业人员不能胜任工作，</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有权要求造价咨询单位更换。</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6.4 </w:t>
      </w:r>
      <w:r>
        <w:rPr>
          <w:rFonts w:hint="default" w:hAnsi="宋体" w:eastAsia="宋体" w:cs="宋体"/>
          <w:color w:val="auto"/>
          <w:sz w:val="21"/>
          <w:szCs w:val="21"/>
          <w:highlight w:val="none"/>
          <w:lang w:val="en-US" w:eastAsia="zh-CN"/>
        </w:rPr>
        <w:t>在合同服务期限内，咨询人根据</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工作需要，应派出固定造价人员参与进度款现场核量、工程变更现场审核、工程例会等现场工作，被派出造价人员应有类似工程的工作经历，所产生的费用已包含在投标报价中。</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6.5 </w:t>
      </w:r>
      <w:r>
        <w:rPr>
          <w:rFonts w:hint="default" w:hAnsi="宋体" w:eastAsia="宋体" w:cs="宋体"/>
          <w:color w:val="auto"/>
          <w:sz w:val="21"/>
          <w:szCs w:val="21"/>
          <w:highlight w:val="none"/>
          <w:lang w:val="en-US" w:eastAsia="zh-CN"/>
        </w:rPr>
        <w:t>咨询人的项目人员不得随意更换。如需更换，须提前征得</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的书面同意。项目负责人必须是经</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书面认可。且必须做到，完全了解工程造价控制情况，按时参加工程例会，不得随意缺席</w:t>
      </w:r>
      <w:r>
        <w:rPr>
          <w:rFonts w:hint="eastAsia" w:hAnsi="宋体" w:eastAsia="宋体" w:cs="宋体"/>
          <w:color w:val="auto"/>
          <w:sz w:val="21"/>
          <w:szCs w:val="21"/>
          <w:highlight w:val="none"/>
          <w:lang w:val="en-US" w:eastAsia="zh-CN"/>
        </w:rPr>
        <w:t>。</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七</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驻场人员</w:t>
      </w:r>
      <w:r>
        <w:rPr>
          <w:rFonts w:hint="eastAsia" w:hAnsi="宋体" w:eastAsia="宋体" w:cs="宋体"/>
          <w:color w:val="auto"/>
          <w:sz w:val="21"/>
          <w:szCs w:val="21"/>
          <w:highlight w:val="none"/>
        </w:rPr>
        <w:t>管理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7.1 造价咨询单位应选派一名驻场造价咨询人员，该人员驻场服务期暂定为自</w:t>
      </w:r>
      <w:r>
        <w:rPr>
          <w:rFonts w:hint="eastAsia" w:hAnsi="宋体" w:cs="宋体"/>
          <w:color w:val="auto"/>
          <w:sz w:val="21"/>
          <w:szCs w:val="21"/>
          <w:highlight w:val="none"/>
          <w:lang w:val="en-US" w:eastAsia="zh-CN"/>
        </w:rPr>
        <w:t xml:space="preserve">  </w:t>
      </w:r>
      <w:r>
        <w:rPr>
          <w:rFonts w:hint="eastAsia" w:hAnsi="宋体" w:eastAsia="宋体" w:cs="宋体"/>
          <w:color w:val="auto"/>
          <w:sz w:val="21"/>
          <w:szCs w:val="21"/>
          <w:highlight w:val="none"/>
          <w:lang w:val="en-US" w:eastAsia="zh-CN"/>
        </w:rPr>
        <w:t>年</w:t>
      </w:r>
      <w:r>
        <w:rPr>
          <w:rFonts w:hint="eastAsia" w:hAnsi="宋体" w:cs="宋体"/>
          <w:color w:val="auto"/>
          <w:sz w:val="21"/>
          <w:szCs w:val="21"/>
          <w:highlight w:val="none"/>
          <w:lang w:val="en-US" w:eastAsia="zh-CN"/>
        </w:rPr>
        <w:t xml:space="preserve">  </w:t>
      </w:r>
      <w:r>
        <w:rPr>
          <w:rFonts w:hint="eastAsia" w:hAnsi="宋体" w:eastAsia="宋体" w:cs="宋体"/>
          <w:color w:val="auto"/>
          <w:sz w:val="21"/>
          <w:szCs w:val="21"/>
          <w:highlight w:val="none"/>
          <w:lang w:val="en-US" w:eastAsia="zh-CN"/>
        </w:rPr>
        <w:t>月</w:t>
      </w:r>
      <w:r>
        <w:rPr>
          <w:rFonts w:hint="eastAsia" w:hAnsi="宋体" w:cs="宋体"/>
          <w:color w:val="auto"/>
          <w:sz w:val="21"/>
          <w:szCs w:val="21"/>
          <w:highlight w:val="none"/>
          <w:lang w:val="en-US" w:eastAsia="zh-CN"/>
        </w:rPr>
        <w:t xml:space="preserve">  </w:t>
      </w:r>
      <w:r>
        <w:rPr>
          <w:rFonts w:hint="eastAsia" w:hAnsi="宋体" w:eastAsia="宋体" w:cs="宋体"/>
          <w:color w:val="auto"/>
          <w:sz w:val="21"/>
          <w:szCs w:val="21"/>
          <w:highlight w:val="none"/>
          <w:lang w:val="en-US" w:eastAsia="zh-CN"/>
        </w:rPr>
        <w:t>日起至项目竣工验收完成之日止，具体以采购人要求为准。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7.2 选派的驻场人员须经采购人面试合格后方可进场。</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7.3 驻场人员在驻场期间接受采购人管理，遵循采购人的劳动时间及劳动纪律，根据采购人的安排在项目驻场办公。每月驻场时间不少于20个工作日，签到时间不晚于上午9点，签退时间不早于下午6点，如无理由缺勤，采购人有权要求造价咨询单位按200元/天支付违约金。如派驻现场技术人员每月请假日数累计超过6日，采购人有权要求造价咨询单位支付违约金2000元/次。</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rPr>
        <w:t>7.4 造价咨询单位应保证驻场人员的相对固定，并保证其工作时间和工作连贯性，更换人员需书面告知</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，未经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同意不得更换人员。对于未达到</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工作要求的派遣人员，</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必须在10个工作日内进行更换，更换的派遣人员应符合工作要求。</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更换驻场人员，</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有权要求</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支付违约金10000元/人/次</w:t>
      </w:r>
      <w:r>
        <w:rPr>
          <w:rFonts w:hint="eastAsia" w:hAnsi="宋体" w:eastAsia="宋体" w:cs="宋体"/>
          <w:color w:val="auto"/>
          <w:sz w:val="21"/>
          <w:szCs w:val="21"/>
          <w:highlight w:val="none"/>
          <w:lang w:val="en-US" w:eastAsia="zh-CN"/>
        </w:rPr>
        <w:t>。</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7.5 派驻现场技术人员离开施工现场1日以上需报采购人批准，在其请假离开的时间段内应委托咨询人其他相当职称资格技术人员驻场，全权代表其行使相应职权；否则，每违约一次，咨询人承担违约金1000元。</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rPr>
      </w:pPr>
      <w:r>
        <w:rPr>
          <w:rFonts w:hint="eastAsia" w:hAnsi="宋体" w:eastAsia="宋体" w:cs="宋体"/>
          <w:color w:val="auto"/>
          <w:sz w:val="21"/>
          <w:szCs w:val="21"/>
          <w:highlight w:val="none"/>
          <w:lang w:val="en-US" w:eastAsia="zh-CN"/>
        </w:rPr>
        <w:t>7.6 驻场人员须每月22日提交更新合同台账、变更台账、进度款台账、动态成本台账、结算台账等，若台账信息缺失或者描述与实际情况不符的，出现1次，处500元违约金。</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（八）成本实测实量</w:t>
      </w:r>
      <w:r>
        <w:rPr>
          <w:rFonts w:hint="eastAsia" w:hAnsi="宋体" w:eastAsia="宋体" w:cs="宋体"/>
          <w:color w:val="auto"/>
          <w:sz w:val="21"/>
          <w:szCs w:val="21"/>
          <w:highlight w:val="none"/>
        </w:rPr>
        <w:t>管理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8.1 驻场人员</w:t>
      </w:r>
      <w:r>
        <w:rPr>
          <w:rFonts w:hint="eastAsia" w:hAnsi="宋体" w:eastAsia="宋体" w:cs="宋体"/>
          <w:color w:val="auto"/>
          <w:sz w:val="21"/>
          <w:szCs w:val="21"/>
          <w:highlight w:val="none"/>
        </w:rPr>
        <w:t>按要求和要点每周在工地现场进行至少</w:t>
      </w:r>
      <w:r>
        <w:rPr>
          <w:rFonts w:hint="eastAsia" w:hAnsi="宋体" w:eastAsia="宋体" w:cs="宋体"/>
          <w:color w:val="auto"/>
          <w:sz w:val="21"/>
          <w:szCs w:val="21"/>
          <w:highlight w:val="none"/>
          <w:lang w:val="en-US" w:eastAsia="zh-CN"/>
        </w:rPr>
        <w:t>4</w:t>
      </w:r>
      <w:r>
        <w:rPr>
          <w:rFonts w:hint="eastAsia" w:hAnsi="宋体" w:eastAsia="宋体" w:cs="宋体"/>
          <w:color w:val="auto"/>
          <w:sz w:val="21"/>
          <w:szCs w:val="21"/>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hAnsi="宋体" w:eastAsia="宋体" w:cs="宋体"/>
          <w:color w:val="auto"/>
          <w:sz w:val="21"/>
          <w:szCs w:val="21"/>
          <w:highlight w:val="none"/>
          <w:lang w:eastAsia="zh-CN"/>
        </w:rPr>
        <w:t>，巡查过程发现异常问题须及时向采购人反馈。</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五、造价咨询服务进度和质量要求</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应对</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委托的项目资料的完整性、严谨性把关，对因采购范围不清晰、图纸不详导致基本工程量难以计算等情况，应在收到资料2个日历天内向</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提出资料补充要求。因资料不完整而</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未能及时提出而造成编审进度延误，应由</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负责。</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（二）</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必须在规定的时限内完成工程造价咨询服务的编审工作及配合各项工作的进度需求，若有需要，</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有可能要求提前，咨询单位需要无条件执行。</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（三）造价工程师考核标准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为提高全过程</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人员工作积极性,引进考核机制，</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根据</w:t>
      </w:r>
      <w:r>
        <w:rPr>
          <w:rFonts w:hint="eastAsia" w:hAnsi="宋体" w:eastAsia="宋体" w:cs="宋体"/>
          <w:color w:val="auto"/>
          <w:sz w:val="21"/>
          <w:szCs w:val="21"/>
          <w:highlight w:val="none"/>
          <w:lang w:val="en-US" w:eastAsia="zh-CN"/>
        </w:rPr>
        <w:t>合同</w:t>
      </w:r>
      <w:r>
        <w:rPr>
          <w:rFonts w:hint="eastAsia" w:hAnsi="宋体" w:eastAsia="宋体" w:cs="宋体"/>
          <w:color w:val="auto"/>
          <w:sz w:val="21"/>
          <w:szCs w:val="21"/>
          <w:highlight w:val="none"/>
        </w:rPr>
        <w:t>附件6中的《中介咨询机构评价意见表》、《咨询单位驻场人员考核表》要求的考核机制对</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进行考核，并以《中介咨询机构评价意见表》、《咨询单位驻场人员考核表》作为</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浮动酬金（咨询服务费的20%）发放的依据。</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（四）清单设置及工程量计算执行</w:t>
      </w:r>
      <w:r>
        <w:rPr>
          <w:rFonts w:hint="eastAsia" w:ascii="宋体" w:hAnsi="宋体" w:eastAsia="宋体" w:cs="宋体"/>
          <w:color w:val="auto"/>
          <w:sz w:val="21"/>
          <w:szCs w:val="21"/>
          <w:highlight w:val="none"/>
        </w:rPr>
        <w:t>《建设工程工程量清单计价标准》（GB/T50500-2024）、《房屋建筑与装饰工程工程量计算标准》 （GB/T50854-2024、《通用安装工程工程量计算标准》（GB/T50856-2024）、《市政工程工程量计算标准》（GB/T50857-2024）、《园林绿化工程工程量计算标准》（GB/T50858-2024）</w:t>
      </w:r>
      <w:r>
        <w:rPr>
          <w:rFonts w:hint="eastAsia" w:hAnsi="宋体" w:eastAsia="宋体" w:cs="宋体"/>
          <w:color w:val="auto"/>
          <w:sz w:val="21"/>
          <w:szCs w:val="21"/>
          <w:highlight w:val="none"/>
        </w:rPr>
        <w:t>及《广东省工程量清单计价指引（2013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》、《广东省安装工程工程量清单计价指引</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（五）现行最新的工程造价规范性文件与第（四）点不一致的，按最新的规定执行。</w:t>
      </w:r>
    </w:p>
    <w:p>
      <w:pPr>
        <w:ind w:firstLine="420" w:firstLineChars="200"/>
        <w:rPr>
          <w:rFonts w:hint="eastAsia" w:ascii="宋体" w:hAnsi="宋体" w:cs="宋体"/>
          <w:bCs/>
          <w:color w:val="auto"/>
          <w:szCs w:val="21"/>
          <w:highlight w:val="none"/>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六</w:t>
      </w:r>
      <w:r>
        <w:rPr>
          <w:rFonts w:hint="eastAsia" w:ascii="宋体" w:hAnsi="宋体" w:cs="宋体"/>
          <w:bCs/>
          <w:color w:val="auto"/>
          <w:sz w:val="21"/>
          <w:szCs w:val="21"/>
          <w:highlight w:val="none"/>
          <w:lang w:eastAsia="zh-CN"/>
        </w:rPr>
        <w:t>）</w:t>
      </w:r>
      <w:r>
        <w:rPr>
          <w:rFonts w:hint="eastAsia" w:ascii="宋体" w:hAnsi="宋体" w:cs="宋体"/>
          <w:bCs/>
          <w:color w:val="auto"/>
          <w:szCs w:val="21"/>
          <w:highlight w:val="none"/>
        </w:rPr>
        <w:t>造价咨询单位在进行结算审核工作时，须进行现场查勘，并须对施工合同承包方是否存在偷工减料、不按图施工情况进行现场核实，必要时可申请在东实集团库内抽取第三方检测单位进行现场核查，费用由项目公司支付。对于核实存在偷工减料、不按图施工情况的，将以该偷工减料、不按图施工部分对应结算核减金额的10%作为造价咨询服务单位效益收费。</w:t>
      </w:r>
    </w:p>
    <w:p>
      <w:pPr>
        <w:ind w:firstLine="420" w:firstLineChars="200"/>
        <w:rPr>
          <w:rFonts w:hint="eastAsia" w:ascii="宋体" w:hAnsi="宋体" w:eastAsia="宋体" w:cs="宋体"/>
          <w:b/>
          <w:bCs/>
          <w:color w:val="auto"/>
          <w:sz w:val="21"/>
          <w:szCs w:val="21"/>
          <w:highlight w:val="none"/>
        </w:rPr>
      </w:pPr>
      <w:r>
        <w:rPr>
          <w:rFonts w:hint="eastAsia" w:ascii="宋体" w:hAnsi="宋体" w:cs="宋体"/>
          <w:bCs/>
          <w:color w:val="auto"/>
          <w:szCs w:val="21"/>
          <w:highlight w:val="none"/>
        </w:rPr>
        <w:t>如施工合同承包方存在偷工减料、不按图施工情况，但造价咨询单位未发现该问题并未对合同结算金额进行如实扣减的，则造价咨询单位须退回该合同项目下所有关于偷工减料、不按图施工情况的效益收费</w:t>
      </w:r>
      <w:r>
        <w:rPr>
          <w:rFonts w:hint="eastAsia" w:ascii="宋体" w:hAnsi="宋体" w:cs="宋体"/>
          <w:bCs/>
          <w:color w:val="auto"/>
          <w:szCs w:val="21"/>
          <w:highlight w:val="none"/>
          <w:lang w:eastAsia="zh-CN"/>
        </w:rPr>
        <w:t>。</w:t>
      </w: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六、设计图纸</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本项目工程暂无设计图纸，中标后由采购人提供给中标单位。</w:t>
      </w: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七、工程造价咨询服务费估算</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本项目的工程造价咨询服务费估算详见本篇附件一《</w:t>
      </w:r>
      <w:r>
        <w:rPr>
          <w:rFonts w:hint="eastAsia" w:hAnsi="宋体" w:eastAsia="宋体" w:cs="宋体"/>
          <w:color w:val="auto"/>
          <w:sz w:val="21"/>
          <w:szCs w:val="21"/>
          <w:highlight w:val="none"/>
          <w:lang w:val="en-US" w:eastAsia="zh-CN"/>
        </w:rPr>
        <w:t>道滘镇南丫片区城中村改造项目掌洲工业安置房地块全过程驻场造价咨询</w:t>
      </w:r>
      <w:r>
        <w:rPr>
          <w:rFonts w:hint="eastAsia" w:hAnsi="宋体" w:eastAsia="宋体" w:cs="宋体"/>
          <w:color w:val="auto"/>
          <w:sz w:val="21"/>
          <w:szCs w:val="21"/>
          <w:highlight w:val="none"/>
          <w:lang w:eastAsia="zh-CN"/>
        </w:rPr>
        <w:t>服务</w:t>
      </w:r>
      <w:r>
        <w:rPr>
          <w:rFonts w:hint="eastAsia" w:hAnsi="宋体" w:eastAsia="宋体" w:cs="宋体"/>
          <w:color w:val="auto"/>
          <w:sz w:val="21"/>
          <w:szCs w:val="21"/>
          <w:highlight w:val="none"/>
        </w:rPr>
        <w:t>收费计算表</w:t>
      </w:r>
      <w:r>
        <w:rPr>
          <w:rFonts w:hint="eastAsia" w:hAnsi="宋体" w:eastAsia="宋体" w:cs="宋体"/>
          <w:color w:val="auto"/>
          <w:sz w:val="21"/>
          <w:szCs w:val="21"/>
          <w:highlight w:val="none"/>
          <w:lang w:val="zh-CN"/>
        </w:rPr>
        <w:t>》。</w:t>
      </w: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八、人员要求</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拟投入项目组成员配置合理、专业齐全、经验丰富，人员配置的最低要求须满足本篇附件二《造价咨询服务人员配备要求表》，采购人有权根据项目实际情况要求中标单位增加专业造价工程师的投入，保证项目按采购人规定的进度完成。</w:t>
      </w: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九、付款方式</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（一）估算审核阶段：</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按合同约定提交约定的工程估算审核报告等成果文件，该阶段不另外计费。</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（二）概算审核</w:t>
      </w:r>
      <w:r>
        <w:rPr>
          <w:rFonts w:hint="eastAsia" w:hAnsi="宋体" w:eastAsia="宋体" w:cs="宋体"/>
          <w:color w:val="auto"/>
          <w:sz w:val="21"/>
          <w:szCs w:val="21"/>
          <w:highlight w:val="none"/>
          <w:lang w:val="en-US" w:eastAsia="zh-CN"/>
        </w:rPr>
        <w:t>阶段：</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按合同约定提交约定的</w:t>
      </w:r>
      <w:r>
        <w:rPr>
          <w:rFonts w:hint="eastAsia" w:hAnsi="宋体" w:cs="宋体"/>
          <w:color w:val="auto"/>
          <w:kern w:val="2"/>
          <w:highlight w:val="none"/>
        </w:rPr>
        <w:t>初步</w:t>
      </w:r>
      <w:r>
        <w:rPr>
          <w:rFonts w:hint="eastAsia" w:hAnsi="宋体" w:eastAsia="宋体" w:cs="宋体"/>
          <w:color w:val="auto"/>
          <w:sz w:val="21"/>
          <w:szCs w:val="21"/>
          <w:highlight w:val="none"/>
        </w:rPr>
        <w:t>概算审核报告</w:t>
      </w:r>
      <w:r>
        <w:rPr>
          <w:rFonts w:hint="eastAsia" w:hAnsi="宋体" w:eastAsia="宋体" w:cs="宋体"/>
          <w:color w:val="auto"/>
          <w:sz w:val="21"/>
          <w:szCs w:val="21"/>
          <w:highlight w:val="none"/>
          <w:lang w:val="en-US" w:eastAsia="zh-CN"/>
        </w:rPr>
        <w:t>等成果文件，</w:t>
      </w:r>
      <w:r>
        <w:rPr>
          <w:rFonts w:hint="eastAsia" w:hAnsi="宋体" w:eastAsia="宋体" w:cs="宋体"/>
          <w:color w:val="auto"/>
          <w:sz w:val="21"/>
          <w:szCs w:val="21"/>
          <w:highlight w:val="none"/>
        </w:rPr>
        <w:t>该阶段不另外计费。</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三</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预算编制阶段：</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按合同约定提交约定的</w:t>
      </w:r>
      <w:r>
        <w:rPr>
          <w:rFonts w:hint="eastAsia" w:hAnsi="宋体" w:cs="宋体"/>
          <w:color w:val="auto"/>
          <w:kern w:val="2"/>
          <w:highlight w:val="none"/>
        </w:rPr>
        <w:t>初步</w:t>
      </w:r>
      <w:r>
        <w:rPr>
          <w:rFonts w:hint="eastAsia" w:hAnsi="宋体" w:eastAsia="宋体" w:cs="宋体"/>
          <w:color w:val="auto"/>
          <w:sz w:val="21"/>
          <w:szCs w:val="21"/>
          <w:highlight w:val="none"/>
        </w:rPr>
        <w:t>施工图预算、工程量清单等成果文件，经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确认后30个日历天内，</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rPr>
        <w:t>支付</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基本酬金（以</w:t>
      </w:r>
      <w:r>
        <w:rPr>
          <w:rFonts w:hint="eastAsia" w:hAnsi="宋体" w:cs="宋体"/>
          <w:color w:val="auto"/>
          <w:kern w:val="2"/>
          <w:highlight w:val="none"/>
        </w:rPr>
        <w:t>初步</w:t>
      </w:r>
      <w:r>
        <w:rPr>
          <w:rFonts w:hint="eastAsia" w:hAnsi="宋体" w:eastAsia="宋体" w:cs="宋体"/>
          <w:color w:val="auto"/>
          <w:sz w:val="21"/>
          <w:szCs w:val="21"/>
          <w:highlight w:val="none"/>
        </w:rPr>
        <w:t>施工图预算作为收费基数计算的咨询服务费总价*</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%的80%）+浮动酬金（以</w:t>
      </w:r>
      <w:r>
        <w:rPr>
          <w:rFonts w:hint="eastAsia" w:hAnsi="宋体" w:cs="宋体"/>
          <w:color w:val="auto"/>
          <w:kern w:val="2"/>
          <w:highlight w:val="none"/>
        </w:rPr>
        <w:t>初步</w:t>
      </w:r>
      <w:r>
        <w:rPr>
          <w:rFonts w:hint="eastAsia" w:hAnsi="宋体" w:eastAsia="宋体" w:cs="宋体"/>
          <w:color w:val="auto"/>
          <w:sz w:val="21"/>
          <w:szCs w:val="21"/>
          <w:highlight w:val="none"/>
        </w:rPr>
        <w:t>施工图预算作为收费基数计算的咨询服务费总价*</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%的20%为基数计算*咨询考核表评价分数对应的计费系数</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浮动酬金包含采购人已签批的支付给驻场咨询人员的奖励金</w:t>
      </w:r>
      <w:r>
        <w:rPr>
          <w:rFonts w:hint="eastAsia" w:hAnsi="宋体" w:eastAsia="宋体" w:cs="宋体"/>
          <w:color w:val="auto"/>
          <w:sz w:val="21"/>
          <w:szCs w:val="21"/>
          <w:highlight w:val="none"/>
        </w:rPr>
        <w:t>）；</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四</w:t>
      </w:r>
      <w:r>
        <w:rPr>
          <w:rFonts w:hint="eastAsia" w:hAnsi="宋体" w:eastAsia="宋体" w:cs="宋体"/>
          <w:color w:val="auto"/>
          <w:sz w:val="21"/>
          <w:szCs w:val="21"/>
          <w:highlight w:val="none"/>
        </w:rPr>
        <w:t>）施工阶段：</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hAnsi="宋体" w:cs="宋体"/>
          <w:color w:val="auto"/>
          <w:kern w:val="2"/>
          <w:highlight w:val="none"/>
        </w:rPr>
        <w:t>初步</w:t>
      </w:r>
      <w:r>
        <w:rPr>
          <w:rFonts w:hint="eastAsia" w:hAnsi="宋体" w:eastAsia="宋体" w:cs="宋体"/>
          <w:color w:val="auto"/>
          <w:sz w:val="21"/>
          <w:szCs w:val="21"/>
          <w:highlight w:val="none"/>
        </w:rPr>
        <w:t>施工图预算确认后，从</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rPr>
        <w:t>支付预算编制阶段费用后按季向咨询单位支付咨询服务酬金，本项目每季酬金=【基本酬金（以</w:t>
      </w:r>
      <w:r>
        <w:rPr>
          <w:rFonts w:hint="eastAsia" w:hAnsi="宋体" w:cs="宋体"/>
          <w:color w:val="auto"/>
          <w:kern w:val="2"/>
          <w:highlight w:val="none"/>
        </w:rPr>
        <w:t>初步</w:t>
      </w:r>
      <w:r>
        <w:rPr>
          <w:rFonts w:hint="eastAsia" w:hAnsi="宋体" w:eastAsia="宋体" w:cs="宋体"/>
          <w:color w:val="auto"/>
          <w:sz w:val="21"/>
          <w:szCs w:val="21"/>
          <w:highlight w:val="none"/>
        </w:rPr>
        <w:t>施工图预算作为收费基数计算的咨询服务费总价*6%的80%）+浮动酬金（以</w:t>
      </w:r>
      <w:r>
        <w:rPr>
          <w:rFonts w:hint="eastAsia" w:hAnsi="宋体" w:cs="宋体"/>
          <w:color w:val="auto"/>
          <w:kern w:val="2"/>
          <w:highlight w:val="none"/>
        </w:rPr>
        <w:t>初步</w:t>
      </w:r>
      <w:r>
        <w:rPr>
          <w:rFonts w:hint="eastAsia" w:hAnsi="宋体" w:eastAsia="宋体" w:cs="宋体"/>
          <w:color w:val="auto"/>
          <w:sz w:val="21"/>
          <w:szCs w:val="21"/>
          <w:highlight w:val="none"/>
        </w:rPr>
        <w:t>施工图预算作为收费基数计算的咨询服务费总价*6%的20%）</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浮动酬金包含采购人已签批的支付给驻场咨询人员的奖励金</w:t>
      </w:r>
      <w:r>
        <w:rPr>
          <w:rFonts w:hint="eastAsia" w:hAnsi="宋体" w:eastAsia="宋体" w:cs="宋体"/>
          <w:color w:val="auto"/>
          <w:sz w:val="21"/>
          <w:szCs w:val="21"/>
          <w:highlight w:val="none"/>
        </w:rPr>
        <w:t>）】，累计支付至以经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审核确定的累计工程预算价计算的咨询服务费总价的70%后，不再支付。</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cs="宋体"/>
          <w:color w:val="auto"/>
          <w:kern w:val="2"/>
          <w:highlight w:val="none"/>
        </w:rPr>
        <w:t>2、 工程竣工验收合格且最终施工图预算确认</w:t>
      </w:r>
      <w:r>
        <w:rPr>
          <w:rFonts w:hint="eastAsia" w:hAnsi="宋体" w:eastAsia="宋体" w:cs="宋体"/>
          <w:color w:val="auto"/>
          <w:sz w:val="21"/>
          <w:szCs w:val="21"/>
          <w:highlight w:val="none"/>
        </w:rPr>
        <w:t>，并经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确认后30个日历天内，</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rPr>
        <w:t>向</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支付基本酬金（以累计工程预算价</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下浮前</w:t>
      </w:r>
      <w:r>
        <w:rPr>
          <w:rFonts w:hint="eastAsia" w:hAnsi="宋体" w:eastAsia="宋体" w:cs="宋体"/>
          <w:color w:val="auto"/>
          <w:sz w:val="21"/>
          <w:szCs w:val="21"/>
          <w:highlight w:val="none"/>
          <w:lang w:eastAsia="zh-CN"/>
        </w:rPr>
        <w:t>）为收费基数计算的咨询服务费总价</w:t>
      </w:r>
      <w:r>
        <w:rPr>
          <w:rFonts w:hint="eastAsia" w:hAnsi="宋体" w:eastAsia="宋体" w:cs="宋体"/>
          <w:color w:val="auto"/>
          <w:sz w:val="21"/>
          <w:szCs w:val="21"/>
          <w:highlight w:val="none"/>
        </w:rPr>
        <w:t>*15%的80%）+浮动酬金（以累计工程预算价</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下浮前</w:t>
      </w:r>
      <w:r>
        <w:rPr>
          <w:rFonts w:hint="eastAsia" w:hAnsi="宋体" w:eastAsia="宋体" w:cs="宋体"/>
          <w:color w:val="auto"/>
          <w:sz w:val="21"/>
          <w:szCs w:val="21"/>
          <w:highlight w:val="none"/>
          <w:lang w:eastAsia="zh-CN"/>
        </w:rPr>
        <w:t>）为收费基数计算的咨询服务费总价</w:t>
      </w:r>
      <w:r>
        <w:rPr>
          <w:rFonts w:hint="eastAsia" w:hAnsi="宋体" w:eastAsia="宋体" w:cs="宋体"/>
          <w:color w:val="auto"/>
          <w:sz w:val="21"/>
          <w:szCs w:val="21"/>
          <w:highlight w:val="none"/>
        </w:rPr>
        <w:t>*15%的20%为基数计算*咨询考核表评价分数对应的计费系数</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浮动酬金包含采购人已签批的支付给驻场咨询人员的奖励金</w:t>
      </w:r>
      <w:r>
        <w:rPr>
          <w:rFonts w:hint="eastAsia" w:hAnsi="宋体" w:eastAsia="宋体" w:cs="宋体"/>
          <w:color w:val="auto"/>
          <w:sz w:val="21"/>
          <w:szCs w:val="21"/>
          <w:highlight w:val="none"/>
        </w:rPr>
        <w:t>））；</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（五）结算阶段：本合同约定的全部服务内容完成，</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提交完整合格结算资料及后评估资料并经采购人与中标人</w:t>
      </w:r>
      <w:r>
        <w:rPr>
          <w:rFonts w:hint="eastAsia" w:hAnsi="宋体" w:cs="宋体"/>
          <w:color w:val="auto"/>
          <w:sz w:val="21"/>
          <w:szCs w:val="21"/>
          <w:highlight w:val="none"/>
          <w:lang w:val="en-US" w:eastAsia="zh-CN"/>
        </w:rPr>
        <w:t>双方</w:t>
      </w:r>
      <w:r>
        <w:rPr>
          <w:rFonts w:hint="eastAsia" w:hAnsi="宋体" w:eastAsia="宋体" w:cs="宋体"/>
          <w:color w:val="auto"/>
          <w:sz w:val="21"/>
          <w:szCs w:val="21"/>
          <w:highlight w:val="none"/>
        </w:rPr>
        <w:t>确认结算金额且</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提供发票金额至结算金额后30个日历天内，</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rPr>
        <w:t>向</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支付至咨询服务费结算价的95%。</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（六）本咨询合同结算满一年后，若无合同约定的扣除违约金、赔偿金等情形的，</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rPr>
        <w:t>向</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支付咨询服务费结算价剩余5%，否则支付扣除相应违约金、赔偿金等金额后的剩余金额，结算价剩余金额不计息</w:t>
      </w:r>
      <w:r>
        <w:rPr>
          <w:rFonts w:hint="eastAsia" w:hAnsi="宋体" w:eastAsia="宋体" w:cs="宋体"/>
          <w:color w:val="auto"/>
          <w:sz w:val="21"/>
          <w:szCs w:val="21"/>
          <w:highlight w:val="none"/>
          <w:lang w:val="en-US" w:eastAsia="zh-CN"/>
        </w:rPr>
        <w:t>。</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七</w:t>
      </w:r>
      <w:r>
        <w:rPr>
          <w:rFonts w:hint="eastAsia" w:hAnsi="宋体" w:eastAsia="宋体" w:cs="宋体"/>
          <w:color w:val="auto"/>
          <w:sz w:val="21"/>
          <w:szCs w:val="21"/>
          <w:highlight w:val="none"/>
        </w:rPr>
        <w:t>）按照现行税收政策规定，每次付款前，</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必须提供合法、有效、与本合同总价款条款中增值税税率一致的增值税专用发票给</w:t>
      </w:r>
      <w:r>
        <w:rPr>
          <w:rFonts w:hint="eastAsia" w:hAnsi="宋体" w:eastAsia="宋体" w:cs="宋体"/>
          <w:color w:val="auto"/>
          <w:sz w:val="21"/>
          <w:szCs w:val="21"/>
          <w:highlight w:val="none"/>
          <w:lang w:val="en-US" w:eastAsia="zh-CN"/>
        </w:rPr>
        <w:t>采购人</w:t>
      </w:r>
      <w:r>
        <w:rPr>
          <w:rFonts w:hint="eastAsia" w:hAnsi="宋体" w:eastAsia="宋体" w:cs="宋体"/>
          <w:color w:val="auto"/>
          <w:sz w:val="21"/>
          <w:szCs w:val="21"/>
          <w:highlight w:val="none"/>
        </w:rPr>
        <w:t>，否则</w:t>
      </w:r>
      <w:r>
        <w:rPr>
          <w:rFonts w:hint="eastAsia" w:hAnsi="宋体" w:eastAsia="宋体" w:cs="宋体"/>
          <w:color w:val="auto"/>
          <w:sz w:val="21"/>
          <w:szCs w:val="21"/>
          <w:highlight w:val="none"/>
          <w:lang w:val="en-US" w:eastAsia="zh-CN"/>
        </w:rPr>
        <w:t>采购人</w:t>
      </w:r>
      <w:r>
        <w:rPr>
          <w:rFonts w:hint="eastAsia" w:hAnsi="宋体" w:eastAsia="宋体" w:cs="宋体"/>
          <w:color w:val="auto"/>
          <w:sz w:val="21"/>
          <w:szCs w:val="21"/>
          <w:highlight w:val="none"/>
        </w:rPr>
        <w:t>有权拒绝付款且不构成违约。若合同执行期间，遇国家税务政策调整所引起的合同价格变化，按照不含税价格调整结算价格。</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收到发票和其他请款资料并核对无误后，30个日历天内以银行转账方式付款。</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八</w:t>
      </w:r>
      <w:r>
        <w:rPr>
          <w:rFonts w:hint="eastAsia" w:hAnsi="宋体" w:eastAsia="宋体" w:cs="宋体"/>
          <w:color w:val="auto"/>
          <w:sz w:val="21"/>
          <w:szCs w:val="21"/>
          <w:highlight w:val="none"/>
        </w:rPr>
        <w:t>）履约担保</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领取中标通知书后，应向</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提交履约担保，履约担保金额为本合同咨询酬金暂定价款的10%</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造价咨询单位可采用直接支付履约担保金或开具履约保函的形式提供履约担保。</w:t>
      </w:r>
      <w:r>
        <w:rPr>
          <w:rFonts w:hint="eastAsia" w:hAnsi="宋体" w:eastAsia="宋体" w:cs="宋体"/>
          <w:color w:val="auto"/>
          <w:sz w:val="21"/>
          <w:szCs w:val="21"/>
          <w:highlight w:val="none"/>
        </w:rPr>
        <w:t>如果</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提交的履约保函的有效期先于合同要求的履约保函有效期到达，</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应在原提交的履约保函有效期满前15天，无条件办理保函延期手续。否则，视</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违约，</w:t>
      </w:r>
      <w:r>
        <w:rPr>
          <w:rFonts w:hint="eastAsia" w:hAnsi="宋体" w:cs="宋体"/>
          <w:color w:val="auto"/>
          <w:sz w:val="21"/>
          <w:szCs w:val="21"/>
          <w:highlight w:val="none"/>
          <w:lang w:val="en-US" w:eastAsia="zh-CN"/>
        </w:rPr>
        <w:t>采购人</w:t>
      </w:r>
      <w:r>
        <w:rPr>
          <w:rFonts w:hint="eastAsia" w:hAnsi="宋体" w:eastAsia="宋体" w:cs="宋体"/>
          <w:color w:val="auto"/>
          <w:sz w:val="21"/>
          <w:szCs w:val="21"/>
          <w:highlight w:val="none"/>
        </w:rPr>
        <w:t>可在保函到期前将保函金额转为现金存入履约保证金账户。</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2、</w:t>
      </w:r>
      <w:r>
        <w:rPr>
          <w:rFonts w:hint="eastAsia" w:hAnsi="宋体" w:eastAsia="宋体" w:cs="宋体"/>
          <w:color w:val="auto"/>
          <w:sz w:val="21"/>
          <w:szCs w:val="21"/>
          <w:highlight w:val="none"/>
        </w:rPr>
        <w:t>履约担保期限从合同签订之日起至项目结算完毕后，经双方签字</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天内保持有效。</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b/>
          <w:bCs/>
          <w:color w:val="auto"/>
          <w:sz w:val="21"/>
          <w:szCs w:val="21"/>
          <w:highlight w:val="none"/>
          <w:lang w:eastAsia="zh-CN"/>
        </w:rPr>
      </w:pPr>
      <w:r>
        <w:rPr>
          <w:rFonts w:hint="eastAsia"/>
          <w:color w:val="auto"/>
          <w:highlight w:val="none"/>
        </w:rPr>
        <w:t>注：成果文件包含但不限于：纸质成果文件一式3份、电子光盘2份。咨询过程中均需以书面形式移交各委托分项所需资料。纸质成果文件应包含工程概算审核报告、初步及最终施工图预算、工程量清单、经济指标分析报告、主要材料含量分析表（见合同附表）等；电子光盘应包含软件格式及excel格式的套价文件、软件格式及excel格式的算量文件，excel格式的零星工程量计算底稿等。本工程计价及算量采用软件为：</w:t>
      </w:r>
      <w:r>
        <w:rPr>
          <w:rFonts w:hint="eastAsia"/>
          <w:color w:val="auto"/>
          <w:highlight w:val="none"/>
          <w:u w:val="single"/>
        </w:rPr>
        <w:t xml:space="preserve"> 广联达</w:t>
      </w:r>
      <w:r>
        <w:rPr>
          <w:rFonts w:hint="eastAsia"/>
          <w:color w:val="auto"/>
          <w:highlight w:val="none"/>
        </w:rPr>
        <w:t xml:space="preserve"> ，如确需采用其它算量软件，需征得采购人的确认。</w:t>
      </w:r>
    </w:p>
    <w:p>
      <w:pPr>
        <w:pStyle w:val="10"/>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lang w:eastAsia="zh-CN"/>
        </w:rPr>
        <w:t>十、</w:t>
      </w:r>
      <w:r>
        <w:rPr>
          <w:rFonts w:hint="eastAsia" w:hAnsi="宋体" w:eastAsia="宋体" w:cs="宋体"/>
          <w:b/>
          <w:bCs/>
          <w:color w:val="auto"/>
          <w:sz w:val="21"/>
          <w:szCs w:val="21"/>
          <w:highlight w:val="none"/>
        </w:rPr>
        <w:t>投标报价</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1、采用填报工程造价咨询服务收费系数的方式。</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2、工程造价咨询服务收费系数的有效区间：工程造价咨询服务收费系数≤0.</w:t>
      </w:r>
      <w:r>
        <w:rPr>
          <w:rFonts w:hint="eastAsia" w:hAnsi="宋体" w:eastAsia="宋体" w:cs="宋体"/>
          <w:color w:val="auto"/>
          <w:sz w:val="21"/>
          <w:szCs w:val="21"/>
          <w:highlight w:val="none"/>
          <w:lang w:eastAsia="zh-CN"/>
        </w:rPr>
        <w:t>64</w:t>
      </w:r>
      <w:r>
        <w:rPr>
          <w:rFonts w:hint="eastAsia" w:hAnsi="宋体" w:eastAsia="宋体" w:cs="宋体"/>
          <w:color w:val="auto"/>
          <w:sz w:val="21"/>
          <w:szCs w:val="21"/>
          <w:highlight w:val="none"/>
        </w:rPr>
        <w:t>，投标人在投标函填报的工程造价咨询服务收费系数必须在上述有效区间内，否则其投标文件作无效投标文件处理。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cs="宋体"/>
          <w:color w:val="auto"/>
          <w:sz w:val="21"/>
          <w:szCs w:val="21"/>
          <w:highlight w:val="none"/>
        </w:rPr>
      </w:pPr>
      <w:r>
        <w:rPr>
          <w:rFonts w:hint="eastAsia" w:hAnsi="宋体" w:eastAsia="宋体" w:cs="宋体"/>
          <w:color w:val="auto"/>
          <w:sz w:val="21"/>
          <w:szCs w:val="21"/>
          <w:highlight w:val="none"/>
        </w:rPr>
        <w:t>3、本项目工程造价咨询服务费最高限价为人民币</w:t>
      </w:r>
      <w:r>
        <w:rPr>
          <w:rFonts w:hint="eastAsia" w:hAnsi="宋体" w:cs="宋体"/>
          <w:color w:val="auto"/>
          <w:sz w:val="21"/>
          <w:szCs w:val="21"/>
          <w:highlight w:val="none"/>
          <w:lang w:val="en-US" w:eastAsia="zh-CN"/>
        </w:rPr>
        <w:t>968,326.40</w:t>
      </w:r>
      <w:r>
        <w:rPr>
          <w:rFonts w:hint="eastAsia" w:hAnsi="宋体" w:eastAsia="宋体" w:cs="宋体"/>
          <w:color w:val="auto"/>
          <w:sz w:val="21"/>
          <w:szCs w:val="21"/>
          <w:highlight w:val="none"/>
        </w:rPr>
        <w:t>元</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本项目</w:t>
      </w:r>
      <w:r>
        <w:rPr>
          <w:rFonts w:hint="eastAsia" w:hAnsi="宋体" w:eastAsia="宋体" w:cs="宋体"/>
          <w:color w:val="auto"/>
          <w:sz w:val="21"/>
          <w:szCs w:val="21"/>
          <w:highlight w:val="none"/>
          <w:lang w:eastAsia="zh-CN"/>
        </w:rPr>
        <w:t>以</w:t>
      </w:r>
      <w:r>
        <w:rPr>
          <w:rFonts w:hint="eastAsia" w:hAnsi="宋体" w:eastAsia="宋体" w:cs="宋体"/>
          <w:color w:val="auto"/>
          <w:sz w:val="21"/>
          <w:szCs w:val="21"/>
          <w:highlight w:val="none"/>
        </w:rPr>
        <w:t>累计工程预算价</w:t>
      </w:r>
      <w:r>
        <w:rPr>
          <w:rFonts w:hint="eastAsia" w:hAnsi="宋体" w:eastAsia="宋体" w:cs="宋体"/>
          <w:color w:val="auto"/>
          <w:sz w:val="21"/>
          <w:szCs w:val="21"/>
          <w:highlight w:val="none"/>
          <w:lang w:eastAsia="zh-CN"/>
        </w:rPr>
        <w:t>（下浮前）</w:t>
      </w:r>
      <w:r>
        <w:rPr>
          <w:rFonts w:hint="eastAsia" w:hAnsi="宋体" w:cs="宋体"/>
          <w:color w:val="auto"/>
          <w:sz w:val="21"/>
          <w:szCs w:val="21"/>
          <w:highlight w:val="none"/>
          <w:lang w:val="en-US" w:eastAsia="zh-CN"/>
        </w:rPr>
        <w:t>192,430,</w:t>
      </w:r>
      <w:r>
        <w:rPr>
          <w:rFonts w:hint="eastAsia" w:hAnsi="宋体" w:eastAsia="宋体" w:cs="宋体"/>
          <w:color w:val="auto"/>
          <w:sz w:val="21"/>
          <w:szCs w:val="21"/>
          <w:highlight w:val="none"/>
          <w:lang w:val="en-US" w:eastAsia="zh-CN"/>
        </w:rPr>
        <w:t>000</w:t>
      </w:r>
      <w:r>
        <w:rPr>
          <w:rFonts w:hint="eastAsia" w:hAnsi="宋体" w:eastAsia="宋体" w:cs="宋体"/>
          <w:color w:val="auto"/>
          <w:sz w:val="21"/>
          <w:szCs w:val="21"/>
          <w:highlight w:val="none"/>
        </w:rPr>
        <w:t>元</w:t>
      </w:r>
      <w:r>
        <w:rPr>
          <w:rFonts w:hint="eastAsia" w:hAnsi="宋体" w:eastAsia="宋体" w:cs="宋体"/>
          <w:color w:val="auto"/>
          <w:sz w:val="21"/>
          <w:szCs w:val="21"/>
          <w:highlight w:val="none"/>
          <w:lang w:eastAsia="zh-CN"/>
        </w:rPr>
        <w:t>为暂定收费基数</w:t>
      </w:r>
      <w:r>
        <w:rPr>
          <w:rFonts w:hint="eastAsia" w:hAnsi="宋体" w:eastAsia="宋体" w:cs="宋体"/>
          <w:color w:val="auto"/>
          <w:sz w:val="21"/>
          <w:szCs w:val="21"/>
          <w:highlight w:val="none"/>
        </w:rPr>
        <w:t>，根据采购文件第五</w:t>
      </w:r>
      <w:r>
        <w:rPr>
          <w:rFonts w:hint="eastAsia" w:hAnsi="宋体" w:eastAsia="宋体" w:cs="宋体"/>
          <w:color w:val="auto"/>
          <w:sz w:val="21"/>
          <w:szCs w:val="21"/>
          <w:highlight w:val="none"/>
          <w:lang w:eastAsia="zh-CN"/>
        </w:rPr>
        <w:t>部分</w:t>
      </w:r>
      <w:r>
        <w:rPr>
          <w:rFonts w:hint="eastAsia" w:hAnsi="宋体" w:eastAsia="宋体" w:cs="宋体"/>
          <w:color w:val="auto"/>
          <w:sz w:val="21"/>
          <w:szCs w:val="21"/>
          <w:highlight w:val="none"/>
        </w:rPr>
        <w:t>“合同条款格式”附</w:t>
      </w:r>
      <w:r>
        <w:rPr>
          <w:rFonts w:hint="eastAsia" w:hAnsi="宋体" w:cs="宋体"/>
          <w:color w:val="auto"/>
          <w:sz w:val="21"/>
          <w:szCs w:val="21"/>
          <w:highlight w:val="none"/>
        </w:rPr>
        <w:t>件4《</w:t>
      </w:r>
      <w:r>
        <w:rPr>
          <w:rFonts w:hint="eastAsia" w:hAnsi="宋体" w:cs="宋体"/>
          <w:color w:val="auto"/>
          <w:sz w:val="21"/>
          <w:szCs w:val="21"/>
          <w:highlight w:val="none"/>
          <w:lang w:eastAsia="zh-CN"/>
        </w:rPr>
        <w:t>广东省建设工程造价咨询服务收费项目和收费标准表</w:t>
      </w:r>
      <w:r>
        <w:rPr>
          <w:rFonts w:hint="eastAsia" w:hAnsi="宋体" w:cs="宋体"/>
          <w:color w:val="auto"/>
          <w:sz w:val="21"/>
          <w:szCs w:val="21"/>
          <w:highlight w:val="none"/>
        </w:rPr>
        <w:t>》中序号6”施工阶段全过程造价控制“计算并乘以中标服务收费系数。</w:t>
      </w:r>
    </w:p>
    <w:p>
      <w:pPr>
        <w:rPr>
          <w:rFonts w:hint="eastAsia" w:hAnsi="宋体" w:cs="宋体"/>
          <w:color w:val="auto"/>
          <w:sz w:val="21"/>
          <w:szCs w:val="21"/>
          <w:highlight w:val="none"/>
        </w:rPr>
      </w:pPr>
    </w:p>
    <w:p>
      <w:pPr>
        <w:rPr>
          <w:rFonts w:hint="eastAsia" w:hAnsi="宋体" w:eastAsia="宋体" w:cs="宋体"/>
          <w:color w:val="auto"/>
          <w:sz w:val="21"/>
          <w:szCs w:val="21"/>
          <w:highlight w:val="none"/>
        </w:rPr>
        <w:sectPr>
          <w:headerReference r:id="rId10" w:type="first"/>
          <w:footerReference r:id="rId12" w:type="first"/>
          <w:headerReference r:id="rId9" w:type="default"/>
          <w:footerReference r:id="rId11" w:type="default"/>
          <w:pgSz w:w="11906" w:h="16838"/>
          <w:pgMar w:top="1440" w:right="1800" w:bottom="1440" w:left="1800" w:header="708" w:footer="708" w:gutter="0"/>
          <w:pgNumType w:fmt="decimal" w:start="1"/>
          <w:cols w:space="708" w:num="1"/>
          <w:titlePg/>
          <w:docGrid w:type="lines" w:linePitch="360" w:charSpace="0"/>
        </w:sectPr>
      </w:pPr>
    </w:p>
    <w:tbl>
      <w:tblPr>
        <w:tblStyle w:val="33"/>
        <w:tblW w:w="13988" w:type="dxa"/>
        <w:tblInd w:w="0" w:type="dxa"/>
        <w:tblLayout w:type="fixed"/>
        <w:tblCellMar>
          <w:top w:w="0" w:type="dxa"/>
          <w:left w:w="0" w:type="dxa"/>
          <w:bottom w:w="0" w:type="dxa"/>
          <w:right w:w="0" w:type="dxa"/>
        </w:tblCellMar>
      </w:tblPr>
      <w:tblGrid>
        <w:gridCol w:w="13988"/>
      </w:tblGrid>
      <w:tr>
        <w:tblPrEx>
          <w:tblCellMar>
            <w:top w:w="0" w:type="dxa"/>
            <w:left w:w="0" w:type="dxa"/>
            <w:bottom w:w="0" w:type="dxa"/>
            <w:right w:w="0" w:type="dxa"/>
          </w:tblCellMar>
        </w:tblPrEx>
        <w:trPr>
          <w:trHeight w:val="397" w:hRule="atLeast"/>
        </w:trPr>
        <w:tc>
          <w:tcPr>
            <w:tcW w:w="13988" w:type="dxa"/>
            <w:tcBorders>
              <w:top w:val="nil"/>
              <w:left w:val="nil"/>
              <w:bottom w:val="nil"/>
              <w:right w:val="nil"/>
            </w:tcBorders>
            <w:noWrap w:val="0"/>
            <w:tcMar>
              <w:top w:w="15" w:type="dxa"/>
              <w:left w:w="15" w:type="dxa"/>
              <w:right w:w="15" w:type="dxa"/>
            </w:tcMar>
            <w:vAlign w:val="bottom"/>
          </w:tcPr>
          <w:p>
            <w:pPr>
              <w:pStyle w:val="93"/>
              <w:rPr>
                <w:rFonts w:hint="eastAsia" w:hAnsi="宋体" w:eastAsia="宋体"/>
                <w:bCs/>
                <w:color w:val="auto"/>
                <w:sz w:val="21"/>
                <w:szCs w:val="21"/>
                <w:highlight w:val="none"/>
                <w:lang w:bidi="ar"/>
              </w:rPr>
            </w:pPr>
            <w:bookmarkStart w:id="8" w:name="_Toc14039"/>
            <w:r>
              <w:rPr>
                <w:rFonts w:hint="eastAsia" w:hAnsi="宋体" w:eastAsia="宋体"/>
                <w:color w:val="auto"/>
                <w:sz w:val="21"/>
                <w:szCs w:val="21"/>
                <w:highlight w:val="none"/>
                <w:lang w:bidi="ar"/>
              </w:rPr>
              <w:t>附件一：</w:t>
            </w:r>
            <w:r>
              <w:rPr>
                <w:rFonts w:hint="eastAsia" w:hAnsi="宋体" w:eastAsia="宋体" w:cs="宋体"/>
                <w:color w:val="auto"/>
                <w:sz w:val="21"/>
                <w:szCs w:val="21"/>
                <w:highlight w:val="none"/>
                <w:lang w:val="en-US" w:eastAsia="zh-CN"/>
              </w:rPr>
              <w:t>道滘镇南丫片区城中村改造项目掌洲工业安置房地块全过程驻场造价咨询</w:t>
            </w:r>
            <w:r>
              <w:rPr>
                <w:rFonts w:hint="eastAsia" w:hAnsi="宋体" w:eastAsia="宋体"/>
                <w:color w:val="auto"/>
                <w:sz w:val="21"/>
                <w:szCs w:val="21"/>
                <w:highlight w:val="none"/>
                <w:lang w:eastAsia="zh-CN" w:bidi="ar"/>
              </w:rPr>
              <w:t>服务</w:t>
            </w:r>
            <w:r>
              <w:rPr>
                <w:rFonts w:hint="eastAsia" w:hAnsi="宋体" w:eastAsia="宋体"/>
                <w:color w:val="auto"/>
                <w:sz w:val="21"/>
                <w:szCs w:val="21"/>
                <w:highlight w:val="none"/>
                <w:lang w:bidi="ar"/>
              </w:rPr>
              <w:t>收费计算表</w:t>
            </w:r>
            <w:bookmarkEnd w:id="8"/>
          </w:p>
        </w:tc>
      </w:tr>
    </w:tbl>
    <w:p>
      <w:pPr>
        <w:rPr>
          <w:rFonts w:hAnsi="宋体"/>
          <w:color w:val="auto"/>
          <w:highlight w:val="none"/>
        </w:rPr>
      </w:pPr>
    </w:p>
    <w:tbl>
      <w:tblPr>
        <w:tblStyle w:val="33"/>
        <w:tblW w:w="14174" w:type="dxa"/>
        <w:tblInd w:w="0" w:type="dxa"/>
        <w:tblLayout w:type="fixed"/>
        <w:tblCellMar>
          <w:top w:w="0" w:type="dxa"/>
          <w:left w:w="108" w:type="dxa"/>
          <w:bottom w:w="0" w:type="dxa"/>
          <w:right w:w="108" w:type="dxa"/>
        </w:tblCellMar>
      </w:tblPr>
      <w:tblGrid>
        <w:gridCol w:w="5380"/>
        <w:gridCol w:w="2872"/>
        <w:gridCol w:w="2863"/>
        <w:gridCol w:w="2957"/>
        <w:gridCol w:w="102"/>
      </w:tblGrid>
      <w:tr>
        <w:tblPrEx>
          <w:tblCellMar>
            <w:top w:w="0" w:type="dxa"/>
            <w:left w:w="108" w:type="dxa"/>
            <w:bottom w:w="0" w:type="dxa"/>
            <w:right w:w="108" w:type="dxa"/>
          </w:tblCellMar>
        </w:tblPrEx>
        <w:trPr>
          <w:trHeight w:val="454" w:hRule="atLeast"/>
        </w:trPr>
        <w:tc>
          <w:tcPr>
            <w:tcW w:w="14174" w:type="dxa"/>
            <w:gridSpan w:val="5"/>
            <w:tcBorders>
              <w:top w:val="nil"/>
              <w:left w:val="nil"/>
              <w:bottom w:val="single" w:color="auto" w:sz="4" w:space="0"/>
              <w:right w:val="nil"/>
            </w:tcBorders>
            <w:noWrap w:val="0"/>
            <w:vAlign w:val="bottom"/>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工程造价咨询服务收费计算表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rPr>
            </w:pPr>
            <w:r>
              <w:rPr>
                <w:rFonts w:hint="eastAsia" w:ascii="宋体" w:hAnsi="宋体" w:cs="宋体"/>
                <w:b/>
                <w:bCs/>
                <w:color w:val="auto"/>
                <w:sz w:val="21"/>
                <w:szCs w:val="21"/>
                <w:highlight w:val="none"/>
                <w:lang w:val="en-US" w:eastAsia="zh-CN"/>
              </w:rPr>
              <w:t>道滘镇南丫片区城中村改造项目掌洲工业安置房地块全过程驻场造价咨询服务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0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192,430,</w:t>
            </w:r>
            <w:r>
              <w:rPr>
                <w:rFonts w:hint="eastAsia" w:ascii="宋体" w:hAnsi="宋体" w:eastAsia="宋体" w:cs="宋体"/>
                <w:b/>
                <w:bCs/>
                <w:color w:val="auto"/>
                <w:sz w:val="21"/>
                <w:szCs w:val="21"/>
                <w:highlight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0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91"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92430000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i w:val="0"/>
                <w:iCs w:val="0"/>
                <w:color w:val="auto"/>
                <w:kern w:val="2"/>
                <w:sz w:val="21"/>
                <w:szCs w:val="21"/>
                <w:highlight w:val="none"/>
                <w:u w:val="none"/>
                <w:lang w:val="en-US" w:eastAsia="zh-CN" w:bidi="ar-SA"/>
              </w:rPr>
              <w:t>647010</w:t>
            </w:r>
            <w:r>
              <w:rPr>
                <w:rFonts w:hint="default" w:ascii="宋体" w:hAnsi="宋体" w:eastAsia="宋体" w:cs="宋体"/>
                <w:i w:val="0"/>
                <w:iCs w:val="0"/>
                <w:color w:val="auto"/>
                <w:kern w:val="2"/>
                <w:sz w:val="21"/>
                <w:szCs w:val="21"/>
                <w:highlight w:val="none"/>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192430000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1513010.00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限价服务系数</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66"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1513010.00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0.64</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968326.40</w:t>
            </w:r>
          </w:p>
        </w:tc>
      </w:tr>
    </w:tbl>
    <w:p>
      <w:pPr>
        <w:rPr>
          <w:rFonts w:hAnsi="宋体"/>
          <w:color w:val="auto"/>
          <w:highlight w:val="none"/>
        </w:rPr>
      </w:pPr>
    </w:p>
    <w:p>
      <w:pPr>
        <w:rPr>
          <w:rFonts w:hint="eastAsia" w:hAnsi="宋体"/>
          <w:color w:val="auto"/>
          <w:highlight w:val="none"/>
        </w:rPr>
      </w:pPr>
    </w:p>
    <w:p>
      <w:pPr>
        <w:keepNext w:val="0"/>
        <w:keepLines w:val="0"/>
        <w:pageBreakBefore w:val="0"/>
        <w:widowControl/>
        <w:tabs>
          <w:tab w:val="left" w:pos="0"/>
          <w:tab w:val="left" w:pos="900"/>
          <w:tab w:val="left" w:pos="1080"/>
        </w:tabs>
        <w:kinsoku/>
        <w:wordWrap/>
        <w:overflowPunct/>
        <w:topLinePunct w:val="0"/>
        <w:autoSpaceDE/>
        <w:autoSpaceDN/>
        <w:bidi w:val="0"/>
        <w:adjustRightInd w:val="0"/>
        <w:snapToGrid w:val="0"/>
        <w:spacing w:line="360" w:lineRule="auto"/>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注：</w:t>
      </w:r>
    </w:p>
    <w:p>
      <w:pPr>
        <w:pStyle w:val="2"/>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上表中的造价咨询工作内容及收费基数均为暂定。</w:t>
      </w:r>
    </w:p>
    <w:p>
      <w:pPr>
        <w:pStyle w:val="2"/>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最终咨询酬金由基本酬金和浮动酬金组成，其中基本酬金=总酬金×80%，浮动酬金=总酬金×20%×咨询考核表评价分数对应的计费系数（详见</w:t>
      </w:r>
      <w:r>
        <w:rPr>
          <w:rFonts w:hint="eastAsia" w:ascii="宋体" w:hAnsi="宋体" w:eastAsia="宋体" w:cs="宋体"/>
          <w:color w:val="auto"/>
          <w:sz w:val="21"/>
          <w:szCs w:val="21"/>
          <w:highlight w:val="none"/>
          <w:lang w:val="en-US" w:eastAsia="zh-CN"/>
        </w:rPr>
        <w:t>《中介咨询机构评价意见表》</w:t>
      </w:r>
      <w:r>
        <w:rPr>
          <w:rFonts w:hint="eastAsia" w:ascii="宋体" w:hAnsi="宋体" w:eastAsia="宋体" w:cs="宋体"/>
          <w:color w:val="auto"/>
          <w:sz w:val="21"/>
          <w:szCs w:val="21"/>
          <w:highlight w:val="none"/>
        </w:rPr>
        <w:t>）。总酬金按采购文件第五</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rPr>
        <w:t>“合同条款格式”附件4《</w:t>
      </w:r>
      <w:r>
        <w:rPr>
          <w:rFonts w:hint="eastAsia" w:ascii="宋体" w:hAnsi="宋体" w:eastAsia="宋体" w:cs="宋体"/>
          <w:color w:val="auto"/>
          <w:sz w:val="21"/>
          <w:szCs w:val="21"/>
          <w:highlight w:val="none"/>
          <w:lang w:eastAsia="zh-CN"/>
        </w:rPr>
        <w:t>广东省建设工程造价咨询服务收费项目和收费标准表</w:t>
      </w:r>
      <w:r>
        <w:rPr>
          <w:rFonts w:hint="eastAsia" w:ascii="宋体" w:hAnsi="宋体" w:eastAsia="宋体" w:cs="宋体"/>
          <w:color w:val="auto"/>
          <w:sz w:val="21"/>
          <w:szCs w:val="21"/>
          <w:highlight w:val="none"/>
        </w:rPr>
        <w:t>》中序号6”施工阶段全过程造价控制“计算并乘以中标服务收费系数。</w:t>
      </w:r>
    </w:p>
    <w:p>
      <w:pPr>
        <w:pStyle w:val="2"/>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color w:val="auto"/>
          <w:highlight w:val="none"/>
        </w:rPr>
      </w:pPr>
      <w:r>
        <w:rPr>
          <w:rFonts w:hint="eastAsia" w:hAnsi="宋体"/>
          <w:color w:val="auto"/>
          <w:sz w:val="21"/>
          <w:szCs w:val="21"/>
          <w:highlight w:val="none"/>
          <w:lang w:val="en-US" w:eastAsia="zh-CN"/>
        </w:rPr>
        <w:t>3、</w:t>
      </w:r>
      <w:r>
        <w:rPr>
          <w:rFonts w:hint="eastAsia" w:hAnsi="宋体"/>
          <w:color w:val="auto"/>
          <w:sz w:val="21"/>
          <w:szCs w:val="21"/>
          <w:highlight w:val="none"/>
        </w:rPr>
        <w:t>驻场人员工资、办公、食宿、交通、差旅等所有费用包含在合同总价中，除合同另有约定外，驻场人员费用不进行调整</w:t>
      </w:r>
      <w:r>
        <w:rPr>
          <w:rFonts w:hint="eastAsia" w:hAnsi="宋体"/>
          <w:color w:val="auto"/>
          <w:sz w:val="21"/>
          <w:szCs w:val="21"/>
          <w:highlight w:val="none"/>
          <w:lang w:eastAsia="zh-CN"/>
        </w:rPr>
        <w:t>。</w:t>
      </w:r>
    </w:p>
    <w:p>
      <w:pPr>
        <w:rPr>
          <w:rFonts w:hint="eastAsia" w:hAnsi="宋体" w:eastAsia="宋体" w:cs="宋体"/>
          <w:color w:val="auto"/>
          <w:sz w:val="21"/>
          <w:szCs w:val="21"/>
          <w:highlight w:val="none"/>
        </w:rPr>
      </w:pPr>
    </w:p>
    <w:p>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pPr>
    </w:p>
    <w:p>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pPr>
    </w:p>
    <w:p>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sectPr>
          <w:pgSz w:w="16838" w:h="11906" w:orient="landscape"/>
          <w:pgMar w:top="1800" w:right="1440" w:bottom="1800" w:left="1440" w:header="708" w:footer="708" w:gutter="0"/>
          <w:pgNumType w:fmt="decimal"/>
          <w:cols w:space="708" w:num="1"/>
          <w:titlePg/>
          <w:docGrid w:type="lines" w:linePitch="360" w:charSpace="0"/>
        </w:sectPr>
      </w:pPr>
    </w:p>
    <w:p>
      <w:pPr>
        <w:spacing w:line="360" w:lineRule="auto"/>
        <w:jc w:val="left"/>
        <w:rPr>
          <w:rFonts w:hint="eastAsia" w:hAnsi="宋体" w:eastAsia="宋体" w:cs="宋体"/>
          <w:b/>
          <w:bCs/>
          <w:color w:val="auto"/>
          <w:sz w:val="21"/>
          <w:szCs w:val="21"/>
          <w:highlight w:val="none"/>
          <w:lang w:eastAsia="zh-CN"/>
        </w:rPr>
      </w:pPr>
      <w:bookmarkStart w:id="9" w:name="_Toc28386"/>
      <w:bookmarkStart w:id="10" w:name="_Toc5191"/>
      <w:bookmarkStart w:id="11" w:name="_Toc14875"/>
      <w:r>
        <w:rPr>
          <w:rFonts w:hint="eastAsia" w:hAnsi="宋体" w:eastAsia="宋体" w:cs="宋体"/>
          <w:b/>
          <w:bCs/>
          <w:color w:val="auto"/>
          <w:sz w:val="21"/>
          <w:szCs w:val="21"/>
          <w:highlight w:val="none"/>
          <w:lang w:eastAsia="zh-CN"/>
        </w:rPr>
        <w:t>★附件二：造价咨询服务人员配备要求表</w:t>
      </w:r>
    </w:p>
    <w:p>
      <w:pPr>
        <w:spacing w:line="360" w:lineRule="auto"/>
        <w:jc w:val="center"/>
        <w:rPr>
          <w:rFonts w:hint="eastAsia" w:hAnsi="宋体" w:cs="宋体"/>
          <w:b/>
          <w:bCs/>
          <w:color w:val="auto"/>
          <w:sz w:val="21"/>
          <w:szCs w:val="21"/>
          <w:highlight w:val="none"/>
        </w:rPr>
      </w:pPr>
    </w:p>
    <w:p>
      <w:pPr>
        <w:spacing w:line="360" w:lineRule="auto"/>
        <w:jc w:val="center"/>
        <w:rPr>
          <w:rFonts w:hint="eastAsia" w:hAnsi="宋体" w:cs="宋体"/>
          <w:b/>
          <w:bCs/>
          <w:color w:val="auto"/>
          <w:sz w:val="28"/>
          <w:szCs w:val="28"/>
          <w:highlight w:val="none"/>
        </w:rPr>
      </w:pPr>
      <w:r>
        <w:rPr>
          <w:rFonts w:hint="eastAsia" w:hAnsi="宋体" w:cs="宋体"/>
          <w:b/>
          <w:bCs/>
          <w:color w:val="auto"/>
          <w:sz w:val="28"/>
          <w:szCs w:val="28"/>
          <w:highlight w:val="none"/>
        </w:rPr>
        <w:t>造价咨询服务人员</w:t>
      </w:r>
      <w:r>
        <w:rPr>
          <w:rFonts w:hint="eastAsia" w:hAnsi="宋体" w:cs="宋体"/>
          <w:b/>
          <w:bCs/>
          <w:color w:val="auto"/>
          <w:sz w:val="28"/>
          <w:szCs w:val="28"/>
          <w:highlight w:val="none"/>
          <w:lang w:val="zh-CN"/>
        </w:rPr>
        <w:t>配备要求表</w:t>
      </w:r>
    </w:p>
    <w:tbl>
      <w:tblPr>
        <w:tblStyle w:val="33"/>
        <w:tblW w:w="87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1383"/>
        <w:gridCol w:w="3660"/>
        <w:gridCol w:w="765"/>
        <w:gridCol w:w="21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83" w:type="dxa"/>
            <w:noWrap w:val="0"/>
            <w:vAlign w:val="center"/>
          </w:tcPr>
          <w:p>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职务/专业</w:t>
            </w:r>
          </w:p>
        </w:tc>
        <w:tc>
          <w:tcPr>
            <w:tcW w:w="3660" w:type="dxa"/>
            <w:noWrap w:val="0"/>
            <w:vAlign w:val="center"/>
          </w:tcPr>
          <w:p>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资格要求</w:t>
            </w:r>
          </w:p>
        </w:tc>
        <w:tc>
          <w:tcPr>
            <w:tcW w:w="765" w:type="dxa"/>
            <w:noWrap w:val="0"/>
            <w:vAlign w:val="center"/>
          </w:tcPr>
          <w:p>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人数</w:t>
            </w:r>
          </w:p>
        </w:tc>
        <w:tc>
          <w:tcPr>
            <w:tcW w:w="2132" w:type="dxa"/>
            <w:noWrap w:val="0"/>
            <w:vAlign w:val="center"/>
          </w:tcPr>
          <w:p>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83"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造价咨询项目负责人</w:t>
            </w:r>
          </w:p>
        </w:tc>
        <w:tc>
          <w:tcPr>
            <w:tcW w:w="3660" w:type="dxa"/>
            <w:noWrap w:val="0"/>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83" w:type="dxa"/>
            <w:noWrap w:val="0"/>
            <w:vAlign w:val="center"/>
          </w:tcPr>
          <w:p>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造价咨询驻场人员</w:t>
            </w:r>
          </w:p>
        </w:tc>
        <w:tc>
          <w:tcPr>
            <w:tcW w:w="3660" w:type="dxa"/>
            <w:noWrap w:val="0"/>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具备住建部核发的《中华人民共和国二级造价工程师注册证书》或以上，并且注册在投标人本单位</w:t>
            </w:r>
            <w:r>
              <w:rPr>
                <w:rFonts w:hint="eastAsia" w:ascii="宋体" w:hAnsi="宋体" w:eastAsia="宋体" w:cs="宋体"/>
                <w:color w:val="auto"/>
                <w:sz w:val="21"/>
                <w:szCs w:val="21"/>
                <w:highlight w:val="none"/>
                <w:lang w:eastAsia="zh-CN"/>
              </w:rPr>
              <w:t>。</w:t>
            </w:r>
          </w:p>
        </w:tc>
        <w:tc>
          <w:tcPr>
            <w:tcW w:w="765" w:type="dxa"/>
            <w:noWrap w:val="0"/>
            <w:vAlign w:val="center"/>
          </w:tcPr>
          <w:p>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83"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土建专业负责人</w:t>
            </w:r>
          </w:p>
        </w:tc>
        <w:tc>
          <w:tcPr>
            <w:tcW w:w="3660" w:type="dxa"/>
            <w:noWrap w:val="0"/>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383"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安装专业负责人</w:t>
            </w:r>
          </w:p>
        </w:tc>
        <w:tc>
          <w:tcPr>
            <w:tcW w:w="3660" w:type="dxa"/>
            <w:noWrap w:val="0"/>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383"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土建专业造价人员</w:t>
            </w:r>
          </w:p>
        </w:tc>
        <w:tc>
          <w:tcPr>
            <w:tcW w:w="3660"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p>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或</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《中华人民共和国二级造价工程师注册证书》或以上，并且注册在投标人本单位。</w:t>
            </w:r>
          </w:p>
        </w:tc>
        <w:tc>
          <w:tcPr>
            <w:tcW w:w="765" w:type="dxa"/>
            <w:noWrap w:val="0"/>
            <w:vAlign w:val="center"/>
          </w:tcPr>
          <w:p>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383"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安装专业造价人员</w:t>
            </w:r>
          </w:p>
        </w:tc>
        <w:tc>
          <w:tcPr>
            <w:tcW w:w="3660"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p>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或</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《中华人民共和国二级造价工程师注册证书》或以上，并且注册在投标人本单位。</w:t>
            </w:r>
          </w:p>
        </w:tc>
        <w:tc>
          <w:tcPr>
            <w:tcW w:w="765" w:type="dxa"/>
            <w:noWrap w:val="0"/>
            <w:vAlign w:val="center"/>
          </w:tcPr>
          <w:p>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383" w:type="dxa"/>
            <w:noWrap w:val="0"/>
            <w:vAlign w:val="center"/>
          </w:tcPr>
          <w:p>
            <w:pPr>
              <w:spacing w:line="3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合同管理及资料员</w:t>
            </w:r>
          </w:p>
        </w:tc>
        <w:tc>
          <w:tcPr>
            <w:tcW w:w="3660"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pPr>
              <w:spacing w:line="36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tc>
        <w:tc>
          <w:tcPr>
            <w:tcW w:w="765" w:type="dxa"/>
            <w:noWrap w:val="0"/>
            <w:vAlign w:val="center"/>
          </w:tcPr>
          <w:p>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32" w:type="dxa"/>
            <w:noWrap w:val="0"/>
            <w:vAlign w:val="center"/>
          </w:tcPr>
          <w:p>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5809" w:type="dxa"/>
            <w:gridSpan w:val="3"/>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65" w:type="dxa"/>
            <w:noWrap w:val="0"/>
            <w:vAlign w:val="center"/>
          </w:tcPr>
          <w:p>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p>
        </w:tc>
      </w:tr>
    </w:tbl>
    <w:p>
      <w:pPr>
        <w:pStyle w:val="2"/>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上表所列专业和人员基本要求是投标人通过符合性审查的最低要求且不得兼任，投标人必须满足，否则作废标处理（采购人可要求中标人根据工程进度计划时间无条件调整加派造价工程师（或一级造价工程师）或其他专业造价人员的人数，保证项目按采购人规定的进度完成。加派人员必须两个日历天到位）。</w:t>
      </w:r>
    </w:p>
    <w:p>
      <w:pPr>
        <w:pStyle w:val="2"/>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2、相关人员资格证明材料为满足基本要求的相关证明资料，包括但不限于：注册造价师资格证（如有）复印件、专业技术职称资格证（如有）复印件、学历证复印件、社保证明复印件</w:t>
      </w:r>
      <w:r>
        <w:rPr>
          <w:rFonts w:hint="eastAsia" w:cs="宋体"/>
          <w:color w:val="auto"/>
          <w:sz w:val="21"/>
          <w:szCs w:val="21"/>
          <w:highlight w:val="none"/>
          <w:lang w:eastAsia="zh-CN"/>
        </w:rPr>
        <w:t>、</w:t>
      </w:r>
      <w:r>
        <w:rPr>
          <w:rFonts w:hint="eastAsia" w:cs="宋体"/>
          <w:color w:val="auto"/>
          <w:sz w:val="21"/>
          <w:szCs w:val="21"/>
          <w:highlight w:val="none"/>
          <w:lang w:val="en-US" w:eastAsia="zh-CN"/>
        </w:rPr>
        <w:t>劳动合同复印件</w:t>
      </w:r>
      <w:r>
        <w:rPr>
          <w:rFonts w:hint="eastAsia" w:ascii="宋体" w:hAnsi="宋体" w:eastAsia="宋体" w:cs="宋体"/>
          <w:color w:val="auto"/>
          <w:sz w:val="21"/>
          <w:szCs w:val="21"/>
          <w:highlight w:val="none"/>
        </w:rPr>
        <w:t>等。</w:t>
      </w:r>
    </w:p>
    <w:p>
      <w:pPr>
        <w:pStyle w:val="2"/>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述人员必须附上在投标人处缴纳的社保证明文件（社保证明应为投标文件递交截止日前半年时间内连续不少于三个月的有效证明材料，可以是在投标人总公司或分公司的社保缴纳证明文件，可以是原件或复印件但均需加盖投标人公章），社保缴纳证明文件应具备社保管理机构印章。</w:t>
      </w:r>
      <w:bookmarkEnd w:id="9"/>
      <w:bookmarkEnd w:id="10"/>
      <w:bookmarkEnd w:id="11"/>
    </w:p>
    <w:p>
      <w:pPr>
        <w:rPr>
          <w:rFonts w:hint="eastAsia"/>
          <w:color w:val="auto"/>
          <w:highlight w:val="none"/>
        </w:rPr>
      </w:pPr>
    </w:p>
    <w:p>
      <w:pPr>
        <w:rPr>
          <w:rFonts w:hint="eastAsia"/>
          <w:color w:val="auto"/>
          <w:highlight w:val="none"/>
        </w:rPr>
      </w:pPr>
      <w:r>
        <w:rPr>
          <w:rFonts w:hint="eastAsia"/>
          <w:color w:val="auto"/>
          <w:highlight w:val="none"/>
        </w:rPr>
        <w:br w:type="page"/>
      </w:r>
    </w:p>
    <w:p>
      <w:pPr>
        <w:pStyle w:val="4"/>
        <w:spacing w:before="0" w:after="0" w:line="240" w:lineRule="auto"/>
        <w:rPr>
          <w:color w:val="auto"/>
          <w:sz w:val="24"/>
          <w:szCs w:val="24"/>
          <w:highlight w:val="none"/>
        </w:rPr>
      </w:pPr>
      <w:r>
        <w:rPr>
          <w:rFonts w:hint="eastAsia"/>
          <w:color w:val="auto"/>
          <w:sz w:val="28"/>
          <w:szCs w:val="28"/>
          <w:highlight w:val="none"/>
        </w:rPr>
        <w:t>第四部分</w:t>
      </w:r>
      <w:r>
        <w:rPr>
          <w:rFonts w:hint="eastAsia"/>
          <w:color w:val="auto"/>
          <w:sz w:val="28"/>
          <w:szCs w:val="28"/>
          <w:highlight w:val="none"/>
          <w:lang w:val="en-US" w:eastAsia="zh-CN"/>
        </w:rPr>
        <w:t xml:space="preserve"> </w:t>
      </w:r>
      <w:r>
        <w:rPr>
          <w:rFonts w:hint="eastAsia"/>
          <w:color w:val="auto"/>
          <w:sz w:val="28"/>
          <w:szCs w:val="28"/>
          <w:highlight w:val="none"/>
        </w:rPr>
        <w:t>投标人须知</w:t>
      </w:r>
      <w:bookmarkEnd w:id="7"/>
    </w:p>
    <w:p>
      <w:pPr>
        <w:pStyle w:val="5"/>
        <w:numPr>
          <w:ilvl w:val="0"/>
          <w:numId w:val="1"/>
        </w:numPr>
        <w:spacing w:before="0" w:after="0" w:line="480" w:lineRule="auto"/>
        <w:jc w:val="center"/>
        <w:rPr>
          <w:rFonts w:ascii="宋体" w:hAnsi="宋体"/>
          <w:color w:val="auto"/>
          <w:highlight w:val="none"/>
        </w:rPr>
      </w:pPr>
      <w:bookmarkStart w:id="12" w:name="_Toc25201"/>
      <w:r>
        <w:rPr>
          <w:rFonts w:hint="eastAsia" w:ascii="宋体" w:hAnsi="宋体"/>
          <w:color w:val="auto"/>
          <w:highlight w:val="none"/>
        </w:rPr>
        <w:t>说明</w:t>
      </w:r>
      <w:bookmarkEnd w:id="12"/>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3" w:name="_Toc3534"/>
      <w:bookmarkStart w:id="14" w:name="_Toc18690"/>
      <w:r>
        <w:rPr>
          <w:rFonts w:hint="eastAsia" w:ascii="宋体" w:hAnsi="宋体" w:cs="宋体"/>
          <w:color w:val="auto"/>
          <w:sz w:val="21"/>
          <w:szCs w:val="21"/>
          <w:highlight w:val="none"/>
        </w:rPr>
        <w:t>适用范围</w:t>
      </w:r>
      <w:bookmarkEnd w:id="13"/>
      <w:bookmarkEnd w:id="14"/>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5" w:name="_Toc382049092"/>
      <w:bookmarkStart w:id="16" w:name="_Toc20286"/>
      <w:bookmarkStart w:id="17" w:name="_Toc28435"/>
      <w:bookmarkStart w:id="18" w:name="_Toc298847174"/>
      <w:bookmarkStart w:id="19" w:name="_Toc1530"/>
      <w:bookmarkStart w:id="20" w:name="_Toc303084246"/>
      <w:r>
        <w:rPr>
          <w:rFonts w:hint="eastAsia" w:ascii="宋体" w:hAnsi="宋体" w:cs="宋体"/>
          <w:color w:val="auto"/>
          <w:sz w:val="21"/>
          <w:szCs w:val="21"/>
          <w:highlight w:val="none"/>
        </w:rPr>
        <w:t>定义</w:t>
      </w:r>
      <w:bookmarkEnd w:id="15"/>
      <w:bookmarkEnd w:id="16"/>
      <w:bookmarkEnd w:id="17"/>
      <w:bookmarkEnd w:id="18"/>
      <w:bookmarkEnd w:id="19"/>
      <w:bookmarkEnd w:id="20"/>
    </w:p>
    <w:p>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采购人：见投标邀请书。</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21" w:name="_Toc10625"/>
      <w:bookmarkStart w:id="22" w:name="_Toc11624"/>
      <w:r>
        <w:rPr>
          <w:rFonts w:hint="eastAsia" w:ascii="宋体" w:hAnsi="宋体" w:cs="宋体"/>
          <w:color w:val="auto"/>
          <w:sz w:val="21"/>
          <w:szCs w:val="21"/>
          <w:highlight w:val="none"/>
        </w:rPr>
        <w:t>货物和服务</w:t>
      </w:r>
      <w:bookmarkEnd w:id="21"/>
      <w:bookmarkEnd w:id="22"/>
    </w:p>
    <w:p>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23" w:name="_Toc15719"/>
      <w:bookmarkStart w:id="24" w:name="_Toc1673"/>
      <w:r>
        <w:rPr>
          <w:rFonts w:hint="eastAsia" w:ascii="宋体" w:hAnsi="宋体" w:cs="宋体"/>
          <w:color w:val="auto"/>
          <w:sz w:val="21"/>
          <w:szCs w:val="21"/>
          <w:highlight w:val="none"/>
        </w:rPr>
        <w:t>投标费用</w:t>
      </w:r>
      <w:bookmarkEnd w:id="23"/>
      <w:bookmarkEnd w:id="24"/>
    </w:p>
    <w:p>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25" w:name="_Toc21477"/>
      <w:bookmarkStart w:id="26" w:name="_Toc6180"/>
      <w:r>
        <w:rPr>
          <w:rFonts w:hint="eastAsia" w:ascii="宋体" w:hAnsi="宋体" w:cs="宋体"/>
          <w:color w:val="auto"/>
          <w:sz w:val="21"/>
          <w:szCs w:val="21"/>
          <w:highlight w:val="none"/>
        </w:rPr>
        <w:t>知识产权</w:t>
      </w:r>
      <w:bookmarkEnd w:id="25"/>
      <w:bookmarkEnd w:id="26"/>
    </w:p>
    <w:p>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27" w:name="_Toc25122"/>
      <w:bookmarkStart w:id="28" w:name="_Toc2352"/>
      <w:r>
        <w:rPr>
          <w:rFonts w:hint="eastAsia" w:ascii="宋体" w:hAnsi="宋体" w:cs="宋体"/>
          <w:color w:val="auto"/>
          <w:sz w:val="21"/>
          <w:szCs w:val="21"/>
          <w:highlight w:val="none"/>
        </w:rPr>
        <w:t>关于联合体投标</w:t>
      </w:r>
      <w:bookmarkEnd w:id="27"/>
      <w:bookmarkEnd w:id="28"/>
    </w:p>
    <w:p>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的身份共同参加采购活动。</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以联合体形式参与项目的供应商在领购采购文件时，应提供所有联合体组成成员的营业执照复印件，并加盖各联合体组成成员的公章。</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29" w:name="_Toc10603"/>
      <w:bookmarkStart w:id="30" w:name="_Toc3572"/>
      <w:r>
        <w:rPr>
          <w:rFonts w:hint="eastAsia" w:ascii="宋体" w:hAnsi="宋体" w:cs="宋体"/>
          <w:color w:val="auto"/>
          <w:sz w:val="21"/>
          <w:szCs w:val="21"/>
          <w:highlight w:val="none"/>
        </w:rPr>
        <w:t>关于分支机构投标</w:t>
      </w:r>
      <w:bookmarkEnd w:id="29"/>
      <w:bookmarkEnd w:id="30"/>
    </w:p>
    <w:p>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bookmarkStart w:id="31" w:name="EB389f116341dd4693875bc7987e7327f3"/>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1"/>
    </w:p>
    <w:p>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2" w:name="_Toc16068"/>
      <w:r>
        <w:rPr>
          <w:rFonts w:hint="eastAsia" w:ascii="宋体" w:hAnsi="宋体" w:cs="宋体"/>
          <w:color w:val="auto"/>
          <w:sz w:val="21"/>
          <w:szCs w:val="21"/>
          <w:highlight w:val="none"/>
        </w:rPr>
        <w:t>踏勘现场</w:t>
      </w:r>
      <w:bookmarkEnd w:id="32"/>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pPr>
        <w:pageBreakBefore w:val="0"/>
        <w:kinsoku/>
        <w:wordWrap/>
        <w:topLinePunct w:val="0"/>
        <w:autoSpaceDE/>
        <w:autoSpaceDN/>
        <w:bidi w:val="0"/>
        <w:adjustRightInd w:val="0"/>
        <w:snapToGrid w:val="0"/>
        <w:rPr>
          <w:rFonts w:ascii="宋体" w:hAnsi="宋体" w:cs="宋体"/>
          <w:color w:val="auto"/>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33" w:name="_Toc9444"/>
      <w:bookmarkStart w:id="34" w:name="_Toc14732"/>
      <w:r>
        <w:rPr>
          <w:rFonts w:hint="eastAsia" w:ascii="宋体" w:hAnsi="宋体" w:cs="宋体"/>
          <w:color w:val="auto"/>
          <w:highlight w:val="none"/>
        </w:rPr>
        <w:t>采购文件</w:t>
      </w:r>
      <w:bookmarkEnd w:id="33"/>
      <w:bookmarkEnd w:id="34"/>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5" w:name="_Toc10638"/>
      <w:bookmarkStart w:id="36" w:name="_Toc25451"/>
      <w:r>
        <w:rPr>
          <w:rFonts w:hint="eastAsia" w:ascii="宋体" w:hAnsi="宋体" w:cs="宋体"/>
          <w:color w:val="auto"/>
          <w:sz w:val="21"/>
          <w:szCs w:val="21"/>
          <w:highlight w:val="none"/>
        </w:rPr>
        <w:t>采购文件的组成</w:t>
      </w:r>
      <w:bookmarkEnd w:id="35"/>
      <w:bookmarkEnd w:id="36"/>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采购文件包括：</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（1）投标邀请书；</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（2）投标资料表；</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（3）用户需求书；</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（4）投标人须知；</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（5）拟签订的合同文本；</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（6）投标文件格式；</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7" w:name="_Toc30490"/>
      <w:bookmarkStart w:id="38" w:name="_Toc21392"/>
      <w:r>
        <w:rPr>
          <w:rFonts w:hint="eastAsia" w:ascii="宋体" w:hAnsi="宋体" w:cs="宋体"/>
          <w:color w:val="auto"/>
          <w:sz w:val="21"/>
          <w:szCs w:val="21"/>
          <w:highlight w:val="none"/>
        </w:rPr>
        <w:t>采购文件的澄清或修改</w:t>
      </w:r>
      <w:bookmarkEnd w:id="37"/>
      <w:bookmarkEnd w:id="38"/>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39" w:name="_Toc10333"/>
      <w:bookmarkStart w:id="40" w:name="_Toc12343"/>
      <w:r>
        <w:rPr>
          <w:rFonts w:hint="eastAsia" w:ascii="宋体" w:hAnsi="宋体" w:cs="宋体"/>
          <w:color w:val="auto"/>
          <w:highlight w:val="none"/>
        </w:rPr>
        <w:t>投标文件的编制</w:t>
      </w:r>
      <w:bookmarkEnd w:id="39"/>
      <w:bookmarkEnd w:id="40"/>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1" w:name="_Toc12048"/>
      <w:bookmarkStart w:id="42" w:name="_Toc16938"/>
      <w:r>
        <w:rPr>
          <w:rFonts w:hint="eastAsia" w:ascii="宋体" w:hAnsi="宋体" w:cs="宋体"/>
          <w:color w:val="auto"/>
          <w:sz w:val="21"/>
          <w:szCs w:val="21"/>
          <w:highlight w:val="none"/>
        </w:rPr>
        <w:t>投标文件的语言及度量衡单位</w:t>
      </w:r>
      <w:bookmarkEnd w:id="41"/>
      <w:bookmarkEnd w:id="42"/>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3" w:name="_Toc27953"/>
      <w:bookmarkStart w:id="44" w:name="_Toc28866"/>
      <w:bookmarkStart w:id="45" w:name="_Toc307934854"/>
      <w:bookmarkStart w:id="46" w:name="_Toc303084256"/>
      <w:bookmarkStart w:id="47" w:name="_Toc11466"/>
      <w:bookmarkStart w:id="48" w:name="_Toc382049103"/>
      <w:r>
        <w:rPr>
          <w:rFonts w:hint="eastAsia" w:ascii="宋体" w:hAnsi="宋体" w:cs="宋体"/>
          <w:color w:val="auto"/>
          <w:sz w:val="21"/>
          <w:szCs w:val="21"/>
          <w:highlight w:val="none"/>
        </w:rPr>
        <w:t>投标文件的组成</w:t>
      </w:r>
      <w:bookmarkEnd w:id="43"/>
      <w:bookmarkEnd w:id="44"/>
      <w:bookmarkEnd w:id="45"/>
      <w:bookmarkEnd w:id="46"/>
      <w:bookmarkEnd w:id="47"/>
      <w:bookmarkEnd w:id="48"/>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9" w:name="_Toc5904"/>
      <w:bookmarkStart w:id="50" w:name="_Toc755"/>
      <w:r>
        <w:rPr>
          <w:rFonts w:hint="eastAsia" w:ascii="宋体" w:hAnsi="宋体" w:cs="宋体"/>
          <w:color w:val="auto"/>
          <w:sz w:val="21"/>
          <w:szCs w:val="21"/>
          <w:highlight w:val="none"/>
        </w:rPr>
        <w:t>投标文件编制</w:t>
      </w:r>
      <w:bookmarkEnd w:id="49"/>
      <w:bookmarkEnd w:id="50"/>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bookmarkStart w:id="51" w:name="_Toc303084258"/>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pPr>
        <w:pStyle w:val="44"/>
        <w:pageBreakBefore w:val="0"/>
        <w:widowControl w:val="0"/>
        <w:numPr>
          <w:ilvl w:val="0"/>
          <w:numId w:val="4"/>
        </w:numPr>
        <w:kinsoku/>
        <w:wordWrap/>
        <w:topLinePunct w:val="0"/>
        <w:autoSpaceDE/>
        <w:autoSpaceDN/>
        <w:bidi w:val="0"/>
        <w:adjustRightInd w:val="0"/>
        <w:snapToGrid w:val="0"/>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投标文件内出现无官方证明文件的行业地域排名或使用“国家级”、“最高级”、“最佳”等用语字眼的。</w:t>
      </w:r>
    </w:p>
    <w:p>
      <w:pPr>
        <w:pStyle w:val="44"/>
        <w:pageBreakBefore w:val="0"/>
        <w:widowControl w:val="0"/>
        <w:numPr>
          <w:ilvl w:val="0"/>
          <w:numId w:val="4"/>
        </w:numPr>
        <w:kinsoku/>
        <w:wordWrap/>
        <w:topLinePunct w:val="0"/>
        <w:autoSpaceDE/>
        <w:autoSpaceDN/>
        <w:bidi w:val="0"/>
        <w:adjustRightInd w:val="0"/>
        <w:snapToGrid w:val="0"/>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投标文件内出现恶意诋毁、贬低其他生产经营者的商品或者服务的内容。</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51"/>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2" w:name="_Toc6154"/>
      <w:bookmarkStart w:id="53" w:name="_Toc7134"/>
      <w:r>
        <w:rPr>
          <w:rFonts w:hint="eastAsia" w:ascii="宋体" w:hAnsi="宋体" w:cs="宋体"/>
          <w:color w:val="auto"/>
          <w:sz w:val="21"/>
          <w:szCs w:val="21"/>
          <w:highlight w:val="none"/>
        </w:rPr>
        <w:t>投标报价说明</w:t>
      </w:r>
      <w:bookmarkEnd w:id="52"/>
      <w:bookmarkEnd w:id="53"/>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4" w:name="_Toc17669"/>
      <w:bookmarkStart w:id="55" w:name="_Toc14501"/>
      <w:r>
        <w:rPr>
          <w:rFonts w:hint="eastAsia" w:ascii="宋体" w:hAnsi="宋体" w:cs="宋体"/>
          <w:color w:val="auto"/>
          <w:sz w:val="21"/>
          <w:szCs w:val="21"/>
          <w:highlight w:val="none"/>
        </w:rPr>
        <w:t>投标人所提供的服务或货物的证明文件</w:t>
      </w:r>
      <w:bookmarkEnd w:id="54"/>
      <w:bookmarkEnd w:id="55"/>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bookmarkStart w:id="56" w:name="_Hlt107925668"/>
      <w:bookmarkEnd w:id="56"/>
      <w:bookmarkStart w:id="57" w:name="_Hlt107925638"/>
      <w:bookmarkEnd w:id="57"/>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（1）使用伪造、变造的许可证件；</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（2）提供虚假的财务状况或者业绩；</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（4）提供虚假的信用状况；</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（5）其他弄虚作假的行为。</w:t>
      </w: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8" w:name="_Toc8324"/>
      <w:bookmarkStart w:id="59" w:name="_Toc2409"/>
      <w:r>
        <w:rPr>
          <w:rFonts w:hint="eastAsia" w:ascii="宋体" w:hAnsi="宋体" w:cs="宋体"/>
          <w:color w:val="auto"/>
          <w:sz w:val="21"/>
          <w:szCs w:val="21"/>
          <w:highlight w:val="none"/>
        </w:rPr>
        <w:t>投标有效期</w:t>
      </w:r>
      <w:bookmarkEnd w:id="58"/>
      <w:bookmarkEnd w:id="59"/>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pPr>
        <w:pageBreakBefore w:val="0"/>
        <w:widowControl w:val="0"/>
        <w:kinsoku/>
        <w:wordWrap/>
        <w:topLinePunct w:val="0"/>
        <w:autoSpaceDE/>
        <w:autoSpaceDN/>
        <w:bidi w:val="0"/>
        <w:adjustRightInd w:val="0"/>
        <w:snapToGrid w:val="0"/>
        <w:ind w:left="567"/>
        <w:jc w:val="both"/>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0" w:name="_Toc26564"/>
      <w:bookmarkStart w:id="61" w:name="_Toc12582"/>
      <w:r>
        <w:rPr>
          <w:rFonts w:hint="eastAsia" w:ascii="宋体" w:hAnsi="宋体" w:cs="宋体"/>
          <w:color w:val="auto"/>
          <w:sz w:val="21"/>
          <w:szCs w:val="21"/>
          <w:highlight w:val="none"/>
        </w:rPr>
        <w:t>投标保证金</w:t>
      </w:r>
      <w:bookmarkEnd w:id="60"/>
      <w:bookmarkEnd w:id="61"/>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bookmarkStart w:id="62" w:name="_Ref179619405"/>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62"/>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pPr>
        <w:pageBreakBefore w:val="0"/>
        <w:kinsoku/>
        <w:wordWrap/>
        <w:topLinePunct w:val="0"/>
        <w:autoSpaceDE/>
        <w:autoSpaceDN/>
        <w:bidi w:val="0"/>
        <w:adjustRightInd w:val="0"/>
        <w:snapToGrid w:val="0"/>
        <w:rPr>
          <w:rFonts w:ascii="宋体" w:hAnsi="宋体" w:cs="宋体"/>
          <w:color w:val="auto"/>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63" w:name="_Toc18672"/>
      <w:bookmarkStart w:id="64" w:name="_Toc30352"/>
      <w:r>
        <w:rPr>
          <w:rFonts w:hint="eastAsia" w:ascii="宋体" w:hAnsi="宋体" w:cs="宋体"/>
          <w:color w:val="auto"/>
          <w:highlight w:val="none"/>
        </w:rPr>
        <w:t>投标文件的递交</w:t>
      </w:r>
      <w:bookmarkEnd w:id="63"/>
      <w:bookmarkEnd w:id="64"/>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5" w:name="_Toc382049111"/>
      <w:bookmarkStart w:id="66" w:name="_Toc303084264"/>
      <w:bookmarkStart w:id="67" w:name="_Toc24150"/>
      <w:bookmarkStart w:id="68" w:name="_Toc9759"/>
      <w:bookmarkStart w:id="69" w:name="_Toc24997"/>
      <w:r>
        <w:rPr>
          <w:rFonts w:hint="eastAsia" w:ascii="宋体" w:hAnsi="宋体" w:cs="宋体"/>
          <w:color w:val="auto"/>
          <w:sz w:val="21"/>
          <w:szCs w:val="21"/>
          <w:highlight w:val="none"/>
        </w:rPr>
        <w:t>投标文件的装订，签署，密封和标记</w:t>
      </w:r>
      <w:bookmarkEnd w:id="65"/>
      <w:bookmarkEnd w:id="66"/>
      <w:bookmarkEnd w:id="67"/>
      <w:bookmarkEnd w:id="68"/>
      <w:bookmarkEnd w:id="69"/>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 xml:space="preserve">收件人： </w:t>
      </w:r>
    </w:p>
    <w:p>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项目采购项目编号：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0" w:name="_Toc25895"/>
      <w:bookmarkStart w:id="71" w:name="_Toc27686"/>
      <w:r>
        <w:rPr>
          <w:rFonts w:hint="eastAsia" w:ascii="宋体" w:hAnsi="宋体" w:cs="宋体"/>
          <w:color w:val="auto"/>
          <w:sz w:val="21"/>
          <w:szCs w:val="21"/>
          <w:highlight w:val="none"/>
        </w:rPr>
        <w:t>迟交的投标文件</w:t>
      </w:r>
      <w:bookmarkEnd w:id="70"/>
      <w:bookmarkEnd w:id="71"/>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2" w:name="_Toc8776"/>
      <w:bookmarkStart w:id="73" w:name="_Toc9143"/>
      <w:r>
        <w:rPr>
          <w:rFonts w:hint="eastAsia" w:ascii="宋体" w:hAnsi="宋体" w:cs="宋体"/>
          <w:color w:val="auto"/>
          <w:sz w:val="21"/>
          <w:szCs w:val="21"/>
          <w:highlight w:val="none"/>
        </w:rPr>
        <w:t>投标样品（如需提交）</w:t>
      </w:r>
      <w:bookmarkEnd w:id="72"/>
      <w:bookmarkEnd w:id="73"/>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4" w:name="_Toc9777"/>
      <w:bookmarkStart w:id="75" w:name="_Toc382049112"/>
      <w:bookmarkStart w:id="76" w:name="_Toc303084265"/>
      <w:bookmarkStart w:id="77" w:name="_Toc1712"/>
      <w:bookmarkStart w:id="78" w:name="_Toc17522"/>
      <w:r>
        <w:rPr>
          <w:rFonts w:hint="eastAsia" w:ascii="宋体" w:hAnsi="宋体" w:cs="宋体"/>
          <w:color w:val="auto"/>
          <w:sz w:val="21"/>
          <w:szCs w:val="21"/>
          <w:highlight w:val="none"/>
        </w:rPr>
        <w:t>投标截止期</w:t>
      </w:r>
      <w:bookmarkEnd w:id="74"/>
      <w:bookmarkEnd w:id="75"/>
      <w:bookmarkEnd w:id="76"/>
      <w:bookmarkEnd w:id="77"/>
      <w:bookmarkEnd w:id="78"/>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9" w:name="_Toc31417"/>
      <w:bookmarkStart w:id="80" w:name="_Toc14518"/>
      <w:r>
        <w:rPr>
          <w:rFonts w:hint="eastAsia" w:ascii="宋体" w:hAnsi="宋体" w:cs="宋体"/>
          <w:color w:val="auto"/>
          <w:sz w:val="21"/>
          <w:szCs w:val="21"/>
          <w:highlight w:val="none"/>
        </w:rPr>
        <w:t>投标文件的补充、修改与撤回</w:t>
      </w:r>
      <w:bookmarkEnd w:id="79"/>
      <w:bookmarkEnd w:id="80"/>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pPr>
        <w:pStyle w:val="2"/>
        <w:pageBreakBefore w:val="0"/>
        <w:kinsoku/>
        <w:wordWrap/>
        <w:topLinePunct w:val="0"/>
        <w:autoSpaceDE/>
        <w:autoSpaceDN/>
        <w:bidi w:val="0"/>
        <w:adjustRightInd w:val="0"/>
        <w:snapToGrid w:val="0"/>
        <w:spacing w:before="0"/>
        <w:rPr>
          <w:color w:val="auto"/>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81" w:name="_Toc4693"/>
      <w:bookmarkStart w:id="82" w:name="_Toc7410"/>
      <w:r>
        <w:rPr>
          <w:rFonts w:hint="eastAsia" w:ascii="宋体" w:hAnsi="宋体" w:cs="宋体"/>
          <w:color w:val="auto"/>
          <w:highlight w:val="none"/>
        </w:rPr>
        <w:t>开标与评标</w:t>
      </w:r>
      <w:bookmarkEnd w:id="81"/>
      <w:bookmarkEnd w:id="82"/>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3" w:name="_Toc31671"/>
      <w:bookmarkStart w:id="84" w:name="_Toc20009"/>
      <w:r>
        <w:rPr>
          <w:rFonts w:hint="eastAsia" w:ascii="宋体" w:hAnsi="宋体" w:cs="宋体"/>
          <w:color w:val="auto"/>
          <w:sz w:val="21"/>
          <w:szCs w:val="21"/>
          <w:highlight w:val="none"/>
        </w:rPr>
        <w:t>开标</w:t>
      </w:r>
      <w:bookmarkEnd w:id="83"/>
      <w:bookmarkEnd w:id="84"/>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开标程序：</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pPr>
        <w:pageBreakBefore w:val="0"/>
        <w:widowControl w:val="0"/>
        <w:kinsoku/>
        <w:wordWrap/>
        <w:topLinePunct w:val="0"/>
        <w:autoSpaceDE/>
        <w:autoSpaceDN/>
        <w:bidi w:val="0"/>
        <w:adjustRightInd w:val="0"/>
        <w:snapToGrid w:val="0"/>
        <w:ind w:left="567"/>
        <w:jc w:val="both"/>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5" w:name="_Toc15560"/>
      <w:bookmarkStart w:id="86" w:name="_Toc3528"/>
      <w:r>
        <w:rPr>
          <w:rFonts w:hint="eastAsia" w:ascii="宋体" w:hAnsi="宋体" w:cs="宋体"/>
          <w:color w:val="auto"/>
          <w:sz w:val="21"/>
          <w:szCs w:val="21"/>
          <w:highlight w:val="none"/>
        </w:rPr>
        <w:t>评标委员会及评标方法</w:t>
      </w:r>
      <w:bookmarkEnd w:id="85"/>
      <w:bookmarkEnd w:id="86"/>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7" w:name="_Toc22022"/>
      <w:bookmarkStart w:id="88" w:name="_Toc4198"/>
      <w:r>
        <w:rPr>
          <w:rFonts w:hint="eastAsia" w:ascii="宋体" w:hAnsi="宋体" w:cs="宋体"/>
          <w:color w:val="auto"/>
          <w:sz w:val="21"/>
          <w:szCs w:val="21"/>
          <w:highlight w:val="none"/>
        </w:rPr>
        <w:t>评审原则及评标过程的保密</w:t>
      </w:r>
      <w:bookmarkEnd w:id="87"/>
      <w:bookmarkEnd w:id="88"/>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9" w:name="_Toc14506"/>
      <w:r>
        <w:rPr>
          <w:rFonts w:hint="eastAsia" w:ascii="宋体" w:hAnsi="宋体" w:cs="宋体"/>
          <w:color w:val="auto"/>
          <w:sz w:val="21"/>
          <w:szCs w:val="21"/>
          <w:highlight w:val="none"/>
        </w:rPr>
        <w:t>评标程序</w:t>
      </w:r>
      <w:bookmarkEnd w:id="89"/>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pPr>
        <w:pageBreakBefore w:val="0"/>
        <w:widowControl w:val="0"/>
        <w:kinsoku/>
        <w:wordWrap/>
        <w:overflowPunct w:val="0"/>
        <w:topLinePunct w:val="0"/>
        <w:autoSpaceDE/>
        <w:autoSpaceDN/>
        <w:bidi w:val="0"/>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pPr>
        <w:pageBreakBefore w:val="0"/>
        <w:kinsoku/>
        <w:wordWrap/>
        <w:topLinePunct w:val="0"/>
        <w:autoSpaceDE/>
        <w:autoSpaceDN/>
        <w:bidi w:val="0"/>
        <w:adjustRightInd w:val="0"/>
        <w:snapToGrid w:val="0"/>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33"/>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jc w:val="both"/>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jc w:val="both"/>
              <w:rPr>
                <w:rFonts w:ascii="宋体" w:hAnsi="宋体" w:cs="宋体"/>
                <w:b/>
                <w:color w:val="auto"/>
                <w:sz w:val="21"/>
                <w:szCs w:val="21"/>
                <w:highlight w:val="none"/>
              </w:rPr>
            </w:pPr>
            <w:r>
              <w:rPr>
                <w:rFonts w:hint="eastAsia" w:ascii="宋体" w:hAnsi="宋体" w:cs="宋体"/>
                <w:b/>
                <w:color w:val="auto"/>
                <w:sz w:val="21"/>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restart"/>
            <w:tcBorders>
              <w:top w:val="single" w:color="auto" w:sz="4" w:space="0"/>
              <w:left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tabs>
                <w:tab w:val="left" w:pos="612"/>
              </w:tabs>
              <w:kinsoku/>
              <w:wordWrap/>
              <w:topLinePunct w:val="0"/>
              <w:autoSpaceDE/>
              <w:autoSpaceDN/>
              <w:bidi w:val="0"/>
              <w:adjustRightInd w:val="0"/>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pPr>
              <w:pageBreakBefore w:val="0"/>
              <w:tabs>
                <w:tab w:val="left" w:pos="176"/>
                <w:tab w:val="left" w:pos="420"/>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tabs>
                <w:tab w:val="left" w:pos="612"/>
              </w:tabs>
              <w:kinsoku/>
              <w:wordWrap/>
              <w:topLinePunct w:val="0"/>
              <w:autoSpaceDE/>
              <w:autoSpaceDN/>
              <w:bidi w:val="0"/>
              <w:adjustRightInd w:val="0"/>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（2）参加采购活动前三年内，在经营活动中没有重大违法记录（须提供书面声明）；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pPr>
              <w:pageBreakBefore w:val="0"/>
              <w:tabs>
                <w:tab w:val="left" w:pos="176"/>
                <w:tab w:val="left" w:pos="420"/>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tabs>
                <w:tab w:val="left" w:pos="612"/>
              </w:tabs>
              <w:kinsoku/>
              <w:wordWrap/>
              <w:topLinePunct w:val="0"/>
              <w:autoSpaceDE/>
              <w:autoSpaceDN/>
              <w:bidi w:val="0"/>
              <w:adjustRightInd w:val="0"/>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（3）投标人的单位负责人为同一人或者存在直接控股、管理关系的不同投标人，不得参加同一合同项下的采购活动；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pPr>
              <w:pageBreakBefore w:val="0"/>
              <w:tabs>
                <w:tab w:val="left" w:pos="176"/>
                <w:tab w:val="left" w:pos="420"/>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tabs>
                <w:tab w:val="left" w:pos="612"/>
              </w:tabs>
              <w:kinsoku/>
              <w:wordWrap/>
              <w:topLinePunct w:val="0"/>
              <w:autoSpaceDE/>
              <w:autoSpaceDN/>
              <w:bidi w:val="0"/>
              <w:adjustRightInd w:val="0"/>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pPr>
              <w:pageBreakBefore w:val="0"/>
              <w:tabs>
                <w:tab w:val="left" w:pos="176"/>
                <w:tab w:val="left" w:pos="420"/>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tabs>
                <w:tab w:val="left" w:pos="612"/>
              </w:tabs>
              <w:kinsoku/>
              <w:wordWrap/>
              <w:topLinePunct w:val="0"/>
              <w:autoSpaceDE/>
              <w:autoSpaceDN/>
              <w:bidi w:val="0"/>
              <w:adjustRightInd w:val="0"/>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（5）未被列入东实集团及下属企业相关领域黑名单。【以</w:t>
            </w:r>
            <w:r>
              <w:rPr>
                <w:rFonts w:hint="eastAsia" w:ascii="宋体" w:hAnsi="宋体" w:cs="宋体"/>
                <w:color w:val="auto"/>
                <w:sz w:val="21"/>
                <w:szCs w:val="21"/>
                <w:highlight w:val="none"/>
                <w:lang w:val="zh-CN"/>
              </w:rPr>
              <w:t>东莞实业投资控股集团有限公司</w:t>
            </w:r>
            <w:r>
              <w:rPr>
                <w:rFonts w:hint="eastAsia" w:ascii="宋体" w:hAnsi="宋体" w:cs="宋体"/>
                <w:color w:val="auto"/>
                <w:sz w:val="21"/>
                <w:szCs w:val="21"/>
                <w:highlight w:val="none"/>
              </w:rPr>
              <w:t>发文（东实通〔2021〕44号）、（东实通〔2021〕98号）、（东实通〔2022〕75号）（东实通〔2023〕37号）、（东实通〔2024〕163号）、（东实通〔2024〕195号）、（东实通〔2025〕157号）为准，如有最新发文通知，按最新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bottom w:val="single" w:color="auto" w:sz="4" w:space="0"/>
              <w:right w:val="single" w:color="auto" w:sz="4" w:space="0"/>
              <w:tl2br w:val="nil"/>
              <w:tr2bl w:val="nil"/>
            </w:tcBorders>
            <w:vAlign w:val="center"/>
          </w:tcPr>
          <w:p>
            <w:pPr>
              <w:pageBreakBefore w:val="0"/>
              <w:tabs>
                <w:tab w:val="left" w:pos="176"/>
                <w:tab w:val="left" w:pos="420"/>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tabs>
                <w:tab w:val="left" w:pos="612"/>
              </w:tabs>
              <w:kinsoku/>
              <w:wordWrap/>
              <w:topLinePunct w:val="0"/>
              <w:autoSpaceDE/>
              <w:autoSpaceDN/>
              <w:bidi w:val="0"/>
              <w:adjustRightInd w:val="0"/>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（6）符合投标人资格要求中其他要求（如有）。（提供《附件</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.相关资质证明文件》中对应证明文件。）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jc w:val="both"/>
              <w:textAlignment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投标人按照采购文件要求提交投标保证金；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jc w:val="both"/>
              <w:textAlignment w:val="center"/>
              <w:rPr>
                <w:rFonts w:ascii="宋体" w:hAnsi="宋体" w:cs="宋体"/>
                <w:color w:val="auto"/>
                <w:sz w:val="21"/>
                <w:szCs w:val="21"/>
                <w:highlight w:val="none"/>
              </w:rPr>
            </w:pPr>
            <w:r>
              <w:rPr>
                <w:rFonts w:hint="eastAsia" w:ascii="宋体" w:hAnsi="宋体" w:cs="宋体"/>
                <w:color w:val="auto"/>
                <w:sz w:val="21"/>
                <w:szCs w:val="21"/>
                <w:highlight w:val="none"/>
                <w:lang w:bidi="ar"/>
              </w:rPr>
              <w:t>投标文件按照采购文件要求签署盖章；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both"/>
              <w:rPr>
                <w:rFonts w:ascii="宋体" w:hAnsi="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jc w:val="both"/>
              <w:textAlignment w:val="center"/>
              <w:rPr>
                <w:rFonts w:ascii="宋体" w:hAnsi="宋体" w:cs="宋体"/>
                <w:color w:val="auto"/>
                <w:sz w:val="21"/>
                <w:szCs w:val="21"/>
                <w:highlight w:val="none"/>
              </w:rPr>
            </w:pPr>
            <w:r>
              <w:rPr>
                <w:rFonts w:hint="eastAsia" w:ascii="宋体" w:hAnsi="宋体" w:cs="宋体"/>
                <w:color w:val="auto"/>
                <w:sz w:val="21"/>
                <w:szCs w:val="21"/>
                <w:highlight w:val="none"/>
                <w:lang w:bidi="ar"/>
              </w:rPr>
              <w:t>投标总价未超出采购预算或最高限价；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both"/>
              <w:rPr>
                <w:rFonts w:ascii="宋体" w:hAnsi="宋体" w:eastAsia="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jc w:val="both"/>
              <w:textAlignment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both"/>
              <w:rPr>
                <w:rFonts w:ascii="宋体" w:hAnsi="宋体" w:eastAsia="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jc w:val="both"/>
              <w:textAlignment w:val="center"/>
              <w:rPr>
                <w:rFonts w:ascii="宋体" w:hAnsi="宋体" w:cs="宋体"/>
                <w:color w:val="auto"/>
                <w:sz w:val="21"/>
                <w:szCs w:val="21"/>
                <w:highlight w:val="none"/>
              </w:rPr>
            </w:pPr>
            <w:r>
              <w:rPr>
                <w:rFonts w:hint="eastAsia" w:ascii="宋体" w:hAnsi="宋体" w:cs="宋体"/>
                <w:color w:val="auto"/>
                <w:sz w:val="21"/>
                <w:szCs w:val="21"/>
                <w:highlight w:val="none"/>
                <w:lang w:bidi="ar"/>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spacing w:line="360" w:lineRule="auto"/>
              <w:jc w:val="both"/>
              <w:rPr>
                <w:rFonts w:ascii="宋体" w:hAnsi="宋体" w:eastAsia="宋体" w:cs="宋体"/>
                <w:color w:val="auto"/>
                <w:sz w:val="21"/>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spacing w:line="360" w:lineRule="auto"/>
              <w:jc w:val="both"/>
              <w:textAlignment w:val="center"/>
              <w:rPr>
                <w:rFonts w:ascii="宋体" w:hAnsi="宋体" w:cs="宋体"/>
                <w:color w:val="auto"/>
                <w:sz w:val="21"/>
                <w:szCs w:val="21"/>
                <w:highlight w:val="none"/>
                <w:lang w:bidi="ar"/>
              </w:rPr>
            </w:pPr>
            <w:r>
              <w:rPr>
                <w:rFonts w:hint="eastAsia" w:ascii="宋体" w:hAnsi="宋体" w:cs="宋体"/>
                <w:color w:val="auto"/>
                <w:sz w:val="21"/>
                <w:szCs w:val="21"/>
                <w:highlight w:val="none"/>
              </w:rPr>
              <w:t>未出现</w:t>
            </w:r>
            <w:r>
              <w:rPr>
                <w:rFonts w:hint="eastAsia" w:ascii="宋体" w:hAnsi="宋体" w:cs="宋体"/>
                <w:color w:val="auto"/>
                <w:sz w:val="21"/>
                <w:szCs w:val="21"/>
                <w:highlight w:val="none"/>
                <w:lang w:bidi="ar"/>
              </w:rPr>
              <w:t>法律、法规和</w:t>
            </w:r>
            <w:r>
              <w:rPr>
                <w:rFonts w:hint="eastAsia" w:ascii="宋体" w:hAnsi="宋体" w:cs="宋体"/>
                <w:color w:val="auto"/>
                <w:sz w:val="21"/>
                <w:szCs w:val="21"/>
                <w:highlight w:val="none"/>
                <w:lang w:eastAsia="zh-CN" w:bidi="ar"/>
              </w:rPr>
              <w:t>采购文件</w:t>
            </w:r>
            <w:r>
              <w:rPr>
                <w:rFonts w:hint="eastAsia" w:ascii="宋体" w:hAnsi="宋体" w:cs="宋体"/>
                <w:color w:val="auto"/>
                <w:sz w:val="21"/>
                <w:szCs w:val="21"/>
                <w:highlight w:val="none"/>
                <w:lang w:bidi="ar"/>
              </w:rPr>
              <w:t>规定的其他无效情形。</w:t>
            </w:r>
          </w:p>
        </w:tc>
      </w:tr>
    </w:tbl>
    <w:p>
      <w:pPr>
        <w:pageBreakBefore w:val="0"/>
        <w:widowControl w:val="0"/>
        <w:kinsoku/>
        <w:wordWrap/>
        <w:overflowPunct w:val="0"/>
        <w:topLinePunct w:val="0"/>
        <w:autoSpaceDE/>
        <w:autoSpaceDN/>
        <w:bidi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pStyle w:val="2"/>
        <w:pageBreakBefore w:val="0"/>
        <w:kinsoku/>
        <w:wordWrap/>
        <w:topLinePunct w:val="0"/>
        <w:autoSpaceDE/>
        <w:autoSpaceDN/>
        <w:bidi w:val="0"/>
        <w:adjustRightInd w:val="0"/>
        <w:snapToGrid w:val="0"/>
        <w:spacing w:before="0"/>
        <w:rPr>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0" w:name="_Toc11415"/>
      <w:bookmarkStart w:id="91" w:name="_Toc4799"/>
      <w:r>
        <w:rPr>
          <w:rFonts w:hint="eastAsia" w:ascii="宋体" w:hAnsi="宋体" w:cs="宋体"/>
          <w:color w:val="auto"/>
          <w:sz w:val="21"/>
          <w:szCs w:val="21"/>
          <w:highlight w:val="none"/>
        </w:rPr>
        <w:t>商务、技术、价格评审（具体评审项目详见投标资料表）</w:t>
      </w:r>
      <w:bookmarkEnd w:id="90"/>
      <w:bookmarkEnd w:id="91"/>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2" w:name="_Toc316375620"/>
      <w:bookmarkStart w:id="93" w:name="_Toc18550"/>
      <w:bookmarkStart w:id="94" w:name="_Toc20328"/>
      <w:bookmarkStart w:id="95" w:name="_Toc382049120"/>
      <w:bookmarkStart w:id="96" w:name="_Toc21663"/>
      <w:r>
        <w:rPr>
          <w:rFonts w:hint="eastAsia" w:ascii="宋体" w:hAnsi="宋体" w:cs="宋体"/>
          <w:color w:val="auto"/>
          <w:sz w:val="21"/>
          <w:szCs w:val="21"/>
          <w:highlight w:val="none"/>
        </w:rPr>
        <w:t>纪律和保密</w:t>
      </w:r>
      <w:bookmarkEnd w:id="92"/>
      <w:r>
        <w:rPr>
          <w:rFonts w:hint="eastAsia" w:ascii="宋体" w:hAnsi="宋体" w:cs="宋体"/>
          <w:color w:val="auto"/>
          <w:sz w:val="21"/>
          <w:szCs w:val="21"/>
          <w:highlight w:val="none"/>
        </w:rPr>
        <w:t>事项</w:t>
      </w:r>
      <w:bookmarkEnd w:id="93"/>
      <w:bookmarkEnd w:id="94"/>
      <w:bookmarkEnd w:id="95"/>
      <w:bookmarkEnd w:id="96"/>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pPr>
        <w:pageBreakBefore w:val="0"/>
        <w:kinsoku/>
        <w:wordWrap/>
        <w:topLinePunct w:val="0"/>
        <w:autoSpaceDE/>
        <w:autoSpaceDN/>
        <w:bidi w:val="0"/>
        <w:adjustRightInd w:val="0"/>
        <w:snapToGrid w:val="0"/>
        <w:rPr>
          <w:rFonts w:ascii="宋体" w:hAnsi="宋体" w:cs="宋体"/>
          <w:color w:val="auto"/>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97" w:name="_Toc27738"/>
      <w:bookmarkStart w:id="98" w:name="_Toc1109"/>
      <w:r>
        <w:rPr>
          <w:rFonts w:hint="eastAsia" w:ascii="宋体" w:hAnsi="宋体" w:cs="宋体"/>
          <w:color w:val="auto"/>
          <w:highlight w:val="none"/>
        </w:rPr>
        <w:t>授予合同</w:t>
      </w:r>
      <w:bookmarkEnd w:id="97"/>
      <w:bookmarkEnd w:id="98"/>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9" w:name="_Toc22623"/>
      <w:bookmarkStart w:id="100" w:name="_Toc508284011"/>
      <w:bookmarkStart w:id="101" w:name="_Toc16090"/>
      <w:r>
        <w:rPr>
          <w:rFonts w:hint="eastAsia" w:ascii="宋体" w:hAnsi="宋体" w:cs="宋体"/>
          <w:color w:val="auto"/>
          <w:sz w:val="21"/>
          <w:szCs w:val="21"/>
          <w:highlight w:val="none"/>
        </w:rPr>
        <w:t>合同授予标准</w:t>
      </w:r>
      <w:bookmarkEnd w:id="99"/>
      <w:bookmarkEnd w:id="100"/>
      <w:bookmarkEnd w:id="101"/>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2" w:name="_Toc24261"/>
      <w:bookmarkStart w:id="103" w:name="_Toc10545"/>
      <w:bookmarkStart w:id="104" w:name="_Toc508284013"/>
      <w:r>
        <w:rPr>
          <w:rFonts w:hint="eastAsia" w:ascii="宋体" w:hAnsi="宋体" w:cs="宋体"/>
          <w:color w:val="auto"/>
          <w:sz w:val="21"/>
          <w:szCs w:val="21"/>
          <w:highlight w:val="none"/>
        </w:rPr>
        <w:t>发布中标结果</w:t>
      </w:r>
      <w:bookmarkEnd w:id="102"/>
      <w:bookmarkEnd w:id="103"/>
      <w:bookmarkEnd w:id="104"/>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pPr>
        <w:pageBreakBefore w:val="0"/>
        <w:widowControl w:val="0"/>
        <w:tabs>
          <w:tab w:val="left" w:pos="907"/>
        </w:tabs>
        <w:kinsoku/>
        <w:wordWrap/>
        <w:topLinePunct w:val="0"/>
        <w:autoSpaceDE/>
        <w:autoSpaceDN/>
        <w:bidi w:val="0"/>
        <w:adjustRightInd w:val="0"/>
        <w:snapToGrid w:val="0"/>
        <w:jc w:val="both"/>
        <w:rPr>
          <w:rFonts w:ascii="宋体" w:hAnsi="宋体" w:cs="宋体"/>
          <w:color w:val="auto"/>
          <w:szCs w:val="21"/>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5" w:name="_Toc749"/>
      <w:bookmarkStart w:id="106" w:name="_Toc11420"/>
      <w:r>
        <w:rPr>
          <w:rFonts w:hint="eastAsia" w:ascii="宋体" w:hAnsi="宋体" w:cs="宋体"/>
          <w:color w:val="auto"/>
          <w:sz w:val="21"/>
          <w:szCs w:val="21"/>
          <w:highlight w:val="none"/>
        </w:rPr>
        <w:t>资格后审</w:t>
      </w:r>
      <w:bookmarkEnd w:id="105"/>
      <w:bookmarkEnd w:id="106"/>
    </w:p>
    <w:p>
      <w:pPr>
        <w:pStyle w:val="44"/>
        <w:pageBreakBefore w:val="0"/>
        <w:widowControl w:val="0"/>
        <w:numPr>
          <w:ilvl w:val="0"/>
          <w:numId w:val="3"/>
        </w:numPr>
        <w:tabs>
          <w:tab w:val="left" w:pos="567"/>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采购人将有权根据本文件中的要求，对评委会推荐的中标候选人进行资格后审。</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pPr>
        <w:pageBreakBefore w:val="0"/>
        <w:kinsoku/>
        <w:wordWrap/>
        <w:topLinePunct w:val="0"/>
        <w:autoSpaceDE/>
        <w:autoSpaceDN/>
        <w:bidi w:val="0"/>
        <w:adjustRightInd w:val="0"/>
        <w:snapToGrid w:val="0"/>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7" w:name="_Toc27302"/>
      <w:bookmarkStart w:id="108" w:name="_Toc27689"/>
      <w:r>
        <w:rPr>
          <w:rFonts w:hint="eastAsia" w:ascii="宋体" w:hAnsi="宋体" w:cs="宋体"/>
          <w:color w:val="auto"/>
          <w:sz w:val="21"/>
          <w:szCs w:val="21"/>
          <w:highlight w:val="none"/>
        </w:rPr>
        <w:t>合同的签订与履行</w:t>
      </w:r>
      <w:bookmarkEnd w:id="107"/>
      <w:bookmarkEnd w:id="108"/>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pPr>
        <w:pageBreakBefore w:val="0"/>
        <w:widowControl w:val="0"/>
        <w:tabs>
          <w:tab w:val="left" w:pos="907"/>
        </w:tabs>
        <w:kinsoku/>
        <w:wordWrap/>
        <w:topLinePunct w:val="0"/>
        <w:autoSpaceDE/>
        <w:autoSpaceDN/>
        <w:bidi w:val="0"/>
        <w:adjustRightInd w:val="0"/>
        <w:snapToGrid w:val="0"/>
        <w:jc w:val="both"/>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9" w:name="_Toc382049124"/>
      <w:bookmarkStart w:id="110" w:name="_Toc29009"/>
      <w:bookmarkStart w:id="111" w:name="_Toc303084277"/>
      <w:bookmarkStart w:id="112" w:name="_Toc19211"/>
      <w:bookmarkStart w:id="113" w:name="_Toc6617"/>
      <w:r>
        <w:rPr>
          <w:rFonts w:hint="eastAsia" w:ascii="宋体" w:hAnsi="宋体" w:cs="宋体"/>
          <w:color w:val="auto"/>
          <w:sz w:val="21"/>
          <w:szCs w:val="21"/>
          <w:highlight w:val="none"/>
        </w:rPr>
        <w:t>履约</w:t>
      </w:r>
      <w:bookmarkEnd w:id="109"/>
      <w:bookmarkEnd w:id="110"/>
      <w:bookmarkEnd w:id="111"/>
      <w:r>
        <w:rPr>
          <w:rFonts w:hint="eastAsia" w:ascii="宋体" w:hAnsi="宋体" w:cs="宋体"/>
          <w:color w:val="auto"/>
          <w:sz w:val="21"/>
          <w:szCs w:val="21"/>
          <w:highlight w:val="none"/>
        </w:rPr>
        <w:t>担保</w:t>
      </w:r>
      <w:bookmarkEnd w:id="112"/>
      <w:bookmarkEnd w:id="113"/>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天内保持有效。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pPr>
        <w:pageBreakBefore w:val="0"/>
        <w:widowControl w:val="0"/>
        <w:tabs>
          <w:tab w:val="left" w:pos="907"/>
        </w:tabs>
        <w:kinsoku/>
        <w:wordWrap/>
        <w:topLinePunct w:val="0"/>
        <w:autoSpaceDE/>
        <w:autoSpaceDN/>
        <w:bidi w:val="0"/>
        <w:adjustRightInd w:val="0"/>
        <w:snapToGrid w:val="0"/>
        <w:jc w:val="both"/>
        <w:rPr>
          <w:rFonts w:ascii="宋体" w:hAnsi="宋体" w:cs="宋体"/>
          <w:color w:val="auto"/>
          <w:highlight w:val="none"/>
        </w:rPr>
      </w:pPr>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4" w:name="_Toc19347"/>
      <w:bookmarkStart w:id="115" w:name="_Toc18880"/>
      <w:r>
        <w:rPr>
          <w:rFonts w:hint="eastAsia" w:ascii="宋体" w:hAnsi="宋体" w:cs="宋体"/>
          <w:color w:val="auto"/>
          <w:sz w:val="21"/>
          <w:szCs w:val="21"/>
          <w:highlight w:val="none"/>
        </w:rPr>
        <w:t>预付款保函（适用于预付款支付）</w:t>
      </w:r>
      <w:bookmarkEnd w:id="114"/>
      <w:bookmarkEnd w:id="115"/>
    </w:p>
    <w:p>
      <w:pPr>
        <w:pStyle w:val="44"/>
        <w:pageBreakBefore w:val="0"/>
        <w:widowControl w:val="0"/>
        <w:numPr>
          <w:ilvl w:val="0"/>
          <w:numId w:val="3"/>
        </w:numPr>
        <w:tabs>
          <w:tab w:val="left" w:pos="567"/>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预付款保函应：</w:t>
      </w:r>
    </w:p>
    <w:p>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（2）必须打印，手写、涂改无效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pPr>
        <w:pageBreakBefore w:val="0"/>
        <w:kinsoku/>
        <w:wordWrap/>
        <w:topLinePunct w:val="0"/>
        <w:autoSpaceDE/>
        <w:autoSpaceDN/>
        <w:bidi w:val="0"/>
        <w:adjustRightInd w:val="0"/>
        <w:snapToGrid w:val="0"/>
        <w:rPr>
          <w:rFonts w:ascii="宋体" w:hAnsi="宋体" w:cs="宋体"/>
          <w:color w:val="auto"/>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16" w:name="_Toc27556"/>
      <w:bookmarkStart w:id="117" w:name="_Toc21814"/>
      <w:r>
        <w:rPr>
          <w:rFonts w:hint="eastAsia" w:ascii="宋体" w:hAnsi="宋体" w:cs="宋体"/>
          <w:color w:val="auto"/>
          <w:highlight w:val="none"/>
        </w:rPr>
        <w:t>异议</w:t>
      </w:r>
      <w:bookmarkEnd w:id="116"/>
      <w:bookmarkEnd w:id="117"/>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8" w:name="_Toc31457"/>
      <w:bookmarkStart w:id="119" w:name="_Toc9791"/>
      <w:r>
        <w:rPr>
          <w:rFonts w:hint="eastAsia" w:ascii="宋体" w:hAnsi="宋体" w:cs="宋体"/>
          <w:color w:val="auto"/>
          <w:sz w:val="21"/>
          <w:szCs w:val="21"/>
          <w:highlight w:val="none"/>
        </w:rPr>
        <w:t>异议</w:t>
      </w:r>
      <w:bookmarkEnd w:id="118"/>
      <w:bookmarkEnd w:id="119"/>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pPr>
        <w:pageBreakBefore w:val="0"/>
        <w:kinsoku/>
        <w:wordWrap/>
        <w:topLinePunct w:val="0"/>
        <w:autoSpaceDE/>
        <w:autoSpaceDN/>
        <w:bidi w:val="0"/>
        <w:adjustRightInd w:val="0"/>
        <w:snapToGrid w:val="0"/>
        <w:rPr>
          <w:rFonts w:ascii="宋体" w:hAnsi="宋体" w:cs="宋体"/>
          <w:color w:val="auto"/>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20" w:name="_Toc16776"/>
      <w:bookmarkStart w:id="121" w:name="_Toc18965"/>
      <w:r>
        <w:rPr>
          <w:rFonts w:hint="eastAsia" w:ascii="宋体" w:hAnsi="宋体" w:cs="宋体"/>
          <w:color w:val="auto"/>
          <w:highlight w:val="none"/>
        </w:rPr>
        <w:t>其他</w:t>
      </w:r>
      <w:bookmarkEnd w:id="120"/>
      <w:bookmarkEnd w:id="121"/>
    </w:p>
    <w:p>
      <w:pPr>
        <w:pStyle w:val="6"/>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2" w:name="_Toc2155"/>
      <w:bookmarkStart w:id="123" w:name="_Toc1587"/>
      <w:r>
        <w:rPr>
          <w:rFonts w:hint="eastAsia" w:ascii="宋体" w:hAnsi="宋体" w:cs="宋体"/>
          <w:color w:val="auto"/>
          <w:sz w:val="21"/>
          <w:szCs w:val="21"/>
          <w:highlight w:val="none"/>
        </w:rPr>
        <w:t>采购文件的解释权</w:t>
      </w:r>
      <w:bookmarkEnd w:id="122"/>
      <w:bookmarkEnd w:id="123"/>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pPr>
        <w:widowControl w:val="0"/>
        <w:numPr>
          <w:ilvl w:val="1"/>
          <w:numId w:val="8"/>
        </w:numPr>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br w:type="page"/>
      </w:r>
    </w:p>
    <w:p>
      <w:pPr>
        <w:pStyle w:val="4"/>
        <w:spacing w:before="0" w:after="0" w:line="240" w:lineRule="auto"/>
        <w:rPr>
          <w:color w:val="auto"/>
          <w:sz w:val="28"/>
          <w:szCs w:val="28"/>
          <w:highlight w:val="none"/>
        </w:rPr>
      </w:pPr>
      <w:bookmarkStart w:id="124" w:name="_Toc15211"/>
      <w:r>
        <w:rPr>
          <w:rFonts w:hint="eastAsia"/>
          <w:color w:val="auto"/>
          <w:sz w:val="28"/>
          <w:szCs w:val="28"/>
          <w:highlight w:val="none"/>
        </w:rPr>
        <w:t>第五部分</w:t>
      </w:r>
      <w:r>
        <w:rPr>
          <w:rFonts w:hint="eastAsia"/>
          <w:color w:val="auto"/>
          <w:sz w:val="28"/>
          <w:szCs w:val="28"/>
          <w:highlight w:val="none"/>
          <w:lang w:val="en-US" w:eastAsia="zh-CN"/>
        </w:rPr>
        <w:t xml:space="preserve"> </w:t>
      </w:r>
      <w:r>
        <w:rPr>
          <w:rFonts w:hint="eastAsia"/>
          <w:color w:val="auto"/>
          <w:sz w:val="28"/>
          <w:szCs w:val="28"/>
          <w:highlight w:val="none"/>
        </w:rPr>
        <w:t>合同条款格式</w:t>
      </w:r>
      <w:bookmarkEnd w:id="124"/>
      <w:bookmarkStart w:id="125" w:name="_Toc15636"/>
    </w:p>
    <w:bookmarkEnd w:id="125"/>
    <w:p>
      <w:pPr>
        <w:rPr>
          <w:color w:val="auto"/>
          <w:highlight w:val="none"/>
          <w:lang w:bidi="zh-CN"/>
        </w:rPr>
      </w:pPr>
      <w:bookmarkStart w:id="126" w:name="_Hlt109815959"/>
      <w:bookmarkEnd w:id="126"/>
    </w:p>
    <w:p>
      <w:pPr>
        <w:spacing w:line="360" w:lineRule="auto"/>
        <w:ind w:right="48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合同编号：</w:t>
      </w:r>
    </w:p>
    <w:p>
      <w:pPr>
        <w:jc w:val="center"/>
        <w:rPr>
          <w:rFonts w:hint="eastAsia" w:ascii="宋体" w:hAnsi="宋体" w:eastAsia="宋体" w:cs="宋体"/>
          <w:b/>
          <w:color w:val="auto"/>
          <w:sz w:val="72"/>
          <w:szCs w:val="72"/>
          <w:highlight w:val="none"/>
        </w:rPr>
      </w:pPr>
    </w:p>
    <w:p>
      <w:pPr>
        <w:snapToGrid w:val="0"/>
        <w:spacing w:line="360" w:lineRule="auto"/>
        <w:jc w:val="center"/>
        <w:rPr>
          <w:rFonts w:hint="default" w:ascii="宋体" w:hAnsi="宋体" w:eastAsia="宋体" w:cs="宋体"/>
          <w:b/>
          <w:bCs/>
          <w:snapToGrid w:val="0"/>
          <w:color w:val="auto"/>
          <w:sz w:val="32"/>
          <w:szCs w:val="32"/>
          <w:highlight w:val="none"/>
          <w:lang w:val="en-US"/>
        </w:rPr>
      </w:pPr>
      <w:bookmarkStart w:id="127" w:name="_Toc9693"/>
      <w:r>
        <w:rPr>
          <w:rFonts w:hint="eastAsia" w:ascii="宋体" w:hAnsi="宋体" w:eastAsia="宋体" w:cs="宋体"/>
          <w:b/>
          <w:color w:val="auto"/>
          <w:sz w:val="44"/>
          <w:szCs w:val="44"/>
          <w:highlight w:val="none"/>
          <w:lang w:val="en-US" w:eastAsia="zh-CN"/>
        </w:rPr>
        <w:t>道滘镇南丫片区城中村改造项目掌洲工业安置房地块全过程驻场造价咨询</w:t>
      </w:r>
      <w:r>
        <w:rPr>
          <w:rFonts w:hint="eastAsia" w:ascii="宋体" w:hAnsi="宋体" w:cs="宋体"/>
          <w:b/>
          <w:color w:val="auto"/>
          <w:sz w:val="44"/>
          <w:szCs w:val="44"/>
          <w:highlight w:val="none"/>
          <w:lang w:val="en-US" w:eastAsia="zh-CN"/>
        </w:rPr>
        <w:t>服务</w:t>
      </w:r>
    </w:p>
    <w:p>
      <w:pPr>
        <w:jc w:val="center"/>
        <w:rPr>
          <w:rFonts w:hint="eastAsia" w:ascii="宋体" w:hAnsi="宋体" w:eastAsia="宋体" w:cs="宋体"/>
          <w:b/>
          <w:color w:val="auto"/>
          <w:sz w:val="48"/>
          <w:szCs w:val="48"/>
          <w:highlight w:val="none"/>
        </w:rPr>
      </w:pPr>
    </w:p>
    <w:p>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服务合同</w:t>
      </w:r>
    </w:p>
    <w:p>
      <w:pPr>
        <w:snapToGrid w:val="0"/>
        <w:spacing w:line="360" w:lineRule="auto"/>
        <w:ind w:firstLine="2233" w:firstLineChars="695"/>
        <w:jc w:val="center"/>
        <w:rPr>
          <w:rFonts w:hint="eastAsia" w:ascii="宋体" w:hAnsi="宋体" w:eastAsia="宋体" w:cs="宋体"/>
          <w:b/>
          <w:bCs/>
          <w:snapToGrid w:val="0"/>
          <w:color w:val="auto"/>
          <w:sz w:val="32"/>
          <w:szCs w:val="32"/>
          <w:highlight w:val="none"/>
        </w:rPr>
      </w:pPr>
    </w:p>
    <w:p>
      <w:pPr>
        <w:snapToGrid w:val="0"/>
        <w:spacing w:line="360" w:lineRule="auto"/>
        <w:rPr>
          <w:rFonts w:hint="eastAsia" w:ascii="宋体" w:hAnsi="宋体" w:eastAsia="宋体" w:cs="宋体"/>
          <w:b/>
          <w:bCs/>
          <w:snapToGrid w:val="0"/>
          <w:color w:val="auto"/>
          <w:sz w:val="32"/>
          <w:szCs w:val="32"/>
          <w:highlight w:val="none"/>
        </w:rPr>
      </w:pPr>
    </w:p>
    <w:p>
      <w:pPr>
        <w:snapToGrid w:val="0"/>
        <w:spacing w:line="360" w:lineRule="auto"/>
        <w:rPr>
          <w:rFonts w:hint="eastAsia" w:ascii="宋体" w:hAnsi="宋体" w:eastAsia="宋体" w:cs="宋体"/>
          <w:snapToGrid w:val="0"/>
          <w:color w:val="auto"/>
          <w:highlight w:val="none"/>
        </w:rPr>
      </w:pPr>
    </w:p>
    <w:p>
      <w:pPr>
        <w:widowControl/>
        <w:wordWrap w:val="0"/>
        <w:spacing w:line="360" w:lineRule="auto"/>
        <w:ind w:firstLine="280" w:firstLineChars="100"/>
        <w:rPr>
          <w:rFonts w:hint="default"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工程名称：</w:t>
      </w:r>
      <w:r>
        <w:rPr>
          <w:rFonts w:hint="eastAsia" w:ascii="宋体" w:hAnsi="宋体" w:eastAsia="宋体" w:cs="宋体"/>
          <w:color w:val="auto"/>
          <w:sz w:val="28"/>
          <w:szCs w:val="28"/>
          <w:highlight w:val="none"/>
          <w:u w:val="single"/>
          <w:lang w:val="en-US" w:eastAsia="zh-CN"/>
        </w:rPr>
        <w:t>道滘镇南丫片区城中村改造项目掌洲工业安置房地块</w:t>
      </w:r>
      <w:r>
        <w:rPr>
          <w:rFonts w:hint="eastAsia" w:ascii="宋体" w:hAnsi="宋体" w:eastAsia="宋体" w:cs="宋体"/>
          <w:color w:val="auto"/>
          <w:sz w:val="28"/>
          <w:szCs w:val="28"/>
          <w:highlight w:val="none"/>
          <w:u w:val="single"/>
          <w:lang w:eastAsia="zh-CN"/>
        </w:rPr>
        <w:t>全过程驻场造价咨询</w:t>
      </w:r>
      <w:r>
        <w:rPr>
          <w:rFonts w:hint="eastAsia" w:ascii="宋体" w:hAnsi="宋体" w:cs="宋体"/>
          <w:color w:val="auto"/>
          <w:sz w:val="28"/>
          <w:szCs w:val="28"/>
          <w:highlight w:val="none"/>
          <w:u w:val="single"/>
          <w:lang w:val="en-US" w:eastAsia="zh-CN"/>
        </w:rPr>
        <w:t>服务</w:t>
      </w:r>
    </w:p>
    <w:p>
      <w:pPr>
        <w:widowControl/>
        <w:wordWrap w:val="0"/>
        <w:spacing w:line="360" w:lineRule="auto"/>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工程地点：</w:t>
      </w:r>
      <w:r>
        <w:rPr>
          <w:rFonts w:hint="eastAsia" w:ascii="宋体" w:hAnsi="宋体" w:eastAsia="宋体" w:cs="宋体"/>
          <w:color w:val="auto"/>
          <w:sz w:val="28"/>
          <w:szCs w:val="28"/>
          <w:highlight w:val="none"/>
          <w:u w:val="single"/>
        </w:rPr>
        <w:t>东莞市</w:t>
      </w:r>
      <w:r>
        <w:rPr>
          <w:rFonts w:hint="eastAsia" w:ascii="宋体" w:hAnsi="宋体" w:cs="宋体"/>
          <w:color w:val="auto"/>
          <w:sz w:val="28"/>
          <w:szCs w:val="28"/>
          <w:highlight w:val="none"/>
          <w:u w:val="single"/>
          <w:lang w:val="en-US" w:eastAsia="zh-CN"/>
        </w:rPr>
        <w:t>道滘</w:t>
      </w:r>
      <w:r>
        <w:rPr>
          <w:rFonts w:hint="eastAsia" w:ascii="宋体" w:hAnsi="宋体" w:eastAsia="宋体" w:cs="宋体"/>
          <w:color w:val="auto"/>
          <w:sz w:val="28"/>
          <w:szCs w:val="28"/>
          <w:highlight w:val="none"/>
          <w:u w:val="single"/>
        </w:rPr>
        <w:t>镇</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jc w:val="left"/>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委托单位：</w:t>
      </w:r>
      <w:r>
        <w:rPr>
          <w:rFonts w:hint="eastAsia" w:cs="宋体"/>
          <w:color w:val="auto"/>
          <w:sz w:val="28"/>
          <w:szCs w:val="28"/>
          <w:highlight w:val="none"/>
          <w:u w:val="single"/>
          <w:lang w:val="en-US" w:eastAsia="zh-CN"/>
        </w:rPr>
        <w:t>东莞市</w:t>
      </w:r>
      <w:r>
        <w:rPr>
          <w:rFonts w:hint="eastAsia" w:ascii="宋体" w:hAnsi="宋体" w:eastAsia="宋体" w:cs="宋体"/>
          <w:color w:val="auto"/>
          <w:sz w:val="28"/>
          <w:szCs w:val="28"/>
          <w:highlight w:val="none"/>
          <w:u w:val="single"/>
          <w:lang w:eastAsia="zh-CN"/>
        </w:rPr>
        <w:t>东实旗云投资有限公司</w:t>
      </w:r>
    </w:p>
    <w:p>
      <w:pPr>
        <w:widowControl/>
        <w:wordWrap w:val="0"/>
        <w:spacing w:line="360" w:lineRule="auto"/>
        <w:ind w:firstLine="280" w:firstLineChars="100"/>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咨询单位：</w:t>
      </w:r>
      <w:r>
        <w:rPr>
          <w:rFonts w:hint="eastAsia" w:ascii="宋体" w:hAnsi="宋体" w:cs="宋体"/>
          <w:color w:val="auto"/>
          <w:sz w:val="28"/>
          <w:szCs w:val="28"/>
          <w:highlight w:val="none"/>
          <w:u w:val="single"/>
          <w:lang w:val="en-US" w:eastAsia="zh-CN"/>
        </w:rPr>
        <w:t xml:space="preserve">                                 </w:t>
      </w:r>
    </w:p>
    <w:p>
      <w:pPr>
        <w:widowControl/>
        <w:wordWrap w:val="0"/>
        <w:spacing w:line="360" w:lineRule="auto"/>
        <w:ind w:firstLine="3520" w:firstLineChars="1100"/>
        <w:rPr>
          <w:rFonts w:hint="eastAsia" w:ascii="宋体" w:hAnsi="宋体" w:eastAsia="宋体" w:cs="宋体"/>
          <w:color w:val="auto"/>
          <w:sz w:val="32"/>
          <w:szCs w:val="32"/>
          <w:highlight w:val="none"/>
        </w:rPr>
      </w:pPr>
    </w:p>
    <w:p>
      <w:pPr>
        <w:widowControl/>
        <w:wordWrap w:val="0"/>
        <w:spacing w:line="360" w:lineRule="auto"/>
        <w:ind w:firstLine="3520" w:firstLineChars="1100"/>
        <w:rPr>
          <w:rFonts w:hint="eastAsia" w:ascii="宋体" w:hAnsi="宋体" w:eastAsia="宋体" w:cs="宋体"/>
          <w:color w:val="auto"/>
          <w:sz w:val="32"/>
          <w:szCs w:val="32"/>
          <w:highlight w:val="none"/>
        </w:rPr>
        <w:sectPr>
          <w:pgSz w:w="11907" w:h="16840"/>
          <w:pgMar w:top="1247" w:right="1191" w:bottom="1247" w:left="1191" w:header="851" w:footer="850" w:gutter="0"/>
          <w:pgNumType w:fmt="decimal"/>
          <w:cols w:space="720" w:num="1"/>
          <w:docGrid w:linePitch="326" w:charSpace="0"/>
        </w:sectPr>
      </w:pPr>
      <w:r>
        <w:rPr>
          <w:rFonts w:hint="eastAsia" w:ascii="宋体" w:hAnsi="宋体" w:eastAsia="宋体" w:cs="宋体"/>
          <w:color w:val="auto"/>
          <w:sz w:val="32"/>
          <w:szCs w:val="32"/>
          <w:highlight w:val="none"/>
        </w:rPr>
        <w:t>年    月    日</w:t>
      </w:r>
    </w:p>
    <w:p>
      <w:pPr>
        <w:widowControl/>
        <w:wordWrap w:val="0"/>
        <w:spacing w:line="360" w:lineRule="auto"/>
        <w:rPr>
          <w:rFonts w:hint="eastAsia" w:hAnsi="宋体" w:cs="宋体"/>
          <w:color w:val="auto"/>
          <w:sz w:val="21"/>
          <w:szCs w:val="21"/>
          <w:highlight w:val="none"/>
          <w:u w:val="single"/>
          <w:lang w:eastAsia="zh-CN"/>
        </w:rPr>
      </w:pPr>
      <w:r>
        <w:rPr>
          <w:rFonts w:hint="eastAsia" w:hAnsi="宋体" w:cs="宋体"/>
          <w:color w:val="auto"/>
          <w:sz w:val="21"/>
          <w:szCs w:val="21"/>
          <w:highlight w:val="none"/>
        </w:rPr>
        <w:t>委托人（以下简称甲方）：</w:t>
      </w:r>
      <w:r>
        <w:rPr>
          <w:rFonts w:hint="eastAsia" w:hAnsi="宋体" w:cs="宋体"/>
          <w:color w:val="auto"/>
          <w:sz w:val="21"/>
          <w:szCs w:val="21"/>
          <w:highlight w:val="none"/>
          <w:u w:val="single"/>
          <w:lang w:eastAsia="zh-CN"/>
        </w:rPr>
        <w:t>东莞市东实旗云投资有限公司</w:t>
      </w:r>
    </w:p>
    <w:p>
      <w:pPr>
        <w:widowControl/>
        <w:wordWrap w:val="0"/>
        <w:spacing w:line="360" w:lineRule="auto"/>
        <w:rPr>
          <w:rFonts w:hint="default" w:hAnsi="宋体" w:cs="宋体"/>
          <w:color w:val="auto"/>
          <w:sz w:val="21"/>
          <w:szCs w:val="21"/>
          <w:highlight w:val="none"/>
          <w:lang w:val="en-US"/>
        </w:rPr>
      </w:pPr>
      <w:r>
        <w:rPr>
          <w:rFonts w:hint="eastAsia" w:hAnsi="宋体" w:cs="宋体"/>
          <w:color w:val="auto"/>
          <w:sz w:val="21"/>
          <w:szCs w:val="21"/>
          <w:highlight w:val="none"/>
        </w:rPr>
        <w:t>咨询人（以下简称乙方）：</w:t>
      </w:r>
      <w:r>
        <w:rPr>
          <w:rFonts w:hint="eastAsia" w:hAnsi="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single"/>
          <w:lang w:val="en-US" w:eastAsia="zh-CN"/>
        </w:rPr>
        <w:t xml:space="preserve"> </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甲方委托乙方承担工程全过程造价咨询业务，按照《中华人民共和国民法典》，并结合国家建设部、省市有关规定及本工程具体情况，签订本合同。</w:t>
      </w:r>
    </w:p>
    <w:p>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第一条 项目概况</w:t>
      </w:r>
    </w:p>
    <w:p>
      <w:pPr>
        <w:pageBreakBefore w:val="0"/>
        <w:widowControl/>
        <w:kinsoku/>
        <w:wordWrap w:val="0"/>
        <w:overflowPunct/>
        <w:topLinePunct w:val="0"/>
        <w:autoSpaceDE/>
        <w:autoSpaceDN/>
        <w:bidi w:val="0"/>
        <w:adjustRightInd w:val="0"/>
        <w:snapToGrid w:val="0"/>
        <w:spacing w:line="360" w:lineRule="auto"/>
        <w:ind w:firstLine="420" w:firstLineChars="200"/>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1.1 工程名称:</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道滘镇南丫片区城中村改造项目掌洲工业安置房地块</w:t>
      </w:r>
      <w:r>
        <w:rPr>
          <w:rFonts w:hint="eastAsia" w:ascii="宋体" w:hAnsi="宋体" w:eastAsia="宋体" w:cs="宋体"/>
          <w:color w:val="auto"/>
          <w:sz w:val="21"/>
          <w:szCs w:val="21"/>
          <w:highlight w:val="none"/>
          <w:u w:val="single"/>
          <w:lang w:eastAsia="zh-CN"/>
        </w:rPr>
        <w:t>全过程驻场造价咨询</w:t>
      </w:r>
      <w:r>
        <w:rPr>
          <w:rFonts w:hint="eastAsia" w:ascii="宋体" w:hAnsi="宋体" w:cs="宋体"/>
          <w:color w:val="auto"/>
          <w:sz w:val="21"/>
          <w:szCs w:val="21"/>
          <w:highlight w:val="none"/>
          <w:u w:val="single"/>
          <w:lang w:val="en-US" w:eastAsia="zh-CN"/>
        </w:rPr>
        <w:t>服务</w:t>
      </w:r>
    </w:p>
    <w:p>
      <w:pPr>
        <w:pageBreakBefore w:val="0"/>
        <w:widowControl/>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1.2 工程规模: </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i w:val="0"/>
          <w:iCs w:val="0"/>
          <w:caps w:val="0"/>
          <w:color w:val="auto"/>
          <w:spacing w:val="0"/>
          <w:sz w:val="21"/>
          <w:szCs w:val="21"/>
          <w:highlight w:val="none"/>
          <w:u w:val="single"/>
          <w:shd w:val="clear" w:color="auto" w:fill="FFFFFF"/>
        </w:rPr>
        <w:t>占地面积约</w:t>
      </w:r>
      <w:r>
        <w:rPr>
          <w:rFonts w:hint="eastAsia" w:ascii="宋体" w:hAnsi="宋体" w:cs="宋体"/>
          <w:i w:val="0"/>
          <w:iCs w:val="0"/>
          <w:caps w:val="0"/>
          <w:color w:val="auto"/>
          <w:spacing w:val="0"/>
          <w:sz w:val="21"/>
          <w:szCs w:val="21"/>
          <w:highlight w:val="none"/>
          <w:u w:val="single"/>
          <w:shd w:val="clear" w:color="auto" w:fill="FFFFFF"/>
          <w:lang w:val="en-US" w:eastAsia="zh-CN"/>
        </w:rPr>
        <w:t>23374.51</w:t>
      </w:r>
      <w:r>
        <w:rPr>
          <w:rFonts w:hint="eastAsia" w:ascii="宋体" w:hAnsi="宋体" w:eastAsia="宋体" w:cs="宋体"/>
          <w:i w:val="0"/>
          <w:iCs w:val="0"/>
          <w:caps w:val="0"/>
          <w:color w:val="auto"/>
          <w:spacing w:val="0"/>
          <w:sz w:val="21"/>
          <w:szCs w:val="21"/>
          <w:highlight w:val="none"/>
          <w:u w:val="single"/>
          <w:shd w:val="clear" w:color="auto" w:fill="FFFFFF"/>
        </w:rPr>
        <w:t>平方米，</w:t>
      </w:r>
      <w:r>
        <w:rPr>
          <w:rFonts w:hint="eastAsia" w:ascii="宋体" w:hAnsi="宋体" w:cs="宋体"/>
          <w:i w:val="0"/>
          <w:iCs w:val="0"/>
          <w:caps w:val="0"/>
          <w:color w:val="auto"/>
          <w:spacing w:val="0"/>
          <w:sz w:val="21"/>
          <w:szCs w:val="21"/>
          <w:highlight w:val="none"/>
          <w:u w:val="single"/>
          <w:shd w:val="clear" w:color="auto" w:fill="FFFFFF"/>
          <w:lang w:eastAsia="zh-CN"/>
        </w:rPr>
        <w:t>计容</w:t>
      </w:r>
      <w:r>
        <w:rPr>
          <w:rFonts w:hint="eastAsia" w:ascii="宋体" w:hAnsi="宋体" w:eastAsia="宋体" w:cs="宋体"/>
          <w:i w:val="0"/>
          <w:iCs w:val="0"/>
          <w:caps w:val="0"/>
          <w:color w:val="auto"/>
          <w:spacing w:val="0"/>
          <w:sz w:val="21"/>
          <w:szCs w:val="21"/>
          <w:highlight w:val="none"/>
          <w:u w:val="single"/>
          <w:shd w:val="clear" w:color="auto" w:fill="FFFFFF"/>
        </w:rPr>
        <w:t>面积约</w:t>
      </w:r>
      <w:r>
        <w:rPr>
          <w:rFonts w:hint="eastAsia" w:ascii="宋体" w:hAnsi="宋体" w:cs="宋体"/>
          <w:i w:val="0"/>
          <w:iCs w:val="0"/>
          <w:caps w:val="0"/>
          <w:color w:val="auto"/>
          <w:spacing w:val="0"/>
          <w:sz w:val="21"/>
          <w:szCs w:val="21"/>
          <w:highlight w:val="none"/>
          <w:u w:val="single"/>
          <w:shd w:val="clear" w:color="auto" w:fill="FFFFFF"/>
          <w:lang w:val="en-US" w:eastAsia="zh-CN"/>
        </w:rPr>
        <w:t>81810.79</w:t>
      </w:r>
      <w:r>
        <w:rPr>
          <w:rFonts w:hint="eastAsia" w:ascii="宋体" w:hAnsi="宋体" w:eastAsia="宋体" w:cs="宋体"/>
          <w:i w:val="0"/>
          <w:iCs w:val="0"/>
          <w:caps w:val="0"/>
          <w:color w:val="auto"/>
          <w:spacing w:val="0"/>
          <w:sz w:val="21"/>
          <w:szCs w:val="21"/>
          <w:highlight w:val="none"/>
          <w:u w:val="single"/>
          <w:shd w:val="clear" w:color="auto" w:fill="FFFFFF"/>
        </w:rPr>
        <w:t>平方米。</w:t>
      </w:r>
      <w:r>
        <w:rPr>
          <w:rFonts w:hint="eastAsia" w:ascii="宋体" w:hAnsi="宋体" w:eastAsia="宋体" w:cs="宋体"/>
          <w:color w:val="auto"/>
          <w:sz w:val="21"/>
          <w:szCs w:val="21"/>
          <w:highlight w:val="none"/>
          <w:u w:val="single"/>
        </w:rPr>
        <w:t>（最终建设规模以相关批复文件为准）。</w:t>
      </w:r>
    </w:p>
    <w:p>
      <w:pPr>
        <w:pageBreakBefore w:val="0"/>
        <w:widowControl/>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上部结构:</w:t>
      </w:r>
      <w:r>
        <w:rPr>
          <w:rFonts w:hint="eastAsia" w:ascii="宋体" w:hAnsi="宋体" w:eastAsia="宋体" w:cs="宋体"/>
          <w:color w:val="auto"/>
          <w:sz w:val="21"/>
          <w:szCs w:val="21"/>
          <w:highlight w:val="none"/>
          <w:u w:val="single"/>
        </w:rPr>
        <w:t>详见施工图设计文件</w:t>
      </w:r>
    </w:p>
    <w:p>
      <w:pPr>
        <w:pageBreakBefore w:val="0"/>
        <w:widowControl/>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基础结构:</w:t>
      </w:r>
      <w:r>
        <w:rPr>
          <w:rFonts w:hint="eastAsia" w:ascii="宋体" w:hAnsi="宋体" w:eastAsia="宋体" w:cs="宋体"/>
          <w:color w:val="auto"/>
          <w:sz w:val="21"/>
          <w:szCs w:val="21"/>
          <w:highlight w:val="none"/>
          <w:u w:val="single"/>
        </w:rPr>
        <w:t>详见施工图设计文件</w:t>
      </w:r>
    </w:p>
    <w:p>
      <w:pPr>
        <w:pageBreakBefore w:val="0"/>
        <w:widowControl/>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结构形式:</w:t>
      </w:r>
      <w:r>
        <w:rPr>
          <w:rFonts w:hint="eastAsia" w:ascii="宋体" w:hAnsi="宋体" w:eastAsia="宋体" w:cs="宋体"/>
          <w:color w:val="auto"/>
          <w:sz w:val="21"/>
          <w:szCs w:val="21"/>
          <w:highlight w:val="none"/>
          <w:u w:val="single"/>
        </w:rPr>
        <w:t>详见施工图设计文件</w:t>
      </w:r>
    </w:p>
    <w:p>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第二条 服务内容</w:t>
      </w:r>
    </w:p>
    <w:p>
      <w:pPr>
        <w:wordWrap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包括但不限于以下内容：设计阶段、发承包阶段、实施阶段、竣工阶段、财务决算阶段、审计阶段（如有）的：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 配合委托人年度或工程竣工后的审计工作。⑬按实际需要派驻造价人员到招标人场地进行造价咨询服务（委托人保留调整工作范围和内容的权利）。⑭委托人委托的其他造价咨询服务工作（包含且不限于进行经济技术指标分析、对标分析、商务询价、参与各方组织的关于工程造价控制的工作会议、信息化管理、项目合约管理、各类台账管理等）</w:t>
      </w:r>
      <w:r>
        <w:rPr>
          <w:rFonts w:hint="eastAsia" w:hAnsi="宋体" w:eastAsia="宋体" w:cs="宋体"/>
          <w:color w:val="auto"/>
          <w:sz w:val="21"/>
          <w:szCs w:val="21"/>
          <w:highlight w:val="none"/>
        </w:rPr>
        <w:t>。</w:t>
      </w:r>
    </w:p>
    <w:p>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第三条 造价咨询要求</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w:t>
      </w:r>
      <w:r>
        <w:rPr>
          <w:rFonts w:hint="eastAsia" w:hAnsi="宋体" w:cs="宋体"/>
          <w:color w:val="auto"/>
          <w:sz w:val="21"/>
          <w:szCs w:val="21"/>
          <w:highlight w:val="none"/>
        </w:rPr>
        <w:t>乙方</w:t>
      </w:r>
      <w:r>
        <w:rPr>
          <w:rFonts w:hint="eastAsia" w:hAnsi="宋体" w:eastAsia="宋体" w:cs="宋体"/>
          <w:color w:val="auto"/>
          <w:sz w:val="21"/>
          <w:szCs w:val="21"/>
          <w:highlight w:val="none"/>
        </w:rPr>
        <w:t>应严格按照国家和省、市有关财政、财务、基建管理、工程造价的法规、政策文件的有关规定、以及</w:t>
      </w:r>
      <w:r>
        <w:rPr>
          <w:rFonts w:hint="eastAsia" w:hAnsi="宋体" w:cs="宋体"/>
          <w:color w:val="auto"/>
          <w:sz w:val="21"/>
          <w:szCs w:val="21"/>
          <w:highlight w:val="none"/>
        </w:rPr>
        <w:t>甲方</w:t>
      </w:r>
      <w:r>
        <w:rPr>
          <w:rFonts w:hint="eastAsia" w:hAnsi="宋体" w:eastAsia="宋体" w:cs="宋体"/>
          <w:color w:val="auto"/>
          <w:sz w:val="21"/>
          <w:szCs w:val="21"/>
          <w:highlight w:val="none"/>
        </w:rPr>
        <w:t>有关投资管控与造价管理的相关规定和对审核成果文件的要求，本着合理、合规节约投资的原则，客观、公正地开展投资项目编制工作</w:t>
      </w:r>
      <w:r>
        <w:rPr>
          <w:rFonts w:hint="eastAsia" w:hAnsi="宋体" w:cs="宋体"/>
          <w:color w:val="auto"/>
          <w:sz w:val="21"/>
          <w:szCs w:val="21"/>
          <w:highlight w:val="none"/>
        </w:rPr>
        <w:t xml:space="preserve">， </w:t>
      </w:r>
      <w:r>
        <w:rPr>
          <w:rFonts w:hint="eastAsia" w:hAnsi="宋体" w:eastAsia="宋体" w:cs="宋体"/>
          <w:color w:val="auto"/>
          <w:sz w:val="21"/>
          <w:szCs w:val="21"/>
          <w:highlight w:val="none"/>
        </w:rPr>
        <w:t>按时保质保量提供编制服务，对编制成果的真实性、准确性、完整性、合法性、合理性负责，并负有保密责任。</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w:t>
      </w:r>
      <w:r>
        <w:rPr>
          <w:rFonts w:hint="eastAsia" w:hAnsi="宋体" w:cs="宋体"/>
          <w:color w:val="auto"/>
          <w:sz w:val="21"/>
          <w:szCs w:val="21"/>
          <w:highlight w:val="none"/>
        </w:rPr>
        <w:t>乙方</w:t>
      </w:r>
      <w:r>
        <w:rPr>
          <w:rFonts w:hint="eastAsia" w:hAnsi="宋体" w:eastAsia="宋体" w:cs="宋体"/>
          <w:color w:val="auto"/>
          <w:sz w:val="21"/>
          <w:szCs w:val="21"/>
          <w:highlight w:val="none"/>
        </w:rPr>
        <w:t>应</w:t>
      </w:r>
      <w:r>
        <w:rPr>
          <w:rFonts w:hint="eastAsia" w:hAnsi="宋体" w:eastAsia="宋体" w:cs="宋体"/>
          <w:color w:val="auto"/>
          <w:sz w:val="21"/>
          <w:szCs w:val="21"/>
          <w:highlight w:val="none"/>
          <w:lang w:val="en-US" w:eastAsia="zh-CN"/>
        </w:rPr>
        <w:t>充分</w:t>
      </w:r>
      <w:r>
        <w:rPr>
          <w:rFonts w:hint="eastAsia" w:hAnsi="宋体" w:eastAsia="宋体" w:cs="宋体"/>
          <w:color w:val="auto"/>
          <w:sz w:val="21"/>
          <w:szCs w:val="21"/>
          <w:highlight w:val="none"/>
        </w:rPr>
        <w:t>带动公司后台资源服务项目</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在项目各阶段提出成本优化建议。</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3</w:t>
      </w:r>
      <w:r>
        <w:rPr>
          <w:rFonts w:hint="eastAsia" w:hAnsi="宋体" w:eastAsia="宋体" w:cs="宋体"/>
          <w:color w:val="auto"/>
          <w:sz w:val="21"/>
          <w:szCs w:val="21"/>
          <w:highlight w:val="none"/>
        </w:rPr>
        <w:t>）中标后，</w:t>
      </w:r>
      <w:r>
        <w:rPr>
          <w:rFonts w:hint="eastAsia" w:hAnsi="宋体" w:cs="宋体"/>
          <w:color w:val="auto"/>
          <w:sz w:val="21"/>
          <w:szCs w:val="21"/>
          <w:highlight w:val="none"/>
        </w:rPr>
        <w:t>乙方</w:t>
      </w:r>
      <w:r>
        <w:rPr>
          <w:rFonts w:hint="eastAsia" w:hAnsi="宋体" w:eastAsia="宋体" w:cs="宋体"/>
          <w:color w:val="auto"/>
          <w:sz w:val="21"/>
          <w:szCs w:val="21"/>
          <w:highlight w:val="none"/>
        </w:rPr>
        <w:t>必须按投标时提交的人员配置表配置本项目造价咨询服务人员。</w:t>
      </w:r>
      <w:r>
        <w:rPr>
          <w:rFonts w:hint="eastAsia" w:hAnsi="宋体" w:cs="宋体"/>
          <w:color w:val="auto"/>
          <w:sz w:val="21"/>
          <w:szCs w:val="21"/>
          <w:highlight w:val="none"/>
        </w:rPr>
        <w:t>甲方</w:t>
      </w:r>
      <w:r>
        <w:rPr>
          <w:rFonts w:hint="eastAsia" w:hAnsi="宋体" w:eastAsia="宋体" w:cs="宋体"/>
          <w:color w:val="auto"/>
          <w:sz w:val="21"/>
          <w:szCs w:val="21"/>
          <w:highlight w:val="none"/>
        </w:rPr>
        <w:t>有权根据项目实际情况要求</w:t>
      </w:r>
      <w:r>
        <w:rPr>
          <w:rFonts w:hint="eastAsia" w:hAnsi="宋体" w:cs="宋体"/>
          <w:color w:val="auto"/>
          <w:sz w:val="21"/>
          <w:szCs w:val="21"/>
          <w:highlight w:val="none"/>
        </w:rPr>
        <w:t>乙方</w:t>
      </w:r>
      <w:r>
        <w:rPr>
          <w:rFonts w:hint="eastAsia" w:hAnsi="宋体" w:eastAsia="宋体" w:cs="宋体"/>
          <w:color w:val="auto"/>
          <w:sz w:val="21"/>
          <w:szCs w:val="21"/>
          <w:highlight w:val="none"/>
        </w:rPr>
        <w:t>增加专业造价工程师的投入，保证项目按</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规定的进度完成。</w:t>
      </w:r>
      <w:r>
        <w:rPr>
          <w:rFonts w:hint="eastAsia" w:hAnsi="宋体" w:cs="宋体"/>
          <w:color w:val="auto"/>
          <w:sz w:val="21"/>
          <w:szCs w:val="21"/>
          <w:highlight w:val="none"/>
        </w:rPr>
        <w:t>乙方</w:t>
      </w:r>
      <w:r>
        <w:rPr>
          <w:rFonts w:hint="eastAsia" w:hAnsi="宋体" w:eastAsia="宋体" w:cs="宋体"/>
          <w:color w:val="auto"/>
          <w:sz w:val="21"/>
          <w:szCs w:val="21"/>
          <w:highlight w:val="none"/>
        </w:rPr>
        <w:t>必须在东莞市设有固定的办公场所、资料档案保管场所；配备专业造价管理软件和交通工具等。</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4</w:t>
      </w:r>
      <w:r>
        <w:rPr>
          <w:rFonts w:hint="eastAsia" w:hAnsi="宋体" w:eastAsia="宋体" w:cs="宋体"/>
          <w:color w:val="auto"/>
          <w:sz w:val="21"/>
          <w:szCs w:val="21"/>
          <w:highlight w:val="none"/>
        </w:rPr>
        <w:t>）</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人员连续二次不参加工作例会、有关专题会议等，</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代表将记录缺位人员情况，必要时</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提出更换人员要求，或书面告诫，直到经</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认可的人员到位。</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5</w:t>
      </w:r>
      <w:r>
        <w:rPr>
          <w:rFonts w:hint="eastAsia" w:hAnsi="宋体" w:eastAsia="宋体" w:cs="宋体"/>
          <w:color w:val="auto"/>
          <w:sz w:val="21"/>
          <w:szCs w:val="21"/>
          <w:highlight w:val="none"/>
        </w:rPr>
        <w:t>）如果</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人员渎职、拒不执行</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意见、服务态度恶劣，影响工作的，</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认为有必要更换</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人员时，将出具书面通知</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勿需说明理由</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应立即撤换，并重新委派经</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认可的人员到位。</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6</w:t>
      </w:r>
      <w:r>
        <w:rPr>
          <w:rFonts w:hint="eastAsia" w:hAnsi="宋体" w:eastAsia="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7</w:t>
      </w:r>
      <w:r>
        <w:rPr>
          <w:rFonts w:hint="eastAsia" w:hAnsi="宋体" w:eastAsia="宋体" w:cs="宋体"/>
          <w:color w:val="auto"/>
          <w:sz w:val="21"/>
          <w:szCs w:val="21"/>
          <w:highlight w:val="none"/>
        </w:rPr>
        <w:t>）</w:t>
      </w:r>
      <w:r>
        <w:rPr>
          <w:rFonts w:hint="eastAsia" w:hAnsi="宋体" w:cs="宋体"/>
          <w:color w:val="auto"/>
          <w:sz w:val="21"/>
          <w:szCs w:val="21"/>
          <w:highlight w:val="none"/>
        </w:rPr>
        <w:t>乙方</w:t>
      </w:r>
      <w:r>
        <w:rPr>
          <w:rFonts w:hint="eastAsia" w:hAnsi="宋体" w:eastAsia="宋体" w:cs="宋体"/>
          <w:color w:val="auto"/>
          <w:sz w:val="21"/>
          <w:szCs w:val="21"/>
          <w:highlight w:val="none"/>
        </w:rPr>
        <w:t>须承诺服从</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的有关规定。合同执行过程中，</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颁布新的管理办法、细则或操作手册的，按最新制度执行。</w:t>
      </w:r>
    </w:p>
    <w:p>
      <w:pPr>
        <w:spacing w:line="360" w:lineRule="auto"/>
        <w:ind w:left="-2" w:leftChars="-1" w:firstLine="420" w:firstLineChars="200"/>
        <w:rPr>
          <w:rFonts w:hint="eastAsia" w:hAnsi="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8</w:t>
      </w:r>
      <w:r>
        <w:rPr>
          <w:rFonts w:hint="eastAsia" w:hAnsi="宋体" w:eastAsia="宋体" w:cs="宋体"/>
          <w:color w:val="auto"/>
          <w:sz w:val="21"/>
          <w:szCs w:val="21"/>
          <w:highlight w:val="none"/>
        </w:rPr>
        <w:t>）</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须独立完成</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委托的编制业务，不得将编制任务转让第三方完成，保证项目资料的完整，不得遗失、损坏项目资料，并按</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的要求按期做好已完项目的相关资料移交和归档工作。未经</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同意，不得以任何形式向任何单位或个人披露编制项目有关的信息，不得对外提供、泄露编制有关情况。</w:t>
      </w:r>
    </w:p>
    <w:p>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第四条 主要工作要求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一</w:t>
      </w:r>
      <w:r>
        <w:rPr>
          <w:rFonts w:hint="eastAsia" w:hAnsi="宋体"/>
          <w:color w:val="auto"/>
          <w:sz w:val="21"/>
          <w:szCs w:val="21"/>
          <w:highlight w:val="none"/>
          <w:lang w:eastAsia="zh-CN"/>
        </w:rPr>
        <w:t>）</w:t>
      </w:r>
      <w:r>
        <w:rPr>
          <w:rFonts w:hint="eastAsia" w:hAnsi="宋体"/>
          <w:color w:val="auto"/>
          <w:sz w:val="21"/>
          <w:szCs w:val="21"/>
          <w:highlight w:val="none"/>
        </w:rPr>
        <w:t xml:space="preserve"> 项目组织与实施</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 乙方承担工程造价管理咨询项目后应编制工程造价管理咨询项目工作大纲，完善乙方承担咨询项目本身的管理内容。工作大纲的内容应包括项目概况、咨询服务范围、工作组织、工作进度、人员安排、实施方案、质量管理等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 乙方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w:t>
      </w:r>
      <w:r>
        <w:rPr>
          <w:rFonts w:hint="eastAsia" w:hAnsi="宋体" w:cs="宋体"/>
          <w:color w:val="auto"/>
          <w:sz w:val="21"/>
          <w:szCs w:val="21"/>
          <w:highlight w:val="none"/>
        </w:rPr>
        <w:t>甲方</w:t>
      </w:r>
      <w:r>
        <w:rPr>
          <w:rFonts w:hint="eastAsia" w:hAnsi="宋体"/>
          <w:color w:val="auto"/>
          <w:sz w:val="21"/>
          <w:szCs w:val="21"/>
          <w:highlight w:val="none"/>
        </w:rPr>
        <w:t>通知，乙方需要及时安排人员去现场考察以及了解施工情况并及时处理。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 乙方应按工程造价咨询合同的要求制订工作进度计划，进度计划应服从整个建设项目的总体进度要求，各类工程造价咨询成果文件的提交时间与总体进度相协调，各类咨询成果的编制应有合理的工作周期，并须满足</w:t>
      </w:r>
      <w:r>
        <w:rPr>
          <w:rFonts w:hint="eastAsia" w:hAnsi="宋体" w:cs="宋体"/>
          <w:color w:val="auto"/>
          <w:sz w:val="21"/>
          <w:szCs w:val="21"/>
          <w:highlight w:val="none"/>
        </w:rPr>
        <w:t>甲方</w:t>
      </w:r>
      <w:r>
        <w:rPr>
          <w:rFonts w:hint="eastAsia" w:hAnsi="宋体"/>
          <w:color w:val="auto"/>
          <w:sz w:val="21"/>
          <w:szCs w:val="21"/>
          <w:highlight w:val="none"/>
        </w:rPr>
        <w:t>要求。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二</w:t>
      </w:r>
      <w:r>
        <w:rPr>
          <w:rFonts w:hint="eastAsia" w:hAnsi="宋体"/>
          <w:color w:val="auto"/>
          <w:sz w:val="21"/>
          <w:szCs w:val="21"/>
          <w:highlight w:val="none"/>
          <w:lang w:eastAsia="zh-CN"/>
        </w:rPr>
        <w:t>）</w:t>
      </w:r>
      <w:r>
        <w:rPr>
          <w:rFonts w:hint="eastAsia" w:hAnsi="宋体"/>
          <w:color w:val="auto"/>
          <w:sz w:val="21"/>
          <w:szCs w:val="21"/>
          <w:highlight w:val="none"/>
        </w:rPr>
        <w:t xml:space="preserve"> 风险管理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乙方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乙方在项目实施中应进行正确的风险分析与风险评估，风险评估应包括对建设项目工程造价的影响和整个建设项目经济评价指标的影响。</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2.2 乙方对于已经发生的风险事件应进行风险的分析与评估，为处理风险事件、工程索赔等问题提出合理建议，降低风险损失，避免风险带来的损失扩大。</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三</w:t>
      </w:r>
      <w:r>
        <w:rPr>
          <w:rFonts w:hint="eastAsia" w:hAnsi="宋体"/>
          <w:color w:val="auto"/>
          <w:sz w:val="21"/>
          <w:szCs w:val="21"/>
          <w:highlight w:val="none"/>
          <w:lang w:eastAsia="zh-CN"/>
        </w:rPr>
        <w:t>）</w:t>
      </w:r>
      <w:r>
        <w:rPr>
          <w:rFonts w:hint="eastAsia" w:hAnsi="宋体"/>
          <w:color w:val="auto"/>
          <w:sz w:val="21"/>
          <w:szCs w:val="21"/>
          <w:highlight w:val="none"/>
        </w:rPr>
        <w:t xml:space="preserve"> 信息管理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 信息管理应包括工程造价信息数据库建立、工程造价软件使用及咨询单位管理系统的建设，利用计算机及网络通信技术为工程造价信息化管理服务。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3.2 信息管理应服务本建设工程项目的全过程，对所收集的工程造价信息资料应及时处理，并应用于工程造价的确定及成本分析等环节。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乙方应通过现场和非现场两种渠道，建立可靠的信息来源途径，随时掌握工程计价在不同阶段和不同时期的人工、材料、机械、设备等价格信息的变化，利用编码体系，做好信息获取、分析整理、信息利用、信息更新及信息淘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3.4 乙方应遵循统一化、标准化、网络化的原则，应有效地应用工程项目工程造价软件，主要包括基础数据管理软件，工程项目预</w:t>
      </w:r>
      <w:r>
        <w:rPr>
          <w:rFonts w:hint="eastAsia" w:hAnsi="宋体"/>
          <w:color w:val="auto"/>
          <w:sz w:val="21"/>
          <w:szCs w:val="21"/>
          <w:highlight w:val="none"/>
          <w:lang w:eastAsia="zh-CN"/>
        </w:rPr>
        <w:t>（</w:t>
      </w:r>
      <w:r>
        <w:rPr>
          <w:rFonts w:hint="eastAsia" w:hAnsi="宋体"/>
          <w:color w:val="auto"/>
          <w:sz w:val="21"/>
          <w:szCs w:val="21"/>
          <w:highlight w:val="none"/>
        </w:rPr>
        <w:t>结</w:t>
      </w:r>
      <w:r>
        <w:rPr>
          <w:rFonts w:hint="eastAsia" w:hAnsi="宋体"/>
          <w:color w:val="auto"/>
          <w:sz w:val="21"/>
          <w:szCs w:val="21"/>
          <w:highlight w:val="none"/>
          <w:lang w:eastAsia="zh-CN"/>
        </w:rPr>
        <w:t>）</w:t>
      </w:r>
      <w:r>
        <w:rPr>
          <w:rFonts w:hint="eastAsia" w:hAnsi="宋体"/>
          <w:color w:val="auto"/>
          <w:sz w:val="21"/>
          <w:szCs w:val="21"/>
          <w:highlight w:val="none"/>
        </w:rPr>
        <w:t xml:space="preserve">算编审软件等。 </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四</w:t>
      </w:r>
      <w:r>
        <w:rPr>
          <w:rFonts w:hint="eastAsia" w:hAnsi="宋体"/>
          <w:color w:val="auto"/>
          <w:sz w:val="21"/>
          <w:szCs w:val="21"/>
          <w:highlight w:val="none"/>
          <w:lang w:eastAsia="zh-CN"/>
        </w:rPr>
        <w:t>）</w:t>
      </w:r>
      <w:r>
        <w:rPr>
          <w:rFonts w:hint="eastAsia" w:hAnsi="宋体"/>
          <w:color w:val="auto"/>
          <w:sz w:val="21"/>
          <w:szCs w:val="21"/>
          <w:highlight w:val="none"/>
        </w:rPr>
        <w:t xml:space="preserve"> 质量管理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4.1 乙方应建立相应的质量管理体系。对其承担阶段工程造价咨询的基础资料的收集、归纳和整理，成果文件的提交、报审和归档等，都要有具体的规定。</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4.2 乙方应对</w:t>
      </w:r>
      <w:r>
        <w:rPr>
          <w:rFonts w:hint="eastAsia" w:hAnsi="宋体" w:cs="宋体"/>
          <w:color w:val="auto"/>
          <w:sz w:val="21"/>
          <w:szCs w:val="21"/>
          <w:highlight w:val="none"/>
        </w:rPr>
        <w:t>甲方</w:t>
      </w:r>
      <w:r>
        <w:rPr>
          <w:rFonts w:hint="eastAsia" w:hAnsi="宋体"/>
          <w:color w:val="auto"/>
          <w:sz w:val="21"/>
          <w:szCs w:val="21"/>
          <w:highlight w:val="none"/>
        </w:rPr>
        <w:t>提供的书面资料</w:t>
      </w:r>
      <w:r>
        <w:rPr>
          <w:rFonts w:hint="eastAsia" w:hAnsi="宋体"/>
          <w:color w:val="auto"/>
          <w:sz w:val="21"/>
          <w:szCs w:val="21"/>
          <w:highlight w:val="none"/>
          <w:lang w:eastAsia="zh-CN"/>
        </w:rPr>
        <w:t>（甲方</w:t>
      </w:r>
      <w:r>
        <w:rPr>
          <w:rFonts w:hint="eastAsia" w:hAnsi="宋体"/>
          <w:color w:val="auto"/>
          <w:sz w:val="21"/>
          <w:szCs w:val="21"/>
          <w:highlight w:val="none"/>
        </w:rPr>
        <w:t>提供的书面资料应加盖公章或有效合法的签名</w:t>
      </w:r>
      <w:r>
        <w:rPr>
          <w:rFonts w:hint="eastAsia" w:hAnsi="宋体"/>
          <w:color w:val="auto"/>
          <w:sz w:val="21"/>
          <w:szCs w:val="21"/>
          <w:highlight w:val="none"/>
          <w:lang w:eastAsia="zh-CN"/>
        </w:rPr>
        <w:t>）</w:t>
      </w:r>
      <w:r>
        <w:rPr>
          <w:rFonts w:hint="eastAsia" w:hAnsi="宋体"/>
          <w:color w:val="auto"/>
          <w:sz w:val="21"/>
          <w:szCs w:val="21"/>
          <w:highlight w:val="none"/>
        </w:rPr>
        <w:t>进行有效性和合理性核对，应保证自身收集的或已有的造价基础资料和编制依据全面、现行、有效。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w:t>
      </w:r>
      <w:r>
        <w:rPr>
          <w:rFonts w:hint="eastAsia" w:hAnsi="宋体"/>
          <w:color w:val="auto"/>
          <w:sz w:val="21"/>
          <w:szCs w:val="21"/>
          <w:highlight w:val="none"/>
          <w:lang w:val="en-US" w:eastAsia="zh-CN"/>
        </w:rPr>
        <w:t xml:space="preserve"> </w:t>
      </w:r>
      <w:r>
        <w:rPr>
          <w:rFonts w:hint="eastAsia" w:hAnsi="宋体"/>
          <w:color w:val="auto"/>
          <w:sz w:val="21"/>
          <w:szCs w:val="21"/>
          <w:highlight w:val="none"/>
        </w:rPr>
        <w:t>乙方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4.4 乙方出具的工程造价咨询成果文件质量应符合国家或行业工程计价的有关规定、标准、规范的要求，并须满足</w:t>
      </w:r>
      <w:r>
        <w:rPr>
          <w:rFonts w:hint="eastAsia" w:hAnsi="宋体" w:cs="宋体"/>
          <w:color w:val="auto"/>
          <w:sz w:val="21"/>
          <w:szCs w:val="21"/>
          <w:highlight w:val="none"/>
        </w:rPr>
        <w:t>甲方</w:t>
      </w:r>
      <w:r>
        <w:rPr>
          <w:rFonts w:hint="eastAsia" w:hAnsi="宋体"/>
          <w:color w:val="auto"/>
          <w:sz w:val="21"/>
          <w:szCs w:val="21"/>
          <w:highlight w:val="none"/>
        </w:rPr>
        <w:t>要求。工程造价咨询合同应约定具体的工程咨询质量精度标准。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4.5 乙方在工程造价咨询服务完成后，项目负责人应组织有关人员对</w:t>
      </w:r>
      <w:r>
        <w:rPr>
          <w:rFonts w:hint="eastAsia" w:hAnsi="宋体" w:cs="宋体"/>
          <w:color w:val="auto"/>
          <w:sz w:val="21"/>
          <w:szCs w:val="21"/>
          <w:highlight w:val="none"/>
        </w:rPr>
        <w:t>甲方</w:t>
      </w:r>
      <w:r>
        <w:rPr>
          <w:rFonts w:hint="eastAsia" w:hAnsi="宋体"/>
          <w:color w:val="auto"/>
          <w:sz w:val="21"/>
          <w:szCs w:val="21"/>
          <w:highlight w:val="none"/>
        </w:rPr>
        <w:t>进行回访，听取</w:t>
      </w:r>
      <w:r>
        <w:rPr>
          <w:rFonts w:hint="eastAsia" w:hAnsi="宋体" w:cs="宋体"/>
          <w:color w:val="auto"/>
          <w:sz w:val="21"/>
          <w:szCs w:val="21"/>
          <w:highlight w:val="none"/>
        </w:rPr>
        <w:t>甲方</w:t>
      </w:r>
      <w:r>
        <w:rPr>
          <w:rFonts w:hint="eastAsia" w:hAnsi="宋体"/>
          <w:color w:val="auto"/>
          <w:sz w:val="21"/>
          <w:szCs w:val="21"/>
          <w:highlight w:val="none"/>
        </w:rPr>
        <w:t>对服务质量的评价意见，及时总结咨询服务的优、缺点和经验教训， 将存在的问题纳入质量改进计划，提出相应的改进措施。</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五</w:t>
      </w:r>
      <w:r>
        <w:rPr>
          <w:rFonts w:hint="eastAsia" w:hAnsi="宋体"/>
          <w:color w:val="auto"/>
          <w:sz w:val="21"/>
          <w:szCs w:val="21"/>
          <w:highlight w:val="none"/>
          <w:lang w:eastAsia="zh-CN"/>
        </w:rPr>
        <w:t>）</w:t>
      </w:r>
      <w:r>
        <w:rPr>
          <w:rFonts w:hint="eastAsia" w:hAnsi="宋体"/>
          <w:color w:val="auto"/>
          <w:sz w:val="21"/>
          <w:szCs w:val="21"/>
          <w:highlight w:val="none"/>
        </w:rPr>
        <w:t xml:space="preserve">  档案管理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5.1 乙方应依照《中华人民共和国档案法》的有关规定，建立、健全档案管理的各项规章制度，包括：档案收集制度、统计制度、保密制度、借阅制度和库房管理制度，以及档案管理人员守则等。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w:t>
      </w:r>
      <w:r>
        <w:rPr>
          <w:rFonts w:hint="eastAsia" w:hAnsi="宋体" w:cs="宋体"/>
          <w:color w:val="auto"/>
          <w:sz w:val="21"/>
          <w:szCs w:val="21"/>
          <w:highlight w:val="none"/>
        </w:rPr>
        <w:t>甲方</w:t>
      </w:r>
      <w:r>
        <w:rPr>
          <w:rFonts w:hint="eastAsia" w:hAnsi="宋体"/>
          <w:color w:val="auto"/>
          <w:sz w:val="21"/>
          <w:szCs w:val="21"/>
          <w:highlight w:val="none"/>
        </w:rPr>
        <w:t>确认的材料、设备价款、甲供材料、设备清单，承包人的营业执照及资质等级证书等。成果文件包括：工程计量支付文件、工程索赔处理报告、工程结算等。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5.3工程造价技术档案应按委托服务合同建立，按服务项目分类整理归纳。</w:t>
      </w:r>
    </w:p>
    <w:p>
      <w:pPr>
        <w:spacing w:line="360" w:lineRule="auto"/>
        <w:ind w:left="-2" w:leftChars="-1" w:firstLine="420" w:firstLineChars="200"/>
        <w:rPr>
          <w:rFonts w:hint="eastAsia" w:hAnsi="宋体"/>
          <w:color w:val="auto"/>
          <w:sz w:val="21"/>
          <w:szCs w:val="21"/>
          <w:highlight w:val="none"/>
        </w:rPr>
      </w:pPr>
      <w:r>
        <w:rPr>
          <w:rFonts w:hint="eastAsia" w:hAnsi="宋体"/>
          <w:color w:val="auto"/>
          <w:sz w:val="21"/>
          <w:szCs w:val="21"/>
          <w:highlight w:val="none"/>
        </w:rPr>
        <w:t>5.4工程造价技术档案过程文件保存期应遵照执行</w:t>
      </w:r>
      <w:r>
        <w:rPr>
          <w:rFonts w:hint="eastAsia" w:hAnsi="宋体" w:cs="宋体"/>
          <w:color w:val="auto"/>
          <w:sz w:val="21"/>
          <w:szCs w:val="21"/>
          <w:highlight w:val="none"/>
        </w:rPr>
        <w:t>甲方</w:t>
      </w:r>
      <w:r>
        <w:rPr>
          <w:rFonts w:hint="eastAsia" w:hAnsi="宋体"/>
          <w:color w:val="auto"/>
          <w:sz w:val="21"/>
          <w:szCs w:val="21"/>
          <w:highlight w:val="none"/>
        </w:rPr>
        <w:t>档案管理办法和相关规定。</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（六）</w:t>
      </w:r>
      <w:r>
        <w:rPr>
          <w:rFonts w:hint="default" w:hAnsi="宋体" w:eastAsia="宋体" w:cs="宋体"/>
          <w:color w:val="auto"/>
          <w:sz w:val="21"/>
          <w:szCs w:val="21"/>
          <w:highlight w:val="none"/>
          <w:lang w:val="en-US" w:eastAsia="zh-CN"/>
        </w:rPr>
        <w:t>全过程驻场造价咨询服务人员要求</w:t>
      </w:r>
    </w:p>
    <w:p>
      <w:pPr>
        <w:pStyle w:val="10"/>
        <w:keepNext w:val="0"/>
        <w:keepLines w:val="0"/>
        <w:pageBreakBefore w:val="0"/>
        <w:widowControl/>
        <w:kinsoku/>
        <w:wordWrap/>
        <w:overflowPunct/>
        <w:topLinePunct w:val="0"/>
        <w:autoSpaceDE/>
        <w:autoSpaceDN/>
        <w:bidi w:val="0"/>
        <w:adjustRightInd/>
        <w:snapToGrid/>
        <w:spacing w:before="0"/>
        <w:ind w:firstLine="420" w:firstLineChars="200"/>
        <w:textAlignment w:val="auto"/>
        <w:rPr>
          <w:rFonts w:hint="eastAsia" w:hAnsi="Arial" w:eastAsia="宋体" w:cs="Times New Roman"/>
          <w:color w:val="auto"/>
          <w:sz w:val="21"/>
          <w:szCs w:val="20"/>
          <w:highlight w:val="none"/>
          <w:lang w:val="en-US" w:eastAsia="zh-CN"/>
        </w:rPr>
      </w:pPr>
      <w:r>
        <w:rPr>
          <w:rFonts w:hint="eastAsia" w:hAnsi="Arial" w:eastAsia="宋体" w:cs="Times New Roman"/>
          <w:color w:val="auto"/>
          <w:sz w:val="21"/>
          <w:szCs w:val="20"/>
          <w:highlight w:val="none"/>
          <w:lang w:val="en-US" w:eastAsia="zh-CN"/>
        </w:rPr>
        <w:t>6.1 咨询专业人员要求：满足采购文件中“全过程造价管理服务人员配备要求表”的要求。</w:t>
      </w:r>
    </w:p>
    <w:p>
      <w:pPr>
        <w:pStyle w:val="10"/>
        <w:keepNext w:val="0"/>
        <w:keepLines w:val="0"/>
        <w:pageBreakBefore w:val="0"/>
        <w:widowControl/>
        <w:kinsoku/>
        <w:wordWrap/>
        <w:overflowPunct/>
        <w:topLinePunct w:val="0"/>
        <w:autoSpaceDE/>
        <w:autoSpaceDN/>
        <w:bidi w:val="0"/>
        <w:adjustRightInd/>
        <w:snapToGrid/>
        <w:spacing w:before="0"/>
        <w:ind w:firstLine="420" w:firstLineChars="200"/>
        <w:textAlignment w:val="auto"/>
        <w:rPr>
          <w:rFonts w:hint="eastAsia" w:hAnsi="Arial" w:eastAsia="宋体" w:cs="Times New Roman"/>
          <w:color w:val="auto"/>
          <w:sz w:val="21"/>
          <w:szCs w:val="20"/>
          <w:highlight w:val="none"/>
          <w:lang w:val="en-US" w:eastAsia="zh-CN"/>
        </w:rPr>
      </w:pPr>
      <w:r>
        <w:rPr>
          <w:rFonts w:hint="eastAsia" w:hAnsi="Arial" w:eastAsia="宋体" w:cs="Times New Roman"/>
          <w:color w:val="auto"/>
          <w:sz w:val="21"/>
          <w:szCs w:val="20"/>
          <w:highlight w:val="none"/>
          <w:lang w:val="en-US" w:eastAsia="zh-CN"/>
        </w:rPr>
        <w:t>6.2 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pPr>
        <w:pStyle w:val="10"/>
        <w:keepNext w:val="0"/>
        <w:keepLines w:val="0"/>
        <w:pageBreakBefore w:val="0"/>
        <w:widowControl/>
        <w:kinsoku/>
        <w:wordWrap/>
        <w:overflowPunct/>
        <w:topLinePunct w:val="0"/>
        <w:autoSpaceDE/>
        <w:autoSpaceDN/>
        <w:bidi w:val="0"/>
        <w:adjustRightInd/>
        <w:snapToGrid/>
        <w:spacing w:before="0"/>
        <w:ind w:firstLine="420" w:firstLineChars="200"/>
        <w:textAlignment w:val="auto"/>
        <w:rPr>
          <w:rFonts w:hint="eastAsia" w:hAnsi="Arial" w:eastAsia="宋体" w:cs="Times New Roman"/>
          <w:color w:val="auto"/>
          <w:sz w:val="21"/>
          <w:szCs w:val="20"/>
          <w:highlight w:val="none"/>
          <w:lang w:val="en-US" w:eastAsia="zh-CN"/>
        </w:rPr>
      </w:pPr>
      <w:r>
        <w:rPr>
          <w:rFonts w:hint="eastAsia" w:hAnsi="Arial" w:eastAsia="宋体" w:cs="Times New Roman"/>
          <w:color w:val="auto"/>
          <w:sz w:val="21"/>
          <w:szCs w:val="20"/>
          <w:highlight w:val="none"/>
          <w:lang w:val="en-US" w:eastAsia="zh-CN"/>
        </w:rPr>
        <w:t>6.3 咨询人必须在拟派人员名单中按</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要求安排足够的技术人员开展工作，并明确各个项目的咨询专业人员，如</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认为造价咨询单位派出的咨询人员不足以按期完成咨询任务，造价咨询单位应按</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要求增派符合专业资格要求的咨询专业人员。如</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认为造价咨询单位派出的咨询专业人员不能胜任工作，</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有权要求造价咨询单位更换。</w:t>
      </w:r>
    </w:p>
    <w:p>
      <w:pPr>
        <w:pStyle w:val="10"/>
        <w:keepNext w:val="0"/>
        <w:keepLines w:val="0"/>
        <w:pageBreakBefore w:val="0"/>
        <w:widowControl/>
        <w:kinsoku/>
        <w:wordWrap/>
        <w:overflowPunct/>
        <w:topLinePunct w:val="0"/>
        <w:autoSpaceDE/>
        <w:autoSpaceDN/>
        <w:bidi w:val="0"/>
        <w:adjustRightInd/>
        <w:snapToGrid/>
        <w:spacing w:before="0"/>
        <w:ind w:firstLine="420" w:firstLineChars="200"/>
        <w:textAlignment w:val="auto"/>
        <w:rPr>
          <w:rFonts w:hint="eastAsia" w:hAnsi="Arial" w:eastAsia="宋体" w:cs="Times New Roman"/>
          <w:color w:val="auto"/>
          <w:sz w:val="21"/>
          <w:szCs w:val="20"/>
          <w:highlight w:val="none"/>
          <w:lang w:val="en-US" w:eastAsia="zh-CN"/>
        </w:rPr>
      </w:pPr>
      <w:r>
        <w:rPr>
          <w:rFonts w:hint="eastAsia" w:hAnsi="Arial" w:eastAsia="宋体" w:cs="Times New Roman"/>
          <w:color w:val="auto"/>
          <w:sz w:val="21"/>
          <w:szCs w:val="20"/>
          <w:highlight w:val="none"/>
          <w:lang w:val="en-US" w:eastAsia="zh-CN"/>
        </w:rPr>
        <w:t>6.4 在合同服务期限内，咨询人根据</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工作需要，应派出固定造价人员参与进度款现场核量、工程变更现场审核、工程例会等现场工作，被派出造价人员应有类似工程的工作经历，所产生的费用已包含在投标报价中。</w:t>
      </w:r>
    </w:p>
    <w:p>
      <w:pPr>
        <w:pStyle w:val="10"/>
        <w:ind w:firstLine="420" w:firstLineChars="200"/>
        <w:rPr>
          <w:rFonts w:hint="eastAsia" w:ascii="Arial" w:hAnsi="Arial" w:eastAsia="宋体" w:cs="Times New Roman"/>
          <w:color w:val="auto"/>
          <w:sz w:val="21"/>
          <w:szCs w:val="20"/>
          <w:highlight w:val="none"/>
        </w:rPr>
      </w:pPr>
      <w:r>
        <w:rPr>
          <w:rFonts w:hint="eastAsia" w:hAnsi="Arial" w:eastAsia="宋体" w:cs="Times New Roman"/>
          <w:color w:val="auto"/>
          <w:sz w:val="21"/>
          <w:szCs w:val="20"/>
          <w:highlight w:val="none"/>
          <w:lang w:val="en-US" w:eastAsia="zh-CN"/>
        </w:rPr>
        <w:t>6.5 咨询人的项目人员不得随意更换。如需更换，须提前征得</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的书面同意。项目负责人必须是经</w:t>
      </w:r>
      <w:r>
        <w:rPr>
          <w:rFonts w:hint="default" w:eastAsia="宋体"/>
          <w:color w:val="auto"/>
          <w:highlight w:val="none"/>
          <w:lang w:val="en-US" w:eastAsia="zh-CN"/>
        </w:rPr>
        <w:t>委托人</w:t>
      </w:r>
      <w:r>
        <w:rPr>
          <w:rFonts w:hint="eastAsia" w:hAnsi="Arial" w:eastAsia="宋体" w:cs="Times New Roman"/>
          <w:color w:val="auto"/>
          <w:sz w:val="21"/>
          <w:szCs w:val="20"/>
          <w:highlight w:val="none"/>
          <w:lang w:val="en-US" w:eastAsia="zh-CN"/>
        </w:rPr>
        <w:t>书面认可。且必须做到，完全了解工程造价控制情况，按时参加工程例会，不得随意缺席。</w:t>
      </w:r>
    </w:p>
    <w:p>
      <w:pPr>
        <w:pStyle w:val="10"/>
        <w:spacing w:before="0"/>
        <w:ind w:firstLine="420" w:firstLineChars="200"/>
        <w:rPr>
          <w:rFonts w:hint="eastAsia" w:ascii="Arial" w:hAnsi="宋体" w:eastAsia="宋体" w:cs="宋体"/>
          <w:color w:val="auto"/>
          <w:sz w:val="21"/>
          <w:szCs w:val="21"/>
          <w:highlight w:val="none"/>
        </w:rPr>
      </w:pPr>
      <w:r>
        <w:rPr>
          <w:rFonts w:hint="eastAsia" w:ascii="Arial" w:hAnsi="宋体" w:eastAsia="宋体" w:cs="宋体"/>
          <w:color w:val="auto"/>
          <w:sz w:val="21"/>
          <w:szCs w:val="21"/>
          <w:highlight w:val="none"/>
          <w:lang w:eastAsia="zh-CN"/>
        </w:rPr>
        <w:t>（</w:t>
      </w:r>
      <w:r>
        <w:rPr>
          <w:rFonts w:hint="eastAsia" w:ascii="Arial" w:hAnsi="宋体" w:eastAsia="宋体" w:cs="宋体"/>
          <w:color w:val="auto"/>
          <w:sz w:val="21"/>
          <w:szCs w:val="21"/>
          <w:highlight w:val="none"/>
          <w:lang w:val="en-US" w:eastAsia="zh-CN"/>
        </w:rPr>
        <w:t>七</w:t>
      </w:r>
      <w:r>
        <w:rPr>
          <w:rFonts w:hint="eastAsia" w:ascii="Arial"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驻场人员</w:t>
      </w:r>
      <w:r>
        <w:rPr>
          <w:rFonts w:hint="eastAsia" w:hAnsi="宋体" w:eastAsia="宋体" w:cs="宋体"/>
          <w:color w:val="auto"/>
          <w:sz w:val="21"/>
          <w:szCs w:val="21"/>
          <w:highlight w:val="none"/>
        </w:rPr>
        <w:t>管理</w:t>
      </w:r>
    </w:p>
    <w:p>
      <w:pPr>
        <w:pStyle w:val="10"/>
        <w:ind w:left="420" w:leftChars="200" w:firstLine="0" w:firstLineChars="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7.1 乙方应选派一名</w:t>
      </w:r>
      <w:r>
        <w:rPr>
          <w:rFonts w:hint="eastAsia" w:cs="Times New Roman"/>
          <w:b w:val="0"/>
          <w:bCs w:val="0"/>
          <w:color w:val="auto"/>
          <w:sz w:val="21"/>
          <w:szCs w:val="20"/>
          <w:highlight w:val="none"/>
          <w:lang w:val="en-US" w:eastAsia="zh-CN"/>
        </w:rPr>
        <w:t>驻场造价咨询人员</w:t>
      </w:r>
      <w:r>
        <w:rPr>
          <w:rFonts w:hint="eastAsia" w:ascii="Arial" w:hAnsi="Arial" w:eastAsia="宋体" w:cs="Times New Roman"/>
          <w:b w:val="0"/>
          <w:bCs w:val="0"/>
          <w:color w:val="auto"/>
          <w:sz w:val="21"/>
          <w:szCs w:val="20"/>
          <w:highlight w:val="none"/>
          <w:lang w:val="en-US" w:eastAsia="zh-CN"/>
        </w:rPr>
        <w:t>，该人员</w:t>
      </w:r>
      <w:r>
        <w:rPr>
          <w:rFonts w:hint="eastAsia" w:cs="Times New Roman"/>
          <w:b w:val="0"/>
          <w:bCs w:val="0"/>
          <w:color w:val="auto"/>
          <w:sz w:val="21"/>
          <w:szCs w:val="20"/>
          <w:highlight w:val="none"/>
          <w:lang w:val="en-US" w:eastAsia="zh-CN"/>
        </w:rPr>
        <w:t>驻场服务期</w:t>
      </w:r>
      <w:r>
        <w:rPr>
          <w:rFonts w:hint="eastAsia" w:ascii="Arial" w:hAnsi="Arial" w:eastAsia="宋体" w:cs="Times New Roman"/>
          <w:b w:val="0"/>
          <w:bCs w:val="0"/>
          <w:color w:val="auto"/>
          <w:sz w:val="21"/>
          <w:szCs w:val="20"/>
          <w:highlight w:val="none"/>
          <w:lang w:val="en-US" w:eastAsia="zh-CN"/>
        </w:rPr>
        <w:t>暂定为自</w:t>
      </w:r>
      <w:r>
        <w:rPr>
          <w:rFonts w:hint="eastAsia" w:cs="Times New Roman"/>
          <w:b w:val="0"/>
          <w:bCs w:val="0"/>
          <w:color w:val="auto"/>
          <w:sz w:val="21"/>
          <w:szCs w:val="20"/>
          <w:highlight w:val="none"/>
          <w:lang w:val="en-US" w:eastAsia="zh-CN"/>
        </w:rPr>
        <w:t xml:space="preserve">     </w:t>
      </w:r>
      <w:r>
        <w:rPr>
          <w:rFonts w:hint="eastAsia" w:ascii="Arial" w:hAnsi="Arial" w:eastAsia="宋体" w:cs="Times New Roman"/>
          <w:b w:val="0"/>
          <w:bCs w:val="0"/>
          <w:color w:val="auto"/>
          <w:sz w:val="21"/>
          <w:szCs w:val="20"/>
          <w:highlight w:val="none"/>
          <w:lang w:val="en-US" w:eastAsia="zh-CN"/>
        </w:rPr>
        <w:t>年</w:t>
      </w:r>
      <w:r>
        <w:rPr>
          <w:rFonts w:hint="eastAsia" w:cs="Times New Roman"/>
          <w:b w:val="0"/>
          <w:bCs w:val="0"/>
          <w:color w:val="auto"/>
          <w:sz w:val="21"/>
          <w:szCs w:val="20"/>
          <w:highlight w:val="none"/>
          <w:lang w:val="en-US" w:eastAsia="zh-CN"/>
        </w:rPr>
        <w:t xml:space="preserve">    </w:t>
      </w:r>
      <w:r>
        <w:rPr>
          <w:rFonts w:hint="eastAsia" w:ascii="Arial" w:hAnsi="Arial" w:eastAsia="宋体" w:cs="Times New Roman"/>
          <w:b w:val="0"/>
          <w:bCs w:val="0"/>
          <w:color w:val="auto"/>
          <w:sz w:val="21"/>
          <w:szCs w:val="20"/>
          <w:highlight w:val="none"/>
          <w:lang w:val="en-US" w:eastAsia="zh-CN"/>
        </w:rPr>
        <w:t>月</w:t>
      </w:r>
      <w:r>
        <w:rPr>
          <w:rFonts w:hint="eastAsia" w:cs="Times New Roman"/>
          <w:b w:val="0"/>
          <w:bCs w:val="0"/>
          <w:color w:val="auto"/>
          <w:sz w:val="21"/>
          <w:szCs w:val="20"/>
          <w:highlight w:val="none"/>
          <w:lang w:val="en-US" w:eastAsia="zh-CN"/>
        </w:rPr>
        <w:t xml:space="preserve"> </w:t>
      </w:r>
      <w:r>
        <w:rPr>
          <w:rFonts w:hint="eastAsia" w:ascii="Arial" w:hAnsi="Arial" w:eastAsia="宋体" w:cs="Times New Roman"/>
          <w:b w:val="0"/>
          <w:bCs w:val="0"/>
          <w:color w:val="auto"/>
          <w:sz w:val="21"/>
          <w:szCs w:val="20"/>
          <w:highlight w:val="none"/>
          <w:lang w:val="en-US" w:eastAsia="zh-CN"/>
        </w:rPr>
        <w:t>日起至项目竣工验收完成之日止，具体以甲方要求为准。</w:t>
      </w:r>
    </w:p>
    <w:p>
      <w:pPr>
        <w:pStyle w:val="10"/>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7.2 选派的驻场人员须经委托人面试合格后方可进场。</w:t>
      </w:r>
    </w:p>
    <w:p>
      <w:pPr>
        <w:pStyle w:val="10"/>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7.3 驻场人员在驻场期间接受甲方管理，遵循甲方的劳动时间及劳动纪律，根据甲方的安排在项目驻场办公。每月驻场时间不少于20个工作日，签到时间不晚于上午9点，签退时间不早于下午6点，如无理由缺勤，甲方有权要求乙方按200元/天支付违约金。如派驻现场技术人员每月请假日数累计超过6日，甲方有权要求乙方支付违约金2000元/次。</w:t>
      </w:r>
    </w:p>
    <w:p>
      <w:pPr>
        <w:pStyle w:val="10"/>
        <w:ind w:firstLine="420" w:firstLineChars="200"/>
        <w:rPr>
          <w:rFonts w:hint="eastAsia" w:ascii="Arial" w:hAnsi="Arial" w:eastAsia="宋体" w:cs="Times New Roman"/>
          <w:b w:val="0"/>
          <w:bCs w:val="0"/>
          <w:color w:val="auto"/>
          <w:sz w:val="21"/>
          <w:szCs w:val="20"/>
          <w:highlight w:val="none"/>
          <w:lang w:val="en-US" w:eastAsia="zh-CN"/>
        </w:rPr>
      </w:pPr>
      <w:r>
        <w:rPr>
          <w:rFonts w:hint="eastAsia" w:cs="Times New Roman"/>
          <w:color w:val="auto"/>
          <w:highlight w:val="none"/>
        </w:rPr>
        <w:t>7.4 造价咨询单位应保证</w:t>
      </w:r>
      <w:r>
        <w:rPr>
          <w:rFonts w:hint="eastAsia" w:ascii="Arial" w:hAnsi="Arial" w:eastAsia="宋体" w:cs="Times New Roman"/>
          <w:b w:val="0"/>
          <w:bCs w:val="0"/>
          <w:color w:val="auto"/>
          <w:sz w:val="21"/>
          <w:szCs w:val="20"/>
          <w:highlight w:val="none"/>
          <w:lang w:val="en-US" w:eastAsia="zh-CN"/>
        </w:rPr>
        <w:t>驻场人员</w:t>
      </w:r>
      <w:r>
        <w:rPr>
          <w:rFonts w:hint="eastAsia" w:cs="Times New Roman"/>
          <w:color w:val="auto"/>
          <w:highlight w:val="none"/>
        </w:rPr>
        <w:t>的相对固定，并保证其工作时间和工作连贯性，更换人员需书面告知甲方，未经甲方同意不得更换人员。对于未达到甲方工作要求的派遣人员，乙方必须在10个工作日内进行更换，更换的派遣人员应符合工作要求。乙方更换</w:t>
      </w:r>
      <w:r>
        <w:rPr>
          <w:rFonts w:hint="eastAsia" w:ascii="Arial" w:hAnsi="Arial" w:eastAsia="宋体" w:cs="Times New Roman"/>
          <w:b w:val="0"/>
          <w:bCs w:val="0"/>
          <w:color w:val="auto"/>
          <w:sz w:val="21"/>
          <w:szCs w:val="20"/>
          <w:highlight w:val="none"/>
          <w:lang w:val="en-US" w:eastAsia="zh-CN"/>
        </w:rPr>
        <w:t>驻场人员</w:t>
      </w:r>
      <w:r>
        <w:rPr>
          <w:rFonts w:hint="eastAsia" w:cs="Times New Roman"/>
          <w:color w:val="auto"/>
          <w:highlight w:val="none"/>
        </w:rPr>
        <w:t>，甲方有权要求乙方支付违约金10000元/人/次</w:t>
      </w:r>
      <w:r>
        <w:rPr>
          <w:rFonts w:hint="eastAsia" w:ascii="Arial" w:hAnsi="Arial" w:eastAsia="宋体" w:cs="Times New Roman"/>
          <w:b w:val="0"/>
          <w:bCs w:val="0"/>
          <w:color w:val="auto"/>
          <w:sz w:val="21"/>
          <w:szCs w:val="20"/>
          <w:highlight w:val="none"/>
          <w:lang w:val="en-US" w:eastAsia="zh-CN"/>
        </w:rPr>
        <w:t>。</w:t>
      </w:r>
    </w:p>
    <w:p>
      <w:pPr>
        <w:pStyle w:val="10"/>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7.5 派驻现场技术人员离开施工现场1日以上需报委托人批准，在其请假离开的时间段内应委托咨询人其他相当职称资格技术人员驻场，全权代表其行使相应职权；否则，每违约一次，咨询人承担违约金1000元。</w:t>
      </w:r>
    </w:p>
    <w:p>
      <w:pPr>
        <w:pStyle w:val="10"/>
        <w:ind w:firstLine="420" w:firstLineChars="200"/>
        <w:rPr>
          <w:rFonts w:hint="default" w:ascii="Arial" w:hAnsi="Arial" w:eastAsia="宋体" w:cs="Times New Roman"/>
          <w:color w:val="auto"/>
          <w:highlight w:val="none"/>
        </w:rPr>
      </w:pPr>
      <w:r>
        <w:rPr>
          <w:rFonts w:hint="eastAsia" w:ascii="Arial" w:hAnsi="Arial" w:eastAsia="宋体" w:cs="Times New Roman"/>
          <w:b w:val="0"/>
          <w:bCs w:val="0"/>
          <w:color w:val="auto"/>
          <w:sz w:val="21"/>
          <w:szCs w:val="20"/>
          <w:highlight w:val="none"/>
          <w:lang w:val="en-US" w:eastAsia="zh-CN"/>
        </w:rPr>
        <w:t>7.6 驻场人员须每月22日提交更新合同台账、变更台账、进度款台账、动态成本台账、结算台账等，若台账信息缺失或者描述与实际情况不符的，出现1次，处500元违约金。</w:t>
      </w:r>
    </w:p>
    <w:p>
      <w:pPr>
        <w:numPr>
          <w:ilvl w:val="0"/>
          <w:numId w:val="0"/>
        </w:numPr>
        <w:spacing w:line="360" w:lineRule="auto"/>
        <w:ind w:firstLine="210" w:firstLineChars="100"/>
        <w:rPr>
          <w:rFonts w:hint="eastAsia" w:hAnsi="宋体"/>
          <w:color w:val="auto"/>
          <w:sz w:val="21"/>
          <w:szCs w:val="21"/>
          <w:highlight w:val="none"/>
        </w:rPr>
      </w:pPr>
      <w:r>
        <w:rPr>
          <w:rFonts w:hint="eastAsia" w:hAnsi="宋体"/>
          <w:color w:val="auto"/>
          <w:sz w:val="21"/>
          <w:szCs w:val="21"/>
          <w:highlight w:val="none"/>
          <w:lang w:val="en-US" w:eastAsia="zh-CN"/>
        </w:rPr>
        <w:t>（八）成本实测实量</w:t>
      </w:r>
      <w:r>
        <w:rPr>
          <w:rFonts w:hint="eastAsia" w:hAnsi="宋体"/>
          <w:color w:val="auto"/>
          <w:sz w:val="21"/>
          <w:szCs w:val="21"/>
          <w:highlight w:val="none"/>
        </w:rPr>
        <w:t>管理</w:t>
      </w:r>
    </w:p>
    <w:p>
      <w:pPr>
        <w:pStyle w:val="10"/>
        <w:ind w:firstLine="420" w:firstLineChars="200"/>
        <w:rPr>
          <w:rFonts w:hint="eastAsia" w:eastAsia="宋体"/>
          <w:color w:val="auto"/>
          <w:highlight w:val="none"/>
          <w:lang w:eastAsia="zh-CN"/>
        </w:rPr>
      </w:pPr>
      <w:r>
        <w:rPr>
          <w:rFonts w:hint="eastAsia"/>
          <w:color w:val="auto"/>
          <w:highlight w:val="none"/>
          <w:lang w:val="en-US" w:eastAsia="zh-CN"/>
        </w:rPr>
        <w:t xml:space="preserve">8.1 </w:t>
      </w:r>
      <w:r>
        <w:rPr>
          <w:rFonts w:hint="eastAsia" w:ascii="Arial" w:hAnsi="Arial" w:eastAsia="宋体" w:cs="Times New Roman"/>
          <w:b w:val="0"/>
          <w:bCs w:val="0"/>
          <w:color w:val="auto"/>
          <w:sz w:val="21"/>
          <w:szCs w:val="20"/>
          <w:highlight w:val="none"/>
          <w:lang w:val="en-US" w:eastAsia="zh-CN"/>
        </w:rPr>
        <w:t>驻场人员</w:t>
      </w:r>
      <w:r>
        <w:rPr>
          <w:rFonts w:hint="eastAsia"/>
          <w:color w:val="auto"/>
          <w:highlight w:val="none"/>
        </w:rPr>
        <w:t>按要求和要点每周在工地现场进行至少</w:t>
      </w:r>
      <w:r>
        <w:rPr>
          <w:rFonts w:hint="eastAsia"/>
          <w:color w:val="auto"/>
          <w:highlight w:val="none"/>
          <w:lang w:val="en-US" w:eastAsia="zh-CN"/>
        </w:rPr>
        <w:t>4</w:t>
      </w:r>
      <w:r>
        <w:rPr>
          <w:rFonts w:hint="eastAsia"/>
          <w:color w:val="auto"/>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color w:val="auto"/>
          <w:highlight w:val="none"/>
          <w:lang w:eastAsia="zh-CN"/>
        </w:rPr>
        <w:t>，巡查过程发现异常问题须及时向甲方反馈。</w:t>
      </w:r>
    </w:p>
    <w:p>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 xml:space="preserve">第五条 </w:t>
      </w:r>
      <w:r>
        <w:rPr>
          <w:rFonts w:hAnsi="宋体"/>
          <w:b/>
          <w:bCs/>
          <w:color w:val="auto"/>
          <w:sz w:val="21"/>
          <w:szCs w:val="21"/>
          <w:highlight w:val="none"/>
        </w:rPr>
        <w:t>进度和质量要求</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应对</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委托的项目资料的完整性、严谨性把关，对因采购范围不清晰、图纸不详导致基本工程量难以计算等情况，应在收到资料2个日历天内向</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提出资料补充要求。因资料不完整而</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未能及时提出而造成编审进度延误，应由</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负责。</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（二）</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必须在规定的时限内完成工程造价咨询服务的编审工作及配合各项工作的进度需求，若有需要，</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有可能要求提前，咨询单位需要无条件执行。</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（三）造价工程师考核标准</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为提高全过程</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人员工作积极性,引进考核机制，</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根据附件6中的《中介咨询机构评价意见表》、《咨询单位驻场人员考核表》要求的考核机制对</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进行考核，并以《中介咨询机构评价意见表》、《咨询单位驻场人员考核表》作为</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浮动酬金（咨询服务费的20%）发放的依据。</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（四）</w:t>
      </w:r>
      <w:r>
        <w:rPr>
          <w:rFonts w:hint="eastAsia" w:hAnsi="宋体" w:cs="宋体"/>
          <w:color w:val="auto"/>
          <w:szCs w:val="21"/>
          <w:highlight w:val="none"/>
        </w:rPr>
        <w:t>清单设置及工程量计算执行《建设工程工程量清单计价标准》（GB/T50500-2024）、《房屋建筑与装饰工程工程量计算标准》 （GB/T50854-2024、《通用安装工程工程量计算标准》（GB/T50856-2024）、《市政工程工程量计算标准》（GB/T50857-2024）、《园林绿化工程工程量计算标准》（GB/T50858-2024）及《广东省工程量清单计价指引（2013）》，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2013）》、《广东省安装工程工程量清单计价指引（2013）》</w:t>
      </w:r>
      <w:r>
        <w:rPr>
          <w:rFonts w:hint="eastAsia" w:hAnsi="宋体" w:eastAsia="宋体" w:cs="宋体"/>
          <w:color w:val="auto"/>
          <w:sz w:val="21"/>
          <w:szCs w:val="21"/>
          <w:highlight w:val="none"/>
        </w:rPr>
        <w:t>。</w:t>
      </w:r>
    </w:p>
    <w:p>
      <w:pPr>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（五）现行最新的工程造价规范性文件与第（四）点不一致的，按最新的规定执行。</w:t>
      </w:r>
    </w:p>
    <w:p>
      <w:pPr>
        <w:ind w:firstLine="420" w:firstLineChars="200"/>
        <w:rPr>
          <w:rFonts w:hint="eastAsia" w:ascii="Tahoma" w:hAnsi="宋体" w:cstheme="minorBidi"/>
          <w:bCs/>
          <w:color w:val="auto"/>
          <w:szCs w:val="21"/>
          <w:highlight w:val="none"/>
        </w:rPr>
      </w:pPr>
      <w:r>
        <w:rPr>
          <w:rFonts w:hint="eastAsia" w:ascii="Tahoma" w:hAnsi="宋体" w:cstheme="minorBidi"/>
          <w:bCs/>
          <w:color w:val="auto"/>
          <w:sz w:val="21"/>
          <w:szCs w:val="21"/>
          <w:highlight w:val="none"/>
          <w:lang w:eastAsia="zh-CN"/>
        </w:rPr>
        <w:t>（</w:t>
      </w:r>
      <w:r>
        <w:rPr>
          <w:rFonts w:hint="eastAsia" w:ascii="Tahoma" w:hAnsi="宋体" w:cstheme="minorBidi"/>
          <w:bCs/>
          <w:color w:val="auto"/>
          <w:sz w:val="21"/>
          <w:szCs w:val="21"/>
          <w:highlight w:val="none"/>
          <w:lang w:val="en-US" w:eastAsia="zh-CN"/>
        </w:rPr>
        <w:t>六</w:t>
      </w:r>
      <w:r>
        <w:rPr>
          <w:rFonts w:hint="eastAsia" w:ascii="Tahoma" w:hAnsi="宋体" w:cstheme="minorBidi"/>
          <w:bCs/>
          <w:color w:val="auto"/>
          <w:sz w:val="21"/>
          <w:szCs w:val="21"/>
          <w:highlight w:val="none"/>
          <w:lang w:eastAsia="zh-CN"/>
        </w:rPr>
        <w:t>）</w:t>
      </w:r>
      <w:r>
        <w:rPr>
          <w:rFonts w:hint="eastAsia" w:ascii="Tahoma" w:hAnsi="宋体" w:cstheme="minorBidi"/>
          <w:bCs/>
          <w:color w:val="auto"/>
          <w:szCs w:val="21"/>
          <w:highlight w:val="none"/>
        </w:rPr>
        <w:t>造价咨询单位在进行结算审核工作时，须进行现场查勘，并须对施工合同承包方是否存在偷工减料、不按图施工情况进行现场核实，必要时可申请在东实集团库内抽取第三方检测单位进行现场核查，费用由项目公司支付。对于核实存在偷工减料、不按图施工情况的，将以该偷工减料、不按图施工部分对应结算核减金额的10%作为造价咨询服务单位效益收费。</w:t>
      </w:r>
    </w:p>
    <w:p>
      <w:pPr>
        <w:ind w:firstLine="420" w:firstLineChars="200"/>
        <w:rPr>
          <w:rFonts w:hint="eastAsia"/>
          <w:color w:val="auto"/>
          <w:highlight w:val="none"/>
          <w:lang w:eastAsia="zh-CN"/>
        </w:rPr>
      </w:pPr>
      <w:r>
        <w:rPr>
          <w:rFonts w:hint="eastAsia" w:ascii="Tahoma" w:hAnsi="宋体" w:cstheme="minorBidi"/>
          <w:bCs/>
          <w:color w:val="auto"/>
          <w:szCs w:val="21"/>
          <w:highlight w:val="none"/>
        </w:rPr>
        <w:t>如施工合同承包方存在偷工减料、不按图施工情况，但造价咨询单位未发现该问题并未对合同结算金额进行如实扣减的，则造价咨询单位须退回该合同项目下所有关于偷工减料、不按图施工情况的效益收费</w:t>
      </w:r>
      <w:r>
        <w:rPr>
          <w:rFonts w:hint="eastAsia" w:ascii="Tahoma" w:hAnsi="宋体" w:cstheme="minorBidi"/>
          <w:bCs/>
          <w:color w:val="auto"/>
          <w:szCs w:val="21"/>
          <w:highlight w:val="none"/>
          <w:lang w:eastAsia="zh-CN"/>
        </w:rPr>
        <w:t>。</w:t>
      </w:r>
    </w:p>
    <w:p>
      <w:pPr>
        <w:spacing w:line="240" w:lineRule="auto"/>
        <w:ind w:firstLine="420" w:firstLineChars="200"/>
        <w:rPr>
          <w:rFonts w:hint="eastAsia" w:ascii="宋体" w:hAnsi="宋体" w:cs="宋体"/>
          <w:bCs/>
          <w:color w:val="auto"/>
          <w:szCs w:val="21"/>
          <w:highlight w:val="none"/>
          <w:lang w:eastAsia="zh-CN"/>
        </w:rPr>
      </w:pPr>
    </w:p>
    <w:p>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第六条 咨询酬金</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（一）咨询酬金（含税）暂定价款为￥      元（大写人民币      ），增值税率为     %，税金金额￥     元，不含税合同总价款为￥     元。</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总酬金暂定价按《广东省建设工程造价咨询服务收费项目和收费标准表》（粤价函【2011】742号文）</w:t>
      </w:r>
      <w:r>
        <w:rPr>
          <w:rFonts w:hint="eastAsia" w:hAnsi="宋体" w:cs="宋体"/>
          <w:color w:val="auto"/>
          <w:sz w:val="21"/>
          <w:szCs w:val="21"/>
          <w:highlight w:val="none"/>
          <w:lang w:eastAsia="zh-CN"/>
        </w:rPr>
        <w:t>，</w:t>
      </w:r>
      <w:r>
        <w:rPr>
          <w:rFonts w:hint="eastAsia" w:hAnsi="宋体" w:eastAsia="宋体" w:cs="宋体"/>
          <w:color w:val="auto"/>
          <w:sz w:val="21"/>
          <w:szCs w:val="21"/>
          <w:highlight w:val="none"/>
        </w:rPr>
        <w:t>以经</w:t>
      </w:r>
      <w:r>
        <w:rPr>
          <w:rFonts w:hint="eastAsia" w:hAnsi="宋体" w:cs="宋体"/>
          <w:color w:val="auto"/>
          <w:sz w:val="21"/>
          <w:szCs w:val="21"/>
          <w:highlight w:val="none"/>
        </w:rPr>
        <w:t>委托人</w:t>
      </w:r>
      <w:r>
        <w:rPr>
          <w:rFonts w:hint="eastAsia" w:hAnsi="宋体" w:eastAsia="宋体" w:cs="宋体"/>
          <w:color w:val="auto"/>
          <w:sz w:val="21"/>
          <w:szCs w:val="21"/>
          <w:highlight w:val="none"/>
        </w:rPr>
        <w:t>审核确定的累计工程预算价（下浮前）为收费基数</w:t>
      </w:r>
      <w:r>
        <w:rPr>
          <w:rFonts w:hint="eastAsia" w:hAnsi="宋体" w:cs="宋体"/>
          <w:color w:val="auto"/>
          <w:sz w:val="21"/>
          <w:szCs w:val="21"/>
          <w:highlight w:val="none"/>
          <w:lang w:val="en-US" w:eastAsia="zh-CN"/>
        </w:rPr>
        <w:t>,</w:t>
      </w:r>
      <w:r>
        <w:rPr>
          <w:rFonts w:hint="eastAsia" w:hAnsi="宋体" w:cs="宋体"/>
          <w:color w:val="auto"/>
          <w:sz w:val="21"/>
          <w:szCs w:val="21"/>
          <w:highlight w:val="none"/>
        </w:rPr>
        <w:t>按收费标准文件中序号6”施工阶段全过程造价控制“计算并乘以服务收费系数（</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w:t>
      </w:r>
      <w:r>
        <w:rPr>
          <w:rFonts w:hint="eastAsia" w:hAnsi="宋体" w:eastAsia="宋体" w:cs="宋体"/>
          <w:color w:val="auto"/>
          <w:sz w:val="21"/>
          <w:szCs w:val="21"/>
          <w:highlight w:val="none"/>
        </w:rPr>
        <w:t>估算、概算审核、钢筋及预埋件计算费用、驻场人员不另计费。</w:t>
      </w:r>
    </w:p>
    <w:tbl>
      <w:tblPr>
        <w:tblStyle w:val="33"/>
        <w:tblW w:w="9741" w:type="dxa"/>
        <w:tblInd w:w="0" w:type="dxa"/>
        <w:tblLayout w:type="fixed"/>
        <w:tblCellMar>
          <w:top w:w="0" w:type="dxa"/>
          <w:left w:w="108" w:type="dxa"/>
          <w:bottom w:w="0" w:type="dxa"/>
          <w:right w:w="108" w:type="dxa"/>
        </w:tblCellMar>
      </w:tblPr>
      <w:tblGrid>
        <w:gridCol w:w="3695"/>
        <w:gridCol w:w="1974"/>
        <w:gridCol w:w="1968"/>
        <w:gridCol w:w="2032"/>
        <w:gridCol w:w="72"/>
      </w:tblGrid>
      <w:tr>
        <w:tblPrEx>
          <w:tblCellMar>
            <w:top w:w="0" w:type="dxa"/>
            <w:left w:w="108" w:type="dxa"/>
            <w:bottom w:w="0" w:type="dxa"/>
            <w:right w:w="108" w:type="dxa"/>
          </w:tblCellMar>
        </w:tblPrEx>
        <w:trPr>
          <w:trHeight w:val="454" w:hRule="atLeast"/>
        </w:trPr>
        <w:tc>
          <w:tcPr>
            <w:tcW w:w="9741" w:type="dxa"/>
            <w:gridSpan w:val="5"/>
            <w:tcBorders>
              <w:top w:val="single" w:color="auto" w:sz="4" w:space="0"/>
              <w:left w:val="single" w:color="auto" w:sz="4" w:space="0"/>
              <w:bottom w:val="single" w:color="auto" w:sz="4" w:space="0"/>
              <w:right w:val="single" w:color="auto" w:sz="4" w:space="0"/>
            </w:tcBorders>
            <w:noWrap w:val="0"/>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工程造价咨询服务收费计算表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597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道滘镇南丫片区城中村改造项目掌洲工业安置房地块</w:t>
            </w:r>
            <w:r>
              <w:rPr>
                <w:rFonts w:hint="eastAsia" w:ascii="宋体" w:hAnsi="宋体" w:eastAsia="宋体" w:cs="宋体"/>
                <w:b/>
                <w:bCs/>
                <w:color w:val="auto"/>
                <w:sz w:val="21"/>
                <w:szCs w:val="21"/>
                <w:highlight w:val="none"/>
                <w:lang w:eastAsia="zh-CN"/>
              </w:rPr>
              <w:t>全过程驻场造价咨询</w:t>
            </w:r>
            <w:r>
              <w:rPr>
                <w:rFonts w:hint="eastAsia" w:ascii="宋体" w:hAnsi="宋体" w:cs="宋体"/>
                <w:b/>
                <w:bCs/>
                <w:color w:val="auto"/>
                <w:sz w:val="21"/>
                <w:szCs w:val="21"/>
                <w:highlight w:val="none"/>
                <w:lang w:val="en-US" w:eastAsia="zh-CN"/>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03"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p>
        </w:tc>
        <w:tc>
          <w:tcPr>
            <w:tcW w:w="597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192430000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auto" w:sz="4"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5974" w:type="dxa"/>
            <w:gridSpan w:val="3"/>
            <w:tcBorders>
              <w:top w:val="single" w:color="000000" w:sz="6" w:space="0"/>
              <w:left w:val="single" w:color="auto" w:sz="4"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00" w:hRule="atLeast"/>
        </w:trPr>
        <w:tc>
          <w:tcPr>
            <w:tcW w:w="3695" w:type="dxa"/>
            <w:tcBorders>
              <w:top w:val="single" w:color="000000" w:sz="6" w:space="0"/>
              <w:left w:val="single" w:color="000000" w:sz="6" w:space="0"/>
              <w:bottom w:val="single" w:color="000000" w:sz="6" w:space="0"/>
              <w:right w:val="single" w:color="auto" w:sz="4"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5974" w:type="dxa"/>
            <w:gridSpan w:val="3"/>
            <w:tcBorders>
              <w:top w:val="single" w:color="000000" w:sz="6" w:space="0"/>
              <w:left w:val="single" w:color="auto" w:sz="4"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391"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92430000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032" w:type="dxa"/>
            <w:tcBorders>
              <w:top w:val="single" w:color="000000" w:sz="6" w:space="0"/>
              <w:left w:val="single" w:color="000000" w:sz="6" w:space="0"/>
              <w:bottom w:val="single" w:color="000000" w:sz="6" w:space="0"/>
              <w:right w:val="single" w:color="000000" w:sz="6" w:space="0"/>
            </w:tcBorders>
            <w:shd w:val="clear" w:color="auto" w:fill="auto"/>
            <w:noWrap w:val="0"/>
            <w:tcMar>
              <w:top w:w="20" w:type="dxa"/>
              <w:left w:w="20" w:type="dxa"/>
              <w:bottom w:w="72" w:type="dxa"/>
              <w:right w:w="2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bidi="ar-SA"/>
              </w:rPr>
            </w:pPr>
            <w:r>
              <w:rPr>
                <w:rFonts w:hint="default" w:ascii="宋体" w:hAnsi="宋体" w:eastAsia="宋体" w:cs="宋体"/>
                <w:i w:val="0"/>
                <w:iCs w:val="0"/>
                <w:color w:val="auto"/>
                <w:kern w:val="2"/>
                <w:sz w:val="21"/>
                <w:szCs w:val="21"/>
                <w:highlight w:val="none"/>
                <w:u w:val="none"/>
                <w:lang w:val="en-US" w:eastAsia="zh-CN" w:bidi="ar-SA"/>
              </w:rPr>
              <w:t xml:space="preserve">647010.00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192430000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1513010.00 </w:t>
            </w:r>
            <w:r>
              <w:rPr>
                <w:rFonts w:hint="eastAsia" w:ascii="宋体" w:hAnsi="宋体" w:eastAsia="宋体" w:cs="宋体"/>
                <w:color w:val="auto"/>
                <w:sz w:val="21"/>
                <w:szCs w:val="21"/>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服务系数</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2" w:type="dxa"/>
          <w:trHeight w:val="66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1513010.00 </w:t>
            </w:r>
            <w:r>
              <w:rPr>
                <w:rFonts w:hint="eastAsia" w:ascii="宋体" w:hAnsi="宋体" w:eastAsia="宋体" w:cs="宋体"/>
                <w:color w:val="auto"/>
                <w:sz w:val="21"/>
                <w:szCs w:val="21"/>
                <w:highlight w:val="none"/>
                <w:lang w:val="en-US" w:eastAsia="zh-CN"/>
              </w:rPr>
              <w:t xml:space="preserve"> </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2"/>
                <w:sz w:val="21"/>
                <w:szCs w:val="21"/>
                <w:highlight w:val="none"/>
                <w:lang w:val="en-US" w:eastAsia="zh-CN" w:bidi="ar-SA"/>
              </w:rPr>
            </w:pP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2"/>
                <w:sz w:val="21"/>
                <w:szCs w:val="21"/>
                <w:highlight w:val="none"/>
                <w:lang w:val="en-US" w:eastAsia="zh-CN" w:bidi="ar-SA"/>
              </w:rPr>
            </w:pPr>
          </w:p>
        </w:tc>
      </w:tr>
    </w:tbl>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最终咨询酬金由基本酬金和浮动酬金组成，其中基本酬金=总酬金×80%，浮动酬金=总酬金×20%×咨询考核表评价分数对应的计费系数（详见</w:t>
      </w:r>
      <w:r>
        <w:rPr>
          <w:rFonts w:hint="eastAsia" w:hAnsi="宋体"/>
          <w:bCs/>
          <w:color w:val="auto"/>
          <w:sz w:val="21"/>
          <w:szCs w:val="21"/>
          <w:highlight w:val="none"/>
          <w:lang w:val="en-US" w:eastAsia="zh-CN"/>
        </w:rPr>
        <w:t>《中介咨询机构评价意见表》</w:t>
      </w:r>
      <w:r>
        <w:rPr>
          <w:rFonts w:hint="eastAsia" w:hAnsi="宋体" w:cs="宋体"/>
          <w:color w:val="auto"/>
          <w:sz w:val="21"/>
          <w:szCs w:val="21"/>
          <w:highlight w:val="none"/>
        </w:rPr>
        <w:t>）。</w:t>
      </w:r>
    </w:p>
    <w:p>
      <w:pPr>
        <w:numPr>
          <w:ilvl w:val="-1"/>
          <w:numId w:val="0"/>
        </w:numPr>
        <w:spacing w:line="360" w:lineRule="auto"/>
        <w:ind w:left="0" w:leftChars="0"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浮动酬金中包含甲方可支配的驻场人员奖励费用人民币69000元，由甲方</w:t>
      </w:r>
      <w:r>
        <w:rPr>
          <w:rFonts w:hint="eastAsia" w:hAnsi="宋体" w:cs="宋体"/>
          <w:color w:val="auto"/>
          <w:sz w:val="21"/>
          <w:szCs w:val="21"/>
          <w:highlight w:val="none"/>
        </w:rPr>
        <w:t>根据</w:t>
      </w:r>
      <w:r>
        <w:rPr>
          <w:rFonts w:hint="eastAsia" w:hAnsi="宋体" w:cs="宋体"/>
          <w:color w:val="auto"/>
          <w:sz w:val="21"/>
          <w:szCs w:val="21"/>
          <w:highlight w:val="none"/>
          <w:lang w:val="en-US" w:eastAsia="zh-CN"/>
        </w:rPr>
        <w:t>驻场</w:t>
      </w:r>
      <w:r>
        <w:rPr>
          <w:rFonts w:hint="eastAsia" w:hAnsi="宋体" w:cs="宋体"/>
          <w:color w:val="auto"/>
          <w:sz w:val="21"/>
          <w:szCs w:val="21"/>
          <w:highlight w:val="none"/>
        </w:rPr>
        <w:t>咨询工程师的表现</w:t>
      </w:r>
      <w:r>
        <w:rPr>
          <w:rFonts w:hint="eastAsia" w:hAnsi="宋体" w:cs="宋体"/>
          <w:color w:val="auto"/>
          <w:sz w:val="21"/>
          <w:szCs w:val="21"/>
          <w:highlight w:val="none"/>
          <w:lang w:val="en-US" w:eastAsia="zh-CN"/>
        </w:rPr>
        <w:t>考核，按照</w:t>
      </w:r>
      <w:r>
        <w:rPr>
          <w:rFonts w:hint="eastAsia" w:hAnsi="宋体"/>
          <w:bCs/>
          <w:color w:val="auto"/>
          <w:sz w:val="21"/>
          <w:szCs w:val="21"/>
          <w:highlight w:val="none"/>
          <w:lang w:val="en-US" w:eastAsia="zh-CN"/>
        </w:rPr>
        <w:t>《</w:t>
      </w:r>
      <w:r>
        <w:rPr>
          <w:rFonts w:hint="eastAsia" w:hAnsi="宋体"/>
          <w:bCs/>
          <w:color w:val="auto"/>
          <w:sz w:val="21"/>
          <w:szCs w:val="21"/>
          <w:highlight w:val="none"/>
        </w:rPr>
        <w:t>咨询单位</w:t>
      </w:r>
      <w:r>
        <w:rPr>
          <w:rFonts w:hint="eastAsia" w:hAnsi="宋体"/>
          <w:bCs/>
          <w:color w:val="auto"/>
          <w:sz w:val="21"/>
          <w:szCs w:val="21"/>
          <w:highlight w:val="none"/>
          <w:lang w:eastAsia="zh-CN"/>
        </w:rPr>
        <w:t>驻场人员</w:t>
      </w:r>
      <w:r>
        <w:rPr>
          <w:rFonts w:hint="eastAsia" w:hAnsi="宋体"/>
          <w:bCs/>
          <w:color w:val="auto"/>
          <w:sz w:val="21"/>
          <w:szCs w:val="21"/>
          <w:highlight w:val="none"/>
        </w:rPr>
        <w:t>考核表</w:t>
      </w:r>
      <w:r>
        <w:rPr>
          <w:rFonts w:hint="eastAsia" w:hAnsi="宋体"/>
          <w:bCs/>
          <w:color w:val="auto"/>
          <w:sz w:val="21"/>
          <w:szCs w:val="21"/>
          <w:highlight w:val="none"/>
          <w:lang w:val="en-US" w:eastAsia="zh-CN"/>
        </w:rPr>
        <w:t>》考核结果</w:t>
      </w:r>
      <w:r>
        <w:rPr>
          <w:rFonts w:hint="eastAsia" w:hAnsi="宋体" w:cs="宋体"/>
          <w:color w:val="auto"/>
          <w:sz w:val="21"/>
          <w:szCs w:val="21"/>
          <w:highlight w:val="none"/>
          <w:lang w:val="en-US" w:eastAsia="zh-CN"/>
        </w:rPr>
        <w:t>由甲方签批后随进度款支付，乙方须确保奖金按时发放给驻场人员并提供相关证明。</w:t>
      </w:r>
      <w:r>
        <w:rPr>
          <w:rFonts w:hint="eastAsia" w:hAnsi="宋体"/>
          <w:bCs/>
          <w:color w:val="auto"/>
          <w:sz w:val="21"/>
          <w:szCs w:val="21"/>
          <w:highlight w:val="none"/>
          <w:lang w:val="en-US" w:eastAsia="zh-CN"/>
        </w:rPr>
        <w:t>如最终实际发放的</w:t>
      </w:r>
      <w:r>
        <w:rPr>
          <w:rFonts w:hint="eastAsia" w:hAnsi="宋体" w:cs="宋体"/>
          <w:color w:val="auto"/>
          <w:sz w:val="21"/>
          <w:szCs w:val="21"/>
          <w:highlight w:val="none"/>
          <w:lang w:val="en-US" w:eastAsia="zh-CN"/>
        </w:rPr>
        <w:t>驻场人员</w:t>
      </w:r>
      <w:r>
        <w:rPr>
          <w:rFonts w:hint="eastAsia" w:hAnsi="宋体"/>
          <w:bCs/>
          <w:color w:val="auto"/>
          <w:sz w:val="21"/>
          <w:szCs w:val="21"/>
          <w:highlight w:val="none"/>
          <w:lang w:val="en-US" w:eastAsia="zh-CN"/>
        </w:rPr>
        <w:t>奖励金不足</w:t>
      </w:r>
      <w:r>
        <w:rPr>
          <w:rFonts w:hint="eastAsia" w:hAnsi="宋体" w:cs="宋体"/>
          <w:color w:val="auto"/>
          <w:sz w:val="21"/>
          <w:szCs w:val="21"/>
          <w:highlight w:val="none"/>
          <w:lang w:val="en-US" w:eastAsia="zh-CN"/>
        </w:rPr>
        <w:t>69000元</w:t>
      </w:r>
      <w:r>
        <w:rPr>
          <w:rFonts w:hint="eastAsia" w:hAnsi="宋体"/>
          <w:bCs/>
          <w:color w:val="auto"/>
          <w:sz w:val="21"/>
          <w:szCs w:val="21"/>
          <w:highlight w:val="none"/>
          <w:lang w:val="en-US" w:eastAsia="zh-CN"/>
        </w:rPr>
        <w:t>的，则剩余部分计入浮动酬金按《中介咨询机构评价意见表》结果乘以考核评价系数支付给乙方。</w:t>
      </w:r>
    </w:p>
    <w:p>
      <w:pPr>
        <w:spacing w:before="120" w:beforeLines="50"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第七条 时间要求</w:t>
      </w:r>
    </w:p>
    <w:p>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乙方于收齐全套资料后，</w:t>
      </w:r>
      <w:r>
        <w:rPr>
          <w:rFonts w:hint="eastAsia" w:hAnsi="宋体" w:cs="宋体"/>
          <w:bCs/>
          <w:color w:val="auto"/>
          <w:sz w:val="21"/>
          <w:szCs w:val="21"/>
          <w:highlight w:val="none"/>
          <w:u w:val="single"/>
        </w:rPr>
        <w:t>2个工作日</w:t>
      </w:r>
      <w:r>
        <w:rPr>
          <w:rFonts w:hint="eastAsia" w:hAnsi="宋体" w:cs="宋体"/>
          <w:color w:val="auto"/>
          <w:sz w:val="21"/>
          <w:szCs w:val="21"/>
          <w:highlight w:val="none"/>
        </w:rPr>
        <w:t>内对资料的完整性提出意见。</w:t>
      </w:r>
      <w:r>
        <w:rPr>
          <w:rFonts w:hint="eastAsia" w:hAnsi="宋体" w:cs="宋体"/>
          <w:bCs/>
          <w:color w:val="auto"/>
          <w:sz w:val="21"/>
          <w:szCs w:val="21"/>
          <w:highlight w:val="none"/>
          <w:u w:val="single"/>
        </w:rPr>
        <w:t>30个日历天内</w:t>
      </w:r>
      <w:r>
        <w:rPr>
          <w:rFonts w:hint="eastAsia" w:hAnsi="宋体" w:cs="宋体"/>
          <w:color w:val="auto"/>
          <w:sz w:val="21"/>
          <w:szCs w:val="21"/>
          <w:highlight w:val="none"/>
        </w:rPr>
        <w:t>向甲方提交初步成果文件；</w:t>
      </w:r>
      <w:r>
        <w:rPr>
          <w:rFonts w:hint="eastAsia" w:hAnsi="宋体" w:cs="宋体"/>
          <w:bCs/>
          <w:color w:val="auto"/>
          <w:sz w:val="21"/>
          <w:szCs w:val="21"/>
          <w:highlight w:val="none"/>
          <w:u w:val="single"/>
        </w:rPr>
        <w:t>35个日历天内</w:t>
      </w:r>
      <w:r>
        <w:rPr>
          <w:rFonts w:hint="eastAsia" w:hAnsi="宋体" w:cs="宋体"/>
          <w:color w:val="auto"/>
          <w:sz w:val="21"/>
          <w:szCs w:val="21"/>
          <w:highlight w:val="none"/>
        </w:rPr>
        <w:t>向甲方提供正式成果文件。</w:t>
      </w:r>
    </w:p>
    <w:p>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乙方在接到对量的指令后，应在</w:t>
      </w:r>
      <w:r>
        <w:rPr>
          <w:rFonts w:hint="eastAsia" w:hAnsi="宋体" w:cs="宋体"/>
          <w:bCs/>
          <w:color w:val="auto"/>
          <w:sz w:val="21"/>
          <w:szCs w:val="21"/>
          <w:highlight w:val="none"/>
          <w:u w:val="single"/>
        </w:rPr>
        <w:t>30个日历天内</w:t>
      </w:r>
      <w:r>
        <w:rPr>
          <w:rFonts w:hint="eastAsia" w:hAnsi="宋体" w:cs="宋体"/>
          <w:color w:val="auto"/>
          <w:sz w:val="21"/>
          <w:szCs w:val="21"/>
          <w:highlight w:val="none"/>
        </w:rPr>
        <w:t>完成对量工作，并形成双方共同签字确认的成果文件,非乙方原因延误的时间依次顺延。</w:t>
      </w:r>
    </w:p>
    <w:p>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若因图纸设计质量原因影响乙方工作，乙方应立即书面通知甲方，若甲方在</w:t>
      </w:r>
      <w:r>
        <w:rPr>
          <w:rFonts w:hint="eastAsia" w:hAnsi="宋体" w:cs="宋体"/>
          <w:bCs/>
          <w:color w:val="auto"/>
          <w:sz w:val="21"/>
          <w:szCs w:val="21"/>
          <w:highlight w:val="none"/>
          <w:u w:val="single"/>
        </w:rPr>
        <w:t>5个日历天</w:t>
      </w:r>
      <w:r>
        <w:rPr>
          <w:rFonts w:hint="eastAsia" w:hAnsi="宋体" w:cs="宋体"/>
          <w:color w:val="auto"/>
          <w:sz w:val="21"/>
          <w:szCs w:val="21"/>
          <w:highlight w:val="none"/>
        </w:rPr>
        <w:t>内给予答复，则编制时间不予顺延。</w:t>
      </w:r>
    </w:p>
    <w:p>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如甲方暂无法提供编制范围内的全部图纸，但其提供的部分图纸已达到乙方进行局部工作的条件，乙方须进行相关工作，如果其余图纸在合理编制日期内提供，则编制日期不予顺延。</w:t>
      </w:r>
    </w:p>
    <w:p>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乙方未按合同条款、甲方的要求执行，或工作成果质量等达不到甲方的要求，乙方须及时进行整改、修正，直至符合甲方要求验收为止，且最后一次修正稿的提交日为乙方提交工作成果日。</w:t>
      </w:r>
    </w:p>
    <w:p>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第八条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成果文件及质量要求</w:t>
      </w:r>
    </w:p>
    <w:p>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成果文件包含但不限于：</w:t>
      </w:r>
      <w:r>
        <w:rPr>
          <w:rFonts w:hint="eastAsia" w:hAnsi="宋体" w:cs="宋体"/>
          <w:bCs/>
          <w:color w:val="auto"/>
          <w:sz w:val="21"/>
          <w:szCs w:val="21"/>
          <w:highlight w:val="none"/>
          <w:u w:val="single"/>
        </w:rPr>
        <w:t>纸质成果文件一式3份、电子光盘2份</w:t>
      </w:r>
      <w:r>
        <w:rPr>
          <w:rFonts w:hint="eastAsia" w:hAnsi="宋体" w:cs="宋体"/>
          <w:color w:val="auto"/>
          <w:sz w:val="21"/>
          <w:szCs w:val="21"/>
          <w:highlight w:val="none"/>
        </w:rPr>
        <w:t>。咨询过程中均需以书面形式移交各委托分项所需资料。纸质成果文件应包含工程概算审核报告、初步及最终施工图预算、工程量清单、经济指标分析报告、主要材料含量分析表（见附表）等；电子光盘应包含软件格式及excel格式的套价文件、软件格式及excel格式的算量文件，excel格式的零星工程量计算底稿等。本工程计价及算量采用软件为：</w:t>
      </w:r>
      <w:r>
        <w:rPr>
          <w:rFonts w:hint="eastAsia" w:hAnsi="宋体" w:cs="宋体"/>
          <w:bCs/>
          <w:color w:val="auto"/>
          <w:sz w:val="21"/>
          <w:szCs w:val="21"/>
          <w:highlight w:val="none"/>
          <w:u w:val="single"/>
        </w:rPr>
        <w:t>广联达</w:t>
      </w:r>
      <w:r>
        <w:rPr>
          <w:rFonts w:hint="eastAsia" w:hAnsi="宋体" w:cs="宋体"/>
          <w:color w:val="auto"/>
          <w:sz w:val="21"/>
          <w:szCs w:val="21"/>
          <w:highlight w:val="none"/>
        </w:rPr>
        <w:t>，如确需采用其它算量软件，需征得甲方的确认；</w:t>
      </w:r>
    </w:p>
    <w:p>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各专业的计价文件和工程量计算底稿必须按地下室、裙楼、塔楼、转换层（如有）分别编制，其中塔楼须按栋号分别编制，不能将各栋的工程量进行累加，必须依据各分部分项工程的特征、位置、结构形式、用途合理划分子目，不得将材料规格相同但结构形式、用途不一致的子目的工程量进行合并；工程量计算底稿必须分栋、分层、分部位、分轴线注明，便于甲方查验；乙方应自检自查以保证各栋相同规格品牌的材料价格保持一致；</w:t>
      </w:r>
    </w:p>
    <w:p>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汇总表须分专业、室内外分别汇总，其中土建按地下室、地上、转换层（如有），并按栋号分别汇总；安装工程给排水、电气、消防、采暖通风、弱电等分部分项工程分别汇总；室外工程按室外电气、室外给排水、室外土建等分部分项工程分别汇总；甲方要求以独立费单独列项的应分别汇总；正式成果文件应打印工料机表，如分部分项工程以清单编制，还应打印子定额。</w:t>
      </w:r>
    </w:p>
    <w:p>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编制说明要内容全面、清楚，要包含工程概况、编制范围、编制依据，工程造价及指标说明等；</w:t>
      </w:r>
    </w:p>
    <w:p>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乙方提供的成果文件须经专业人员签字，并加盖项目负责人造价师执业印章、咨询单位公章及资质章；</w:t>
      </w:r>
    </w:p>
    <w:p>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乙方所提交的报告文件必须语句通顺、文字清晰整齐，数据准确，各相关数据必须吻合一致，且相互有明确的索引及标识；</w:t>
      </w:r>
    </w:p>
    <w:p>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在计价文件编制过程中，乙方必须尊重甲方的意见、解释及补充要求，甲方有权要求乙方对计价文件进行适当修改以便符合其要求；</w:t>
      </w:r>
    </w:p>
    <w:p>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乙方提供的成果文件甲方采用比例抽查审核方式。在成果文件选择20%以上（含20%）（比例按建筑面积计算）进行比例抽查审核，并对抽查部分核减金额进行总核减金额换算。</w:t>
      </w:r>
    </w:p>
    <w:p>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总核减金额换算公式：抽查部分核减金额</w:t>
      </w:r>
      <w:r>
        <w:rPr>
          <w:rFonts w:hint="eastAsia" w:ascii="宋体" w:hAnsi="宋体" w:eastAsia="宋体" w:cs="宋体"/>
          <w:color w:val="auto"/>
          <w:sz w:val="21"/>
          <w:szCs w:val="21"/>
          <w:highlight w:val="none"/>
        </w:rPr>
        <w:t>*</w:t>
      </w:r>
      <w:r>
        <w:rPr>
          <w:rFonts w:hint="eastAsia" w:hAnsi="宋体" w:cs="宋体"/>
          <w:color w:val="auto"/>
          <w:sz w:val="21"/>
          <w:szCs w:val="21"/>
          <w:highlight w:val="none"/>
        </w:rPr>
        <w:t>（1/抽查比例）</w:t>
      </w:r>
    </w:p>
    <w:p>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乙方提供的成果文件总价误差应控制在2％以内，单个子目工程量误差应控制在3％以内；主要工程内容不应出现漏项漏量等情况。</w:t>
      </w:r>
    </w:p>
    <w:p>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以上误差评判标准以甲、乙、承包商等第三方核对共同确认结果为准。</w:t>
      </w:r>
    </w:p>
    <w:p>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第九条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质量保证措施</w:t>
      </w:r>
    </w:p>
    <w:p>
      <w:pPr>
        <w:numPr>
          <w:ilvl w:val="0"/>
          <w:numId w:val="11"/>
        </w:numPr>
        <w:adjustRightInd/>
        <w:snapToGrid/>
        <w:spacing w:line="360" w:lineRule="auto"/>
        <w:ind w:firstLine="422" w:firstLineChars="200"/>
        <w:rPr>
          <w:rFonts w:hint="eastAsia" w:hAnsi="宋体" w:cs="宋体"/>
          <w:b/>
          <w:color w:val="auto"/>
          <w:sz w:val="21"/>
          <w:szCs w:val="21"/>
          <w:highlight w:val="none"/>
          <w:lang w:val="en-US" w:eastAsia="zh-CN"/>
        </w:rPr>
      </w:pPr>
      <w:r>
        <w:rPr>
          <w:rFonts w:hint="eastAsia" w:hAnsi="宋体" w:cs="宋体"/>
          <w:b/>
          <w:color w:val="auto"/>
          <w:sz w:val="21"/>
          <w:szCs w:val="21"/>
          <w:highlight w:val="none"/>
          <w:lang w:val="en-US" w:eastAsia="zh-CN"/>
        </w:rPr>
        <w:t xml:space="preserve">差错率 </w:t>
      </w:r>
    </w:p>
    <w:p>
      <w:pPr>
        <w:numPr>
          <w:ilvl w:val="0"/>
          <w:numId w:val="0"/>
        </w:num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差错率是指咨询人提交给委托人的成果文件因主观原因而造成的差错金额与最后定案金额对比计算的差错比率。以下情况(但不限于)属咨询人主观原因造成的差错:</w:t>
      </w:r>
    </w:p>
    <w:p>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1.图纸或签证资料不清晰或互相矛盾的地方未经核实，以暂估工程量计算，引起差错。</w:t>
      </w:r>
    </w:p>
    <w:p>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2.错套定额或计费程序错误。</w:t>
      </w:r>
    </w:p>
    <w:p>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3.重复计价，如:多计</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lang w:val="en-US" w:eastAsia="zh-CN"/>
        </w:rPr>
        <w:t>文件和合同约定包干的项目、重复计算工程量清单或定额子目包含的工作内容或项目、多计重复的签证、变更工程等。</w:t>
      </w:r>
    </w:p>
    <w:p>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4.工程量计算错误或未对工程量进行审核而直接用证工程量(送审工程量)导致出现工程量计算错误、虚列项目、项漏量。</w:t>
      </w:r>
    </w:p>
    <w:p>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5.已计算签证或变更增加工程，但未扣减对应的减少工程(无论须扣减的对应减少工程有无签证)。</w:t>
      </w:r>
    </w:p>
    <w:p>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6.审核资料与实际施工不符，且现场查勘明显可以发现的减少工程项目而未扣减的。</w:t>
      </w:r>
    </w:p>
    <w:p>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7.主要材料价格没有执行信息价引起的差错。</w:t>
      </w:r>
    </w:p>
    <w:p>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8.其它计算错误，如:点错小数点、汇总错误等。</w:t>
      </w:r>
    </w:p>
    <w:p>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如造价咨询服务机构对主观差错率的计算有争议,可向东莞市建设工程造价管理站申请复核。</w:t>
      </w:r>
    </w:p>
    <w:p>
      <w:pPr>
        <w:numPr>
          <w:ilvl w:val="0"/>
          <w:numId w:val="11"/>
        </w:numPr>
        <w:adjustRightInd/>
        <w:snapToGrid/>
        <w:spacing w:line="360" w:lineRule="auto"/>
        <w:ind w:firstLine="422" w:firstLineChars="200"/>
        <w:rPr>
          <w:rFonts w:hint="eastAsia" w:ascii="宋体" w:hAnsi="宋体" w:eastAsia="宋体" w:cs="宋体"/>
          <w:color w:val="auto"/>
          <w:sz w:val="21"/>
          <w:szCs w:val="21"/>
          <w:highlight w:val="none"/>
        </w:rPr>
      </w:pPr>
      <w:r>
        <w:rPr>
          <w:rFonts w:hint="eastAsia" w:hAnsi="宋体" w:cs="宋体"/>
          <w:b/>
          <w:color w:val="auto"/>
          <w:sz w:val="21"/>
          <w:szCs w:val="21"/>
          <w:highlight w:val="none"/>
          <w:lang w:val="en-US" w:eastAsia="zh-CN"/>
        </w:rPr>
        <w:t xml:space="preserve"> </w:t>
      </w:r>
      <w:r>
        <w:rPr>
          <w:rFonts w:hint="eastAsia" w:hAnsi="宋体" w:eastAsia="宋体" w:cs="宋体"/>
          <w:b/>
          <w:color w:val="auto"/>
          <w:sz w:val="21"/>
          <w:szCs w:val="21"/>
          <w:highlight w:val="none"/>
          <w:lang w:val="en-US" w:eastAsia="zh-CN"/>
        </w:rPr>
        <w:t>咨询人</w:t>
      </w:r>
      <w:r>
        <w:rPr>
          <w:rFonts w:hint="eastAsia" w:ascii="宋体" w:hAnsi="宋体" w:eastAsia="宋体" w:cs="宋体"/>
          <w:b/>
          <w:bCs/>
          <w:color w:val="auto"/>
          <w:sz w:val="21"/>
          <w:szCs w:val="21"/>
          <w:highlight w:val="none"/>
        </w:rPr>
        <w:t>的编审结果出现差错，由委托人根据差错率（以下简称差错率）的大小作如下处理：</w:t>
      </w:r>
    </w:p>
    <w:p>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概算、预算（含最高报价值、招标工程量清单）：</w:t>
      </w:r>
    </w:p>
    <w:p>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1．差错率在1%—3%以内的，如非故意行为造成的，</w:t>
      </w:r>
      <w:r>
        <w:rPr>
          <w:rFonts w:hint="eastAsia" w:ascii="宋体" w:hAnsi="宋体" w:eastAsia="宋体" w:cs="宋体"/>
          <w:color w:val="auto"/>
          <w:sz w:val="21"/>
          <w:szCs w:val="21"/>
          <w:highlight w:val="none"/>
          <w:lang w:val="en-US" w:eastAsia="zh-CN"/>
        </w:rPr>
        <w:t>且未对委托人造成实质损失，则咨询人</w:t>
      </w:r>
      <w:r>
        <w:rPr>
          <w:rFonts w:hint="eastAsia" w:ascii="宋体" w:hAnsi="宋体" w:eastAsia="宋体" w:cs="宋体"/>
          <w:color w:val="auto"/>
          <w:sz w:val="21"/>
          <w:szCs w:val="21"/>
          <w:highlight w:val="none"/>
        </w:rPr>
        <w:t>应向委托人提出书面整改措施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酬金的20%。</w:t>
      </w:r>
    </w:p>
    <w:p>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2．3%＜差错率≤5%，</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p>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3．差错率＞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酬金的100%。</w:t>
      </w:r>
    </w:p>
    <w:p>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工程竣工结算：</w:t>
      </w:r>
    </w:p>
    <w:p>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1．1%＜差错率≤3%，</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酬金的20%。</w:t>
      </w:r>
    </w:p>
    <w:p>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2．3%＜差错率≤5%，</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酬金的50%。</w:t>
      </w:r>
    </w:p>
    <w:p>
      <w:pPr>
        <w:adjustRightInd/>
        <w:snapToGrid/>
        <w:spacing w:line="360" w:lineRule="auto"/>
        <w:ind w:left="0" w:firstLine="420" w:firstLineChars="200"/>
        <w:rPr>
          <w:rFonts w:hint="eastAsia" w:hAnsi="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3．差错率＞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酬金的100%</w:t>
      </w:r>
      <w:r>
        <w:rPr>
          <w:rFonts w:hint="eastAsia" w:hAnsi="宋体" w:cs="宋体"/>
          <w:color w:val="auto"/>
          <w:sz w:val="21"/>
          <w:szCs w:val="21"/>
          <w:highlight w:val="none"/>
        </w:rPr>
        <w:t>。</w:t>
      </w:r>
    </w:p>
    <w:p>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第十条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编制依据</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采购文件、图纸、施工合同等与之相关文件。</w:t>
      </w:r>
    </w:p>
    <w:p>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第十一条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双方责任</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（一）甲方责任</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1.1及时向乙方提供工程项目所需图纸、相关资料。</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1.2按双方约定支付乙方咨询服务费。</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1.3未经乙方同意，不得修改乙方的所有成果文件。</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1.4在乙方工作期间密切配合，提供工作方便,甲方工作人员不得阻碍乙方以及乙方工作人员的正常工作。</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1.5在咨询业务开展过程中，乙方根据经验对所提供的资料的真实性及其它问题提出书面疑问时，甲方应协助落实其真实与否，并在5个工作日内给予书面确认并回复乙方，若由于甲方未能及时明确或回复的，完成日期相应顺延。</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1.6甲方在工程量清单编制期间，有权到乙方工作地检查工作计划完成情况及完成质量情况。</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（二） 乙方责任</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2.1严格按照国家、</w:t>
      </w:r>
      <w:r>
        <w:rPr>
          <w:rFonts w:hint="eastAsia" w:hAnsi="宋体" w:cs="宋体"/>
          <w:color w:val="auto"/>
          <w:sz w:val="21"/>
          <w:szCs w:val="21"/>
          <w:highlight w:val="none"/>
          <w:u w:val="single"/>
        </w:rPr>
        <w:t>广东</w:t>
      </w:r>
      <w:r>
        <w:rPr>
          <w:rFonts w:hint="eastAsia" w:hAnsi="宋体" w:cs="宋体"/>
          <w:color w:val="auto"/>
          <w:sz w:val="21"/>
          <w:szCs w:val="21"/>
          <w:highlight w:val="none"/>
        </w:rPr>
        <w:t>省和有关文件规定，及时准确地进行计量及编制。</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2.2乙方对外提供的工作成果（含工程量计算底稿、工程量清单等相关书面文件及电子文件）的真实性、精确性、合理性、合法性负责，且做到文本资料条理清晰。</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2.3在各项目造价咨询工作中，咨询人委派的咨询人员必须固定。原则上不允许更换，如咨询人有特殊情况需更换咨询员，必须在更换以前提前十五天书面通知甲方，并经甲方同意后方可更换。</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2.4乙方须认真清点并保管好甲方提供的图纸及相关造价资料，工程量清单编制完成后，乙方须如数、原样归还甲方提供的全部造价资料。</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2.5按本合同约定向甲方提供咨询成果文件并提交完整的工程造价咨询报告。</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2.6甲方委托的业务乙方必须严格保密，不得向任何无关单位和人员透露有关经济文件、资料及数据。如乙方未遵守保密义务，擅自向第三方透露与本委托业务有关信息，甲方有权终止合同，如造价咨询费用未支付甲方无需支付，如已支付乙方应在甲方终止合同后三日内退还已付全部款项，并且乙方还须赔偿因此给甲方带来的损失。</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2.7乙方各项工作成果，经甲方审核，如发现工程量计算、套价项目等方面出现错误，乙方须在甲方指出问题后</w:t>
      </w:r>
      <w:r>
        <w:rPr>
          <w:rFonts w:hint="eastAsia" w:hAnsi="宋体" w:cs="宋体"/>
          <w:bCs/>
          <w:color w:val="auto"/>
          <w:sz w:val="21"/>
          <w:szCs w:val="21"/>
          <w:highlight w:val="none"/>
          <w:u w:val="single"/>
        </w:rPr>
        <w:t>2个工作日内</w:t>
      </w:r>
      <w:r>
        <w:rPr>
          <w:rFonts w:hint="eastAsia" w:hAnsi="宋体" w:cs="宋体"/>
          <w:color w:val="auto"/>
          <w:sz w:val="21"/>
          <w:szCs w:val="21"/>
          <w:highlight w:val="none"/>
        </w:rPr>
        <w:t>进行全面复核并提交修改后的工作结果。</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2.8协助甲方解答投标单位投标文件中关于工程量清单部分的疑问。</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2.9乙方不得私自与参与本工程有利益关系的第三方接触。</w:t>
      </w:r>
    </w:p>
    <w:p>
      <w:pPr>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第十二条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付款方式</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（一）估算审核阶段：</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按合同约定提交约定的工程估算审核报告等成果文件，该阶段不另外计费。</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（二）概算审核</w:t>
      </w:r>
      <w:r>
        <w:rPr>
          <w:rFonts w:hint="eastAsia" w:hAnsi="宋体" w:eastAsia="宋体" w:cs="宋体"/>
          <w:color w:val="auto"/>
          <w:sz w:val="21"/>
          <w:szCs w:val="21"/>
          <w:highlight w:val="none"/>
          <w:lang w:val="en-US" w:eastAsia="zh-CN"/>
        </w:rPr>
        <w:t>阶段：</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按合同约定提交约定的</w:t>
      </w:r>
      <w:r>
        <w:rPr>
          <w:rFonts w:hint="eastAsia" w:hAnsi="宋体" w:cs="宋体"/>
          <w:color w:val="auto"/>
          <w:sz w:val="21"/>
          <w:szCs w:val="21"/>
          <w:highlight w:val="none"/>
        </w:rPr>
        <w:t>初步</w:t>
      </w:r>
      <w:r>
        <w:rPr>
          <w:rFonts w:hint="eastAsia" w:hAnsi="宋体" w:eastAsia="宋体" w:cs="宋体"/>
          <w:color w:val="auto"/>
          <w:sz w:val="21"/>
          <w:szCs w:val="21"/>
          <w:highlight w:val="none"/>
        </w:rPr>
        <w:t>概算审核报告</w:t>
      </w:r>
      <w:r>
        <w:rPr>
          <w:rFonts w:hint="eastAsia" w:hAnsi="宋体" w:eastAsia="宋体" w:cs="宋体"/>
          <w:color w:val="auto"/>
          <w:sz w:val="21"/>
          <w:szCs w:val="21"/>
          <w:highlight w:val="none"/>
          <w:lang w:val="en-US" w:eastAsia="zh-CN"/>
        </w:rPr>
        <w:t>等成果文件，</w:t>
      </w:r>
      <w:r>
        <w:rPr>
          <w:rFonts w:hint="eastAsia" w:hAnsi="宋体" w:eastAsia="宋体" w:cs="宋体"/>
          <w:color w:val="auto"/>
          <w:sz w:val="21"/>
          <w:szCs w:val="21"/>
          <w:highlight w:val="none"/>
        </w:rPr>
        <w:t>该阶段不另外计费。</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三</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预算编制阶段：</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按合同约定提交约定的</w:t>
      </w:r>
      <w:r>
        <w:rPr>
          <w:rFonts w:hint="eastAsia" w:hAnsi="宋体" w:cs="宋体"/>
          <w:color w:val="auto"/>
          <w:sz w:val="21"/>
          <w:szCs w:val="21"/>
          <w:highlight w:val="none"/>
        </w:rPr>
        <w:t>初步</w:t>
      </w:r>
      <w:r>
        <w:rPr>
          <w:rFonts w:hint="eastAsia" w:hAnsi="宋体" w:eastAsia="宋体" w:cs="宋体"/>
          <w:color w:val="auto"/>
          <w:sz w:val="21"/>
          <w:szCs w:val="21"/>
          <w:highlight w:val="none"/>
        </w:rPr>
        <w:t>施工图预算、工程量清单等成果文件，经</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确认后30个日历天内，</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rPr>
        <w:t>支付</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基本酬金（以</w:t>
      </w:r>
      <w:r>
        <w:rPr>
          <w:rFonts w:hint="eastAsia" w:hAnsi="宋体" w:cs="宋体"/>
          <w:color w:val="auto"/>
          <w:sz w:val="21"/>
          <w:szCs w:val="21"/>
          <w:highlight w:val="none"/>
        </w:rPr>
        <w:t>初步</w:t>
      </w:r>
      <w:r>
        <w:rPr>
          <w:rFonts w:hint="eastAsia" w:hAnsi="宋体" w:eastAsia="宋体" w:cs="宋体"/>
          <w:color w:val="auto"/>
          <w:sz w:val="21"/>
          <w:szCs w:val="21"/>
          <w:highlight w:val="none"/>
        </w:rPr>
        <w:t>施工图预算作为收费基数计算的咨询服务费总价*</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%的80%）+浮动酬金（以</w:t>
      </w:r>
      <w:r>
        <w:rPr>
          <w:rFonts w:hint="eastAsia" w:hAnsi="宋体" w:cs="宋体"/>
          <w:color w:val="auto"/>
          <w:sz w:val="21"/>
          <w:szCs w:val="21"/>
          <w:highlight w:val="none"/>
        </w:rPr>
        <w:t>初步</w:t>
      </w:r>
      <w:r>
        <w:rPr>
          <w:rFonts w:hint="eastAsia" w:hAnsi="宋体" w:eastAsia="宋体" w:cs="宋体"/>
          <w:color w:val="auto"/>
          <w:sz w:val="21"/>
          <w:szCs w:val="21"/>
          <w:highlight w:val="none"/>
        </w:rPr>
        <w:t>施工图预算作为收费基数计算的咨询服务费总价*</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%的20%为基数计算*咨询考核表评价分数对应的计费系数</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lang w:val="en-US" w:eastAsia="zh-CN"/>
        </w:rPr>
        <w:t>已签批的支付给驻场咨询人员的奖励金</w:t>
      </w:r>
      <w:r>
        <w:rPr>
          <w:rFonts w:hint="eastAsia" w:hAnsi="宋体" w:eastAsia="宋体" w:cs="宋体"/>
          <w:color w:val="auto"/>
          <w:sz w:val="21"/>
          <w:szCs w:val="21"/>
          <w:highlight w:val="none"/>
        </w:rPr>
        <w:t>）；</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四</w:t>
      </w:r>
      <w:r>
        <w:rPr>
          <w:rFonts w:hint="eastAsia" w:hAnsi="宋体" w:eastAsia="宋体" w:cs="宋体"/>
          <w:color w:val="auto"/>
          <w:sz w:val="21"/>
          <w:szCs w:val="21"/>
          <w:highlight w:val="none"/>
        </w:rPr>
        <w:t>）施工阶段：</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hAnsi="宋体" w:cs="宋体"/>
          <w:color w:val="auto"/>
          <w:sz w:val="21"/>
          <w:szCs w:val="21"/>
          <w:highlight w:val="none"/>
        </w:rPr>
        <w:t>初步</w:t>
      </w:r>
      <w:r>
        <w:rPr>
          <w:rFonts w:hint="eastAsia" w:hAnsi="宋体" w:eastAsia="宋体" w:cs="宋体"/>
          <w:color w:val="auto"/>
          <w:sz w:val="21"/>
          <w:szCs w:val="21"/>
          <w:highlight w:val="none"/>
        </w:rPr>
        <w:t>施工图预算确认后，从</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rPr>
        <w:t>支付预算编制阶段费用后按季向咨询单位支付咨询服务酬金，本项目每季酬金=【基本酬金（以</w:t>
      </w:r>
      <w:r>
        <w:rPr>
          <w:rFonts w:hint="eastAsia" w:hAnsi="宋体" w:cs="宋体"/>
          <w:color w:val="auto"/>
          <w:sz w:val="21"/>
          <w:szCs w:val="21"/>
          <w:highlight w:val="none"/>
        </w:rPr>
        <w:t>初步</w:t>
      </w:r>
      <w:r>
        <w:rPr>
          <w:rFonts w:hint="eastAsia" w:hAnsi="宋体" w:eastAsia="宋体" w:cs="宋体"/>
          <w:color w:val="auto"/>
          <w:sz w:val="21"/>
          <w:szCs w:val="21"/>
          <w:highlight w:val="none"/>
        </w:rPr>
        <w:t>施工图预算作为收费基数计算的咨询服务费总价*6%的80%）+浮动酬金（以</w:t>
      </w:r>
      <w:r>
        <w:rPr>
          <w:rFonts w:hint="eastAsia" w:hAnsi="宋体" w:cs="宋体"/>
          <w:color w:val="auto"/>
          <w:sz w:val="21"/>
          <w:szCs w:val="21"/>
          <w:highlight w:val="none"/>
        </w:rPr>
        <w:t>初步</w:t>
      </w:r>
      <w:r>
        <w:rPr>
          <w:rFonts w:hint="eastAsia" w:hAnsi="宋体" w:eastAsia="宋体" w:cs="宋体"/>
          <w:color w:val="auto"/>
          <w:sz w:val="21"/>
          <w:szCs w:val="21"/>
          <w:highlight w:val="none"/>
        </w:rPr>
        <w:t>施工图预算作为收费基数计算的咨询服务费总价*6%的20%）</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lang w:val="en-US" w:eastAsia="zh-CN"/>
        </w:rPr>
        <w:t>已签批的支付给驻场咨询人员的奖励金</w:t>
      </w:r>
      <w:r>
        <w:rPr>
          <w:rFonts w:hint="eastAsia" w:hAnsi="宋体" w:eastAsia="宋体" w:cs="宋体"/>
          <w:color w:val="auto"/>
          <w:sz w:val="21"/>
          <w:szCs w:val="21"/>
          <w:highlight w:val="none"/>
        </w:rPr>
        <w:t>）】，累计支付至以经</w:t>
      </w:r>
      <w:r>
        <w:rPr>
          <w:rFonts w:hint="eastAsia" w:hAnsi="宋体" w:cs="宋体"/>
          <w:color w:val="auto"/>
          <w:sz w:val="21"/>
          <w:szCs w:val="21"/>
          <w:highlight w:val="none"/>
        </w:rPr>
        <w:t>委托人</w:t>
      </w:r>
      <w:r>
        <w:rPr>
          <w:rFonts w:hint="eastAsia" w:hAnsi="宋体" w:eastAsia="宋体" w:cs="宋体"/>
          <w:color w:val="auto"/>
          <w:sz w:val="21"/>
          <w:szCs w:val="21"/>
          <w:highlight w:val="none"/>
        </w:rPr>
        <w:t>审核确定的累计工程预算价计算的咨询服务费总价的70%后，不再支付。</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w:t>
      </w:r>
      <w:r>
        <w:rPr>
          <w:rFonts w:hint="eastAsia" w:hAnsi="宋体" w:cs="宋体"/>
          <w:color w:val="auto"/>
          <w:sz w:val="21"/>
          <w:szCs w:val="21"/>
          <w:highlight w:val="none"/>
        </w:rPr>
        <w:t xml:space="preserve"> </w:t>
      </w:r>
      <w:r>
        <w:rPr>
          <w:rFonts w:hint="eastAsia" w:hAnsi="宋体" w:cs="宋体"/>
          <w:color w:val="auto"/>
          <w:kern w:val="2"/>
          <w:highlight w:val="none"/>
        </w:rPr>
        <w:t>工程竣工验收合格且最终施工图预算确认</w:t>
      </w:r>
      <w:r>
        <w:rPr>
          <w:rFonts w:hint="eastAsia" w:hAnsi="宋体" w:eastAsia="宋体" w:cs="宋体"/>
          <w:color w:val="auto"/>
          <w:sz w:val="21"/>
          <w:szCs w:val="21"/>
          <w:highlight w:val="none"/>
        </w:rPr>
        <w:t>，并经</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确认后30个日历天内，</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rPr>
        <w:t>向</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支付基本酬金（以累计工程预算价</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下浮前</w:t>
      </w:r>
      <w:r>
        <w:rPr>
          <w:rFonts w:hint="eastAsia" w:hAnsi="宋体" w:eastAsia="宋体" w:cs="宋体"/>
          <w:color w:val="auto"/>
          <w:sz w:val="21"/>
          <w:szCs w:val="21"/>
          <w:highlight w:val="none"/>
          <w:lang w:eastAsia="zh-CN"/>
        </w:rPr>
        <w:t>）为收费基数计算的咨询服务费总价</w:t>
      </w:r>
      <w:r>
        <w:rPr>
          <w:rFonts w:hint="eastAsia" w:hAnsi="宋体" w:eastAsia="宋体" w:cs="宋体"/>
          <w:color w:val="auto"/>
          <w:sz w:val="21"/>
          <w:szCs w:val="21"/>
          <w:highlight w:val="none"/>
        </w:rPr>
        <w:t>*15%的80%）+浮动酬金（以累计工程预算价</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下浮前</w:t>
      </w:r>
      <w:r>
        <w:rPr>
          <w:rFonts w:hint="eastAsia" w:hAnsi="宋体" w:eastAsia="宋体" w:cs="宋体"/>
          <w:color w:val="auto"/>
          <w:sz w:val="21"/>
          <w:szCs w:val="21"/>
          <w:highlight w:val="none"/>
          <w:lang w:eastAsia="zh-CN"/>
        </w:rPr>
        <w:t>）为收费基数计算的咨询服务费总价</w:t>
      </w:r>
      <w:r>
        <w:rPr>
          <w:rFonts w:hint="eastAsia" w:hAnsi="宋体" w:eastAsia="宋体" w:cs="宋体"/>
          <w:color w:val="auto"/>
          <w:sz w:val="21"/>
          <w:szCs w:val="21"/>
          <w:highlight w:val="none"/>
        </w:rPr>
        <w:t>*15%的20%为基数计算*咨询考核表评价分数对应的计费系数</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lang w:val="en-US" w:eastAsia="zh-CN"/>
        </w:rPr>
        <w:t>已签批的支付给驻场咨询人员的奖励金</w:t>
      </w:r>
      <w:r>
        <w:rPr>
          <w:rFonts w:hint="eastAsia" w:hAnsi="宋体" w:eastAsia="宋体" w:cs="宋体"/>
          <w:color w:val="auto"/>
          <w:sz w:val="21"/>
          <w:szCs w:val="21"/>
          <w:highlight w:val="none"/>
        </w:rPr>
        <w:t>））；</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（五）结算阶段：本合同约定的全部服务内容完成，</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提交完整合格结算资料及后评估资料并经</w:t>
      </w:r>
      <w:r>
        <w:rPr>
          <w:rFonts w:hint="eastAsia" w:hAnsi="宋体" w:cs="宋体"/>
          <w:color w:val="auto"/>
          <w:sz w:val="21"/>
          <w:szCs w:val="21"/>
          <w:highlight w:val="none"/>
          <w:lang w:val="en-US" w:eastAsia="zh-CN"/>
        </w:rPr>
        <w:t>甲乙双方</w:t>
      </w:r>
      <w:r>
        <w:rPr>
          <w:rFonts w:hint="eastAsia" w:hAnsi="宋体" w:eastAsia="宋体" w:cs="宋体"/>
          <w:color w:val="auto"/>
          <w:sz w:val="21"/>
          <w:szCs w:val="21"/>
          <w:highlight w:val="none"/>
        </w:rPr>
        <w:t>确认结算金额且</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提供发票金额至结算金额后30个日历天内，</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rPr>
        <w:t>向</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支付至咨询服务费结算价的95%。</w:t>
      </w:r>
    </w:p>
    <w:p>
      <w:pPr>
        <w:pStyle w:val="10"/>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（六）本咨询合同结算满一年后，若无合同约定的扣除违约金、赔偿金等情形的，</w:t>
      </w:r>
      <w:r>
        <w:rPr>
          <w:rFonts w:hint="eastAsia" w:hAnsi="宋体" w:cs="宋体"/>
          <w:color w:val="auto"/>
          <w:sz w:val="21"/>
          <w:szCs w:val="21"/>
          <w:highlight w:val="none"/>
          <w:lang w:val="en-US" w:eastAsia="zh-CN"/>
        </w:rPr>
        <w:t>甲方</w:t>
      </w:r>
      <w:r>
        <w:rPr>
          <w:rFonts w:hint="eastAsia" w:hAnsi="宋体" w:eastAsia="宋体" w:cs="宋体"/>
          <w:color w:val="auto"/>
          <w:sz w:val="21"/>
          <w:szCs w:val="21"/>
          <w:highlight w:val="none"/>
        </w:rPr>
        <w:t>向</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支付咨询服务费结算价剩余5%，否则支付扣除相应违约金、赔偿金等金额后的剩余金额，结算价剩余金额不计息</w:t>
      </w:r>
      <w:r>
        <w:rPr>
          <w:rFonts w:hint="eastAsia" w:hAnsi="宋体" w:eastAsia="宋体" w:cs="宋体"/>
          <w:color w:val="auto"/>
          <w:sz w:val="21"/>
          <w:szCs w:val="21"/>
          <w:highlight w:val="none"/>
          <w:lang w:val="en-US" w:eastAsia="zh-CN"/>
        </w:rPr>
        <w:t>。</w:t>
      </w:r>
    </w:p>
    <w:p>
      <w:pPr>
        <w:spacing w:line="360" w:lineRule="auto"/>
        <w:ind w:firstLine="420" w:firstLineChars="200"/>
        <w:rPr>
          <w:rFonts w:hint="eastAsia" w:hAnsi="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七</w:t>
      </w:r>
      <w:r>
        <w:rPr>
          <w:rFonts w:hint="eastAsia" w:hAnsi="宋体" w:eastAsia="宋体" w:cs="宋体"/>
          <w:color w:val="auto"/>
          <w:sz w:val="21"/>
          <w:szCs w:val="21"/>
          <w:highlight w:val="none"/>
        </w:rPr>
        <w:t>）按照现行税收政策规定，每次付款前，</w:t>
      </w:r>
      <w:r>
        <w:rPr>
          <w:rFonts w:hint="eastAsia" w:hAnsi="宋体" w:cs="宋体"/>
          <w:color w:val="auto"/>
          <w:sz w:val="21"/>
          <w:szCs w:val="21"/>
          <w:highlight w:val="none"/>
          <w:lang w:eastAsia="zh-CN"/>
        </w:rPr>
        <w:t>乙方</w:t>
      </w:r>
      <w:r>
        <w:rPr>
          <w:rFonts w:hint="eastAsia" w:hAnsi="宋体" w:eastAsia="宋体" w:cs="宋体"/>
          <w:color w:val="auto"/>
          <w:sz w:val="21"/>
          <w:szCs w:val="21"/>
          <w:highlight w:val="none"/>
        </w:rPr>
        <w:t>必须提供合法、有效、与本合同总价款条款中增值税税率一致的增值税专用发票给</w:t>
      </w:r>
      <w:r>
        <w:rPr>
          <w:rFonts w:hint="eastAsia" w:hAnsi="宋体" w:eastAsia="宋体" w:cs="宋体"/>
          <w:color w:val="auto"/>
          <w:sz w:val="21"/>
          <w:szCs w:val="21"/>
          <w:highlight w:val="none"/>
          <w:lang w:val="en-US" w:eastAsia="zh-CN"/>
        </w:rPr>
        <w:t>甲方</w:t>
      </w:r>
      <w:r>
        <w:rPr>
          <w:rFonts w:hint="eastAsia" w:hAnsi="宋体" w:eastAsia="宋体" w:cs="宋体"/>
          <w:color w:val="auto"/>
          <w:sz w:val="21"/>
          <w:szCs w:val="21"/>
          <w:highlight w:val="none"/>
        </w:rPr>
        <w:t>，否则</w:t>
      </w:r>
      <w:r>
        <w:rPr>
          <w:rFonts w:hint="eastAsia" w:hAnsi="宋体" w:eastAsia="宋体" w:cs="宋体"/>
          <w:color w:val="auto"/>
          <w:sz w:val="21"/>
          <w:szCs w:val="21"/>
          <w:highlight w:val="none"/>
          <w:lang w:val="en-US" w:eastAsia="zh-CN"/>
        </w:rPr>
        <w:t>甲方有权</w:t>
      </w:r>
      <w:r>
        <w:rPr>
          <w:rFonts w:hint="eastAsia" w:hAnsi="宋体" w:eastAsia="宋体" w:cs="宋体"/>
          <w:color w:val="auto"/>
          <w:sz w:val="21"/>
          <w:szCs w:val="21"/>
          <w:highlight w:val="none"/>
        </w:rPr>
        <w:t>拒绝付款且不构成违约。若合同执行期间，遇国家税务政策调整所引起的合同价格变化，按照不含税价格调整结算价格。</w:t>
      </w:r>
      <w:r>
        <w:rPr>
          <w:rFonts w:hint="eastAsia" w:hAnsi="宋体" w:cs="宋体"/>
          <w:color w:val="auto"/>
          <w:sz w:val="21"/>
          <w:szCs w:val="21"/>
          <w:highlight w:val="none"/>
          <w:lang w:eastAsia="zh-CN"/>
        </w:rPr>
        <w:t>甲方</w:t>
      </w:r>
      <w:r>
        <w:rPr>
          <w:rFonts w:hint="eastAsia" w:hAnsi="宋体" w:eastAsia="宋体" w:cs="宋体"/>
          <w:color w:val="auto"/>
          <w:sz w:val="21"/>
          <w:szCs w:val="21"/>
          <w:highlight w:val="none"/>
        </w:rPr>
        <w:t>收到发票和其他请款资料并核对无误后，30个日历天内以银行转账方式付款。</w:t>
      </w:r>
      <w:r>
        <w:rPr>
          <w:rFonts w:hint="eastAsia" w:hAnsi="宋体" w:cs="宋体"/>
          <w:color w:val="auto"/>
          <w:sz w:val="21"/>
          <w:szCs w:val="21"/>
          <w:highlight w:val="none"/>
        </w:rPr>
        <w:t>乙方收款账户信息如下：</w:t>
      </w:r>
    </w:p>
    <w:p>
      <w:pPr>
        <w:spacing w:line="36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rPr>
        <w:t>户名：</w:t>
      </w:r>
      <w:r>
        <w:rPr>
          <w:rFonts w:hint="eastAsia" w:hAnsi="宋体" w:cs="宋体"/>
          <w:color w:val="auto"/>
          <w:sz w:val="21"/>
          <w:szCs w:val="21"/>
          <w:highlight w:val="none"/>
          <w:lang w:val="en-US" w:eastAsia="zh-CN"/>
        </w:rPr>
        <w:t xml:space="preserve"> </w:t>
      </w:r>
    </w:p>
    <w:p>
      <w:pPr>
        <w:spacing w:line="360" w:lineRule="auto"/>
        <w:ind w:firstLine="420" w:firstLineChars="200"/>
        <w:rPr>
          <w:rFonts w:hint="eastAsia" w:hAnsi="宋体" w:eastAsia="宋体" w:cs="宋体"/>
          <w:color w:val="auto"/>
          <w:sz w:val="21"/>
          <w:szCs w:val="21"/>
          <w:highlight w:val="none"/>
          <w:lang w:eastAsia="zh-CN"/>
        </w:rPr>
      </w:pPr>
      <w:r>
        <w:rPr>
          <w:rFonts w:hint="eastAsia" w:hAnsi="宋体" w:cs="宋体"/>
          <w:color w:val="auto"/>
          <w:sz w:val="21"/>
          <w:szCs w:val="21"/>
          <w:highlight w:val="none"/>
        </w:rPr>
        <w:t>银行：</w:t>
      </w:r>
      <w:r>
        <w:rPr>
          <w:rFonts w:hint="eastAsia" w:hAnsi="宋体" w:cs="宋体"/>
          <w:color w:val="auto"/>
          <w:sz w:val="21"/>
          <w:szCs w:val="21"/>
          <w:highlight w:val="none"/>
          <w:lang w:val="en-US" w:eastAsia="zh-CN"/>
        </w:rPr>
        <w:t xml:space="preserve">  </w:t>
      </w:r>
    </w:p>
    <w:p>
      <w:pPr>
        <w:spacing w:line="360" w:lineRule="auto"/>
        <w:ind w:firstLine="420" w:firstLineChars="200"/>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账号：</w:t>
      </w:r>
      <w:r>
        <w:rPr>
          <w:rFonts w:hint="eastAsia" w:hAnsi="宋体" w:cs="宋体"/>
          <w:color w:val="auto"/>
          <w:sz w:val="21"/>
          <w:szCs w:val="21"/>
          <w:highlight w:val="none"/>
          <w:lang w:val="en-US" w:eastAsia="zh-CN"/>
        </w:rPr>
        <w:t xml:space="preserve"> </w:t>
      </w:r>
    </w:p>
    <w:p>
      <w:pPr>
        <w:spacing w:line="360" w:lineRule="auto"/>
        <w:ind w:left="-2" w:leftChars="-1"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八</w:t>
      </w:r>
      <w:r>
        <w:rPr>
          <w:rFonts w:hint="eastAsia" w:hAnsi="宋体" w:cs="宋体"/>
          <w:color w:val="auto"/>
          <w:sz w:val="21"/>
          <w:szCs w:val="21"/>
          <w:highlight w:val="none"/>
        </w:rPr>
        <w:t>）履约担保</w:t>
      </w:r>
    </w:p>
    <w:p>
      <w:pPr>
        <w:numPr>
          <w:ilvl w:val="0"/>
          <w:numId w:val="0"/>
        </w:numPr>
        <w:spacing w:line="360" w:lineRule="auto"/>
        <w:ind w:left="418" w:leftChars="199" w:firstLine="0" w:firstLineChars="0"/>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乙方领取中标通知书后，应向甲方提交履约担保，履约担保金额为本合同</w:t>
      </w:r>
      <w:r>
        <w:rPr>
          <w:rFonts w:hint="eastAsia" w:hAnsi="宋体" w:cs="宋体"/>
          <w:color w:val="auto"/>
          <w:sz w:val="21"/>
          <w:szCs w:val="18"/>
          <w:highlight w:val="none"/>
        </w:rPr>
        <w:t>咨询酬金暂定价款</w:t>
      </w:r>
      <w:r>
        <w:rPr>
          <w:rFonts w:hint="eastAsia" w:hAnsi="宋体" w:cs="宋体"/>
          <w:color w:val="auto"/>
          <w:sz w:val="21"/>
          <w:szCs w:val="21"/>
          <w:highlight w:val="none"/>
        </w:rPr>
        <w:t>的10%</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乙方可采用直接支付履约担保金或开具履约保函的形式提供履约担保。</w:t>
      </w:r>
      <w:r>
        <w:rPr>
          <w:rFonts w:hint="eastAsia" w:hAnsi="宋体" w:cs="宋体"/>
          <w:color w:val="auto"/>
          <w:sz w:val="21"/>
          <w:szCs w:val="21"/>
          <w:highlight w:val="none"/>
        </w:rPr>
        <w:t>如果乙方提交的履约保函的有效期先于合同要求的履约保函有效期到达，乙方应在原提交的履约保函有效期满前15天，无条件办理保函延期手续。否则，视乙方违约，甲方可在保函到期前将保函金额转为现金存入履约保证金账户。</w:t>
      </w:r>
    </w:p>
    <w:p>
      <w:pPr>
        <w:spacing w:line="360" w:lineRule="auto"/>
        <w:ind w:left="59" w:leftChars="28" w:firstLine="420" w:firstLineChars="200"/>
        <w:rPr>
          <w:rFonts w:hint="eastAsia" w:hAnsi="宋体" w:cs="宋体"/>
          <w:b/>
          <w:bCs/>
          <w:color w:val="auto"/>
          <w:sz w:val="21"/>
          <w:szCs w:val="21"/>
          <w:highlight w:val="none"/>
        </w:rPr>
      </w:pPr>
      <w:r>
        <w:rPr>
          <w:rFonts w:hint="eastAsia" w:hAnsi="宋体" w:cs="宋体"/>
          <w:color w:val="auto"/>
          <w:sz w:val="21"/>
          <w:szCs w:val="21"/>
          <w:highlight w:val="none"/>
          <w:lang w:val="en-US" w:eastAsia="zh-CN"/>
        </w:rPr>
        <w:t>2、</w:t>
      </w:r>
      <w:r>
        <w:rPr>
          <w:rFonts w:hint="eastAsia" w:hAnsi="宋体"/>
          <w:bCs/>
          <w:color w:val="auto"/>
          <w:kern w:val="2"/>
          <w:sz w:val="21"/>
          <w:szCs w:val="21"/>
          <w:highlight w:val="none"/>
        </w:rPr>
        <w:t>履约担保期限从合同签订之日起至项目结算完毕后，经双方签字</w:t>
      </w:r>
      <w:r>
        <w:rPr>
          <w:rFonts w:hint="eastAsia" w:hAnsi="宋体"/>
          <w:bCs/>
          <w:color w:val="auto"/>
          <w:kern w:val="2"/>
          <w:sz w:val="21"/>
          <w:szCs w:val="21"/>
          <w:highlight w:val="none"/>
          <w:lang w:val="en-US" w:eastAsia="zh-CN"/>
        </w:rPr>
        <w:t>30</w:t>
      </w:r>
      <w:r>
        <w:rPr>
          <w:rFonts w:hint="eastAsia" w:hAnsi="宋体"/>
          <w:bCs/>
          <w:color w:val="auto"/>
          <w:kern w:val="2"/>
          <w:sz w:val="21"/>
          <w:szCs w:val="21"/>
          <w:highlight w:val="none"/>
        </w:rPr>
        <w:t>天内保持有效。</w:t>
      </w:r>
    </w:p>
    <w:p>
      <w:pPr>
        <w:spacing w:line="360" w:lineRule="auto"/>
        <w:ind w:left="59" w:leftChars="28"/>
        <w:rPr>
          <w:rFonts w:hint="eastAsia" w:hAnsi="宋体" w:cs="宋体"/>
          <w:b/>
          <w:bCs/>
          <w:color w:val="auto"/>
          <w:sz w:val="21"/>
          <w:szCs w:val="21"/>
          <w:highlight w:val="none"/>
        </w:rPr>
      </w:pPr>
      <w:r>
        <w:rPr>
          <w:rFonts w:hint="eastAsia" w:hAnsi="宋体" w:cs="宋体"/>
          <w:b/>
          <w:bCs/>
          <w:color w:val="auto"/>
          <w:sz w:val="21"/>
          <w:szCs w:val="21"/>
          <w:highlight w:val="none"/>
        </w:rPr>
        <w:t>第十三条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违约责任</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 甲方违约责任</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1.1甲方不能按约定时间提供施工图纸、相关资料或对乙方问题进行书面答复的，由此，造成时间延长的由甲方负责，完成时间顺延。</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（二）乙方违约责任</w:t>
      </w:r>
    </w:p>
    <w:p>
      <w:pPr>
        <w:widowControl/>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2.1乙方需为本工程项目组配备固定的专职成本人员，以保证在合同生效期间能按时高质完成甲方委托的咨询业务，不得中途换人或因为其它原因而影响本合同咨询业务的正常进行。若乙方未能在要求的时间完成相关咨询工作或甲方发出工作指令并设定双方无异议的完成时限后，乙方未能按时完成的，乙方支付违约金每天 1000 元（预算核对及签证核对延误扣每天1000 元）。并且甲方有权将未完成项目重新委托发包，由此产生的额外费用在乙方的咨询服务费中扣除。</w:t>
      </w:r>
    </w:p>
    <w:p>
      <w:pPr>
        <w:pStyle w:val="19"/>
        <w:rPr>
          <w:rFonts w:hint="eastAsia" w:hAnsi="宋体"/>
          <w:color w:val="auto"/>
          <w:highlight w:val="none"/>
        </w:rPr>
      </w:pPr>
      <w:r>
        <w:rPr>
          <w:rFonts w:hint="eastAsia" w:hAnsi="宋体" w:cs="宋体"/>
          <w:color w:val="auto"/>
          <w:sz w:val="21"/>
          <w:szCs w:val="21"/>
          <w:highlight w:val="none"/>
        </w:rPr>
        <w:t xml:space="preserve">    2.2 因乙方原因导致成果文件有严重错误，并造成甲方直接经济损失的，乙方应承担赔偿责任。</w:t>
      </w:r>
    </w:p>
    <w:p>
      <w:pPr>
        <w:spacing w:line="360" w:lineRule="auto"/>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rPr>
        <w:t>第十四条</w:t>
      </w:r>
      <w:r>
        <w:rPr>
          <w:rFonts w:hint="eastAsia" w:hAnsi="宋体" w:cs="宋体"/>
          <w:b/>
          <w:bCs/>
          <w:color w:val="auto"/>
          <w:sz w:val="21"/>
          <w:szCs w:val="21"/>
          <w:highlight w:val="none"/>
          <w:lang w:val="en-US" w:eastAsia="zh-CN"/>
        </w:rPr>
        <w:t xml:space="preserve"> </w:t>
      </w:r>
    </w:p>
    <w:p>
      <w:pPr>
        <w:spacing w:line="360" w:lineRule="auto"/>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一</w:t>
      </w:r>
      <w:r>
        <w:rPr>
          <w:rFonts w:hint="eastAsia" w:hAnsi="宋体" w:cs="宋体"/>
          <w:color w:val="auto"/>
          <w:sz w:val="21"/>
          <w:szCs w:val="21"/>
          <w:highlight w:val="none"/>
          <w:lang w:eastAsia="zh-CN"/>
        </w:rPr>
        <w:t>）</w:t>
      </w:r>
      <w:r>
        <w:rPr>
          <w:rFonts w:hint="eastAsia" w:hAnsi="宋体" w:cs="宋体"/>
          <w:color w:val="auto"/>
          <w:sz w:val="21"/>
          <w:szCs w:val="21"/>
          <w:highlight w:val="none"/>
        </w:rPr>
        <w:t>甲乙双方一致同意，在本项目实际开发主体（即项目公司）设立后，由项目公司承接甲方在本合同项下的全部权利义务，三方另行签署权利义务转让协议。</w:t>
      </w:r>
    </w:p>
    <w:p>
      <w:pPr>
        <w:spacing w:line="36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（二）因政策或其他客观原因导致本项目无法正常开展的，</w:t>
      </w:r>
      <w:r>
        <w:rPr>
          <w:rFonts w:hint="eastAsia" w:hAnsi="宋体" w:cs="宋体"/>
          <w:color w:val="auto"/>
          <w:sz w:val="21"/>
          <w:szCs w:val="21"/>
          <w:highlight w:val="none"/>
        </w:rPr>
        <w:t>甲方</w:t>
      </w:r>
      <w:r>
        <w:rPr>
          <w:rFonts w:hint="eastAsia" w:hAnsi="宋体" w:cs="宋体"/>
          <w:color w:val="auto"/>
          <w:sz w:val="21"/>
          <w:szCs w:val="21"/>
          <w:highlight w:val="none"/>
          <w:lang w:val="en-US" w:eastAsia="zh-CN"/>
        </w:rPr>
        <w:t>可与</w:t>
      </w:r>
      <w:r>
        <w:rPr>
          <w:rFonts w:hint="eastAsia" w:hAnsi="宋体" w:cs="宋体"/>
          <w:color w:val="auto"/>
          <w:sz w:val="21"/>
          <w:szCs w:val="21"/>
          <w:highlight w:val="none"/>
        </w:rPr>
        <w:t>乙</w:t>
      </w:r>
      <w:r>
        <w:rPr>
          <w:rFonts w:hint="eastAsia" w:hAnsi="宋体" w:cs="宋体"/>
          <w:color w:val="auto"/>
          <w:sz w:val="21"/>
          <w:szCs w:val="21"/>
          <w:highlight w:val="none"/>
          <w:lang w:val="en-US" w:eastAsia="zh-CN"/>
        </w:rPr>
        <w:t>方友好协商终止本合同，双方互不追究缔约过失责任及违约责任。</w:t>
      </w:r>
    </w:p>
    <w:p>
      <w:pPr>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五</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合同组成文件</w:t>
      </w:r>
    </w:p>
    <w:p>
      <w:pPr>
        <w:spacing w:line="360" w:lineRule="auto"/>
        <w:ind w:left="199" w:leftChars="95" w:firstLine="210" w:firstLineChars="100"/>
        <w:rPr>
          <w:rFonts w:hint="eastAsia" w:hAnsi="宋体" w:cs="宋体"/>
          <w:color w:val="auto"/>
          <w:sz w:val="21"/>
          <w:szCs w:val="21"/>
          <w:highlight w:val="none"/>
        </w:rPr>
      </w:pPr>
      <w:r>
        <w:rPr>
          <w:rFonts w:hint="eastAsia" w:hAnsi="宋体" w:cs="宋体"/>
          <w:color w:val="auto"/>
          <w:sz w:val="21"/>
          <w:szCs w:val="21"/>
          <w:highlight w:val="none"/>
        </w:rPr>
        <w:t>（一）本合同文件及附件。</w:t>
      </w:r>
    </w:p>
    <w:p>
      <w:pPr>
        <w:spacing w:line="360" w:lineRule="auto"/>
        <w:ind w:left="199" w:leftChars="95" w:firstLine="210" w:firstLineChars="100"/>
        <w:rPr>
          <w:rFonts w:hint="eastAsia" w:hAnsi="宋体" w:cs="宋体"/>
          <w:color w:val="auto"/>
          <w:sz w:val="21"/>
          <w:szCs w:val="21"/>
          <w:highlight w:val="none"/>
        </w:rPr>
      </w:pPr>
      <w:r>
        <w:rPr>
          <w:rFonts w:hint="eastAsia" w:hAnsi="宋体" w:cs="宋体"/>
          <w:color w:val="auto"/>
          <w:sz w:val="21"/>
          <w:szCs w:val="21"/>
          <w:highlight w:val="none"/>
        </w:rPr>
        <w:t>（二）合同执行过程中双方往来的书面文件等。</w:t>
      </w:r>
    </w:p>
    <w:p>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六</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提供工程造价咨询服务期间，不得接受本项目承包单位的请吃、送礼或其他好处，不得向甲方工作人员提供请吃、送礼、旅游、行贿、给予回扣或其他好处。否则，乙方违反前列情形之一，将承担本合同总价的</w:t>
      </w:r>
      <w:r>
        <w:rPr>
          <w:rFonts w:hint="eastAsia" w:hAnsi="宋体" w:cs="宋体"/>
          <w:bCs/>
          <w:color w:val="auto"/>
          <w:sz w:val="21"/>
          <w:szCs w:val="21"/>
          <w:highlight w:val="none"/>
          <w:u w:val="single"/>
        </w:rPr>
        <w:t>10%</w:t>
      </w:r>
      <w:r>
        <w:rPr>
          <w:rFonts w:hint="eastAsia" w:hAnsi="宋体" w:cs="宋体"/>
          <w:bCs/>
          <w:color w:val="auto"/>
          <w:sz w:val="21"/>
          <w:szCs w:val="21"/>
          <w:highlight w:val="none"/>
        </w:rPr>
        <w:t>的</w:t>
      </w:r>
      <w:r>
        <w:rPr>
          <w:rFonts w:hint="eastAsia" w:hAnsi="宋体" w:cs="宋体"/>
          <w:color w:val="auto"/>
          <w:sz w:val="21"/>
          <w:szCs w:val="21"/>
          <w:highlight w:val="none"/>
        </w:rPr>
        <w:t>违约金，造成损失的，应予全部赔偿，最高赔偿金额不超过本合同咨询服务费总额。</w:t>
      </w:r>
    </w:p>
    <w:p>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七</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本合同未尽事宜按住建部、</w:t>
      </w:r>
      <w:r>
        <w:rPr>
          <w:rFonts w:hint="eastAsia" w:hAnsi="宋体" w:cs="宋体"/>
          <w:color w:val="auto"/>
          <w:sz w:val="21"/>
          <w:szCs w:val="21"/>
          <w:highlight w:val="none"/>
          <w:u w:val="single"/>
        </w:rPr>
        <w:t>广东</w:t>
      </w:r>
      <w:r>
        <w:rPr>
          <w:rFonts w:hint="eastAsia" w:hAnsi="宋体" w:cs="宋体"/>
          <w:color w:val="auto"/>
          <w:sz w:val="21"/>
          <w:szCs w:val="21"/>
          <w:highlight w:val="none"/>
        </w:rPr>
        <w:t>省住建厅和</w:t>
      </w:r>
      <w:r>
        <w:rPr>
          <w:rFonts w:hint="eastAsia" w:hAnsi="宋体" w:cs="宋体"/>
          <w:color w:val="auto"/>
          <w:sz w:val="21"/>
          <w:szCs w:val="21"/>
          <w:highlight w:val="none"/>
          <w:u w:val="single"/>
        </w:rPr>
        <w:t>东莞</w:t>
      </w:r>
      <w:r>
        <w:rPr>
          <w:rFonts w:hint="eastAsia" w:hAnsi="宋体" w:cs="宋体"/>
          <w:color w:val="auto"/>
          <w:sz w:val="21"/>
          <w:szCs w:val="21"/>
          <w:highlight w:val="none"/>
        </w:rPr>
        <w:t>市住建局有关规定，双方协商解决，并另行签订补充协议。补充协议与本合同具有同等法律效力。</w:t>
      </w:r>
    </w:p>
    <w:p>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八</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合同履行过程中，双方须本着互相理解互相支持的原则，及时沟通配合；若有产生纠纷，须友好协商解决；若协商解决不成时，均可向项目所在地有管辖权的人民法院提起诉讼。</w:t>
      </w:r>
    </w:p>
    <w:p>
      <w:pPr>
        <w:spacing w:line="360" w:lineRule="auto"/>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rPr>
        <w:t>第</w:t>
      </w:r>
      <w:r>
        <w:rPr>
          <w:rFonts w:hint="eastAsia" w:hAnsi="宋体" w:cs="宋体"/>
          <w:b/>
          <w:bCs/>
          <w:color w:val="auto"/>
          <w:sz w:val="21"/>
          <w:szCs w:val="21"/>
          <w:highlight w:val="none"/>
          <w:lang w:val="en-US" w:eastAsia="zh-CN"/>
        </w:rPr>
        <w:t>十九</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双方各自指定履行本合同的联系人，一方资料、文件之交接及意见之传达、接收均通过联系人进行。</w:t>
      </w:r>
    </w:p>
    <w:p>
      <w:pPr>
        <w:spacing w:line="360" w:lineRule="auto"/>
        <w:ind w:firstLine="420" w:firstLineChars="200"/>
        <w:rPr>
          <w:rFonts w:hint="eastAsia"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甲方指定联系人：                                                          </w:t>
      </w:r>
      <w:r>
        <w:rPr>
          <w:rFonts w:hint="eastAsia" w:cs="Times New Roman"/>
          <w:color w:val="auto"/>
          <w:szCs w:val="21"/>
          <w:highlight w:val="none"/>
          <w:lang w:val="en-US" w:eastAsia="zh-CN"/>
        </w:rPr>
        <w:t xml:space="preserve"> </w:t>
      </w:r>
    </w:p>
    <w:p>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姓    名：_____________________________________________________</w:t>
      </w:r>
    </w:p>
    <w:p>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联系电话：_____________________________________________________</w:t>
      </w:r>
    </w:p>
    <w:p>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电子邮箱：_____________________________________________________</w:t>
      </w:r>
    </w:p>
    <w:p>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通讯地址：____________________________________________________ </w:t>
      </w:r>
    </w:p>
    <w:p>
      <w:pPr>
        <w:spacing w:line="360" w:lineRule="auto"/>
        <w:rPr>
          <w:rFonts w:hint="default" w:ascii="Times New Roman" w:hAnsi="Times New Roman" w:eastAsia="宋体" w:cs="Times New Roman"/>
          <w:color w:val="auto"/>
          <w:szCs w:val="21"/>
          <w:highlight w:val="none"/>
          <w:u w:val="single"/>
          <w:lang w:val="en-US" w:eastAsia="zh-CN"/>
        </w:rPr>
      </w:pPr>
      <w:r>
        <w:rPr>
          <w:rFonts w:hint="eastAsia" w:cs="Times New Roman"/>
          <w:color w:val="auto"/>
          <w:szCs w:val="21"/>
          <w:highlight w:val="none"/>
          <w:lang w:val="en-US" w:eastAsia="zh-CN"/>
        </w:rPr>
        <w:t xml:space="preserve">    甲方单位咨询电话：</w:t>
      </w:r>
      <w:r>
        <w:rPr>
          <w:rFonts w:hint="eastAsia" w:cs="Times New Roman"/>
          <w:color w:val="auto"/>
          <w:szCs w:val="21"/>
          <w:highlight w:val="none"/>
          <w:u w:val="single"/>
          <w:lang w:val="en-US" w:eastAsia="zh-CN"/>
        </w:rPr>
        <w:t xml:space="preserve">                                             </w:t>
      </w:r>
    </w:p>
    <w:p>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乙方指定联系人：                                                          </w:t>
      </w:r>
    </w:p>
    <w:p>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姓    名：_____________________________________________________</w:t>
      </w:r>
    </w:p>
    <w:p>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联系电话：_____________________________________________________</w:t>
      </w:r>
    </w:p>
    <w:p>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电子邮箱：_____________________________________________________</w:t>
      </w:r>
    </w:p>
    <w:p>
      <w:pPr>
        <w:spacing w:line="360" w:lineRule="auto"/>
        <w:ind w:firstLine="420" w:firstLineChars="200"/>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通讯地址：_____________________________________________________</w:t>
      </w:r>
    </w:p>
    <w:p>
      <w:pPr>
        <w:spacing w:line="360" w:lineRule="auto"/>
        <w:rPr>
          <w:rFonts w:hint="eastAsia" w:hAnsi="宋体" w:cs="宋体"/>
          <w:color w:val="auto"/>
          <w:sz w:val="21"/>
          <w:szCs w:val="21"/>
          <w:highlight w:val="none"/>
        </w:rPr>
      </w:pPr>
    </w:p>
    <w:p>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w:t>
      </w:r>
      <w:r>
        <w:rPr>
          <w:rFonts w:hint="eastAsia" w:hAnsi="宋体" w:cs="宋体"/>
          <w:b/>
          <w:bCs/>
          <w:color w:val="auto"/>
          <w:sz w:val="21"/>
          <w:szCs w:val="21"/>
          <w:highlight w:val="none"/>
          <w:lang w:val="en-US" w:eastAsia="zh-CN"/>
        </w:rPr>
        <w:t>二十</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本合同自双方签订之日起生效。本合同壹式</w:t>
      </w:r>
      <w:r>
        <w:rPr>
          <w:rFonts w:hint="eastAsia" w:hAnsi="宋体" w:cs="宋体"/>
          <w:bCs/>
          <w:color w:val="auto"/>
          <w:sz w:val="21"/>
          <w:szCs w:val="21"/>
          <w:highlight w:val="none"/>
          <w:u w:val="single"/>
        </w:rPr>
        <w:t>陆</w:t>
      </w:r>
      <w:r>
        <w:rPr>
          <w:rFonts w:hint="eastAsia" w:hAnsi="宋体" w:cs="宋体"/>
          <w:color w:val="auto"/>
          <w:sz w:val="21"/>
          <w:szCs w:val="21"/>
          <w:highlight w:val="none"/>
        </w:rPr>
        <w:t>份，甲方执</w:t>
      </w:r>
      <w:r>
        <w:rPr>
          <w:rFonts w:hint="eastAsia" w:hAnsi="宋体" w:cs="宋体"/>
          <w:bCs/>
          <w:color w:val="auto"/>
          <w:sz w:val="21"/>
          <w:szCs w:val="21"/>
          <w:highlight w:val="none"/>
          <w:u w:val="single"/>
        </w:rPr>
        <w:t>肆</w:t>
      </w:r>
      <w:r>
        <w:rPr>
          <w:rFonts w:hint="eastAsia" w:hAnsi="宋体" w:cs="宋体"/>
          <w:color w:val="auto"/>
          <w:sz w:val="21"/>
          <w:szCs w:val="21"/>
          <w:highlight w:val="none"/>
        </w:rPr>
        <w:t>份，乙方执</w:t>
      </w:r>
      <w:r>
        <w:rPr>
          <w:rFonts w:hint="eastAsia" w:hAnsi="宋体" w:cs="宋体"/>
          <w:bCs/>
          <w:color w:val="auto"/>
          <w:sz w:val="21"/>
          <w:szCs w:val="21"/>
          <w:highlight w:val="none"/>
          <w:u w:val="single"/>
        </w:rPr>
        <w:t>贰</w:t>
      </w:r>
      <w:r>
        <w:rPr>
          <w:rFonts w:hint="eastAsia" w:hAnsi="宋体" w:cs="宋体"/>
          <w:color w:val="auto"/>
          <w:sz w:val="21"/>
          <w:szCs w:val="21"/>
          <w:highlight w:val="none"/>
        </w:rPr>
        <w:t>份，具同等法律效力。</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附件1：《阳光合作协议》</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附件2：《项目保密承诺书》</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附件3：《投入本合同下项目服务人员配置一览表》</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附件4：《广东省建设工程造价咨询服务收费项目和收费标准表》</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附件5：工程造价咨询委托单</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附件6：东实集团及下属单位工程建设项目造价编制工作手册</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附件7：履约保证金或履约保函缴纳凭证复印件</w:t>
      </w:r>
    </w:p>
    <w:p>
      <w:pPr>
        <w:spacing w:line="360" w:lineRule="auto"/>
        <w:ind w:firstLine="420" w:firstLineChars="200"/>
        <w:rPr>
          <w:rFonts w:hint="default" w:hAnsi="宋体" w:cs="宋体"/>
          <w:b w:val="0"/>
          <w:bCs/>
          <w:color w:val="auto"/>
          <w:sz w:val="21"/>
          <w:szCs w:val="21"/>
          <w:highlight w:val="none"/>
          <w:lang w:val="en-US"/>
        </w:rPr>
      </w:pPr>
      <w:r>
        <w:rPr>
          <w:rFonts w:hint="eastAsia" w:hAnsi="宋体"/>
          <w:b w:val="0"/>
          <w:bCs/>
          <w:color w:val="auto"/>
          <w:sz w:val="21"/>
          <w:szCs w:val="21"/>
          <w:highlight w:val="none"/>
        </w:rPr>
        <w:t>附件8：</w:t>
      </w:r>
      <w:r>
        <w:rPr>
          <w:rFonts w:hint="eastAsia" w:hAnsi="宋体"/>
          <w:b w:val="0"/>
          <w:bCs/>
          <w:color w:val="auto"/>
          <w:sz w:val="21"/>
          <w:szCs w:val="21"/>
          <w:highlight w:val="none"/>
          <w:lang w:val="en-US" w:eastAsia="zh-CN"/>
        </w:rPr>
        <w:t>法人身份证及营业执照</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w:t>
      </w:r>
      <w:r>
        <w:rPr>
          <w:rFonts w:hAnsi="宋体" w:cs="宋体"/>
          <w:color w:val="auto"/>
          <w:sz w:val="21"/>
          <w:szCs w:val="21"/>
          <w:highlight w:val="none"/>
        </w:rPr>
        <w:t>9：</w:t>
      </w:r>
      <w:r>
        <w:rPr>
          <w:rFonts w:hint="eastAsia" w:hAnsi="宋体" w:cs="宋体"/>
          <w:color w:val="auto"/>
          <w:sz w:val="21"/>
          <w:szCs w:val="21"/>
          <w:highlight w:val="none"/>
        </w:rPr>
        <w:t>中标通知书</w:t>
      </w:r>
    </w:p>
    <w:p>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附件</w:t>
      </w:r>
      <w:r>
        <w:rPr>
          <w:rFonts w:hint="eastAsia" w:hAnsi="宋体" w:cs="宋体"/>
          <w:color w:val="auto"/>
          <w:sz w:val="21"/>
          <w:szCs w:val="21"/>
          <w:highlight w:val="none"/>
        </w:rPr>
        <w:t>1</w:t>
      </w:r>
      <w:r>
        <w:rPr>
          <w:rFonts w:hAnsi="宋体" w:cs="宋体"/>
          <w:color w:val="auto"/>
          <w:sz w:val="21"/>
          <w:szCs w:val="21"/>
          <w:highlight w:val="none"/>
        </w:rPr>
        <w:t>0：</w:t>
      </w:r>
      <w:r>
        <w:rPr>
          <w:rFonts w:hint="eastAsia" w:hAnsi="宋体" w:cs="宋体"/>
          <w:color w:val="auto"/>
          <w:sz w:val="21"/>
          <w:szCs w:val="21"/>
          <w:highlight w:val="none"/>
        </w:rPr>
        <w:t>投标文件</w:t>
      </w:r>
    </w:p>
    <w:p>
      <w:pPr>
        <w:spacing w:line="360" w:lineRule="auto"/>
        <w:ind w:firstLine="420" w:firstLineChars="200"/>
        <w:rPr>
          <w:rFonts w:hint="eastAsia" w:hAnsi="宋体" w:eastAsia="宋体" w:cs="宋体"/>
          <w:color w:val="auto"/>
          <w:sz w:val="21"/>
          <w:szCs w:val="21"/>
          <w:highlight w:val="none"/>
          <w:lang w:eastAsia="zh-CN"/>
        </w:rPr>
      </w:pPr>
      <w:r>
        <w:rPr>
          <w:rFonts w:hAnsi="宋体" w:cs="宋体"/>
          <w:color w:val="auto"/>
          <w:sz w:val="21"/>
          <w:szCs w:val="21"/>
          <w:highlight w:val="none"/>
        </w:rPr>
        <w:t>附件</w:t>
      </w:r>
      <w:r>
        <w:rPr>
          <w:rFonts w:hint="eastAsia" w:hAnsi="宋体" w:cs="宋体"/>
          <w:color w:val="auto"/>
          <w:sz w:val="21"/>
          <w:szCs w:val="21"/>
          <w:highlight w:val="none"/>
        </w:rPr>
        <w:t>1</w:t>
      </w:r>
      <w:r>
        <w:rPr>
          <w:rFonts w:hAnsi="宋体" w:cs="宋体"/>
          <w:color w:val="auto"/>
          <w:sz w:val="21"/>
          <w:szCs w:val="21"/>
          <w:highlight w:val="none"/>
        </w:rPr>
        <w:t>1：</w:t>
      </w:r>
      <w:r>
        <w:rPr>
          <w:rFonts w:hint="eastAsia" w:hAnsi="宋体" w:cs="宋体"/>
          <w:color w:val="auto"/>
          <w:sz w:val="21"/>
          <w:szCs w:val="21"/>
          <w:highlight w:val="none"/>
        </w:rPr>
        <w:t>采购文件</w:t>
      </w:r>
      <w:r>
        <w:rPr>
          <w:rFonts w:hint="eastAsia" w:hAnsi="宋体" w:cs="宋体"/>
          <w:color w:val="auto"/>
          <w:sz w:val="21"/>
          <w:szCs w:val="21"/>
          <w:highlight w:val="none"/>
          <w:lang w:eastAsia="zh-CN"/>
        </w:rPr>
        <w:t>（</w:t>
      </w:r>
      <w:r>
        <w:rPr>
          <w:rFonts w:hint="eastAsia" w:hAnsi="宋体" w:cs="宋体"/>
          <w:color w:val="auto"/>
          <w:sz w:val="21"/>
          <w:szCs w:val="21"/>
          <w:highlight w:val="none"/>
        </w:rPr>
        <w:t>含澄清文件</w:t>
      </w:r>
      <w:r>
        <w:rPr>
          <w:rFonts w:hint="eastAsia" w:hAnsi="宋体" w:cs="宋体"/>
          <w:color w:val="auto"/>
          <w:sz w:val="21"/>
          <w:szCs w:val="21"/>
          <w:highlight w:val="none"/>
          <w:lang w:eastAsia="zh-CN"/>
        </w:rPr>
        <w:t>）</w:t>
      </w:r>
    </w:p>
    <w:p>
      <w:pPr>
        <w:spacing w:line="360" w:lineRule="auto"/>
        <w:ind w:firstLine="420" w:firstLineChars="200"/>
        <w:rPr>
          <w:rFonts w:hAnsi="宋体" w:cs="宋体"/>
          <w:color w:val="auto"/>
          <w:sz w:val="21"/>
          <w:szCs w:val="21"/>
          <w:highlight w:val="none"/>
        </w:rPr>
      </w:pPr>
    </w:p>
    <w:p>
      <w:pPr>
        <w:spacing w:line="360" w:lineRule="auto"/>
        <w:ind w:left="4513" w:leftChars="-1" w:hanging="4515" w:hangingChars="2150"/>
        <w:rPr>
          <w:rFonts w:hint="eastAsia" w:hAnsi="宋体" w:eastAsia="宋体" w:cs="宋体"/>
          <w:color w:val="auto"/>
          <w:sz w:val="21"/>
          <w:szCs w:val="21"/>
          <w:highlight w:val="none"/>
        </w:rPr>
      </w:pPr>
    </w:p>
    <w:p>
      <w:pPr>
        <w:spacing w:line="360" w:lineRule="auto"/>
        <w:ind w:left="4513" w:leftChars="-1" w:hanging="4515" w:hangingChars="2150"/>
        <w:rPr>
          <w:rFonts w:hint="default" w:hAnsi="宋体" w:eastAsia="宋体" w:cs="宋体"/>
          <w:color w:val="auto"/>
          <w:sz w:val="21"/>
          <w:szCs w:val="21"/>
          <w:highlight w:val="none"/>
          <w:lang w:val="en-US"/>
        </w:rPr>
      </w:pPr>
      <w:r>
        <w:rPr>
          <w:rFonts w:hint="eastAsia" w:hAnsi="宋体" w:eastAsia="宋体" w:cs="宋体"/>
          <w:color w:val="auto"/>
          <w:sz w:val="21"/>
          <w:szCs w:val="21"/>
          <w:highlight w:val="none"/>
        </w:rPr>
        <w:t>甲方：</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乙方：</w:t>
      </w:r>
      <w:r>
        <w:rPr>
          <w:rFonts w:hint="eastAsia" w:hAnsi="宋体" w:eastAsia="宋体" w:cs="宋体"/>
          <w:color w:val="auto"/>
          <w:sz w:val="21"/>
          <w:szCs w:val="21"/>
          <w:highlight w:val="none"/>
          <w:lang w:val="en-US" w:eastAsia="zh-CN"/>
        </w:rPr>
        <w:t xml:space="preserve"> </w:t>
      </w:r>
    </w:p>
    <w:p>
      <w:pPr>
        <w:spacing w:line="360" w:lineRule="auto"/>
        <w:jc w:val="center"/>
        <w:rPr>
          <w:rFonts w:hint="eastAsia" w:hAnsi="宋体" w:cs="宋体"/>
          <w:color w:val="auto"/>
          <w:sz w:val="21"/>
          <w:szCs w:val="21"/>
          <w:highlight w:val="none"/>
        </w:rPr>
      </w:pP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法定代表人：                            法定代表人：</w:t>
      </w:r>
    </w:p>
    <w:p>
      <w:pPr>
        <w:spacing w:line="360" w:lineRule="auto"/>
        <w:rPr>
          <w:rFonts w:hint="eastAsia" w:hAnsi="宋体" w:cs="宋体"/>
          <w:color w:val="auto"/>
          <w:sz w:val="21"/>
          <w:szCs w:val="21"/>
          <w:highlight w:val="none"/>
        </w:rPr>
      </w:pP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合同订立时间：   年   月   日</w:t>
      </w:r>
    </w:p>
    <w:p>
      <w:pPr>
        <w:spacing w:line="360" w:lineRule="auto"/>
        <w:rPr>
          <w:rFonts w:hint="eastAsia" w:hAnsi="宋体"/>
          <w:color w:val="auto"/>
          <w:highlight w:val="none"/>
        </w:rPr>
      </w:pPr>
      <w:r>
        <w:rPr>
          <w:rFonts w:hint="eastAsia" w:hAnsi="宋体" w:cs="宋体"/>
          <w:color w:val="auto"/>
          <w:sz w:val="21"/>
          <w:szCs w:val="21"/>
          <w:highlight w:val="none"/>
        </w:rPr>
        <w:t>合同签订地点：东莞市</w:t>
      </w:r>
    </w:p>
    <w:p>
      <w:pPr>
        <w:rPr>
          <w:rFonts w:hint="eastAsia" w:hAnsi="宋体"/>
          <w:color w:val="auto"/>
          <w:highlight w:val="none"/>
        </w:rPr>
      </w:pPr>
      <w:r>
        <w:rPr>
          <w:rFonts w:hAnsi="宋体"/>
          <w:color w:val="auto"/>
          <w:highlight w:val="none"/>
        </w:rPr>
        <w:br w:type="page"/>
      </w:r>
      <w:bookmarkStart w:id="206" w:name="_GoBack"/>
      <w:bookmarkEnd w:id="206"/>
    </w:p>
    <w:p>
      <w:pPr>
        <w:spacing w:line="360" w:lineRule="auto"/>
        <w:ind w:firstLine="422" w:firstLineChars="200"/>
        <w:outlineLvl w:val="9"/>
        <w:rPr>
          <w:rFonts w:hint="eastAsia" w:hAnsi="宋体"/>
          <w:b/>
          <w:color w:val="auto"/>
          <w:sz w:val="21"/>
          <w:szCs w:val="21"/>
          <w:highlight w:val="none"/>
        </w:rPr>
      </w:pPr>
      <w:r>
        <w:rPr>
          <w:rFonts w:hint="eastAsia" w:hAnsi="宋体"/>
          <w:b/>
          <w:color w:val="auto"/>
          <w:sz w:val="21"/>
          <w:szCs w:val="21"/>
          <w:highlight w:val="none"/>
        </w:rPr>
        <w:t>附件1：《阳光合作协议》</w:t>
      </w:r>
    </w:p>
    <w:p>
      <w:pPr>
        <w:widowControl/>
        <w:autoSpaceDE/>
        <w:autoSpaceDN/>
        <w:adjustRightInd/>
        <w:spacing w:line="360" w:lineRule="auto"/>
        <w:ind w:firstLine="883" w:firstLineChars="200"/>
        <w:jc w:val="center"/>
        <w:rPr>
          <w:rFonts w:hAnsi="宋体" w:cs="Arial"/>
          <w:b/>
          <w:snapToGrid w:val="0"/>
          <w:color w:val="auto"/>
          <w:sz w:val="44"/>
          <w:szCs w:val="44"/>
          <w:highlight w:val="none"/>
        </w:rPr>
      </w:pPr>
      <w:r>
        <w:rPr>
          <w:rFonts w:hint="eastAsia" w:hAnsi="宋体" w:cs="Arial"/>
          <w:b/>
          <w:snapToGrid w:val="0"/>
          <w:color w:val="auto"/>
          <w:sz w:val="44"/>
          <w:szCs w:val="44"/>
          <w:highlight w:val="none"/>
        </w:rPr>
        <w:t>阳光合作协议</w:t>
      </w:r>
    </w:p>
    <w:p>
      <w:pPr>
        <w:widowControl/>
        <w:autoSpaceDE/>
        <w:autoSpaceDN/>
        <w:adjustRightInd/>
        <w:spacing w:line="360" w:lineRule="auto"/>
        <w:ind w:firstLine="562" w:firstLineChars="200"/>
        <w:jc w:val="center"/>
        <w:rPr>
          <w:rFonts w:hAnsi="宋体" w:cs="Arial"/>
          <w:b/>
          <w:snapToGrid w:val="0"/>
          <w:color w:val="auto"/>
          <w:sz w:val="28"/>
          <w:szCs w:val="28"/>
          <w:highlight w:val="none"/>
        </w:rPr>
      </w:pPr>
    </w:p>
    <w:p>
      <w:pPr>
        <w:widowControl/>
        <w:autoSpaceDE/>
        <w:autoSpaceDN/>
        <w:adjustRightInd/>
        <w:spacing w:before="120" w:beforeLines="50" w:after="120" w:afterLines="50" w:line="360" w:lineRule="auto"/>
        <w:ind w:firstLine="420" w:firstLineChars="200"/>
        <w:contextualSpacing/>
        <w:rPr>
          <w:rFonts w:hint="default" w:hAnsi="宋体" w:eastAsia="宋体" w:cs="Arial"/>
          <w:snapToGrid w:val="0"/>
          <w:color w:val="auto"/>
          <w:sz w:val="21"/>
          <w:szCs w:val="21"/>
          <w:highlight w:val="none"/>
          <w:u w:val="single"/>
          <w:lang w:val="en-US" w:eastAsia="zh-CN"/>
        </w:rPr>
      </w:pPr>
      <w:r>
        <w:rPr>
          <w:rFonts w:hint="eastAsia" w:hAnsi="宋体" w:cs="微软雅黑"/>
          <w:snapToGrid w:val="0"/>
          <w:color w:val="auto"/>
          <w:sz w:val="21"/>
          <w:szCs w:val="21"/>
          <w:highlight w:val="none"/>
        </w:rPr>
        <w:t>甲方：</w:t>
      </w:r>
      <w:r>
        <w:rPr>
          <w:rFonts w:hint="eastAsia" w:hAnsi="宋体" w:cs="微软雅黑"/>
          <w:snapToGrid w:val="0"/>
          <w:color w:val="auto"/>
          <w:sz w:val="21"/>
          <w:szCs w:val="21"/>
          <w:highlight w:val="none"/>
          <w:u w:val="single"/>
          <w:lang w:val="en-US" w:eastAsia="zh-CN"/>
        </w:rPr>
        <w:t>东莞市东实旗云投资有限公司</w:t>
      </w:r>
    </w:p>
    <w:p>
      <w:pPr>
        <w:widowControl/>
        <w:autoSpaceDE/>
        <w:autoSpaceDN/>
        <w:adjustRightInd/>
        <w:spacing w:before="120" w:beforeLines="50" w:after="120" w:afterLines="50" w:line="360" w:lineRule="auto"/>
        <w:ind w:firstLine="420" w:firstLineChars="200"/>
        <w:contextualSpacing/>
        <w:rPr>
          <w:rFonts w:hint="eastAsia" w:hAnsi="宋体" w:eastAsia="宋体" w:cs="微软雅黑"/>
          <w:snapToGrid w:val="0"/>
          <w:color w:val="auto"/>
          <w:sz w:val="21"/>
          <w:szCs w:val="21"/>
          <w:highlight w:val="none"/>
          <w:u w:val="single"/>
        </w:rPr>
      </w:pPr>
    </w:p>
    <w:p>
      <w:pPr>
        <w:widowControl/>
        <w:autoSpaceDE/>
        <w:autoSpaceDN/>
        <w:adjustRightInd/>
        <w:spacing w:before="120" w:beforeLines="50" w:after="120" w:afterLines="50" w:line="360" w:lineRule="auto"/>
        <w:ind w:firstLine="420" w:firstLineChars="200"/>
        <w:contextualSpacing/>
        <w:rPr>
          <w:rFonts w:hint="eastAsia" w:hAnsi="宋体" w:eastAsia="宋体" w:cs="微软雅黑"/>
          <w:snapToGrid w:val="0"/>
          <w:color w:val="auto"/>
          <w:sz w:val="21"/>
          <w:szCs w:val="21"/>
          <w:highlight w:val="none"/>
          <w:u w:val="single"/>
        </w:rPr>
      </w:pPr>
      <w:r>
        <w:rPr>
          <w:rFonts w:hint="eastAsia" w:hAnsi="宋体" w:eastAsia="宋体" w:cs="微软雅黑"/>
          <w:snapToGrid w:val="0"/>
          <w:color w:val="auto"/>
          <w:sz w:val="21"/>
          <w:szCs w:val="21"/>
          <w:highlight w:val="none"/>
          <w:u w:val="none"/>
        </w:rPr>
        <w:t>乙方：</w:t>
      </w:r>
      <w:r>
        <w:rPr>
          <w:rFonts w:hint="eastAsia" w:hAnsi="宋体" w:eastAsia="宋体" w:cs="微软雅黑"/>
          <w:snapToGrid w:val="0"/>
          <w:color w:val="auto"/>
          <w:sz w:val="21"/>
          <w:szCs w:val="21"/>
          <w:highlight w:val="none"/>
          <w:u w:val="single"/>
          <w:lang w:val="en-US" w:eastAsia="zh-CN"/>
        </w:rPr>
        <w:t xml:space="preserve"> </w:t>
      </w:r>
      <w:r>
        <w:rPr>
          <w:rFonts w:hint="eastAsia" w:hAnsi="宋体" w:cs="微软雅黑"/>
          <w:snapToGrid w:val="0"/>
          <w:color w:val="auto"/>
          <w:sz w:val="21"/>
          <w:szCs w:val="21"/>
          <w:highlight w:val="none"/>
          <w:u w:val="single"/>
          <w:lang w:val="en-US" w:eastAsia="zh-CN"/>
        </w:rPr>
        <w:t>--</w:t>
      </w:r>
      <w:r>
        <w:rPr>
          <w:rFonts w:hint="eastAsia" w:hAnsi="宋体" w:eastAsia="宋体" w:cs="微软雅黑"/>
          <w:snapToGrid w:val="0"/>
          <w:color w:val="auto"/>
          <w:sz w:val="21"/>
          <w:szCs w:val="21"/>
          <w:highlight w:val="none"/>
          <w:u w:val="single"/>
          <w:lang w:val="en-US" w:eastAsia="zh-CN"/>
        </w:rPr>
        <w:t xml:space="preserve"> </w:t>
      </w:r>
      <w:r>
        <w:rPr>
          <w:rFonts w:hint="eastAsia" w:hAnsi="宋体" w:eastAsia="宋体" w:cs="微软雅黑"/>
          <w:snapToGrid w:val="0"/>
          <w:color w:val="auto"/>
          <w:sz w:val="21"/>
          <w:szCs w:val="21"/>
          <w:highlight w:val="none"/>
          <w:u w:val="single"/>
        </w:rPr>
        <w:t xml:space="preserve"> </w:t>
      </w:r>
    </w:p>
    <w:p>
      <w:pPr>
        <w:widowControl/>
        <w:kinsoku w:val="0"/>
        <w:snapToGrid w:val="0"/>
        <w:spacing w:after="120"/>
        <w:textAlignment w:val="baseline"/>
        <w:rPr>
          <w:rFonts w:hAnsi="宋体" w:cs="Arial"/>
          <w:snapToGrid w:val="0"/>
          <w:color w:val="auto"/>
          <w:sz w:val="21"/>
          <w:szCs w:val="21"/>
          <w:highlight w:val="none"/>
        </w:rPr>
      </w:pPr>
    </w:p>
    <w:p>
      <w:pPr>
        <w:spacing w:line="360" w:lineRule="auto"/>
        <w:ind w:firstLine="420" w:firstLineChars="200"/>
        <w:rPr>
          <w:rFonts w:hAnsi="宋体" w:cs="Arial"/>
          <w:snapToGrid w:val="0"/>
          <w:color w:val="auto"/>
          <w:sz w:val="21"/>
          <w:szCs w:val="21"/>
          <w:highlight w:val="none"/>
        </w:rPr>
      </w:pPr>
      <w:r>
        <w:rPr>
          <w:rFonts w:hint="eastAsia" w:hAnsi="宋体" w:cs="微软雅黑"/>
          <w:snapToGrid w:val="0"/>
          <w:color w:val="auto"/>
          <w:sz w:val="21"/>
          <w:szCs w:val="21"/>
          <w:highlight w:val="none"/>
        </w:rPr>
        <w:t>甲乙双方于</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日签署了《</w:t>
      </w:r>
      <w:r>
        <w:rPr>
          <w:rFonts w:hint="eastAsia" w:ascii="宋体" w:hAnsi="宋体" w:cs="宋体"/>
          <w:b w:val="0"/>
          <w:bCs/>
          <w:color w:val="auto"/>
          <w:sz w:val="21"/>
          <w:szCs w:val="21"/>
          <w:highlight w:val="none"/>
          <w:u w:val="single"/>
          <w:lang w:eastAsia="zh-CN"/>
        </w:rPr>
        <w:t>道滘镇南丫片区城中村改造项目掌洲工业安置房地块全过程驻场造价咨询服务</w:t>
      </w:r>
      <w:r>
        <w:rPr>
          <w:rFonts w:hint="eastAsia" w:hAnsi="宋体" w:cs="微软雅黑"/>
          <w:snapToGrid w:val="0"/>
          <w:color w:val="auto"/>
          <w:sz w:val="21"/>
          <w:szCs w:val="21"/>
          <w:highlight w:val="none"/>
        </w:rPr>
        <w:t>合同》（以下简称原合同），为加强双方阳光合作，保证职员职业安全，甲乙双方经协商签订本协议并作为双方共同遵守的阳光合作行为准则。</w:t>
      </w:r>
    </w:p>
    <w:p>
      <w:pPr>
        <w:widowControl/>
        <w:autoSpaceDE/>
        <w:autoSpaceDN/>
        <w:adjustRightInd/>
        <w:spacing w:before="120" w:beforeLines="50" w:after="120" w:afterLines="5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一、甲方责任</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甲方有责任向乙方介绍本单位有关采购管理通用原则和本协议的规定。</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甲方有责任对本单位相关人员进行阳光合作教育。</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3.</w:t>
      </w:r>
      <w:r>
        <w:rPr>
          <w:rFonts w:hint="eastAsia" w:hAnsi="宋体" w:cs="微软雅黑"/>
          <w:snapToGrid w:val="0"/>
          <w:color w:val="auto"/>
          <w:sz w:val="21"/>
          <w:szCs w:val="21"/>
          <w:highlight w:val="none"/>
        </w:rPr>
        <w:t>甲方人员应严格遵守本单位有关阳光合作管理的规定，不得接受乙方任何形式的回扣、实物、现金、有价证券、礼券等有价物品，不得参加乙方提供的旅游或其他可能影响职务行为公正履行的活动。</w:t>
      </w:r>
      <w:r>
        <w:rPr>
          <w:rFonts w:hint="eastAsia" w:hAnsi="宋体" w:cs="Arial"/>
          <w:snapToGrid w:val="0"/>
          <w:color w:val="auto"/>
          <w:sz w:val="21"/>
          <w:szCs w:val="21"/>
          <w:highlight w:val="none"/>
        </w:rPr>
        <w:t xml:space="preserve"> </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4.</w:t>
      </w:r>
      <w:r>
        <w:rPr>
          <w:rFonts w:hint="eastAsia" w:hAnsi="宋体" w:cs="微软雅黑"/>
          <w:snapToGrid w:val="0"/>
          <w:color w:val="auto"/>
          <w:sz w:val="21"/>
          <w:szCs w:val="21"/>
          <w:highlight w:val="none"/>
        </w:rPr>
        <w:t>甲方人员如违反阳光合作管理制度及本协议规定，甲方视情节轻重、影响大小给予行政及经济处罚。</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5</w:t>
      </w:r>
      <w:r>
        <w:rPr>
          <w:rFonts w:hint="eastAsia" w:hAnsi="宋体" w:cs="微软雅黑"/>
          <w:snapToGrid w:val="0"/>
          <w:color w:val="auto"/>
          <w:sz w:val="21"/>
          <w:szCs w:val="21"/>
          <w:highlight w:val="none"/>
        </w:rPr>
        <w:t>．对于乙方举报甲方人员违反阳光合作规定的情况，甲方应及时进行调查，根据调查情况进行处理，并将调查结果向乙方反馈。</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6.</w:t>
      </w:r>
      <w:r>
        <w:rPr>
          <w:rFonts w:hint="eastAsia" w:hAnsi="宋体" w:cs="微软雅黑"/>
          <w:snapToGrid w:val="0"/>
          <w:color w:val="auto"/>
          <w:sz w:val="21"/>
          <w:szCs w:val="21"/>
          <w:highlight w:val="none"/>
        </w:rPr>
        <w:t>接受举报的一方应为举报方保密，不得对举报方进行报复，对举报属实和严格遵守《阳光合作协议》的合作方，在同等条件下给予后续合作的优先权。</w:t>
      </w:r>
    </w:p>
    <w:p>
      <w:pPr>
        <w:widowControl/>
        <w:autoSpaceDE/>
        <w:autoSpaceDN/>
        <w:adjustRightInd/>
        <w:spacing w:before="120" w:beforeLines="50" w:after="120" w:afterLines="5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二、乙方责任</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乙方应保证乙方人员了解甲方有关采购管理通用原则和及本协议的规定，并遵照执行。</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乙方不得以任何形式给予甲方人员回扣、赠送实物、现金、有价证券、礼券等有价物品或提供旅游等其他可能影响职务行为公正履行的活动（以下统称</w:t>
      </w:r>
      <w:r>
        <w:rPr>
          <w:rFonts w:hAnsi="宋体" w:cs="Arial"/>
          <w:snapToGrid w:val="0"/>
          <w:color w:val="auto"/>
          <w:sz w:val="21"/>
          <w:szCs w:val="21"/>
          <w:highlight w:val="none"/>
        </w:rPr>
        <w:t>“</w:t>
      </w:r>
      <w:r>
        <w:rPr>
          <w:rFonts w:hint="eastAsia" w:hAnsi="宋体" w:cs="微软雅黑"/>
          <w:snapToGrid w:val="0"/>
          <w:color w:val="auto"/>
          <w:sz w:val="21"/>
          <w:szCs w:val="21"/>
          <w:highlight w:val="none"/>
        </w:rPr>
        <w:t>财物</w:t>
      </w:r>
      <w:r>
        <w:rPr>
          <w:rFonts w:hAnsi="宋体" w:cs="Arial"/>
          <w:snapToGrid w:val="0"/>
          <w:color w:val="auto"/>
          <w:sz w:val="21"/>
          <w:szCs w:val="21"/>
          <w:highlight w:val="none"/>
        </w:rPr>
        <w:t>”</w:t>
      </w:r>
      <w:r>
        <w:rPr>
          <w:rFonts w:hint="eastAsia" w:hAnsi="宋体" w:cs="微软雅黑"/>
          <w:snapToGrid w:val="0"/>
          <w:color w:val="auto"/>
          <w:sz w:val="21"/>
          <w:szCs w:val="21"/>
          <w:highlight w:val="none"/>
        </w:rPr>
        <w:t>）。</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3.</w:t>
      </w:r>
      <w:r>
        <w:rPr>
          <w:rFonts w:hint="eastAsia" w:hAnsi="宋体" w:cs="微软雅黑"/>
          <w:snapToGrid w:val="0"/>
          <w:color w:val="auto"/>
          <w:sz w:val="21"/>
          <w:szCs w:val="21"/>
          <w:highlight w:val="none"/>
        </w:rPr>
        <w:t>乙方有责任接受甲方对乙方在合作期间阳光合作管理执行情况的监督，并对甲方相关调查工作主动配合。</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4.</w:t>
      </w:r>
      <w:r>
        <w:rPr>
          <w:rFonts w:hint="eastAsia" w:hAnsi="宋体" w:cs="微软雅黑"/>
          <w:snapToGrid w:val="0"/>
          <w:color w:val="auto"/>
          <w:sz w:val="21"/>
          <w:szCs w:val="21"/>
          <w:highlight w:val="none"/>
        </w:rPr>
        <w:t>乙方有义务就甲方人员任何形式的索取或收受财物行为及时向甲方（直接联系人为东莞实业投资控股集团有限公司</w:t>
      </w:r>
      <w:r>
        <w:rPr>
          <w:rFonts w:hint="eastAsia" w:hAnsi="宋体" w:cs="微软雅黑"/>
          <w:snapToGrid w:val="0"/>
          <w:color w:val="auto"/>
          <w:sz w:val="21"/>
          <w:szCs w:val="21"/>
          <w:highlight w:val="none"/>
          <w:lang w:eastAsia="zh-CN"/>
        </w:rPr>
        <w:t>风控法务部</w:t>
      </w:r>
      <w:r>
        <w:rPr>
          <w:rFonts w:hint="eastAsia" w:hAnsi="宋体" w:cs="微软雅黑"/>
          <w:snapToGrid w:val="0"/>
          <w:color w:val="auto"/>
          <w:sz w:val="21"/>
          <w:szCs w:val="21"/>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w:t>
      </w:r>
      <w:r>
        <w:rPr>
          <w:rFonts w:hint="eastAsia" w:hAnsi="宋体" w:cs="Arial"/>
          <w:snapToGrid w:val="0"/>
          <w:color w:val="auto"/>
          <w:sz w:val="21"/>
          <w:szCs w:val="21"/>
          <w:highlight w:val="none"/>
        </w:rPr>
        <w:t>10%</w:t>
      </w:r>
      <w:r>
        <w:rPr>
          <w:rFonts w:hint="eastAsia" w:hAnsi="宋体" w:cs="微软雅黑"/>
          <w:snapToGrid w:val="0"/>
          <w:color w:val="auto"/>
          <w:sz w:val="21"/>
          <w:szCs w:val="21"/>
          <w:highlight w:val="none"/>
        </w:rPr>
        <w:t>的违约金，并对乙方知情不报人员进行相应处罚；连续出现</w:t>
      </w: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w:t>
      </w:r>
      <w:r>
        <w:rPr>
          <w:rFonts w:hint="eastAsia" w:hAnsi="宋体" w:cs="微软雅黑"/>
          <w:snapToGrid w:val="0"/>
          <w:color w:val="auto"/>
          <w:sz w:val="21"/>
          <w:szCs w:val="21"/>
          <w:highlight w:val="none"/>
          <w:lang w:eastAsia="zh-CN"/>
        </w:rPr>
        <w:t>投标人</w:t>
      </w:r>
      <w:r>
        <w:rPr>
          <w:rFonts w:hint="eastAsia" w:hAnsi="宋体" w:cs="微软雅黑"/>
          <w:snapToGrid w:val="0"/>
          <w:color w:val="auto"/>
          <w:sz w:val="21"/>
          <w:szCs w:val="21"/>
          <w:highlight w:val="none"/>
        </w:rPr>
        <w:t>。</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5</w:t>
      </w:r>
      <w:r>
        <w:rPr>
          <w:rFonts w:hint="eastAsia" w:hAnsi="宋体" w:cs="微软雅黑"/>
          <w:snapToGrid w:val="0"/>
          <w:color w:val="auto"/>
          <w:sz w:val="21"/>
          <w:szCs w:val="21"/>
          <w:highlight w:val="none"/>
        </w:rPr>
        <w:t>．甲方接受乙方实名或匿名举报，保证为举报者的信息保密，常设举报部门及电</w:t>
      </w:r>
      <w:r>
        <w:rPr>
          <w:rFonts w:hint="eastAsia" w:hAnsi="宋体" w:cs="Arial"/>
          <w:snapToGrid w:val="0"/>
          <w:color w:val="auto"/>
          <w:sz w:val="21"/>
          <w:szCs w:val="21"/>
          <w:highlight w:val="none"/>
        </w:rPr>
        <w:t>话</w:t>
      </w:r>
      <w:r>
        <w:rPr>
          <w:rFonts w:hint="eastAsia" w:hAnsi="宋体" w:cs="微软雅黑"/>
          <w:snapToGrid w:val="0"/>
          <w:color w:val="auto"/>
          <w:sz w:val="21"/>
          <w:szCs w:val="21"/>
          <w:highlight w:val="none"/>
        </w:rPr>
        <w:t>：</w:t>
      </w:r>
      <w:r>
        <w:rPr>
          <w:rFonts w:hint="eastAsia" w:hAnsi="宋体" w:cs="Arial"/>
          <w:snapToGrid w:val="0"/>
          <w:color w:val="auto"/>
          <w:sz w:val="21"/>
          <w:szCs w:val="21"/>
          <w:highlight w:val="none"/>
        </w:rPr>
        <w:t xml:space="preserve"> </w:t>
      </w:r>
    </w:p>
    <w:p>
      <w:pPr>
        <w:widowControl/>
        <w:autoSpaceDE/>
        <w:autoSpaceDN/>
        <w:adjustRightInd/>
        <w:spacing w:before="120" w:beforeLines="50" w:after="120" w:afterLines="50" w:line="360" w:lineRule="auto"/>
        <w:ind w:left="105" w:leftChars="50" w:firstLine="420" w:firstLineChars="200"/>
        <w:contextualSpacing/>
        <w:rPr>
          <w:rFonts w:hint="eastAsia" w:hAnsi="宋体" w:eastAsia="宋体" w:cs="Arial"/>
          <w:snapToGrid w:val="0"/>
          <w:color w:val="auto"/>
          <w:sz w:val="21"/>
          <w:szCs w:val="21"/>
          <w:highlight w:val="none"/>
          <w:lang w:eastAsia="zh-CN"/>
        </w:rPr>
      </w:pPr>
      <w:r>
        <w:rPr>
          <w:rFonts w:hint="eastAsia" w:hAnsi="宋体" w:cs="微软雅黑"/>
          <w:snapToGrid w:val="0"/>
          <w:color w:val="auto"/>
          <w:sz w:val="21"/>
          <w:szCs w:val="21"/>
          <w:highlight w:val="none"/>
        </w:rPr>
        <w:t>举报受理部门：东莞实业投资控股集团有限公司</w:t>
      </w:r>
      <w:r>
        <w:rPr>
          <w:rFonts w:hint="eastAsia" w:hAnsi="宋体" w:cs="微软雅黑"/>
          <w:snapToGrid w:val="0"/>
          <w:color w:val="auto"/>
          <w:sz w:val="21"/>
          <w:szCs w:val="21"/>
          <w:highlight w:val="none"/>
          <w:lang w:eastAsia="zh-CN"/>
        </w:rPr>
        <w:t>风控法务部</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东实集团举报邮箱：</w:t>
      </w:r>
      <w:r>
        <w:rPr>
          <w:rFonts w:hint="eastAsia" w:hAnsi="宋体" w:cs="Arial"/>
          <w:snapToGrid w:val="0"/>
          <w:color w:val="auto"/>
          <w:sz w:val="21"/>
          <w:szCs w:val="21"/>
          <w:highlight w:val="none"/>
        </w:rPr>
        <w:t>dgsyxf@163.com</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东实集团举报电话：</w:t>
      </w:r>
      <w:r>
        <w:rPr>
          <w:rFonts w:hint="eastAsia" w:hAnsi="宋体" w:cs="Arial"/>
          <w:snapToGrid w:val="0"/>
          <w:color w:val="auto"/>
          <w:sz w:val="21"/>
          <w:szCs w:val="21"/>
          <w:highlight w:val="none"/>
        </w:rPr>
        <w:t>0769-28820703</w:t>
      </w:r>
      <w:r>
        <w:rPr>
          <w:rFonts w:hint="eastAsia" w:hAnsi="宋体" w:cs="微软雅黑"/>
          <w:snapToGrid w:val="0"/>
          <w:color w:val="auto"/>
          <w:sz w:val="21"/>
          <w:szCs w:val="21"/>
          <w:highlight w:val="none"/>
        </w:rPr>
        <w:t>（周一至周五</w:t>
      </w:r>
      <w:r>
        <w:rPr>
          <w:rFonts w:hint="eastAsia" w:hAnsi="宋体" w:cs="Arial"/>
          <w:snapToGrid w:val="0"/>
          <w:color w:val="auto"/>
          <w:sz w:val="21"/>
          <w:szCs w:val="21"/>
          <w:highlight w:val="none"/>
        </w:rPr>
        <w:t>9:00-12:00</w:t>
      </w:r>
      <w:r>
        <w:rPr>
          <w:rFonts w:hint="eastAsia" w:hAnsi="宋体" w:cs="微软雅黑"/>
          <w:snapToGrid w:val="0"/>
          <w:color w:val="auto"/>
          <w:sz w:val="21"/>
          <w:szCs w:val="21"/>
          <w:highlight w:val="none"/>
        </w:rPr>
        <w:t>和</w:t>
      </w:r>
      <w:r>
        <w:rPr>
          <w:rFonts w:hint="eastAsia" w:hAnsi="宋体" w:cs="Arial"/>
          <w:snapToGrid w:val="0"/>
          <w:color w:val="auto"/>
          <w:sz w:val="21"/>
          <w:szCs w:val="21"/>
          <w:highlight w:val="none"/>
        </w:rPr>
        <w:t>14:00-18:00</w:t>
      </w:r>
      <w:r>
        <w:rPr>
          <w:rFonts w:hint="eastAsia" w:hAnsi="宋体" w:cs="微软雅黑"/>
          <w:snapToGrid w:val="0"/>
          <w:color w:val="auto"/>
          <w:sz w:val="21"/>
          <w:szCs w:val="21"/>
          <w:highlight w:val="none"/>
        </w:rPr>
        <w:t>）</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邮寄地址：东莞市东城区八一路</w:t>
      </w: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号机关二号大院</w:t>
      </w:r>
      <w:r>
        <w:rPr>
          <w:rFonts w:hint="eastAsia" w:hAnsi="宋体" w:cs="Arial"/>
          <w:snapToGrid w:val="0"/>
          <w:color w:val="auto"/>
          <w:sz w:val="21"/>
          <w:szCs w:val="21"/>
          <w:highlight w:val="none"/>
        </w:rPr>
        <w:t>9</w:t>
      </w:r>
      <w:r>
        <w:rPr>
          <w:rFonts w:hint="eastAsia" w:hAnsi="宋体" w:cs="微软雅黑"/>
          <w:snapToGrid w:val="0"/>
          <w:color w:val="auto"/>
          <w:sz w:val="21"/>
          <w:szCs w:val="21"/>
          <w:highlight w:val="none"/>
        </w:rPr>
        <w:t>号楼，东莞实业投资控股集团有限公司</w:t>
      </w:r>
      <w:r>
        <w:rPr>
          <w:rFonts w:hint="eastAsia" w:hAnsi="宋体" w:cs="微软雅黑"/>
          <w:snapToGrid w:val="0"/>
          <w:color w:val="auto"/>
          <w:sz w:val="21"/>
          <w:szCs w:val="21"/>
          <w:highlight w:val="none"/>
          <w:lang w:eastAsia="zh-CN"/>
        </w:rPr>
        <w:t>风控法务部</w:t>
      </w:r>
      <w:r>
        <w:rPr>
          <w:rFonts w:hint="eastAsia" w:hAnsi="宋体" w:cs="微软雅黑"/>
          <w:snapToGrid w:val="0"/>
          <w:color w:val="auto"/>
          <w:sz w:val="21"/>
          <w:szCs w:val="21"/>
          <w:highlight w:val="none"/>
        </w:rPr>
        <w:t>收，邮编</w:t>
      </w:r>
      <w:r>
        <w:rPr>
          <w:rFonts w:hint="eastAsia" w:hAnsi="宋体" w:cs="Arial"/>
          <w:snapToGrid w:val="0"/>
          <w:color w:val="auto"/>
          <w:sz w:val="21"/>
          <w:szCs w:val="21"/>
          <w:highlight w:val="none"/>
        </w:rPr>
        <w:t>523000</w:t>
      </w:r>
      <w:r>
        <w:rPr>
          <w:rFonts w:hint="eastAsia" w:hAnsi="宋体" w:cs="微软雅黑"/>
          <w:snapToGrid w:val="0"/>
          <w:color w:val="auto"/>
          <w:sz w:val="21"/>
          <w:szCs w:val="21"/>
          <w:highlight w:val="none"/>
        </w:rPr>
        <w:t>。</w:t>
      </w:r>
    </w:p>
    <w:p>
      <w:pPr>
        <w:widowControl/>
        <w:autoSpaceDE/>
        <w:autoSpaceDN/>
        <w:adjustRightInd/>
        <w:spacing w:before="120" w:beforeLines="50" w:after="120" w:afterLines="5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三、其他</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本协议是原合同的补充协议，与原合同有同等法律效力。</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本协议一式陆份，甲方执肆份，乙方执贰份</w:t>
      </w:r>
      <w:r>
        <w:rPr>
          <w:rFonts w:hint="eastAsia" w:hAnsi="宋体" w:cs="Arial"/>
          <w:snapToGrid w:val="0"/>
          <w:color w:val="auto"/>
          <w:sz w:val="21"/>
          <w:szCs w:val="21"/>
          <w:highlight w:val="none"/>
        </w:rPr>
        <w:t>,</w:t>
      </w:r>
      <w:r>
        <w:rPr>
          <w:rFonts w:hint="eastAsia" w:hAnsi="宋体" w:cs="微软雅黑"/>
          <w:snapToGrid w:val="0"/>
          <w:color w:val="auto"/>
          <w:sz w:val="21"/>
          <w:szCs w:val="21"/>
          <w:highlight w:val="none"/>
        </w:rPr>
        <w:t>具有同等法律效力。</w:t>
      </w:r>
    </w:p>
    <w:p>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3.</w:t>
      </w:r>
      <w:r>
        <w:rPr>
          <w:rFonts w:hint="eastAsia" w:hAnsi="宋体" w:cs="微软雅黑"/>
          <w:snapToGrid w:val="0"/>
          <w:color w:val="auto"/>
          <w:sz w:val="21"/>
          <w:szCs w:val="21"/>
          <w:highlight w:val="none"/>
        </w:rPr>
        <w:t>本协议经双方签署后生效。</w:t>
      </w:r>
    </w:p>
    <w:p>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甲方（盖章）：</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乙方（盖章）：</w:t>
      </w:r>
      <w:r>
        <w:rPr>
          <w:rFonts w:hAnsi="宋体" w:cs="Arial"/>
          <w:snapToGrid w:val="0"/>
          <w:color w:val="auto"/>
          <w:sz w:val="21"/>
          <w:szCs w:val="21"/>
          <w:highlight w:val="none"/>
        </w:rPr>
        <w:t xml:space="preserve"> </w:t>
      </w:r>
    </w:p>
    <w:p>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法定代表人（授权代表）：</w:t>
      </w:r>
      <w:r>
        <w:rPr>
          <w:rFonts w:hint="eastAsia" w:hAnsi="宋体" w:cs="Arial"/>
          <w:snapToGrid w:val="0"/>
          <w:color w:val="auto"/>
          <w:sz w:val="21"/>
          <w:szCs w:val="21"/>
          <w:highlight w:val="none"/>
        </w:rPr>
        <w:tab/>
      </w:r>
      <w:r>
        <w:rPr>
          <w:rFonts w:hint="eastAsia" w:hAnsi="宋体" w:cs="Arial"/>
          <w:snapToGrid w:val="0"/>
          <w:color w:val="auto"/>
          <w:sz w:val="21"/>
          <w:szCs w:val="21"/>
          <w:highlight w:val="none"/>
        </w:rPr>
        <w:tab/>
      </w:r>
      <w:r>
        <w:rPr>
          <w:rFonts w:hint="eastAsia" w:hAnsi="宋体" w:cs="微软雅黑"/>
          <w:snapToGrid w:val="0"/>
          <w:color w:val="auto"/>
          <w:sz w:val="21"/>
          <w:szCs w:val="21"/>
          <w:highlight w:val="none"/>
        </w:rPr>
        <w:t>法定代表人（授权代表）：</w:t>
      </w:r>
    </w:p>
    <w:p>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签约日期：</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日</w:t>
      </w:r>
      <w:bookmarkStart w:id="128" w:name="现场签证通知单"/>
      <w:bookmarkEnd w:id="128"/>
      <w:bookmarkStart w:id="129" w:name="设计变更通知单"/>
      <w:bookmarkEnd w:id="129"/>
      <w:r>
        <w:rPr>
          <w:rFonts w:hAnsi="宋体" w:cs="Arial"/>
          <w:snapToGrid w:val="0"/>
          <w:color w:val="auto"/>
          <w:sz w:val="21"/>
          <w:szCs w:val="21"/>
          <w:highlight w:val="none"/>
        </w:rPr>
        <w:tab/>
      </w:r>
      <w:r>
        <w:rPr>
          <w:rFonts w:hAnsi="宋体" w:cs="Arial"/>
          <w:snapToGrid w:val="0"/>
          <w:color w:val="auto"/>
          <w:sz w:val="21"/>
          <w:szCs w:val="21"/>
          <w:highlight w:val="none"/>
        </w:rPr>
        <w:t xml:space="preserve">    </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签约日期：</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rPr>
        <w:t xml:space="preserve">   </w:t>
      </w:r>
      <w:r>
        <w:rPr>
          <w:rFonts w:hint="eastAsia" w:hAnsi="宋体" w:cs="宋体"/>
          <w:snapToGrid w:val="0"/>
          <w:color w:val="auto"/>
          <w:sz w:val="21"/>
          <w:szCs w:val="21"/>
          <w:highlight w:val="none"/>
        </w:rPr>
        <w:t>日</w:t>
      </w:r>
    </w:p>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bookmarkEnd w:id="127"/>
    <w:p>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附件2：《项目保密承诺书》</w:t>
      </w:r>
    </w:p>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项目保密承诺书</w:t>
      </w:r>
    </w:p>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为保证合作</w:t>
      </w:r>
      <w:r>
        <w:rPr>
          <w:rFonts w:hint="eastAsia" w:ascii="宋体" w:hAnsi="宋体" w:cs="宋体"/>
          <w:color w:val="auto"/>
          <w:sz w:val="21"/>
          <w:szCs w:val="21"/>
          <w:highlight w:val="none"/>
          <w:lang w:val="en-US" w:eastAsia="zh-CN"/>
        </w:rPr>
        <w:t>双方</w:t>
      </w:r>
      <w:r>
        <w:rPr>
          <w:rFonts w:hint="eastAsia" w:ascii="宋体" w:hAnsi="宋体" w:eastAsia="宋体" w:cs="宋体"/>
          <w:color w:val="auto"/>
          <w:sz w:val="21"/>
          <w:szCs w:val="21"/>
          <w:highlight w:val="none"/>
        </w:rPr>
        <w:t>实现顺利合作，避免因信息泄露而给受服务企业造成损失，本单位以及本单位派驻本项目人员承诺遵守本保密承诺书内容。</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b/>
          <w:color w:val="auto"/>
          <w:sz w:val="21"/>
          <w:szCs w:val="21"/>
          <w:highlight w:val="none"/>
        </w:rPr>
        <w:t>　1． 保密信息</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本书所示保密信息为合作项目中涉及的以及该项目合作过程中获取的受服务企业或其关联公司尚未公开的信息。</w:t>
      </w:r>
    </w:p>
    <w:p>
      <w:pPr>
        <w:pageBreakBefore w:val="0"/>
        <w:widowControl/>
        <w:kinsoku/>
        <w:overflowPunct/>
        <w:topLinePunct w:val="0"/>
        <w:autoSpaceDE/>
        <w:autoSpaceDN/>
        <w:bidi w:val="0"/>
        <w:adjustRightInd w:val="0"/>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b/>
          <w:color w:val="auto"/>
          <w:sz w:val="21"/>
          <w:szCs w:val="21"/>
          <w:highlight w:val="none"/>
        </w:rPr>
        <w:t>信息内容</w:t>
      </w:r>
      <w:r>
        <w:rPr>
          <w:rFonts w:hint="eastAsia" w:ascii="宋体" w:hAnsi="宋体" w:eastAsia="宋体" w:cs="宋体"/>
          <w:color w:val="auto"/>
          <w:sz w:val="21"/>
          <w:szCs w:val="21"/>
          <w:highlight w:val="none"/>
        </w:rPr>
        <w:t>包含符合法律规定条件的商业秘密，也包含尚未达到法律规定商业秘密构成条件的其他保密材料。包含但不限于：</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技术资料：技术方案、工程设计、技术报告、检测报告、勘察报告、实验数据、图纸规划方案、CAD数据资料、成本分析及投资测算等；</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商业信息：经营战略、经营方向、经营规划、企划方案、经营项目、项目方案及经营决策等；</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财务信息等。</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 </w:t>
      </w:r>
      <w:r>
        <w:rPr>
          <w:rFonts w:hint="eastAsia" w:ascii="宋体" w:hAnsi="宋体" w:eastAsia="宋体" w:cs="宋体"/>
          <w:b/>
          <w:color w:val="auto"/>
          <w:sz w:val="21"/>
          <w:szCs w:val="21"/>
          <w:highlight w:val="none"/>
        </w:rPr>
        <w:t>信息储存方式</w:t>
      </w:r>
      <w:r>
        <w:rPr>
          <w:rFonts w:hint="eastAsia" w:ascii="宋体" w:hAnsi="宋体" w:eastAsia="宋体" w:cs="宋体"/>
          <w:color w:val="auto"/>
          <w:sz w:val="21"/>
          <w:szCs w:val="21"/>
          <w:highlight w:val="none"/>
        </w:rPr>
        <w:t>包含但不限于：</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以手写、打印、软件、磁盘、光盘、胶片或其它可存取的方式记载的财务、技术或商业信息；</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以口头方式说明需要保密的财务、技术或商业信息；</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以软件代码、文字图像、分析注释、备忘录、图纸、研究报告、编辑数据等各种方式出现的财务、技术或商业信息等。</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 </w:t>
      </w:r>
      <w:r>
        <w:rPr>
          <w:rFonts w:hint="eastAsia" w:ascii="宋体" w:hAnsi="宋体" w:eastAsia="宋体" w:cs="宋体"/>
          <w:b/>
          <w:color w:val="auto"/>
          <w:sz w:val="21"/>
          <w:szCs w:val="21"/>
          <w:highlight w:val="none"/>
        </w:rPr>
        <w:t>信息范围</w:t>
      </w:r>
      <w:r>
        <w:rPr>
          <w:rFonts w:hint="eastAsia" w:ascii="宋体" w:hAnsi="宋体" w:eastAsia="宋体" w:cs="宋体"/>
          <w:color w:val="auto"/>
          <w:sz w:val="21"/>
          <w:szCs w:val="21"/>
          <w:highlight w:val="none"/>
        </w:rPr>
        <w:t>包含但不限于：</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信息包含</w:t>
      </w:r>
      <w:r>
        <w:rPr>
          <w:rFonts w:hint="eastAsia" w:ascii="宋体" w:hAnsi="宋体" w:cs="宋体"/>
          <w:color w:val="auto"/>
          <w:sz w:val="21"/>
          <w:szCs w:val="21"/>
          <w:highlight w:val="none"/>
          <w:lang w:val="en-US" w:eastAsia="zh-CN"/>
        </w:rPr>
        <w:t>双</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在讨论合作过程中，包括但不限于在受服务企业处参观、考察的过程中以其它形式获得的财务、技术或商业信息；</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信息范围不仅包含本项目的各种文件、技术资料等，还包含在</w:t>
      </w:r>
      <w:r>
        <w:rPr>
          <w:rFonts w:hint="eastAsia" w:ascii="宋体" w:hAnsi="宋体" w:cs="宋体"/>
          <w:color w:val="auto"/>
          <w:sz w:val="21"/>
          <w:szCs w:val="21"/>
          <w:highlight w:val="none"/>
          <w:lang w:val="en-US" w:eastAsia="zh-CN"/>
        </w:rPr>
        <w:t>双</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合作或会议讨论过程中获得的关于受服务企业或其关联公司的其他财务、技术或商业信息。</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2. 保密义务</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项目未发布公告之前，不能泄露与此项目相关的采购情况。</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采购文件未出正式发布之前，不能泄露采购文件的具体内容。</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在参与受服务企业会议讨论阶段，不能向外透露会议的信息内容。</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向项目报名人提供项目必须配套资料时，必须要求报名人不能对外泄露项目资料与项目相关信息，否则追究报名人法律责任。</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2.5项目发布前后，始终对保密资料保密，不在项目之外使用对方提供的保密信息及掌握的公司保密信息。</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2.6未经受服务企业同意，不向任何第三方提供保密信息以及可以接触上述保密信息的手段，包括在公开场合展览，公开对外宣传，作为文章、讯息、参考数据发表。</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返还信息</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时候，只要收到受服务企业的书面要求，承诺人应立即归还全部商业秘密资料和文件，包含该商业秘密资料的媒体及其任何或全部复印件或摘要。如果该技术资料属于不能归还的形式、或已经复制或转录到其他资料或载体中，则应删除。</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4．保密期限</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本承诺书的保密期限，从签订起生效，无限期保密，直至受服务企业宣布解密或所获得的信息已经通过合法的方式为公众所知悉为止。</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5、其他责任</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保密期限内，因承诺人的泄密行为给受服务企业造成影响的，受服务企业有权按照法律法规的规定追究承诺人违约、侵权及刑事责任。</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本企业单位或本人已阅读，并理解和同意遵守本承诺书所有条款，如违反承诺，自愿承担党纪、政纪责任和法律后果。</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ind w:firstLine="3150" w:firstLineChars="1500"/>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承诺单位:（盖章）</w:t>
      </w:r>
    </w:p>
    <w:p>
      <w:pPr>
        <w:pageBreakBefore w:val="0"/>
        <w:widowControl/>
        <w:kinsoku/>
        <w:overflowPunct/>
        <w:topLinePunct w:val="0"/>
        <w:autoSpaceDE/>
        <w:autoSpaceDN/>
        <w:bidi w:val="0"/>
        <w:adjustRightInd w:val="0"/>
        <w:snapToGrid w:val="0"/>
        <w:spacing w:line="360" w:lineRule="auto"/>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法人代表:（签名）</w:t>
      </w:r>
    </w:p>
    <w:p>
      <w:pPr>
        <w:pageBreakBefore w:val="0"/>
        <w:widowControl/>
        <w:kinsoku/>
        <w:overflowPunct/>
        <w:topLinePunct w:val="0"/>
        <w:autoSpaceDE/>
        <w:autoSpaceDN/>
        <w:bidi w:val="0"/>
        <w:adjustRightInd w:val="0"/>
        <w:snapToGrid w:val="0"/>
        <w:spacing w:line="360" w:lineRule="auto"/>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单位拟派人员：（签名）</w:t>
      </w:r>
    </w:p>
    <w:p>
      <w:pPr>
        <w:pageBreakBefore w:val="0"/>
        <w:widowControl/>
        <w:kinsoku/>
        <w:overflowPunct/>
        <w:topLinePunct w:val="0"/>
        <w:autoSpaceDE/>
        <w:autoSpaceDN/>
        <w:bidi w:val="0"/>
        <w:adjustRightInd w:val="0"/>
        <w:snapToGrid w:val="0"/>
        <w:spacing w:line="360" w:lineRule="auto"/>
        <w:ind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月  日  </w:t>
      </w:r>
    </w:p>
    <w:p>
      <w:pPr>
        <w:pageBreakBefore w:val="0"/>
        <w:widowControl/>
        <w:kinsoku/>
        <w:overflowPunct/>
        <w:topLinePunct w:val="0"/>
        <w:autoSpaceDE/>
        <w:autoSpaceDN/>
        <w:bidi w:val="0"/>
        <w:adjustRightInd w:val="0"/>
        <w:snapToGrid w:val="0"/>
        <w:spacing w:line="360" w:lineRule="auto"/>
        <w:ind w:right="26" w:firstLine="315" w:firstLineChars="150"/>
        <w:contextualSpacing/>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ind w:right="26" w:firstLine="315" w:firstLineChars="150"/>
        <w:contextualSpacing/>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bookmarkStart w:id="130" w:name="_Toc6593"/>
      <w:r>
        <w:rPr>
          <w:rFonts w:hint="eastAsia" w:ascii="宋体" w:hAnsi="宋体" w:eastAsia="宋体" w:cs="宋体"/>
          <w:b/>
          <w:color w:val="auto"/>
          <w:sz w:val="21"/>
          <w:szCs w:val="21"/>
          <w:highlight w:val="none"/>
        </w:rPr>
        <w:t>附件3：投入本合同下项目服务人员配置一览表</w:t>
      </w:r>
      <w:bookmarkEnd w:id="130"/>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jc w:val="center"/>
        <w:rPr>
          <w:b/>
          <w:bCs/>
          <w:color w:val="auto"/>
          <w:sz w:val="28"/>
          <w:szCs w:val="28"/>
          <w:highlight w:val="none"/>
        </w:rPr>
      </w:pPr>
      <w:r>
        <w:rPr>
          <w:rFonts w:hint="eastAsia"/>
          <w:b/>
          <w:bCs/>
          <w:color w:val="auto"/>
          <w:sz w:val="28"/>
          <w:szCs w:val="28"/>
          <w:highlight w:val="none"/>
        </w:rPr>
        <w:t>实施本项目的有关人员资料表</w:t>
      </w:r>
    </w:p>
    <w:tbl>
      <w:tblPr>
        <w:tblStyle w:val="95"/>
        <w:tblW w:w="5109"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488"/>
        <w:gridCol w:w="1143"/>
        <w:gridCol w:w="1115"/>
        <w:gridCol w:w="488"/>
        <w:gridCol w:w="488"/>
        <w:gridCol w:w="1275"/>
        <w:gridCol w:w="1315"/>
        <w:gridCol w:w="3641"/>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735" w:hRule="atLeast"/>
        </w:trPr>
        <w:tc>
          <w:tcPr>
            <w:tcW w:w="245"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adjustRightInd w:val="0"/>
              <w:snapToGrid w:val="0"/>
              <w:spacing w:before="60" w:line="276" w:lineRule="auto"/>
              <w:jc w:val="center"/>
              <w:rPr>
                <w:rFonts w:ascii="宋体" w:hAnsi="宋体"/>
                <w:b/>
                <w:bCs/>
                <w:color w:val="auto"/>
                <w:highlight w:val="none"/>
              </w:rPr>
            </w:pPr>
            <w:bookmarkStart w:id="131" w:name="_Hlk166158936"/>
            <w:r>
              <w:rPr>
                <w:rFonts w:hint="eastAsia" w:ascii="宋体" w:hAnsi="宋体"/>
                <w:b/>
                <w:bCs/>
                <w:color w:val="auto"/>
                <w:highlight w:val="none"/>
              </w:rPr>
              <w:t>序号</w:t>
            </w:r>
          </w:p>
        </w:tc>
        <w:tc>
          <w:tcPr>
            <w:tcW w:w="574"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姓名</w:t>
            </w:r>
          </w:p>
        </w:tc>
        <w:tc>
          <w:tcPr>
            <w:tcW w:w="56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本项目拟任岗位</w:t>
            </w:r>
          </w:p>
        </w:tc>
        <w:tc>
          <w:tcPr>
            <w:tcW w:w="24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性别</w:t>
            </w:r>
          </w:p>
        </w:tc>
        <w:tc>
          <w:tcPr>
            <w:tcW w:w="24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年龄</w:t>
            </w:r>
          </w:p>
        </w:tc>
        <w:tc>
          <w:tcPr>
            <w:tcW w:w="64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技术职称</w:t>
            </w:r>
          </w:p>
        </w:tc>
        <w:tc>
          <w:tcPr>
            <w:tcW w:w="66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专 业</w:t>
            </w:r>
          </w:p>
        </w:tc>
        <w:tc>
          <w:tcPr>
            <w:tcW w:w="1828"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资质证书</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pPr>
              <w:adjustRightInd w:val="0"/>
              <w:snapToGrid w:val="0"/>
              <w:spacing w:before="60" w:line="276" w:lineRule="auto"/>
              <w:jc w:val="center"/>
              <w:rPr>
                <w:rFonts w:ascii="宋体" w:hAnsi="宋体"/>
                <w:color w:val="auto"/>
                <w:highlight w:val="none"/>
              </w:rPr>
            </w:pPr>
          </w:p>
        </w:tc>
        <w:tc>
          <w:tcPr>
            <w:tcW w:w="560"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640" w:type="pct"/>
            <w:vAlign w:val="center"/>
          </w:tcPr>
          <w:p>
            <w:pPr>
              <w:adjustRightInd w:val="0"/>
              <w:snapToGrid w:val="0"/>
              <w:spacing w:before="60" w:line="276" w:lineRule="auto"/>
              <w:jc w:val="center"/>
              <w:rPr>
                <w:rFonts w:ascii="宋体" w:hAnsi="宋体"/>
                <w:color w:val="auto"/>
                <w:highlight w:val="none"/>
              </w:rPr>
            </w:pPr>
          </w:p>
        </w:tc>
        <w:tc>
          <w:tcPr>
            <w:tcW w:w="660" w:type="pct"/>
            <w:vAlign w:val="center"/>
          </w:tcPr>
          <w:p>
            <w:pPr>
              <w:adjustRightInd w:val="0"/>
              <w:snapToGrid w:val="0"/>
              <w:spacing w:before="60" w:line="276" w:lineRule="auto"/>
              <w:jc w:val="center"/>
              <w:rPr>
                <w:rFonts w:ascii="宋体" w:hAnsi="宋体"/>
                <w:color w:val="auto"/>
                <w:highlight w:val="none"/>
              </w:rPr>
            </w:pPr>
          </w:p>
        </w:tc>
        <w:tc>
          <w:tcPr>
            <w:tcW w:w="1828" w:type="pct"/>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pPr>
              <w:adjustRightInd w:val="0"/>
              <w:snapToGrid w:val="0"/>
              <w:spacing w:before="60" w:line="276" w:lineRule="auto"/>
              <w:jc w:val="center"/>
              <w:rPr>
                <w:rFonts w:ascii="宋体" w:hAnsi="宋体"/>
                <w:color w:val="auto"/>
                <w:highlight w:val="none"/>
              </w:rPr>
            </w:pPr>
          </w:p>
        </w:tc>
        <w:tc>
          <w:tcPr>
            <w:tcW w:w="560"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640" w:type="pct"/>
            <w:vAlign w:val="center"/>
          </w:tcPr>
          <w:p>
            <w:pPr>
              <w:adjustRightInd w:val="0"/>
              <w:snapToGrid w:val="0"/>
              <w:spacing w:before="60" w:line="276" w:lineRule="auto"/>
              <w:jc w:val="center"/>
              <w:rPr>
                <w:rFonts w:ascii="宋体" w:hAnsi="宋体"/>
                <w:color w:val="auto"/>
                <w:highlight w:val="none"/>
              </w:rPr>
            </w:pPr>
          </w:p>
        </w:tc>
        <w:tc>
          <w:tcPr>
            <w:tcW w:w="660" w:type="pct"/>
            <w:vAlign w:val="center"/>
          </w:tcPr>
          <w:p>
            <w:pPr>
              <w:adjustRightInd w:val="0"/>
              <w:snapToGrid w:val="0"/>
              <w:spacing w:before="60" w:line="276" w:lineRule="auto"/>
              <w:jc w:val="center"/>
              <w:rPr>
                <w:rFonts w:ascii="宋体" w:hAnsi="宋体"/>
                <w:color w:val="auto"/>
                <w:highlight w:val="none"/>
              </w:rPr>
            </w:pPr>
          </w:p>
        </w:tc>
        <w:tc>
          <w:tcPr>
            <w:tcW w:w="1828" w:type="pct"/>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pPr>
              <w:adjustRightInd w:val="0"/>
              <w:snapToGrid w:val="0"/>
              <w:spacing w:before="60" w:line="276" w:lineRule="auto"/>
              <w:jc w:val="center"/>
              <w:rPr>
                <w:rFonts w:ascii="宋体" w:hAnsi="宋体"/>
                <w:color w:val="auto"/>
                <w:highlight w:val="none"/>
              </w:rPr>
            </w:pPr>
          </w:p>
        </w:tc>
        <w:tc>
          <w:tcPr>
            <w:tcW w:w="560"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640" w:type="pct"/>
            <w:vAlign w:val="center"/>
          </w:tcPr>
          <w:p>
            <w:pPr>
              <w:adjustRightInd w:val="0"/>
              <w:snapToGrid w:val="0"/>
              <w:spacing w:before="60" w:line="276" w:lineRule="auto"/>
              <w:jc w:val="center"/>
              <w:rPr>
                <w:rFonts w:ascii="宋体" w:hAnsi="宋体"/>
                <w:color w:val="auto"/>
                <w:highlight w:val="none"/>
              </w:rPr>
            </w:pPr>
          </w:p>
        </w:tc>
        <w:tc>
          <w:tcPr>
            <w:tcW w:w="660" w:type="pct"/>
            <w:vAlign w:val="center"/>
          </w:tcPr>
          <w:p>
            <w:pPr>
              <w:adjustRightInd w:val="0"/>
              <w:snapToGrid w:val="0"/>
              <w:spacing w:before="60" w:line="276" w:lineRule="auto"/>
              <w:jc w:val="center"/>
              <w:rPr>
                <w:rFonts w:ascii="宋体" w:hAnsi="宋体"/>
                <w:color w:val="auto"/>
                <w:highlight w:val="none"/>
              </w:rPr>
            </w:pPr>
          </w:p>
        </w:tc>
        <w:tc>
          <w:tcPr>
            <w:tcW w:w="1828" w:type="pct"/>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pPr>
              <w:adjustRightInd w:val="0"/>
              <w:snapToGrid w:val="0"/>
              <w:spacing w:before="60" w:line="276" w:lineRule="auto"/>
              <w:jc w:val="center"/>
              <w:rPr>
                <w:rFonts w:ascii="宋体" w:hAnsi="宋体"/>
                <w:color w:val="auto"/>
                <w:highlight w:val="none"/>
              </w:rPr>
            </w:pPr>
          </w:p>
        </w:tc>
        <w:tc>
          <w:tcPr>
            <w:tcW w:w="560"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640" w:type="pct"/>
            <w:vAlign w:val="center"/>
          </w:tcPr>
          <w:p>
            <w:pPr>
              <w:adjustRightInd w:val="0"/>
              <w:snapToGrid w:val="0"/>
              <w:spacing w:before="60" w:line="276" w:lineRule="auto"/>
              <w:jc w:val="center"/>
              <w:rPr>
                <w:rFonts w:ascii="宋体" w:hAnsi="宋体"/>
                <w:color w:val="auto"/>
                <w:highlight w:val="none"/>
              </w:rPr>
            </w:pPr>
          </w:p>
        </w:tc>
        <w:tc>
          <w:tcPr>
            <w:tcW w:w="660" w:type="pct"/>
            <w:vAlign w:val="center"/>
          </w:tcPr>
          <w:p>
            <w:pPr>
              <w:adjustRightInd w:val="0"/>
              <w:snapToGrid w:val="0"/>
              <w:spacing w:before="60" w:line="276" w:lineRule="auto"/>
              <w:jc w:val="center"/>
              <w:rPr>
                <w:rFonts w:ascii="宋体" w:hAnsi="宋体"/>
                <w:color w:val="auto"/>
                <w:highlight w:val="none"/>
              </w:rPr>
            </w:pPr>
          </w:p>
        </w:tc>
        <w:tc>
          <w:tcPr>
            <w:tcW w:w="1828" w:type="pct"/>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pPr>
              <w:adjustRightInd w:val="0"/>
              <w:snapToGrid w:val="0"/>
              <w:spacing w:before="60" w:line="276" w:lineRule="auto"/>
              <w:jc w:val="center"/>
              <w:rPr>
                <w:rFonts w:ascii="宋体" w:hAnsi="宋体"/>
                <w:color w:val="auto"/>
                <w:highlight w:val="none"/>
              </w:rPr>
            </w:pPr>
          </w:p>
        </w:tc>
        <w:tc>
          <w:tcPr>
            <w:tcW w:w="560"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640" w:type="pct"/>
            <w:vAlign w:val="center"/>
          </w:tcPr>
          <w:p>
            <w:pPr>
              <w:adjustRightInd w:val="0"/>
              <w:snapToGrid w:val="0"/>
              <w:spacing w:before="60" w:line="276" w:lineRule="auto"/>
              <w:jc w:val="center"/>
              <w:rPr>
                <w:rFonts w:ascii="宋体" w:hAnsi="宋体"/>
                <w:color w:val="auto"/>
                <w:highlight w:val="none"/>
              </w:rPr>
            </w:pPr>
          </w:p>
        </w:tc>
        <w:tc>
          <w:tcPr>
            <w:tcW w:w="660" w:type="pct"/>
            <w:vAlign w:val="center"/>
          </w:tcPr>
          <w:p>
            <w:pPr>
              <w:adjustRightInd w:val="0"/>
              <w:snapToGrid w:val="0"/>
              <w:spacing w:before="60" w:line="276" w:lineRule="auto"/>
              <w:jc w:val="center"/>
              <w:rPr>
                <w:rFonts w:ascii="宋体" w:hAnsi="宋体"/>
                <w:color w:val="auto"/>
                <w:highlight w:val="none"/>
              </w:rPr>
            </w:pPr>
          </w:p>
        </w:tc>
        <w:tc>
          <w:tcPr>
            <w:tcW w:w="1828" w:type="pct"/>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pPr>
              <w:adjustRightInd w:val="0"/>
              <w:snapToGrid w:val="0"/>
              <w:spacing w:before="60" w:line="276" w:lineRule="auto"/>
              <w:jc w:val="center"/>
              <w:rPr>
                <w:rFonts w:ascii="宋体" w:hAnsi="宋体"/>
                <w:color w:val="auto"/>
                <w:highlight w:val="none"/>
              </w:rPr>
            </w:pPr>
          </w:p>
        </w:tc>
        <w:tc>
          <w:tcPr>
            <w:tcW w:w="560"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640" w:type="pct"/>
            <w:vAlign w:val="center"/>
          </w:tcPr>
          <w:p>
            <w:pPr>
              <w:adjustRightInd w:val="0"/>
              <w:snapToGrid w:val="0"/>
              <w:spacing w:before="60" w:line="276" w:lineRule="auto"/>
              <w:jc w:val="center"/>
              <w:rPr>
                <w:rFonts w:ascii="宋体" w:hAnsi="宋体"/>
                <w:color w:val="auto"/>
                <w:highlight w:val="none"/>
              </w:rPr>
            </w:pPr>
          </w:p>
        </w:tc>
        <w:tc>
          <w:tcPr>
            <w:tcW w:w="660" w:type="pct"/>
            <w:vAlign w:val="center"/>
          </w:tcPr>
          <w:p>
            <w:pPr>
              <w:adjustRightInd w:val="0"/>
              <w:snapToGrid w:val="0"/>
              <w:spacing w:before="60" w:line="276" w:lineRule="auto"/>
              <w:jc w:val="center"/>
              <w:rPr>
                <w:rFonts w:ascii="宋体" w:hAnsi="宋体"/>
                <w:color w:val="auto"/>
                <w:highlight w:val="none"/>
              </w:rPr>
            </w:pPr>
          </w:p>
        </w:tc>
        <w:tc>
          <w:tcPr>
            <w:tcW w:w="1828" w:type="pct"/>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pPr>
              <w:adjustRightInd w:val="0"/>
              <w:snapToGrid w:val="0"/>
              <w:spacing w:before="60" w:line="276" w:lineRule="auto"/>
              <w:jc w:val="center"/>
              <w:rPr>
                <w:rFonts w:ascii="宋体" w:hAnsi="宋体"/>
                <w:color w:val="auto"/>
                <w:highlight w:val="none"/>
              </w:rPr>
            </w:pPr>
          </w:p>
        </w:tc>
        <w:tc>
          <w:tcPr>
            <w:tcW w:w="560"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245" w:type="pct"/>
            <w:vAlign w:val="center"/>
          </w:tcPr>
          <w:p>
            <w:pPr>
              <w:adjustRightInd w:val="0"/>
              <w:snapToGrid w:val="0"/>
              <w:spacing w:before="60" w:line="276" w:lineRule="auto"/>
              <w:jc w:val="center"/>
              <w:rPr>
                <w:rFonts w:ascii="宋体" w:hAnsi="宋体"/>
                <w:color w:val="auto"/>
                <w:highlight w:val="none"/>
              </w:rPr>
            </w:pPr>
          </w:p>
        </w:tc>
        <w:tc>
          <w:tcPr>
            <w:tcW w:w="640" w:type="pct"/>
            <w:vAlign w:val="center"/>
          </w:tcPr>
          <w:p>
            <w:pPr>
              <w:adjustRightInd w:val="0"/>
              <w:snapToGrid w:val="0"/>
              <w:spacing w:before="60" w:line="276" w:lineRule="auto"/>
              <w:jc w:val="center"/>
              <w:rPr>
                <w:rFonts w:ascii="宋体" w:hAnsi="宋体"/>
                <w:color w:val="auto"/>
                <w:highlight w:val="none"/>
              </w:rPr>
            </w:pPr>
          </w:p>
        </w:tc>
        <w:tc>
          <w:tcPr>
            <w:tcW w:w="660" w:type="pct"/>
            <w:vAlign w:val="center"/>
          </w:tcPr>
          <w:p>
            <w:pPr>
              <w:adjustRightInd w:val="0"/>
              <w:snapToGrid w:val="0"/>
              <w:spacing w:before="60" w:line="276" w:lineRule="auto"/>
              <w:jc w:val="center"/>
              <w:rPr>
                <w:rFonts w:ascii="宋体" w:hAnsi="宋体"/>
                <w:color w:val="auto"/>
                <w:highlight w:val="none"/>
              </w:rPr>
            </w:pPr>
          </w:p>
        </w:tc>
        <w:tc>
          <w:tcPr>
            <w:tcW w:w="1828" w:type="pct"/>
            <w:vAlign w:val="center"/>
          </w:tcPr>
          <w:p>
            <w:pPr>
              <w:adjustRightInd w:val="0"/>
              <w:snapToGrid w:val="0"/>
              <w:spacing w:before="60" w:line="276" w:lineRule="auto"/>
              <w:jc w:val="center"/>
              <w:rPr>
                <w:rFonts w:ascii="宋体" w:hAnsi="宋体"/>
                <w:color w:val="auto"/>
                <w:highlight w:val="none"/>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90" w:hRule="atLeast"/>
        </w:trPr>
        <w:tc>
          <w:tcPr>
            <w:tcW w:w="245" w:type="pct"/>
            <w:shd w:val="clear" w:color="auto" w:fill="DBE5F1" w:themeFill="accent1" w:themeFillTint="33"/>
            <w:vAlign w:val="center"/>
          </w:tcPr>
          <w:p>
            <w:pPr>
              <w:pStyle w:val="44"/>
              <w:numPr>
                <w:ilvl w:val="0"/>
                <w:numId w:val="12"/>
              </w:numPr>
              <w:adjustRightInd w:val="0"/>
              <w:snapToGrid w:val="0"/>
              <w:spacing w:before="60" w:line="276" w:lineRule="auto"/>
              <w:ind w:firstLineChars="0"/>
              <w:jc w:val="center"/>
              <w:rPr>
                <w:rFonts w:ascii="宋体" w:hAnsi="宋体"/>
                <w:b/>
                <w:bCs/>
                <w:color w:val="auto"/>
                <w:highlight w:val="none"/>
              </w:rPr>
            </w:pPr>
            <w:bookmarkStart w:id="132" w:name="_Hlk166080754"/>
          </w:p>
        </w:tc>
        <w:tc>
          <w:tcPr>
            <w:tcW w:w="574"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pPr>
              <w:adjustRightInd w:val="0"/>
              <w:snapToGrid w:val="0"/>
              <w:spacing w:before="60" w:line="276" w:lineRule="auto"/>
              <w:jc w:val="center"/>
              <w:rPr>
                <w:rFonts w:ascii="宋体" w:hAnsi="宋体"/>
                <w:color w:val="auto"/>
                <w:highlight w:val="none"/>
              </w:rPr>
            </w:pPr>
          </w:p>
        </w:tc>
      </w:tr>
      <w:bookmarkEnd w:id="131"/>
      <w:bookmarkEnd w:id="132"/>
    </w:tbl>
    <w:p>
      <w:pPr>
        <w:pStyle w:val="2"/>
        <w:rPr>
          <w:rFonts w:hint="eastAsia"/>
          <w:color w:val="auto"/>
          <w:highlight w:val="none"/>
        </w:rPr>
        <w:sectPr>
          <w:headerReference r:id="rId13" w:type="default"/>
          <w:footerReference r:id="rId14" w:type="default"/>
          <w:pgSz w:w="11907" w:h="16840"/>
          <w:pgMar w:top="1247" w:right="1191" w:bottom="1247" w:left="1191" w:header="851" w:footer="992" w:gutter="0"/>
          <w:pgNumType w:fmt="decimal"/>
          <w:cols w:space="720" w:num="1"/>
          <w:docGrid w:linePitch="312" w:charSpace="0"/>
        </w:sectPr>
      </w:pPr>
    </w:p>
    <w:p>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b/>
          <w:color w:val="auto"/>
          <w:sz w:val="21"/>
          <w:szCs w:val="21"/>
          <w:highlight w:val="none"/>
        </w:rPr>
      </w:pPr>
      <w:bookmarkStart w:id="133" w:name="_Toc2588"/>
      <w:r>
        <w:rPr>
          <w:rFonts w:hint="eastAsia" w:ascii="宋体" w:hAnsi="宋体" w:eastAsia="宋体" w:cs="宋体"/>
          <w:color w:val="auto"/>
          <w:sz w:val="21"/>
          <w:szCs w:val="21"/>
          <w:highlight w:val="none"/>
        </w:rPr>
        <w:t>附件4：</w:t>
      </w:r>
      <w:bookmarkEnd w:id="133"/>
      <w:r>
        <w:rPr>
          <w:rFonts w:hint="eastAsia" w:ascii="宋体" w:hAnsi="宋体" w:eastAsia="宋体" w:cs="宋体"/>
          <w:b/>
          <w:color w:val="auto"/>
          <w:sz w:val="21"/>
          <w:szCs w:val="21"/>
          <w:highlight w:val="none"/>
        </w:rPr>
        <w:t>广东省建设工程造价咨询服务收费项目和收费标准表</w:t>
      </w:r>
    </w:p>
    <w:tbl>
      <w:tblPr>
        <w:tblStyle w:val="33"/>
        <w:tblW w:w="14376" w:type="dxa"/>
        <w:tblInd w:w="0" w:type="dxa"/>
        <w:tblLayout w:type="fixed"/>
        <w:tblCellMar>
          <w:top w:w="0" w:type="dxa"/>
          <w:left w:w="15" w:type="dxa"/>
          <w:bottom w:w="0" w:type="dxa"/>
          <w:right w:w="15" w:type="dxa"/>
        </w:tblCellMar>
      </w:tblPr>
      <w:tblGrid>
        <w:gridCol w:w="1139"/>
        <w:gridCol w:w="577"/>
        <w:gridCol w:w="195"/>
        <w:gridCol w:w="240"/>
        <w:gridCol w:w="767"/>
        <w:gridCol w:w="2662"/>
        <w:gridCol w:w="1125"/>
        <w:gridCol w:w="1029"/>
        <w:gridCol w:w="1030"/>
        <w:gridCol w:w="1078"/>
        <w:gridCol w:w="1127"/>
        <w:gridCol w:w="1200"/>
        <w:gridCol w:w="932"/>
        <w:gridCol w:w="1275"/>
      </w:tblGrid>
      <w:tr>
        <w:tblPrEx>
          <w:tblCellMar>
            <w:top w:w="0" w:type="dxa"/>
            <w:left w:w="15" w:type="dxa"/>
            <w:bottom w:w="0" w:type="dxa"/>
            <w:right w:w="15" w:type="dxa"/>
          </w:tblCellMar>
        </w:tblPrEx>
        <w:trPr>
          <w:trHeight w:val="307" w:hRule="atLeast"/>
        </w:trPr>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广东省建设工程造价咨询服务收费项目和收费标准表</w:t>
            </w:r>
            <w:r>
              <w:rPr>
                <w:rFonts w:hint="eastAsia" w:ascii="宋体" w:hAnsi="宋体" w:eastAsia="宋体" w:cs="宋体"/>
                <w:color w:val="auto"/>
                <w:sz w:val="21"/>
                <w:szCs w:val="21"/>
                <w:highlight w:val="none"/>
              </w:rPr>
              <w:t>序号</w:t>
            </w:r>
          </w:p>
        </w:tc>
        <w:tc>
          <w:tcPr>
            <w:tcW w:w="177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咨询项目名称</w:t>
            </w:r>
          </w:p>
        </w:tc>
        <w:tc>
          <w:tcPr>
            <w:tcW w:w="26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收费基数</w:t>
            </w:r>
          </w:p>
        </w:tc>
        <w:tc>
          <w:tcPr>
            <w:tcW w:w="639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最高收费标准</w:t>
            </w:r>
          </w:p>
        </w:tc>
        <w:tc>
          <w:tcPr>
            <w:tcW w:w="1275"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15" w:type="dxa"/>
            <w:bottom w:w="0" w:type="dxa"/>
            <w:right w:w="15" w:type="dxa"/>
          </w:tblCellMar>
        </w:tblPrEx>
        <w:trPr>
          <w:trHeight w:val="555"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7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6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100万元以内</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101-500万元</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501-1000万元</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1001-5000万元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5001万元-1亿元</w:t>
            </w:r>
          </w:p>
        </w:tc>
        <w:tc>
          <w:tcPr>
            <w:tcW w:w="93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1亿元以上</w:t>
            </w:r>
          </w:p>
        </w:tc>
        <w:tc>
          <w:tcPr>
            <w:tcW w:w="1275" w:type="dxa"/>
            <w:vMerge w:val="continue"/>
            <w:tcBorders>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15" w:type="dxa"/>
            <w:bottom w:w="0" w:type="dxa"/>
            <w:right w:w="15" w:type="dxa"/>
          </w:tblCellMar>
        </w:tblPrEx>
        <w:trPr>
          <w:trHeight w:val="1065"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投资估算的编制或审核</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依据建设项目可行性研究方案编制或核对项目投资估算，出具投资估算报告或审核报告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估算价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93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CellMar>
            <w:top w:w="0" w:type="dxa"/>
            <w:left w:w="15" w:type="dxa"/>
            <w:bottom w:w="0" w:type="dxa"/>
            <w:right w:w="15" w:type="dxa"/>
          </w:tblCellMar>
        </w:tblPrEx>
        <w:trPr>
          <w:trHeight w:val="780"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工程概算的编制或审核</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依据初步设计图纸计算或复核工程量，出具工程概算书或审核报告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概算价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CellMar>
            <w:top w:w="0" w:type="dxa"/>
            <w:left w:w="15" w:type="dxa"/>
            <w:bottom w:w="0" w:type="dxa"/>
            <w:right w:w="15" w:type="dxa"/>
          </w:tblCellMar>
        </w:tblPrEx>
        <w:trPr>
          <w:trHeight w:val="810" w:hRule="atLeast"/>
        </w:trPr>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工程预算的编制或审核</w:t>
            </w:r>
          </w:p>
        </w:tc>
        <w:tc>
          <w:tcPr>
            <w:tcW w:w="43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清单计价法</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单独编制或审核工程量清单</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依据施工图编制或审核工程量清单，出具工程量清单书或审核报告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预算造价（预算价、招标控制价）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2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CellMar>
            <w:top w:w="0" w:type="dxa"/>
            <w:left w:w="15" w:type="dxa"/>
            <w:bottom w:w="0" w:type="dxa"/>
            <w:right w:w="15" w:type="dxa"/>
          </w:tblCellMar>
        </w:tblPrEx>
        <w:trPr>
          <w:trHeight w:val="870"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4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单独编制或审核预算造价</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依据施工图、工程量清单编制或审核工程量清单报价，出具工程报价书或审核报告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预算造价（预算价、招标控制价、投标报价）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CellMar>
            <w:top w:w="0" w:type="dxa"/>
            <w:left w:w="15" w:type="dxa"/>
            <w:bottom w:w="0" w:type="dxa"/>
            <w:right w:w="15" w:type="dxa"/>
          </w:tblCellMar>
        </w:tblPrEx>
        <w:trPr>
          <w:trHeight w:val="750"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4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定额计价法</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编制或审核预算造价</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依据施工图编制或审核工程预算，出具工程预算书或审核报告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预算造价（预算价、招标控制价、投标报价）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CellMar>
            <w:top w:w="0" w:type="dxa"/>
            <w:left w:w="15" w:type="dxa"/>
            <w:bottom w:w="0" w:type="dxa"/>
            <w:right w:w="15" w:type="dxa"/>
          </w:tblCellMar>
        </w:tblPrEx>
        <w:trPr>
          <w:trHeight w:val="519"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工程结算的编制</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依据竣工图等竣工资料编制工程结算，出具工程结算书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275" w:type="dxa"/>
            <w:tcBorders>
              <w:top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CellMar>
            <w:top w:w="0" w:type="dxa"/>
            <w:left w:w="15" w:type="dxa"/>
            <w:bottom w:w="0" w:type="dxa"/>
            <w:right w:w="15" w:type="dxa"/>
          </w:tblCellMar>
        </w:tblPrEx>
        <w:trPr>
          <w:trHeight w:val="735" w:hRule="atLeast"/>
        </w:trPr>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工程结算审核</w:t>
            </w:r>
          </w:p>
        </w:tc>
        <w:tc>
          <w:tcPr>
            <w:tcW w:w="10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（1）基本收费</w:t>
            </w:r>
          </w:p>
        </w:tc>
        <w:tc>
          <w:tcPr>
            <w:tcW w:w="26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依据竣工图、签证资料、工程结算书等进行审核，出具工程结算审核报告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送审结算价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5" w:type="dxa"/>
            <w:vMerge w:val="restart"/>
            <w:tcBorders>
              <w:top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CellMar>
            <w:top w:w="0" w:type="dxa"/>
            <w:left w:w="15" w:type="dxa"/>
            <w:bottom w:w="0" w:type="dxa"/>
            <w:right w:w="15" w:type="dxa"/>
          </w:tblCellMar>
        </w:tblPrEx>
        <w:trPr>
          <w:trHeight w:val="468"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（2）效益收费</w:t>
            </w:r>
          </w:p>
        </w:tc>
        <w:tc>
          <w:tcPr>
            <w:tcW w:w="26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|核减额|+|核增额|</w:t>
            </w:r>
          </w:p>
        </w:tc>
        <w:tc>
          <w:tcPr>
            <w:tcW w:w="6396"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75" w:type="dxa"/>
            <w:vMerge w:val="continue"/>
            <w:tcBorders>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15" w:type="dxa"/>
            <w:bottom w:w="0" w:type="dxa"/>
            <w:right w:w="15" w:type="dxa"/>
          </w:tblCellMar>
        </w:tblPrEx>
        <w:trPr>
          <w:trHeight w:val="432"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施工阶段全过程造价控制</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工程量清单编制开始到工程结算审核的造价咨询服务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概算价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差额定率累进计费，不包括驻场人员的费用</w:t>
            </w:r>
          </w:p>
        </w:tc>
      </w:tr>
      <w:tr>
        <w:tblPrEx>
          <w:tblCellMar>
            <w:top w:w="0" w:type="dxa"/>
            <w:left w:w="15" w:type="dxa"/>
            <w:bottom w:w="0" w:type="dxa"/>
            <w:right w:w="15" w:type="dxa"/>
          </w:tblCellMar>
        </w:tblPrEx>
        <w:trPr>
          <w:trHeight w:val="990" w:hRule="atLeast"/>
        </w:trPr>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7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工程造价纠纷鉴证</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受委托进行鉴证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鉴证后标的额</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3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差额定率累进计费；原被告单方有造价或双方均无造价</w:t>
            </w:r>
          </w:p>
        </w:tc>
      </w:tr>
      <w:tr>
        <w:tblPrEx>
          <w:tblCellMar>
            <w:top w:w="0" w:type="dxa"/>
            <w:left w:w="15" w:type="dxa"/>
            <w:bottom w:w="0" w:type="dxa"/>
            <w:right w:w="15" w:type="dxa"/>
          </w:tblCellMar>
        </w:tblPrEx>
        <w:trPr>
          <w:trHeight w:val="615"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7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受委托进行鉴证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争议差额</w:t>
            </w:r>
          </w:p>
        </w:tc>
        <w:tc>
          <w:tcPr>
            <w:tcW w:w="6396"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争议差额在1000万以下（含1000万）按5%收取，1000万以上按4%收取</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双方各有造价</w:t>
            </w:r>
          </w:p>
        </w:tc>
      </w:tr>
      <w:tr>
        <w:tblPrEx>
          <w:tblCellMar>
            <w:top w:w="0" w:type="dxa"/>
            <w:left w:w="15" w:type="dxa"/>
            <w:bottom w:w="0" w:type="dxa"/>
            <w:right w:w="15" w:type="dxa"/>
          </w:tblCellMar>
        </w:tblPrEx>
        <w:trPr>
          <w:trHeight w:val="1170"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钢筋及预埋件计算</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依据施工图纸、设计标准和施工操作规程计算或审核钢筋（或铁件）重量，提供完整的钢筋（或铁件）重量计算明细表、汇总表或审核报告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按实际钢筋使用量</w:t>
            </w:r>
          </w:p>
        </w:tc>
        <w:tc>
          <w:tcPr>
            <w:tcW w:w="639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12元/吨</w:t>
            </w:r>
          </w:p>
        </w:tc>
        <w:tc>
          <w:tcPr>
            <w:tcW w:w="1275" w:type="dxa"/>
            <w:tcBorders>
              <w:top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15" w:type="dxa"/>
            <w:bottom w:w="0" w:type="dxa"/>
            <w:right w:w="15" w:type="dxa"/>
          </w:tblCellMar>
        </w:tblPrEx>
        <w:trPr>
          <w:trHeight w:val="1170" w:hRule="atLeast"/>
        </w:trPr>
        <w:tc>
          <w:tcPr>
            <w:tcW w:w="113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79" w:type="dxa"/>
            <w:gridSpan w:val="4"/>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工程造价咨询工日收费标准</w:t>
            </w:r>
          </w:p>
        </w:tc>
        <w:tc>
          <w:tcPr>
            <w:tcW w:w="26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受委托派出专业人员从事工程造价咨询服务</w:t>
            </w:r>
          </w:p>
        </w:tc>
        <w:tc>
          <w:tcPr>
            <w:tcW w:w="112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工时</w:t>
            </w:r>
          </w:p>
        </w:tc>
        <w:tc>
          <w:tcPr>
            <w:tcW w:w="6396"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具有高级工程师职称的注册造价师：190元/人·工作小时；注册造价师或高级职称的咨询人员：150元/人·工作小时；工程造价中级资格专业人员：100元/人·工作小时；工程造价初级资格专业人员：60元/人·工作小时</w:t>
            </w:r>
          </w:p>
        </w:tc>
        <w:tc>
          <w:tcPr>
            <w:tcW w:w="1275" w:type="dxa"/>
            <w:tcBorders>
              <w:top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bl>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Style w:val="2"/>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注： </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1.本计费标准均未考虑各咨询人的投标下浮，具体的咨询服务费用应按《东莞市财政性资金投资建设项目工程造价咨询合同》约定的下浮率计算。</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建设工程项目（包括房屋建筑、市政工程、园林绿化、安装工程、城市轨道交通）招标控制价（含工程量清单）编制费按单独编制预算收费标准的60%和单独编制工程量清单收费标准两项相加计算，其他情况预算编制费按照定额计价法收费标准计费。上述工程招标控制价（含工程量清单）、预算审核费按照相对应的编制费乘以0.9的系数计算。</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.以上编审预、结算的咨询费用已含编审项目的抽审钢筋实际用量的费用。</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.特殊项目的收费标准另行商议。</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按以上内容计算咨询费后，不另行计算其他一切费用（如现场查勘、外出考察、外聘专家等）。</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.以上咨询费为含税金额。</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本项目</w:t>
      </w:r>
      <w:r>
        <w:rPr>
          <w:rFonts w:hint="eastAsia" w:ascii="宋体" w:hAnsi="宋体" w:eastAsia="宋体" w:cs="宋体"/>
          <w:b/>
          <w:bCs/>
          <w:color w:val="auto"/>
          <w:sz w:val="21"/>
          <w:szCs w:val="21"/>
          <w:highlight w:val="none"/>
          <w:lang w:eastAsia="zh-CN"/>
        </w:rPr>
        <w:t>以</w:t>
      </w:r>
      <w:r>
        <w:rPr>
          <w:rFonts w:hint="eastAsia" w:ascii="宋体" w:hAnsi="宋体" w:eastAsia="宋体" w:cs="宋体"/>
          <w:b/>
          <w:bCs/>
          <w:color w:val="auto"/>
          <w:sz w:val="21"/>
          <w:szCs w:val="21"/>
          <w:highlight w:val="none"/>
        </w:rPr>
        <w:t>累计工程预算价</w:t>
      </w:r>
      <w:r>
        <w:rPr>
          <w:rFonts w:hint="eastAsia" w:ascii="宋体" w:hAnsi="宋体" w:eastAsia="宋体" w:cs="宋体"/>
          <w:b/>
          <w:bCs/>
          <w:color w:val="auto"/>
          <w:sz w:val="21"/>
          <w:szCs w:val="21"/>
          <w:highlight w:val="none"/>
          <w:lang w:eastAsia="zh-CN"/>
        </w:rPr>
        <w:t>（下浮前）为计费基数。</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sectPr>
          <w:headerReference r:id="rId17" w:type="first"/>
          <w:headerReference r:id="rId15" w:type="default"/>
          <w:footerReference r:id="rId18" w:type="default"/>
          <w:headerReference r:id="rId16" w:type="even"/>
          <w:pgSz w:w="16840" w:h="11907" w:orient="landscape"/>
          <w:pgMar w:top="1191" w:right="1247" w:bottom="1191" w:left="1247" w:header="851" w:footer="992" w:gutter="0"/>
          <w:pgNumType w:fmt="decimal"/>
          <w:cols w:space="720" w:num="1"/>
          <w:docGrid w:linePitch="312" w:charSpace="0"/>
        </w:sectPr>
      </w:pPr>
    </w:p>
    <w:p>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color w:val="auto"/>
          <w:sz w:val="21"/>
          <w:szCs w:val="21"/>
          <w:highlight w:val="none"/>
        </w:rPr>
      </w:pPr>
      <w:bookmarkStart w:id="134" w:name="_Toc21923"/>
      <w:r>
        <w:rPr>
          <w:rFonts w:hint="eastAsia" w:ascii="宋体" w:hAnsi="宋体" w:eastAsia="宋体" w:cs="宋体"/>
          <w:color w:val="auto"/>
          <w:sz w:val="21"/>
          <w:szCs w:val="21"/>
          <w:highlight w:val="none"/>
        </w:rPr>
        <w:t>附件5：工程造价咨询委托单</w:t>
      </w:r>
      <w:bookmarkEnd w:id="134"/>
    </w:p>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工程造价咨询委托单</w:t>
      </w:r>
    </w:p>
    <w:tbl>
      <w:tblPr>
        <w:tblStyle w:val="33"/>
        <w:tblpPr w:leftFromText="180" w:rightFromText="180" w:vertAnchor="page" w:horzAnchor="page" w:tblpX="1335" w:tblpY="2638"/>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4959"/>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8"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bookmarkStart w:id="135" w:name="RANGE!A1:D25"/>
            <w:bookmarkEnd w:id="135"/>
            <w:r>
              <w:rPr>
                <w:rFonts w:hint="eastAsia" w:ascii="宋体" w:hAnsi="宋体" w:eastAsia="宋体" w:cs="宋体"/>
                <w:color w:val="auto"/>
                <w:sz w:val="21"/>
                <w:szCs w:val="21"/>
                <w:highlight w:val="none"/>
              </w:rPr>
              <w:t>委托人（单位）：</w:t>
            </w:r>
          </w:p>
        </w:tc>
        <w:tc>
          <w:tcPr>
            <w:tcW w:w="4959"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3" w:type="dxa"/>
            <w:vMerge w:val="restart"/>
            <w:noWrap w:val="0"/>
            <w:vAlign w:val="top"/>
          </w:tcPr>
          <w:p>
            <w:pPr>
              <w:pageBreakBefore w:val="0"/>
              <w:widowControl/>
              <w:kinsoku/>
              <w:wordWrap w:val="0"/>
              <w:overflowPunct/>
              <w:topLinePunct w:val="0"/>
              <w:autoSpaceDE/>
              <w:autoSpaceDN/>
              <w:bidi w:val="0"/>
              <w:adjustRightInd w:val="0"/>
              <w:snapToGrid w:val="0"/>
              <w:spacing w:line="360" w:lineRule="auto"/>
              <w:ind w:righ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委托编号: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128"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4959"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p>
        </w:tc>
        <w:tc>
          <w:tcPr>
            <w:tcW w:w="2583" w:type="dxa"/>
            <w:vMerge w:val="continue"/>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28"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w:t>
            </w:r>
          </w:p>
        </w:tc>
        <w:tc>
          <w:tcPr>
            <w:tcW w:w="7542" w:type="dxa"/>
            <w:gridSpan w:val="2"/>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28"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p>
        </w:tc>
        <w:tc>
          <w:tcPr>
            <w:tcW w:w="7542" w:type="dxa"/>
            <w:gridSpan w:val="2"/>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28"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工程地点：</w:t>
            </w:r>
          </w:p>
        </w:tc>
        <w:tc>
          <w:tcPr>
            <w:tcW w:w="7542" w:type="dxa"/>
            <w:gridSpan w:val="2"/>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pPr>
              <w:pageBreakBefore w:val="0"/>
              <w:widowControl/>
              <w:numPr>
                <w:ilvl w:val="0"/>
                <w:numId w:val="13"/>
              </w:numPr>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咨询内容：1.编制/审核预算( □抽筋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不抽筋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定额模式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清单模式)</w:t>
            </w:r>
          </w:p>
          <w:p>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2.编制/审核工程标底预算及工程量清单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3.编制/审核估算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4.编制/审核结算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0" w:type="dxa"/>
            <w:gridSpan w:val="3"/>
            <w:noWrap w:val="0"/>
            <w:vAlign w:val="top"/>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二、采用造价依据：(1) 按现行计价办法编制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(2) 其它要求:   按合同□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三、时间要求：</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1.技术交底时间：xx 年xx月xx日上午10：00，交底地点：甲方会议室，请贵司业务负责人及经办人参加；</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2.过程中需协调的问题、及无合同单价须定价的项目，请在xxxx年xx月xx日前全部提交；</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3.成果文件初稿需在xx年xx月 xx日前提交；</w:t>
            </w:r>
          </w:p>
          <w:p>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4.成果文件终稿需在 xx年xx月xx日前提交，并退回所有从甲方处领取的资料；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四、电子文件命名要求：</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文件名称+终稿日期（合同编号+XX项目XX工程）</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如：存在问题2009-10-18（XXX工程）；</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工程预/结算书2009-10-18（XXX工程）；</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预/结算审核工程量表2009-10-18（XXX工程）；</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技术经济指标分析表2009-10-18（XXX工程）；</w:t>
            </w:r>
          </w:p>
          <w:p>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招标工程量清单2009-10-18（XXX工程）；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1.请贵司在接到委托单扫描件后8小时内，联系我司招标成本部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（办公室电话：0769-28681293，手机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），并持贵司签字盖章后的委托单及大容量U盘或硬盘到XXXXX领取相关资料。</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2.其他未尽事项按《XXX》（合同编号： XXXX）中相应条款执行。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670" w:type="dxa"/>
            <w:gridSpan w:val="3"/>
            <w:tcBorders>
              <w:top w:val="nil"/>
              <w:left w:val="single" w:color="auto" w:sz="4" w:space="0"/>
              <w:bottom w:val="nil"/>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ind w:firstLine="4200" w:firstLineChars="20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东莞市东实旗云投资有限公司</w:t>
            </w:r>
            <w:r>
              <w:rPr>
                <w:rFonts w:hint="eastAsia" w:ascii="宋体" w:hAnsi="宋体" w:eastAsia="宋体" w:cs="宋体"/>
                <w:color w:val="auto"/>
                <w:sz w:val="21"/>
                <w:szCs w:val="21"/>
                <w:highlight w:val="none"/>
              </w:rPr>
              <w:t>招标成本部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670" w:type="dxa"/>
            <w:gridSpan w:val="3"/>
            <w:tcBorders>
              <w:top w:val="nil"/>
              <w:left w:val="single" w:color="auto" w:sz="4" w:space="0"/>
              <w:bottom w:val="nil"/>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ind w:firstLine="5250" w:firstLineChars="2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70" w:type="dxa"/>
            <w:gridSpan w:val="3"/>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670" w:type="dxa"/>
            <w:gridSpan w:val="3"/>
            <w:tcBorders>
              <w:top w:val="single" w:color="auto" w:sz="4" w:space="0"/>
              <w:left w:val="single" w:color="auto" w:sz="4" w:space="0"/>
              <w:bottom w:val="nil"/>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造价咨询公司法定代表人（授权人）(签字盖章)：_________________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670" w:type="dxa"/>
            <w:gridSpan w:val="3"/>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咨询方本次项目负责(经办)人：            , 所负责本次项目的名称：                      .</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    机：                              座机:0769--                 .</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电子邮箱：                               QQ号:                        </w:t>
            </w:r>
          </w:p>
        </w:tc>
      </w:tr>
    </w:tbl>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val="0"/>
          <w:bCs/>
          <w:color w:val="auto"/>
          <w:sz w:val="21"/>
          <w:szCs w:val="21"/>
          <w:highlight w:val="none"/>
        </w:rPr>
      </w:pPr>
      <w:bookmarkStart w:id="136" w:name="_Toc23352"/>
    </w:p>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附件6：东实集团及下属单位工程建设项目造价编制工作手册</w:t>
      </w:r>
      <w:bookmarkEnd w:id="136"/>
    </w:p>
    <w:tbl>
      <w:tblPr>
        <w:tblStyle w:val="33"/>
        <w:tblW w:w="9437" w:type="dxa"/>
        <w:jc w:val="center"/>
        <w:tblLayout w:type="fixed"/>
        <w:tblCellMar>
          <w:top w:w="0" w:type="dxa"/>
          <w:left w:w="0" w:type="dxa"/>
          <w:bottom w:w="0" w:type="dxa"/>
          <w:right w:w="0" w:type="dxa"/>
        </w:tblCellMar>
      </w:tblPr>
      <w:tblGrid>
        <w:gridCol w:w="399"/>
        <w:gridCol w:w="2586"/>
        <w:gridCol w:w="232"/>
        <w:gridCol w:w="1408"/>
        <w:gridCol w:w="692"/>
        <w:gridCol w:w="1314"/>
        <w:gridCol w:w="633"/>
        <w:gridCol w:w="1050"/>
        <w:gridCol w:w="1033"/>
        <w:gridCol w:w="90"/>
      </w:tblGrid>
      <w:tr>
        <w:tblPrEx>
          <w:tblCellMar>
            <w:top w:w="0" w:type="dxa"/>
            <w:left w:w="0" w:type="dxa"/>
            <w:bottom w:w="0" w:type="dxa"/>
            <w:right w:w="0" w:type="dxa"/>
          </w:tblCellMar>
        </w:tblPrEx>
        <w:trPr>
          <w:trHeight w:val="1035"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806" w:type="dxa"/>
            <w:gridSpan w:val="4"/>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项目接受编号：</w:t>
            </w:r>
          </w:p>
        </w:tc>
      </w:tr>
      <w:tr>
        <w:tblPrEx>
          <w:tblCellMar>
            <w:top w:w="0" w:type="dxa"/>
            <w:left w:w="0" w:type="dxa"/>
            <w:bottom w:w="0" w:type="dxa"/>
            <w:right w:w="0" w:type="dxa"/>
          </w:tblCellMar>
        </w:tblPrEx>
        <w:trPr>
          <w:trHeight w:val="820" w:hRule="atLeast"/>
          <w:jc w:val="center"/>
        </w:trPr>
        <w:tc>
          <w:tcPr>
            <w:tcW w:w="9437" w:type="dxa"/>
            <w:gridSpan w:val="10"/>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东实集团及下属单位工程建设项目</w:t>
            </w:r>
          </w:p>
        </w:tc>
      </w:tr>
      <w:tr>
        <w:tblPrEx>
          <w:tblCellMar>
            <w:top w:w="0" w:type="dxa"/>
            <w:left w:w="0" w:type="dxa"/>
            <w:bottom w:w="0" w:type="dxa"/>
            <w:right w:w="0" w:type="dxa"/>
          </w:tblCellMar>
        </w:tblPrEx>
        <w:trPr>
          <w:trHeight w:val="820" w:hRule="atLeast"/>
          <w:jc w:val="center"/>
        </w:trPr>
        <w:tc>
          <w:tcPr>
            <w:tcW w:w="9437" w:type="dxa"/>
            <w:gridSpan w:val="10"/>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造价编制工作手册</w:t>
            </w:r>
          </w:p>
        </w:tc>
      </w:tr>
      <w:tr>
        <w:tblPrEx>
          <w:tblCellMar>
            <w:top w:w="0" w:type="dxa"/>
            <w:left w:w="0" w:type="dxa"/>
            <w:bottom w:w="0" w:type="dxa"/>
            <w:right w:w="0" w:type="dxa"/>
          </w:tblCellMar>
        </w:tblPrEx>
        <w:trPr>
          <w:trHeight w:val="1168"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006" w:type="dxa"/>
            <w:gridSpan w:val="2"/>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1168"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建设项目：</w:t>
            </w: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5097" w:type="dxa"/>
            <w:gridSpan w:val="5"/>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bidi="ar"/>
              </w:rPr>
              <w:t xml:space="preserve">                          </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委托单位：</w:t>
            </w: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5097" w:type="dxa"/>
            <w:gridSpan w:val="5"/>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u w:val="single"/>
                <w:lang w:val="en-US" w:eastAsia="zh-CN" w:bidi="ar"/>
              </w:rPr>
              <w:t xml:space="preserve">                           </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造价咨询服务单位:</w:t>
            </w: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ind w:firstLine="2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tc>
        <w:tc>
          <w:tcPr>
            <w:tcW w:w="5097" w:type="dxa"/>
            <w:gridSpan w:val="5"/>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bidi="ar"/>
              </w:rPr>
              <w:t xml:space="preserve">                           </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造价咨询专业：</w:t>
            </w: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土建</w:t>
            </w: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安装</w:t>
            </w: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□市政</w:t>
            </w: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装饰</w:t>
            </w: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□水利</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园林绿化</w:t>
            </w: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□港口</w:t>
            </w: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□公路</w:t>
            </w:r>
          </w:p>
        </w:tc>
        <w:tc>
          <w:tcPr>
            <w:tcW w:w="2997" w:type="dxa"/>
            <w:gridSpan w:val="3"/>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□甲供材料及设备</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□其他</w:t>
            </w: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造价咨询类型：</w:t>
            </w: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□概算</w:t>
            </w: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□预算</w:t>
            </w: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□招标控制价</w:t>
            </w: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□进度款</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□拆迁补偿</w:t>
            </w: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□其他</w:t>
            </w: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□工程结算</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14"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14"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2" w:hRule="atLeast"/>
          <w:jc w:val="center"/>
        </w:trPr>
        <w:tc>
          <w:tcPr>
            <w:tcW w:w="9437" w:type="dxa"/>
            <w:gridSpan w:val="10"/>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年    月    日</w:t>
            </w:r>
          </w:p>
        </w:tc>
      </w:tr>
    </w:tbl>
    <w:p>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6117590" cy="8651240"/>
            <wp:effectExtent l="0" t="0" r="16510" b="16510"/>
            <wp:docPr id="6" name="图片 6"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1"/>
                    <pic:cNvPicPr>
                      <a:picLocks noChangeAspect="1"/>
                    </pic:cNvPicPr>
                  </pic:nvPicPr>
                  <pic:blipFill>
                    <a:blip r:embed="rId20"/>
                    <a:stretch>
                      <a:fillRect/>
                    </a:stretch>
                  </pic:blipFill>
                  <pic:spPr>
                    <a:xfrm>
                      <a:off x="0" y="0"/>
                      <a:ext cx="6117590" cy="8651240"/>
                    </a:xfrm>
                    <a:prstGeom prst="rect">
                      <a:avLst/>
                    </a:prstGeom>
                    <a:noFill/>
                    <a:ln>
                      <a:noFill/>
                    </a:ln>
                  </pic:spPr>
                </pic:pic>
              </a:graphicData>
            </a:graphic>
          </wp:inline>
        </w:drawing>
      </w:r>
    </w:p>
    <w:tbl>
      <w:tblPr>
        <w:tblStyle w:val="33"/>
        <w:tblW w:w="9487" w:type="dxa"/>
        <w:jc w:val="center"/>
        <w:tblLayout w:type="fixed"/>
        <w:tblCellMar>
          <w:top w:w="0" w:type="dxa"/>
          <w:left w:w="0" w:type="dxa"/>
          <w:bottom w:w="0" w:type="dxa"/>
          <w:right w:w="0" w:type="dxa"/>
        </w:tblCellMar>
      </w:tblPr>
      <w:tblGrid>
        <w:gridCol w:w="675"/>
        <w:gridCol w:w="1290"/>
        <w:gridCol w:w="1095"/>
        <w:gridCol w:w="1545"/>
        <w:gridCol w:w="1110"/>
        <w:gridCol w:w="1397"/>
        <w:gridCol w:w="1038"/>
        <w:gridCol w:w="1337"/>
      </w:tblGrid>
      <w:tr>
        <w:tblPrEx>
          <w:tblCellMar>
            <w:top w:w="0" w:type="dxa"/>
            <w:left w:w="0" w:type="dxa"/>
            <w:bottom w:w="0" w:type="dxa"/>
            <w:right w:w="0" w:type="dxa"/>
          </w:tblCellMar>
        </w:tblPrEx>
        <w:trPr>
          <w:trHeight w:val="540" w:hRule="atLeast"/>
          <w:jc w:val="center"/>
        </w:trPr>
        <w:tc>
          <w:tcPr>
            <w:tcW w:w="9487" w:type="dxa"/>
            <w:gridSpan w:val="8"/>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项目工作流程表（一）</w:t>
            </w:r>
          </w:p>
        </w:tc>
      </w:tr>
      <w:tr>
        <w:tblPrEx>
          <w:tblCellMar>
            <w:top w:w="0" w:type="dxa"/>
            <w:left w:w="0" w:type="dxa"/>
            <w:bottom w:w="0" w:type="dxa"/>
            <w:right w:w="0" w:type="dxa"/>
          </w:tblCellMar>
        </w:tblPrEx>
        <w:trPr>
          <w:trHeight w:val="540" w:hRule="atLeast"/>
          <w:jc w:val="center"/>
        </w:trPr>
        <w:tc>
          <w:tcPr>
            <w:tcW w:w="1965" w:type="dxa"/>
            <w:gridSpan w:val="2"/>
            <w:tcBorders>
              <w:top w:val="nil"/>
              <w:left w:val="nil"/>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项目接收编号：</w:t>
            </w:r>
          </w:p>
        </w:tc>
        <w:tc>
          <w:tcPr>
            <w:tcW w:w="10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54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110"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397"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038"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337"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tblPrEx>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中介接收委托阶段</w:t>
            </w:r>
          </w:p>
        </w:tc>
        <w:tc>
          <w:tcPr>
            <w:tcW w:w="23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收到咨询服务合同</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委托人</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签收人</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交接项目资料时间</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委托人</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签收人</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资料接收清单</w:t>
            </w:r>
          </w:p>
        </w:tc>
        <w:tc>
          <w:tcPr>
            <w:tcW w:w="154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c>
          <w:tcPr>
            <w:tcW w:w="25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资料接收清单索引号</w:t>
            </w:r>
          </w:p>
        </w:tc>
        <w:tc>
          <w:tcPr>
            <w:tcW w:w="23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73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用户需求</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要求完成   时间</w:t>
            </w:r>
          </w:p>
        </w:tc>
        <w:tc>
          <w:tcPr>
            <w:tcW w:w="64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289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咨询内容     及范围</w:t>
            </w:r>
          </w:p>
        </w:tc>
        <w:tc>
          <w:tcPr>
            <w:tcW w:w="64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CellMar>
            <w:top w:w="0" w:type="dxa"/>
            <w:left w:w="0" w:type="dxa"/>
            <w:bottom w:w="0" w:type="dxa"/>
            <w:right w:w="0" w:type="dxa"/>
          </w:tblCellMar>
        </w:tblPrEx>
        <w:trPr>
          <w:trHeight w:val="3623"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工程概况及其它应说明的事项</w:t>
            </w:r>
          </w:p>
        </w:tc>
        <w:tc>
          <w:tcPr>
            <w:tcW w:w="64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委托方</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名称</w:t>
            </w:r>
          </w:p>
        </w:tc>
        <w:tc>
          <w:tcPr>
            <w:tcW w:w="40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联系人</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E-mail</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传真</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电话</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咨询方</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名称</w:t>
            </w:r>
          </w:p>
        </w:tc>
        <w:tc>
          <w:tcPr>
            <w:tcW w:w="40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联系人</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E-mail</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传真</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电话</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bl>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br w:type="page"/>
      </w:r>
    </w:p>
    <w:tbl>
      <w:tblPr>
        <w:tblStyle w:val="33"/>
        <w:tblW w:w="9487" w:type="dxa"/>
        <w:jc w:val="center"/>
        <w:tblLayout w:type="fixed"/>
        <w:tblCellMar>
          <w:top w:w="0" w:type="dxa"/>
          <w:left w:w="0" w:type="dxa"/>
          <w:bottom w:w="0" w:type="dxa"/>
          <w:right w:w="0" w:type="dxa"/>
        </w:tblCellMar>
      </w:tblPr>
      <w:tblGrid>
        <w:gridCol w:w="675"/>
        <w:gridCol w:w="1875"/>
        <w:gridCol w:w="1620"/>
        <w:gridCol w:w="1845"/>
        <w:gridCol w:w="1560"/>
        <w:gridCol w:w="1912"/>
      </w:tblGrid>
      <w:tr>
        <w:tblPrEx>
          <w:tblCellMar>
            <w:top w:w="0" w:type="dxa"/>
            <w:left w:w="0" w:type="dxa"/>
            <w:bottom w:w="0" w:type="dxa"/>
            <w:right w:w="0" w:type="dxa"/>
          </w:tblCellMar>
        </w:tblPrEx>
        <w:trPr>
          <w:trHeight w:val="450" w:hRule="atLeast"/>
          <w:jc w:val="center"/>
        </w:trPr>
        <w:tc>
          <w:tcPr>
            <w:tcW w:w="9487" w:type="dxa"/>
            <w:gridSpan w:val="6"/>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项目工作流程表（二）</w:t>
            </w:r>
          </w:p>
        </w:tc>
      </w:tr>
      <w:tr>
        <w:tblPrEx>
          <w:tblCellMar>
            <w:top w:w="0" w:type="dxa"/>
            <w:left w:w="0" w:type="dxa"/>
            <w:bottom w:w="0" w:type="dxa"/>
            <w:right w:w="0" w:type="dxa"/>
          </w:tblCellMar>
        </w:tblPrEx>
        <w:trPr>
          <w:trHeight w:val="435" w:hRule="atLeast"/>
          <w:jc w:val="center"/>
        </w:trPr>
        <w:tc>
          <w:tcPr>
            <w:tcW w:w="2550" w:type="dxa"/>
            <w:gridSpan w:val="2"/>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分项工程名称：</w:t>
            </w:r>
          </w:p>
        </w:tc>
        <w:tc>
          <w:tcPr>
            <w:tcW w:w="1620"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4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560"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91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tblPrEx>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中介咨询计划</w:t>
            </w:r>
          </w:p>
        </w:tc>
        <w:tc>
          <w:tcPr>
            <w:tcW w:w="18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项目操作人员配置</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项目负责人（或技术负责人）</w:t>
            </w: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复核人员</w:t>
            </w: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专业技术人员</w:t>
            </w: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132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质量目标</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进度计划</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提交咨询成果文件时间：    年   月   日前。</w:t>
            </w:r>
          </w:p>
        </w:tc>
      </w:tr>
      <w:tr>
        <w:tblPrEx>
          <w:tblCellMar>
            <w:top w:w="0" w:type="dxa"/>
            <w:left w:w="0" w:type="dxa"/>
            <w:bottom w:w="0" w:type="dxa"/>
            <w:right w:w="0" w:type="dxa"/>
          </w:tblCellMar>
        </w:tblPrEx>
        <w:trPr>
          <w:trHeight w:val="169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咨询实施方案</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中介机构领导审批</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中介提供咨询服务阶段</w:t>
            </w:r>
          </w:p>
        </w:tc>
        <w:tc>
          <w:tcPr>
            <w:tcW w:w="881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咨询工作记录</w:t>
            </w:r>
          </w:p>
        </w:tc>
      </w:tr>
      <w:tr>
        <w:tblPrEx>
          <w:tblCellMar>
            <w:top w:w="0" w:type="dxa"/>
            <w:left w:w="0" w:type="dxa"/>
            <w:bottom w:w="0" w:type="dxa"/>
            <w:right w:w="0" w:type="dxa"/>
          </w:tblCellMar>
        </w:tblPrEx>
        <w:trPr>
          <w:trHeight w:val="10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送审资料的完           整性审查意见</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CellMar>
            <w:top w:w="0" w:type="dxa"/>
            <w:left w:w="0" w:type="dxa"/>
            <w:bottom w:w="0" w:type="dxa"/>
            <w:right w:w="0" w:type="dxa"/>
          </w:tblCellMar>
        </w:tblPrEx>
        <w:trPr>
          <w:trHeight w:val="10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图纸审查意见</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CellMar>
            <w:top w:w="0" w:type="dxa"/>
            <w:left w:w="0" w:type="dxa"/>
            <w:bottom w:w="0" w:type="dxa"/>
            <w:right w:w="0" w:type="dxa"/>
          </w:tblCellMar>
        </w:tblPrEx>
        <w:trPr>
          <w:trHeight w:val="928"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采购文件审查意见</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CellMar>
            <w:top w:w="0" w:type="dxa"/>
            <w:left w:w="0" w:type="dxa"/>
            <w:bottom w:w="0" w:type="dxa"/>
            <w:right w:w="0" w:type="dxa"/>
          </w:tblCellMar>
        </w:tblPrEx>
        <w:trPr>
          <w:trHeight w:val="1158"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合同文件审查意见</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CellMar>
            <w:top w:w="0" w:type="dxa"/>
            <w:left w:w="0" w:type="dxa"/>
            <w:bottom w:w="0" w:type="dxa"/>
            <w:right w:w="0" w:type="dxa"/>
          </w:tblCellMar>
        </w:tblPrEx>
        <w:trPr>
          <w:trHeight w:val="8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定额版本</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计费程序文件号</w:t>
            </w:r>
          </w:p>
        </w:tc>
        <w:tc>
          <w:tcPr>
            <w:tcW w:w="34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材料价格        计价时点</w:t>
            </w: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bl>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br w:type="page"/>
      </w:r>
    </w:p>
    <w:tbl>
      <w:tblPr>
        <w:tblStyle w:val="33"/>
        <w:tblW w:w="9487" w:type="dxa"/>
        <w:jc w:val="center"/>
        <w:tblLayout w:type="fixed"/>
        <w:tblCellMar>
          <w:top w:w="0" w:type="dxa"/>
          <w:left w:w="0" w:type="dxa"/>
          <w:bottom w:w="0" w:type="dxa"/>
          <w:right w:w="0" w:type="dxa"/>
        </w:tblCellMar>
      </w:tblPr>
      <w:tblGrid>
        <w:gridCol w:w="675"/>
        <w:gridCol w:w="2042"/>
        <w:gridCol w:w="1453"/>
        <w:gridCol w:w="1845"/>
        <w:gridCol w:w="1560"/>
        <w:gridCol w:w="1912"/>
      </w:tblGrid>
      <w:tr>
        <w:tblPrEx>
          <w:tblCellMar>
            <w:top w:w="0" w:type="dxa"/>
            <w:left w:w="0" w:type="dxa"/>
            <w:bottom w:w="0" w:type="dxa"/>
            <w:right w:w="0" w:type="dxa"/>
          </w:tblCellMar>
        </w:tblPrEx>
        <w:trPr>
          <w:trHeight w:val="540" w:hRule="atLeast"/>
          <w:jc w:val="center"/>
        </w:trPr>
        <w:tc>
          <w:tcPr>
            <w:tcW w:w="9487" w:type="dxa"/>
            <w:gridSpan w:val="6"/>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项目工作流程表（二）</w:t>
            </w:r>
          </w:p>
        </w:tc>
      </w:tr>
      <w:tr>
        <w:tblPrEx>
          <w:tblCellMar>
            <w:top w:w="0" w:type="dxa"/>
            <w:left w:w="0" w:type="dxa"/>
            <w:bottom w:w="0" w:type="dxa"/>
            <w:right w:w="0" w:type="dxa"/>
          </w:tblCellMar>
        </w:tblPrEx>
        <w:trPr>
          <w:trHeight w:val="561" w:hRule="atLeast"/>
          <w:jc w:val="center"/>
        </w:trPr>
        <w:tc>
          <w:tcPr>
            <w:tcW w:w="2717" w:type="dxa"/>
            <w:gridSpan w:val="2"/>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分项工程名称：</w:t>
            </w:r>
          </w:p>
        </w:tc>
        <w:tc>
          <w:tcPr>
            <w:tcW w:w="1453"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4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560"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91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tblPrEx>
          <w:tblCellMar>
            <w:top w:w="0" w:type="dxa"/>
            <w:left w:w="0" w:type="dxa"/>
            <w:bottom w:w="0" w:type="dxa"/>
            <w:right w:w="0" w:type="dxa"/>
          </w:tblCellMar>
        </w:tblPrEx>
        <w:trPr>
          <w:trHeight w:val="897"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中介提供咨询服务阶段</w:t>
            </w: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市场询价情况（询价表作为附件备查）</w:t>
            </w:r>
          </w:p>
        </w:tc>
        <w:tc>
          <w:tcPr>
            <w:tcW w:w="67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5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重大事项处理意见</w:t>
            </w:r>
          </w:p>
        </w:tc>
        <w:tc>
          <w:tcPr>
            <w:tcW w:w="67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32"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其他事项</w:t>
            </w:r>
          </w:p>
        </w:tc>
        <w:tc>
          <w:tcPr>
            <w:tcW w:w="67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工程答疑情况记录表</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现场踏勘情况记录表</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申请现场踏勘时间</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实际现场踏勘时间</w:t>
            </w: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81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委托单位主动提出补充资料情况</w:t>
            </w: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收到补充资料时间</w:t>
            </w:r>
          </w:p>
        </w:tc>
        <w:tc>
          <w:tcPr>
            <w:tcW w:w="4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补充资料名称 （注明变更设计编号、时间）         </w:t>
            </w: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81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中介主动提出补充资料情况</w:t>
            </w: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提出补充资料时间</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实际补充资料时间</w:t>
            </w: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补充资料名称（注明索引号）</w:t>
            </w: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81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申请延期情况</w:t>
            </w: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申请时间</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批准延期完成时间</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实际完成时间</w:t>
            </w: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评审期限延缓申请书（注明索引号）</w:t>
            </w:r>
          </w:p>
        </w:tc>
      </w:tr>
      <w:tr>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bl>
    <w:p>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p>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lang w:bidi="ar"/>
        </w:rPr>
      </w:pPr>
      <w:r>
        <w:rPr>
          <w:rFonts w:hAnsi="宋体"/>
          <w:color w:val="auto"/>
          <w:highlight w:val="none"/>
        </w:rPr>
        <w:object>
          <v:shape id="_x0000_i1025" o:spt="75" type="#_x0000_t75" style="height:660.9pt;width:414.15pt;" o:ole="t" fillcolor="#FFFFFF" filled="t" o:preferrelative="t" stroked="t" coordsize="21600,21600">
            <v:path/>
            <v:fill on="t" color2="#FFFFFF" focussize="0,0"/>
            <v:stroke color="#000000" joinstyle="miter"/>
            <v:imagedata r:id="rId22" o:title=""/>
            <o:lock v:ext="edit" aspectratio="f"/>
            <w10:wrap type="none"/>
            <w10:anchorlock/>
          </v:shape>
          <o:OLEObject Type="Embed" ProgID="Word.Document.8" ShapeID="_x0000_i1025" DrawAspect="Content" ObjectID="_1468075725" r:id="rId21">
            <o:LockedField>false</o:LockedField>
          </o:OLEObject>
        </w:object>
      </w:r>
      <w:r>
        <w:rPr>
          <w:rFonts w:hint="eastAsia" w:ascii="宋体" w:hAnsi="宋体" w:eastAsia="宋体" w:cs="宋体"/>
          <w:b/>
          <w:color w:val="auto"/>
          <w:sz w:val="21"/>
          <w:szCs w:val="21"/>
          <w:highlight w:val="none"/>
          <w:lang w:bidi="ar"/>
        </w:rPr>
        <w:br w:type="page"/>
      </w:r>
    </w:p>
    <w:tbl>
      <w:tblPr>
        <w:tblStyle w:val="33"/>
        <w:tblW w:w="9624" w:type="dxa"/>
        <w:jc w:val="center"/>
        <w:tblLayout w:type="fixed"/>
        <w:tblCellMar>
          <w:top w:w="0" w:type="dxa"/>
          <w:left w:w="0" w:type="dxa"/>
          <w:bottom w:w="0" w:type="dxa"/>
          <w:right w:w="0" w:type="dxa"/>
        </w:tblCellMar>
      </w:tblPr>
      <w:tblGrid>
        <w:gridCol w:w="1430"/>
        <w:gridCol w:w="1447"/>
        <w:gridCol w:w="1742"/>
        <w:gridCol w:w="1742"/>
        <w:gridCol w:w="1875"/>
        <w:gridCol w:w="1388"/>
      </w:tblGrid>
      <w:tr>
        <w:tblPrEx>
          <w:tblCellMar>
            <w:top w:w="0" w:type="dxa"/>
            <w:left w:w="0" w:type="dxa"/>
            <w:bottom w:w="0" w:type="dxa"/>
            <w:right w:w="0" w:type="dxa"/>
          </w:tblCellMar>
        </w:tblPrEx>
        <w:trPr>
          <w:trHeight w:val="499" w:hRule="atLeast"/>
          <w:jc w:val="center"/>
        </w:trPr>
        <w:tc>
          <w:tcPr>
            <w:tcW w:w="9624" w:type="dxa"/>
            <w:gridSpan w:val="6"/>
            <w:tcBorders>
              <w:top w:val="nil"/>
              <w:left w:val="nil"/>
              <w:bottom w:val="nil"/>
              <w:right w:val="nil"/>
            </w:tcBorders>
            <w:noWrap w:val="0"/>
            <w:tcMar>
              <w:top w:w="15" w:type="dxa"/>
              <w:left w:w="15" w:type="dxa"/>
              <w:right w:w="15" w:type="dxa"/>
            </w:tcMar>
            <w:vAlign w:val="center"/>
          </w:tcPr>
          <w:p>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项目工作流程表（三）</w:t>
            </w:r>
          </w:p>
        </w:tc>
      </w:tr>
      <w:tr>
        <w:tblPrEx>
          <w:tblCellMar>
            <w:top w:w="0" w:type="dxa"/>
            <w:left w:w="0" w:type="dxa"/>
            <w:bottom w:w="0" w:type="dxa"/>
            <w:right w:w="0" w:type="dxa"/>
          </w:tblCellMar>
        </w:tblPrEx>
        <w:trPr>
          <w:trHeight w:val="499" w:hRule="atLeast"/>
          <w:jc w:val="center"/>
        </w:trPr>
        <w:tc>
          <w:tcPr>
            <w:tcW w:w="1430"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分项工程名称：</w:t>
            </w:r>
          </w:p>
        </w:tc>
        <w:tc>
          <w:tcPr>
            <w:tcW w:w="1447"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c>
          <w:tcPr>
            <w:tcW w:w="1388"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2733675</wp:posOffset>
                  </wp:positionV>
                  <wp:extent cx="6324600" cy="0"/>
                  <wp:effectExtent l="0" t="0" r="0" b="0"/>
                  <wp:wrapNone/>
                  <wp:docPr id="7" name="Line_4"/>
                  <wp:cNvGraphicFramePr/>
                  <a:graphic xmlns:a="http://schemas.openxmlformats.org/drawingml/2006/main">
                    <a:graphicData uri="http://schemas.openxmlformats.org/drawingml/2006/picture">
                      <pic:pic xmlns:pic="http://schemas.openxmlformats.org/drawingml/2006/picture">
                        <pic:nvPicPr>
                          <pic:cNvPr id="7" name="Line_4"/>
                          <pic:cNvPicPr/>
                        </pic:nvPicPr>
                        <pic:blipFill>
                          <a:blip r:embed="rId23"/>
                          <a:stretch>
                            <a:fillRect/>
                          </a:stretch>
                        </pic:blipFill>
                        <pic:spPr>
                          <a:xfrm>
                            <a:off x="0" y="0"/>
                            <a:ext cx="6324600" cy="0"/>
                          </a:xfrm>
                          <a:prstGeom prst="rect">
                            <a:avLst/>
                          </a:prstGeom>
                          <a:noFill/>
                          <a:ln>
                            <a:noFill/>
                          </a:ln>
                        </pic:spPr>
                      </pic:pic>
                    </a:graphicData>
                  </a:graphic>
                </wp:anchor>
              </w:drawing>
            </w:r>
            <w:r>
              <w:rPr>
                <w:rFonts w:hint="eastAsia" w:ascii="宋体" w:hAnsi="宋体" w:eastAsia="宋体" w:cs="宋体"/>
                <w:color w:val="auto"/>
                <w:sz w:val="21"/>
                <w:szCs w:val="21"/>
                <w:highlight w:val="none"/>
                <w:lang w:bidi="ar"/>
              </w:rPr>
              <w:t>中介提供咨询服务阶段</w:t>
            </w:r>
          </w:p>
        </w:tc>
        <w:tc>
          <w:tcPr>
            <w:tcW w:w="81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咨询成果审批</w:t>
            </w:r>
          </w:p>
        </w:tc>
      </w:tr>
      <w:tr>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初步咨询造价</w:t>
            </w:r>
          </w:p>
        </w:tc>
        <w:tc>
          <w:tcPr>
            <w:tcW w:w="34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初步咨询完成时间</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内部复核情况</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第一次</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第二次</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第三次</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第四次</w:t>
            </w:r>
          </w:p>
        </w:tc>
      </w:tr>
      <w:tr>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r>
      <w:tr>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r>
      <w:tr>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项目负责人（或技术负责人）审批情况</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r>
      <w:tr>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r>
      <w:tr>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初步咨询结果提交委托人时间</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委托方接收人员签名</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143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委托人评审阶段</w:t>
            </w:r>
          </w:p>
        </w:tc>
        <w:tc>
          <w:tcPr>
            <w:tcW w:w="3189"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委托人接收项目资料时间</w:t>
            </w:r>
          </w:p>
        </w:tc>
        <w:tc>
          <w:tcPr>
            <w:tcW w:w="174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800100</wp:posOffset>
                  </wp:positionH>
                  <wp:positionV relativeFrom="paragraph">
                    <wp:posOffset>113665</wp:posOffset>
                  </wp:positionV>
                  <wp:extent cx="76835" cy="219710"/>
                  <wp:effectExtent l="0" t="0" r="0" b="0"/>
                  <wp:wrapNone/>
                  <wp:docPr id="8" name="Text_Box_2"/>
                  <wp:cNvGraphicFramePr/>
                  <a:graphic xmlns:a="http://schemas.openxmlformats.org/drawingml/2006/main">
                    <a:graphicData uri="http://schemas.openxmlformats.org/drawingml/2006/picture">
                      <pic:pic xmlns:pic="http://schemas.openxmlformats.org/drawingml/2006/picture">
                        <pic:nvPicPr>
                          <pic:cNvPr id="8" name="Text_Box_2"/>
                          <pic:cNvPicPr/>
                        </pic:nvPicPr>
                        <pic:blipFill>
                          <a:blip r:embed="rId24"/>
                          <a:stretch>
                            <a:fillRect/>
                          </a:stretch>
                        </pic:blipFill>
                        <pic:spPr>
                          <a:xfrm>
                            <a:off x="0" y="0"/>
                            <a:ext cx="76835" cy="219710"/>
                          </a:xfrm>
                          <a:prstGeom prst="rect">
                            <a:avLst/>
                          </a:prstGeom>
                          <a:noFill/>
                          <a:ln>
                            <a:noFill/>
                          </a:ln>
                        </pic:spPr>
                      </pic:pic>
                    </a:graphicData>
                  </a:graphic>
                </wp:anchor>
              </w:drawing>
            </w:r>
          </w:p>
        </w:tc>
        <w:tc>
          <w:tcPr>
            <w:tcW w:w="187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接收人员签名</w:t>
            </w:r>
          </w:p>
        </w:tc>
        <w:tc>
          <w:tcPr>
            <w:tcW w:w="138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40"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送审资料是否完整</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□完整   □不完整</w:t>
            </w:r>
          </w:p>
        </w:tc>
        <w:tc>
          <w:tcPr>
            <w:tcW w:w="50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缺失情况：</w:t>
            </w:r>
          </w:p>
        </w:tc>
      </w:tr>
      <w:tr>
        <w:tblPrEx>
          <w:tblCellMar>
            <w:top w:w="0" w:type="dxa"/>
            <w:left w:w="0" w:type="dxa"/>
            <w:bottom w:w="0" w:type="dxa"/>
            <w:right w:w="0" w:type="dxa"/>
          </w:tblCellMar>
        </w:tblPrEx>
        <w:trPr>
          <w:trHeight w:val="655"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工作手册填写是否完整</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□完整   □不完整</w:t>
            </w:r>
          </w:p>
        </w:tc>
        <w:tc>
          <w:tcPr>
            <w:tcW w:w="50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缺失情况：</w:t>
            </w:r>
          </w:p>
        </w:tc>
      </w:tr>
      <w:tr>
        <w:tblPrEx>
          <w:tblCellMar>
            <w:top w:w="0" w:type="dxa"/>
            <w:left w:w="0" w:type="dxa"/>
            <w:bottom w:w="0" w:type="dxa"/>
            <w:right w:w="0" w:type="dxa"/>
          </w:tblCellMar>
        </w:tblPrEx>
        <w:trPr>
          <w:trHeight w:val="355"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194" w:type="dxa"/>
            <w:gridSpan w:val="5"/>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中介初步咨询成果存在的问题及建议(详细复核记录可作为附件备查):</w:t>
            </w:r>
          </w:p>
        </w:tc>
      </w:tr>
      <w:tr>
        <w:tblPrEx>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80"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194" w:type="dxa"/>
            <w:gridSpan w:val="5"/>
            <w:tcBorders>
              <w:top w:val="nil"/>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both"/>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194" w:type="dxa"/>
            <w:gridSpan w:val="5"/>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经办人签名:</w:t>
            </w:r>
          </w:p>
        </w:tc>
      </w:tr>
      <w:tr>
        <w:tblPrEx>
          <w:tblCellMar>
            <w:top w:w="0" w:type="dxa"/>
            <w:left w:w="0" w:type="dxa"/>
            <w:bottom w:w="0" w:type="dxa"/>
            <w:right w:w="0" w:type="dxa"/>
          </w:tblCellMar>
        </w:tblPrEx>
        <w:trPr>
          <w:trHeight w:val="540"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中介与委托人对数情况</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时间（第一次）</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对数备忘录</w:t>
            </w:r>
          </w:p>
        </w:tc>
        <w:tc>
          <w:tcPr>
            <w:tcW w:w="3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r>
      <w:tr>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时间（第二次）</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对数备忘录</w:t>
            </w:r>
          </w:p>
        </w:tc>
        <w:tc>
          <w:tcPr>
            <w:tcW w:w="3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r>
      <w:tr>
        <w:tblPrEx>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时间（第三次）</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对数备忘录</w:t>
            </w:r>
          </w:p>
        </w:tc>
        <w:tc>
          <w:tcPr>
            <w:tcW w:w="3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r>
    </w:tbl>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br w:type="page"/>
      </w:r>
    </w:p>
    <w:tbl>
      <w:tblPr>
        <w:tblStyle w:val="33"/>
        <w:tblW w:w="9624" w:type="dxa"/>
        <w:jc w:val="center"/>
        <w:tblLayout w:type="fixed"/>
        <w:tblCellMar>
          <w:top w:w="0" w:type="dxa"/>
          <w:left w:w="0" w:type="dxa"/>
          <w:bottom w:w="0" w:type="dxa"/>
          <w:right w:w="0" w:type="dxa"/>
        </w:tblCellMar>
      </w:tblPr>
      <w:tblGrid>
        <w:gridCol w:w="735"/>
        <w:gridCol w:w="735"/>
        <w:gridCol w:w="1635"/>
        <w:gridCol w:w="2295"/>
        <w:gridCol w:w="2295"/>
        <w:gridCol w:w="1929"/>
      </w:tblGrid>
      <w:tr>
        <w:tblPrEx>
          <w:tblCellMar>
            <w:top w:w="0" w:type="dxa"/>
            <w:left w:w="0" w:type="dxa"/>
            <w:bottom w:w="0" w:type="dxa"/>
            <w:right w:w="0" w:type="dxa"/>
          </w:tblCellMar>
        </w:tblPrEx>
        <w:trPr>
          <w:trHeight w:val="522" w:hRule="atLeast"/>
          <w:jc w:val="center"/>
        </w:trPr>
        <w:tc>
          <w:tcPr>
            <w:tcW w:w="9624" w:type="dxa"/>
            <w:gridSpan w:val="6"/>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项目工作流程表（四）</w:t>
            </w:r>
          </w:p>
        </w:tc>
      </w:tr>
      <w:tr>
        <w:tblPrEx>
          <w:tblCellMar>
            <w:top w:w="0" w:type="dxa"/>
            <w:left w:w="0" w:type="dxa"/>
            <w:bottom w:w="0" w:type="dxa"/>
            <w:right w:w="0" w:type="dxa"/>
          </w:tblCellMar>
        </w:tblPrEx>
        <w:trPr>
          <w:trHeight w:val="522" w:hRule="atLeast"/>
          <w:jc w:val="center"/>
        </w:trPr>
        <w:tc>
          <w:tcPr>
            <w:tcW w:w="73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分项工程名称：</w:t>
            </w:r>
          </w:p>
        </w:tc>
        <w:tc>
          <w:tcPr>
            <w:tcW w:w="73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63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929"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tblPrEx>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457200</wp:posOffset>
                  </wp:positionH>
                  <wp:positionV relativeFrom="paragraph">
                    <wp:posOffset>0</wp:posOffset>
                  </wp:positionV>
                  <wp:extent cx="1524635" cy="0"/>
                  <wp:effectExtent l="0" t="0" r="0" b="0"/>
                  <wp:wrapNone/>
                  <wp:docPr id="9" name="Line_3"/>
                  <wp:cNvGraphicFramePr/>
                  <a:graphic xmlns:a="http://schemas.openxmlformats.org/drawingml/2006/main">
                    <a:graphicData uri="http://schemas.openxmlformats.org/drawingml/2006/picture">
                      <pic:pic xmlns:pic="http://schemas.openxmlformats.org/drawingml/2006/picture">
                        <pic:nvPicPr>
                          <pic:cNvPr id="9" name="Line_3"/>
                          <pic:cNvPicPr/>
                        </pic:nvPicPr>
                        <pic:blipFill>
                          <a:blip r:embed="rId25"/>
                          <a:stretch>
                            <a:fillRect/>
                          </a:stretch>
                        </pic:blipFill>
                        <pic:spPr>
                          <a:xfrm>
                            <a:off x="0" y="0"/>
                            <a:ext cx="1524635" cy="0"/>
                          </a:xfrm>
                          <a:prstGeom prst="rect">
                            <a:avLst/>
                          </a:prstGeom>
                          <a:noFill/>
                          <a:ln>
                            <a:noFill/>
                          </a:ln>
                        </pic:spPr>
                      </pic:pic>
                    </a:graphicData>
                  </a:graphic>
                </wp:anchor>
              </w:drawing>
            </w:r>
            <w:r>
              <w:rPr>
                <w:rFonts w:hint="eastAsia" w:ascii="宋体" w:hAnsi="宋体" w:eastAsia="宋体" w:cs="宋体"/>
                <w:color w:val="auto"/>
                <w:sz w:val="21"/>
                <w:szCs w:val="21"/>
                <w:highlight w:val="none"/>
                <w:lang w:bidi="ar"/>
              </w:rPr>
              <w:t>对数后修改情况</w:t>
            </w:r>
          </w:p>
        </w:tc>
        <w:tc>
          <w:tcPr>
            <w:tcW w:w="6960" w:type="dxa"/>
            <w:gridSpan w:val="4"/>
            <w:tcBorders>
              <w:top w:val="single" w:color="000000" w:sz="4" w:space="0"/>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每一次修改情况说明（修改情况说明书可作为附件备查）：</w:t>
            </w:r>
          </w:p>
        </w:tc>
        <w:tc>
          <w:tcPr>
            <w:tcW w:w="1929" w:type="dxa"/>
            <w:tcBorders>
              <w:top w:val="single" w:color="000000" w:sz="4" w:space="0"/>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35"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3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10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35"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3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2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35"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63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117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nil"/>
              <w:left w:val="single" w:color="000000" w:sz="4" w:space="0"/>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457200</wp:posOffset>
                  </wp:positionH>
                  <wp:positionV relativeFrom="paragraph">
                    <wp:posOffset>0</wp:posOffset>
                  </wp:positionV>
                  <wp:extent cx="1514475" cy="0"/>
                  <wp:effectExtent l="0" t="0" r="0" b="0"/>
                  <wp:wrapNone/>
                  <wp:docPr id="10" name="Line_2"/>
                  <wp:cNvGraphicFramePr/>
                  <a:graphic xmlns:a="http://schemas.openxmlformats.org/drawingml/2006/main">
                    <a:graphicData uri="http://schemas.openxmlformats.org/drawingml/2006/picture">
                      <pic:pic xmlns:pic="http://schemas.openxmlformats.org/drawingml/2006/picture">
                        <pic:nvPicPr>
                          <pic:cNvPr id="10" name="Line_2"/>
                          <pic:cNvPicPr/>
                        </pic:nvPicPr>
                        <pic:blipFill>
                          <a:blip r:embed="rId26"/>
                          <a:stretch>
                            <a:fillRect/>
                          </a:stretch>
                        </pic:blipFill>
                        <pic:spPr>
                          <a:xfrm>
                            <a:off x="0" y="0"/>
                            <a:ext cx="1514475" cy="0"/>
                          </a:xfrm>
                          <a:prstGeom prst="rect">
                            <a:avLst/>
                          </a:prstGeom>
                          <a:noFill/>
                          <a:ln>
                            <a:noFill/>
                          </a:ln>
                        </pic:spPr>
                      </pic:pic>
                    </a:graphicData>
                  </a:graphic>
                </wp:anchor>
              </w:drawing>
            </w: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457200</wp:posOffset>
                  </wp:positionH>
                  <wp:positionV relativeFrom="paragraph">
                    <wp:posOffset>19050</wp:posOffset>
                  </wp:positionV>
                  <wp:extent cx="1524635" cy="266700"/>
                  <wp:effectExtent l="0" t="0" r="18415" b="0"/>
                  <wp:wrapNone/>
                  <wp:docPr id="11" name="图片 6"/>
                  <wp:cNvGraphicFramePr/>
                  <a:graphic xmlns:a="http://schemas.openxmlformats.org/drawingml/2006/main">
                    <a:graphicData uri="http://schemas.openxmlformats.org/drawingml/2006/picture">
                      <pic:pic xmlns:pic="http://schemas.openxmlformats.org/drawingml/2006/picture">
                        <pic:nvPicPr>
                          <pic:cNvPr id="11" name="图片 6"/>
                          <pic:cNvPicPr/>
                        </pic:nvPicPr>
                        <pic:blipFill>
                          <a:blip r:embed="rId27"/>
                          <a:stretch>
                            <a:fillRect/>
                          </a:stretch>
                        </pic:blipFill>
                        <pic:spPr>
                          <a:xfrm>
                            <a:off x="0" y="0"/>
                            <a:ext cx="1524635" cy="266700"/>
                          </a:xfrm>
                          <a:prstGeom prst="rect">
                            <a:avLst/>
                          </a:prstGeom>
                          <a:noFill/>
                          <a:ln>
                            <a:noFill/>
                          </a:ln>
                        </pic:spPr>
                      </pic:pic>
                    </a:graphicData>
                  </a:graphic>
                </wp:anchor>
              </w:drawing>
            </w:r>
            <w:r>
              <w:rPr>
                <w:rFonts w:hint="eastAsia" w:ascii="宋体" w:hAnsi="宋体" w:eastAsia="宋体" w:cs="宋体"/>
                <w:color w:val="auto"/>
                <w:sz w:val="21"/>
                <w:szCs w:val="21"/>
                <w:highlight w:val="none"/>
                <w:lang w:bidi="ar"/>
              </w:rPr>
              <w:t>中介再次提交委托人审核情况</w:t>
            </w:r>
          </w:p>
        </w:tc>
        <w:tc>
          <w:tcPr>
            <w:tcW w:w="735" w:type="dxa"/>
            <w:tcBorders>
              <w:top w:val="single" w:color="000000" w:sz="4" w:space="0"/>
              <w:left w:val="single" w:color="000000" w:sz="4" w:space="0"/>
              <w:bottom w:val="single" w:color="000000" w:sz="4" w:space="0"/>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w:t>
            </w:r>
          </w:p>
        </w:tc>
        <w:tc>
          <w:tcPr>
            <w:tcW w:w="163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righ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修改次数</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第一次</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第二次</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第三次</w:t>
            </w:r>
          </w:p>
        </w:tc>
      </w:tr>
      <w:tr>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接收时间</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送审金额</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委托部门                  接收人员签名</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bl>
    <w:p>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33"/>
        <w:tblW w:w="9840" w:type="dxa"/>
        <w:jc w:val="center"/>
        <w:tblLayout w:type="fixed"/>
        <w:tblCellMar>
          <w:top w:w="0" w:type="dxa"/>
          <w:left w:w="0" w:type="dxa"/>
          <w:bottom w:w="0" w:type="dxa"/>
          <w:right w:w="0" w:type="dxa"/>
        </w:tblCellMar>
      </w:tblPr>
      <w:tblGrid>
        <w:gridCol w:w="561"/>
        <w:gridCol w:w="382"/>
        <w:gridCol w:w="499"/>
        <w:gridCol w:w="26"/>
        <w:gridCol w:w="1395"/>
        <w:gridCol w:w="339"/>
        <w:gridCol w:w="1550"/>
        <w:gridCol w:w="309"/>
        <w:gridCol w:w="294"/>
        <w:gridCol w:w="923"/>
        <w:gridCol w:w="184"/>
        <w:gridCol w:w="414"/>
        <w:gridCol w:w="131"/>
        <w:gridCol w:w="1120"/>
        <w:gridCol w:w="930"/>
        <w:gridCol w:w="580"/>
        <w:gridCol w:w="203"/>
      </w:tblGrid>
      <w:tr>
        <w:tblPrEx>
          <w:tblCellMar>
            <w:top w:w="0" w:type="dxa"/>
            <w:left w:w="0" w:type="dxa"/>
            <w:bottom w:w="0" w:type="dxa"/>
            <w:right w:w="0" w:type="dxa"/>
          </w:tblCellMar>
        </w:tblPrEx>
        <w:trPr>
          <w:gridAfter w:val="1"/>
          <w:wAfter w:w="203" w:type="dxa"/>
          <w:trHeight w:val="450" w:hRule="atLeast"/>
          <w:jc w:val="center"/>
        </w:trPr>
        <w:tc>
          <w:tcPr>
            <w:tcW w:w="9637" w:type="dxa"/>
            <w:gridSpan w:val="16"/>
            <w:noWrap w:val="0"/>
            <w:tcMar>
              <w:top w:w="15" w:type="dxa"/>
              <w:left w:w="15" w:type="dxa"/>
              <w:right w:w="15" w:type="dxa"/>
            </w:tcMar>
            <w:vAlign w:val="center"/>
          </w:tcPr>
          <w:p>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bidi="ar"/>
              </w:rPr>
              <w:t>项目工作流程表（五）</w:t>
            </w:r>
          </w:p>
        </w:tc>
      </w:tr>
      <w:tr>
        <w:tblPrEx>
          <w:tblCellMar>
            <w:top w:w="0" w:type="dxa"/>
            <w:left w:w="0" w:type="dxa"/>
            <w:bottom w:w="0" w:type="dxa"/>
            <w:right w:w="0" w:type="dxa"/>
          </w:tblCellMar>
        </w:tblPrEx>
        <w:trPr>
          <w:gridAfter w:val="1"/>
          <w:wAfter w:w="203" w:type="dxa"/>
          <w:trHeight w:val="353" w:hRule="atLeast"/>
          <w:jc w:val="center"/>
        </w:trPr>
        <w:tc>
          <w:tcPr>
            <w:tcW w:w="1442" w:type="dxa"/>
            <w:gridSpan w:val="3"/>
            <w:tcBorders>
              <w:bottom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项目名称：</w:t>
            </w:r>
          </w:p>
        </w:tc>
        <w:tc>
          <w:tcPr>
            <w:tcW w:w="1760" w:type="dxa"/>
            <w:gridSpan w:val="3"/>
            <w:tcBorders>
              <w:bottom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59" w:type="dxa"/>
            <w:gridSpan w:val="2"/>
            <w:tcBorders>
              <w:bottom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15" w:type="dxa"/>
            <w:gridSpan w:val="4"/>
            <w:tcBorders>
              <w:bottom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2761" w:type="dxa"/>
            <w:gridSpan w:val="4"/>
            <w:tcBorders>
              <w:bottom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tblPrEx>
          <w:tblCellMar>
            <w:top w:w="0" w:type="dxa"/>
            <w:left w:w="0" w:type="dxa"/>
            <w:bottom w:w="0" w:type="dxa"/>
            <w:right w:w="0" w:type="dxa"/>
          </w:tblCellMar>
        </w:tblPrEx>
        <w:trPr>
          <w:gridAfter w:val="1"/>
          <w:wAfter w:w="203" w:type="dxa"/>
          <w:trHeight w:val="386" w:hRule="atLeast"/>
          <w:jc w:val="center"/>
        </w:trPr>
        <w:tc>
          <w:tcPr>
            <w:tcW w:w="9637" w:type="dxa"/>
            <w:gridSpan w:val="1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成果文件阶段</w:t>
            </w:r>
          </w:p>
        </w:tc>
      </w:tr>
      <w:tr>
        <w:tblPrEx>
          <w:tblCellMar>
            <w:top w:w="0" w:type="dxa"/>
            <w:left w:w="0" w:type="dxa"/>
            <w:bottom w:w="0" w:type="dxa"/>
            <w:right w:w="0" w:type="dxa"/>
          </w:tblCellMar>
        </w:tblPrEx>
        <w:trPr>
          <w:gridAfter w:val="1"/>
          <w:wAfter w:w="203" w:type="dxa"/>
          <w:trHeight w:val="401" w:hRule="atLeast"/>
          <w:jc w:val="center"/>
        </w:trPr>
        <w:tc>
          <w:tcPr>
            <w:tcW w:w="3202"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项目定案时间</w:t>
            </w:r>
          </w:p>
        </w:tc>
        <w:tc>
          <w:tcPr>
            <w:tcW w:w="185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定案造价</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608" w:hRule="atLeast"/>
          <w:jc w:val="center"/>
        </w:trPr>
        <w:tc>
          <w:tcPr>
            <w:tcW w:w="3202"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中介单位项目资料移交归档时间</w:t>
            </w:r>
          </w:p>
        </w:tc>
        <w:tc>
          <w:tcPr>
            <w:tcW w:w="185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委托单位接收人员签名</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9637" w:type="dxa"/>
            <w:gridSpan w:val="1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归档资料清单</w:t>
            </w: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资料名称</w:t>
            </w: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资料目录或内容索引号</w:t>
            </w: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页数</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图纸</w:t>
            </w: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3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工程量计算底稿及电子文件</w:t>
            </w: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3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成果文件及电子文件</w:t>
            </w: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补充资料</w:t>
            </w: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备查资料</w:t>
            </w: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203" w:type="dxa"/>
          <w:trHeight w:val="575" w:hRule="atLeast"/>
          <w:jc w:val="center"/>
        </w:trPr>
        <w:tc>
          <w:tcPr>
            <w:tcW w:w="9637" w:type="dxa"/>
            <w:gridSpan w:val="16"/>
            <w:tcBorders>
              <w:top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说明：1、如资料较多，可另附详细资料清单，在本表记录主要内容和资料页数，在备注栏内注明是否完整和详见X附件。</w:t>
            </w:r>
          </w:p>
        </w:tc>
      </w:tr>
      <w:tr>
        <w:tblPrEx>
          <w:tblCellMar>
            <w:top w:w="0" w:type="dxa"/>
            <w:left w:w="0" w:type="dxa"/>
            <w:bottom w:w="0" w:type="dxa"/>
            <w:right w:w="0" w:type="dxa"/>
          </w:tblCellMar>
        </w:tblPrEx>
        <w:trPr>
          <w:gridAfter w:val="1"/>
          <w:wAfter w:w="203" w:type="dxa"/>
          <w:trHeight w:val="401" w:hRule="atLeast"/>
          <w:jc w:val="center"/>
        </w:trPr>
        <w:tc>
          <w:tcPr>
            <w:tcW w:w="9637" w:type="dxa"/>
            <w:gridSpan w:val="16"/>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2、凡委托单位转交中介机构的资料均应整理完整后移交委托单位存档，中介机构在评审过程中形成的与审核结果相关的资料（如：询价、对数、查勘、计算等资料）均应归档。</w:t>
            </w:r>
          </w:p>
        </w:tc>
      </w:tr>
      <w:tr>
        <w:tblPrEx>
          <w:tblCellMar>
            <w:top w:w="0" w:type="dxa"/>
            <w:left w:w="0" w:type="dxa"/>
            <w:bottom w:w="0" w:type="dxa"/>
            <w:right w:w="0" w:type="dxa"/>
          </w:tblCellMar>
        </w:tblPrEx>
        <w:trPr>
          <w:gridAfter w:val="1"/>
          <w:wAfter w:w="203" w:type="dxa"/>
          <w:trHeight w:val="389" w:hRule="atLeast"/>
          <w:jc w:val="center"/>
        </w:trPr>
        <w:tc>
          <w:tcPr>
            <w:tcW w:w="9637" w:type="dxa"/>
            <w:gridSpan w:val="16"/>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3、本评审手册由被委托单位移交委托人存档。</w:t>
            </w:r>
          </w:p>
        </w:tc>
      </w:tr>
      <w:tr>
        <w:tblPrEx>
          <w:tblCellMar>
            <w:top w:w="0" w:type="dxa"/>
            <w:left w:w="0" w:type="dxa"/>
            <w:bottom w:w="0" w:type="dxa"/>
            <w:right w:w="0" w:type="dxa"/>
          </w:tblCellMar>
        </w:tblPrEx>
        <w:trPr>
          <w:gridAfter w:val="1"/>
          <w:wAfter w:w="203" w:type="dxa"/>
          <w:trHeight w:val="583" w:hRule="atLeast"/>
          <w:jc w:val="center"/>
        </w:trPr>
        <w:tc>
          <w:tcPr>
            <w:tcW w:w="9637" w:type="dxa"/>
            <w:gridSpan w:val="16"/>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4、工程量计算底稿如使用专用软件计算的，只打印分楼层分部位的汇总表，不需打印构件明细表。</w:t>
            </w:r>
          </w:p>
        </w:tc>
      </w:tr>
      <w:tr>
        <w:tblPrEx>
          <w:tblCellMar>
            <w:top w:w="0" w:type="dxa"/>
            <w:left w:w="0" w:type="dxa"/>
            <w:bottom w:w="0" w:type="dxa"/>
            <w:right w:w="0" w:type="dxa"/>
          </w:tblCellMar>
        </w:tblPrEx>
        <w:trPr>
          <w:trHeight w:val="204" w:hRule="atLeast"/>
          <w:jc w:val="center"/>
        </w:trPr>
        <w:tc>
          <w:tcPr>
            <w:tcW w:w="561"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794" w:type="dxa"/>
            <w:gridSpan w:val="8"/>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附件1</w:t>
            </w:r>
          </w:p>
        </w:tc>
      </w:tr>
      <w:tr>
        <w:tblPrEx>
          <w:tblCellMar>
            <w:top w:w="0" w:type="dxa"/>
            <w:left w:w="0" w:type="dxa"/>
            <w:bottom w:w="0" w:type="dxa"/>
            <w:right w:w="0" w:type="dxa"/>
          </w:tblCellMar>
        </w:tblPrEx>
        <w:trPr>
          <w:trHeight w:val="337" w:hRule="atLeast"/>
          <w:jc w:val="center"/>
        </w:trPr>
        <w:tc>
          <w:tcPr>
            <w:tcW w:w="9840" w:type="dxa"/>
            <w:gridSpan w:val="17"/>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咨询项目备查资料清单</w:t>
            </w:r>
          </w:p>
        </w:tc>
      </w:tr>
      <w:tr>
        <w:tblPrEx>
          <w:tblCellMar>
            <w:top w:w="0" w:type="dxa"/>
            <w:left w:w="0" w:type="dxa"/>
            <w:bottom w:w="0" w:type="dxa"/>
            <w:right w:w="0" w:type="dxa"/>
          </w:tblCellMar>
        </w:tblPrEx>
        <w:trPr>
          <w:trHeight w:val="301" w:hRule="atLeast"/>
          <w:jc w:val="center"/>
        </w:trPr>
        <w:tc>
          <w:tcPr>
            <w:tcW w:w="5355" w:type="dxa"/>
            <w:gridSpan w:val="9"/>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项目名称：</w:t>
            </w:r>
          </w:p>
        </w:tc>
        <w:tc>
          <w:tcPr>
            <w:tcW w:w="923" w:type="dxa"/>
            <w:tcBorders>
              <w:top w:val="nil"/>
              <w:left w:val="nil"/>
              <w:bottom w:val="nil"/>
              <w:right w:val="nil"/>
            </w:tcBorders>
            <w:noWrap w:val="0"/>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729" w:type="dxa"/>
            <w:gridSpan w:val="3"/>
            <w:tcBorders>
              <w:top w:val="nil"/>
              <w:left w:val="nil"/>
              <w:bottom w:val="nil"/>
              <w:right w:val="nil"/>
            </w:tcBorders>
            <w:noWrap w:val="0"/>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20" w:type="dxa"/>
            <w:tcBorders>
              <w:top w:val="nil"/>
              <w:left w:val="nil"/>
              <w:bottom w:val="nil"/>
              <w:right w:val="nil"/>
            </w:tcBorders>
            <w:noWrap w:val="0"/>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713" w:type="dxa"/>
            <w:gridSpan w:val="3"/>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tblPrEx>
          <w:tblCellMar>
            <w:top w:w="0" w:type="dxa"/>
            <w:left w:w="0" w:type="dxa"/>
            <w:bottom w:w="0" w:type="dxa"/>
            <w:right w:w="0" w:type="dxa"/>
          </w:tblCellMar>
        </w:tblPrEx>
        <w:trPr>
          <w:trHeight w:val="64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序号</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名称或内容</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有无</w:t>
            </w: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页数</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分项底稿      索引号</w:t>
            </w: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项目操作人员配置一览表</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资料接收清单</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工程造价计算底稿</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工程答疑情况记录</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工程现场查勘情况记录</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对数备忘录</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评审期限延缓申请书</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材料（设备）价格信息电话询价记录表</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材料（设备）价格信息</w:t>
            </w:r>
            <w:r>
              <w:rPr>
                <w:rFonts w:hint="eastAsia" w:ascii="宋体" w:hAnsi="宋体" w:cs="宋体"/>
                <w:color w:val="auto"/>
                <w:sz w:val="21"/>
                <w:szCs w:val="21"/>
                <w:highlight w:val="none"/>
                <w:lang w:val="en-US" w:eastAsia="zh-CN" w:bidi="ar"/>
              </w:rPr>
              <w:t>投标人</w:t>
            </w:r>
            <w:r>
              <w:rPr>
                <w:rFonts w:hint="eastAsia" w:ascii="宋体" w:hAnsi="宋体" w:eastAsia="宋体" w:cs="宋体"/>
                <w:color w:val="auto"/>
                <w:sz w:val="21"/>
                <w:szCs w:val="21"/>
                <w:highlight w:val="none"/>
                <w:lang w:bidi="ar"/>
              </w:rPr>
              <w:t>书面报价资料</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详细复核记录</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修改情况说明</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补充资料</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479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730" w:hRule="atLeast"/>
          <w:jc w:val="center"/>
        </w:trPr>
        <w:tc>
          <w:tcPr>
            <w:tcW w:w="9840" w:type="dxa"/>
            <w:gridSpan w:val="17"/>
            <w:tcBorders>
              <w:top w:val="single" w:color="000000" w:sz="4" w:space="0"/>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说明：1</w:t>
            </w:r>
            <w:r>
              <w:rPr>
                <w:rStyle w:val="94"/>
                <w:rFonts w:hint="eastAsia" w:ascii="宋体" w:hAnsi="宋体" w:eastAsia="宋体" w:cs="宋体"/>
                <w:color w:val="auto"/>
                <w:sz w:val="21"/>
                <w:szCs w:val="21"/>
                <w:highlight w:val="none"/>
                <w:lang w:bidi="ar"/>
              </w:rPr>
              <w:t>、备查材料是指在执行评审业务过程中，为形成评审意见所获取的各种与评审业务有关的重要资料。包括：书面评据、来往函件资料、声象图片资料、现场查勘资料、询价资料、谈话记录、被评审单位各种规章制度、人员情况等。</w:t>
            </w:r>
          </w:p>
        </w:tc>
      </w:tr>
      <w:tr>
        <w:tblPrEx>
          <w:tblCellMar>
            <w:top w:w="0" w:type="dxa"/>
            <w:left w:w="0" w:type="dxa"/>
            <w:bottom w:w="0" w:type="dxa"/>
            <w:right w:w="0" w:type="dxa"/>
          </w:tblCellMar>
        </w:tblPrEx>
        <w:trPr>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9279" w:type="dxa"/>
            <w:gridSpan w:val="16"/>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r>
              <w:rPr>
                <w:rStyle w:val="94"/>
                <w:rFonts w:hint="eastAsia" w:ascii="宋体" w:hAnsi="宋体" w:eastAsia="宋体" w:cs="宋体"/>
                <w:color w:val="auto"/>
                <w:sz w:val="21"/>
                <w:szCs w:val="21"/>
                <w:highlight w:val="none"/>
                <w:lang w:bidi="ar"/>
              </w:rPr>
              <w:t>、备查资料应附在工作手册后半部分内，并确定索引号，如2-3-1。</w:t>
            </w:r>
          </w:p>
        </w:tc>
      </w:tr>
      <w:tr>
        <w:tblPrEx>
          <w:tblCellMar>
            <w:top w:w="0" w:type="dxa"/>
            <w:left w:w="0" w:type="dxa"/>
            <w:bottom w:w="0" w:type="dxa"/>
            <w:right w:w="0" w:type="dxa"/>
          </w:tblCellMar>
        </w:tblPrEx>
        <w:trPr>
          <w:trHeight w:val="244" w:hRule="atLeast"/>
          <w:jc w:val="center"/>
        </w:trPr>
        <w:tc>
          <w:tcPr>
            <w:tcW w:w="561"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794" w:type="dxa"/>
            <w:gridSpan w:val="8"/>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r>
              <w:rPr>
                <w:rStyle w:val="94"/>
                <w:rFonts w:hint="eastAsia" w:ascii="宋体" w:hAnsi="宋体" w:eastAsia="宋体" w:cs="宋体"/>
                <w:color w:val="auto"/>
                <w:sz w:val="21"/>
                <w:szCs w:val="21"/>
                <w:highlight w:val="none"/>
                <w:lang w:bidi="ar"/>
              </w:rPr>
              <w:t>、有无该项资料可在相应列中打钩。</w:t>
            </w:r>
          </w:p>
        </w:tc>
        <w:tc>
          <w:tcPr>
            <w:tcW w:w="923"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3" w:type="dxa"/>
            <w:gridSpan w:val="3"/>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9279" w:type="dxa"/>
            <w:gridSpan w:val="16"/>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工程量计算底稿如使用专用软件计算的，只打印分楼层分部位的汇总表，不需打印构件明细表。</w:t>
            </w:r>
          </w:p>
        </w:tc>
      </w:tr>
      <w:tr>
        <w:tblPrEx>
          <w:tblCellMar>
            <w:top w:w="0" w:type="dxa"/>
            <w:left w:w="0" w:type="dxa"/>
            <w:bottom w:w="0" w:type="dxa"/>
            <w:right w:w="0" w:type="dxa"/>
          </w:tblCellMar>
        </w:tblPrEx>
        <w:trPr>
          <w:trHeight w:val="285" w:hRule="atLeast"/>
          <w:jc w:val="center"/>
        </w:trPr>
        <w:tc>
          <w:tcPr>
            <w:tcW w:w="943"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395"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89"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0" w:type="dxa"/>
            <w:gridSpan w:val="4"/>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665" w:type="dxa"/>
            <w:gridSpan w:val="3"/>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30"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83"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bl>
    <w:p>
      <w:pPr>
        <w:pageBreakBefore w:val="0"/>
        <w:widowControl/>
        <w:kinsoku/>
        <w:overflowPunct/>
        <w:topLinePunct w:val="0"/>
        <w:autoSpaceDE/>
        <w:autoSpaceDN/>
        <w:bidi w:val="0"/>
        <w:adjustRightInd w:val="0"/>
        <w:snapToGrid w:val="0"/>
        <w:spacing w:line="360" w:lineRule="auto"/>
        <w:jc w:val="both"/>
        <w:textAlignment w:val="center"/>
        <w:rPr>
          <w:rFonts w:hint="eastAsia" w:ascii="宋体" w:hAnsi="宋体" w:eastAsia="宋体" w:cs="宋体"/>
          <w:b/>
          <w:color w:val="auto"/>
          <w:sz w:val="21"/>
          <w:szCs w:val="21"/>
          <w:highlight w:val="none"/>
          <w:lang w:bidi="ar"/>
        </w:rPr>
      </w:pPr>
    </w:p>
    <w:p>
      <w:pPr>
        <w:pStyle w:val="2"/>
        <w:rPr>
          <w:rFonts w:hint="eastAsia" w:ascii="宋体" w:hAnsi="宋体" w:eastAsia="宋体" w:cs="宋体"/>
          <w:b/>
          <w:color w:val="auto"/>
          <w:sz w:val="21"/>
          <w:szCs w:val="21"/>
          <w:highlight w:val="none"/>
          <w:lang w:bidi="ar"/>
        </w:rPr>
      </w:pPr>
    </w:p>
    <w:tbl>
      <w:tblPr>
        <w:tblStyle w:val="33"/>
        <w:tblW w:w="10241" w:type="dxa"/>
        <w:jc w:val="center"/>
        <w:tblLayout w:type="fixed"/>
        <w:tblCellMar>
          <w:top w:w="0" w:type="dxa"/>
          <w:left w:w="0" w:type="dxa"/>
          <w:bottom w:w="0" w:type="dxa"/>
          <w:right w:w="0" w:type="dxa"/>
        </w:tblCellMar>
      </w:tblPr>
      <w:tblGrid>
        <w:gridCol w:w="943"/>
        <w:gridCol w:w="525"/>
        <w:gridCol w:w="406"/>
        <w:gridCol w:w="989"/>
        <w:gridCol w:w="923"/>
        <w:gridCol w:w="483"/>
        <w:gridCol w:w="483"/>
        <w:gridCol w:w="923"/>
        <w:gridCol w:w="1710"/>
        <w:gridCol w:w="1255"/>
        <w:gridCol w:w="867"/>
        <w:gridCol w:w="473"/>
        <w:gridCol w:w="261"/>
      </w:tblGrid>
      <w:tr>
        <w:tblPrEx>
          <w:tblCellMar>
            <w:top w:w="0" w:type="dxa"/>
            <w:left w:w="0" w:type="dxa"/>
            <w:bottom w:w="0" w:type="dxa"/>
            <w:right w:w="0" w:type="dxa"/>
          </w:tblCellMar>
        </w:tblPrEx>
        <w:trPr>
          <w:trHeight w:val="383" w:hRule="atLeast"/>
          <w:jc w:val="center"/>
        </w:trPr>
        <w:tc>
          <w:tcPr>
            <w:tcW w:w="10241" w:type="dxa"/>
            <w:gridSpan w:val="13"/>
            <w:tcBorders>
              <w:top w:val="nil"/>
              <w:left w:val="nil"/>
              <w:bottom w:val="nil"/>
              <w:right w:val="nil"/>
            </w:tcBorders>
            <w:noWrap w:val="0"/>
            <w:tcMar>
              <w:top w:w="15" w:type="dxa"/>
              <w:left w:w="15" w:type="dxa"/>
              <w:right w:w="15" w:type="dxa"/>
            </w:tcMar>
            <w:vAlign w:val="center"/>
          </w:tcPr>
          <w:p>
            <w:pPr>
              <w:widowControl/>
              <w:spacing w:line="288" w:lineRule="auto"/>
              <w:jc w:val="center"/>
              <w:textAlignment w:val="center"/>
              <w:rPr>
                <w:rFonts w:hint="eastAsia" w:hAnsi="宋体" w:cs="宋体"/>
                <w:b/>
                <w:color w:val="auto"/>
                <w:sz w:val="32"/>
                <w:szCs w:val="32"/>
                <w:highlight w:val="none"/>
                <w:lang w:bidi="ar"/>
              </w:rPr>
            </w:pPr>
            <w:r>
              <w:rPr>
                <w:rFonts w:hint="eastAsia" w:hAnsi="宋体" w:cs="宋体"/>
                <w:b/>
                <w:color w:val="auto"/>
                <w:sz w:val="32"/>
                <w:szCs w:val="32"/>
                <w:highlight w:val="none"/>
                <w:lang w:bidi="ar"/>
              </w:rPr>
              <w:t>中介咨询机构评价意见表</w:t>
            </w:r>
          </w:p>
        </w:tc>
      </w:tr>
      <w:tr>
        <w:tblPrEx>
          <w:tblCellMar>
            <w:top w:w="0" w:type="dxa"/>
            <w:left w:w="0" w:type="dxa"/>
            <w:bottom w:w="0" w:type="dxa"/>
            <w:right w:w="0" w:type="dxa"/>
          </w:tblCellMar>
        </w:tblPrEx>
        <w:trPr>
          <w:trHeight w:val="312" w:hRule="atLeast"/>
          <w:jc w:val="center"/>
        </w:trPr>
        <w:tc>
          <w:tcPr>
            <w:tcW w:w="2863" w:type="dxa"/>
            <w:gridSpan w:val="4"/>
            <w:tcBorders>
              <w:top w:val="nil"/>
              <w:left w:val="nil"/>
              <w:bottom w:val="nil"/>
              <w:right w:val="nil"/>
            </w:tcBorders>
            <w:noWrap/>
            <w:tcMar>
              <w:top w:w="15" w:type="dxa"/>
              <w:left w:w="15" w:type="dxa"/>
              <w:right w:w="15" w:type="dxa"/>
            </w:tcMar>
            <w:vAlign w:val="bottom"/>
          </w:tcPr>
          <w:p>
            <w:pPr>
              <w:jc w:val="center"/>
              <w:rPr>
                <w:rFonts w:hint="eastAsia" w:hAnsi="宋体" w:cs="宋体"/>
                <w:b/>
                <w:color w:val="auto"/>
                <w:sz w:val="18"/>
                <w:szCs w:val="18"/>
                <w:highlight w:val="none"/>
              </w:rPr>
            </w:pPr>
            <w:r>
              <w:rPr>
                <w:rFonts w:hint="eastAsia" w:hAnsi="宋体" w:cs="宋体"/>
                <w:color w:val="auto"/>
                <w:sz w:val="18"/>
                <w:szCs w:val="18"/>
                <w:highlight w:val="none"/>
                <w:lang w:bidi="ar"/>
              </w:rPr>
              <w:t>工程造价咨询单位（盖章）：</w:t>
            </w:r>
          </w:p>
        </w:tc>
        <w:tc>
          <w:tcPr>
            <w:tcW w:w="1406" w:type="dxa"/>
            <w:gridSpan w:val="2"/>
            <w:tcBorders>
              <w:top w:val="nil"/>
              <w:left w:val="nil"/>
              <w:bottom w:val="nil"/>
              <w:right w:val="nil"/>
            </w:tcBorders>
            <w:noWrap/>
            <w:tcMar>
              <w:top w:w="15" w:type="dxa"/>
              <w:left w:w="15" w:type="dxa"/>
              <w:right w:w="15" w:type="dxa"/>
            </w:tcMar>
            <w:vAlign w:val="bottom"/>
          </w:tcPr>
          <w:p>
            <w:pPr>
              <w:jc w:val="center"/>
              <w:rPr>
                <w:rFonts w:hint="eastAsia" w:hAnsi="宋体" w:cs="宋体"/>
                <w:b/>
                <w:color w:val="auto"/>
                <w:sz w:val="18"/>
                <w:szCs w:val="18"/>
                <w:highlight w:val="none"/>
              </w:rPr>
            </w:pPr>
          </w:p>
        </w:tc>
        <w:tc>
          <w:tcPr>
            <w:tcW w:w="3116" w:type="dxa"/>
            <w:gridSpan w:val="3"/>
            <w:tcBorders>
              <w:top w:val="nil"/>
              <w:left w:val="nil"/>
              <w:bottom w:val="nil"/>
              <w:right w:val="nil"/>
            </w:tcBorders>
            <w:noWrap/>
            <w:tcMar>
              <w:top w:w="15" w:type="dxa"/>
              <w:left w:w="15" w:type="dxa"/>
              <w:right w:w="15" w:type="dxa"/>
            </w:tcMar>
            <w:vAlign w:val="bottom"/>
          </w:tcPr>
          <w:p>
            <w:pPr>
              <w:jc w:val="center"/>
              <w:rPr>
                <w:rFonts w:hint="eastAsia" w:hAnsi="宋体" w:cs="宋体"/>
                <w:b/>
                <w:color w:val="auto"/>
                <w:sz w:val="18"/>
                <w:szCs w:val="18"/>
                <w:highlight w:val="none"/>
              </w:rPr>
            </w:pPr>
            <w:r>
              <w:rPr>
                <w:rFonts w:hint="eastAsia" w:ascii="宋体" w:hAnsi="宋体" w:eastAsia="宋体" w:cs="宋体"/>
                <w:color w:val="auto"/>
                <w:sz w:val="18"/>
                <w:szCs w:val="18"/>
                <w:highlight w:val="none"/>
                <w:lang w:eastAsia="zh-CN" w:bidi="ar"/>
              </w:rPr>
              <w:t>建设单位</w:t>
            </w:r>
            <w:r>
              <w:rPr>
                <w:rFonts w:hint="eastAsia" w:ascii="宋体" w:hAnsi="宋体" w:eastAsia="宋体" w:cs="宋体"/>
                <w:color w:val="auto"/>
                <w:sz w:val="18"/>
                <w:szCs w:val="18"/>
                <w:highlight w:val="none"/>
                <w:lang w:bidi="ar"/>
              </w:rPr>
              <w:t>单位（盖章）：</w:t>
            </w:r>
          </w:p>
        </w:tc>
        <w:tc>
          <w:tcPr>
            <w:tcW w:w="1255" w:type="dxa"/>
            <w:tcBorders>
              <w:top w:val="nil"/>
              <w:left w:val="nil"/>
              <w:bottom w:val="nil"/>
              <w:right w:val="nil"/>
            </w:tcBorders>
            <w:noWrap/>
            <w:tcMar>
              <w:top w:w="15" w:type="dxa"/>
              <w:left w:w="15" w:type="dxa"/>
              <w:right w:w="15" w:type="dxa"/>
            </w:tcMar>
            <w:vAlign w:val="top"/>
          </w:tcPr>
          <w:p>
            <w:pPr>
              <w:jc w:val="center"/>
              <w:rPr>
                <w:rFonts w:hint="eastAsia" w:hAnsi="宋体" w:cs="宋体"/>
                <w:b/>
                <w:color w:val="auto"/>
                <w:sz w:val="18"/>
                <w:szCs w:val="18"/>
                <w:highlight w:val="none"/>
              </w:rPr>
            </w:pPr>
          </w:p>
        </w:tc>
        <w:tc>
          <w:tcPr>
            <w:tcW w:w="1340" w:type="dxa"/>
            <w:gridSpan w:val="2"/>
            <w:tcBorders>
              <w:top w:val="nil"/>
              <w:left w:val="nil"/>
              <w:bottom w:val="nil"/>
              <w:right w:val="nil"/>
            </w:tcBorders>
            <w:noWrap/>
            <w:tcMar>
              <w:top w:w="15" w:type="dxa"/>
              <w:left w:w="15" w:type="dxa"/>
              <w:right w:w="15" w:type="dxa"/>
            </w:tcMar>
            <w:vAlign w:val="bottom"/>
          </w:tcPr>
          <w:p>
            <w:pPr>
              <w:widowControl/>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索引号:</w:t>
            </w:r>
          </w:p>
        </w:tc>
        <w:tc>
          <w:tcPr>
            <w:tcW w:w="261" w:type="dxa"/>
            <w:tcBorders>
              <w:top w:val="nil"/>
              <w:left w:val="nil"/>
              <w:bottom w:val="nil"/>
              <w:right w:val="nil"/>
            </w:tcBorders>
            <w:noWrap/>
            <w:tcMar>
              <w:top w:w="15" w:type="dxa"/>
              <w:left w:w="15" w:type="dxa"/>
              <w:right w:w="15" w:type="dxa"/>
            </w:tcMar>
            <w:vAlign w:val="bottom"/>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286"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项目名称</w:t>
            </w:r>
          </w:p>
        </w:tc>
        <w:tc>
          <w:tcPr>
            <w:tcW w:w="380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hAnsi="宋体" w:cs="宋体"/>
                <w:color w:val="auto"/>
                <w:sz w:val="18"/>
                <w:szCs w:val="18"/>
                <w:highlight w:val="none"/>
              </w:rPr>
            </w:pPr>
          </w:p>
        </w:tc>
        <w:tc>
          <w:tcPr>
            <w:tcW w:w="923"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spacing w:line="240" w:lineRule="auto"/>
              <w:jc w:val="center"/>
              <w:rPr>
                <w:rFonts w:hint="eastAsia" w:hAnsi="宋体" w:cs="宋体"/>
                <w:color w:val="auto"/>
                <w:sz w:val="18"/>
                <w:szCs w:val="18"/>
                <w:highlight w:val="none"/>
              </w:rPr>
            </w:pPr>
          </w:p>
        </w:tc>
        <w:tc>
          <w:tcPr>
            <w:tcW w:w="171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□编制  □审核</w:t>
            </w:r>
          </w:p>
        </w:tc>
        <w:tc>
          <w:tcPr>
            <w:tcW w:w="28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本项目的主观差错率为       %</w:t>
            </w:r>
          </w:p>
        </w:tc>
      </w:tr>
      <w:tr>
        <w:tblPrEx>
          <w:tblCellMar>
            <w:top w:w="0" w:type="dxa"/>
            <w:left w:w="0" w:type="dxa"/>
            <w:bottom w:w="0" w:type="dxa"/>
            <w:right w:w="0" w:type="dxa"/>
          </w:tblCellMar>
        </w:tblPrEx>
        <w:trPr>
          <w:trHeight w:val="500"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项目计划完成时间</w:t>
            </w:r>
          </w:p>
        </w:tc>
        <w:tc>
          <w:tcPr>
            <w:tcW w:w="2843"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240" w:lineRule="auto"/>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项目实际完成时间</w:t>
            </w:r>
          </w:p>
        </w:tc>
        <w:tc>
          <w:tcPr>
            <w:tcW w:w="171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spacing w:line="240" w:lineRule="auto"/>
              <w:jc w:val="right"/>
              <w:rPr>
                <w:rFonts w:hint="eastAsia" w:hAnsi="宋体" w:cs="宋体"/>
                <w:color w:val="auto"/>
                <w:sz w:val="18"/>
                <w:szCs w:val="18"/>
                <w:highlight w:val="none"/>
              </w:rPr>
            </w:pPr>
          </w:p>
        </w:tc>
        <w:tc>
          <w:tcPr>
            <w:tcW w:w="28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□按时完成     □延期完成</w:t>
            </w:r>
          </w:p>
        </w:tc>
      </w:tr>
      <w:tr>
        <w:tblPrEx>
          <w:tblCellMar>
            <w:top w:w="0" w:type="dxa"/>
            <w:left w:w="0" w:type="dxa"/>
            <w:bottom w:w="0" w:type="dxa"/>
            <w:right w:w="0" w:type="dxa"/>
          </w:tblCellMar>
        </w:tblPrEx>
        <w:trPr>
          <w:trHeight w:val="462"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评价内容</w:t>
            </w:r>
          </w:p>
        </w:tc>
        <w:tc>
          <w:tcPr>
            <w:tcW w:w="52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各项分值</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具</w:t>
            </w:r>
            <w:r>
              <w:rPr>
                <w:rFonts w:hAnsi="宋体"/>
                <w:color w:val="auto"/>
                <w:sz w:val="18"/>
                <w:szCs w:val="18"/>
                <w:highlight w:val="none"/>
                <w:lang w:bidi="ar"/>
              </w:rPr>
              <w:t xml:space="preserve">    </w:t>
            </w:r>
            <w:r>
              <w:rPr>
                <w:rFonts w:hint="eastAsia" w:hAnsi="宋体" w:cs="宋体"/>
                <w:color w:val="auto"/>
                <w:sz w:val="18"/>
                <w:szCs w:val="18"/>
                <w:highlight w:val="none"/>
                <w:lang w:bidi="ar"/>
              </w:rPr>
              <w:t>体</w:t>
            </w:r>
            <w:r>
              <w:rPr>
                <w:rFonts w:hAnsi="宋体"/>
                <w:color w:val="auto"/>
                <w:sz w:val="18"/>
                <w:szCs w:val="18"/>
                <w:highlight w:val="none"/>
                <w:lang w:bidi="ar"/>
              </w:rPr>
              <w:t xml:space="preserve">    </w:t>
            </w:r>
            <w:r>
              <w:rPr>
                <w:rFonts w:hint="eastAsia" w:hAnsi="宋体" w:cs="宋体"/>
                <w:color w:val="auto"/>
                <w:sz w:val="18"/>
                <w:szCs w:val="18"/>
                <w:highlight w:val="none"/>
                <w:lang w:bidi="ar"/>
              </w:rPr>
              <w:t>内</w:t>
            </w:r>
            <w:r>
              <w:rPr>
                <w:rFonts w:hAnsi="宋体"/>
                <w:color w:val="auto"/>
                <w:sz w:val="18"/>
                <w:szCs w:val="18"/>
                <w:highlight w:val="none"/>
                <w:lang w:bidi="ar"/>
              </w:rPr>
              <w:t xml:space="preserve">    </w:t>
            </w:r>
            <w:r>
              <w:rPr>
                <w:rFonts w:hint="eastAsia" w:hAnsi="宋体" w:cs="宋体"/>
                <w:color w:val="auto"/>
                <w:sz w:val="18"/>
                <w:szCs w:val="18"/>
                <w:highlight w:val="none"/>
                <w:lang w:bidi="ar"/>
              </w:rPr>
              <w:t>容</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rPr>
              <w:t>中介机构自评分</w:t>
            </w:r>
          </w:p>
        </w:tc>
        <w:tc>
          <w:tcPr>
            <w:tcW w:w="7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建设单位</w:t>
            </w:r>
            <w:r>
              <w:rPr>
                <w:rFonts w:hint="eastAsia" w:hAnsi="宋体" w:cs="宋体"/>
                <w:color w:val="auto"/>
                <w:sz w:val="18"/>
                <w:szCs w:val="18"/>
                <w:highlight w:val="none"/>
                <w:lang w:bidi="ar"/>
              </w:rPr>
              <w:t>评分</w:t>
            </w:r>
          </w:p>
        </w:tc>
      </w:tr>
      <w:tr>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业务水平</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20</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项目配置的相应专业人员业务能力较强，熟练掌握相应专业计价规范的最高得4分；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积极主动与委托人一起解决咨询问题的最高得3分；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对工程做法、合约管理等通过内外部项目对标分析等方式，提出成本优化建议的</w:t>
            </w:r>
            <w:r>
              <w:rPr>
                <w:rFonts w:hint="eastAsia" w:hAnsi="宋体" w:cs="宋体"/>
                <w:color w:val="auto"/>
                <w:sz w:val="18"/>
                <w:szCs w:val="18"/>
                <w:highlight w:val="none"/>
                <w:lang w:bidi="ar"/>
              </w:rPr>
              <w:t>最高得</w:t>
            </w:r>
            <w:r>
              <w:rPr>
                <w:rFonts w:hint="eastAsia" w:hAnsi="宋体" w:cs="宋体"/>
                <w:color w:val="auto"/>
                <w:sz w:val="18"/>
                <w:szCs w:val="18"/>
                <w:highlight w:val="none"/>
                <w:lang w:val="en-US" w:eastAsia="zh-CN" w:bidi="ar"/>
              </w:rPr>
              <w:t>7</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对项目所取用的技术、工艺、设备等比较了解的最高得4分；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能开展市场调查，了解价格信息，对于非常规项目能作工料单价分析的最高得2分。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完成质量</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29</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项目小组对项目需求有较好的理解，满足造价咨询采购文件、合同文件的服务响应要求的最高得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工程量计算准确，套用定额及计费程序正确合理，材料价格选取恰当的最高得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对设计文件不清晰的内容，能要求委托人澄清，不存在主观臆断的最高得</w:t>
            </w:r>
            <w:r>
              <w:rPr>
                <w:rFonts w:hint="eastAsia" w:hAnsi="宋体"/>
                <w:color w:val="auto"/>
                <w:sz w:val="18"/>
                <w:szCs w:val="18"/>
                <w:highlight w:val="none"/>
                <w:lang w:val="en-US" w:eastAsia="zh-CN" w:bidi="ar"/>
              </w:rPr>
              <w:t>5</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表格之间沟稽关系正确，咨询成果文件（说明书）真实、完整、准确、有条理的最高得</w:t>
            </w:r>
            <w:r>
              <w:rPr>
                <w:rFonts w:hAnsi="宋体"/>
                <w:color w:val="auto"/>
                <w:sz w:val="18"/>
                <w:szCs w:val="18"/>
                <w:highlight w:val="none"/>
                <w:lang w:bidi="ar"/>
              </w:rPr>
              <w:t>5</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工作质量良好，无重大的主观差错率的最高得</w:t>
            </w:r>
            <w:r>
              <w:rPr>
                <w:rFonts w:hAnsi="宋体"/>
                <w:color w:val="auto"/>
                <w:sz w:val="18"/>
                <w:szCs w:val="18"/>
                <w:highlight w:val="none"/>
                <w:lang w:bidi="ar"/>
              </w:rPr>
              <w:t>7</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工作效率</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bidi="ar"/>
              </w:rPr>
              <w:t>2</w:t>
            </w:r>
            <w:r>
              <w:rPr>
                <w:rFonts w:hint="eastAsia" w:hAnsi="宋体" w:cs="宋体"/>
                <w:color w:val="auto"/>
                <w:sz w:val="18"/>
                <w:szCs w:val="18"/>
                <w:highlight w:val="none"/>
                <w:lang w:val="en-US" w:eastAsia="zh-CN" w:bidi="ar"/>
              </w:rPr>
              <w:t>3</w:t>
            </w: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及时领取委托人的资料开展咨询活动的最高得4分；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按操作规程及时进行对数、现场查勘的最高得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对数后做到及时修改，对反馈意见及时核实的最高得5分；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及时通知委托人补充相关资料，澄清有关疑问的最高得5分；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能严格按委托人的计划时间完成咨询任务的最高得</w:t>
            </w:r>
            <w:r>
              <w:rPr>
                <w:rFonts w:hint="eastAsia" w:hAnsi="宋体" w:cs="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规范服务</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eastAsia="宋体" w:cs="宋体"/>
                <w:color w:val="auto"/>
                <w:sz w:val="18"/>
                <w:szCs w:val="18"/>
                <w:highlight w:val="none"/>
                <w:lang w:val="en-US"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4</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严格按有关行业规范、工作规程和财政管理要求开展咨询活动的最高得5分；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认真执行对数操作规程、现场查勘操作规程的最高得</w:t>
            </w:r>
            <w:r>
              <w:rPr>
                <w:rFonts w:hint="eastAsia" w:hAnsi="宋体" w:cs="宋体"/>
                <w:color w:val="auto"/>
                <w:sz w:val="18"/>
                <w:szCs w:val="18"/>
                <w:highlight w:val="none"/>
                <w:lang w:val="en-US" w:eastAsia="zh-CN" w:bidi="ar"/>
              </w:rPr>
              <w:t>4</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对非常规的设备、材料的价格选定，以及非常规的工艺、技术的定额计价，能跟委托人协商确定的最高得2分；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能实行三级复核制度的最高得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职业道德评价</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eastAsia="宋体" w:cs="宋体"/>
                <w:color w:val="auto"/>
                <w:sz w:val="18"/>
                <w:szCs w:val="18"/>
                <w:highlight w:val="none"/>
                <w:lang w:val="en-US"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4</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严格遵守有关廉政建设规定，与委托人和其利益相对人有利害关系的能主动回避；满足要求得</w:t>
            </w:r>
            <w:r>
              <w:rPr>
                <w:rFonts w:hint="eastAsia" w:hAnsi="宋体"/>
                <w:color w:val="auto"/>
                <w:sz w:val="18"/>
                <w:szCs w:val="18"/>
                <w:highlight w:val="none"/>
                <w:lang w:val="en-US" w:eastAsia="zh-CN" w:bidi="ar"/>
              </w:rPr>
              <w:t>4</w:t>
            </w:r>
            <w:r>
              <w:rPr>
                <w:rFonts w:hint="eastAsia" w:hAnsi="宋体" w:cs="宋体"/>
                <w:color w:val="auto"/>
                <w:sz w:val="18"/>
                <w:szCs w:val="18"/>
                <w:highlight w:val="none"/>
                <w:lang w:bidi="ar"/>
              </w:rPr>
              <w:t>分，有不符合规定行为的不得分；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自觉维护国家利益，做到诚信、客观、公平、公正；满足要求得</w:t>
            </w:r>
            <w:r>
              <w:rPr>
                <w:rFonts w:hAnsi="宋体"/>
                <w:color w:val="auto"/>
                <w:sz w:val="18"/>
                <w:szCs w:val="18"/>
                <w:highlight w:val="none"/>
                <w:lang w:bidi="ar"/>
              </w:rPr>
              <w:t>4</w:t>
            </w:r>
            <w:r>
              <w:rPr>
                <w:rFonts w:hint="eastAsia" w:hAnsi="宋体" w:cs="宋体"/>
                <w:color w:val="auto"/>
                <w:sz w:val="18"/>
                <w:szCs w:val="18"/>
                <w:highlight w:val="none"/>
                <w:lang w:bidi="ar"/>
              </w:rPr>
              <w:t>分，有不符合规定行为的不得分；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没有未经委托人允许擅自与委托人的利益相对人联系工作事宜的得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独立完成咨询任务，没有未经委托人允许擅自委托第三方从事咨询活动的得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265" w:hRule="atLeast"/>
          <w:jc w:val="center"/>
        </w:trPr>
        <w:tc>
          <w:tcPr>
            <w:tcW w:w="864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合计</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hAnsi="宋体" w:cs="宋体"/>
                <w:color w:val="auto"/>
                <w:sz w:val="18"/>
                <w:szCs w:val="18"/>
                <w:highlight w:val="none"/>
              </w:rPr>
            </w:pPr>
          </w:p>
        </w:tc>
      </w:tr>
      <w:tr>
        <w:tblPrEx>
          <w:tblCellMar>
            <w:top w:w="0" w:type="dxa"/>
            <w:left w:w="0" w:type="dxa"/>
            <w:bottom w:w="0" w:type="dxa"/>
            <w:right w:w="0" w:type="dxa"/>
          </w:tblCellMar>
        </w:tblPrEx>
        <w:trPr>
          <w:trHeight w:val="57" w:hRule="atLeast"/>
          <w:jc w:val="center"/>
        </w:trPr>
        <w:tc>
          <w:tcPr>
            <w:tcW w:w="18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hAnsi="宋体" w:eastAsia="宋体" w:cs="宋体"/>
                <w:color w:val="auto"/>
                <w:sz w:val="18"/>
                <w:szCs w:val="18"/>
                <w:highlight w:val="none"/>
                <w:lang w:val="en-US" w:eastAsia="zh-CN" w:bidi="ar"/>
              </w:rPr>
            </w:pPr>
            <w:r>
              <w:rPr>
                <w:rFonts w:hint="eastAsia" w:hAnsi="宋体" w:cs="宋体"/>
                <w:color w:val="auto"/>
                <w:sz w:val="18"/>
                <w:szCs w:val="18"/>
                <w:highlight w:val="none"/>
                <w:lang w:val="en-US" w:eastAsia="zh-CN" w:bidi="ar"/>
              </w:rPr>
              <w:t>中介人员</w:t>
            </w:r>
            <w:r>
              <w:rPr>
                <w:rFonts w:hint="eastAsia" w:hAnsi="宋体" w:cs="宋体"/>
                <w:color w:val="auto"/>
                <w:sz w:val="18"/>
                <w:szCs w:val="18"/>
                <w:highlight w:val="none"/>
                <w:lang w:bidi="ar"/>
              </w:rPr>
              <w:t xml:space="preserve">评价人员签名 </w:t>
            </w:r>
          </w:p>
        </w:tc>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审批人员</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hAnsi="宋体" w:eastAsia="宋体" w:cs="宋体"/>
                <w:color w:val="auto"/>
                <w:sz w:val="18"/>
                <w:szCs w:val="18"/>
                <w:highlight w:val="none"/>
                <w:lang w:val="en-US" w:eastAsia="zh-CN" w:bidi="ar"/>
              </w:rPr>
            </w:pPr>
            <w:r>
              <w:rPr>
                <w:rFonts w:hint="eastAsia" w:hAnsi="宋体" w:cs="宋体"/>
                <w:color w:val="auto"/>
                <w:sz w:val="18"/>
                <w:szCs w:val="18"/>
                <w:highlight w:val="none"/>
                <w:lang w:val="en-US" w:eastAsia="zh-CN" w:bidi="ar"/>
              </w:rPr>
              <w:t>评价日期</w:t>
            </w:r>
          </w:p>
        </w:tc>
        <w:tc>
          <w:tcPr>
            <w:tcW w:w="1340"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pPr>
              <w:rPr>
                <w:rFonts w:hint="eastAsia" w:hAnsi="宋体" w:cs="宋体"/>
                <w:color w:val="auto"/>
                <w:sz w:val="18"/>
                <w:szCs w:val="18"/>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r>
      <w:tr>
        <w:tblPrEx>
          <w:tblCellMar>
            <w:top w:w="0" w:type="dxa"/>
            <w:left w:w="0" w:type="dxa"/>
            <w:bottom w:w="0" w:type="dxa"/>
            <w:right w:w="0" w:type="dxa"/>
          </w:tblCellMar>
        </w:tblPrEx>
        <w:trPr>
          <w:trHeight w:val="90" w:hRule="atLeast"/>
          <w:jc w:val="center"/>
        </w:trPr>
        <w:tc>
          <w:tcPr>
            <w:tcW w:w="18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建设单位</w:t>
            </w:r>
            <w:r>
              <w:rPr>
                <w:rFonts w:hint="eastAsia" w:hAnsi="宋体" w:cs="宋体"/>
                <w:color w:val="auto"/>
                <w:sz w:val="18"/>
                <w:szCs w:val="18"/>
                <w:highlight w:val="none"/>
                <w:lang w:bidi="ar"/>
              </w:rPr>
              <w:t xml:space="preserve">评价人员签名                </w:t>
            </w:r>
          </w:p>
        </w:tc>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审批人员</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评价日期</w:t>
            </w:r>
          </w:p>
        </w:tc>
        <w:tc>
          <w:tcPr>
            <w:tcW w:w="1340"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pPr>
              <w:rPr>
                <w:rFonts w:hint="eastAsia" w:hAnsi="宋体" w:cs="宋体"/>
                <w:color w:val="auto"/>
                <w:sz w:val="18"/>
                <w:szCs w:val="18"/>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18"/>
                <w:szCs w:val="18"/>
                <w:highlight w:val="none"/>
              </w:rPr>
            </w:pPr>
          </w:p>
        </w:tc>
      </w:tr>
      <w:tr>
        <w:tblPrEx>
          <w:tblCellMar>
            <w:top w:w="0" w:type="dxa"/>
            <w:left w:w="0" w:type="dxa"/>
            <w:bottom w:w="0" w:type="dxa"/>
            <w:right w:w="0" w:type="dxa"/>
          </w:tblCellMar>
        </w:tblPrEx>
        <w:trPr>
          <w:trHeight w:val="57" w:hRule="atLeast"/>
          <w:jc w:val="center"/>
        </w:trPr>
        <w:tc>
          <w:tcPr>
            <w:tcW w:w="10241"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评分说明：</w:t>
            </w:r>
          </w:p>
          <w:p>
            <w:pPr>
              <w:spacing w:line="240" w:lineRule="auto"/>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 xml:space="preserve">    综合得分在90分以上为优秀；80~90分为良好；70~80分为一般；60~70分为合格；60分以下为不合格。</w:t>
            </w:r>
          </w:p>
          <w:p>
            <w:pPr>
              <w:spacing w:line="240" w:lineRule="auto"/>
              <w:ind w:firstLine="360"/>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综合得分为优秀的，浮动酬金计费系数为100%。综合得分为良好的，浮动酬金计费系数为80%。综合得分为一般的，</w:t>
            </w:r>
          </w:p>
          <w:p>
            <w:pPr>
              <w:spacing w:line="240" w:lineRule="auto"/>
              <w:ind w:firstLine="360"/>
              <w:jc w:val="left"/>
              <w:rPr>
                <w:rFonts w:hint="eastAsia" w:hAnsi="宋体" w:cs="宋体"/>
                <w:color w:val="auto"/>
                <w:sz w:val="18"/>
                <w:szCs w:val="18"/>
                <w:highlight w:val="none"/>
              </w:rPr>
            </w:pPr>
            <w:r>
              <w:rPr>
                <w:rFonts w:hint="eastAsia" w:hAnsi="宋体" w:cs="宋体"/>
                <w:color w:val="auto"/>
                <w:sz w:val="18"/>
                <w:szCs w:val="18"/>
                <w:highlight w:val="none"/>
                <w:lang w:bidi="ar"/>
              </w:rPr>
              <w:t>浮动酬金计费系数为60%。综合得分为合格的，浮动酬金计费系数为40%。综合得分为不合格的，浮动酬金计费系数为0%。</w:t>
            </w:r>
          </w:p>
        </w:tc>
      </w:tr>
    </w:tbl>
    <w:p>
      <w:pPr>
        <w:pStyle w:val="2"/>
        <w:rPr>
          <w:rFonts w:hint="eastAsia" w:ascii="宋体" w:hAnsi="宋体" w:eastAsia="宋体" w:cs="宋体"/>
          <w:b/>
          <w:color w:val="auto"/>
          <w:sz w:val="21"/>
          <w:szCs w:val="21"/>
          <w:highlight w:val="none"/>
          <w:lang w:bidi="ar"/>
        </w:rPr>
      </w:pPr>
    </w:p>
    <w:p>
      <w:pPr>
        <w:pStyle w:val="10"/>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b/>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lang w:bidi="ar"/>
        </w:rPr>
      </w:pPr>
    </w:p>
    <w:p>
      <w:pPr>
        <w:pStyle w:val="10"/>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b/>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33"/>
        <w:tblW w:w="9750" w:type="dxa"/>
        <w:jc w:val="center"/>
        <w:tblLayout w:type="fixed"/>
        <w:tblCellMar>
          <w:top w:w="0" w:type="dxa"/>
          <w:left w:w="0" w:type="dxa"/>
          <w:bottom w:w="0" w:type="dxa"/>
          <w:right w:w="0" w:type="dxa"/>
        </w:tblCellMar>
      </w:tblPr>
      <w:tblGrid>
        <w:gridCol w:w="925"/>
        <w:gridCol w:w="522"/>
        <w:gridCol w:w="1359"/>
        <w:gridCol w:w="1627"/>
        <w:gridCol w:w="1731"/>
        <w:gridCol w:w="2031"/>
        <w:gridCol w:w="90"/>
        <w:gridCol w:w="642"/>
        <w:gridCol w:w="733"/>
        <w:gridCol w:w="90"/>
      </w:tblGrid>
      <w:tr>
        <w:tblPrEx>
          <w:tblCellMar>
            <w:top w:w="0" w:type="dxa"/>
            <w:left w:w="0" w:type="dxa"/>
            <w:bottom w:w="0" w:type="dxa"/>
            <w:right w:w="0" w:type="dxa"/>
          </w:tblCellMar>
        </w:tblPrEx>
        <w:trPr>
          <w:gridAfter w:val="1"/>
          <w:wAfter w:w="90" w:type="dxa"/>
          <w:trHeight w:val="368" w:hRule="atLeast"/>
          <w:jc w:val="center"/>
        </w:trPr>
        <w:tc>
          <w:tcPr>
            <w:tcW w:w="9660" w:type="dxa"/>
            <w:gridSpan w:val="9"/>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bidi="ar"/>
              </w:rPr>
              <w:t>咨询单位驻场人员</w:t>
            </w:r>
            <w:r>
              <w:rPr>
                <w:rFonts w:hint="eastAsia" w:ascii="宋体" w:hAnsi="宋体" w:eastAsia="宋体" w:cs="宋体"/>
                <w:b/>
                <w:color w:val="auto"/>
                <w:sz w:val="21"/>
                <w:szCs w:val="21"/>
                <w:highlight w:val="none"/>
                <w:lang w:bidi="ar"/>
              </w:rPr>
              <w:t>考核表</w:t>
            </w:r>
          </w:p>
        </w:tc>
      </w:tr>
      <w:tr>
        <w:tblPrEx>
          <w:tblCellMar>
            <w:top w:w="0" w:type="dxa"/>
            <w:left w:w="0" w:type="dxa"/>
            <w:bottom w:w="0" w:type="dxa"/>
            <w:right w:w="0" w:type="dxa"/>
          </w:tblCellMar>
        </w:tblPrEx>
        <w:trPr>
          <w:trHeight w:val="368" w:hRule="atLeast"/>
          <w:jc w:val="center"/>
        </w:trPr>
        <w:tc>
          <w:tcPr>
            <w:tcW w:w="2806" w:type="dxa"/>
            <w:gridSpan w:val="3"/>
            <w:tcBorders>
              <w:top w:val="nil"/>
              <w:left w:val="nil"/>
              <w:bottom w:val="single" w:color="000000" w:sz="4" w:space="0"/>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建设单位名称（盖章）：</w:t>
            </w:r>
          </w:p>
        </w:tc>
        <w:tc>
          <w:tcPr>
            <w:tcW w:w="1627" w:type="dxa"/>
            <w:tcBorders>
              <w:top w:val="nil"/>
              <w:left w:val="nil"/>
              <w:bottom w:val="nil"/>
              <w:right w:val="nil"/>
            </w:tcBorders>
            <w:noWrap/>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731" w:type="dxa"/>
            <w:tcBorders>
              <w:top w:val="nil"/>
              <w:left w:val="nil"/>
              <w:bottom w:val="nil"/>
              <w:right w:val="nil"/>
            </w:tcBorders>
            <w:noWrap/>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2031" w:type="dxa"/>
            <w:tcBorders>
              <w:top w:val="nil"/>
              <w:left w:val="nil"/>
              <w:bottom w:val="nil"/>
              <w:right w:val="nil"/>
            </w:tcBorders>
            <w:noWrap/>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索引号:</w:t>
            </w:r>
          </w:p>
        </w:tc>
        <w:tc>
          <w:tcPr>
            <w:tcW w:w="90" w:type="dxa"/>
            <w:tcBorders>
              <w:top w:val="nil"/>
              <w:left w:val="nil"/>
              <w:bottom w:val="nil"/>
              <w:right w:val="nil"/>
            </w:tcBorders>
            <w:noWrap/>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both"/>
              <w:textAlignment w:val="bottom"/>
              <w:rPr>
                <w:rFonts w:hint="eastAsia" w:ascii="宋体" w:hAnsi="宋体" w:eastAsia="宋体" w:cs="宋体"/>
                <w:color w:val="auto"/>
                <w:sz w:val="21"/>
                <w:szCs w:val="21"/>
                <w:highlight w:val="none"/>
              </w:rPr>
            </w:pPr>
          </w:p>
        </w:tc>
        <w:tc>
          <w:tcPr>
            <w:tcW w:w="1465" w:type="dxa"/>
            <w:gridSpan w:val="3"/>
            <w:tcBorders>
              <w:top w:val="nil"/>
              <w:left w:val="nil"/>
              <w:bottom w:val="nil"/>
              <w:right w:val="nil"/>
            </w:tcBorders>
            <w:noWrap/>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both"/>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76" w:hRule="atLeast"/>
          <w:jc w:val="center"/>
        </w:trPr>
        <w:tc>
          <w:tcPr>
            <w:tcW w:w="9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bidi="ar"/>
              </w:rPr>
              <w:t>姓名</w:t>
            </w:r>
            <w:r>
              <w:rPr>
                <w:rFonts w:hint="eastAsia" w:ascii="宋体" w:hAnsi="宋体" w:eastAsia="宋体" w:cs="宋体"/>
                <w:color w:val="auto"/>
                <w:sz w:val="21"/>
                <w:szCs w:val="21"/>
                <w:highlight w:val="none"/>
                <w:lang w:val="en-US" w:eastAsia="zh-CN" w:bidi="ar"/>
              </w:rPr>
              <w:t xml:space="preserve"> </w:t>
            </w:r>
          </w:p>
        </w:tc>
        <w:tc>
          <w:tcPr>
            <w:tcW w:w="3508"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3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工程造价咨询单位</w:t>
            </w:r>
          </w:p>
        </w:tc>
        <w:tc>
          <w:tcPr>
            <w:tcW w:w="3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415"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评价内容</w:t>
            </w:r>
          </w:p>
        </w:tc>
        <w:tc>
          <w:tcPr>
            <w:tcW w:w="5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各项分值</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  体  内  容</w:t>
            </w:r>
          </w:p>
        </w:tc>
        <w:tc>
          <w:tcPr>
            <w:tcW w:w="7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驻场人员自</w:t>
            </w:r>
            <w:r>
              <w:rPr>
                <w:rFonts w:hint="eastAsia" w:ascii="宋体" w:hAnsi="宋体" w:eastAsia="宋体" w:cs="宋体"/>
                <w:color w:val="auto"/>
                <w:sz w:val="21"/>
                <w:szCs w:val="21"/>
                <w:highlight w:val="none"/>
                <w:lang w:bidi="ar"/>
              </w:rPr>
              <w:t>评分</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建设单位评分</w:t>
            </w:r>
          </w:p>
        </w:tc>
      </w:tr>
      <w:tr>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业务水平</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18</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业务能力</w:t>
            </w:r>
            <w:r>
              <w:rPr>
                <w:rFonts w:hint="eastAsia" w:ascii="宋体" w:hAnsi="宋体" w:eastAsia="宋体" w:cs="宋体"/>
                <w:color w:val="auto"/>
                <w:sz w:val="21"/>
                <w:szCs w:val="21"/>
                <w:highlight w:val="none"/>
                <w:lang w:eastAsia="zh-CN" w:bidi="ar"/>
              </w:rPr>
              <w:t>水平</w:t>
            </w:r>
            <w:r>
              <w:rPr>
                <w:rFonts w:hint="eastAsia" w:ascii="宋体" w:hAnsi="宋体" w:eastAsia="宋体" w:cs="宋体"/>
                <w:color w:val="auto"/>
                <w:sz w:val="21"/>
                <w:szCs w:val="21"/>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工作</w:t>
            </w:r>
            <w:r>
              <w:rPr>
                <w:rFonts w:hint="eastAsia" w:ascii="宋体" w:hAnsi="宋体" w:eastAsia="宋体" w:cs="宋体"/>
                <w:color w:val="auto"/>
                <w:sz w:val="21"/>
                <w:szCs w:val="21"/>
                <w:highlight w:val="none"/>
                <w:lang w:bidi="ar"/>
              </w:rPr>
              <w:t>积极主动</w:t>
            </w:r>
            <w:r>
              <w:rPr>
                <w:rFonts w:hint="eastAsia" w:ascii="宋体" w:hAnsi="宋体" w:eastAsia="宋体" w:cs="宋体"/>
                <w:color w:val="auto"/>
                <w:sz w:val="21"/>
                <w:szCs w:val="21"/>
                <w:highlight w:val="none"/>
                <w:lang w:eastAsia="zh-CN" w:bidi="ar"/>
              </w:rPr>
              <w:t>性，</w:t>
            </w:r>
            <w:r>
              <w:rPr>
                <w:rFonts w:hint="eastAsia" w:ascii="宋体" w:hAnsi="宋体" w:eastAsia="宋体" w:cs="宋体"/>
                <w:color w:val="auto"/>
                <w:sz w:val="21"/>
                <w:szCs w:val="21"/>
                <w:highlight w:val="none"/>
                <w:lang w:bidi="ar"/>
              </w:rPr>
              <w:t>最高得3分；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21"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对工程做法、合约管理等通过内外部项目对标分析等方式，提出成本优化建议的</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对项目</w:t>
            </w:r>
            <w:r>
              <w:rPr>
                <w:rFonts w:hint="eastAsia" w:ascii="宋体" w:hAnsi="宋体" w:eastAsia="宋体" w:cs="宋体"/>
                <w:color w:val="auto"/>
                <w:sz w:val="21"/>
                <w:szCs w:val="21"/>
                <w:highlight w:val="none"/>
                <w:lang w:eastAsia="zh-CN" w:bidi="ar"/>
              </w:rPr>
              <w:t>执行过程的</w:t>
            </w:r>
            <w:r>
              <w:rPr>
                <w:rFonts w:hint="eastAsia" w:ascii="宋体" w:hAnsi="宋体" w:eastAsia="宋体" w:cs="宋体"/>
                <w:color w:val="auto"/>
                <w:sz w:val="21"/>
                <w:szCs w:val="21"/>
                <w:highlight w:val="none"/>
                <w:lang w:bidi="ar"/>
              </w:rPr>
              <w:t>了解</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完成质量</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29</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成本台账管理，</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80"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计量的准确性，</w:t>
            </w:r>
            <w:r>
              <w:rPr>
                <w:rFonts w:hint="eastAsia" w:ascii="宋体" w:hAnsi="宋体" w:eastAsia="宋体" w:cs="宋体"/>
                <w:color w:val="auto"/>
                <w:sz w:val="21"/>
                <w:szCs w:val="21"/>
                <w:highlight w:val="none"/>
                <w:lang w:bidi="ar"/>
              </w:rPr>
              <w:t>最高得6分；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16"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进度管理效果，</w:t>
            </w:r>
            <w:r>
              <w:rPr>
                <w:rFonts w:hint="eastAsia" w:ascii="宋体" w:hAnsi="宋体" w:eastAsia="宋体" w:cs="宋体"/>
                <w:color w:val="auto"/>
                <w:sz w:val="21"/>
                <w:szCs w:val="21"/>
                <w:highlight w:val="none"/>
                <w:lang w:bidi="ar"/>
              </w:rPr>
              <w:t>最高得6分；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29"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工作成果文件</w:t>
            </w:r>
            <w:r>
              <w:rPr>
                <w:rFonts w:hint="eastAsia" w:ascii="宋体" w:hAnsi="宋体" w:eastAsia="宋体" w:cs="宋体"/>
                <w:color w:val="auto"/>
                <w:sz w:val="21"/>
                <w:szCs w:val="21"/>
                <w:highlight w:val="none"/>
                <w:lang w:eastAsia="zh-CN" w:bidi="ar"/>
              </w:rPr>
              <w:t>的质量，</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42"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是否有</w:t>
            </w:r>
            <w:r>
              <w:rPr>
                <w:rFonts w:hint="eastAsia" w:ascii="宋体" w:hAnsi="宋体" w:eastAsia="宋体" w:cs="宋体"/>
                <w:color w:val="auto"/>
                <w:sz w:val="21"/>
                <w:szCs w:val="21"/>
                <w:highlight w:val="none"/>
                <w:lang w:bidi="ar"/>
              </w:rPr>
              <w:t>重大的主观差错</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27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工作效率</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3</w:t>
            </w: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开展</w:t>
            </w:r>
            <w:r>
              <w:rPr>
                <w:rFonts w:hint="eastAsia" w:ascii="宋体" w:hAnsi="宋体" w:eastAsia="宋体" w:cs="宋体"/>
                <w:color w:val="auto"/>
                <w:sz w:val="21"/>
                <w:szCs w:val="21"/>
                <w:highlight w:val="none"/>
                <w:lang w:val="en-US" w:eastAsia="zh-CN" w:bidi="ar"/>
              </w:rPr>
              <w:t>成本</w:t>
            </w:r>
            <w:r>
              <w:rPr>
                <w:rFonts w:hint="eastAsia" w:ascii="宋体" w:hAnsi="宋体" w:eastAsia="宋体" w:cs="宋体"/>
                <w:color w:val="auto"/>
                <w:sz w:val="21"/>
                <w:szCs w:val="21"/>
                <w:highlight w:val="none"/>
                <w:lang w:bidi="ar"/>
              </w:rPr>
              <w:t>活动</w:t>
            </w:r>
            <w:r>
              <w:rPr>
                <w:rFonts w:hint="eastAsia" w:ascii="宋体" w:hAnsi="宋体" w:eastAsia="宋体" w:cs="宋体"/>
                <w:color w:val="auto"/>
                <w:sz w:val="21"/>
                <w:szCs w:val="21"/>
                <w:highlight w:val="none"/>
                <w:lang w:eastAsia="zh-CN" w:bidi="ar"/>
              </w:rPr>
              <w:t>的及时性，</w:t>
            </w:r>
            <w:r>
              <w:rPr>
                <w:rFonts w:hint="eastAsia" w:ascii="宋体" w:hAnsi="宋体" w:eastAsia="宋体" w:cs="宋体"/>
                <w:color w:val="auto"/>
                <w:sz w:val="21"/>
                <w:szCs w:val="21"/>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对数、现场查勘</w:t>
            </w:r>
            <w:r>
              <w:rPr>
                <w:rFonts w:hint="eastAsia" w:ascii="宋体" w:hAnsi="宋体" w:eastAsia="宋体" w:cs="宋体"/>
                <w:color w:val="auto"/>
                <w:sz w:val="21"/>
                <w:szCs w:val="21"/>
                <w:highlight w:val="none"/>
                <w:lang w:eastAsia="zh-CN" w:bidi="ar"/>
              </w:rPr>
              <w:t>及时性，</w:t>
            </w:r>
            <w:r>
              <w:rPr>
                <w:rFonts w:hint="eastAsia" w:ascii="宋体" w:hAnsi="宋体" w:eastAsia="宋体" w:cs="宋体"/>
                <w:color w:val="auto"/>
                <w:sz w:val="21"/>
                <w:szCs w:val="21"/>
                <w:highlight w:val="none"/>
                <w:lang w:bidi="ar"/>
              </w:rPr>
              <w:t>最高得3分；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甲方成本工程师反馈意见后</w:t>
            </w:r>
            <w:r>
              <w:rPr>
                <w:rFonts w:hint="eastAsia" w:ascii="宋体" w:hAnsi="宋体" w:eastAsia="宋体" w:cs="宋体"/>
                <w:color w:val="auto"/>
                <w:sz w:val="21"/>
                <w:szCs w:val="21"/>
                <w:highlight w:val="none"/>
                <w:lang w:bidi="ar"/>
              </w:rPr>
              <w:t>做到及时修改，对反馈意见</w:t>
            </w:r>
            <w:r>
              <w:rPr>
                <w:rFonts w:hint="eastAsia" w:ascii="宋体" w:hAnsi="宋体" w:eastAsia="宋体" w:cs="宋体"/>
                <w:color w:val="auto"/>
                <w:sz w:val="21"/>
                <w:szCs w:val="21"/>
                <w:highlight w:val="none"/>
                <w:lang w:eastAsia="zh-CN" w:bidi="ar"/>
              </w:rPr>
              <w:t>的</w:t>
            </w:r>
            <w:r>
              <w:rPr>
                <w:rFonts w:hint="eastAsia" w:ascii="宋体" w:hAnsi="宋体" w:eastAsia="宋体" w:cs="宋体"/>
                <w:color w:val="auto"/>
                <w:sz w:val="21"/>
                <w:szCs w:val="21"/>
                <w:highlight w:val="none"/>
                <w:lang w:bidi="ar"/>
              </w:rPr>
              <w:t>及时</w:t>
            </w:r>
            <w:r>
              <w:rPr>
                <w:rFonts w:hint="eastAsia" w:ascii="宋体" w:hAnsi="宋体" w:eastAsia="宋体" w:cs="宋体"/>
                <w:color w:val="auto"/>
                <w:sz w:val="21"/>
                <w:szCs w:val="21"/>
                <w:highlight w:val="none"/>
                <w:lang w:eastAsia="zh-CN" w:bidi="ar"/>
              </w:rPr>
              <w:t>性，</w:t>
            </w:r>
            <w:r>
              <w:rPr>
                <w:rFonts w:hint="eastAsia" w:ascii="宋体" w:hAnsi="宋体" w:eastAsia="宋体" w:cs="宋体"/>
                <w:color w:val="auto"/>
                <w:sz w:val="21"/>
                <w:szCs w:val="21"/>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28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通知委托人补充相关资料，澄清有关疑问的</w:t>
            </w:r>
            <w:r>
              <w:rPr>
                <w:rFonts w:hint="eastAsia" w:ascii="宋体" w:hAnsi="宋体" w:eastAsia="宋体" w:cs="宋体"/>
                <w:color w:val="auto"/>
                <w:sz w:val="21"/>
                <w:szCs w:val="21"/>
                <w:highlight w:val="none"/>
                <w:lang w:eastAsia="zh-CN" w:bidi="ar"/>
              </w:rPr>
              <w:t>及时性，</w:t>
            </w:r>
            <w:r>
              <w:rPr>
                <w:rFonts w:hint="eastAsia" w:ascii="宋体" w:hAnsi="宋体" w:eastAsia="宋体" w:cs="宋体"/>
                <w:color w:val="auto"/>
                <w:sz w:val="21"/>
                <w:szCs w:val="21"/>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3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按</w:t>
            </w:r>
            <w:r>
              <w:rPr>
                <w:rFonts w:hint="eastAsia" w:ascii="宋体" w:hAnsi="宋体" w:eastAsia="宋体" w:cs="宋体"/>
                <w:color w:val="auto"/>
                <w:sz w:val="21"/>
                <w:szCs w:val="21"/>
                <w:highlight w:val="none"/>
                <w:lang w:bidi="ar"/>
              </w:rPr>
              <w:t>计划时间完成咨询任务的最高得</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299"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规范服务</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1</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按有关行业规范、工作规程和财政管理要求开展咨询活动的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08"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认真执行对数操作规程、现场查勘操作规程</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对非常规的设备、材料的价格选定，以及非常规的工艺、技术的定额计价</w:t>
            </w:r>
            <w:r>
              <w:rPr>
                <w:rFonts w:hint="eastAsia" w:ascii="宋体" w:hAnsi="宋体" w:eastAsia="宋体" w:cs="宋体"/>
                <w:color w:val="auto"/>
                <w:sz w:val="21"/>
                <w:szCs w:val="21"/>
                <w:highlight w:val="none"/>
                <w:lang w:eastAsia="zh-CN" w:bidi="ar"/>
              </w:rPr>
              <w:t>的处理，</w:t>
            </w:r>
            <w:r>
              <w:rPr>
                <w:rFonts w:hint="eastAsia" w:ascii="宋体" w:hAnsi="宋体" w:eastAsia="宋体" w:cs="宋体"/>
                <w:color w:val="auto"/>
                <w:sz w:val="21"/>
                <w:szCs w:val="21"/>
                <w:highlight w:val="none"/>
                <w:lang w:bidi="ar"/>
              </w:rPr>
              <w:t>最高得2分；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职业道德评价</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19</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遵守有关廉政建设规定</w:t>
            </w:r>
            <w:r>
              <w:rPr>
                <w:rFonts w:hint="eastAsia" w:ascii="宋体" w:hAnsi="宋体" w:eastAsia="宋体" w:cs="宋体"/>
                <w:color w:val="auto"/>
                <w:sz w:val="21"/>
                <w:szCs w:val="21"/>
                <w:highlight w:val="none"/>
                <w:lang w:eastAsia="zh-CN" w:bidi="ar"/>
              </w:rPr>
              <w:t>方面，最高得</w:t>
            </w:r>
            <w:r>
              <w:rPr>
                <w:rFonts w:hint="eastAsia" w:ascii="宋体" w:hAnsi="宋体" w:eastAsia="宋体" w:cs="宋体"/>
                <w:color w:val="auto"/>
                <w:sz w:val="21"/>
                <w:szCs w:val="21"/>
                <w:highlight w:val="none"/>
                <w:lang w:val="en-US" w:eastAsia="zh-CN" w:bidi="ar"/>
              </w:rPr>
              <w:t>5分</w:t>
            </w:r>
            <w:r>
              <w:rPr>
                <w:rFonts w:hint="eastAsia" w:ascii="宋体" w:hAnsi="宋体" w:eastAsia="宋体" w:cs="宋体"/>
                <w:color w:val="auto"/>
                <w:sz w:val="21"/>
                <w:szCs w:val="21"/>
                <w:highlight w:val="none"/>
                <w:lang w:bidi="ar"/>
              </w:rPr>
              <w:t>；</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执行保密规定方面，最高得</w:t>
            </w:r>
            <w:r>
              <w:rPr>
                <w:rFonts w:hint="eastAsia" w:ascii="宋体" w:hAnsi="宋体" w:eastAsia="宋体" w:cs="宋体"/>
                <w:color w:val="auto"/>
                <w:sz w:val="21"/>
                <w:szCs w:val="21"/>
                <w:highlight w:val="none"/>
                <w:lang w:val="en-US" w:eastAsia="zh-CN"/>
              </w:rPr>
              <w:t>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92"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没有未经委托人允许擅自与委托人的利益相对人联系工作事宜的得3分，有此行为的不得分；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做好成本复核任务</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不做二传手</w:t>
            </w:r>
            <w:r>
              <w:rPr>
                <w:rFonts w:hint="eastAsia" w:ascii="宋体" w:hAnsi="宋体" w:eastAsia="宋体" w:cs="宋体"/>
                <w:color w:val="auto"/>
                <w:sz w:val="21"/>
                <w:szCs w:val="21"/>
                <w:highlight w:val="none"/>
                <w:lang w:bidi="ar"/>
              </w:rPr>
              <w:t>得3分，</w:t>
            </w:r>
            <w:r>
              <w:rPr>
                <w:rFonts w:hint="eastAsia" w:ascii="宋体" w:hAnsi="宋体" w:eastAsia="宋体" w:cs="宋体"/>
                <w:color w:val="auto"/>
                <w:sz w:val="21"/>
                <w:szCs w:val="21"/>
                <w:highlight w:val="none"/>
                <w:lang w:val="en-US" w:eastAsia="zh-CN" w:bidi="ar"/>
              </w:rPr>
              <w:t>若发现无审核记录直接采用报送成果，</w:t>
            </w:r>
            <w:r>
              <w:rPr>
                <w:rFonts w:hint="eastAsia" w:ascii="宋体" w:hAnsi="宋体" w:eastAsia="宋体" w:cs="宋体"/>
                <w:color w:val="auto"/>
                <w:sz w:val="21"/>
                <w:szCs w:val="21"/>
                <w:highlight w:val="none"/>
                <w:lang w:bidi="ar"/>
              </w:rPr>
              <w:t>有此行为的不得分。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eastAsia="zh-CN"/>
              </w:rPr>
              <w:t>工作纪律（</w:t>
            </w:r>
            <w:r>
              <w:rPr>
                <w:rFonts w:hint="eastAsia" w:ascii="宋体" w:hAnsi="宋体" w:eastAsia="宋体" w:cs="宋体"/>
                <w:color w:val="auto"/>
                <w:sz w:val="21"/>
                <w:szCs w:val="21"/>
                <w:highlight w:val="none"/>
                <w:lang w:eastAsia="zh-CN" w:bidi="ar"/>
              </w:rPr>
              <w:t>上下班，迟到早退情况</w:t>
            </w:r>
            <w:r>
              <w:rPr>
                <w:rFonts w:hint="eastAsia" w:ascii="宋体" w:hAnsi="宋体" w:eastAsia="宋体" w:cs="宋体"/>
                <w:color w:val="auto"/>
                <w:sz w:val="21"/>
                <w:szCs w:val="21"/>
                <w:highlight w:val="none"/>
                <w:lang w:eastAsia="zh-CN"/>
              </w:rPr>
              <w:t>），最高得</w:t>
            </w:r>
            <w:r>
              <w:rPr>
                <w:rFonts w:hint="eastAsia" w:ascii="宋体" w:hAnsi="宋体" w:eastAsia="宋体" w:cs="宋体"/>
                <w:color w:val="auto"/>
                <w:sz w:val="21"/>
                <w:szCs w:val="21"/>
                <w:highlight w:val="none"/>
                <w:lang w:val="en-US" w:eastAsia="zh-CN"/>
              </w:rPr>
              <w:t>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76" w:hRule="atLeast"/>
          <w:jc w:val="center"/>
        </w:trPr>
        <w:tc>
          <w:tcPr>
            <w:tcW w:w="81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合计</w:t>
            </w:r>
          </w:p>
        </w:tc>
        <w:tc>
          <w:tcPr>
            <w:tcW w:w="73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驻场人员签名</w:t>
            </w:r>
          </w:p>
        </w:tc>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审批人员</w:t>
            </w:r>
          </w:p>
        </w:tc>
        <w:tc>
          <w:tcPr>
            <w:tcW w:w="17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评价日期</w:t>
            </w:r>
          </w:p>
        </w:tc>
        <w:tc>
          <w:tcPr>
            <w:tcW w:w="1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评价人员签名                </w:t>
            </w:r>
          </w:p>
        </w:tc>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2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17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gridAfter w:val="1"/>
          <w:wAfter w:w="90" w:type="dxa"/>
          <w:trHeight w:val="367" w:hRule="atLeast"/>
          <w:jc w:val="center"/>
        </w:trPr>
        <w:tc>
          <w:tcPr>
            <w:tcW w:w="966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ind w:firstLine="36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评分说明：</w:t>
            </w:r>
          </w:p>
          <w:p>
            <w:pPr>
              <w:pageBreakBefore w:val="0"/>
              <w:widowControl/>
              <w:kinsoku/>
              <w:overflowPunct/>
              <w:topLinePunct w:val="0"/>
              <w:autoSpaceDE/>
              <w:autoSpaceDN/>
              <w:bidi w:val="0"/>
              <w:adjustRightInd w:val="0"/>
              <w:snapToGrid w:val="0"/>
              <w:spacing w:line="360" w:lineRule="auto"/>
              <w:ind w:firstLine="36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综合得分在</w:t>
            </w:r>
            <w:r>
              <w:rPr>
                <w:rFonts w:hint="eastAsia" w:ascii="宋体" w:hAnsi="宋体" w:eastAsia="宋体" w:cs="宋体"/>
                <w:color w:val="auto"/>
                <w:sz w:val="21"/>
                <w:szCs w:val="21"/>
                <w:highlight w:val="none"/>
                <w:lang w:val="en-US" w:eastAsia="zh-CN" w:bidi="ar"/>
              </w:rPr>
              <w:t>85</w:t>
            </w:r>
            <w:r>
              <w:rPr>
                <w:rFonts w:hint="eastAsia" w:ascii="宋体" w:hAnsi="宋体" w:eastAsia="宋体" w:cs="宋体"/>
                <w:color w:val="auto"/>
                <w:sz w:val="21"/>
                <w:szCs w:val="21"/>
                <w:highlight w:val="none"/>
                <w:lang w:bidi="ar"/>
              </w:rPr>
              <w:t>分以上为优秀；</w:t>
            </w:r>
            <w:r>
              <w:rPr>
                <w:rFonts w:hint="eastAsia" w:ascii="宋体" w:hAnsi="宋体" w:eastAsia="宋体" w:cs="宋体"/>
                <w:color w:val="auto"/>
                <w:sz w:val="21"/>
                <w:szCs w:val="21"/>
                <w:highlight w:val="none"/>
                <w:lang w:val="en-US" w:eastAsia="zh-CN" w:bidi="ar"/>
              </w:rPr>
              <w:t>70</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85</w:t>
            </w:r>
            <w:r>
              <w:rPr>
                <w:rFonts w:hint="eastAsia" w:ascii="宋体" w:hAnsi="宋体" w:eastAsia="宋体" w:cs="宋体"/>
                <w:color w:val="auto"/>
                <w:sz w:val="21"/>
                <w:szCs w:val="21"/>
                <w:highlight w:val="none"/>
                <w:lang w:bidi="ar"/>
              </w:rPr>
              <w:t>分为良好；60~70分为合格；60分以下为不合格。</w:t>
            </w:r>
          </w:p>
          <w:p>
            <w:pPr>
              <w:pageBreakBefore w:val="0"/>
              <w:widowControl/>
              <w:kinsoku/>
              <w:overflowPunct/>
              <w:topLinePunct w:val="0"/>
              <w:autoSpaceDE/>
              <w:autoSpaceDN/>
              <w:bidi w:val="0"/>
              <w:adjustRightInd w:val="0"/>
              <w:snapToGrid w:val="0"/>
              <w:spacing w:line="360" w:lineRule="auto"/>
              <w:ind w:firstLine="36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综合得分为优秀的，</w:t>
            </w:r>
            <w:r>
              <w:rPr>
                <w:rFonts w:hint="eastAsia" w:ascii="宋体" w:hAnsi="宋体" w:eastAsia="宋体" w:cs="宋体"/>
                <w:color w:val="auto"/>
                <w:sz w:val="21"/>
                <w:szCs w:val="21"/>
                <w:highlight w:val="none"/>
                <w:lang w:eastAsia="zh-CN" w:bidi="ar"/>
              </w:rPr>
              <w:t>发放优秀奖奖金</w:t>
            </w:r>
            <w:r>
              <w:rPr>
                <w:rFonts w:hint="eastAsia" w:ascii="宋体" w:hAnsi="宋体" w:eastAsia="宋体" w:cs="宋体"/>
                <w:color w:val="auto"/>
                <w:sz w:val="21"/>
                <w:szCs w:val="21"/>
                <w:highlight w:val="none"/>
                <w:lang w:val="en-US" w:eastAsia="zh-CN" w:bidi="ar"/>
              </w:rPr>
              <w:t>3000元/月；</w:t>
            </w:r>
            <w:r>
              <w:rPr>
                <w:rFonts w:hint="eastAsia" w:ascii="宋体" w:hAnsi="宋体" w:eastAsia="宋体" w:cs="宋体"/>
                <w:color w:val="auto"/>
                <w:sz w:val="21"/>
                <w:szCs w:val="21"/>
                <w:highlight w:val="none"/>
                <w:lang w:bidi="ar"/>
              </w:rPr>
              <w:t>综合得分为</w:t>
            </w:r>
            <w:r>
              <w:rPr>
                <w:rFonts w:hint="eastAsia" w:ascii="宋体" w:hAnsi="宋体" w:eastAsia="宋体" w:cs="宋体"/>
                <w:color w:val="auto"/>
                <w:sz w:val="21"/>
                <w:szCs w:val="21"/>
                <w:highlight w:val="none"/>
                <w:lang w:eastAsia="zh-CN" w:bidi="ar"/>
              </w:rPr>
              <w:t>良好</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eastAsia="zh-CN" w:bidi="ar"/>
              </w:rPr>
              <w:t>发放奖金</w:t>
            </w:r>
            <w:r>
              <w:rPr>
                <w:rFonts w:hint="eastAsia" w:ascii="宋体" w:hAnsi="宋体" w:eastAsia="宋体" w:cs="宋体"/>
                <w:color w:val="auto"/>
                <w:sz w:val="21"/>
                <w:szCs w:val="21"/>
                <w:highlight w:val="none"/>
                <w:lang w:val="en-US" w:eastAsia="zh-CN" w:bidi="ar"/>
              </w:rPr>
              <w:t>2000元/月；</w:t>
            </w:r>
            <w:r>
              <w:rPr>
                <w:rFonts w:hint="eastAsia" w:ascii="宋体" w:hAnsi="宋体" w:eastAsia="宋体" w:cs="宋体"/>
                <w:color w:val="auto"/>
                <w:sz w:val="21"/>
                <w:szCs w:val="21"/>
                <w:highlight w:val="none"/>
                <w:lang w:bidi="ar"/>
              </w:rPr>
              <w:t>综合得分为</w:t>
            </w:r>
            <w:r>
              <w:rPr>
                <w:rFonts w:hint="eastAsia" w:ascii="宋体" w:hAnsi="宋体" w:eastAsia="宋体" w:cs="宋体"/>
                <w:color w:val="auto"/>
                <w:sz w:val="21"/>
                <w:szCs w:val="21"/>
                <w:highlight w:val="none"/>
                <w:lang w:eastAsia="zh-CN" w:bidi="ar"/>
              </w:rPr>
              <w:t>合格</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eastAsia="zh-CN" w:bidi="ar"/>
              </w:rPr>
              <w:t>发放奖金</w:t>
            </w:r>
            <w:r>
              <w:rPr>
                <w:rFonts w:hint="eastAsia" w:ascii="宋体" w:hAnsi="宋体" w:eastAsia="宋体" w:cs="宋体"/>
                <w:color w:val="auto"/>
                <w:sz w:val="21"/>
                <w:szCs w:val="21"/>
                <w:highlight w:val="none"/>
                <w:lang w:val="en-US" w:eastAsia="zh-CN" w:bidi="ar"/>
              </w:rPr>
              <w:t>1000元/月；综合得分为不合格的，不发放奖金。</w:t>
            </w:r>
          </w:p>
        </w:tc>
      </w:tr>
    </w:tbl>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ind w:firstLine="422" w:firstLineChars="200"/>
        <w:outlineLvl w:val="0"/>
        <w:rPr>
          <w:rFonts w:hint="eastAsia" w:ascii="宋体" w:hAnsi="宋体" w:eastAsia="宋体" w:cs="宋体"/>
          <w:b/>
          <w:bCs w:val="0"/>
          <w:color w:val="auto"/>
          <w:sz w:val="21"/>
          <w:szCs w:val="21"/>
          <w:highlight w:val="none"/>
        </w:rPr>
      </w:pPr>
      <w:bookmarkStart w:id="137" w:name="_Toc27524"/>
      <w:r>
        <w:rPr>
          <w:rFonts w:hint="eastAsia" w:ascii="宋体" w:hAnsi="宋体" w:eastAsia="宋体" w:cs="宋体"/>
          <w:b/>
          <w:bCs w:val="0"/>
          <w:color w:val="auto"/>
          <w:sz w:val="21"/>
          <w:szCs w:val="21"/>
          <w:highlight w:val="none"/>
        </w:rPr>
        <w:t>附件7：履约保证金或履约保函缴纳凭证复印件</w:t>
      </w:r>
      <w:bookmarkEnd w:id="137"/>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US" w:eastAsia="zh-CN"/>
        </w:rPr>
      </w:pPr>
    </w:p>
    <w:p>
      <w:pPr>
        <w:pStyle w:val="9"/>
        <w:spacing w:line="360" w:lineRule="auto"/>
        <w:ind w:firstLine="0" w:firstLineChars="0"/>
        <w:rPr>
          <w:rFonts w:hint="eastAsia" w:cs="宋体"/>
          <w:b/>
          <w:bCs/>
          <w:color w:val="auto"/>
          <w:highlight w:val="none"/>
        </w:rPr>
      </w:pPr>
    </w:p>
    <w:p>
      <w:pPr>
        <w:pStyle w:val="9"/>
        <w:spacing w:line="360" w:lineRule="auto"/>
        <w:ind w:firstLine="0" w:firstLineChars="0"/>
        <w:rPr>
          <w:rFonts w:hint="eastAsia" w:ascii="宋体" w:hAnsi="宋体" w:eastAsia="宋体" w:cs="宋体"/>
          <w:b/>
          <w:bCs/>
          <w:color w:val="auto"/>
          <w:highlight w:val="none"/>
        </w:rPr>
      </w:pPr>
    </w:p>
    <w:p>
      <w:pPr>
        <w:pStyle w:val="9"/>
        <w:spacing w:line="360" w:lineRule="auto"/>
        <w:ind w:firstLine="0" w:firstLineChars="0"/>
        <w:rPr>
          <w:rFonts w:hint="eastAsia" w:ascii="宋体" w:hAnsi="宋体" w:eastAsia="宋体" w:cs="宋体"/>
          <w:b/>
          <w:bCs/>
          <w:color w:val="auto"/>
          <w:highlight w:val="none"/>
        </w:rPr>
      </w:pPr>
    </w:p>
    <w:p>
      <w:pPr>
        <w:pStyle w:val="9"/>
        <w:spacing w:line="360" w:lineRule="auto"/>
        <w:ind w:firstLine="0" w:firstLineChars="0"/>
        <w:rPr>
          <w:rFonts w:hint="eastAsia" w:ascii="宋体" w:hAnsi="宋体" w:eastAsia="宋体" w:cs="宋体"/>
          <w:b/>
          <w:bCs/>
          <w:color w:val="auto"/>
          <w:highlight w:val="none"/>
        </w:rPr>
      </w:pPr>
    </w:p>
    <w:p>
      <w:pPr>
        <w:pStyle w:val="9"/>
        <w:spacing w:line="360" w:lineRule="auto"/>
        <w:ind w:firstLine="0" w:firstLineChars="0"/>
        <w:rPr>
          <w:b w:val="0"/>
          <w:bCs/>
          <w:color w:val="auto"/>
          <w:highlight w:val="none"/>
        </w:rPr>
      </w:pPr>
    </w:p>
    <w:p>
      <w:pPr>
        <w:rPr>
          <w:color w:val="auto"/>
          <w:highlight w:val="none"/>
        </w:rPr>
      </w:pPr>
    </w:p>
    <w:p>
      <w:pPr>
        <w:rPr>
          <w:color w:val="auto"/>
          <w:highlight w:val="none"/>
        </w:rPr>
      </w:pPr>
    </w:p>
    <w:p>
      <w:pPr>
        <w:rPr>
          <w:color w:val="auto"/>
          <w:highlight w:val="none"/>
        </w:rPr>
      </w:pPr>
      <w:r>
        <w:rPr>
          <w:color w:val="auto"/>
          <w:highlight w:val="none"/>
          <w:lang w:bidi="zh-CN"/>
        </w:rPr>
        <w:br w:type="page"/>
      </w:r>
    </w:p>
    <w:p>
      <w:pPr>
        <w:pStyle w:val="4"/>
        <w:spacing w:before="0" w:after="0" w:line="240" w:lineRule="auto"/>
        <w:rPr>
          <w:color w:val="auto"/>
          <w:sz w:val="28"/>
          <w:szCs w:val="28"/>
          <w:highlight w:val="none"/>
        </w:rPr>
      </w:pPr>
      <w:bookmarkStart w:id="138" w:name="_Toc17124"/>
      <w:r>
        <w:rPr>
          <w:rFonts w:hint="eastAsia"/>
          <w:color w:val="auto"/>
          <w:sz w:val="28"/>
          <w:szCs w:val="28"/>
          <w:highlight w:val="none"/>
        </w:rPr>
        <w:t>第六部分</w:t>
      </w:r>
      <w:r>
        <w:rPr>
          <w:rFonts w:hint="eastAsia"/>
          <w:color w:val="auto"/>
          <w:sz w:val="28"/>
          <w:szCs w:val="28"/>
          <w:highlight w:val="none"/>
          <w:lang w:val="en-US" w:eastAsia="zh-CN"/>
        </w:rPr>
        <w:t xml:space="preserve"> </w:t>
      </w:r>
      <w:r>
        <w:rPr>
          <w:rFonts w:hint="eastAsia"/>
          <w:color w:val="auto"/>
          <w:sz w:val="28"/>
          <w:szCs w:val="28"/>
          <w:highlight w:val="none"/>
        </w:rPr>
        <w:t>附件－投标文件格式</w:t>
      </w:r>
      <w:bookmarkEnd w:id="138"/>
    </w:p>
    <w:p>
      <w:pPr>
        <w:rPr>
          <w:color w:val="auto"/>
          <w:highlight w:val="none"/>
        </w:rPr>
      </w:pPr>
    </w:p>
    <w:p>
      <w:pPr>
        <w:pStyle w:val="6"/>
        <w:widowControl w:val="0"/>
        <w:overflowPunct w:val="0"/>
        <w:spacing w:line="240" w:lineRule="auto"/>
        <w:rPr>
          <w:rFonts w:ascii="宋体" w:hAnsi="宋体"/>
          <w:color w:val="auto"/>
          <w:sz w:val="21"/>
          <w:szCs w:val="21"/>
          <w:highlight w:val="none"/>
        </w:rPr>
      </w:pPr>
      <w:bookmarkStart w:id="139" w:name="_Toc25786"/>
      <w:r>
        <w:rPr>
          <w:rFonts w:hint="eastAsia" w:ascii="宋体" w:hAnsi="宋体"/>
          <w:color w:val="auto"/>
          <w:sz w:val="21"/>
          <w:szCs w:val="21"/>
          <w:highlight w:val="none"/>
        </w:rPr>
        <w:t>投标文件目录</w:t>
      </w:r>
      <w:bookmarkEnd w:id="139"/>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目录</w:t>
      </w: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1、投标人制作的投标文件应当具备目录。</w:t>
      </w:r>
      <w:r>
        <w:rPr>
          <w:rFonts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140" w:name="_Toc18792"/>
      <w:r>
        <w:rPr>
          <w:rFonts w:hint="eastAsia" w:ascii="宋体" w:hAnsi="宋体"/>
          <w:color w:val="auto"/>
          <w:sz w:val="21"/>
          <w:szCs w:val="21"/>
          <w:highlight w:val="none"/>
        </w:rPr>
        <w:t>附件1.评分标准索引表</w:t>
      </w:r>
      <w:bookmarkEnd w:id="140"/>
    </w:p>
    <w:p>
      <w:pPr>
        <w:adjustRightInd/>
        <w:snapToGrid/>
        <w:spacing w:line="276" w:lineRule="auto"/>
        <w:rPr>
          <w:rFonts w:ascii="宋体" w:hAnsi="宋体"/>
          <w:color w:val="auto"/>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pP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pPr>
              <w:jc w:val="center"/>
              <w:rPr>
                <w:rFonts w:ascii="宋体" w:hAnsi="宋体" w:cs="宋体"/>
                <w:color w:val="auto"/>
                <w:highlight w:val="none"/>
              </w:rPr>
            </w:pPr>
            <w:r>
              <w:rPr>
                <w:rFonts w:hint="eastAsia" w:ascii="宋体" w:hAnsi="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rPr>
                <w:rFonts w:ascii="宋体" w:hAnsi="宋体" w:cs="宋体"/>
                <w:color w:val="auto"/>
                <w:highlight w:val="none"/>
              </w:rPr>
            </w:pPr>
            <w:r>
              <w:rPr>
                <w:rFonts w:hint="eastAsia" w:ascii="宋体" w:hAnsi="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rPr>
                <w:rFonts w:ascii="宋体" w:hAnsi="宋体" w:cs="宋体"/>
                <w:color w:val="auto"/>
                <w:highlight w:val="none"/>
              </w:rPr>
            </w:pPr>
            <w:r>
              <w:rPr>
                <w:rFonts w:hint="eastAsia" w:ascii="宋体" w:hAnsi="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p>
    <w:p>
      <w:pPr>
        <w:numPr>
          <w:ilvl w:val="0"/>
          <w:numId w:val="14"/>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该表格为参考格式，投标人可按实际情况自行制订评分标准索引表。</w:t>
      </w:r>
    </w:p>
    <w:p>
      <w:pPr>
        <w:pStyle w:val="2"/>
        <w:spacing w:before="0"/>
        <w:ind w:left="0"/>
        <w:rPr>
          <w:color w:val="auto"/>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pPr>
        <w:jc w:val="center"/>
        <w:rPr>
          <w:rFonts w:ascii="黑体" w:eastAsia="黑体"/>
          <w:color w:val="auto"/>
          <w:sz w:val="52"/>
          <w:szCs w:val="52"/>
          <w:highlight w:val="none"/>
        </w:rPr>
      </w:pPr>
      <w:bookmarkStart w:id="141" w:name="_Toc30918"/>
      <w:bookmarkStart w:id="142" w:name="_Toc18450"/>
      <w:bookmarkStart w:id="143" w:name="_Toc21746"/>
      <w:bookmarkStart w:id="144" w:name="_Toc20335"/>
      <w:bookmarkStart w:id="145" w:name="_Toc28154"/>
    </w:p>
    <w:p>
      <w:pPr>
        <w:pStyle w:val="4"/>
        <w:spacing w:before="0" w:after="0" w:line="360" w:lineRule="auto"/>
        <w:jc w:val="center"/>
        <w:rPr>
          <w:color w:val="auto"/>
          <w:sz w:val="72"/>
          <w:szCs w:val="72"/>
          <w:highlight w:val="none"/>
        </w:rPr>
      </w:pPr>
      <w:bookmarkStart w:id="146" w:name="_Toc9213"/>
      <w:r>
        <w:rPr>
          <w:rFonts w:hint="eastAsia"/>
          <w:color w:val="auto"/>
          <w:sz w:val="72"/>
          <w:szCs w:val="72"/>
          <w:highlight w:val="none"/>
        </w:rPr>
        <w:t>价格文件</w:t>
      </w:r>
      <w:bookmarkEnd w:id="141"/>
      <w:bookmarkEnd w:id="142"/>
      <w:bookmarkEnd w:id="146"/>
      <w:bookmarkStart w:id="147" w:name="_Hlt10456397"/>
      <w:bookmarkEnd w:id="147"/>
      <w:bookmarkStart w:id="148" w:name="_Hlt10519799"/>
      <w:bookmarkEnd w:id="148"/>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43"/>
      <w:bookmarkEnd w:id="144"/>
      <w:bookmarkEnd w:id="145"/>
    </w:p>
    <w:p>
      <w:pPr>
        <w:rPr>
          <w:color w:val="auto"/>
          <w:highlight w:val="none"/>
        </w:rPr>
      </w:pPr>
    </w:p>
    <w:p>
      <w:pPr>
        <w:pStyle w:val="2"/>
        <w:rPr>
          <w:color w:val="auto"/>
          <w:highlight w:val="none"/>
        </w:rPr>
      </w:pPr>
    </w:p>
    <w:p>
      <w:pPr>
        <w:pStyle w:val="30"/>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240"/>
        <w:textAlignment w:val="auto"/>
        <w:rPr>
          <w:color w:val="auto"/>
          <w:highlight w:val="none"/>
        </w:rPr>
      </w:pP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0"/>
        </w:rPr>
      </w:pPr>
      <w:r>
        <w:rPr>
          <w:rFonts w:hint="eastAsia" w:ascii="宋体" w:hAnsi="宋体" w:eastAsia="宋体" w:cs="宋体"/>
          <w:b/>
          <w:bCs/>
          <w:color w:val="auto"/>
          <w:spacing w:val="0"/>
          <w:kern w:val="0"/>
          <w:sz w:val="32"/>
          <w:szCs w:val="32"/>
          <w:highlight w:val="none"/>
          <w:fitText w:val="1600" w:id="841682208"/>
        </w:rPr>
        <w:t>项目名称：</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
        </w:rPr>
      </w:pPr>
      <w:r>
        <w:rPr>
          <w:rFonts w:hint="eastAsia" w:ascii="宋体" w:hAnsi="宋体" w:eastAsia="宋体" w:cs="宋体"/>
          <w:b/>
          <w:bCs/>
          <w:color w:val="auto"/>
          <w:spacing w:val="0"/>
          <w:kern w:val="0"/>
          <w:sz w:val="32"/>
          <w:szCs w:val="32"/>
          <w:highlight w:val="none"/>
          <w:fitText w:val="1600" w:id="1"/>
        </w:rPr>
        <w:t>项目编号：</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2"/>
        </w:rPr>
      </w:pPr>
      <w:r>
        <w:rPr>
          <w:rFonts w:hint="eastAsia" w:ascii="宋体" w:hAnsi="宋体" w:eastAsia="宋体" w:cs="宋体"/>
          <w:b/>
          <w:bCs/>
          <w:color w:val="auto"/>
          <w:spacing w:val="1"/>
          <w:w w:val="62"/>
          <w:kern w:val="0"/>
          <w:sz w:val="32"/>
          <w:szCs w:val="32"/>
          <w:highlight w:val="none"/>
          <w:fitText w:val="1600" w:id="2"/>
        </w:rPr>
        <w:t>包组号（如有）</w:t>
      </w:r>
      <w:r>
        <w:rPr>
          <w:rFonts w:hint="eastAsia" w:ascii="宋体" w:hAnsi="宋体" w:eastAsia="宋体" w:cs="宋体"/>
          <w:b/>
          <w:bCs/>
          <w:color w:val="auto"/>
          <w:spacing w:val="0"/>
          <w:w w:val="62"/>
          <w:kern w:val="0"/>
          <w:sz w:val="32"/>
          <w:szCs w:val="32"/>
          <w:highlight w:val="none"/>
          <w:fitText w:val="1600" w:id="2"/>
        </w:rPr>
        <w:t>：</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3"/>
        </w:rPr>
      </w:pPr>
      <w:r>
        <w:rPr>
          <w:rFonts w:hint="eastAsia" w:ascii="宋体" w:hAnsi="宋体" w:eastAsia="宋体" w:cs="宋体"/>
          <w:b/>
          <w:bCs/>
          <w:color w:val="auto"/>
          <w:spacing w:val="0"/>
          <w:w w:val="83"/>
          <w:kern w:val="0"/>
          <w:sz w:val="32"/>
          <w:szCs w:val="32"/>
          <w:highlight w:val="none"/>
          <w:fitText w:val="1600" w:id="3"/>
        </w:rPr>
        <w:t>投标人名称：</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4"/>
        </w:rPr>
      </w:pPr>
      <w:r>
        <w:rPr>
          <w:rFonts w:hint="eastAsia" w:ascii="宋体" w:hAnsi="宋体" w:eastAsia="宋体" w:cs="宋体"/>
          <w:b/>
          <w:bCs/>
          <w:color w:val="auto"/>
          <w:spacing w:val="80"/>
          <w:kern w:val="0"/>
          <w:sz w:val="32"/>
          <w:szCs w:val="32"/>
          <w:highlight w:val="none"/>
          <w:fitText w:val="1600" w:id="4"/>
        </w:rPr>
        <w:t>日 期</w:t>
      </w:r>
      <w:r>
        <w:rPr>
          <w:rFonts w:hint="eastAsia" w:ascii="宋体" w:hAnsi="宋体" w:eastAsia="宋体" w:cs="宋体"/>
          <w:b/>
          <w:bCs/>
          <w:color w:val="auto"/>
          <w:spacing w:val="0"/>
          <w:kern w:val="0"/>
          <w:sz w:val="32"/>
          <w:szCs w:val="32"/>
          <w:highlight w:val="none"/>
          <w:fitText w:val="1600" w:id="4"/>
        </w:rPr>
        <w:t>：</w:t>
      </w:r>
    </w:p>
    <w:p>
      <w:pPr>
        <w:rPr>
          <w:color w:val="auto"/>
          <w:highlight w:val="none"/>
        </w:rPr>
      </w:pPr>
    </w:p>
    <w:p>
      <w:pPr>
        <w:pStyle w:val="2"/>
        <w:rPr>
          <w:color w:val="auto"/>
          <w:spacing w:val="86"/>
          <w:kern w:val="0"/>
          <w:highlight w:val="none"/>
          <w:fitText w:val="1600" w:id="5"/>
        </w:rPr>
      </w:pPr>
    </w:p>
    <w:p>
      <w:pPr>
        <w:pStyle w:val="30"/>
        <w:ind w:firstLine="240"/>
        <w:rPr>
          <w:color w:val="auto"/>
          <w:spacing w:val="86"/>
          <w:kern w:val="0"/>
          <w:highlight w:val="none"/>
          <w:fitText w:val="1600" w:id="6"/>
        </w:rPr>
      </w:pPr>
    </w:p>
    <w:p>
      <w:pPr>
        <w:pStyle w:val="24"/>
        <w:rPr>
          <w:color w:val="auto"/>
          <w:spacing w:val="86"/>
          <w:kern w:val="0"/>
          <w:highlight w:val="none"/>
          <w:fitText w:val="1600" w:id="7"/>
        </w:rPr>
      </w:pPr>
    </w:p>
    <w:p>
      <w:pPr>
        <w:rPr>
          <w:color w:val="auto"/>
          <w:spacing w:val="86"/>
          <w:kern w:val="0"/>
          <w:highlight w:val="none"/>
          <w:fitText w:val="1600" w:id="8"/>
        </w:rPr>
      </w:pPr>
    </w:p>
    <w:p>
      <w:pPr>
        <w:pStyle w:val="2"/>
        <w:rPr>
          <w:color w:val="auto"/>
          <w:spacing w:val="86"/>
          <w:kern w:val="0"/>
          <w:highlight w:val="none"/>
          <w:fitText w:val="1600" w:id="9"/>
        </w:rPr>
      </w:pPr>
    </w:p>
    <w:p>
      <w:pPr>
        <w:pStyle w:val="30"/>
        <w:ind w:firstLine="240"/>
        <w:rPr>
          <w:color w:val="auto"/>
          <w:spacing w:val="0"/>
          <w:kern w:val="0"/>
          <w:highlight w:val="none"/>
          <w:fitText w:val="1600" w:id="10"/>
        </w:rPr>
      </w:pPr>
    </w:p>
    <w:p>
      <w:pPr>
        <w:pStyle w:val="24"/>
        <w:rPr>
          <w:color w:val="auto"/>
          <w:highlight w:val="none"/>
        </w:rPr>
      </w:pPr>
    </w:p>
    <w:p>
      <w:pPr>
        <w:pStyle w:val="24"/>
        <w:ind w:left="0"/>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149" w:name="_Toc1232"/>
      <w:r>
        <w:rPr>
          <w:rFonts w:hint="eastAsia" w:ascii="宋体" w:hAnsi="宋体"/>
          <w:color w:val="auto"/>
          <w:sz w:val="21"/>
          <w:szCs w:val="21"/>
          <w:highlight w:val="none"/>
        </w:rPr>
        <w:t>附件2.开标一览表格式</w:t>
      </w:r>
      <w:bookmarkEnd w:id="149"/>
    </w:p>
    <w:p>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t>投标人名称：</w:t>
      </w:r>
    </w:p>
    <w:p>
      <w:pPr>
        <w:rPr>
          <w:color w:val="auto"/>
          <w:highlight w:val="none"/>
        </w:rPr>
      </w:pPr>
      <w:r>
        <w:rPr>
          <w:rFonts w:hint="eastAsia" w:ascii="宋体" w:hAnsi="宋体"/>
          <w:color w:val="auto"/>
          <w:szCs w:val="21"/>
          <w:highlight w:val="none"/>
        </w:rPr>
        <w:t>采购项目编号：</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684"/>
        <w:gridCol w:w="1942"/>
        <w:gridCol w:w="1308"/>
        <w:gridCol w:w="149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9" w:hRule="atLeast"/>
          <w:jc w:val="center"/>
        </w:trPr>
        <w:tc>
          <w:tcPr>
            <w:tcW w:w="1684" w:type="dxa"/>
            <w:vAlign w:val="center"/>
          </w:tcPr>
          <w:p>
            <w:pPr>
              <w:spacing w:line="36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1942" w:type="dxa"/>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全过程驻场造价咨询服务收费系数</w:t>
            </w:r>
          </w:p>
        </w:tc>
        <w:tc>
          <w:tcPr>
            <w:tcW w:w="1308" w:type="dxa"/>
            <w:vAlign w:val="center"/>
          </w:tcPr>
          <w:p>
            <w:pPr>
              <w:spacing w:line="360" w:lineRule="auto"/>
              <w:jc w:val="center"/>
              <w:rPr>
                <w:rFonts w:hint="eastAsia" w:ascii="宋体" w:hAnsi="宋体" w:eastAsia="宋体" w:cs="宋体"/>
                <w:color w:val="auto"/>
                <w:kern w:val="28"/>
                <w:szCs w:val="21"/>
                <w:highlight w:val="none"/>
                <w:lang w:val="en-US" w:eastAsia="zh-CN"/>
              </w:rPr>
            </w:pPr>
            <w:r>
              <w:rPr>
                <w:rFonts w:hint="eastAsia" w:ascii="宋体" w:hAnsi="宋体" w:cs="宋体"/>
                <w:color w:val="auto"/>
                <w:kern w:val="28"/>
                <w:szCs w:val="21"/>
                <w:highlight w:val="none"/>
                <w:lang w:val="en-US" w:eastAsia="zh-CN"/>
              </w:rPr>
              <w:t>税率</w:t>
            </w:r>
          </w:p>
        </w:tc>
        <w:tc>
          <w:tcPr>
            <w:tcW w:w="1499" w:type="dxa"/>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c>
          <w:tcPr>
            <w:tcW w:w="2089" w:type="dxa"/>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1684" w:type="dxa"/>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道滘镇南丫片区城中村改造项目掌洲工业安置房地块全过程驻场造价咨询服务</w:t>
            </w:r>
          </w:p>
        </w:tc>
        <w:tc>
          <w:tcPr>
            <w:tcW w:w="1942" w:type="dxa"/>
            <w:vAlign w:val="center"/>
          </w:tcPr>
          <w:p>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小写：</w:t>
            </w:r>
          </w:p>
          <w:p>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大写：</w:t>
            </w:r>
          </w:p>
        </w:tc>
        <w:tc>
          <w:tcPr>
            <w:tcW w:w="1308" w:type="dxa"/>
            <w:vAlign w:val="center"/>
          </w:tcPr>
          <w:p>
            <w:pPr>
              <w:pStyle w:val="68"/>
              <w:spacing w:line="360" w:lineRule="auto"/>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 xml:space="preserve">     %</w:t>
            </w:r>
          </w:p>
        </w:tc>
        <w:tc>
          <w:tcPr>
            <w:tcW w:w="1499" w:type="dxa"/>
            <w:vAlign w:val="center"/>
          </w:tcPr>
          <w:p>
            <w:pPr>
              <w:pStyle w:val="68"/>
              <w:spacing w:line="360" w:lineRule="auto"/>
              <w:jc w:val="center"/>
              <w:rPr>
                <w:rFonts w:hAnsi="宋体"/>
                <w:color w:val="auto"/>
                <w:sz w:val="21"/>
                <w:szCs w:val="21"/>
                <w:highlight w:val="none"/>
              </w:rPr>
            </w:pPr>
            <w:r>
              <w:rPr>
                <w:rFonts w:hint="eastAsia" w:hAnsi="宋体"/>
                <w:color w:val="auto"/>
                <w:sz w:val="21"/>
                <w:szCs w:val="21"/>
                <w:highlight w:val="none"/>
              </w:rPr>
              <w:t>从合同签订之日起至咨询合同结算完毕经</w:t>
            </w:r>
            <w:r>
              <w:rPr>
                <w:rFonts w:hint="eastAsia" w:hAnsi="宋体"/>
                <w:color w:val="auto"/>
                <w:sz w:val="21"/>
                <w:szCs w:val="21"/>
                <w:highlight w:val="none"/>
                <w:lang w:val="en-US" w:eastAsia="zh-CN"/>
              </w:rPr>
              <w:t>双</w:t>
            </w:r>
            <w:r>
              <w:rPr>
                <w:rFonts w:hint="eastAsia" w:hAnsi="宋体"/>
                <w:color w:val="auto"/>
                <w:sz w:val="21"/>
                <w:szCs w:val="21"/>
                <w:highlight w:val="none"/>
              </w:rPr>
              <w:t>方确认后结束。</w:t>
            </w:r>
          </w:p>
        </w:tc>
        <w:tc>
          <w:tcPr>
            <w:tcW w:w="2089" w:type="dxa"/>
            <w:vAlign w:val="center"/>
          </w:tcPr>
          <w:p>
            <w:pPr>
              <w:pStyle w:val="68"/>
              <w:spacing w:line="360" w:lineRule="auto"/>
              <w:jc w:val="center"/>
              <w:rPr>
                <w:rFonts w:hint="eastAsia" w:hAnsi="宋体" w:cs="宋体"/>
                <w:color w:val="auto"/>
                <w:sz w:val="21"/>
                <w:szCs w:val="21"/>
                <w:highlight w:val="none"/>
                <w:lang w:eastAsia="zh-CN"/>
              </w:rPr>
            </w:pPr>
            <w:r>
              <w:rPr>
                <w:rFonts w:hint="eastAsia" w:hAnsi="宋体" w:cs="宋体"/>
                <w:color w:val="auto"/>
                <w:sz w:val="21"/>
                <w:szCs w:val="21"/>
                <w:highlight w:val="none"/>
                <w:lang w:val="en-US" w:eastAsia="zh-CN"/>
              </w:rPr>
              <w:t>全过程驻场</w:t>
            </w:r>
            <w:r>
              <w:rPr>
                <w:rFonts w:hint="eastAsia" w:hAnsi="宋体" w:cs="宋体"/>
                <w:color w:val="auto"/>
                <w:sz w:val="21"/>
                <w:szCs w:val="21"/>
                <w:highlight w:val="none"/>
                <w:lang w:eastAsia="zh-CN"/>
              </w:rPr>
              <w:t>造价咨询服务收费系数的有效区间：工程造价咨询服务收费系数≤0.64，保留小数点后两位。</w:t>
            </w:r>
          </w:p>
        </w:tc>
      </w:tr>
    </w:tbl>
    <w:p>
      <w:pPr>
        <w:rPr>
          <w:rFonts w:ascii="宋体" w:hAnsi="宋体"/>
          <w:color w:val="auto"/>
          <w:szCs w:val="21"/>
          <w:highlight w:val="none"/>
        </w:rPr>
      </w:pPr>
    </w:p>
    <w:p>
      <w:pP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pPr>
        <w:ind w:firstLine="359" w:firstLineChars="171"/>
        <w:rPr>
          <w:rFonts w:ascii="宋体" w:hAnsi="宋体"/>
          <w:color w:val="auto"/>
          <w:szCs w:val="21"/>
          <w:highlight w:val="none"/>
        </w:rPr>
      </w:pPr>
      <w:r>
        <w:rPr>
          <w:rFonts w:hint="eastAsia" w:ascii="宋体" w:hAnsi="宋体"/>
          <w:color w:val="auto"/>
          <w:szCs w:val="21"/>
          <w:highlight w:val="none"/>
        </w:rPr>
        <w:t>投标人盖章：</w:t>
      </w:r>
    </w:p>
    <w:p>
      <w:pPr>
        <w:ind w:firstLine="359" w:firstLineChars="171"/>
        <w:rPr>
          <w:rFonts w:ascii="宋体" w:hAnsi="宋体"/>
          <w:color w:val="auto"/>
          <w:szCs w:val="21"/>
          <w:highlight w:val="none"/>
        </w:rPr>
      </w:pPr>
      <w:r>
        <w:rPr>
          <w:rFonts w:hint="eastAsia" w:ascii="宋体" w:hAnsi="宋体"/>
          <w:color w:val="auto"/>
          <w:szCs w:val="21"/>
          <w:highlight w:val="none"/>
        </w:rPr>
        <w:t>日期：</w:t>
      </w:r>
    </w:p>
    <w:p>
      <w:pPr>
        <w:ind w:firstLine="359" w:firstLineChars="171"/>
        <w:rPr>
          <w:rFonts w:ascii="宋体" w:hAnsi="宋体"/>
          <w:color w:val="auto"/>
          <w:szCs w:val="21"/>
          <w:highlight w:val="none"/>
        </w:rPr>
      </w:pPr>
    </w:p>
    <w:p>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1、投标总报价包括采购文件要求全部货物及服务所需的费用、履行合同所有相关内容所需的费用、国家规定的所有税费及其他一切隐含或不可预见的费用。</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2、投标人自行对本服务项目范围内的现场及周边环境进行踏勘，收集相关资料，并承担由此所发生的费用以及责任、风险。</w:t>
      </w:r>
    </w:p>
    <w:p>
      <w:pPr>
        <w:ind w:firstLine="420" w:firstLineChars="200"/>
        <w:rPr>
          <w:rFonts w:hint="eastAsia" w:ascii="宋体" w:hAnsi="宋体"/>
          <w:color w:val="auto"/>
          <w:szCs w:val="21"/>
          <w:highlight w:val="none"/>
        </w:rPr>
      </w:pPr>
      <w:r>
        <w:rPr>
          <w:rFonts w:hint="eastAsia" w:ascii="宋体" w:hAnsi="宋体"/>
          <w:color w:val="auto"/>
          <w:szCs w:val="21"/>
          <w:highlight w:val="none"/>
        </w:rPr>
        <w:t>3、最终咨询酬金由基本酬金和浮动酬金组成，其中基本酬金=总酬金×80%，浮动酬金=总酬金×20%×咨询考核表评价分数对应的计费系数（详见建设单位咨询项目考核表）。总酬金按合同附件4《广东省建设工程造价咨询服务收费项目和收费标准表》的规定计算后乘以中标的工程造价咨询服务收费系数。其中，最终预算编制的咨询费以甲方审定版施工图预算作为收费基数计算。估算、概算审核不另计费。</w:t>
      </w:r>
    </w:p>
    <w:p>
      <w:pPr>
        <w:ind w:firstLine="420" w:firstLineChars="200"/>
        <w:rPr>
          <w:rFonts w:ascii="宋体" w:hAnsi="宋体"/>
          <w:color w:val="auto"/>
          <w:szCs w:val="21"/>
          <w:highlight w:val="none"/>
        </w:rPr>
      </w:pPr>
      <w:r>
        <w:rPr>
          <w:rFonts w:hint="eastAsia" w:ascii="宋体" w:hAnsi="宋体"/>
          <w:color w:val="auto"/>
          <w:szCs w:val="21"/>
          <w:highlight w:val="none"/>
        </w:rPr>
        <w:t>4、在合同期间，全过程驻场造价咨询服务收费系数不随国家政策或法规、标准、市场因素及采购数量的变化而进行调整。</w:t>
      </w:r>
    </w:p>
    <w:p>
      <w:pPr>
        <w:rPr>
          <w:rFonts w:ascii="宋体" w:hAnsi="宋体"/>
          <w:color w:val="auto"/>
          <w:szCs w:val="21"/>
          <w:highlight w:val="none"/>
        </w:rPr>
      </w:pPr>
      <w:r>
        <w:rPr>
          <w:rFonts w:hint="eastAsia" w:ascii="宋体" w:hAnsi="宋体"/>
          <w:color w:val="auto"/>
          <w:szCs w:val="21"/>
          <w:highlight w:val="none"/>
        </w:rPr>
        <w:br w:type="page"/>
      </w:r>
    </w:p>
    <w:p>
      <w:pPr>
        <w:rPr>
          <w:color w:val="auto"/>
          <w:sz w:val="52"/>
          <w:szCs w:val="52"/>
          <w:highlight w:val="none"/>
        </w:rPr>
      </w:pPr>
    </w:p>
    <w:p>
      <w:pPr>
        <w:pStyle w:val="4"/>
        <w:spacing w:before="0" w:after="0" w:line="360" w:lineRule="auto"/>
        <w:jc w:val="center"/>
        <w:rPr>
          <w:color w:val="auto"/>
          <w:sz w:val="72"/>
          <w:szCs w:val="72"/>
          <w:highlight w:val="none"/>
        </w:rPr>
      </w:pPr>
      <w:bookmarkStart w:id="150" w:name="_Toc7358"/>
      <w:r>
        <w:rPr>
          <w:rFonts w:hint="eastAsia"/>
          <w:color w:val="auto"/>
          <w:sz w:val="72"/>
          <w:szCs w:val="72"/>
          <w:highlight w:val="none"/>
        </w:rPr>
        <w:t>商务文件</w:t>
      </w:r>
      <w:bookmarkEnd w:id="150"/>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rPr>
          <w:color w:val="auto"/>
          <w:highlight w:val="none"/>
        </w:rPr>
      </w:pPr>
    </w:p>
    <w:p>
      <w:pPr>
        <w:pStyle w:val="2"/>
        <w:rPr>
          <w:color w:val="auto"/>
          <w:highlight w:val="none"/>
        </w:rPr>
      </w:pPr>
    </w:p>
    <w:p>
      <w:pPr>
        <w:pStyle w:val="30"/>
        <w:ind w:firstLine="240"/>
        <w:rPr>
          <w:color w:val="auto"/>
          <w:highlight w:val="none"/>
        </w:rPr>
      </w:pP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1"/>
        </w:rPr>
      </w:pPr>
      <w:r>
        <w:rPr>
          <w:rFonts w:hint="eastAsia" w:ascii="宋体" w:hAnsi="宋体" w:eastAsia="宋体" w:cs="宋体"/>
          <w:b/>
          <w:bCs/>
          <w:color w:val="auto"/>
          <w:spacing w:val="0"/>
          <w:kern w:val="0"/>
          <w:sz w:val="32"/>
          <w:szCs w:val="32"/>
          <w:highlight w:val="none"/>
          <w:fitText w:val="1600" w:id="11"/>
        </w:rPr>
        <w:t>项目名称：</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2"/>
        </w:rPr>
      </w:pPr>
      <w:r>
        <w:rPr>
          <w:rFonts w:hint="eastAsia" w:ascii="宋体" w:hAnsi="宋体" w:eastAsia="宋体" w:cs="宋体"/>
          <w:b/>
          <w:bCs/>
          <w:color w:val="auto"/>
          <w:spacing w:val="0"/>
          <w:kern w:val="0"/>
          <w:sz w:val="32"/>
          <w:szCs w:val="32"/>
          <w:highlight w:val="none"/>
          <w:fitText w:val="1600" w:id="12"/>
        </w:rPr>
        <w:t>项目编号：</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3"/>
        </w:rPr>
      </w:pPr>
      <w:r>
        <w:rPr>
          <w:rFonts w:hint="eastAsia" w:ascii="宋体" w:hAnsi="宋体" w:eastAsia="宋体" w:cs="宋体"/>
          <w:b/>
          <w:bCs/>
          <w:color w:val="auto"/>
          <w:spacing w:val="1"/>
          <w:w w:val="62"/>
          <w:kern w:val="0"/>
          <w:sz w:val="32"/>
          <w:szCs w:val="32"/>
          <w:highlight w:val="none"/>
          <w:fitText w:val="1600" w:id="13"/>
          <w:lang w:val="en-US"/>
        </w:rPr>
        <w:t>包组号（如有）</w:t>
      </w:r>
      <w:r>
        <w:rPr>
          <w:rFonts w:hint="eastAsia" w:ascii="宋体" w:hAnsi="宋体" w:eastAsia="宋体" w:cs="宋体"/>
          <w:b/>
          <w:bCs/>
          <w:color w:val="auto"/>
          <w:spacing w:val="0"/>
          <w:w w:val="62"/>
          <w:kern w:val="0"/>
          <w:sz w:val="32"/>
          <w:szCs w:val="32"/>
          <w:highlight w:val="none"/>
          <w:fitText w:val="1600" w:id="13"/>
          <w:lang w:val="en-US"/>
        </w:rPr>
        <w:t>：</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4"/>
        </w:rPr>
      </w:pPr>
      <w:r>
        <w:rPr>
          <w:rFonts w:hint="eastAsia" w:ascii="宋体" w:hAnsi="宋体" w:eastAsia="宋体" w:cs="宋体"/>
          <w:b/>
          <w:bCs/>
          <w:color w:val="auto"/>
          <w:spacing w:val="0"/>
          <w:w w:val="83"/>
          <w:kern w:val="0"/>
          <w:sz w:val="32"/>
          <w:szCs w:val="32"/>
          <w:highlight w:val="none"/>
          <w:fitText w:val="1600" w:id="14"/>
        </w:rPr>
        <w:t>投标人名称：</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5"/>
        </w:rPr>
      </w:pPr>
      <w:r>
        <w:rPr>
          <w:rFonts w:hint="eastAsia" w:ascii="宋体" w:hAnsi="宋体" w:eastAsia="宋体" w:cs="宋体"/>
          <w:b/>
          <w:bCs/>
          <w:color w:val="auto"/>
          <w:spacing w:val="0"/>
          <w:kern w:val="0"/>
          <w:sz w:val="32"/>
          <w:szCs w:val="32"/>
          <w:highlight w:val="none"/>
          <w:fitText w:val="1600" w:id="15"/>
        </w:rPr>
        <w:t>日    期：</w:t>
      </w:r>
    </w:p>
    <w:p>
      <w:pPr>
        <w:pStyle w:val="2"/>
        <w:rPr>
          <w:b/>
          <w:color w:val="auto"/>
          <w:sz w:val="32"/>
          <w:szCs w:val="32"/>
          <w:highlight w:val="none"/>
        </w:rPr>
      </w:pPr>
    </w:p>
    <w:p>
      <w:pPr>
        <w:pStyle w:val="30"/>
        <w:ind w:firstLine="321"/>
        <w:rPr>
          <w:b/>
          <w:color w:val="auto"/>
          <w:spacing w:val="0"/>
          <w:w w:val="94"/>
          <w:kern w:val="0"/>
          <w:sz w:val="32"/>
          <w:szCs w:val="32"/>
          <w:highlight w:val="none"/>
          <w:fitText w:val="1600" w:id="16"/>
        </w:rPr>
      </w:pPr>
    </w:p>
    <w:p>
      <w:pPr>
        <w:pStyle w:val="24"/>
        <w:rPr>
          <w:rFonts w:ascii="宋体" w:hAnsi="宋体" w:cs="宋体"/>
          <w:b/>
          <w:color w:val="auto"/>
          <w:spacing w:val="0"/>
          <w:w w:val="94"/>
          <w:kern w:val="0"/>
          <w:sz w:val="32"/>
          <w:szCs w:val="32"/>
          <w:highlight w:val="none"/>
          <w:fitText w:val="1600" w:id="17"/>
        </w:rPr>
      </w:pPr>
    </w:p>
    <w:p>
      <w:pPr>
        <w:rPr>
          <w:rFonts w:ascii="宋体" w:hAnsi="宋体" w:cs="宋体"/>
          <w:b/>
          <w:color w:val="auto"/>
          <w:spacing w:val="0"/>
          <w:w w:val="94"/>
          <w:kern w:val="0"/>
          <w:sz w:val="32"/>
          <w:szCs w:val="32"/>
          <w:highlight w:val="none"/>
          <w:fitText w:val="1600" w:id="18"/>
        </w:rPr>
      </w:pPr>
    </w:p>
    <w:p>
      <w:pPr>
        <w:pStyle w:val="2"/>
        <w:rPr>
          <w:b/>
          <w:color w:val="auto"/>
          <w:spacing w:val="0"/>
          <w:w w:val="94"/>
          <w:kern w:val="0"/>
          <w:sz w:val="32"/>
          <w:szCs w:val="32"/>
          <w:highlight w:val="none"/>
          <w:fitText w:val="1600" w:id="19"/>
        </w:rPr>
      </w:pPr>
    </w:p>
    <w:p>
      <w:pPr>
        <w:rPr>
          <w:color w:val="auto"/>
          <w:spacing w:val="0"/>
          <w:w w:val="94"/>
          <w:kern w:val="0"/>
          <w:highlight w:val="none"/>
          <w:fitText w:val="1600" w:id="20"/>
        </w:rPr>
      </w:pPr>
    </w:p>
    <w:p>
      <w:pPr>
        <w:rPr>
          <w:rFonts w:ascii="宋体" w:hAnsi="宋体"/>
          <w:color w:val="auto"/>
          <w:szCs w:val="21"/>
          <w:highlight w:val="none"/>
        </w:rPr>
      </w:pPr>
      <w:r>
        <w:rPr>
          <w:rFonts w:hint="eastAsia" w:ascii="宋体" w:hAnsi="宋体"/>
          <w:color w:val="auto"/>
          <w:spacing w:val="2"/>
          <w:w w:val="94"/>
          <w:kern w:val="0"/>
          <w:szCs w:val="21"/>
          <w:highlight w:val="none"/>
          <w:fitText w:val="1600" w:id="21"/>
        </w:rPr>
        <w:br w:type="page"/>
      </w:r>
    </w:p>
    <w:p>
      <w:pPr>
        <w:pStyle w:val="6"/>
        <w:widowControl w:val="0"/>
        <w:overflowPunct w:val="0"/>
        <w:spacing w:line="240" w:lineRule="auto"/>
        <w:rPr>
          <w:color w:val="auto"/>
          <w:highlight w:val="none"/>
        </w:rPr>
      </w:pPr>
      <w:bookmarkStart w:id="151" w:name="_Toc1173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.投标书格式</w:t>
      </w:r>
      <w:bookmarkEnd w:id="151"/>
    </w:p>
    <w:p>
      <w:pPr>
        <w:jc w:val="center"/>
        <w:rPr>
          <w:rFonts w:ascii="宋体" w:hAnsi="宋体"/>
          <w:color w:val="auto"/>
          <w:szCs w:val="21"/>
          <w:highlight w:val="none"/>
        </w:rPr>
      </w:pPr>
      <w:r>
        <w:rPr>
          <w:rFonts w:hint="eastAsia" w:ascii="黑体" w:eastAsia="黑体"/>
          <w:color w:val="auto"/>
          <w:sz w:val="32"/>
          <w:szCs w:val="32"/>
          <w:highlight w:val="none"/>
        </w:rPr>
        <w:t>投标书</w:t>
      </w: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广东志正招标有限公司东莞分公司</w:t>
      </w:r>
      <w:r>
        <w:rPr>
          <w:rFonts w:hint="eastAsia" w:ascii="宋体" w:hAnsi="宋体"/>
          <w:color w:val="auto"/>
          <w:szCs w:val="21"/>
          <w:highlight w:val="none"/>
        </w:rPr>
        <w:t>：</w:t>
      </w:r>
    </w:p>
    <w:p>
      <w:pPr>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pPr>
        <w:widowControl w:val="0"/>
        <w:numPr>
          <w:ilvl w:val="0"/>
          <w:numId w:val="15"/>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与本投标有关的一切正式信函请寄：</w:t>
      </w: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地址：　　　　　　　　　　　　　　　　　　　 电子邮箱：</w:t>
      </w:r>
    </w:p>
    <w:p>
      <w:pPr>
        <w:rPr>
          <w:rFonts w:ascii="宋体" w:hAnsi="宋体"/>
          <w:color w:val="auto"/>
          <w:szCs w:val="21"/>
          <w:highlight w:val="none"/>
        </w:rPr>
      </w:pPr>
      <w:r>
        <w:rPr>
          <w:rFonts w:hint="eastAsia" w:ascii="宋体" w:hAnsi="宋体"/>
          <w:color w:val="auto"/>
          <w:szCs w:val="21"/>
          <w:highlight w:val="none"/>
        </w:rPr>
        <w:t>电话/移动电话：　　　　　　　　　　　　　　　</w:t>
      </w:r>
    </w:p>
    <w:p>
      <w:pPr>
        <w:rPr>
          <w:rFonts w:ascii="宋体" w:hAnsi="宋体"/>
          <w:color w:val="auto"/>
          <w:szCs w:val="21"/>
          <w:highlight w:val="none"/>
        </w:rPr>
      </w:pPr>
      <w:r>
        <w:rPr>
          <w:rFonts w:hint="eastAsia" w:ascii="宋体" w:hAnsi="宋体"/>
          <w:color w:val="auto"/>
          <w:szCs w:val="21"/>
          <w:highlight w:val="none"/>
        </w:rPr>
        <w:t xml:space="preserve">投标人法定代表人（或其授权代表）签字： </w:t>
      </w:r>
    </w:p>
    <w:p>
      <w:pPr>
        <w:rPr>
          <w:rFonts w:ascii="宋体" w:hAnsi="宋体"/>
          <w:color w:val="auto"/>
          <w:szCs w:val="21"/>
          <w:highlight w:val="none"/>
        </w:rPr>
      </w:pPr>
      <w:r>
        <w:rPr>
          <w:rFonts w:hint="eastAsia" w:ascii="宋体" w:hAnsi="宋体"/>
          <w:color w:val="auto"/>
          <w:szCs w:val="21"/>
          <w:highlight w:val="none"/>
        </w:rPr>
        <w:t xml:space="preserve">投标人名称（全称）： </w:t>
      </w:r>
    </w:p>
    <w:p>
      <w:pPr>
        <w:rPr>
          <w:rFonts w:ascii="宋体" w:hAnsi="宋体"/>
          <w:color w:val="auto"/>
          <w:szCs w:val="21"/>
          <w:highlight w:val="none"/>
        </w:rPr>
      </w:pPr>
      <w:r>
        <w:rPr>
          <w:rFonts w:hint="eastAsia" w:ascii="宋体" w:hAnsi="宋体"/>
          <w:color w:val="auto"/>
          <w:szCs w:val="21"/>
          <w:highlight w:val="none"/>
        </w:rPr>
        <w:t xml:space="preserve">投标人盖章： </w:t>
      </w:r>
    </w:p>
    <w:p>
      <w:pPr>
        <w:rPr>
          <w:color w:val="auto"/>
          <w:highlight w:val="none"/>
        </w:rPr>
      </w:pPr>
      <w:r>
        <w:rPr>
          <w:rFonts w:hint="eastAsia" w:ascii="宋体" w:hAnsi="宋体"/>
          <w:color w:val="auto"/>
          <w:szCs w:val="21"/>
          <w:highlight w:val="none"/>
        </w:rPr>
        <w:t>日期：</w:t>
      </w:r>
      <w:r>
        <w:rPr>
          <w:color w:val="auto"/>
          <w:highlight w:val="none"/>
        </w:rPr>
        <w:br w:type="page"/>
      </w:r>
    </w:p>
    <w:p>
      <w:pPr>
        <w:pStyle w:val="6"/>
        <w:widowControl w:val="0"/>
        <w:overflowPunct w:val="0"/>
        <w:spacing w:line="240" w:lineRule="auto"/>
        <w:rPr>
          <w:rFonts w:ascii="宋体" w:hAnsi="宋体"/>
          <w:color w:val="auto"/>
          <w:sz w:val="21"/>
          <w:szCs w:val="21"/>
          <w:highlight w:val="none"/>
        </w:rPr>
      </w:pPr>
      <w:bookmarkStart w:id="152" w:name="_Toc1997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法定代表人证明书格式</w:t>
      </w:r>
      <w:bookmarkEnd w:id="152"/>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pPr>
        <w:pStyle w:val="47"/>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广东志正招标有限公司东莞分公司</w:t>
      </w:r>
    </w:p>
    <w:p>
      <w:pPr>
        <w:pStyle w:val="47"/>
        <w:spacing w:line="420" w:lineRule="atLeast"/>
        <w:ind w:firstLine="433"/>
        <w:rPr>
          <w:rFonts w:ascii="宋体" w:eastAsia="宋体"/>
          <w:color w:val="auto"/>
          <w:sz w:val="21"/>
          <w:szCs w:val="21"/>
          <w:highlight w:val="none"/>
        </w:rPr>
      </w:pPr>
    </w:p>
    <w:p>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系（投标人名称）的法定代表人。</w:t>
      </w:r>
    </w:p>
    <w:p>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pPr>
        <w:pStyle w:val="47"/>
        <w:spacing w:line="500" w:lineRule="atLeast"/>
        <w:ind w:firstLine="3517" w:firstLineChars="1675"/>
        <w:rPr>
          <w:rFonts w:ascii="宋体" w:eastAsia="宋体"/>
          <w:color w:val="auto"/>
          <w:sz w:val="21"/>
          <w:szCs w:val="21"/>
          <w:highlight w:val="none"/>
        </w:rPr>
      </w:pP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4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33"/>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rPr>
          <w:color w:val="auto"/>
          <w:highlight w:val="none"/>
        </w:rPr>
      </w:pPr>
    </w:p>
    <w:p>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pPr>
        <w:pStyle w:val="6"/>
        <w:widowControl w:val="0"/>
        <w:overflowPunct w:val="0"/>
        <w:spacing w:line="240" w:lineRule="auto"/>
        <w:rPr>
          <w:color w:val="auto"/>
          <w:highlight w:val="none"/>
        </w:rPr>
      </w:pPr>
      <w:bookmarkStart w:id="153" w:name="_Toc1914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.法定代表人授权书格式</w:t>
      </w:r>
      <w:bookmarkEnd w:id="153"/>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pPr>
        <w:pStyle w:val="47"/>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广东志正招标有限公司东莞分公司</w:t>
      </w:r>
    </w:p>
    <w:p>
      <w:pPr>
        <w:pStyle w:val="47"/>
        <w:spacing w:line="420" w:lineRule="atLeast"/>
        <w:ind w:firstLine="433"/>
        <w:rPr>
          <w:rFonts w:ascii="宋体" w:eastAsia="宋体"/>
          <w:color w:val="auto"/>
          <w:sz w:val="21"/>
          <w:szCs w:val="21"/>
          <w:highlight w:val="none"/>
        </w:rPr>
      </w:pPr>
    </w:p>
    <w:p>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w:t>
      </w:r>
    </w:p>
    <w:p>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pPr>
        <w:pStyle w:val="47"/>
        <w:spacing w:line="500" w:lineRule="atLeast"/>
        <w:ind w:firstLine="3517" w:firstLineChars="1675"/>
        <w:rPr>
          <w:rFonts w:ascii="宋体" w:eastAsia="宋体"/>
          <w:color w:val="auto"/>
          <w:sz w:val="21"/>
          <w:szCs w:val="21"/>
          <w:highlight w:val="none"/>
        </w:rPr>
      </w:pP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pPr>
        <w:pStyle w:val="4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pStyle w:val="47"/>
        <w:spacing w:line="460" w:lineRule="exact"/>
        <w:ind w:firstLine="433"/>
        <w:rPr>
          <w:rFonts w:ascii="宋体" w:eastAsia="宋体"/>
          <w:color w:val="auto"/>
          <w:sz w:val="21"/>
          <w:szCs w:val="21"/>
          <w:highlight w:val="none"/>
        </w:rPr>
      </w:pPr>
    </w:p>
    <w:p>
      <w:pPr>
        <w:ind w:firstLine="420" w:firstLineChars="200"/>
        <w:rPr>
          <w:color w:val="auto"/>
          <w:highlight w:val="none"/>
        </w:rPr>
      </w:pPr>
      <w:r>
        <w:rPr>
          <w:rFonts w:hint="eastAsia" w:ascii="宋体" w:hAnsi="宋体"/>
          <w:color w:val="auto"/>
          <w:szCs w:val="21"/>
          <w:highlight w:val="none"/>
        </w:rPr>
        <w:t>须附：被授权人身份证复印件。</w:t>
      </w:r>
    </w:p>
    <w:tbl>
      <w:tblPr>
        <w:tblStyle w:val="33"/>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adjustRightInd/>
        <w:snapToGrid/>
        <w:spacing w:line="276" w:lineRule="auto"/>
        <w:rPr>
          <w:color w:val="auto"/>
          <w:highlight w:val="none"/>
        </w:rPr>
      </w:pPr>
      <w:bookmarkStart w:id="154" w:name="_Toc22486"/>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155" w:name="_Toc3003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.资格申明</w:t>
      </w:r>
      <w:bookmarkEnd w:id="155"/>
    </w:p>
    <w:p>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pPr>
        <w:pStyle w:val="47"/>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u w:val="single"/>
        </w:rPr>
        <w:t xml:space="preserve">  xxx   </w:t>
      </w:r>
      <w:r>
        <w:rPr>
          <w:rFonts w:hint="eastAsia" w:ascii="宋体" w:eastAsia="宋体"/>
          <w:color w:val="auto"/>
          <w:sz w:val="21"/>
          <w:szCs w:val="21"/>
          <w:highlight w:val="none"/>
        </w:rPr>
        <w:t>公司：</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pP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pPr>
        <w:pStyle w:val="47"/>
        <w:spacing w:line="500" w:lineRule="atLeast"/>
        <w:ind w:firstLine="3517" w:firstLineChars="1675"/>
        <w:rPr>
          <w:rFonts w:ascii="宋体" w:eastAsia="宋体"/>
          <w:color w:val="auto"/>
          <w:sz w:val="21"/>
          <w:szCs w:val="21"/>
          <w:highlight w:val="none"/>
        </w:rPr>
      </w:pPr>
    </w:p>
    <w:p>
      <w:pPr>
        <w:pStyle w:val="47"/>
        <w:spacing w:line="500" w:lineRule="atLeast"/>
        <w:ind w:firstLine="3517" w:firstLineChars="1675"/>
        <w:rPr>
          <w:rFonts w:ascii="宋体" w:eastAsia="宋体"/>
          <w:color w:val="auto"/>
          <w:sz w:val="21"/>
          <w:szCs w:val="21"/>
          <w:highlight w:val="none"/>
        </w:rPr>
      </w:pPr>
    </w:p>
    <w:p>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156" w:name="_Toc1030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.营业执照</w:t>
      </w:r>
      <w:bookmarkEnd w:id="156"/>
    </w:p>
    <w:p>
      <w:pPr>
        <w:jc w:val="center"/>
        <w:rPr>
          <w:rFonts w:ascii="黑体" w:eastAsia="黑体"/>
          <w:color w:val="auto"/>
          <w:sz w:val="28"/>
          <w:szCs w:val="28"/>
          <w:highlight w:val="none"/>
        </w:rPr>
      </w:pPr>
      <w:bookmarkStart w:id="157" w:name="_Toc24210"/>
      <w:bookmarkStart w:id="158" w:name="_Toc1511"/>
      <w:bookmarkStart w:id="159" w:name="_Toc17470"/>
      <w:bookmarkStart w:id="160" w:name="_Toc5919"/>
      <w:bookmarkStart w:id="161" w:name="_Toc4926"/>
      <w:r>
        <w:rPr>
          <w:rFonts w:hint="eastAsia" w:ascii="黑体" w:eastAsia="黑体"/>
          <w:color w:val="auto"/>
          <w:sz w:val="28"/>
          <w:szCs w:val="28"/>
          <w:highlight w:val="none"/>
        </w:rPr>
        <w:t>营业执照</w:t>
      </w:r>
      <w:bookmarkEnd w:id="157"/>
      <w:bookmarkEnd w:id="158"/>
      <w:bookmarkEnd w:id="159"/>
      <w:bookmarkEnd w:id="160"/>
      <w:bookmarkEnd w:id="161"/>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6"/>
        <w:widowControl w:val="0"/>
        <w:overflowPunct w:val="0"/>
        <w:spacing w:line="240" w:lineRule="auto"/>
        <w:rPr>
          <w:rFonts w:ascii="宋体" w:hAnsi="宋体"/>
          <w:color w:val="auto"/>
          <w:sz w:val="21"/>
          <w:szCs w:val="21"/>
          <w:highlight w:val="none"/>
        </w:rPr>
      </w:pPr>
      <w:bookmarkStart w:id="162" w:name="_Toc3081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.相关资质证明文件</w:t>
      </w:r>
      <w:bookmarkEnd w:id="162"/>
    </w:p>
    <w:p>
      <w:pPr>
        <w:rPr>
          <w:color w:val="auto"/>
          <w:highlight w:val="none"/>
        </w:rPr>
      </w:pPr>
    </w:p>
    <w:p>
      <w:pPr>
        <w:jc w:val="center"/>
        <w:rPr>
          <w:rFonts w:ascii="黑体" w:eastAsia="黑体"/>
          <w:color w:val="auto"/>
          <w:sz w:val="28"/>
          <w:szCs w:val="28"/>
          <w:highlight w:val="none"/>
        </w:rPr>
      </w:pPr>
      <w:bookmarkStart w:id="163" w:name="_Toc16698"/>
      <w:bookmarkStart w:id="164" w:name="_Toc13458"/>
      <w:bookmarkStart w:id="165" w:name="_Toc30307"/>
      <w:bookmarkStart w:id="166" w:name="_Toc16233"/>
      <w:bookmarkStart w:id="167" w:name="_Toc9592"/>
      <w:r>
        <w:rPr>
          <w:rFonts w:hint="eastAsia" w:ascii="黑体" w:eastAsia="黑体"/>
          <w:color w:val="auto"/>
          <w:sz w:val="28"/>
          <w:szCs w:val="28"/>
          <w:highlight w:val="none"/>
        </w:rPr>
        <w:t>相关资质证明文件</w:t>
      </w:r>
      <w:bookmarkEnd w:id="154"/>
      <w:bookmarkEnd w:id="163"/>
      <w:bookmarkEnd w:id="164"/>
      <w:bookmarkEnd w:id="165"/>
      <w:bookmarkEnd w:id="166"/>
      <w:bookmarkEnd w:id="167"/>
    </w:p>
    <w:p>
      <w:pPr>
        <w:numPr>
          <w:ilvl w:val="0"/>
          <w:numId w:val="16"/>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pPr>
        <w:numPr>
          <w:ilvl w:val="0"/>
          <w:numId w:val="16"/>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pPr>
        <w:pStyle w:val="6"/>
        <w:widowControl w:val="0"/>
        <w:overflowPunct w:val="0"/>
        <w:spacing w:line="240" w:lineRule="auto"/>
        <w:rPr>
          <w:rFonts w:ascii="楷体_GB2312" w:eastAsia="楷体_GB2312"/>
          <w:color w:val="auto"/>
          <w:highlight w:val="none"/>
        </w:rPr>
      </w:pPr>
      <w:bookmarkStart w:id="168" w:name="_Toc309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.在经营活动中没有重大违法记录的书面声明格式</w:t>
      </w:r>
      <w:bookmarkEnd w:id="168"/>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pPr>
        <w:ind w:firstLine="420" w:firstLineChars="200"/>
        <w:rPr>
          <w:rFonts w:ascii="宋体" w:hAnsi="宋体" w:cs="宋体"/>
          <w:color w:val="auto"/>
          <w:szCs w:val="21"/>
          <w:highlight w:val="none"/>
        </w:rPr>
      </w:pP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广东志正招标有限公司东莞分公司</w:t>
      </w:r>
      <w:r>
        <w:rPr>
          <w:rFonts w:hint="eastAsia" w:ascii="宋体" w:hAnsi="宋体" w:cs="宋体"/>
          <w:color w:val="auto"/>
          <w:szCs w:val="21"/>
          <w:highlight w:val="none"/>
        </w:rPr>
        <w:t>：</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pPr>
        <w:ind w:firstLine="420" w:firstLineChars="200"/>
        <w:rPr>
          <w:rFonts w:ascii="宋体" w:hAnsi="宋体" w:cs="宋体"/>
          <w:color w:val="auto"/>
          <w:szCs w:val="21"/>
          <w:highlight w:val="none"/>
        </w:rPr>
      </w:pPr>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pPr>
        <w:rPr>
          <w:color w:val="auto"/>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color w:val="auto"/>
          <w:highlight w:val="none"/>
        </w:rPr>
      </w:pPr>
    </w:p>
    <w:p>
      <w:pPr>
        <w:pStyle w:val="6"/>
        <w:widowControl w:val="0"/>
        <w:overflowPunct w:val="0"/>
        <w:spacing w:line="240" w:lineRule="auto"/>
        <w:rPr>
          <w:rFonts w:ascii="楷体_GB2312" w:eastAsia="楷体_GB2312"/>
          <w:color w:val="auto"/>
          <w:highlight w:val="none"/>
        </w:rPr>
      </w:pPr>
      <w:bookmarkStart w:id="169" w:name="_Toc1861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.承诺书格式</w:t>
      </w:r>
      <w:bookmarkEnd w:id="169"/>
    </w:p>
    <w:p>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pPr>
        <w:pStyle w:val="47"/>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广东志正招标有限公司东莞分公司</w:t>
      </w:r>
    </w:p>
    <w:p>
      <w:pPr>
        <w:jc w:val="center"/>
        <w:rPr>
          <w:rFonts w:ascii="宋体" w:hAnsi="宋体" w:cs="宋体"/>
          <w:color w:val="auto"/>
          <w:szCs w:val="21"/>
          <w:highlight w:val="none"/>
        </w:rPr>
      </w:pPr>
    </w:p>
    <w:p>
      <w:pPr>
        <w:pStyle w:val="47"/>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pPr>
        <w:pStyle w:val="47"/>
        <w:spacing w:line="420" w:lineRule="exact"/>
        <w:ind w:firstLine="433"/>
        <w:rPr>
          <w:rFonts w:ascii="宋体" w:eastAsia="宋体" w:cs="宋体"/>
          <w:color w:val="auto"/>
          <w:sz w:val="21"/>
          <w:szCs w:val="21"/>
          <w:highlight w:val="none"/>
        </w:rPr>
      </w:pP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pPr>
        <w:rPr>
          <w:color w:val="auto"/>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color w:val="auto"/>
          <w:highlight w:val="none"/>
        </w:rPr>
      </w:pPr>
    </w:p>
    <w:p>
      <w:pPr>
        <w:pStyle w:val="6"/>
        <w:widowControl w:val="0"/>
        <w:overflowPunct w:val="0"/>
        <w:spacing w:line="240" w:lineRule="auto"/>
        <w:rPr>
          <w:rFonts w:ascii="宋体" w:hAnsi="宋体"/>
          <w:color w:val="auto"/>
          <w:sz w:val="21"/>
          <w:szCs w:val="21"/>
          <w:highlight w:val="none"/>
        </w:rPr>
      </w:pPr>
      <w:bookmarkStart w:id="170" w:name="_Toc2450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.商务需求条款偏离表格式</w:t>
      </w:r>
      <w:bookmarkEnd w:id="170"/>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3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投标人代表签字：</w:t>
      </w:r>
    </w:p>
    <w:p>
      <w:pPr>
        <w:rPr>
          <w:rFonts w:ascii="宋体" w:hAnsi="宋体"/>
          <w:color w:val="auto"/>
          <w:szCs w:val="21"/>
          <w:highlight w:val="none"/>
        </w:rPr>
      </w:pPr>
      <w:r>
        <w:rPr>
          <w:rFonts w:hint="eastAsia" w:ascii="宋体" w:hAnsi="宋体"/>
          <w:color w:val="auto"/>
          <w:szCs w:val="21"/>
          <w:highlight w:val="none"/>
        </w:rPr>
        <w:t>投标人盖章：</w:t>
      </w:r>
    </w:p>
    <w:p>
      <w:pPr>
        <w:rPr>
          <w:rFonts w:ascii="宋体" w:hAnsi="宋体"/>
          <w:color w:val="auto"/>
          <w:szCs w:val="21"/>
          <w:highlight w:val="none"/>
        </w:rPr>
      </w:pPr>
    </w:p>
    <w:p>
      <w:pPr>
        <w:ind w:left="718" w:hanging="718" w:hangingChars="342"/>
        <w:rPr>
          <w:rFonts w:ascii="宋体" w:hAnsi="宋体"/>
          <w:color w:val="auto"/>
          <w:szCs w:val="21"/>
          <w:highlight w:val="none"/>
        </w:rPr>
      </w:pPr>
      <w:r>
        <w:rPr>
          <w:rFonts w:hint="eastAsia" w:ascii="宋体" w:hAnsi="宋体"/>
          <w:color w:val="auto"/>
          <w:szCs w:val="21"/>
          <w:highlight w:val="none"/>
        </w:rPr>
        <w:t>注：</w:t>
      </w:r>
    </w:p>
    <w:p>
      <w:pP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pPr>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30"/>
          <w:szCs w:val="30"/>
          <w:highlight w:val="none"/>
        </w:rPr>
      </w:pPr>
      <w:bookmarkStart w:id="171" w:name="_Toc2234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.业绩表</w:t>
      </w:r>
      <w:bookmarkEnd w:id="171"/>
    </w:p>
    <w:p>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项目合同签订时间</w:t>
            </w:r>
          </w:p>
        </w:tc>
        <w:tc>
          <w:tcPr>
            <w:tcW w:w="1697"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ascii="宋体" w:hAnsi="宋体"/>
                <w:color w:val="auto"/>
                <w:szCs w:val="21"/>
                <w:highlight w:val="none"/>
              </w:rPr>
            </w:pPr>
          </w:p>
        </w:tc>
        <w:tc>
          <w:tcPr>
            <w:tcW w:w="1705" w:type="dxa"/>
            <w:vAlign w:val="center"/>
          </w:tcPr>
          <w:p>
            <w:pPr>
              <w:adjustRightInd/>
              <w:snapToGrid/>
              <w:jc w:val="center"/>
              <w:rPr>
                <w:rFonts w:ascii="宋体" w:hAnsi="宋体"/>
                <w:color w:val="auto"/>
                <w:szCs w:val="21"/>
                <w:highlight w:val="none"/>
              </w:rPr>
            </w:pPr>
          </w:p>
        </w:tc>
        <w:tc>
          <w:tcPr>
            <w:tcW w:w="1706" w:type="dxa"/>
            <w:vAlign w:val="center"/>
          </w:tcPr>
          <w:p>
            <w:pPr>
              <w:adjustRightInd/>
              <w:snapToGrid/>
              <w:jc w:val="center"/>
              <w:rPr>
                <w:rFonts w:ascii="宋体" w:hAnsi="宋体"/>
                <w:color w:val="auto"/>
                <w:szCs w:val="21"/>
                <w:highlight w:val="none"/>
              </w:rPr>
            </w:pPr>
          </w:p>
        </w:tc>
        <w:tc>
          <w:tcPr>
            <w:tcW w:w="1705" w:type="dxa"/>
            <w:vAlign w:val="center"/>
          </w:tcPr>
          <w:p>
            <w:pPr>
              <w:adjustRightInd/>
              <w:snapToGrid/>
              <w:jc w:val="center"/>
              <w:rPr>
                <w:rFonts w:ascii="宋体" w:hAnsi="宋体"/>
                <w:color w:val="auto"/>
                <w:szCs w:val="21"/>
                <w:highlight w:val="none"/>
              </w:rPr>
            </w:pPr>
          </w:p>
        </w:tc>
        <w:tc>
          <w:tcPr>
            <w:tcW w:w="1697" w:type="dxa"/>
            <w:vAlign w:val="center"/>
          </w:tcPr>
          <w:p>
            <w:pPr>
              <w:adjustRightInd/>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bl>
    <w:p>
      <w:pPr>
        <w:pStyle w:val="44"/>
        <w:rPr>
          <w:rFonts w:ascii="宋体" w:hAnsi="宋体"/>
          <w:color w:val="auto"/>
          <w:szCs w:val="21"/>
          <w:highlight w:val="none"/>
        </w:rPr>
      </w:pPr>
    </w:p>
    <w:p>
      <w:pPr>
        <w:pStyle w:val="44"/>
        <w:rPr>
          <w:rFonts w:ascii="宋体" w:hAnsi="宋体"/>
          <w:color w:val="auto"/>
          <w:szCs w:val="21"/>
          <w:highlight w:val="none"/>
        </w:rPr>
      </w:pPr>
      <w:r>
        <w:rPr>
          <w:rFonts w:hint="eastAsia" w:ascii="宋体" w:hAnsi="宋体"/>
          <w:color w:val="auto"/>
          <w:szCs w:val="21"/>
          <w:highlight w:val="none"/>
        </w:rPr>
        <w:t>注：</w:t>
      </w:r>
    </w:p>
    <w:p>
      <w:pPr>
        <w:pStyle w:val="44"/>
        <w:numPr>
          <w:ilvl w:val="0"/>
          <w:numId w:val="17"/>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w:t>
      </w:r>
    </w:p>
    <w:p>
      <w:pPr>
        <w:pStyle w:val="44"/>
        <w:numPr>
          <w:ilvl w:val="0"/>
          <w:numId w:val="17"/>
        </w:numP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pPr>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color w:val="auto"/>
          <w:highlight w:val="none"/>
        </w:rPr>
      </w:pPr>
      <w:bookmarkStart w:id="172" w:name="_Toc422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.联合体协议书</w:t>
      </w:r>
      <w:r>
        <w:rPr>
          <w:rFonts w:hint="eastAsia"/>
          <w:color w:val="auto"/>
          <w:highlight w:val="none"/>
        </w:rPr>
        <w:t>（如有）</w:t>
      </w:r>
      <w:bookmarkEnd w:id="172"/>
    </w:p>
    <w:p>
      <w:pPr>
        <w:rPr>
          <w:color w:val="auto"/>
          <w:highlight w:val="none"/>
        </w:rPr>
      </w:pPr>
    </w:p>
    <w:p>
      <w:pPr>
        <w:jc w:val="center"/>
        <w:rPr>
          <w:rFonts w:hAnsi="宋体" w:cs="宋体"/>
          <w:color w:val="auto"/>
          <w:highlight w:val="none"/>
        </w:rPr>
      </w:pPr>
      <w:r>
        <w:rPr>
          <w:rFonts w:hint="eastAsia" w:hAnsi="宋体" w:cs="宋体"/>
          <w:b/>
          <w:bCs/>
          <w:color w:val="auto"/>
          <w:highlight w:val="none"/>
        </w:rPr>
        <w:t>联合体共同投标协议书</w:t>
      </w:r>
    </w:p>
    <w:p>
      <w:pPr>
        <w:jc w:val="center"/>
        <w:rPr>
          <w:rFonts w:hAnsi="宋体" w:cs="宋体"/>
          <w:color w:val="auto"/>
          <w:highlight w:val="none"/>
        </w:rPr>
      </w:pPr>
    </w:p>
    <w:p>
      <w:pPr>
        <w:rPr>
          <w:rFonts w:hAnsi="宋体" w:cs="宋体"/>
          <w:color w:val="auto"/>
          <w:szCs w:val="21"/>
          <w:highlight w:val="none"/>
        </w:rPr>
      </w:pPr>
      <w:r>
        <w:rPr>
          <w:rFonts w:hint="eastAsia" w:hAnsi="宋体" w:cs="宋体"/>
          <w:color w:val="auto"/>
          <w:szCs w:val="21"/>
          <w:highlight w:val="none"/>
        </w:rPr>
        <w:t>立约方：（甲公司全称）</w:t>
      </w:r>
    </w:p>
    <w:p>
      <w:pPr>
        <w:rPr>
          <w:rFonts w:hAnsi="宋体" w:cs="宋体"/>
          <w:color w:val="auto"/>
          <w:szCs w:val="21"/>
          <w:highlight w:val="none"/>
        </w:rPr>
      </w:pPr>
      <w:r>
        <w:rPr>
          <w:rFonts w:hint="eastAsia" w:hAnsi="宋体" w:cs="宋体"/>
          <w:color w:val="auto"/>
          <w:szCs w:val="21"/>
          <w:highlight w:val="none"/>
        </w:rPr>
        <w:t>（乙公司全称）</w:t>
      </w:r>
    </w:p>
    <w:p>
      <w:pPr>
        <w:rPr>
          <w:rFonts w:hAnsi="宋体" w:cs="宋体"/>
          <w:color w:val="auto"/>
          <w:szCs w:val="21"/>
          <w:highlight w:val="none"/>
        </w:rPr>
      </w:pPr>
      <w:r>
        <w:rPr>
          <w:rFonts w:hint="eastAsia" w:hAnsi="宋体" w:cs="宋体"/>
          <w:color w:val="auto"/>
          <w:szCs w:val="21"/>
          <w:highlight w:val="none"/>
        </w:rPr>
        <w:t>（……公司全称）</w:t>
      </w:r>
    </w:p>
    <w:p>
      <w:pPr>
        <w:rPr>
          <w:rFonts w:hAnsi="宋体" w:cs="宋体"/>
          <w:color w:val="auto"/>
          <w:szCs w:val="21"/>
          <w:highlight w:val="none"/>
        </w:rPr>
      </w:pP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自愿组成联合体，以一个投标人的身份共同参加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w:t>
      </w:r>
      <w:r>
        <w:rPr>
          <w:rFonts w:hint="eastAsia" w:hAnsi="宋体" w:cs="宋体"/>
          <w:color w:val="auto"/>
          <w:szCs w:val="21"/>
          <w:highlight w:val="none"/>
          <w:lang w:eastAsia="zh-CN"/>
        </w:rPr>
        <w:t>采购</w:t>
      </w:r>
      <w:r>
        <w:rPr>
          <w:rFonts w:hint="eastAsia" w:hAnsi="宋体" w:cs="宋体"/>
          <w:color w:val="auto"/>
          <w:szCs w:val="21"/>
          <w:highlight w:val="none"/>
        </w:rPr>
        <w:t>活动。经各方充分协商一致，就项目的投标和合同实施阶段的有关事务协商一致订立协议如下：</w:t>
      </w:r>
    </w:p>
    <w:p>
      <w:pPr>
        <w:rPr>
          <w:rFonts w:hAnsi="宋体" w:cs="宋体"/>
          <w:color w:val="auto"/>
          <w:szCs w:val="21"/>
          <w:highlight w:val="none"/>
        </w:rPr>
      </w:pPr>
      <w:r>
        <w:rPr>
          <w:rFonts w:hint="eastAsia" w:hAnsi="宋体" w:cs="宋体"/>
          <w:color w:val="auto"/>
          <w:szCs w:val="21"/>
          <w:highlight w:val="none"/>
        </w:rPr>
        <w:t>一、联合体各方关系</w:t>
      </w:r>
    </w:p>
    <w:p>
      <w:pPr>
        <w:rPr>
          <w:rFonts w:hAnsi="宋体" w:cs="宋体"/>
          <w:color w:val="auto"/>
          <w:szCs w:val="21"/>
          <w:highlight w:val="none"/>
        </w:rPr>
      </w:pPr>
      <w:r>
        <w:rPr>
          <w:rFonts w:hint="eastAsia" w:hAnsi="宋体" w:cs="宋体"/>
          <w:color w:val="auto"/>
          <w:szCs w:val="21"/>
          <w:highlight w:val="none"/>
          <w:u w:val="single"/>
        </w:rPr>
        <w:t>1.（甲公司全称）、（乙公司全称）、（……公司全称）</w:t>
      </w:r>
      <w:r>
        <w:rPr>
          <w:rFonts w:hint="eastAsia" w:hAnsi="宋体" w:cs="宋体"/>
          <w:color w:val="auto"/>
          <w:szCs w:val="21"/>
          <w:highlight w:val="none"/>
        </w:rPr>
        <w:t>共同组成一个联合体，以一个投标人的身份共同参加本项目的投标。</w:t>
      </w: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作为联合体成员，若中标，联合体各方共同与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pPr>
        <w:rPr>
          <w:rFonts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pPr>
        <w:rPr>
          <w:rFonts w:hAnsi="宋体" w:cs="宋体"/>
          <w:color w:val="auto"/>
          <w:szCs w:val="21"/>
          <w:highlight w:val="none"/>
        </w:rPr>
      </w:pPr>
      <w:r>
        <w:rPr>
          <w:rFonts w:hint="eastAsia" w:hAnsi="宋体" w:cs="宋体"/>
          <w:color w:val="auto"/>
          <w:szCs w:val="21"/>
          <w:highlight w:val="none"/>
        </w:rPr>
        <w:t>二、联合体内部有关事项约定如下：</w:t>
      </w:r>
    </w:p>
    <w:p>
      <w:pPr>
        <w:rPr>
          <w:rFonts w:hAnsi="宋体" w:cs="宋体"/>
          <w:color w:val="auto"/>
          <w:szCs w:val="21"/>
          <w:highlight w:val="none"/>
        </w:rPr>
      </w:pPr>
      <w:r>
        <w:rPr>
          <w:rFonts w:hint="eastAsia" w:hAnsi="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pPr>
        <w:rPr>
          <w:rFonts w:hAnsi="宋体" w:cs="宋体"/>
          <w:color w:val="auto"/>
          <w:szCs w:val="21"/>
          <w:highlight w:val="none"/>
        </w:rPr>
      </w:pPr>
      <w:r>
        <w:rPr>
          <w:rFonts w:hint="eastAsia"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pPr>
        <w:rPr>
          <w:rFonts w:hAnsi="宋体" w:cs="宋体"/>
          <w:color w:val="auto"/>
          <w:szCs w:val="21"/>
          <w:highlight w:val="none"/>
        </w:rPr>
      </w:pPr>
      <w:r>
        <w:rPr>
          <w:rFonts w:hint="eastAsia" w:hAnsi="宋体" w:cs="宋体"/>
          <w:color w:val="auto"/>
          <w:szCs w:val="21"/>
          <w:highlight w:val="none"/>
        </w:rPr>
        <w:t>3.如中标，联合体各方共同与（采购人）签订合同书，并就中标项目向采购人负有连带的和各自的法律责任；</w:t>
      </w:r>
    </w:p>
    <w:p>
      <w:pPr>
        <w:rPr>
          <w:rFonts w:hAnsi="宋体" w:cs="宋体"/>
          <w:color w:val="auto"/>
          <w:szCs w:val="21"/>
          <w:highlight w:val="none"/>
        </w:rPr>
      </w:pPr>
      <w:r>
        <w:rPr>
          <w:rFonts w:hint="eastAsia" w:hAnsi="宋体" w:cs="宋体"/>
          <w:color w:val="auto"/>
          <w:szCs w:val="21"/>
          <w:highlight w:val="none"/>
        </w:rPr>
        <w:t>4.联合体各成员单位内部的职责分工如下：</w:t>
      </w:r>
    </w:p>
    <w:p>
      <w:pPr>
        <w:rPr>
          <w:rFonts w:hAnsi="宋体" w:cs="宋体"/>
          <w:color w:val="auto"/>
          <w:szCs w:val="21"/>
          <w:highlight w:val="none"/>
        </w:rPr>
      </w:pPr>
      <w:r>
        <w:rPr>
          <w:rFonts w:hint="eastAsia" w:hAnsi="宋体" w:cs="宋体"/>
          <w:color w:val="auto"/>
          <w:szCs w:val="21"/>
          <w:highlight w:val="none"/>
        </w:rPr>
        <w:t>（1）</w:t>
      </w:r>
    </w:p>
    <w:p>
      <w:pPr>
        <w:rPr>
          <w:color w:val="auto"/>
          <w:highlight w:val="none"/>
        </w:rPr>
      </w:pPr>
      <w:r>
        <w:rPr>
          <w:rFonts w:hint="eastAsia" w:hAnsi="宋体" w:cs="宋体"/>
          <w:color w:val="auto"/>
          <w:szCs w:val="21"/>
          <w:highlight w:val="none"/>
        </w:rPr>
        <w:t>（2）</w:t>
      </w:r>
    </w:p>
    <w:p>
      <w:pPr>
        <w:rPr>
          <w:rFonts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rPr>
          <w:rFonts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pPr>
        <w:rPr>
          <w:rFonts w:hAnsi="宋体" w:cs="宋体"/>
          <w:color w:val="auto"/>
          <w:szCs w:val="21"/>
          <w:highlight w:val="none"/>
        </w:rPr>
      </w:pPr>
      <w:r>
        <w:rPr>
          <w:rFonts w:hint="eastAsia"/>
          <w:color w:val="auto"/>
          <w:szCs w:val="21"/>
          <w:highlight w:val="none"/>
        </w:rPr>
        <w:t>五、联合体中标后，本联合体协议是合同的附件，对联合体各成员单位有合同约束力。</w:t>
      </w:r>
    </w:p>
    <w:p>
      <w:pPr>
        <w:rPr>
          <w:rFonts w:hAnsi="宋体" w:cs="宋体"/>
          <w:color w:val="auto"/>
          <w:szCs w:val="21"/>
          <w:highlight w:val="none"/>
        </w:rPr>
      </w:pPr>
      <w:r>
        <w:rPr>
          <w:rFonts w:hint="eastAsia" w:hAnsi="宋体" w:cs="宋体"/>
          <w:color w:val="auto"/>
          <w:szCs w:val="21"/>
          <w:highlight w:val="none"/>
        </w:rPr>
        <w:t>六、本协议在自签署之日起生效，投标有效期内有效，如获中标资格，本协议有效期延续至合同履行完毕之日。</w:t>
      </w:r>
    </w:p>
    <w:p>
      <w:pPr>
        <w:rPr>
          <w:rFonts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pPr>
        <w:rPr>
          <w:rFonts w:hAnsi="宋体" w:cs="宋体"/>
          <w:color w:val="auto"/>
          <w:szCs w:val="21"/>
          <w:highlight w:val="none"/>
        </w:rPr>
      </w:pPr>
    </w:p>
    <w:p>
      <w:pPr>
        <w:pStyle w:val="2"/>
        <w:rPr>
          <w:color w:val="auto"/>
          <w:sz w:val="21"/>
          <w:szCs w:val="21"/>
          <w:highlight w:val="none"/>
        </w:rPr>
      </w:pPr>
      <w:r>
        <w:rPr>
          <w:rFonts w:hint="eastAsia"/>
          <w:color w:val="auto"/>
          <w:sz w:val="21"/>
          <w:szCs w:val="21"/>
          <w:highlight w:val="none"/>
        </w:rPr>
        <w:t>注：本协议书由委托人签字的，应附法定代表人签字的授权委托书。</w:t>
      </w:r>
    </w:p>
    <w:p>
      <w:pPr>
        <w:pStyle w:val="2"/>
        <w:rPr>
          <w:color w:val="auto"/>
          <w:sz w:val="21"/>
          <w:szCs w:val="21"/>
          <w:highlight w:val="none"/>
        </w:rPr>
      </w:pPr>
      <w:r>
        <w:rPr>
          <w:rFonts w:hint="eastAsia"/>
          <w:color w:val="auto"/>
          <w:sz w:val="21"/>
          <w:szCs w:val="21"/>
          <w:highlight w:val="none"/>
        </w:rPr>
        <w:t>牵头人名称：_______________________（盖单位公章）</w:t>
      </w:r>
    </w:p>
    <w:p>
      <w:pPr>
        <w:pStyle w:val="2"/>
        <w:rPr>
          <w:color w:val="auto"/>
          <w:sz w:val="21"/>
          <w:szCs w:val="21"/>
          <w:highlight w:val="none"/>
        </w:rPr>
      </w:pPr>
      <w:r>
        <w:rPr>
          <w:rFonts w:hint="eastAsia"/>
          <w:color w:val="auto"/>
          <w:sz w:val="21"/>
          <w:szCs w:val="21"/>
          <w:highlight w:val="none"/>
        </w:rPr>
        <w:t>法定代表人或其委托代理人：_____________（签字）</w:t>
      </w:r>
    </w:p>
    <w:p>
      <w:pPr>
        <w:pStyle w:val="2"/>
        <w:rPr>
          <w:color w:val="auto"/>
          <w:sz w:val="21"/>
          <w:szCs w:val="21"/>
          <w:highlight w:val="none"/>
        </w:rPr>
      </w:pPr>
    </w:p>
    <w:p>
      <w:pPr>
        <w:pStyle w:val="2"/>
        <w:rPr>
          <w:color w:val="auto"/>
          <w:sz w:val="21"/>
          <w:szCs w:val="21"/>
          <w:highlight w:val="none"/>
        </w:rPr>
      </w:pPr>
      <w:r>
        <w:rPr>
          <w:rFonts w:hint="eastAsia"/>
          <w:color w:val="auto"/>
          <w:sz w:val="21"/>
          <w:szCs w:val="21"/>
          <w:highlight w:val="none"/>
        </w:rPr>
        <w:t>成员一名称：_______________________（盖单位公章）</w:t>
      </w:r>
    </w:p>
    <w:p>
      <w:pPr>
        <w:pStyle w:val="2"/>
        <w:rPr>
          <w:color w:val="auto"/>
          <w:sz w:val="21"/>
          <w:szCs w:val="21"/>
          <w:highlight w:val="none"/>
        </w:rPr>
      </w:pPr>
      <w:r>
        <w:rPr>
          <w:rFonts w:hint="eastAsia"/>
          <w:color w:val="auto"/>
          <w:sz w:val="21"/>
          <w:szCs w:val="21"/>
          <w:highlight w:val="none"/>
        </w:rPr>
        <w:t>法定代表人或其委托代理人：_____________（签字）</w:t>
      </w:r>
    </w:p>
    <w:p>
      <w:pPr>
        <w:pStyle w:val="2"/>
        <w:rPr>
          <w:color w:val="auto"/>
          <w:sz w:val="21"/>
          <w:szCs w:val="21"/>
          <w:highlight w:val="none"/>
        </w:rPr>
      </w:pPr>
    </w:p>
    <w:p>
      <w:pPr>
        <w:pStyle w:val="2"/>
        <w:rPr>
          <w:color w:val="auto"/>
          <w:sz w:val="21"/>
          <w:szCs w:val="21"/>
          <w:highlight w:val="none"/>
        </w:rPr>
      </w:pPr>
      <w:r>
        <w:rPr>
          <w:rFonts w:hint="eastAsia"/>
          <w:color w:val="auto"/>
          <w:sz w:val="21"/>
          <w:szCs w:val="21"/>
          <w:highlight w:val="none"/>
        </w:rPr>
        <w:t>成员二名称：_______________________（盖单位公章）</w:t>
      </w:r>
    </w:p>
    <w:p>
      <w:pPr>
        <w:pStyle w:val="2"/>
        <w:rPr>
          <w:color w:val="auto"/>
          <w:sz w:val="21"/>
          <w:szCs w:val="21"/>
          <w:highlight w:val="none"/>
        </w:rPr>
      </w:pPr>
      <w:r>
        <w:rPr>
          <w:rFonts w:hint="eastAsia"/>
          <w:color w:val="auto"/>
          <w:sz w:val="21"/>
          <w:szCs w:val="21"/>
          <w:highlight w:val="none"/>
        </w:rPr>
        <w:t>法定代表人或其委托代理人：_____________（签字）</w:t>
      </w:r>
    </w:p>
    <w:p>
      <w:pPr>
        <w:pStyle w:val="2"/>
        <w:ind w:firstLine="210" w:firstLineChars="100"/>
        <w:jc w:val="both"/>
        <w:rPr>
          <w:color w:val="auto"/>
          <w:sz w:val="21"/>
          <w:szCs w:val="21"/>
          <w:highlight w:val="none"/>
        </w:rPr>
      </w:pPr>
      <w:r>
        <w:rPr>
          <w:rFonts w:hint="eastAsia"/>
          <w:color w:val="auto"/>
          <w:sz w:val="21"/>
          <w:szCs w:val="21"/>
          <w:highlight w:val="none"/>
        </w:rPr>
        <w:t>……</w:t>
      </w:r>
    </w:p>
    <w:p>
      <w:pPr>
        <w:pStyle w:val="2"/>
        <w:rPr>
          <w:color w:val="auto"/>
          <w:highlight w:val="none"/>
          <w:lang w:val="en-US"/>
        </w:rPr>
        <w:sectPr>
          <w:pgSz w:w="11906" w:h="16838"/>
          <w:pgMar w:top="1440" w:right="1800" w:bottom="1440" w:left="1800" w:header="708" w:footer="708" w:gutter="0"/>
          <w:pgNumType w:fmt="decimal"/>
          <w:cols w:space="708" w:num="1"/>
          <w:titlePg/>
          <w:docGrid w:type="lines" w:linePitch="360" w:charSpace="0"/>
        </w:sectPr>
      </w:pPr>
      <w:r>
        <w:rPr>
          <w:rFonts w:hint="eastAsia"/>
          <w:color w:val="auto"/>
          <w:sz w:val="21"/>
          <w:szCs w:val="21"/>
          <w:highlight w:val="none"/>
        </w:rPr>
        <w:t xml:space="preserve">        年     月     日</w:t>
      </w:r>
    </w:p>
    <w:p>
      <w:pPr>
        <w:pStyle w:val="2"/>
        <w:rPr>
          <w:color w:val="auto"/>
          <w:highlight w:val="none"/>
        </w:rPr>
      </w:pPr>
    </w:p>
    <w:p>
      <w:pPr>
        <w:pStyle w:val="4"/>
        <w:spacing w:before="0" w:after="0" w:line="360" w:lineRule="auto"/>
        <w:jc w:val="center"/>
        <w:rPr>
          <w:color w:val="auto"/>
          <w:sz w:val="72"/>
          <w:szCs w:val="72"/>
          <w:highlight w:val="none"/>
        </w:rPr>
      </w:pPr>
      <w:bookmarkStart w:id="173" w:name="_Toc17454"/>
      <w:r>
        <w:rPr>
          <w:rFonts w:hint="eastAsia"/>
          <w:color w:val="auto"/>
          <w:sz w:val="72"/>
          <w:szCs w:val="72"/>
          <w:highlight w:val="none"/>
        </w:rPr>
        <w:t>技术文件</w:t>
      </w:r>
      <w:bookmarkEnd w:id="173"/>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rPr>
          <w:color w:val="auto"/>
          <w:highlight w:val="none"/>
        </w:rPr>
      </w:pPr>
    </w:p>
    <w:p>
      <w:pPr>
        <w:pStyle w:val="2"/>
        <w:rPr>
          <w:color w:val="auto"/>
          <w:highlight w:val="none"/>
        </w:rPr>
      </w:pPr>
    </w:p>
    <w:p>
      <w:pPr>
        <w:pStyle w:val="30"/>
        <w:ind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22"/>
        </w:rPr>
        <w:t>项目名</w:t>
      </w:r>
      <w:r>
        <w:rPr>
          <w:rFonts w:hint="eastAsia" w:ascii="宋体" w:hAnsi="宋体" w:cs="宋体"/>
          <w:b/>
          <w:bCs/>
          <w:color w:val="auto"/>
          <w:spacing w:val="1"/>
          <w:kern w:val="0"/>
          <w:sz w:val="32"/>
          <w:szCs w:val="32"/>
          <w:highlight w:val="none"/>
          <w:fitText w:val="1600" w:id="22"/>
        </w:rPr>
        <w:t>称</w:t>
      </w:r>
      <w:r>
        <w:rPr>
          <w:rFonts w:hint="eastAsia" w:ascii="宋体" w:hAnsi="宋体" w:cs="宋体"/>
          <w:b/>
          <w:bCs/>
          <w:color w:val="auto"/>
          <w:spacing w:val="-6"/>
          <w:sz w:val="32"/>
          <w:szCs w:val="32"/>
          <w:highlight w:val="none"/>
        </w:rPr>
        <w:t>：</w:t>
      </w:r>
    </w:p>
    <w:p>
      <w:pPr>
        <w:rPr>
          <w:rFonts w:ascii="宋体" w:hAnsi="宋体" w:cs="宋体"/>
          <w:b/>
          <w:bCs/>
          <w:color w:val="auto"/>
          <w:spacing w:val="64"/>
          <w:kern w:val="0"/>
          <w:sz w:val="32"/>
          <w:szCs w:val="32"/>
          <w:highlight w:val="none"/>
          <w:fitText w:val="1600" w:id="23"/>
        </w:rPr>
      </w:pPr>
      <w:r>
        <w:rPr>
          <w:rFonts w:hint="eastAsia" w:ascii="宋体" w:hAnsi="宋体" w:cs="宋体"/>
          <w:b/>
          <w:bCs/>
          <w:color w:val="auto"/>
          <w:spacing w:val="0"/>
          <w:kern w:val="0"/>
          <w:sz w:val="32"/>
          <w:szCs w:val="32"/>
          <w:highlight w:val="none"/>
          <w:fitText w:val="1600" w:id="23"/>
        </w:rPr>
        <w:t>项目编号：</w:t>
      </w:r>
    </w:p>
    <w:p>
      <w:pPr>
        <w:pStyle w:val="2"/>
        <w:ind w:left="0"/>
        <w:rPr>
          <w:b/>
          <w:color w:val="auto"/>
          <w:spacing w:val="1280"/>
          <w:sz w:val="32"/>
          <w:szCs w:val="32"/>
          <w:highlight w:val="none"/>
        </w:rPr>
      </w:pPr>
      <w:r>
        <w:rPr>
          <w:b/>
          <w:color w:val="auto"/>
          <w:spacing w:val="640"/>
          <w:kern w:val="0"/>
          <w:sz w:val="32"/>
          <w:szCs w:val="32"/>
          <w:highlight w:val="none"/>
          <w:fitText w:val="1600" w:id="24"/>
          <w:lang w:val="en-US" w:bidi="ar-SA"/>
        </w:rPr>
        <w:t>包</w:t>
      </w:r>
      <w:r>
        <w:rPr>
          <w:b/>
          <w:color w:val="auto"/>
          <w:spacing w:val="106"/>
          <w:sz w:val="32"/>
          <w:szCs w:val="32"/>
          <w:highlight w:val="none"/>
          <w:lang w:val="en-US" w:bidi="ar-SA"/>
        </w:rPr>
        <w:t>组号</w:t>
      </w:r>
      <w:r>
        <w:rPr>
          <w:b/>
          <w:color w:val="auto"/>
          <w:spacing w:val="53"/>
          <w:kern w:val="0"/>
          <w:sz w:val="32"/>
          <w:szCs w:val="32"/>
          <w:highlight w:val="none"/>
          <w:fitText w:val="1600" w:id="24"/>
          <w:lang w:val="en-US" w:bidi="ar-SA"/>
        </w:rPr>
        <w:t>（如有</w:t>
      </w:r>
      <w:r>
        <w:rPr>
          <w:b/>
          <w:color w:val="auto"/>
          <w:spacing w:val="1"/>
          <w:kern w:val="0"/>
          <w:sz w:val="32"/>
          <w:szCs w:val="32"/>
          <w:highlight w:val="none"/>
          <w:fitText w:val="1600" w:id="24"/>
          <w:lang w:val="en-US" w:bidi="ar-SA"/>
        </w:rPr>
        <w:t>）</w:t>
      </w:r>
      <w:r>
        <w:rPr>
          <w:b/>
          <w:color w:val="auto"/>
          <w:spacing w:val="106"/>
          <w:sz w:val="32"/>
          <w:szCs w:val="32"/>
          <w:highlight w:val="none"/>
          <w:lang w:val="en-US" w:bidi="ar-SA"/>
        </w:rPr>
        <w:t>：</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5"/>
        </w:rPr>
        <w:t>投标人名称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6"/>
        </w:rPr>
        <w:t>日    期：</w:t>
      </w:r>
    </w:p>
    <w:p>
      <w:pPr>
        <w:rPr>
          <w:rFonts w:ascii="宋体" w:hAnsi="宋体"/>
          <w:color w:val="auto"/>
          <w:spacing w:val="1390"/>
          <w:kern w:val="0"/>
          <w:szCs w:val="21"/>
          <w:highlight w:val="none"/>
          <w:fitText w:val="1600" w:id="27"/>
        </w:rPr>
      </w:pPr>
      <w:r>
        <w:rPr>
          <w:rFonts w:hint="eastAsia" w:ascii="宋体" w:hAnsi="宋体"/>
          <w:color w:val="auto"/>
          <w:szCs w:val="21"/>
          <w:highlight w:val="none"/>
        </w:rPr>
        <w:br w:type="page"/>
      </w:r>
    </w:p>
    <w:p>
      <w:pPr>
        <w:pStyle w:val="6"/>
        <w:widowControl w:val="0"/>
        <w:overflowPunct w:val="0"/>
        <w:spacing w:line="240" w:lineRule="auto"/>
        <w:rPr>
          <w:rFonts w:hint="eastAsia" w:ascii="宋体" w:hAnsi="宋体"/>
          <w:color w:val="auto"/>
          <w:sz w:val="21"/>
          <w:szCs w:val="21"/>
          <w:highlight w:val="none"/>
        </w:rPr>
      </w:pPr>
      <w:bookmarkStart w:id="174" w:name="_Toc3704"/>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技术规格偏离表格式</w:t>
      </w:r>
      <w:bookmarkEnd w:id="174"/>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vAlign w:val="center"/>
          </w:tcPr>
          <w:p>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投标人代表签字：</w:t>
      </w:r>
    </w:p>
    <w:p>
      <w:pPr>
        <w:rPr>
          <w:rFonts w:ascii="宋体" w:hAnsi="宋体"/>
          <w:color w:val="auto"/>
          <w:szCs w:val="21"/>
          <w:highlight w:val="none"/>
        </w:rPr>
      </w:pPr>
      <w:r>
        <w:rPr>
          <w:rFonts w:hint="eastAsia" w:ascii="宋体" w:hAnsi="宋体"/>
          <w:color w:val="auto"/>
          <w:szCs w:val="21"/>
          <w:highlight w:val="none"/>
        </w:rPr>
        <w:t>投标人盖章：</w:t>
      </w:r>
    </w:p>
    <w:p>
      <w:pPr>
        <w:ind w:firstLine="178" w:firstLineChars="85"/>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p>
    <w:p>
      <w:pPr>
        <w:rPr>
          <w:rFonts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w:t>
      </w:r>
      <w:r>
        <w:rPr>
          <w:rFonts w:hint="eastAsia" w:hAnsi="宋体" w:cs="宋体"/>
          <w:color w:val="auto"/>
          <w:szCs w:val="21"/>
          <w:highlight w:val="none"/>
          <w:lang w:val="en-US" w:eastAsia="zh-CN"/>
        </w:rPr>
        <w:t>技术</w:t>
      </w:r>
      <w:r>
        <w:rPr>
          <w:rFonts w:hint="eastAsia" w:hAnsi="宋体" w:cs="宋体"/>
          <w:color w:val="auto"/>
          <w:szCs w:val="21"/>
          <w:highlight w:val="none"/>
        </w:rPr>
        <w:t>要求的条款全部响应的，也可以在表格下面用文字总括性的说明。</w:t>
      </w:r>
    </w:p>
    <w:p>
      <w:pPr>
        <w:adjustRightInd/>
        <w:snapToGrid/>
        <w:spacing w:line="276" w:lineRule="auto"/>
        <w:rPr>
          <w:color w:val="auto"/>
          <w:highlight w:val="none"/>
        </w:rPr>
      </w:pPr>
    </w:p>
    <w:p>
      <w:pPr>
        <w:adjustRightInd/>
        <w:snapToGrid/>
        <w:spacing w:line="276" w:lineRule="auto"/>
        <w:rPr>
          <w:color w:val="auto"/>
          <w:highlight w:val="none"/>
        </w:rPr>
      </w:pPr>
    </w:p>
    <w:p>
      <w:pPr>
        <w:rPr>
          <w:rFonts w:ascii="宋体" w:hAnsi="宋体"/>
          <w:color w:val="auto"/>
          <w:szCs w:val="21"/>
          <w:highlight w:val="none"/>
        </w:rPr>
      </w:pPr>
      <w:bookmarkStart w:id="175" w:name="_Toc17691"/>
      <w:r>
        <w:rPr>
          <w:rFonts w:hint="eastAsia" w:ascii="宋体" w:hAnsi="宋体"/>
          <w:color w:val="auto"/>
          <w:szCs w:val="21"/>
          <w:highlight w:val="none"/>
        </w:rPr>
        <w:br w:type="page"/>
      </w:r>
    </w:p>
    <w:bookmarkEnd w:id="175"/>
    <w:p>
      <w:pPr>
        <w:pStyle w:val="6"/>
        <w:widowControl w:val="0"/>
        <w:overflowPunct w:val="0"/>
        <w:spacing w:line="240" w:lineRule="auto"/>
        <w:rPr>
          <w:rFonts w:ascii="宋体" w:hAnsi="宋体"/>
          <w:color w:val="auto"/>
          <w:sz w:val="21"/>
          <w:szCs w:val="21"/>
          <w:highlight w:val="none"/>
        </w:rPr>
      </w:pPr>
      <w:bookmarkStart w:id="176" w:name="_Toc13819"/>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.项目实施方案格式</w:t>
      </w:r>
      <w:bookmarkEnd w:id="176"/>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pPr>
        <w:jc w:val="center"/>
        <w:rPr>
          <w:rFonts w:ascii="黑体" w:eastAsia="黑体"/>
          <w:color w:val="auto"/>
          <w:sz w:val="32"/>
          <w:szCs w:val="32"/>
          <w:highlight w:val="none"/>
        </w:rPr>
      </w:pP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1、为完成本项目投标人临时投入的设备</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2、为完成本项目投标人投入的人员以及具体工作安排</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pP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自行编写。</w:t>
      </w:r>
    </w:p>
    <w:p>
      <w:pPr>
        <w:ind w:left="718" w:leftChars="200" w:hanging="298" w:hangingChars="142"/>
        <w:rPr>
          <w:rFonts w:ascii="宋体" w:hAnsi="宋体"/>
          <w:color w:val="auto"/>
          <w:szCs w:val="21"/>
          <w:highlight w:val="none"/>
        </w:rPr>
      </w:pPr>
    </w:p>
    <w:p>
      <w:pPr>
        <w:ind w:left="718" w:leftChars="200" w:hanging="298" w:hangingChars="142"/>
        <w:rPr>
          <w:rFonts w:ascii="宋体" w:hAnsi="宋体"/>
          <w:color w:val="auto"/>
          <w:szCs w:val="21"/>
          <w:highlight w:val="none"/>
        </w:rPr>
      </w:pPr>
    </w:p>
    <w:p>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177" w:name="_Toc2384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.实施本项目的有关人员资料表格式</w:t>
      </w:r>
      <w:bookmarkEnd w:id="177"/>
    </w:p>
    <w:p>
      <w:pPr>
        <w:jc w:val="center"/>
        <w:rPr>
          <w:rFonts w:ascii="宋体" w:hAnsi="宋体"/>
          <w:color w:val="auto"/>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2" w:type="dxa"/>
            <w:vAlign w:val="center"/>
          </w:tcPr>
          <w:p>
            <w:pPr>
              <w:jc w:val="center"/>
              <w:rPr>
                <w:rFonts w:ascii="宋体" w:hAnsi="宋体"/>
                <w:color w:val="auto"/>
                <w:szCs w:val="21"/>
                <w:highlight w:val="none"/>
              </w:rPr>
            </w:pPr>
            <w:r>
              <w:rPr>
                <w:rFonts w:hint="eastAsia" w:ascii="宋体" w:hAnsi="宋体"/>
                <w:color w:val="auto"/>
                <w:szCs w:val="21"/>
                <w:highlight w:val="none"/>
              </w:rPr>
              <w:t>姓名</w:t>
            </w:r>
          </w:p>
        </w:tc>
        <w:tc>
          <w:tcPr>
            <w:tcW w:w="1861" w:type="dxa"/>
            <w:vAlign w:val="center"/>
          </w:tcPr>
          <w:p>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vAlign w:val="center"/>
          </w:tcPr>
          <w:p>
            <w:pPr>
              <w:jc w:val="center"/>
              <w:rPr>
                <w:rFonts w:ascii="宋体" w:hAnsi="宋体"/>
                <w:color w:val="auto"/>
                <w:szCs w:val="21"/>
                <w:highlight w:val="none"/>
              </w:rPr>
            </w:pPr>
            <w:r>
              <w:rPr>
                <w:rFonts w:hint="eastAsia" w:ascii="宋体" w:hAnsi="宋体"/>
                <w:color w:val="auto"/>
                <w:szCs w:val="21"/>
                <w:highlight w:val="none"/>
              </w:rPr>
              <w:t>性别</w:t>
            </w:r>
          </w:p>
        </w:tc>
        <w:tc>
          <w:tcPr>
            <w:tcW w:w="702" w:type="dxa"/>
            <w:vAlign w:val="center"/>
          </w:tcPr>
          <w:p>
            <w:pPr>
              <w:jc w:val="center"/>
              <w:rPr>
                <w:rFonts w:ascii="宋体" w:hAnsi="宋体"/>
                <w:color w:val="auto"/>
                <w:szCs w:val="21"/>
                <w:highlight w:val="none"/>
              </w:rPr>
            </w:pPr>
            <w:r>
              <w:rPr>
                <w:rFonts w:hint="eastAsia" w:ascii="宋体" w:hAnsi="宋体"/>
                <w:color w:val="auto"/>
                <w:szCs w:val="21"/>
                <w:highlight w:val="none"/>
              </w:rPr>
              <w:t>年龄</w:t>
            </w:r>
          </w:p>
        </w:tc>
        <w:tc>
          <w:tcPr>
            <w:tcW w:w="1164" w:type="dxa"/>
            <w:vAlign w:val="center"/>
          </w:tcPr>
          <w:p>
            <w:pP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vAlign w:val="center"/>
          </w:tcPr>
          <w:p>
            <w:pPr>
              <w:jc w:val="center"/>
              <w:rPr>
                <w:rFonts w:ascii="宋体" w:hAnsi="宋体"/>
                <w:color w:val="auto"/>
                <w:szCs w:val="21"/>
                <w:highlight w:val="none"/>
              </w:rPr>
            </w:pPr>
            <w:r>
              <w:rPr>
                <w:rFonts w:hint="eastAsia" w:ascii="宋体" w:hAnsi="宋体"/>
                <w:color w:val="auto"/>
                <w:szCs w:val="21"/>
                <w:highlight w:val="none"/>
              </w:rPr>
              <w:t>专 业</w:t>
            </w:r>
          </w:p>
        </w:tc>
        <w:tc>
          <w:tcPr>
            <w:tcW w:w="1165" w:type="dxa"/>
            <w:vAlign w:val="center"/>
          </w:tcPr>
          <w:p>
            <w:pP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bl>
    <w:p>
      <w:pPr>
        <w:ind w:firstLine="178" w:firstLineChars="85"/>
        <w:rPr>
          <w:rFonts w:ascii="宋体" w:hAnsi="宋体"/>
          <w:color w:val="auto"/>
          <w:szCs w:val="21"/>
          <w:highlight w:val="none"/>
        </w:rPr>
      </w:pPr>
    </w:p>
    <w:p>
      <w:pP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pPr>
        <w:ind w:firstLine="178" w:firstLineChars="85"/>
        <w:rPr>
          <w:rFonts w:ascii="宋体" w:hAnsi="宋体"/>
          <w:color w:val="auto"/>
          <w:szCs w:val="21"/>
          <w:highlight w:val="none"/>
        </w:rPr>
      </w:pPr>
      <w:r>
        <w:rPr>
          <w:rFonts w:hint="eastAsia" w:ascii="宋体" w:hAnsi="宋体"/>
          <w:color w:val="auto"/>
          <w:szCs w:val="21"/>
          <w:highlight w:val="none"/>
        </w:rPr>
        <w:t>投标人代表签字：</w:t>
      </w:r>
    </w:p>
    <w:p>
      <w:pPr>
        <w:ind w:firstLine="178" w:firstLineChars="85"/>
        <w:rPr>
          <w:rFonts w:ascii="宋体" w:hAnsi="宋体"/>
          <w:color w:val="auto"/>
          <w:szCs w:val="21"/>
          <w:highlight w:val="none"/>
        </w:rPr>
      </w:pPr>
      <w:r>
        <w:rPr>
          <w:rFonts w:hint="eastAsia" w:ascii="宋体" w:hAnsi="宋体"/>
          <w:color w:val="auto"/>
          <w:szCs w:val="21"/>
          <w:highlight w:val="none"/>
        </w:rPr>
        <w:t>投标人盖章：</w:t>
      </w:r>
    </w:p>
    <w:p>
      <w:pPr>
        <w:rPr>
          <w:rFonts w:ascii="宋体" w:hAnsi="宋体"/>
          <w:color w:val="auto"/>
          <w:szCs w:val="21"/>
          <w:highlight w:val="none"/>
        </w:rPr>
      </w:pPr>
      <w:r>
        <w:rPr>
          <w:rFonts w:hint="eastAsia" w:ascii="宋体" w:hAnsi="宋体"/>
          <w:color w:val="auto"/>
          <w:szCs w:val="21"/>
          <w:highlight w:val="none"/>
        </w:rPr>
        <w:t>注：</w:t>
      </w:r>
    </w:p>
    <w:p>
      <w:pPr>
        <w:pStyle w:val="44"/>
        <w:numPr>
          <w:ilvl w:val="0"/>
          <w:numId w:val="18"/>
        </w:numPr>
        <w:ind w:firstLineChars="0"/>
        <w:rPr>
          <w:rFonts w:ascii="宋体" w:hAnsi="宋体"/>
          <w:color w:val="auto"/>
          <w:szCs w:val="21"/>
          <w:highlight w:val="none"/>
        </w:rPr>
      </w:pPr>
      <w:r>
        <w:rPr>
          <w:rFonts w:hint="eastAsia" w:ascii="宋体" w:hAnsi="宋体"/>
          <w:color w:val="auto"/>
          <w:szCs w:val="21"/>
          <w:highlight w:val="none"/>
        </w:rPr>
        <w:t>投标人可按项目的实际需要提供本表格。</w:t>
      </w:r>
    </w:p>
    <w:p>
      <w:pPr>
        <w:pStyle w:val="44"/>
        <w:numPr>
          <w:ilvl w:val="0"/>
          <w:numId w:val="18"/>
        </w:numPr>
        <w:ind w:firstLineChars="0"/>
        <w:rPr>
          <w:rFonts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pPr>
        <w:rPr>
          <w:rFonts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pPr>
        <w:pStyle w:val="44"/>
        <w:numPr>
          <w:ilvl w:val="0"/>
          <w:numId w:val="18"/>
        </w:numPr>
        <w:ind w:firstLineChars="0"/>
        <w:rPr>
          <w:rFonts w:ascii="宋体" w:hAnsi="宋体" w:cs="Times New Roman"/>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color w:val="auto"/>
          <w:highlight w:val="none"/>
        </w:rPr>
      </w:pPr>
      <w:bookmarkStart w:id="178" w:name="_Toc1516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.投标保证金汇入情况说明格式</w:t>
      </w:r>
      <w:bookmarkEnd w:id="178"/>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pP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广东志正招标有限公司东莞分公司</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项目（采购项目编号：）的采购文件要求，于年月日前以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本单位投标保证金的汇款情况：（详见附件－投标保证金进帐单）</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（必须是投标时使用的帐户名）   </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（必须是投标时使用的帐号）        </w:t>
      </w:r>
    </w:p>
    <w:p>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pPr>
        <w:spacing w:line="480" w:lineRule="auto"/>
        <w:rPr>
          <w:rFonts w:ascii="宋体" w:hAnsi="宋体"/>
          <w:color w:val="auto"/>
          <w:szCs w:val="21"/>
          <w:highlight w:val="none"/>
        </w:rPr>
      </w:pPr>
      <w:r>
        <w:rPr>
          <w:rFonts w:hint="eastAsia" w:ascii="宋体" w:hAnsi="宋体"/>
          <w:color w:val="auto"/>
          <w:szCs w:val="21"/>
          <w:highlight w:val="none"/>
        </w:rPr>
        <w:t>单位名称：</w:t>
      </w:r>
    </w:p>
    <w:p>
      <w:pPr>
        <w:spacing w:line="480" w:lineRule="auto"/>
        <w:rPr>
          <w:rFonts w:ascii="宋体" w:hAnsi="宋体"/>
          <w:color w:val="auto"/>
          <w:szCs w:val="21"/>
          <w:highlight w:val="none"/>
        </w:rPr>
      </w:pPr>
      <w:r>
        <w:rPr>
          <w:rFonts w:hint="eastAsia" w:ascii="宋体" w:hAnsi="宋体"/>
          <w:color w:val="auto"/>
          <w:szCs w:val="21"/>
          <w:highlight w:val="none"/>
        </w:rPr>
        <w:t>单位地址：</w:t>
      </w:r>
    </w:p>
    <w:p>
      <w:pPr>
        <w:spacing w:line="480" w:lineRule="auto"/>
        <w:rPr>
          <w:rFonts w:ascii="宋体" w:hAnsi="宋体"/>
          <w:color w:val="auto"/>
          <w:szCs w:val="21"/>
          <w:highlight w:val="none"/>
        </w:rPr>
      </w:pPr>
      <w:r>
        <w:rPr>
          <w:rFonts w:hint="eastAsia" w:ascii="宋体" w:hAnsi="宋体"/>
          <w:color w:val="auto"/>
          <w:szCs w:val="21"/>
          <w:highlight w:val="none"/>
        </w:rPr>
        <w:t>联系人：</w:t>
      </w:r>
    </w:p>
    <w:p>
      <w:pPr>
        <w:spacing w:line="480" w:lineRule="auto"/>
        <w:rPr>
          <w:rFonts w:ascii="宋体" w:hAnsi="宋体"/>
          <w:color w:val="auto"/>
          <w:szCs w:val="21"/>
          <w:highlight w:val="none"/>
        </w:rPr>
      </w:pPr>
      <w:r>
        <w:rPr>
          <w:rFonts w:hint="eastAsia" w:ascii="宋体" w:hAnsi="宋体"/>
          <w:color w:val="auto"/>
          <w:szCs w:val="21"/>
          <w:highlight w:val="none"/>
        </w:rPr>
        <w:t>单位电话： 联系人手机：</w:t>
      </w:r>
    </w:p>
    <w:p>
      <w:pPr>
        <w:rPr>
          <w:rFonts w:ascii="宋体" w:hAnsi="宋体"/>
          <w:color w:val="auto"/>
          <w:szCs w:val="21"/>
          <w:highlight w:val="none"/>
        </w:rPr>
      </w:pP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33"/>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6"/>
        <w:numPr>
          <w:ilvl w:val="255"/>
          <w:numId w:val="0"/>
        </w:numPr>
        <w:tabs>
          <w:tab w:val="left" w:pos="720"/>
          <w:tab w:val="left" w:pos="3840"/>
        </w:tabs>
        <w:ind w:left="283"/>
        <w:jc w:val="both"/>
        <w:rPr>
          <w:rFonts w:ascii="宋体" w:hAnsi="宋体"/>
          <w:color w:val="auto"/>
          <w:sz w:val="21"/>
          <w:szCs w:val="21"/>
          <w:highlight w:val="none"/>
        </w:rPr>
      </w:pPr>
      <w:bookmarkStart w:id="179" w:name="_Toc2144"/>
      <w:bookmarkStart w:id="180" w:name="_Toc19947"/>
      <w:bookmarkStart w:id="181" w:name="_Toc2801"/>
      <w:bookmarkStart w:id="182" w:name="_Toc17028"/>
      <w:bookmarkStart w:id="183" w:name="_Toc14605"/>
      <w:bookmarkStart w:id="184" w:name="_Toc1562"/>
      <w:bookmarkStart w:id="185" w:name="_Toc4866"/>
      <w:bookmarkStart w:id="186" w:name="_Toc25861"/>
      <w:bookmarkStart w:id="187" w:name="_Toc29855"/>
      <w:bookmarkStart w:id="188" w:name="_Toc28623"/>
      <w:bookmarkStart w:id="189" w:name="_Toc1829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.不可撤销履约保函</w:t>
      </w:r>
      <w:bookmarkEnd w:id="179"/>
      <w:bookmarkEnd w:id="180"/>
      <w:bookmarkEnd w:id="181"/>
      <w:bookmarkEnd w:id="182"/>
      <w:bookmarkEnd w:id="183"/>
      <w:bookmarkEnd w:id="184"/>
      <w:bookmarkEnd w:id="185"/>
      <w:bookmarkEnd w:id="186"/>
      <w:bookmarkEnd w:id="187"/>
      <w:bookmarkEnd w:id="188"/>
      <w:bookmarkEnd w:id="189"/>
    </w:p>
    <w:p>
      <w:pPr>
        <w:jc w:val="center"/>
        <w:rPr>
          <w:rFonts w:ascii="宋体" w:hAnsi="宋体"/>
          <w:color w:val="auto"/>
          <w:highlight w:val="none"/>
        </w:rPr>
      </w:pPr>
      <w:r>
        <w:rPr>
          <w:rFonts w:hint="eastAsia" w:ascii="宋体" w:hAnsi="宋体"/>
          <w:color w:val="auto"/>
          <w:highlight w:val="none"/>
        </w:rPr>
        <w:t>银行编号：</w:t>
      </w:r>
    </w:p>
    <w:p>
      <w:pPr>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（地址：          ，下称 “乙方” ）</w:t>
      </w:r>
      <w:r>
        <w:rPr>
          <w:rFonts w:hint="eastAsia" w:ascii="宋体" w:hAnsi="宋体" w:eastAsia="宋体" w:cs="宋体"/>
          <w:color w:val="auto"/>
          <w:highlight w:val="none"/>
        </w:rPr>
        <w:t>已保证按</w:t>
      </w:r>
      <w:r>
        <w:rPr>
          <w:rFonts w:hint="eastAsia" w:ascii="宋体" w:hAnsi="宋体" w:eastAsia="宋体" w:cs="宋体"/>
          <w:color w:val="auto"/>
          <w:highlight w:val="none"/>
          <w:u w:val="single"/>
        </w:rPr>
        <w:t xml:space="preserve">        承包合同书（合同编号：    ）</w:t>
      </w:r>
      <w:r>
        <w:rPr>
          <w:rFonts w:hint="eastAsia" w:ascii="宋体" w:hAnsi="宋体" w:eastAsia="宋体" w:cs="宋体"/>
          <w:color w:val="auto"/>
          <w:highlight w:val="none"/>
        </w:rPr>
        <w:t>中规定的义务履行合同。</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根据上述合同约定，乙方应向甲方提供一份金额为合同总价的10%即</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w:t>
      </w:r>
      <w:r>
        <w:rPr>
          <w:rFonts w:hint="eastAsia" w:ascii="宋体" w:hAnsi="宋体" w:eastAsia="宋体" w:cs="宋体"/>
          <w:bCs/>
          <w:color w:val="auto"/>
          <w:highlight w:val="none"/>
        </w:rPr>
        <w:t>不可撤销</w:t>
      </w:r>
      <w:r>
        <w:rPr>
          <w:rFonts w:hint="eastAsia" w:ascii="宋体" w:hAnsi="宋体" w:eastAsia="宋体" w:cs="宋体"/>
          <w:color w:val="auto"/>
          <w:highlight w:val="none"/>
        </w:rPr>
        <w:t>银行履约保函，作为乙方履行上述合同的担保。</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（银行名称）</w:t>
      </w:r>
      <w:r>
        <w:rPr>
          <w:rFonts w:hint="eastAsia" w:ascii="宋体" w:hAnsi="宋体" w:eastAsia="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的保证金。</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本保函从上述合同签订之日起至项目服务期结束验收合格并完成结算后，双方签字之日起</w:t>
      </w:r>
      <w:r>
        <w:rPr>
          <w:rFonts w:hint="eastAsia" w:ascii="宋体" w:hAnsi="宋体" w:cs="宋体"/>
          <w:color w:val="auto"/>
          <w:highlight w:val="none"/>
          <w:lang w:val="en-US" w:eastAsia="zh-CN"/>
        </w:rPr>
        <w:t>30</w:t>
      </w:r>
      <w:r>
        <w:rPr>
          <w:rFonts w:hint="eastAsia" w:ascii="宋体" w:hAnsi="宋体" w:eastAsia="宋体" w:cs="宋体"/>
          <w:color w:val="auto"/>
          <w:highlight w:val="none"/>
        </w:rPr>
        <w:t>天内保持有效。</w:t>
      </w:r>
    </w:p>
    <w:p>
      <w:pPr>
        <w:ind w:firstLine="2824" w:firstLineChars="1345"/>
        <w:rPr>
          <w:rFonts w:hint="eastAsia" w:ascii="宋体" w:hAnsi="宋体" w:eastAsia="宋体" w:cs="宋体"/>
          <w:color w:val="auto"/>
          <w:highlight w:val="none"/>
        </w:rPr>
      </w:pP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保证人：（盖章）</w:t>
      </w:r>
      <w:r>
        <w:rPr>
          <w:rFonts w:hint="eastAsia" w:ascii="宋体" w:hAnsi="宋体" w:eastAsia="宋体" w:cs="宋体"/>
          <w:color w:val="auto"/>
          <w:highlight w:val="none"/>
          <w:u w:val="single"/>
        </w:rPr>
        <w:t xml:space="preserve">                        </w:t>
      </w: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p>
    <w:p>
      <w:pPr>
        <w:pStyle w:val="12"/>
        <w:rPr>
          <w:color w:val="auto"/>
          <w:szCs w:val="24"/>
          <w:highlight w:val="none"/>
        </w:rPr>
      </w:pPr>
      <w:r>
        <w:rPr>
          <w:rFonts w:hint="eastAsia" w:ascii="宋体" w:hAnsi="宋体" w:eastAsia="宋体" w:cs="宋体"/>
          <w:color w:val="auto"/>
          <w:szCs w:val="24"/>
          <w:highlight w:val="none"/>
        </w:rPr>
        <w:t>说明：投标人在投标时不需提交正式保函，在投标文件中盖投标人公章确认保函格式即可，乙方</w:t>
      </w:r>
      <w:r>
        <w:rPr>
          <w:rFonts w:hint="eastAsia" w:ascii="宋体" w:hAnsi="宋体" w:eastAsia="宋体" w:cs="宋体"/>
          <w:color w:val="auto"/>
          <w:highlight w:val="none"/>
        </w:rPr>
        <w:t>在签订合同时</w:t>
      </w:r>
      <w:r>
        <w:rPr>
          <w:rFonts w:hint="eastAsia" w:ascii="宋体" w:hAnsi="宋体" w:eastAsia="宋体" w:cs="宋体"/>
          <w:color w:val="auto"/>
          <w:szCs w:val="24"/>
          <w:highlight w:val="none"/>
        </w:rPr>
        <w:t>提交正式保函。</w:t>
      </w:r>
    </w:p>
    <w:p>
      <w:pPr>
        <w:rPr>
          <w:rFonts w:ascii="宋体" w:hAnsi="宋体"/>
          <w:color w:val="auto"/>
          <w:szCs w:val="21"/>
          <w:highlight w:val="none"/>
        </w:rPr>
      </w:pPr>
    </w:p>
    <w:p>
      <w:pPr>
        <w:rPr>
          <w:rFonts w:ascii="宋体" w:hAnsi="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pPr>
        <w:pStyle w:val="6"/>
        <w:numPr>
          <w:ilvl w:val="255"/>
          <w:numId w:val="0"/>
        </w:numPr>
        <w:tabs>
          <w:tab w:val="left" w:pos="720"/>
          <w:tab w:val="left" w:pos="3840"/>
        </w:tabs>
        <w:ind w:left="283"/>
        <w:jc w:val="both"/>
        <w:rPr>
          <w:rFonts w:ascii="宋体" w:hAnsi="宋体"/>
          <w:color w:val="auto"/>
          <w:sz w:val="21"/>
          <w:szCs w:val="21"/>
          <w:highlight w:val="none"/>
        </w:rPr>
      </w:pPr>
      <w:bookmarkStart w:id="190" w:name="_Toc2909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19</w:t>
      </w:r>
      <w:r>
        <w:rPr>
          <w:rFonts w:hint="eastAsia" w:ascii="宋体" w:hAnsi="宋体"/>
          <w:color w:val="auto"/>
          <w:sz w:val="21"/>
          <w:szCs w:val="21"/>
          <w:highlight w:val="none"/>
        </w:rPr>
        <w:t>.预付款保函（适用于预付款支付）</w:t>
      </w:r>
      <w:bookmarkEnd w:id="190"/>
    </w:p>
    <w:p>
      <w:pPr>
        <w:pStyle w:val="12"/>
        <w:rPr>
          <w:color w:val="auto"/>
          <w:szCs w:val="24"/>
          <w:highlight w:val="none"/>
        </w:rPr>
      </w:pPr>
    </w:p>
    <w:p>
      <w:pPr>
        <w:jc w:val="center"/>
        <w:rPr>
          <w:rFonts w:ascii="黑体" w:eastAsia="黑体"/>
          <w:color w:val="auto"/>
          <w:sz w:val="28"/>
          <w:szCs w:val="28"/>
          <w:highlight w:val="none"/>
        </w:rPr>
      </w:pPr>
      <w:bookmarkStart w:id="191" w:name="_Toc31418"/>
      <w:bookmarkStart w:id="192" w:name="_Toc5034"/>
      <w:bookmarkStart w:id="193" w:name="_Toc10315"/>
      <w:bookmarkStart w:id="194" w:name="_Toc1039"/>
      <w:bookmarkStart w:id="195" w:name="_Toc20669"/>
      <w:bookmarkStart w:id="196" w:name="_Toc27545"/>
      <w:bookmarkStart w:id="197" w:name="_Toc29728"/>
      <w:bookmarkStart w:id="198" w:name="_Toc3295"/>
      <w:bookmarkStart w:id="199" w:name="_Toc25494"/>
      <w:bookmarkStart w:id="200" w:name="_Toc29054"/>
      <w:bookmarkStart w:id="201" w:name="_Toc6877"/>
      <w:bookmarkStart w:id="202" w:name="_Toc7374"/>
      <w:r>
        <w:rPr>
          <w:rFonts w:hint="eastAsia" w:ascii="黑体" w:eastAsia="黑体"/>
          <w:color w:val="auto"/>
          <w:sz w:val="28"/>
          <w:szCs w:val="28"/>
          <w:highlight w:val="none"/>
        </w:rPr>
        <w:t>不可撤销预付款保函</w:t>
      </w:r>
      <w:bookmarkEnd w:id="191"/>
      <w:bookmarkEnd w:id="192"/>
      <w:bookmarkEnd w:id="193"/>
      <w:bookmarkEnd w:id="194"/>
      <w:bookmarkEnd w:id="195"/>
      <w:bookmarkEnd w:id="196"/>
      <w:bookmarkEnd w:id="197"/>
      <w:bookmarkEnd w:id="198"/>
      <w:bookmarkEnd w:id="199"/>
      <w:bookmarkEnd w:id="200"/>
      <w:bookmarkEnd w:id="201"/>
      <w:bookmarkEnd w:id="202"/>
    </w:p>
    <w:p>
      <w:pPr>
        <w:ind w:firstLine="6300"/>
        <w:rPr>
          <w:color w:val="auto"/>
          <w:szCs w:val="21"/>
          <w:highlight w:val="none"/>
          <w:u w:val="single"/>
        </w:rPr>
      </w:pPr>
      <w:r>
        <w:rPr>
          <w:rFonts w:hint="eastAsia"/>
          <w:color w:val="auto"/>
          <w:szCs w:val="21"/>
          <w:highlight w:val="none"/>
        </w:rPr>
        <w:t>银行编号：</w:t>
      </w:r>
      <w:r>
        <w:rPr>
          <w:rFonts w:hint="eastAsia"/>
          <w:color w:val="auto"/>
          <w:szCs w:val="21"/>
          <w:highlight w:val="none"/>
          <w:u w:val="single"/>
        </w:rPr>
        <w:t xml:space="preserve">             </w:t>
      </w:r>
    </w:p>
    <w:p>
      <w:pPr>
        <w:ind w:firstLine="6300"/>
        <w:rPr>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（下称“采购人”）</w:t>
      </w:r>
    </w:p>
    <w:p>
      <w:pPr>
        <w:ind w:firstLine="437"/>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4"/>
          <w:highlight w:val="none"/>
          <w:u w:val="single"/>
        </w:rPr>
        <w:t>（地址：          ，下称 “中标人” ）</w:t>
      </w:r>
      <w:r>
        <w:rPr>
          <w:rFonts w:hint="eastAsia" w:ascii="宋体" w:hAnsi="宋体"/>
          <w:color w:val="auto"/>
          <w:szCs w:val="21"/>
          <w:highlight w:val="none"/>
        </w:rPr>
        <w:t>，已保证按</w:t>
      </w:r>
      <w:r>
        <w:rPr>
          <w:rFonts w:hint="eastAsia" w:ascii="宋体" w:hAnsi="宋体"/>
          <w:color w:val="auto"/>
          <w:szCs w:val="21"/>
          <w:highlight w:val="none"/>
          <w:u w:val="single"/>
        </w:rPr>
        <w:t xml:space="preserve">          承包合同书（合同编号：    ）</w:t>
      </w:r>
      <w:r>
        <w:rPr>
          <w:rFonts w:hint="eastAsia" w:ascii="宋体" w:hAnsi="宋体"/>
          <w:color w:val="auto"/>
          <w:szCs w:val="21"/>
          <w:highlight w:val="none"/>
        </w:rPr>
        <w:t>中规定的义务履行合同。</w:t>
      </w:r>
    </w:p>
    <w:p>
      <w:pPr>
        <w:ind w:firstLine="437"/>
        <w:rPr>
          <w:rFonts w:ascii="宋体" w:hAnsi="宋体"/>
          <w:color w:val="auto"/>
          <w:szCs w:val="21"/>
          <w:highlight w:val="none"/>
        </w:rPr>
      </w:pPr>
      <w:r>
        <w:rPr>
          <w:rFonts w:hint="eastAsia" w:ascii="宋体" w:hAnsi="宋体"/>
          <w:color w:val="auto"/>
          <w:szCs w:val="24"/>
          <w:highlight w:val="none"/>
        </w:rPr>
        <w:t>根据上述合同（</w:t>
      </w:r>
      <w:r>
        <w:rPr>
          <w:rFonts w:hint="eastAsia" w:ascii="宋体" w:hAnsi="宋体"/>
          <w:color w:val="auto"/>
          <w:szCs w:val="24"/>
          <w:highlight w:val="none"/>
          <w:lang w:eastAsia="zh-CN"/>
        </w:rPr>
        <w:t>采购文件</w:t>
      </w:r>
      <w:r>
        <w:rPr>
          <w:rFonts w:hint="eastAsia" w:ascii="宋体" w:hAnsi="宋体"/>
          <w:color w:val="auto"/>
          <w:szCs w:val="24"/>
          <w:highlight w:val="none"/>
        </w:rPr>
        <w:t>）规定，中标人应向采购人提供一份金额为合同总价的</w:t>
      </w:r>
      <w:r>
        <w:rPr>
          <w:rFonts w:hint="eastAsia" w:ascii="宋体" w:hAnsi="宋体"/>
          <w:color w:val="auto"/>
          <w:szCs w:val="24"/>
          <w:highlight w:val="none"/>
          <w:u w:val="single"/>
        </w:rPr>
        <w:t xml:space="preserve">   </w:t>
      </w:r>
      <w:r>
        <w:rPr>
          <w:rFonts w:hint="eastAsia" w:ascii="宋体" w:hAnsi="宋体"/>
          <w:color w:val="auto"/>
          <w:szCs w:val="24"/>
          <w:highlight w:val="none"/>
        </w:rPr>
        <w:t>% 即人民币</w:t>
      </w:r>
      <w:r>
        <w:rPr>
          <w:rFonts w:hint="eastAsia" w:ascii="宋体" w:hAnsi="宋体"/>
          <w:color w:val="auto"/>
          <w:szCs w:val="21"/>
          <w:highlight w:val="none"/>
          <w:u w:val="single"/>
        </w:rPr>
        <w:t xml:space="preserve">      （RMB      元）</w:t>
      </w:r>
      <w:r>
        <w:rPr>
          <w:rFonts w:hint="eastAsia" w:ascii="宋体" w:hAnsi="宋体"/>
          <w:color w:val="auto"/>
          <w:szCs w:val="21"/>
          <w:highlight w:val="none"/>
        </w:rPr>
        <w:t>的不可撤销银行预付款保函，以保证中标人履行合同的相关条款。</w:t>
      </w:r>
    </w:p>
    <w:p>
      <w:pPr>
        <w:ind w:firstLine="437"/>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（银行名称）  </w:t>
      </w:r>
      <w:r>
        <w:rPr>
          <w:rFonts w:hint="eastAsia" w:ascii="宋体" w:hAnsi="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ind w:firstLine="437"/>
        <w:rPr>
          <w:rFonts w:ascii="宋体" w:hAnsi="宋体"/>
          <w:color w:val="auto"/>
          <w:szCs w:val="21"/>
          <w:highlight w:val="none"/>
        </w:rPr>
      </w:pPr>
      <w:r>
        <w:rPr>
          <w:rFonts w:hint="eastAsia" w:ascii="宋体" w:hAnsi="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ind w:firstLine="437"/>
        <w:rPr>
          <w:rFonts w:ascii="宋体" w:hAnsi="宋体"/>
          <w:color w:val="auto"/>
          <w:szCs w:val="21"/>
          <w:highlight w:val="none"/>
        </w:rPr>
      </w:pPr>
      <w:r>
        <w:rPr>
          <w:rFonts w:hint="eastAsia" w:ascii="宋体" w:hAnsi="宋体"/>
          <w:color w:val="auto"/>
          <w:szCs w:val="21"/>
          <w:highlight w:val="none"/>
        </w:rPr>
        <w:t>本保函有效期从保函开立之日起至采购人向中标人抵扣完所有预付款之日止。</w:t>
      </w:r>
    </w:p>
    <w:p>
      <w:pPr>
        <w:rPr>
          <w:rFonts w:ascii="宋体" w:hAnsi="宋体"/>
          <w:color w:val="auto"/>
          <w:szCs w:val="21"/>
          <w:highlight w:val="none"/>
        </w:rPr>
      </w:pPr>
    </w:p>
    <w:p>
      <w:pPr>
        <w:ind w:firstLine="437"/>
        <w:rPr>
          <w:rFonts w:ascii="宋体" w:hAnsi="宋体"/>
          <w:color w:val="auto"/>
          <w:szCs w:val="21"/>
          <w:highlight w:val="none"/>
        </w:rPr>
      </w:pPr>
    </w:p>
    <w:p>
      <w:pPr>
        <w:ind w:firstLine="4860"/>
        <w:rPr>
          <w:rFonts w:ascii="宋体" w:hAnsi="宋体"/>
          <w:color w:val="auto"/>
          <w:szCs w:val="21"/>
          <w:highlight w:val="none"/>
        </w:rPr>
      </w:pPr>
      <w:r>
        <w:rPr>
          <w:rFonts w:hint="eastAsia" w:ascii="宋体" w:hAnsi="宋体"/>
          <w:color w:val="auto"/>
          <w:szCs w:val="21"/>
          <w:highlight w:val="none"/>
        </w:rPr>
        <w:t>保证人：（公章）</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负责人：（签字）</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ind w:firstLine="486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pStyle w:val="12"/>
        <w:rPr>
          <w:color w:val="auto"/>
          <w:szCs w:val="21"/>
          <w:highlight w:val="none"/>
        </w:rPr>
      </w:pPr>
    </w:p>
    <w:p>
      <w:pPr>
        <w:pStyle w:val="12"/>
        <w:rPr>
          <w:color w:val="auto"/>
          <w:szCs w:val="21"/>
          <w:highlight w:val="none"/>
        </w:rPr>
      </w:pPr>
    </w:p>
    <w:p>
      <w:pPr>
        <w:ind w:firstLine="413" w:firstLineChars="196"/>
        <w:rPr>
          <w:rFonts w:ascii="宋体" w:hAnsi="宋体"/>
          <w:b/>
          <w:color w:val="auto"/>
          <w:szCs w:val="21"/>
          <w:highlight w:val="none"/>
        </w:rPr>
      </w:pPr>
      <w:r>
        <w:rPr>
          <w:rFonts w:hint="eastAsia" w:ascii="宋体" w:hAnsi="宋体"/>
          <w:b/>
          <w:color w:val="auto"/>
          <w:szCs w:val="21"/>
          <w:highlight w:val="none"/>
        </w:rPr>
        <w:t>说明：投标人在投标文件中盖投标人公章确认保函内容即可，如中标再由银行出具保函。</w:t>
      </w:r>
    </w:p>
    <w:p>
      <w:pPr>
        <w:rPr>
          <w:rFonts w:ascii="宋体" w:hAnsi="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pPr>
        <w:pStyle w:val="2"/>
        <w:rPr>
          <w:color w:val="auto"/>
          <w:highlight w:val="none"/>
        </w:rPr>
      </w:pPr>
      <w:bookmarkStart w:id="203" w:name="_Toc1968"/>
    </w:p>
    <w:p>
      <w:pPr>
        <w:jc w:val="center"/>
        <w:outlineLvl w:val="1"/>
        <w:rPr>
          <w:rFonts w:eastAsia="黑体"/>
          <w:color w:val="auto"/>
          <w:sz w:val="72"/>
          <w:szCs w:val="72"/>
          <w:highlight w:val="none"/>
        </w:rPr>
      </w:pPr>
      <w:bookmarkStart w:id="204" w:name="_Toc16601"/>
      <w:r>
        <w:rPr>
          <w:rFonts w:hint="eastAsia" w:eastAsia="黑体"/>
          <w:color w:val="auto"/>
          <w:sz w:val="72"/>
          <w:szCs w:val="72"/>
          <w:highlight w:val="none"/>
        </w:rPr>
        <w:t>唱标信封</w:t>
      </w:r>
      <w:bookmarkEnd w:id="204"/>
    </w:p>
    <w:p>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pPr>
        <w:rPr>
          <w:color w:val="auto"/>
          <w:highlight w:val="none"/>
        </w:rPr>
      </w:pPr>
    </w:p>
    <w:p>
      <w:pPr>
        <w:pStyle w:val="2"/>
        <w:rPr>
          <w:color w:val="auto"/>
          <w:highlight w:val="none"/>
        </w:rPr>
      </w:pPr>
    </w:p>
    <w:p>
      <w:pPr>
        <w:pStyle w:val="30"/>
        <w:ind w:firstLine="240"/>
        <w:rPr>
          <w:color w:val="auto"/>
          <w:highlight w:val="none"/>
        </w:rPr>
      </w:pPr>
    </w:p>
    <w:p>
      <w:pPr>
        <w:pStyle w:val="30"/>
        <w:ind w:firstLine="240"/>
        <w:rPr>
          <w:color w:val="auto"/>
          <w:highlight w:val="none"/>
        </w:rPr>
      </w:pPr>
    </w:p>
    <w:p>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pPr>
        <w:pStyle w:val="2"/>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pPr>
        <w:rPr>
          <w:rFonts w:ascii="宋体" w:hAnsi="宋体"/>
          <w:color w:val="auto"/>
          <w:szCs w:val="21"/>
          <w:highlight w:val="none"/>
        </w:rPr>
      </w:pPr>
      <w:r>
        <w:rPr>
          <w:rFonts w:hint="eastAsia" w:ascii="宋体" w:hAnsi="宋体"/>
          <w:color w:val="auto"/>
          <w:szCs w:val="21"/>
          <w:highlight w:val="none"/>
        </w:rPr>
        <w:br w:type="page"/>
      </w:r>
    </w:p>
    <w:bookmarkEnd w:id="203"/>
    <w:p>
      <w:pPr>
        <w:pStyle w:val="6"/>
        <w:numPr>
          <w:ilvl w:val="255"/>
          <w:numId w:val="0"/>
        </w:numPr>
        <w:tabs>
          <w:tab w:val="left" w:pos="720"/>
          <w:tab w:val="left" w:pos="3840"/>
        </w:tabs>
        <w:ind w:left="283"/>
        <w:jc w:val="both"/>
        <w:rPr>
          <w:rFonts w:ascii="宋体" w:hAnsi="宋体"/>
          <w:color w:val="auto"/>
          <w:sz w:val="21"/>
          <w:szCs w:val="21"/>
          <w:highlight w:val="none"/>
        </w:rPr>
      </w:pPr>
      <w:bookmarkStart w:id="205" w:name="_Toc3134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.唱标信封内装（内容务必与投标文件正本一致）</w:t>
      </w:r>
      <w:bookmarkEnd w:id="205"/>
    </w:p>
    <w:p>
      <w:pPr>
        <w:numPr>
          <w:ilvl w:val="0"/>
          <w:numId w:val="19"/>
        </w:numPr>
        <w:ind w:firstLineChars="200"/>
        <w:rPr>
          <w:rFonts w:hAnsi="宋体"/>
          <w:color w:val="auto"/>
          <w:szCs w:val="21"/>
          <w:highlight w:val="none"/>
        </w:rPr>
      </w:pPr>
      <w:r>
        <w:rPr>
          <w:rFonts w:hint="eastAsia" w:hAnsi="宋体"/>
          <w:color w:val="auto"/>
          <w:szCs w:val="21"/>
          <w:highlight w:val="none"/>
        </w:rPr>
        <w:t>开标一览表加盖公章；</w:t>
      </w:r>
    </w:p>
    <w:p>
      <w:pPr>
        <w:numPr>
          <w:ilvl w:val="0"/>
          <w:numId w:val="19"/>
        </w:numPr>
        <w:ind w:firstLineChars="200"/>
        <w:rPr>
          <w:rFonts w:hAnsi="宋体"/>
          <w:color w:val="auto"/>
          <w:szCs w:val="21"/>
          <w:highlight w:val="none"/>
        </w:rPr>
      </w:pPr>
      <w:r>
        <w:rPr>
          <w:rFonts w:hint="eastAsia" w:hAnsi="宋体"/>
          <w:color w:val="auto"/>
          <w:szCs w:val="21"/>
          <w:highlight w:val="none"/>
        </w:rPr>
        <w:t>法定代表人证明书加盖公章；</w:t>
      </w:r>
    </w:p>
    <w:p>
      <w:pPr>
        <w:numPr>
          <w:ilvl w:val="0"/>
          <w:numId w:val="19"/>
        </w:numPr>
        <w:ind w:firstLineChars="200"/>
        <w:rPr>
          <w:rFonts w:hAnsi="宋体"/>
          <w:color w:val="auto"/>
          <w:szCs w:val="21"/>
          <w:highlight w:val="none"/>
        </w:rPr>
      </w:pPr>
      <w:r>
        <w:rPr>
          <w:rFonts w:hint="eastAsia" w:hAnsi="宋体"/>
          <w:color w:val="auto"/>
          <w:szCs w:val="21"/>
          <w:highlight w:val="none"/>
        </w:rPr>
        <w:t>法定代表人授权委托书加盖公章（法定代表人投标的除外）；</w:t>
      </w:r>
    </w:p>
    <w:p>
      <w:pPr>
        <w:numPr>
          <w:ilvl w:val="0"/>
          <w:numId w:val="19"/>
        </w:numPr>
        <w:ind w:firstLineChars="200"/>
        <w:rPr>
          <w:rFonts w:hAnsi="宋体"/>
          <w:color w:val="auto"/>
          <w:szCs w:val="21"/>
          <w:highlight w:val="none"/>
        </w:rPr>
      </w:pPr>
      <w:r>
        <w:rPr>
          <w:rFonts w:hint="eastAsia" w:hAnsi="宋体"/>
          <w:color w:val="auto"/>
          <w:szCs w:val="21"/>
          <w:highlight w:val="none"/>
        </w:rPr>
        <w:t>投标保证金汇入情况说明（含银行汇款凭证）加盖公章；</w:t>
      </w:r>
    </w:p>
    <w:p>
      <w:pPr>
        <w:numPr>
          <w:ilvl w:val="0"/>
          <w:numId w:val="19"/>
        </w:numPr>
        <w:ind w:firstLineChars="200"/>
        <w:rPr>
          <w:rFonts w:hAnsi="宋体"/>
          <w:color w:val="auto"/>
          <w:szCs w:val="21"/>
          <w:highlight w:val="none"/>
        </w:rPr>
      </w:pPr>
      <w:r>
        <w:rPr>
          <w:rFonts w:hint="eastAsia" w:hAnsi="宋体"/>
          <w:color w:val="auto"/>
          <w:szCs w:val="21"/>
          <w:highlight w:val="none"/>
        </w:rPr>
        <w:t>投标文件电子文件（U盘，须含盖章版PDF投标文件和WORD版投标文件各一版，文字采用WORD文档，计算表格采用 EXCEL文档。）</w:t>
      </w:r>
    </w:p>
    <w:p>
      <w:pPr>
        <w:rPr>
          <w:rFonts w:ascii="宋体" w:hAnsi="宋体" w:cs="宋体"/>
          <w:color w:val="auto"/>
          <w:szCs w:val="21"/>
          <w:highlight w:val="none"/>
        </w:rPr>
      </w:pPr>
    </w:p>
    <w:p>
      <w:pPr>
        <w:pStyle w:val="2"/>
        <w:rPr>
          <w:color w:val="auto"/>
          <w:highlight w:val="none"/>
        </w:rPr>
      </w:pPr>
    </w:p>
    <w:sectPr>
      <w:pgSz w:w="11906" w:h="16838"/>
      <w:pgMar w:top="1440" w:right="1800" w:bottom="1440" w:left="1800" w:header="708" w:footer="850" w:gutter="0"/>
      <w:pgNumType w:fmt="decimal"/>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instrText xml:space="preserve">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instrText xml:space="preserve"> </w:instrText>
                    </w:r>
                    <w:r>
                      <w:fldChar w:fldCharType="separate"/>
                    </w:r>
                    <w:r>
                      <w:t>107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106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106</w:t>
                    </w:r>
                    <w:r>
                      <w:t>页</w:t>
                    </w:r>
                  </w:p>
                </w:txbxContent>
              </v:textbox>
            </v:shape>
          </w:pict>
        </mc:Fallback>
      </mc:AlternateContent>
    </w:r>
  </w:p>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1"/>
        <w:right w:val="none" w:color="auto" w:sz="0" w:space="0"/>
        <w:between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EE1D8C61"/>
    <w:multiLevelType w:val="singleLevel"/>
    <w:tmpl w:val="EE1D8C61"/>
    <w:lvl w:ilvl="0" w:tentative="0">
      <w:start w:val="1"/>
      <w:numFmt w:val="chineseCounting"/>
      <w:suff w:val="nothing"/>
      <w:lvlText w:val="（%1）"/>
      <w:lvlJc w:val="left"/>
      <w:pPr>
        <w:ind w:left="0" w:firstLine="420"/>
      </w:pPr>
      <w:rPr>
        <w:rFonts w:hint="eastAsia"/>
      </w:rPr>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7">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170EDFBC"/>
    <w:multiLevelType w:val="singleLevel"/>
    <w:tmpl w:val="170EDFBC"/>
    <w:lvl w:ilvl="0" w:tentative="0">
      <w:start w:val="1"/>
      <w:numFmt w:val="chineseCounting"/>
      <w:suff w:val="nothing"/>
      <w:lvlText w:val="（%1）"/>
      <w:lvlJc w:val="left"/>
      <w:rPr>
        <w:rFonts w:hint="eastAsia"/>
        <w:b/>
        <w:bCs/>
      </w:rPr>
    </w:lvl>
  </w:abstractNum>
  <w:abstractNum w:abstractNumId="9">
    <w:nsid w:val="17427C63"/>
    <w:multiLevelType w:val="multilevel"/>
    <w:tmpl w:val="17427C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1FC29A99"/>
    <w:multiLevelType w:val="singleLevel"/>
    <w:tmpl w:val="1FC29A99"/>
    <w:lvl w:ilvl="0" w:tentative="0">
      <w:start w:val="1"/>
      <w:numFmt w:val="chineseCounting"/>
      <w:suff w:val="nothing"/>
      <w:lvlText w:val="（%1）"/>
      <w:lvlJc w:val="left"/>
      <w:pPr>
        <w:ind w:left="0" w:firstLine="420"/>
      </w:pPr>
      <w:rPr>
        <w:rFonts w:hint="eastAsia"/>
      </w:rPr>
    </w:lvl>
  </w:abstractNum>
  <w:abstractNum w:abstractNumId="11">
    <w:nsid w:val="20D2348B"/>
    <w:multiLevelType w:val="singleLevel"/>
    <w:tmpl w:val="20D2348B"/>
    <w:lvl w:ilvl="0" w:tentative="0">
      <w:start w:val="1"/>
      <w:numFmt w:val="chineseCounting"/>
      <w:suff w:val="nothing"/>
      <w:lvlText w:val="（%1）"/>
      <w:lvlJc w:val="left"/>
      <w:rPr>
        <w:rFonts w:hint="eastAsia"/>
      </w:rPr>
    </w:lvl>
  </w:abstractNum>
  <w:abstractNum w:abstractNumId="12">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34B675E3"/>
    <w:multiLevelType w:val="multilevel"/>
    <w:tmpl w:val="34B675E3"/>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88662E"/>
    <w:multiLevelType w:val="singleLevel"/>
    <w:tmpl w:val="3F88662E"/>
    <w:lvl w:ilvl="0" w:tentative="0">
      <w:start w:val="1"/>
      <w:numFmt w:val="decimal"/>
      <w:suff w:val="space"/>
      <w:lvlText w:val="%1)"/>
      <w:lvlJc w:val="left"/>
    </w:lvl>
  </w:abstractNum>
  <w:abstractNum w:abstractNumId="15">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7">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5"/>
  </w:num>
  <w:num w:numId="2">
    <w:abstractNumId w:val="12"/>
  </w:num>
  <w:num w:numId="3">
    <w:abstractNumId w:val="1"/>
  </w:num>
  <w:num w:numId="4">
    <w:abstractNumId w:val="18"/>
  </w:num>
  <w:num w:numId="5">
    <w:abstractNumId w:val="14"/>
  </w:num>
  <w:num w:numId="6">
    <w:abstractNumId w:val="6"/>
  </w:num>
  <w:num w:numId="7">
    <w:abstractNumId w:val="0"/>
  </w:num>
  <w:num w:numId="8">
    <w:abstractNumId w:val="7"/>
  </w:num>
  <w:num w:numId="9">
    <w:abstractNumId w:val="4"/>
  </w:num>
  <w:num w:numId="10">
    <w:abstractNumId w:val="10"/>
  </w:num>
  <w:num w:numId="11">
    <w:abstractNumId w:val="8"/>
  </w:num>
  <w:num w:numId="12">
    <w:abstractNumId w:val="9"/>
  </w:num>
  <w:num w:numId="13">
    <w:abstractNumId w:val="13"/>
  </w:num>
  <w:num w:numId="14">
    <w:abstractNumId w:val="2"/>
  </w:num>
  <w:num w:numId="15">
    <w:abstractNumId w:val="5"/>
  </w:num>
  <w:num w:numId="16">
    <w:abstractNumId w:val="11"/>
  </w:num>
  <w:num w:numId="17">
    <w:abstractNumId w:val="3"/>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MTA3NDRmNmE1YmY4NzYyZjhjMDRlNTA3MDM4MjYifQ=="/>
    <w:docVar w:name="KSO_WPS_MARK_KEY" w:val="2150efe9-5203-4c84-9a1e-112a3b69fe49"/>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E3FC3"/>
    <w:rsid w:val="000F0E98"/>
    <w:rsid w:val="000F1444"/>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156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51A2"/>
    <w:rsid w:val="004D5AFB"/>
    <w:rsid w:val="004E04FD"/>
    <w:rsid w:val="004F1BB7"/>
    <w:rsid w:val="0050759C"/>
    <w:rsid w:val="00510827"/>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5AFB"/>
    <w:rsid w:val="00C16734"/>
    <w:rsid w:val="00C17B47"/>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C092D"/>
    <w:rsid w:val="00EC0DF8"/>
    <w:rsid w:val="00EC7F91"/>
    <w:rsid w:val="00ED378B"/>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1EE0DCA"/>
    <w:rsid w:val="0208150E"/>
    <w:rsid w:val="02287D63"/>
    <w:rsid w:val="02370EF8"/>
    <w:rsid w:val="024179E7"/>
    <w:rsid w:val="0246437B"/>
    <w:rsid w:val="02985CD5"/>
    <w:rsid w:val="02A741FD"/>
    <w:rsid w:val="02C16E5D"/>
    <w:rsid w:val="02D964CF"/>
    <w:rsid w:val="02DE5ECF"/>
    <w:rsid w:val="032E6AB8"/>
    <w:rsid w:val="03707410"/>
    <w:rsid w:val="038B28DC"/>
    <w:rsid w:val="039170C0"/>
    <w:rsid w:val="039240A3"/>
    <w:rsid w:val="03A0770F"/>
    <w:rsid w:val="03A27726"/>
    <w:rsid w:val="03A448B8"/>
    <w:rsid w:val="03B34A78"/>
    <w:rsid w:val="03C01631"/>
    <w:rsid w:val="03C656A9"/>
    <w:rsid w:val="03F33148"/>
    <w:rsid w:val="042F3419"/>
    <w:rsid w:val="04491596"/>
    <w:rsid w:val="047055C3"/>
    <w:rsid w:val="047B4012"/>
    <w:rsid w:val="04822497"/>
    <w:rsid w:val="04974587"/>
    <w:rsid w:val="049A0C65"/>
    <w:rsid w:val="04A07C4B"/>
    <w:rsid w:val="04DF1036"/>
    <w:rsid w:val="04E24985"/>
    <w:rsid w:val="050C01DF"/>
    <w:rsid w:val="05316537"/>
    <w:rsid w:val="053A5A77"/>
    <w:rsid w:val="0599183C"/>
    <w:rsid w:val="05A97DEC"/>
    <w:rsid w:val="05B23978"/>
    <w:rsid w:val="05C81981"/>
    <w:rsid w:val="05FC20B9"/>
    <w:rsid w:val="060043AE"/>
    <w:rsid w:val="060C3203"/>
    <w:rsid w:val="06281344"/>
    <w:rsid w:val="062D4EC8"/>
    <w:rsid w:val="069B4E4A"/>
    <w:rsid w:val="06A26008"/>
    <w:rsid w:val="06BC41F2"/>
    <w:rsid w:val="06F415CC"/>
    <w:rsid w:val="070E26CD"/>
    <w:rsid w:val="07197D08"/>
    <w:rsid w:val="071E5C55"/>
    <w:rsid w:val="075C1FE5"/>
    <w:rsid w:val="077005AB"/>
    <w:rsid w:val="078F4581"/>
    <w:rsid w:val="07A715F3"/>
    <w:rsid w:val="07BF027F"/>
    <w:rsid w:val="07C6595A"/>
    <w:rsid w:val="07F06C60"/>
    <w:rsid w:val="08031A31"/>
    <w:rsid w:val="080E2872"/>
    <w:rsid w:val="08420CAE"/>
    <w:rsid w:val="089A5AE8"/>
    <w:rsid w:val="09061A75"/>
    <w:rsid w:val="09182241"/>
    <w:rsid w:val="09325D4D"/>
    <w:rsid w:val="094737BC"/>
    <w:rsid w:val="095F1030"/>
    <w:rsid w:val="09855177"/>
    <w:rsid w:val="09A17D47"/>
    <w:rsid w:val="09CF4A73"/>
    <w:rsid w:val="09EE5125"/>
    <w:rsid w:val="0A3D7585"/>
    <w:rsid w:val="0A462748"/>
    <w:rsid w:val="0A4D0C81"/>
    <w:rsid w:val="0A723E95"/>
    <w:rsid w:val="0A733243"/>
    <w:rsid w:val="0AA534D5"/>
    <w:rsid w:val="0AA650EB"/>
    <w:rsid w:val="0AA7129C"/>
    <w:rsid w:val="0ADE5C60"/>
    <w:rsid w:val="0AF47339"/>
    <w:rsid w:val="0B121934"/>
    <w:rsid w:val="0B1F4D52"/>
    <w:rsid w:val="0B22594B"/>
    <w:rsid w:val="0B27506F"/>
    <w:rsid w:val="0B3061AD"/>
    <w:rsid w:val="0B9610F4"/>
    <w:rsid w:val="0BBF77A4"/>
    <w:rsid w:val="0BD16C8D"/>
    <w:rsid w:val="0BDF26F7"/>
    <w:rsid w:val="0BEA391B"/>
    <w:rsid w:val="0C027DB2"/>
    <w:rsid w:val="0C2B4952"/>
    <w:rsid w:val="0C516C55"/>
    <w:rsid w:val="0C5D161C"/>
    <w:rsid w:val="0C7B2220"/>
    <w:rsid w:val="0CB67D83"/>
    <w:rsid w:val="0CBE5201"/>
    <w:rsid w:val="0CCF79BE"/>
    <w:rsid w:val="0CD20599"/>
    <w:rsid w:val="0CE53018"/>
    <w:rsid w:val="0D0B5B12"/>
    <w:rsid w:val="0D133046"/>
    <w:rsid w:val="0D153F28"/>
    <w:rsid w:val="0D15754E"/>
    <w:rsid w:val="0D2D75C9"/>
    <w:rsid w:val="0D305390"/>
    <w:rsid w:val="0D3A0F98"/>
    <w:rsid w:val="0D5C636E"/>
    <w:rsid w:val="0D5D37FD"/>
    <w:rsid w:val="0D6A4502"/>
    <w:rsid w:val="0D6B1B49"/>
    <w:rsid w:val="0D7415CA"/>
    <w:rsid w:val="0D890E47"/>
    <w:rsid w:val="0DC64A00"/>
    <w:rsid w:val="0DCF786E"/>
    <w:rsid w:val="0DEB5FFA"/>
    <w:rsid w:val="0DF75C46"/>
    <w:rsid w:val="0DFC60BA"/>
    <w:rsid w:val="0E045D30"/>
    <w:rsid w:val="0E1C06B2"/>
    <w:rsid w:val="0E35000C"/>
    <w:rsid w:val="0E69691B"/>
    <w:rsid w:val="0E6C6D0C"/>
    <w:rsid w:val="0E7900C2"/>
    <w:rsid w:val="0EBB5484"/>
    <w:rsid w:val="0EBD5AA3"/>
    <w:rsid w:val="0EFC5989"/>
    <w:rsid w:val="0F0767AD"/>
    <w:rsid w:val="0F085784"/>
    <w:rsid w:val="0F545DE3"/>
    <w:rsid w:val="0F5723EF"/>
    <w:rsid w:val="0F6D0E9F"/>
    <w:rsid w:val="0F7C5FF6"/>
    <w:rsid w:val="0FC63FBD"/>
    <w:rsid w:val="0FDD003F"/>
    <w:rsid w:val="0FF63282"/>
    <w:rsid w:val="0FF87EA4"/>
    <w:rsid w:val="0FFF7484"/>
    <w:rsid w:val="10007DD4"/>
    <w:rsid w:val="100B77ED"/>
    <w:rsid w:val="10305890"/>
    <w:rsid w:val="103D5A1A"/>
    <w:rsid w:val="106C564D"/>
    <w:rsid w:val="10767478"/>
    <w:rsid w:val="107B7B8F"/>
    <w:rsid w:val="107C67CE"/>
    <w:rsid w:val="10912D03"/>
    <w:rsid w:val="109D68CB"/>
    <w:rsid w:val="10A949B8"/>
    <w:rsid w:val="10CB4D26"/>
    <w:rsid w:val="11144AFE"/>
    <w:rsid w:val="11200D07"/>
    <w:rsid w:val="11516BF6"/>
    <w:rsid w:val="116A3F32"/>
    <w:rsid w:val="11786AB5"/>
    <w:rsid w:val="118049D4"/>
    <w:rsid w:val="118561F8"/>
    <w:rsid w:val="11914FAF"/>
    <w:rsid w:val="11A8021A"/>
    <w:rsid w:val="11B21219"/>
    <w:rsid w:val="11B4024C"/>
    <w:rsid w:val="11BC785A"/>
    <w:rsid w:val="11DA73AF"/>
    <w:rsid w:val="11FC1ECD"/>
    <w:rsid w:val="120E0E57"/>
    <w:rsid w:val="12457C5E"/>
    <w:rsid w:val="124D097B"/>
    <w:rsid w:val="124D32F5"/>
    <w:rsid w:val="12511265"/>
    <w:rsid w:val="126561B4"/>
    <w:rsid w:val="127A3FFC"/>
    <w:rsid w:val="127D0E25"/>
    <w:rsid w:val="127E0B34"/>
    <w:rsid w:val="1283614B"/>
    <w:rsid w:val="12856FF3"/>
    <w:rsid w:val="129671FB"/>
    <w:rsid w:val="12A576FF"/>
    <w:rsid w:val="12B20022"/>
    <w:rsid w:val="12C60D80"/>
    <w:rsid w:val="130523B3"/>
    <w:rsid w:val="13097496"/>
    <w:rsid w:val="13154AD2"/>
    <w:rsid w:val="131F7A3A"/>
    <w:rsid w:val="132645D0"/>
    <w:rsid w:val="134312FF"/>
    <w:rsid w:val="13455ABC"/>
    <w:rsid w:val="1370322B"/>
    <w:rsid w:val="13BA0460"/>
    <w:rsid w:val="13BB41AE"/>
    <w:rsid w:val="13C24F9B"/>
    <w:rsid w:val="13C45A18"/>
    <w:rsid w:val="13C9247B"/>
    <w:rsid w:val="13C92A4D"/>
    <w:rsid w:val="13DE55D1"/>
    <w:rsid w:val="13E0285C"/>
    <w:rsid w:val="14342E07"/>
    <w:rsid w:val="143B2E0B"/>
    <w:rsid w:val="147C1943"/>
    <w:rsid w:val="148054E9"/>
    <w:rsid w:val="14892735"/>
    <w:rsid w:val="14906D6C"/>
    <w:rsid w:val="14CC769D"/>
    <w:rsid w:val="14D764D5"/>
    <w:rsid w:val="14E8061B"/>
    <w:rsid w:val="14F43330"/>
    <w:rsid w:val="152509D7"/>
    <w:rsid w:val="15436F05"/>
    <w:rsid w:val="155541C5"/>
    <w:rsid w:val="15691FE3"/>
    <w:rsid w:val="158B5DDD"/>
    <w:rsid w:val="15A41986"/>
    <w:rsid w:val="15B11221"/>
    <w:rsid w:val="15C16EB3"/>
    <w:rsid w:val="15CB76C9"/>
    <w:rsid w:val="15D359D7"/>
    <w:rsid w:val="160E7A2C"/>
    <w:rsid w:val="16111028"/>
    <w:rsid w:val="161F7731"/>
    <w:rsid w:val="163C77BE"/>
    <w:rsid w:val="16457554"/>
    <w:rsid w:val="16573587"/>
    <w:rsid w:val="1679588C"/>
    <w:rsid w:val="168C2855"/>
    <w:rsid w:val="16903443"/>
    <w:rsid w:val="16994962"/>
    <w:rsid w:val="16A233CF"/>
    <w:rsid w:val="16A71041"/>
    <w:rsid w:val="16AA24BF"/>
    <w:rsid w:val="171D3FE1"/>
    <w:rsid w:val="1742794A"/>
    <w:rsid w:val="17680CAB"/>
    <w:rsid w:val="176E4128"/>
    <w:rsid w:val="1783371F"/>
    <w:rsid w:val="178D7563"/>
    <w:rsid w:val="17B61794"/>
    <w:rsid w:val="17C52CBF"/>
    <w:rsid w:val="17C93012"/>
    <w:rsid w:val="17E62B67"/>
    <w:rsid w:val="17EF1458"/>
    <w:rsid w:val="180204E1"/>
    <w:rsid w:val="180F4499"/>
    <w:rsid w:val="182201B4"/>
    <w:rsid w:val="18221ECE"/>
    <w:rsid w:val="18303840"/>
    <w:rsid w:val="18377CC1"/>
    <w:rsid w:val="183C3D90"/>
    <w:rsid w:val="18504A07"/>
    <w:rsid w:val="1859036F"/>
    <w:rsid w:val="18681814"/>
    <w:rsid w:val="18B0649B"/>
    <w:rsid w:val="18BE634E"/>
    <w:rsid w:val="18C8297B"/>
    <w:rsid w:val="18D418FC"/>
    <w:rsid w:val="18FC7745"/>
    <w:rsid w:val="19027053"/>
    <w:rsid w:val="190313DD"/>
    <w:rsid w:val="19152597"/>
    <w:rsid w:val="191677A6"/>
    <w:rsid w:val="19353F17"/>
    <w:rsid w:val="19A7103A"/>
    <w:rsid w:val="19DD405E"/>
    <w:rsid w:val="1A447CE1"/>
    <w:rsid w:val="1A460CF5"/>
    <w:rsid w:val="1A7A6BB4"/>
    <w:rsid w:val="1A7F297D"/>
    <w:rsid w:val="1A9B268C"/>
    <w:rsid w:val="1A9D6244"/>
    <w:rsid w:val="1AAF6004"/>
    <w:rsid w:val="1AB16AC1"/>
    <w:rsid w:val="1ABF1CEA"/>
    <w:rsid w:val="1AC47300"/>
    <w:rsid w:val="1B014DDE"/>
    <w:rsid w:val="1B0320FB"/>
    <w:rsid w:val="1B034A52"/>
    <w:rsid w:val="1B45344E"/>
    <w:rsid w:val="1B591D2B"/>
    <w:rsid w:val="1B5D76FB"/>
    <w:rsid w:val="1B683578"/>
    <w:rsid w:val="1B8C0040"/>
    <w:rsid w:val="1B8C0427"/>
    <w:rsid w:val="1BBA4E52"/>
    <w:rsid w:val="1BD9519A"/>
    <w:rsid w:val="1BDE2F66"/>
    <w:rsid w:val="1BE037A2"/>
    <w:rsid w:val="1C2A22B3"/>
    <w:rsid w:val="1C750ECE"/>
    <w:rsid w:val="1CA56AF4"/>
    <w:rsid w:val="1CE1575A"/>
    <w:rsid w:val="1D196139"/>
    <w:rsid w:val="1D2E2708"/>
    <w:rsid w:val="1D5E02D1"/>
    <w:rsid w:val="1D7B74A7"/>
    <w:rsid w:val="1D7F0ED0"/>
    <w:rsid w:val="1DA04055"/>
    <w:rsid w:val="1DA31EB7"/>
    <w:rsid w:val="1DA55D97"/>
    <w:rsid w:val="1DBB6100"/>
    <w:rsid w:val="1DBE6816"/>
    <w:rsid w:val="1DC67725"/>
    <w:rsid w:val="1DCB4FF1"/>
    <w:rsid w:val="1DDC11E4"/>
    <w:rsid w:val="1DF5452A"/>
    <w:rsid w:val="1E010AF7"/>
    <w:rsid w:val="1E1C405A"/>
    <w:rsid w:val="1E2E29E0"/>
    <w:rsid w:val="1E301173"/>
    <w:rsid w:val="1E884D18"/>
    <w:rsid w:val="1EBF7BA6"/>
    <w:rsid w:val="1ED8781E"/>
    <w:rsid w:val="1EDD3235"/>
    <w:rsid w:val="1EDF3532"/>
    <w:rsid w:val="1EE7283A"/>
    <w:rsid w:val="1F1102B0"/>
    <w:rsid w:val="1F1747AA"/>
    <w:rsid w:val="1F2F1047"/>
    <w:rsid w:val="1F43381C"/>
    <w:rsid w:val="1F7D6A3D"/>
    <w:rsid w:val="1FA4148D"/>
    <w:rsid w:val="1FC10FAB"/>
    <w:rsid w:val="1FC65577"/>
    <w:rsid w:val="1FD82385"/>
    <w:rsid w:val="20121621"/>
    <w:rsid w:val="201636E2"/>
    <w:rsid w:val="202E3F6D"/>
    <w:rsid w:val="2032134B"/>
    <w:rsid w:val="20325F7E"/>
    <w:rsid w:val="204778E7"/>
    <w:rsid w:val="204E554F"/>
    <w:rsid w:val="20546774"/>
    <w:rsid w:val="20590035"/>
    <w:rsid w:val="20851B47"/>
    <w:rsid w:val="209A2C3D"/>
    <w:rsid w:val="20E5011E"/>
    <w:rsid w:val="20FC799E"/>
    <w:rsid w:val="21286DA7"/>
    <w:rsid w:val="2134683B"/>
    <w:rsid w:val="21C82E72"/>
    <w:rsid w:val="21DE0801"/>
    <w:rsid w:val="21DE339D"/>
    <w:rsid w:val="22154DDD"/>
    <w:rsid w:val="221D4DB5"/>
    <w:rsid w:val="22336873"/>
    <w:rsid w:val="22396826"/>
    <w:rsid w:val="225471A3"/>
    <w:rsid w:val="225E34DC"/>
    <w:rsid w:val="227D1295"/>
    <w:rsid w:val="229B678A"/>
    <w:rsid w:val="229E09D5"/>
    <w:rsid w:val="22AB3B7D"/>
    <w:rsid w:val="22AF3A08"/>
    <w:rsid w:val="22F92F75"/>
    <w:rsid w:val="2318247B"/>
    <w:rsid w:val="239634D6"/>
    <w:rsid w:val="23BB4E7D"/>
    <w:rsid w:val="23C172D6"/>
    <w:rsid w:val="23CB1286"/>
    <w:rsid w:val="23D77537"/>
    <w:rsid w:val="23DA1C6C"/>
    <w:rsid w:val="23E6195D"/>
    <w:rsid w:val="23F04F64"/>
    <w:rsid w:val="240F09D1"/>
    <w:rsid w:val="242654AA"/>
    <w:rsid w:val="24814CBE"/>
    <w:rsid w:val="24AC168B"/>
    <w:rsid w:val="24BB6664"/>
    <w:rsid w:val="24EC64CB"/>
    <w:rsid w:val="250E1318"/>
    <w:rsid w:val="25103738"/>
    <w:rsid w:val="253F46D8"/>
    <w:rsid w:val="254D0389"/>
    <w:rsid w:val="25884C5D"/>
    <w:rsid w:val="258C3BEC"/>
    <w:rsid w:val="25A03144"/>
    <w:rsid w:val="25B2479F"/>
    <w:rsid w:val="25C15C5D"/>
    <w:rsid w:val="25D329B9"/>
    <w:rsid w:val="25E5427A"/>
    <w:rsid w:val="25ED105C"/>
    <w:rsid w:val="26214109"/>
    <w:rsid w:val="26276A31"/>
    <w:rsid w:val="26366F9D"/>
    <w:rsid w:val="263B1230"/>
    <w:rsid w:val="2642752B"/>
    <w:rsid w:val="26485508"/>
    <w:rsid w:val="26554808"/>
    <w:rsid w:val="265E685B"/>
    <w:rsid w:val="26607D95"/>
    <w:rsid w:val="26700955"/>
    <w:rsid w:val="26A16AE9"/>
    <w:rsid w:val="26A605D9"/>
    <w:rsid w:val="26AD0500"/>
    <w:rsid w:val="26B121A3"/>
    <w:rsid w:val="26B52BC6"/>
    <w:rsid w:val="26E464C3"/>
    <w:rsid w:val="26EB5968"/>
    <w:rsid w:val="272E3097"/>
    <w:rsid w:val="272E6F74"/>
    <w:rsid w:val="273B7A3B"/>
    <w:rsid w:val="277E6655"/>
    <w:rsid w:val="2780046C"/>
    <w:rsid w:val="27933DEA"/>
    <w:rsid w:val="27B36A67"/>
    <w:rsid w:val="27D9633F"/>
    <w:rsid w:val="280B2E27"/>
    <w:rsid w:val="281E404F"/>
    <w:rsid w:val="28302479"/>
    <w:rsid w:val="2846581F"/>
    <w:rsid w:val="284A5CA4"/>
    <w:rsid w:val="28563873"/>
    <w:rsid w:val="286550ED"/>
    <w:rsid w:val="286602C8"/>
    <w:rsid w:val="28665C95"/>
    <w:rsid w:val="28736F5F"/>
    <w:rsid w:val="28B01D1E"/>
    <w:rsid w:val="28C2628C"/>
    <w:rsid w:val="28CC3373"/>
    <w:rsid w:val="28F47F99"/>
    <w:rsid w:val="28F579BA"/>
    <w:rsid w:val="290B3EB9"/>
    <w:rsid w:val="292728C1"/>
    <w:rsid w:val="294E392A"/>
    <w:rsid w:val="2950768C"/>
    <w:rsid w:val="297A5FC4"/>
    <w:rsid w:val="29B1569B"/>
    <w:rsid w:val="29B51252"/>
    <w:rsid w:val="29E14657"/>
    <w:rsid w:val="29E474B8"/>
    <w:rsid w:val="29ED574B"/>
    <w:rsid w:val="29FA2D3E"/>
    <w:rsid w:val="29FE5CE6"/>
    <w:rsid w:val="2A743AE8"/>
    <w:rsid w:val="2A8D4F8F"/>
    <w:rsid w:val="2A917B34"/>
    <w:rsid w:val="2A9308A8"/>
    <w:rsid w:val="2A9F5AB8"/>
    <w:rsid w:val="2AB10C99"/>
    <w:rsid w:val="2AD74E8C"/>
    <w:rsid w:val="2AE3766F"/>
    <w:rsid w:val="2AEC612E"/>
    <w:rsid w:val="2B0268A7"/>
    <w:rsid w:val="2B060F9E"/>
    <w:rsid w:val="2B0E56AB"/>
    <w:rsid w:val="2B1042CA"/>
    <w:rsid w:val="2B51141C"/>
    <w:rsid w:val="2B590601"/>
    <w:rsid w:val="2B60562A"/>
    <w:rsid w:val="2B624007"/>
    <w:rsid w:val="2B710DB7"/>
    <w:rsid w:val="2B7408CF"/>
    <w:rsid w:val="2B7E4054"/>
    <w:rsid w:val="2BBA6A76"/>
    <w:rsid w:val="2BCC03D1"/>
    <w:rsid w:val="2BDF1FBA"/>
    <w:rsid w:val="2BE52FB1"/>
    <w:rsid w:val="2C0C6D59"/>
    <w:rsid w:val="2C0C7692"/>
    <w:rsid w:val="2C5B0D4B"/>
    <w:rsid w:val="2C8903AA"/>
    <w:rsid w:val="2C987C56"/>
    <w:rsid w:val="2CA156F3"/>
    <w:rsid w:val="2CC11460"/>
    <w:rsid w:val="2CC15BAA"/>
    <w:rsid w:val="2CC72A61"/>
    <w:rsid w:val="2CDC3153"/>
    <w:rsid w:val="2CDF621C"/>
    <w:rsid w:val="2CE136D7"/>
    <w:rsid w:val="2CFE7A11"/>
    <w:rsid w:val="2CFF149A"/>
    <w:rsid w:val="2D012636"/>
    <w:rsid w:val="2D201865"/>
    <w:rsid w:val="2D2B6EDE"/>
    <w:rsid w:val="2D450775"/>
    <w:rsid w:val="2D4B5CEA"/>
    <w:rsid w:val="2D4C5B4C"/>
    <w:rsid w:val="2D542188"/>
    <w:rsid w:val="2D652658"/>
    <w:rsid w:val="2D964A56"/>
    <w:rsid w:val="2DC16E0A"/>
    <w:rsid w:val="2DC80C49"/>
    <w:rsid w:val="2DCA6355"/>
    <w:rsid w:val="2E030E17"/>
    <w:rsid w:val="2E166748"/>
    <w:rsid w:val="2E2054A0"/>
    <w:rsid w:val="2E482374"/>
    <w:rsid w:val="2E491580"/>
    <w:rsid w:val="2E556F01"/>
    <w:rsid w:val="2E8345A7"/>
    <w:rsid w:val="2E8E20B4"/>
    <w:rsid w:val="2EAA7BAE"/>
    <w:rsid w:val="2EC1207D"/>
    <w:rsid w:val="2ED06066"/>
    <w:rsid w:val="2ED1223D"/>
    <w:rsid w:val="2F000139"/>
    <w:rsid w:val="2F1B303D"/>
    <w:rsid w:val="2F3F11F4"/>
    <w:rsid w:val="2F5E0754"/>
    <w:rsid w:val="2F9F42DC"/>
    <w:rsid w:val="2FBB4121"/>
    <w:rsid w:val="2FBC2844"/>
    <w:rsid w:val="2FBE3786"/>
    <w:rsid w:val="2FC32F68"/>
    <w:rsid w:val="2FD6418B"/>
    <w:rsid w:val="2FDB16F7"/>
    <w:rsid w:val="2FF37AB3"/>
    <w:rsid w:val="30210B8A"/>
    <w:rsid w:val="30224DC7"/>
    <w:rsid w:val="303B4C3F"/>
    <w:rsid w:val="3073310C"/>
    <w:rsid w:val="309D6BE6"/>
    <w:rsid w:val="30AA1790"/>
    <w:rsid w:val="30DD0919"/>
    <w:rsid w:val="30EE385E"/>
    <w:rsid w:val="30F85AFE"/>
    <w:rsid w:val="31031402"/>
    <w:rsid w:val="31170995"/>
    <w:rsid w:val="31264A30"/>
    <w:rsid w:val="312651F8"/>
    <w:rsid w:val="31862EE3"/>
    <w:rsid w:val="31884E67"/>
    <w:rsid w:val="319C697D"/>
    <w:rsid w:val="31A0275E"/>
    <w:rsid w:val="31A67308"/>
    <w:rsid w:val="31AB2B70"/>
    <w:rsid w:val="31B41AD3"/>
    <w:rsid w:val="31B91526"/>
    <w:rsid w:val="31BA7402"/>
    <w:rsid w:val="31EF0041"/>
    <w:rsid w:val="320107F5"/>
    <w:rsid w:val="324175CB"/>
    <w:rsid w:val="3265022A"/>
    <w:rsid w:val="326A0524"/>
    <w:rsid w:val="327B7EDF"/>
    <w:rsid w:val="32AB70C5"/>
    <w:rsid w:val="32EA5D3A"/>
    <w:rsid w:val="32EF2122"/>
    <w:rsid w:val="32F17F41"/>
    <w:rsid w:val="332038B4"/>
    <w:rsid w:val="33247607"/>
    <w:rsid w:val="333014B0"/>
    <w:rsid w:val="335D0AF5"/>
    <w:rsid w:val="336917EF"/>
    <w:rsid w:val="336B2EA4"/>
    <w:rsid w:val="336B3E67"/>
    <w:rsid w:val="3370088C"/>
    <w:rsid w:val="33872039"/>
    <w:rsid w:val="339A687B"/>
    <w:rsid w:val="33DC2F78"/>
    <w:rsid w:val="33FD528D"/>
    <w:rsid w:val="3428227C"/>
    <w:rsid w:val="343230D5"/>
    <w:rsid w:val="3439428E"/>
    <w:rsid w:val="34571EF7"/>
    <w:rsid w:val="347918A5"/>
    <w:rsid w:val="34802E4C"/>
    <w:rsid w:val="349D37D5"/>
    <w:rsid w:val="34A61BDE"/>
    <w:rsid w:val="34BB7B5F"/>
    <w:rsid w:val="34C964E5"/>
    <w:rsid w:val="3522586C"/>
    <w:rsid w:val="35572473"/>
    <w:rsid w:val="35602226"/>
    <w:rsid w:val="356B72E7"/>
    <w:rsid w:val="356D2AC8"/>
    <w:rsid w:val="356F216E"/>
    <w:rsid w:val="3572424F"/>
    <w:rsid w:val="35734CF3"/>
    <w:rsid w:val="35866014"/>
    <w:rsid w:val="359E5CE0"/>
    <w:rsid w:val="35D275C3"/>
    <w:rsid w:val="35E50FBB"/>
    <w:rsid w:val="362B215D"/>
    <w:rsid w:val="366666CA"/>
    <w:rsid w:val="367070F4"/>
    <w:rsid w:val="367801A9"/>
    <w:rsid w:val="36807FCC"/>
    <w:rsid w:val="36AD519D"/>
    <w:rsid w:val="36B57705"/>
    <w:rsid w:val="36B93E53"/>
    <w:rsid w:val="36DC1DD3"/>
    <w:rsid w:val="36F3711D"/>
    <w:rsid w:val="36FC25DD"/>
    <w:rsid w:val="37050543"/>
    <w:rsid w:val="37090CD6"/>
    <w:rsid w:val="37122320"/>
    <w:rsid w:val="3754697A"/>
    <w:rsid w:val="37636A21"/>
    <w:rsid w:val="377C03A4"/>
    <w:rsid w:val="37A103ED"/>
    <w:rsid w:val="37A367C3"/>
    <w:rsid w:val="37BD33EE"/>
    <w:rsid w:val="37E02B23"/>
    <w:rsid w:val="37E345A6"/>
    <w:rsid w:val="37EA5E6E"/>
    <w:rsid w:val="37EC6A58"/>
    <w:rsid w:val="37FB2268"/>
    <w:rsid w:val="37FF016F"/>
    <w:rsid w:val="382A6E2D"/>
    <w:rsid w:val="38642932"/>
    <w:rsid w:val="386E4145"/>
    <w:rsid w:val="387C5ABE"/>
    <w:rsid w:val="38B66D0C"/>
    <w:rsid w:val="38D41643"/>
    <w:rsid w:val="38EB6119"/>
    <w:rsid w:val="39044996"/>
    <w:rsid w:val="392C6D9B"/>
    <w:rsid w:val="393B020C"/>
    <w:rsid w:val="39506E15"/>
    <w:rsid w:val="39572CD3"/>
    <w:rsid w:val="396678D9"/>
    <w:rsid w:val="39790BE6"/>
    <w:rsid w:val="397A0ADB"/>
    <w:rsid w:val="39844799"/>
    <w:rsid w:val="39954B2B"/>
    <w:rsid w:val="39BF3510"/>
    <w:rsid w:val="39DA2245"/>
    <w:rsid w:val="39E66E3B"/>
    <w:rsid w:val="39FD4CC2"/>
    <w:rsid w:val="3A51228C"/>
    <w:rsid w:val="3A545E48"/>
    <w:rsid w:val="3A552E60"/>
    <w:rsid w:val="3A5D642F"/>
    <w:rsid w:val="3A744447"/>
    <w:rsid w:val="3A78219D"/>
    <w:rsid w:val="3A995C5C"/>
    <w:rsid w:val="3AB210FC"/>
    <w:rsid w:val="3ADB7381"/>
    <w:rsid w:val="3AE66904"/>
    <w:rsid w:val="3AF04A37"/>
    <w:rsid w:val="3B043A1D"/>
    <w:rsid w:val="3B1E01C3"/>
    <w:rsid w:val="3B3E5B8A"/>
    <w:rsid w:val="3B4806CB"/>
    <w:rsid w:val="3B793A48"/>
    <w:rsid w:val="3B7E3699"/>
    <w:rsid w:val="3B85393E"/>
    <w:rsid w:val="3BB1188D"/>
    <w:rsid w:val="3BCA4B8A"/>
    <w:rsid w:val="3BCD72F7"/>
    <w:rsid w:val="3BFC2F5F"/>
    <w:rsid w:val="3C37146A"/>
    <w:rsid w:val="3C3D3625"/>
    <w:rsid w:val="3C414142"/>
    <w:rsid w:val="3C5B725E"/>
    <w:rsid w:val="3C84047F"/>
    <w:rsid w:val="3C88055A"/>
    <w:rsid w:val="3C9E57AB"/>
    <w:rsid w:val="3CAF79B9"/>
    <w:rsid w:val="3CB35097"/>
    <w:rsid w:val="3CC66D60"/>
    <w:rsid w:val="3CF737A2"/>
    <w:rsid w:val="3D10295A"/>
    <w:rsid w:val="3D184041"/>
    <w:rsid w:val="3D370C2A"/>
    <w:rsid w:val="3D37272C"/>
    <w:rsid w:val="3D414FC0"/>
    <w:rsid w:val="3D4F12A7"/>
    <w:rsid w:val="3D7B5F78"/>
    <w:rsid w:val="3D7D049C"/>
    <w:rsid w:val="3DB25E3F"/>
    <w:rsid w:val="3DE20EAE"/>
    <w:rsid w:val="3DEF3701"/>
    <w:rsid w:val="3E0572FD"/>
    <w:rsid w:val="3E0720FE"/>
    <w:rsid w:val="3E2819F6"/>
    <w:rsid w:val="3E287A22"/>
    <w:rsid w:val="3E5A7FE7"/>
    <w:rsid w:val="3E7D40EF"/>
    <w:rsid w:val="3E955A6A"/>
    <w:rsid w:val="3E964D81"/>
    <w:rsid w:val="3EF66B2E"/>
    <w:rsid w:val="3F217914"/>
    <w:rsid w:val="3F4C7379"/>
    <w:rsid w:val="3FD10810"/>
    <w:rsid w:val="3FD70BB0"/>
    <w:rsid w:val="3FFB55AC"/>
    <w:rsid w:val="40017152"/>
    <w:rsid w:val="401C5F9D"/>
    <w:rsid w:val="401C690C"/>
    <w:rsid w:val="401D7195"/>
    <w:rsid w:val="405C1C05"/>
    <w:rsid w:val="407A652F"/>
    <w:rsid w:val="40825D97"/>
    <w:rsid w:val="40836C36"/>
    <w:rsid w:val="40870EA3"/>
    <w:rsid w:val="409928E7"/>
    <w:rsid w:val="40997CFE"/>
    <w:rsid w:val="40B437EF"/>
    <w:rsid w:val="40B633BC"/>
    <w:rsid w:val="40C34607"/>
    <w:rsid w:val="40CE3DC0"/>
    <w:rsid w:val="40D7455A"/>
    <w:rsid w:val="40D92C20"/>
    <w:rsid w:val="40E743E5"/>
    <w:rsid w:val="40EB4012"/>
    <w:rsid w:val="41075C9E"/>
    <w:rsid w:val="410A1661"/>
    <w:rsid w:val="412D5EA0"/>
    <w:rsid w:val="415A62F5"/>
    <w:rsid w:val="416D78C7"/>
    <w:rsid w:val="41727207"/>
    <w:rsid w:val="41734CBA"/>
    <w:rsid w:val="417F4E1A"/>
    <w:rsid w:val="418B0C8A"/>
    <w:rsid w:val="41A82190"/>
    <w:rsid w:val="41DE5999"/>
    <w:rsid w:val="41E1181A"/>
    <w:rsid w:val="41E32A20"/>
    <w:rsid w:val="41FA3241"/>
    <w:rsid w:val="420F7A65"/>
    <w:rsid w:val="4216611A"/>
    <w:rsid w:val="422624CB"/>
    <w:rsid w:val="42321B6A"/>
    <w:rsid w:val="423E300F"/>
    <w:rsid w:val="425656C8"/>
    <w:rsid w:val="4257273C"/>
    <w:rsid w:val="42687ACE"/>
    <w:rsid w:val="4270145E"/>
    <w:rsid w:val="429E6041"/>
    <w:rsid w:val="42BF4B02"/>
    <w:rsid w:val="42FD694D"/>
    <w:rsid w:val="43034DFA"/>
    <w:rsid w:val="431A7B56"/>
    <w:rsid w:val="437D6687"/>
    <w:rsid w:val="438351F5"/>
    <w:rsid w:val="438D35EA"/>
    <w:rsid w:val="43BC1E57"/>
    <w:rsid w:val="43D23F8D"/>
    <w:rsid w:val="43D43F1D"/>
    <w:rsid w:val="43FA5777"/>
    <w:rsid w:val="44023422"/>
    <w:rsid w:val="44184A2D"/>
    <w:rsid w:val="441C1611"/>
    <w:rsid w:val="443C440B"/>
    <w:rsid w:val="44514F52"/>
    <w:rsid w:val="44761C8F"/>
    <w:rsid w:val="449722E3"/>
    <w:rsid w:val="449D7B09"/>
    <w:rsid w:val="44AE3FD4"/>
    <w:rsid w:val="44D0586F"/>
    <w:rsid w:val="44E67A68"/>
    <w:rsid w:val="44FA2D53"/>
    <w:rsid w:val="45187AEA"/>
    <w:rsid w:val="453C4912"/>
    <w:rsid w:val="45687813"/>
    <w:rsid w:val="4571374F"/>
    <w:rsid w:val="458A16BB"/>
    <w:rsid w:val="458B1BB0"/>
    <w:rsid w:val="45A41560"/>
    <w:rsid w:val="45AD31D6"/>
    <w:rsid w:val="45B93426"/>
    <w:rsid w:val="45CF1361"/>
    <w:rsid w:val="45F62756"/>
    <w:rsid w:val="464C6420"/>
    <w:rsid w:val="46552F9B"/>
    <w:rsid w:val="467A0297"/>
    <w:rsid w:val="468B7125"/>
    <w:rsid w:val="46AC4C75"/>
    <w:rsid w:val="46B506EF"/>
    <w:rsid w:val="46C4691F"/>
    <w:rsid w:val="46CB53EF"/>
    <w:rsid w:val="46EE513F"/>
    <w:rsid w:val="470F5A71"/>
    <w:rsid w:val="472607B8"/>
    <w:rsid w:val="473154FF"/>
    <w:rsid w:val="47685427"/>
    <w:rsid w:val="476C4065"/>
    <w:rsid w:val="47750373"/>
    <w:rsid w:val="4779499C"/>
    <w:rsid w:val="477B6530"/>
    <w:rsid w:val="47801172"/>
    <w:rsid w:val="479D1D34"/>
    <w:rsid w:val="47B609C0"/>
    <w:rsid w:val="47EC1049"/>
    <w:rsid w:val="47EC3B04"/>
    <w:rsid w:val="47EC6277"/>
    <w:rsid w:val="48021483"/>
    <w:rsid w:val="481A219B"/>
    <w:rsid w:val="482D31EA"/>
    <w:rsid w:val="48447D02"/>
    <w:rsid w:val="485970A0"/>
    <w:rsid w:val="486A6E89"/>
    <w:rsid w:val="48823516"/>
    <w:rsid w:val="48877686"/>
    <w:rsid w:val="488B498B"/>
    <w:rsid w:val="48B176C2"/>
    <w:rsid w:val="48B65C71"/>
    <w:rsid w:val="48D550F0"/>
    <w:rsid w:val="48FB1909"/>
    <w:rsid w:val="491F266E"/>
    <w:rsid w:val="492E6A57"/>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484D41"/>
    <w:rsid w:val="4A6D15F8"/>
    <w:rsid w:val="4A7617B6"/>
    <w:rsid w:val="4A8C4FB8"/>
    <w:rsid w:val="4A9A25BD"/>
    <w:rsid w:val="4A9E0551"/>
    <w:rsid w:val="4AB542AE"/>
    <w:rsid w:val="4AF72FEA"/>
    <w:rsid w:val="4B1477B3"/>
    <w:rsid w:val="4B18172D"/>
    <w:rsid w:val="4B1F062C"/>
    <w:rsid w:val="4B243D9D"/>
    <w:rsid w:val="4B281425"/>
    <w:rsid w:val="4B6F66A1"/>
    <w:rsid w:val="4B85213F"/>
    <w:rsid w:val="4B8C2DEB"/>
    <w:rsid w:val="4BFA3C9F"/>
    <w:rsid w:val="4BFA7F6C"/>
    <w:rsid w:val="4C107F48"/>
    <w:rsid w:val="4C3117D0"/>
    <w:rsid w:val="4C3277BC"/>
    <w:rsid w:val="4C594918"/>
    <w:rsid w:val="4C5C442D"/>
    <w:rsid w:val="4C6D42A9"/>
    <w:rsid w:val="4C716A38"/>
    <w:rsid w:val="4CC0351C"/>
    <w:rsid w:val="4CC353EB"/>
    <w:rsid w:val="4CE64E14"/>
    <w:rsid w:val="4CE95EE5"/>
    <w:rsid w:val="4CF36F3C"/>
    <w:rsid w:val="4D007BC8"/>
    <w:rsid w:val="4D0602E5"/>
    <w:rsid w:val="4D063625"/>
    <w:rsid w:val="4D1470BD"/>
    <w:rsid w:val="4D154882"/>
    <w:rsid w:val="4D1C3C50"/>
    <w:rsid w:val="4D25171F"/>
    <w:rsid w:val="4D603399"/>
    <w:rsid w:val="4D6A7284"/>
    <w:rsid w:val="4D6E30E1"/>
    <w:rsid w:val="4D867EE1"/>
    <w:rsid w:val="4D8F40B1"/>
    <w:rsid w:val="4DBC4C65"/>
    <w:rsid w:val="4DC9105D"/>
    <w:rsid w:val="4DE2009B"/>
    <w:rsid w:val="4DF86974"/>
    <w:rsid w:val="4E0F235E"/>
    <w:rsid w:val="4E157689"/>
    <w:rsid w:val="4E471216"/>
    <w:rsid w:val="4E533FA5"/>
    <w:rsid w:val="4E550010"/>
    <w:rsid w:val="4E5F14CB"/>
    <w:rsid w:val="4E6808B0"/>
    <w:rsid w:val="4E77514F"/>
    <w:rsid w:val="4E780BC4"/>
    <w:rsid w:val="4EBA42F2"/>
    <w:rsid w:val="4EC00DDD"/>
    <w:rsid w:val="4EC449BB"/>
    <w:rsid w:val="4ED908C5"/>
    <w:rsid w:val="4EF04B82"/>
    <w:rsid w:val="4EF265BE"/>
    <w:rsid w:val="4EFB1C45"/>
    <w:rsid w:val="4F0C2A48"/>
    <w:rsid w:val="4F0C3F06"/>
    <w:rsid w:val="4F26273B"/>
    <w:rsid w:val="4F2D3A8A"/>
    <w:rsid w:val="4F32478A"/>
    <w:rsid w:val="4F3705F8"/>
    <w:rsid w:val="4F8C5808"/>
    <w:rsid w:val="4F913A9A"/>
    <w:rsid w:val="4F9714A0"/>
    <w:rsid w:val="4F996A72"/>
    <w:rsid w:val="4FAA3F91"/>
    <w:rsid w:val="4FAC3540"/>
    <w:rsid w:val="4FCF1583"/>
    <w:rsid w:val="4FD23E66"/>
    <w:rsid w:val="4FD44D1B"/>
    <w:rsid w:val="4FDC066D"/>
    <w:rsid w:val="4FFA7625"/>
    <w:rsid w:val="502D46E6"/>
    <w:rsid w:val="50332D5C"/>
    <w:rsid w:val="50453E7E"/>
    <w:rsid w:val="50594CF7"/>
    <w:rsid w:val="507D2599"/>
    <w:rsid w:val="5096229D"/>
    <w:rsid w:val="509E157D"/>
    <w:rsid w:val="50A6165E"/>
    <w:rsid w:val="50DC4184"/>
    <w:rsid w:val="50FB6146"/>
    <w:rsid w:val="512F4CA0"/>
    <w:rsid w:val="51361FFF"/>
    <w:rsid w:val="513D4C38"/>
    <w:rsid w:val="514C3EA7"/>
    <w:rsid w:val="51AC4D00"/>
    <w:rsid w:val="51D642AB"/>
    <w:rsid w:val="51FF3C99"/>
    <w:rsid w:val="522A20E4"/>
    <w:rsid w:val="52363D4D"/>
    <w:rsid w:val="524A2AC9"/>
    <w:rsid w:val="52521A20"/>
    <w:rsid w:val="528604EC"/>
    <w:rsid w:val="529E2C3A"/>
    <w:rsid w:val="52AC4ABC"/>
    <w:rsid w:val="52C201B9"/>
    <w:rsid w:val="52E57A12"/>
    <w:rsid w:val="52F20B62"/>
    <w:rsid w:val="530B75FA"/>
    <w:rsid w:val="531C4FCC"/>
    <w:rsid w:val="53827E49"/>
    <w:rsid w:val="538A6BB9"/>
    <w:rsid w:val="539964FD"/>
    <w:rsid w:val="539C1B81"/>
    <w:rsid w:val="539D7755"/>
    <w:rsid w:val="53A447B1"/>
    <w:rsid w:val="53AE750F"/>
    <w:rsid w:val="53D224B3"/>
    <w:rsid w:val="53F81D96"/>
    <w:rsid w:val="541D5DE8"/>
    <w:rsid w:val="541F57C4"/>
    <w:rsid w:val="544B5214"/>
    <w:rsid w:val="546F523C"/>
    <w:rsid w:val="54782FBD"/>
    <w:rsid w:val="5483138F"/>
    <w:rsid w:val="5488523A"/>
    <w:rsid w:val="549A6BFA"/>
    <w:rsid w:val="54B1398B"/>
    <w:rsid w:val="54C341E7"/>
    <w:rsid w:val="54D933CD"/>
    <w:rsid w:val="55060E4C"/>
    <w:rsid w:val="551751CF"/>
    <w:rsid w:val="5522558F"/>
    <w:rsid w:val="55244D7F"/>
    <w:rsid w:val="55305397"/>
    <w:rsid w:val="55362287"/>
    <w:rsid w:val="55432F3C"/>
    <w:rsid w:val="55A37FFD"/>
    <w:rsid w:val="55AE22F1"/>
    <w:rsid w:val="55C3227E"/>
    <w:rsid w:val="55CE1AA9"/>
    <w:rsid w:val="55F6381F"/>
    <w:rsid w:val="55FA2961"/>
    <w:rsid w:val="5602250F"/>
    <w:rsid w:val="564220BA"/>
    <w:rsid w:val="565E7F4F"/>
    <w:rsid w:val="565F3DA6"/>
    <w:rsid w:val="56914056"/>
    <w:rsid w:val="56B61E36"/>
    <w:rsid w:val="56C36589"/>
    <w:rsid w:val="570D55B0"/>
    <w:rsid w:val="57293C95"/>
    <w:rsid w:val="572A6381"/>
    <w:rsid w:val="572B41B4"/>
    <w:rsid w:val="57365868"/>
    <w:rsid w:val="573C1959"/>
    <w:rsid w:val="57554571"/>
    <w:rsid w:val="57F4005C"/>
    <w:rsid w:val="57F65317"/>
    <w:rsid w:val="57FC2169"/>
    <w:rsid w:val="58024015"/>
    <w:rsid w:val="58096275"/>
    <w:rsid w:val="5819544F"/>
    <w:rsid w:val="582D6D32"/>
    <w:rsid w:val="582E6EF7"/>
    <w:rsid w:val="584E30E6"/>
    <w:rsid w:val="58546EFD"/>
    <w:rsid w:val="58584F50"/>
    <w:rsid w:val="5881703E"/>
    <w:rsid w:val="58A16855"/>
    <w:rsid w:val="58E26731"/>
    <w:rsid w:val="58EB1371"/>
    <w:rsid w:val="59091D98"/>
    <w:rsid w:val="590E4A97"/>
    <w:rsid w:val="591250FF"/>
    <w:rsid w:val="5920012C"/>
    <w:rsid w:val="593700E7"/>
    <w:rsid w:val="595578DE"/>
    <w:rsid w:val="597B384D"/>
    <w:rsid w:val="59996DA8"/>
    <w:rsid w:val="599E4BE5"/>
    <w:rsid w:val="59C30F1B"/>
    <w:rsid w:val="59CE4759"/>
    <w:rsid w:val="59D90B78"/>
    <w:rsid w:val="5A63681D"/>
    <w:rsid w:val="5A814766"/>
    <w:rsid w:val="5A8C20D0"/>
    <w:rsid w:val="5A9767A2"/>
    <w:rsid w:val="5AA47962"/>
    <w:rsid w:val="5ABC29E4"/>
    <w:rsid w:val="5AC7121C"/>
    <w:rsid w:val="5AD90B8D"/>
    <w:rsid w:val="5AE12927"/>
    <w:rsid w:val="5AE35472"/>
    <w:rsid w:val="5AE60603"/>
    <w:rsid w:val="5AF41CF3"/>
    <w:rsid w:val="5AF87CC9"/>
    <w:rsid w:val="5B07329F"/>
    <w:rsid w:val="5B4E1A44"/>
    <w:rsid w:val="5B873201"/>
    <w:rsid w:val="5B967767"/>
    <w:rsid w:val="5B9D1624"/>
    <w:rsid w:val="5BBF73E2"/>
    <w:rsid w:val="5BEE5378"/>
    <w:rsid w:val="5C0A19A7"/>
    <w:rsid w:val="5C0C2FF6"/>
    <w:rsid w:val="5C1241CC"/>
    <w:rsid w:val="5C286807"/>
    <w:rsid w:val="5C34339E"/>
    <w:rsid w:val="5C355656"/>
    <w:rsid w:val="5C370E72"/>
    <w:rsid w:val="5C446BC8"/>
    <w:rsid w:val="5C4B56E1"/>
    <w:rsid w:val="5C7146B1"/>
    <w:rsid w:val="5C7C2768"/>
    <w:rsid w:val="5CAD3BC1"/>
    <w:rsid w:val="5CAE62DC"/>
    <w:rsid w:val="5CB23AE6"/>
    <w:rsid w:val="5CED5863"/>
    <w:rsid w:val="5D0D6DF5"/>
    <w:rsid w:val="5D4A5E05"/>
    <w:rsid w:val="5D580A8A"/>
    <w:rsid w:val="5D7E6D71"/>
    <w:rsid w:val="5D893B14"/>
    <w:rsid w:val="5DB42C29"/>
    <w:rsid w:val="5E1219F7"/>
    <w:rsid w:val="5E18541D"/>
    <w:rsid w:val="5E291636"/>
    <w:rsid w:val="5E48511F"/>
    <w:rsid w:val="5E57286E"/>
    <w:rsid w:val="5E655B72"/>
    <w:rsid w:val="5E6D40F8"/>
    <w:rsid w:val="5E8B0770"/>
    <w:rsid w:val="5EA06921"/>
    <w:rsid w:val="5EBA259F"/>
    <w:rsid w:val="5EE1082B"/>
    <w:rsid w:val="5EE97BB4"/>
    <w:rsid w:val="5EEF640C"/>
    <w:rsid w:val="5EF55BC9"/>
    <w:rsid w:val="5F085DDA"/>
    <w:rsid w:val="5F2E2D52"/>
    <w:rsid w:val="5F54198B"/>
    <w:rsid w:val="5F6C74C2"/>
    <w:rsid w:val="5F9D1350"/>
    <w:rsid w:val="5FA44AD1"/>
    <w:rsid w:val="5FB122B4"/>
    <w:rsid w:val="5FBE370A"/>
    <w:rsid w:val="5FC61F2E"/>
    <w:rsid w:val="5FC83407"/>
    <w:rsid w:val="5FD56E87"/>
    <w:rsid w:val="5FF0558C"/>
    <w:rsid w:val="60015A45"/>
    <w:rsid w:val="601A27F4"/>
    <w:rsid w:val="60292845"/>
    <w:rsid w:val="606F2632"/>
    <w:rsid w:val="6071543B"/>
    <w:rsid w:val="607921FE"/>
    <w:rsid w:val="607E12CC"/>
    <w:rsid w:val="608F62AE"/>
    <w:rsid w:val="60B9251B"/>
    <w:rsid w:val="60CC73D5"/>
    <w:rsid w:val="60E236C1"/>
    <w:rsid w:val="60E37983"/>
    <w:rsid w:val="61260B6B"/>
    <w:rsid w:val="612B3ABB"/>
    <w:rsid w:val="612E1A5D"/>
    <w:rsid w:val="614E5D7E"/>
    <w:rsid w:val="61816046"/>
    <w:rsid w:val="61BD04E4"/>
    <w:rsid w:val="61C81AB1"/>
    <w:rsid w:val="620B0059"/>
    <w:rsid w:val="62391564"/>
    <w:rsid w:val="624A22BE"/>
    <w:rsid w:val="6263230B"/>
    <w:rsid w:val="626E235A"/>
    <w:rsid w:val="626F60D5"/>
    <w:rsid w:val="62816669"/>
    <w:rsid w:val="6282086D"/>
    <w:rsid w:val="629007F7"/>
    <w:rsid w:val="62AB4D99"/>
    <w:rsid w:val="62B36CD7"/>
    <w:rsid w:val="62BA0953"/>
    <w:rsid w:val="62BD349E"/>
    <w:rsid w:val="62D03A7C"/>
    <w:rsid w:val="62F42FAE"/>
    <w:rsid w:val="62F648FE"/>
    <w:rsid w:val="63167A4F"/>
    <w:rsid w:val="631D2BD6"/>
    <w:rsid w:val="635356F3"/>
    <w:rsid w:val="637D5B70"/>
    <w:rsid w:val="63825E77"/>
    <w:rsid w:val="63A10995"/>
    <w:rsid w:val="63C23EFA"/>
    <w:rsid w:val="63D255DA"/>
    <w:rsid w:val="63EB2168"/>
    <w:rsid w:val="63F854C1"/>
    <w:rsid w:val="63FB5857"/>
    <w:rsid w:val="64076B79"/>
    <w:rsid w:val="640B7654"/>
    <w:rsid w:val="64116D46"/>
    <w:rsid w:val="643A070A"/>
    <w:rsid w:val="64410A96"/>
    <w:rsid w:val="644C573D"/>
    <w:rsid w:val="64507EFB"/>
    <w:rsid w:val="646B603F"/>
    <w:rsid w:val="64BA1C4E"/>
    <w:rsid w:val="65032F85"/>
    <w:rsid w:val="651304A7"/>
    <w:rsid w:val="65136B50"/>
    <w:rsid w:val="6531690D"/>
    <w:rsid w:val="65320485"/>
    <w:rsid w:val="654C15C6"/>
    <w:rsid w:val="655A12F3"/>
    <w:rsid w:val="655A40B6"/>
    <w:rsid w:val="657E2A35"/>
    <w:rsid w:val="65A94E9D"/>
    <w:rsid w:val="65B43F2F"/>
    <w:rsid w:val="65B96B3F"/>
    <w:rsid w:val="65BE1071"/>
    <w:rsid w:val="65C60A92"/>
    <w:rsid w:val="65DB19DF"/>
    <w:rsid w:val="660451CE"/>
    <w:rsid w:val="66333A39"/>
    <w:rsid w:val="664B3BEB"/>
    <w:rsid w:val="665346B7"/>
    <w:rsid w:val="667C7CCE"/>
    <w:rsid w:val="66A12460"/>
    <w:rsid w:val="66BE2423"/>
    <w:rsid w:val="66DD6702"/>
    <w:rsid w:val="66E856F1"/>
    <w:rsid w:val="66EE416C"/>
    <w:rsid w:val="66FB0BAD"/>
    <w:rsid w:val="67115625"/>
    <w:rsid w:val="671B1623"/>
    <w:rsid w:val="671E6EBA"/>
    <w:rsid w:val="6731269C"/>
    <w:rsid w:val="675352AA"/>
    <w:rsid w:val="6759400B"/>
    <w:rsid w:val="675E528D"/>
    <w:rsid w:val="676C598C"/>
    <w:rsid w:val="67966EFB"/>
    <w:rsid w:val="679E7FA1"/>
    <w:rsid w:val="67A32389"/>
    <w:rsid w:val="67B768D0"/>
    <w:rsid w:val="67C779FD"/>
    <w:rsid w:val="67C85DAF"/>
    <w:rsid w:val="68281CFE"/>
    <w:rsid w:val="682A2352"/>
    <w:rsid w:val="682A2630"/>
    <w:rsid w:val="682E4A5B"/>
    <w:rsid w:val="682E7AFD"/>
    <w:rsid w:val="684C1B2A"/>
    <w:rsid w:val="68707071"/>
    <w:rsid w:val="687A4379"/>
    <w:rsid w:val="687B015C"/>
    <w:rsid w:val="687E3889"/>
    <w:rsid w:val="6884222C"/>
    <w:rsid w:val="68A957C8"/>
    <w:rsid w:val="68A961D8"/>
    <w:rsid w:val="68AD17BB"/>
    <w:rsid w:val="68D6620B"/>
    <w:rsid w:val="68D94D22"/>
    <w:rsid w:val="68F06F2B"/>
    <w:rsid w:val="69011241"/>
    <w:rsid w:val="692B2E4A"/>
    <w:rsid w:val="696A0B34"/>
    <w:rsid w:val="69821807"/>
    <w:rsid w:val="698D6A17"/>
    <w:rsid w:val="699026E3"/>
    <w:rsid w:val="699E0BED"/>
    <w:rsid w:val="699F0522"/>
    <w:rsid w:val="69D37590"/>
    <w:rsid w:val="69DF6DD8"/>
    <w:rsid w:val="69E25966"/>
    <w:rsid w:val="69F954C1"/>
    <w:rsid w:val="6A1E1E73"/>
    <w:rsid w:val="6A2031B6"/>
    <w:rsid w:val="6A2F57D7"/>
    <w:rsid w:val="6A3924BB"/>
    <w:rsid w:val="6A3C1D40"/>
    <w:rsid w:val="6A6432E1"/>
    <w:rsid w:val="6A7C52F6"/>
    <w:rsid w:val="6AA23DFF"/>
    <w:rsid w:val="6AAA6F38"/>
    <w:rsid w:val="6AC61F6F"/>
    <w:rsid w:val="6AD34E53"/>
    <w:rsid w:val="6AD83EA1"/>
    <w:rsid w:val="6ADE74F0"/>
    <w:rsid w:val="6B1D62E8"/>
    <w:rsid w:val="6B723594"/>
    <w:rsid w:val="6B805156"/>
    <w:rsid w:val="6B945E48"/>
    <w:rsid w:val="6B974A7B"/>
    <w:rsid w:val="6BC27E90"/>
    <w:rsid w:val="6BD50977"/>
    <w:rsid w:val="6BE450D3"/>
    <w:rsid w:val="6BE576C4"/>
    <w:rsid w:val="6BE60C84"/>
    <w:rsid w:val="6C4F0900"/>
    <w:rsid w:val="6C6C32E1"/>
    <w:rsid w:val="6C6E3E15"/>
    <w:rsid w:val="6C8B1F5D"/>
    <w:rsid w:val="6CA85D3A"/>
    <w:rsid w:val="6CA94127"/>
    <w:rsid w:val="6CAA3931"/>
    <w:rsid w:val="6CDA3D2E"/>
    <w:rsid w:val="6CE2512E"/>
    <w:rsid w:val="6CEA06D7"/>
    <w:rsid w:val="6CF70607"/>
    <w:rsid w:val="6D325918"/>
    <w:rsid w:val="6D3933CA"/>
    <w:rsid w:val="6D401810"/>
    <w:rsid w:val="6D474833"/>
    <w:rsid w:val="6D6261FE"/>
    <w:rsid w:val="6D7B222A"/>
    <w:rsid w:val="6D7B61EC"/>
    <w:rsid w:val="6D8E03AA"/>
    <w:rsid w:val="6DB67396"/>
    <w:rsid w:val="6DBB089F"/>
    <w:rsid w:val="6DC63038"/>
    <w:rsid w:val="6DDC5608"/>
    <w:rsid w:val="6DE30DE0"/>
    <w:rsid w:val="6DE6130A"/>
    <w:rsid w:val="6E09491E"/>
    <w:rsid w:val="6E0D3655"/>
    <w:rsid w:val="6E1A437E"/>
    <w:rsid w:val="6E3A144E"/>
    <w:rsid w:val="6E5606D3"/>
    <w:rsid w:val="6E5F4465"/>
    <w:rsid w:val="6E8B1663"/>
    <w:rsid w:val="6E8C54DA"/>
    <w:rsid w:val="6EB752BD"/>
    <w:rsid w:val="6EF11E03"/>
    <w:rsid w:val="6EF1241D"/>
    <w:rsid w:val="6EF82916"/>
    <w:rsid w:val="6F0B2DE7"/>
    <w:rsid w:val="6F111C62"/>
    <w:rsid w:val="6F2176E5"/>
    <w:rsid w:val="6F3A2A5F"/>
    <w:rsid w:val="6F4F7F03"/>
    <w:rsid w:val="6F5523A2"/>
    <w:rsid w:val="6F592303"/>
    <w:rsid w:val="6F5F5B74"/>
    <w:rsid w:val="6F682400"/>
    <w:rsid w:val="6F9600A4"/>
    <w:rsid w:val="6F98032D"/>
    <w:rsid w:val="6F9B1C65"/>
    <w:rsid w:val="6FA44937"/>
    <w:rsid w:val="6FAD3FB9"/>
    <w:rsid w:val="6FE82C9C"/>
    <w:rsid w:val="6FFB146E"/>
    <w:rsid w:val="70160742"/>
    <w:rsid w:val="7030610F"/>
    <w:rsid w:val="70612DB4"/>
    <w:rsid w:val="706516C3"/>
    <w:rsid w:val="70660714"/>
    <w:rsid w:val="70896E68"/>
    <w:rsid w:val="708A4844"/>
    <w:rsid w:val="709112CC"/>
    <w:rsid w:val="70C94DCA"/>
    <w:rsid w:val="70E05E9D"/>
    <w:rsid w:val="71073061"/>
    <w:rsid w:val="711A201F"/>
    <w:rsid w:val="71215AE9"/>
    <w:rsid w:val="712864E5"/>
    <w:rsid w:val="71396ACC"/>
    <w:rsid w:val="715B60E9"/>
    <w:rsid w:val="716F0EE9"/>
    <w:rsid w:val="717A5659"/>
    <w:rsid w:val="7196674D"/>
    <w:rsid w:val="719E245E"/>
    <w:rsid w:val="71BA3FE5"/>
    <w:rsid w:val="71EA1FED"/>
    <w:rsid w:val="71FC16CB"/>
    <w:rsid w:val="72165C6B"/>
    <w:rsid w:val="722021E3"/>
    <w:rsid w:val="72290340"/>
    <w:rsid w:val="722B6FBC"/>
    <w:rsid w:val="722C6DDA"/>
    <w:rsid w:val="72515945"/>
    <w:rsid w:val="729243CB"/>
    <w:rsid w:val="72BE1749"/>
    <w:rsid w:val="72E661B1"/>
    <w:rsid w:val="730313F6"/>
    <w:rsid w:val="730E4732"/>
    <w:rsid w:val="732A315F"/>
    <w:rsid w:val="73370D24"/>
    <w:rsid w:val="73397FB3"/>
    <w:rsid w:val="73472C84"/>
    <w:rsid w:val="7359268C"/>
    <w:rsid w:val="735F327A"/>
    <w:rsid w:val="7366631C"/>
    <w:rsid w:val="736C263C"/>
    <w:rsid w:val="73723640"/>
    <w:rsid w:val="737311F5"/>
    <w:rsid w:val="739503EB"/>
    <w:rsid w:val="73A05B28"/>
    <w:rsid w:val="73C07D69"/>
    <w:rsid w:val="73C979D4"/>
    <w:rsid w:val="73DC335B"/>
    <w:rsid w:val="740B60EC"/>
    <w:rsid w:val="74317212"/>
    <w:rsid w:val="745E7D35"/>
    <w:rsid w:val="7465362D"/>
    <w:rsid w:val="74675EA7"/>
    <w:rsid w:val="7475188D"/>
    <w:rsid w:val="749E16A8"/>
    <w:rsid w:val="74B42AE4"/>
    <w:rsid w:val="74C54993"/>
    <w:rsid w:val="74DB35A9"/>
    <w:rsid w:val="74EB68F6"/>
    <w:rsid w:val="750A429D"/>
    <w:rsid w:val="752739E7"/>
    <w:rsid w:val="75474B47"/>
    <w:rsid w:val="75533AB0"/>
    <w:rsid w:val="75614792"/>
    <w:rsid w:val="75761866"/>
    <w:rsid w:val="75784473"/>
    <w:rsid w:val="7592164A"/>
    <w:rsid w:val="75A0786D"/>
    <w:rsid w:val="75B10995"/>
    <w:rsid w:val="75B161B3"/>
    <w:rsid w:val="75DC6C44"/>
    <w:rsid w:val="75F05CC0"/>
    <w:rsid w:val="76124539"/>
    <w:rsid w:val="762F6A19"/>
    <w:rsid w:val="76341B33"/>
    <w:rsid w:val="764F157E"/>
    <w:rsid w:val="76736B32"/>
    <w:rsid w:val="76807C04"/>
    <w:rsid w:val="76A71125"/>
    <w:rsid w:val="76AF35EE"/>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2A3EA3"/>
    <w:rsid w:val="78490703"/>
    <w:rsid w:val="784B7200"/>
    <w:rsid w:val="78A50513"/>
    <w:rsid w:val="78C43087"/>
    <w:rsid w:val="78D37FAF"/>
    <w:rsid w:val="78EF7AB5"/>
    <w:rsid w:val="790D6849"/>
    <w:rsid w:val="795767E3"/>
    <w:rsid w:val="79586707"/>
    <w:rsid w:val="796518DD"/>
    <w:rsid w:val="796E5F2A"/>
    <w:rsid w:val="79724BEF"/>
    <w:rsid w:val="797264AC"/>
    <w:rsid w:val="79AA0532"/>
    <w:rsid w:val="79FA22BC"/>
    <w:rsid w:val="79FE1DDD"/>
    <w:rsid w:val="7A075767"/>
    <w:rsid w:val="7A0C15B3"/>
    <w:rsid w:val="7A212062"/>
    <w:rsid w:val="7A2522C9"/>
    <w:rsid w:val="7A282A11"/>
    <w:rsid w:val="7A3A59B8"/>
    <w:rsid w:val="7A5D0F75"/>
    <w:rsid w:val="7A7137F7"/>
    <w:rsid w:val="7A715CD2"/>
    <w:rsid w:val="7A85177D"/>
    <w:rsid w:val="7A921E9A"/>
    <w:rsid w:val="7A9E53BF"/>
    <w:rsid w:val="7AA914B9"/>
    <w:rsid w:val="7ABF2475"/>
    <w:rsid w:val="7AC21562"/>
    <w:rsid w:val="7AD474A4"/>
    <w:rsid w:val="7ADA05E5"/>
    <w:rsid w:val="7AF967A3"/>
    <w:rsid w:val="7AFC38DE"/>
    <w:rsid w:val="7B303E8C"/>
    <w:rsid w:val="7B7D6B6D"/>
    <w:rsid w:val="7B865D50"/>
    <w:rsid w:val="7B8D34C3"/>
    <w:rsid w:val="7B8E6714"/>
    <w:rsid w:val="7B971D84"/>
    <w:rsid w:val="7BAB0CB7"/>
    <w:rsid w:val="7BB4028F"/>
    <w:rsid w:val="7BC1107E"/>
    <w:rsid w:val="7BF32F03"/>
    <w:rsid w:val="7BF50D2C"/>
    <w:rsid w:val="7C066F4E"/>
    <w:rsid w:val="7C1724A5"/>
    <w:rsid w:val="7C8561DF"/>
    <w:rsid w:val="7CA54112"/>
    <w:rsid w:val="7CA553D9"/>
    <w:rsid w:val="7CAB27F5"/>
    <w:rsid w:val="7CAF438A"/>
    <w:rsid w:val="7CCE726D"/>
    <w:rsid w:val="7CD71EA3"/>
    <w:rsid w:val="7CE50CE4"/>
    <w:rsid w:val="7CE94EE1"/>
    <w:rsid w:val="7CF877E9"/>
    <w:rsid w:val="7D134762"/>
    <w:rsid w:val="7D244CB3"/>
    <w:rsid w:val="7D2E5ABF"/>
    <w:rsid w:val="7D4A45B8"/>
    <w:rsid w:val="7D535AC7"/>
    <w:rsid w:val="7D7E7430"/>
    <w:rsid w:val="7D964A74"/>
    <w:rsid w:val="7D9903CF"/>
    <w:rsid w:val="7DFB43EA"/>
    <w:rsid w:val="7E007625"/>
    <w:rsid w:val="7E0737C8"/>
    <w:rsid w:val="7E131C51"/>
    <w:rsid w:val="7E176B90"/>
    <w:rsid w:val="7E2142A2"/>
    <w:rsid w:val="7E240411"/>
    <w:rsid w:val="7E48335A"/>
    <w:rsid w:val="7E797DE5"/>
    <w:rsid w:val="7E7B0BF2"/>
    <w:rsid w:val="7E8D75B6"/>
    <w:rsid w:val="7E8E672B"/>
    <w:rsid w:val="7EA27DDF"/>
    <w:rsid w:val="7EC67BB0"/>
    <w:rsid w:val="7ED809AD"/>
    <w:rsid w:val="7EE202FC"/>
    <w:rsid w:val="7EF760EE"/>
    <w:rsid w:val="7F2536B5"/>
    <w:rsid w:val="7F2C3CE7"/>
    <w:rsid w:val="7F5A01CA"/>
    <w:rsid w:val="7F75661B"/>
    <w:rsid w:val="7FB17429"/>
    <w:rsid w:val="7FC237C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1"/>
    <w:basedOn w:val="1"/>
    <w:next w:val="1"/>
    <w:link w:val="76"/>
    <w:qFormat/>
    <w:uiPriority w:val="9"/>
    <w:pPr>
      <w:keepNext/>
      <w:keepLines/>
      <w:spacing w:before="340" w:after="330" w:line="576" w:lineRule="auto"/>
      <w:outlineLvl w:val="0"/>
    </w:pPr>
    <w:rPr>
      <w:b/>
      <w:kern w:val="44"/>
      <w:sz w:val="44"/>
    </w:rPr>
  </w:style>
  <w:style w:type="paragraph" w:styleId="4">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5"/>
    <w:unhideWhenUsed/>
    <w:qFormat/>
    <w:uiPriority w:val="9"/>
    <w:pPr>
      <w:keepNext/>
      <w:keepLines/>
      <w:outlineLvl w:val="3"/>
    </w:pPr>
    <w:rPr>
      <w:rFonts w:asciiTheme="majorHAnsi" w:hAnsiTheme="majorHAnsi" w:cstheme="majorBidi"/>
      <w:b/>
      <w:bCs/>
      <w:sz w:val="24"/>
      <w:szCs w:val="28"/>
    </w:rPr>
  </w:style>
  <w:style w:type="paragraph" w:styleId="7">
    <w:name w:val="heading 5"/>
    <w:basedOn w:val="1"/>
    <w:next w:val="1"/>
    <w:link w:val="75"/>
    <w:unhideWhenUsed/>
    <w:qFormat/>
    <w:uiPriority w:val="9"/>
    <w:pPr>
      <w:keepNext/>
      <w:keepLines/>
      <w:spacing w:before="280" w:after="290" w:line="372" w:lineRule="auto"/>
      <w:outlineLvl w:val="4"/>
    </w:pPr>
    <w:rPr>
      <w:b/>
      <w:sz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Body Text"/>
    <w:basedOn w:val="1"/>
    <w:link w:val="67"/>
    <w:qFormat/>
    <w:uiPriority w:val="1"/>
    <w:pPr>
      <w:spacing w:before="161"/>
      <w:ind w:left="120"/>
    </w:pPr>
    <w:rPr>
      <w:rFonts w:ascii="宋体" w:hAnsi="宋体" w:cs="宋体"/>
      <w:sz w:val="24"/>
      <w:lang w:val="zh-CN" w:bidi="zh-CN"/>
    </w:rPr>
  </w:style>
  <w:style w:type="paragraph" w:styleId="8">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9">
    <w:name w:val="Normal Indent"/>
    <w:basedOn w:val="1"/>
    <w:qFormat/>
    <w:uiPriority w:val="0"/>
    <w:pPr>
      <w:widowControl/>
      <w:autoSpaceDE/>
      <w:autoSpaceDN/>
      <w:adjustRightInd/>
      <w:ind w:firstLine="420" w:firstLineChars="200"/>
    </w:pPr>
    <w:rPr>
      <w:rFonts w:ascii="Times New Roman" w:hAnsi="Calibri" w:eastAsia="宋体" w:cs="Times New Roman"/>
      <w:sz w:val="20"/>
      <w:szCs w:val="20"/>
    </w:rPr>
  </w:style>
  <w:style w:type="paragraph" w:styleId="10">
    <w:name w:val="toa heading"/>
    <w:basedOn w:val="1"/>
    <w:next w:val="1"/>
    <w:qFormat/>
    <w:uiPriority w:val="0"/>
    <w:pPr>
      <w:snapToGrid w:val="0"/>
      <w:spacing w:before="120" w:line="360" w:lineRule="auto"/>
      <w:jc w:val="both"/>
    </w:pPr>
    <w:rPr>
      <w:rFonts w:ascii="Arial" w:hAnsi="Arial"/>
      <w:color w:val="000000"/>
      <w:sz w:val="21"/>
      <w:szCs w:val="20"/>
    </w:rPr>
  </w:style>
  <w:style w:type="paragraph" w:styleId="11">
    <w:name w:val="annotation text"/>
    <w:basedOn w:val="1"/>
    <w:link w:val="64"/>
    <w:unhideWhenUsed/>
    <w:qFormat/>
    <w:uiPriority w:val="99"/>
  </w:style>
  <w:style w:type="paragraph" w:styleId="12">
    <w:name w:val="Body Text Indent"/>
    <w:basedOn w:val="1"/>
    <w:next w:val="13"/>
    <w:qFormat/>
    <w:uiPriority w:val="0"/>
    <w:pPr>
      <w:ind w:left="359" w:leftChars="171" w:firstLine="179" w:firstLineChars="85"/>
    </w:pPr>
    <w:rPr>
      <w:rFonts w:ascii="宋体" w:hAnsi="宋体"/>
      <w:b/>
      <w:bCs/>
      <w:szCs w:val="26"/>
    </w:rPr>
  </w:style>
  <w:style w:type="paragraph" w:styleId="13">
    <w:name w:val="envelope return"/>
    <w:basedOn w:val="1"/>
    <w:unhideWhenUsed/>
    <w:qFormat/>
    <w:uiPriority w:val="99"/>
  </w:style>
  <w:style w:type="paragraph" w:styleId="14">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5">
    <w:name w:val="toc 3"/>
    <w:basedOn w:val="1"/>
    <w:next w:val="1"/>
    <w:unhideWhenUsed/>
    <w:qFormat/>
    <w:uiPriority w:val="39"/>
    <w:pPr>
      <w:tabs>
        <w:tab w:val="right" w:leader="dot" w:pos="8296"/>
      </w:tabs>
      <w:ind w:left="838" w:leftChars="381"/>
    </w:pPr>
    <w:rPr>
      <w:szCs w:val="21"/>
    </w:rPr>
  </w:style>
  <w:style w:type="paragraph" w:styleId="16">
    <w:name w:val="Plain Text"/>
    <w:basedOn w:val="1"/>
    <w:link w:val="56"/>
    <w:qFormat/>
    <w:uiPriority w:val="0"/>
    <w:pPr>
      <w:widowControl w:val="0"/>
      <w:adjustRightInd/>
      <w:snapToGrid/>
      <w:jc w:val="both"/>
    </w:pPr>
    <w:rPr>
      <w:rFonts w:ascii="宋体" w:hAnsi="Courier New" w:cs="Times New Roman"/>
      <w:b/>
      <w:kern w:val="2"/>
      <w:szCs w:val="20"/>
    </w:rPr>
  </w:style>
  <w:style w:type="paragraph" w:styleId="17">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8">
    <w:name w:val="Balloon Text"/>
    <w:basedOn w:val="1"/>
    <w:link w:val="59"/>
    <w:unhideWhenUsed/>
    <w:qFormat/>
    <w:uiPriority w:val="99"/>
    <w:rPr>
      <w:sz w:val="18"/>
      <w:szCs w:val="18"/>
    </w:rPr>
  </w:style>
  <w:style w:type="paragraph" w:styleId="19">
    <w:name w:val="footer"/>
    <w:basedOn w:val="1"/>
    <w:link w:val="58"/>
    <w:unhideWhenUsed/>
    <w:qFormat/>
    <w:uiPriority w:val="99"/>
    <w:pPr>
      <w:tabs>
        <w:tab w:val="center" w:pos="4153"/>
        <w:tab w:val="right" w:pos="8306"/>
      </w:tabs>
    </w:pPr>
    <w:rPr>
      <w:sz w:val="18"/>
      <w:szCs w:val="18"/>
    </w:rPr>
  </w:style>
  <w:style w:type="paragraph" w:styleId="20">
    <w:name w:val="header"/>
    <w:basedOn w:val="1"/>
    <w:link w:val="57"/>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tabs>
        <w:tab w:val="right" w:leader="dot" w:pos="8296"/>
      </w:tabs>
      <w:spacing w:after="120"/>
      <w:ind w:left="1320" w:leftChars="600"/>
    </w:pPr>
  </w:style>
  <w:style w:type="paragraph" w:styleId="23">
    <w:name w:val="footnote text"/>
    <w:basedOn w:val="1"/>
    <w:unhideWhenUsed/>
    <w:qFormat/>
    <w:uiPriority w:val="99"/>
    <w:rPr>
      <w:sz w:val="18"/>
    </w:rPr>
  </w:style>
  <w:style w:type="paragraph" w:styleId="24">
    <w:name w:val="toc 6"/>
    <w:basedOn w:val="1"/>
    <w:next w:val="1"/>
    <w:qFormat/>
    <w:uiPriority w:val="39"/>
    <w:pPr>
      <w:ind w:left="1200"/>
    </w:pPr>
    <w:rPr>
      <w:rFonts w:ascii="Calibri" w:cs="Calibri"/>
      <w:sz w:val="18"/>
      <w:szCs w:val="18"/>
    </w:rPr>
  </w:style>
  <w:style w:type="paragraph" w:styleId="25">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6">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8">
    <w:name w:val="Normal (Web)"/>
    <w:basedOn w:val="1"/>
    <w:link w:val="61"/>
    <w:qFormat/>
    <w:uiPriority w:val="0"/>
    <w:pPr>
      <w:widowControl w:val="0"/>
      <w:adjustRightInd/>
      <w:snapToGrid/>
      <w:jc w:val="both"/>
    </w:pPr>
    <w:rPr>
      <w:rFonts w:asciiTheme="minorHAnsi" w:hAnsiTheme="minorHAnsi"/>
      <w:kern w:val="2"/>
      <w:sz w:val="24"/>
      <w:szCs w:val="24"/>
    </w:rPr>
  </w:style>
  <w:style w:type="paragraph" w:styleId="29">
    <w:name w:val="annotation subject"/>
    <w:basedOn w:val="11"/>
    <w:next w:val="11"/>
    <w:link w:val="65"/>
    <w:unhideWhenUsed/>
    <w:qFormat/>
    <w:uiPriority w:val="99"/>
    <w:rPr>
      <w:b/>
      <w:bCs/>
    </w:rPr>
  </w:style>
  <w:style w:type="paragraph" w:styleId="30">
    <w:name w:val="Body Text First Indent"/>
    <w:basedOn w:val="2"/>
    <w:next w:val="31"/>
    <w:qFormat/>
    <w:uiPriority w:val="0"/>
    <w:pPr>
      <w:spacing w:after="120"/>
      <w:ind w:firstLine="420" w:firstLineChars="100"/>
    </w:pPr>
    <w:rPr>
      <w:bCs/>
      <w:szCs w:val="21"/>
    </w:rPr>
  </w:style>
  <w:style w:type="paragraph" w:customStyle="1" w:styleId="31">
    <w:name w:val="样式 正文首行缩进 + 首行缩进:  1 字符"/>
    <w:basedOn w:val="1"/>
    <w:next w:val="1"/>
    <w:qFormat/>
    <w:uiPriority w:val="0"/>
    <w:pPr>
      <w:ind w:firstLine="200" w:firstLineChars="200"/>
    </w:pPr>
    <w:rPr>
      <w:rFonts w:cs="宋体"/>
      <w:szCs w:val="20"/>
    </w:rPr>
  </w:style>
  <w:style w:type="paragraph" w:styleId="32">
    <w:name w:val="Body Text First Indent 2"/>
    <w:basedOn w:val="12"/>
    <w:unhideWhenUsed/>
    <w:qFormat/>
    <w:uiPriority w:val="0"/>
    <w:pPr>
      <w:autoSpaceDE w:val="0"/>
      <w:autoSpaceDN w:val="0"/>
      <w:adjustRightInd w:val="0"/>
      <w:spacing w:after="120"/>
      <w:ind w:left="420" w:leftChars="200" w:firstLine="420" w:firstLineChars="200"/>
      <w:jc w:val="left"/>
    </w:pPr>
    <w:rPr>
      <w:rFonts w:ascii="宋体" w:hAnsi="Times New Roman"/>
      <w:kern w:val="0"/>
      <w:sz w:val="24"/>
      <w:szCs w:val="24"/>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Emphasis"/>
    <w:basedOn w:val="35"/>
    <w:qFormat/>
    <w:uiPriority w:val="20"/>
    <w:rPr>
      <w:i/>
      <w:iCs/>
    </w:rPr>
  </w:style>
  <w:style w:type="character" w:styleId="38">
    <w:name w:val="Hyperlink"/>
    <w:qFormat/>
    <w:uiPriority w:val="99"/>
    <w:rPr>
      <w:rFonts w:hint="eastAsia" w:ascii="宋体" w:hAnsi="宋体" w:eastAsia="宋体" w:cs="宋体"/>
      <w:b/>
      <w:color w:val="0031C1"/>
      <w:kern w:val="0"/>
      <w:sz w:val="18"/>
      <w:szCs w:val="18"/>
      <w:u w:val="none"/>
      <w:lang w:eastAsia="en-US"/>
    </w:rPr>
  </w:style>
  <w:style w:type="character" w:styleId="39">
    <w:name w:val="annotation reference"/>
    <w:basedOn w:val="35"/>
    <w:unhideWhenUsed/>
    <w:qFormat/>
    <w:uiPriority w:val="99"/>
    <w:rPr>
      <w:sz w:val="21"/>
      <w:szCs w:val="21"/>
    </w:rPr>
  </w:style>
  <w:style w:type="character" w:styleId="40">
    <w:name w:val="footnote reference"/>
    <w:basedOn w:val="35"/>
    <w:unhideWhenUsed/>
    <w:qFormat/>
    <w:uiPriority w:val="99"/>
    <w:rPr>
      <w:vertAlign w:val="superscript"/>
    </w:rPr>
  </w:style>
  <w:style w:type="paragraph" w:customStyle="1" w:styleId="41">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2">
    <w:name w:val="标题 2 字符"/>
    <w:basedOn w:val="35"/>
    <w:link w:val="4"/>
    <w:qFormat/>
    <w:uiPriority w:val="9"/>
    <w:rPr>
      <w:rFonts w:asciiTheme="majorHAnsi" w:hAnsiTheme="majorHAnsi" w:eastAsiaTheme="majorEastAsia" w:cstheme="majorBidi"/>
      <w:b/>
      <w:bCs/>
      <w:sz w:val="32"/>
      <w:szCs w:val="32"/>
    </w:rPr>
  </w:style>
  <w:style w:type="character" w:customStyle="1" w:styleId="43">
    <w:name w:val="标题 3 字符"/>
    <w:basedOn w:val="35"/>
    <w:link w:val="5"/>
    <w:qFormat/>
    <w:uiPriority w:val="9"/>
    <w:rPr>
      <w:rFonts w:ascii="Tahoma" w:hAnsi="Tahoma"/>
      <w:b/>
      <w:bCs/>
      <w:sz w:val="32"/>
      <w:szCs w:val="32"/>
    </w:rPr>
  </w:style>
  <w:style w:type="paragraph" w:customStyle="1" w:styleId="44">
    <w:name w:val="List Paragraph"/>
    <w:basedOn w:val="1"/>
    <w:link w:val="66"/>
    <w:qFormat/>
    <w:uiPriority w:val="0"/>
    <w:pPr>
      <w:ind w:firstLine="420" w:firstLineChars="200"/>
    </w:pPr>
  </w:style>
  <w:style w:type="character" w:customStyle="1" w:styleId="45">
    <w:name w:val="标题 4 字符"/>
    <w:basedOn w:val="35"/>
    <w:link w:val="6"/>
    <w:qFormat/>
    <w:uiPriority w:val="9"/>
    <w:rPr>
      <w:rFonts w:eastAsia="宋体" w:asciiTheme="majorHAnsi" w:hAnsiTheme="majorHAnsi" w:cstheme="majorBidi"/>
      <w:b/>
      <w:bCs/>
      <w:sz w:val="24"/>
      <w:szCs w:val="28"/>
    </w:rPr>
  </w:style>
  <w:style w:type="character" w:customStyle="1" w:styleId="46">
    <w:name w:val="正文缩进2格 Char"/>
    <w:link w:val="47"/>
    <w:qFormat/>
    <w:uiPriority w:val="0"/>
    <w:rPr>
      <w:rFonts w:ascii="仿宋_GB2312" w:hAnsi="宋体" w:eastAsia="仿宋_GB2312"/>
      <w:kern w:val="2"/>
      <w:sz w:val="31"/>
    </w:rPr>
  </w:style>
  <w:style w:type="paragraph" w:customStyle="1" w:styleId="47">
    <w:name w:val="正文缩进2格"/>
    <w:basedOn w:val="1"/>
    <w:link w:val="46"/>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8">
    <w:name w:val="正文缩进4格"/>
    <w:basedOn w:val="47"/>
    <w:qFormat/>
    <w:uiPriority w:val="0"/>
    <w:pPr>
      <w:ind w:left="2" w:firstLine="538" w:firstLineChars="192"/>
    </w:pPr>
    <w:rPr>
      <w:color w:val="0000FF"/>
      <w:sz w:val="28"/>
    </w:rPr>
  </w:style>
  <w:style w:type="character" w:customStyle="1" w:styleId="49">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50">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1">
    <w:name w:val="标题1"/>
    <w:qFormat/>
    <w:uiPriority w:val="0"/>
    <w:rPr>
      <w:rFonts w:ascii="Times New Roman" w:hAnsi="Times New Roman" w:eastAsia="宋体" w:cs="Times New Roman"/>
      <w:b/>
      <w:kern w:val="0"/>
      <w:sz w:val="24"/>
      <w:szCs w:val="20"/>
      <w:lang w:eastAsia="en-US"/>
    </w:rPr>
  </w:style>
  <w:style w:type="character" w:customStyle="1" w:styleId="52">
    <w:name w:val="标题 3.1 Char"/>
    <w:link w:val="53"/>
    <w:qFormat/>
    <w:uiPriority w:val="0"/>
    <w:rPr>
      <w:rFonts w:ascii="宋体" w:hAnsi="宋体" w:eastAsia="宋体"/>
      <w:b/>
      <w:color w:val="FF0000"/>
      <w:kern w:val="2"/>
      <w:sz w:val="32"/>
    </w:rPr>
  </w:style>
  <w:style w:type="paragraph" w:customStyle="1" w:styleId="53">
    <w:name w:val="标题 3.1"/>
    <w:basedOn w:val="5"/>
    <w:link w:val="52"/>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4">
    <w:name w:val="样式 楷体_GB2312 小四"/>
    <w:qFormat/>
    <w:uiPriority w:val="0"/>
    <w:rPr>
      <w:rFonts w:ascii="楷体_GB2312" w:hAnsi="楷体_GB2312" w:eastAsia="仿宋_GB2312"/>
      <w:sz w:val="24"/>
    </w:rPr>
  </w:style>
  <w:style w:type="character" w:customStyle="1" w:styleId="55">
    <w:name w:val="纯文本 Char"/>
    <w:qFormat/>
    <w:uiPriority w:val="0"/>
    <w:rPr>
      <w:rFonts w:ascii="宋体" w:hAnsi="Courier New" w:eastAsia="宋体" w:cs="Times New Roman"/>
      <w:b/>
      <w:kern w:val="2"/>
      <w:sz w:val="21"/>
      <w:szCs w:val="20"/>
    </w:rPr>
  </w:style>
  <w:style w:type="character" w:customStyle="1" w:styleId="56">
    <w:name w:val="纯文本 字符"/>
    <w:basedOn w:val="35"/>
    <w:link w:val="16"/>
    <w:semiHidden/>
    <w:qFormat/>
    <w:uiPriority w:val="99"/>
    <w:rPr>
      <w:rFonts w:ascii="宋体" w:hAnsi="Courier New" w:eastAsia="宋体" w:cs="Courier New"/>
      <w:sz w:val="21"/>
      <w:szCs w:val="21"/>
    </w:rPr>
  </w:style>
  <w:style w:type="character" w:customStyle="1" w:styleId="57">
    <w:name w:val="页眉 字符"/>
    <w:basedOn w:val="35"/>
    <w:link w:val="20"/>
    <w:qFormat/>
    <w:uiPriority w:val="99"/>
    <w:rPr>
      <w:rFonts w:ascii="Tahoma" w:hAnsi="Tahoma"/>
      <w:sz w:val="18"/>
      <w:szCs w:val="18"/>
    </w:rPr>
  </w:style>
  <w:style w:type="character" w:customStyle="1" w:styleId="58">
    <w:name w:val="页脚 字符"/>
    <w:basedOn w:val="35"/>
    <w:link w:val="19"/>
    <w:qFormat/>
    <w:uiPriority w:val="99"/>
    <w:rPr>
      <w:rFonts w:ascii="Tahoma" w:hAnsi="Tahoma"/>
      <w:sz w:val="18"/>
      <w:szCs w:val="18"/>
    </w:rPr>
  </w:style>
  <w:style w:type="character" w:customStyle="1" w:styleId="59">
    <w:name w:val="批注框文本 字符"/>
    <w:basedOn w:val="35"/>
    <w:link w:val="18"/>
    <w:semiHidden/>
    <w:qFormat/>
    <w:uiPriority w:val="99"/>
    <w:rPr>
      <w:rFonts w:ascii="Tahoma" w:hAnsi="Tahoma"/>
      <w:sz w:val="18"/>
      <w:szCs w:val="18"/>
    </w:rPr>
  </w:style>
  <w:style w:type="paragraph" w:customStyle="1" w:styleId="60">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1">
    <w:name w:val="普通(网站) 字符"/>
    <w:link w:val="28"/>
    <w:qFormat/>
    <w:uiPriority w:val="0"/>
    <w:rPr>
      <w:rFonts w:eastAsia="宋体"/>
      <w:kern w:val="2"/>
      <w:sz w:val="24"/>
      <w:szCs w:val="24"/>
    </w:rPr>
  </w:style>
  <w:style w:type="paragraph" w:customStyle="1" w:styleId="62">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3">
    <w:name w:val="p141"/>
    <w:qFormat/>
    <w:uiPriority w:val="0"/>
    <w:rPr>
      <w:sz w:val="21"/>
      <w:szCs w:val="21"/>
    </w:rPr>
  </w:style>
  <w:style w:type="character" w:customStyle="1" w:styleId="64">
    <w:name w:val="批注文字 字符"/>
    <w:basedOn w:val="35"/>
    <w:link w:val="11"/>
    <w:qFormat/>
    <w:uiPriority w:val="99"/>
    <w:rPr>
      <w:rFonts w:ascii="Tahoma" w:hAnsi="Tahoma" w:eastAsia="微软雅黑" w:cstheme="minorBidi"/>
      <w:sz w:val="22"/>
      <w:szCs w:val="22"/>
    </w:rPr>
  </w:style>
  <w:style w:type="character" w:customStyle="1" w:styleId="65">
    <w:name w:val="批注主题 字符"/>
    <w:basedOn w:val="64"/>
    <w:link w:val="29"/>
    <w:semiHidden/>
    <w:qFormat/>
    <w:uiPriority w:val="99"/>
    <w:rPr>
      <w:rFonts w:ascii="Tahoma" w:hAnsi="Tahoma" w:eastAsia="微软雅黑" w:cstheme="minorBidi"/>
      <w:b/>
      <w:bCs/>
      <w:sz w:val="22"/>
      <w:szCs w:val="22"/>
    </w:rPr>
  </w:style>
  <w:style w:type="character" w:customStyle="1" w:styleId="66">
    <w:name w:val="列表段落 字符"/>
    <w:link w:val="44"/>
    <w:qFormat/>
    <w:uiPriority w:val="0"/>
    <w:rPr>
      <w:rFonts w:ascii="Tahoma" w:hAnsi="Tahoma" w:eastAsia="微软雅黑" w:cstheme="minorBidi"/>
      <w:sz w:val="22"/>
      <w:szCs w:val="22"/>
    </w:rPr>
  </w:style>
  <w:style w:type="character" w:customStyle="1" w:styleId="67">
    <w:name w:val="正文文本 字符"/>
    <w:basedOn w:val="35"/>
    <w:link w:val="2"/>
    <w:qFormat/>
    <w:uiPriority w:val="1"/>
    <w:rPr>
      <w:rFonts w:ascii="宋体" w:hAnsi="宋体" w:cs="宋体"/>
      <w:sz w:val="24"/>
      <w:szCs w:val="22"/>
      <w:lang w:val="zh-CN" w:bidi="zh-CN"/>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_Style 1"/>
    <w:basedOn w:val="1"/>
    <w:qFormat/>
    <w:uiPriority w:val="0"/>
    <w:pPr>
      <w:ind w:firstLine="420" w:firstLineChars="200"/>
    </w:pPr>
  </w:style>
  <w:style w:type="paragraph" w:customStyle="1" w:styleId="70">
    <w:name w:val="列出段落2"/>
    <w:basedOn w:val="1"/>
    <w:qFormat/>
    <w:uiPriority w:val="0"/>
    <w:pPr>
      <w:ind w:firstLine="420" w:firstLineChars="200"/>
    </w:pPr>
  </w:style>
  <w:style w:type="paragraph" w:customStyle="1" w:styleId="71">
    <w:name w:val="p0"/>
    <w:basedOn w:val="1"/>
    <w:qFormat/>
    <w:uiPriority w:val="0"/>
    <w:rPr>
      <w:szCs w:val="21"/>
    </w:rPr>
  </w:style>
  <w:style w:type="paragraph" w:customStyle="1" w:styleId="72">
    <w:name w:val="正文文本缩进 21"/>
    <w:basedOn w:val="1"/>
    <w:qFormat/>
    <w:uiPriority w:val="0"/>
    <w:pPr>
      <w:spacing w:line="480" w:lineRule="auto"/>
      <w:ind w:firstLine="540"/>
    </w:pPr>
    <w:rPr>
      <w:rFonts w:ascii="Calibri" w:hAnsi="Calibri"/>
      <w:sz w:val="20"/>
      <w:szCs w:val="20"/>
    </w:rPr>
  </w:style>
  <w:style w:type="paragraph" w:customStyle="1" w:styleId="73">
    <w:name w:val="_Style 2"/>
    <w:basedOn w:val="1"/>
    <w:qFormat/>
    <w:uiPriority w:val="0"/>
    <w:pPr>
      <w:ind w:firstLine="420" w:firstLineChars="200"/>
    </w:pPr>
  </w:style>
  <w:style w:type="paragraph" w:customStyle="1" w:styleId="74">
    <w:name w:val="msolistparagraph"/>
    <w:basedOn w:val="1"/>
    <w:qFormat/>
    <w:uiPriority w:val="0"/>
    <w:pPr>
      <w:ind w:firstLine="420" w:firstLineChars="200"/>
    </w:pPr>
    <w:rPr>
      <w:rFonts w:hint="eastAsia" w:hAnsi="宋体"/>
    </w:rPr>
  </w:style>
  <w:style w:type="character" w:customStyle="1" w:styleId="75">
    <w:name w:val="标题 5 字符"/>
    <w:link w:val="7"/>
    <w:qFormat/>
    <w:uiPriority w:val="0"/>
    <w:rPr>
      <w:b/>
      <w:sz w:val="28"/>
    </w:rPr>
  </w:style>
  <w:style w:type="character" w:customStyle="1" w:styleId="76">
    <w:name w:val="标题 1 字符"/>
    <w:link w:val="3"/>
    <w:qFormat/>
    <w:uiPriority w:val="9"/>
    <w:rPr>
      <w:b/>
      <w:kern w:val="44"/>
      <w:sz w:val="44"/>
    </w:rPr>
  </w:style>
  <w:style w:type="paragraph" w:customStyle="1" w:styleId="77">
    <w:name w:val="修订1"/>
    <w:hidden/>
    <w:semiHidden/>
    <w:qFormat/>
    <w:uiPriority w:val="99"/>
    <w:rPr>
      <w:rFonts w:ascii="Tahoma" w:hAnsi="Tahoma" w:eastAsia="宋体" w:cstheme="minorBidi"/>
      <w:sz w:val="21"/>
      <w:szCs w:val="22"/>
      <w:lang w:val="en-US" w:eastAsia="zh-CN" w:bidi="ar-SA"/>
    </w:rPr>
  </w:style>
  <w:style w:type="paragraph" w:customStyle="1" w:styleId="78">
    <w:name w:val="表格文字"/>
    <w:basedOn w:val="1"/>
    <w:qFormat/>
    <w:uiPriority w:val="0"/>
    <w:pPr>
      <w:adjustRightInd/>
      <w:spacing w:before="25" w:after="25"/>
    </w:pPr>
    <w:rPr>
      <w:rFonts w:ascii="Times New Roman"/>
      <w:bCs/>
      <w:spacing w:val="10"/>
      <w:szCs w:val="20"/>
    </w:rPr>
  </w:style>
  <w:style w:type="paragraph" w:customStyle="1" w:styleId="79">
    <w:name w:val="纯文本1"/>
    <w:basedOn w:val="80"/>
    <w:qFormat/>
    <w:uiPriority w:val="0"/>
    <w:rPr>
      <w:rFonts w:ascii="宋体" w:hAnsi="Courier New"/>
      <w:szCs w:val="20"/>
    </w:rPr>
  </w:style>
  <w:style w:type="paragraph" w:customStyle="1" w:styleId="80">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1">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2">
    <w:name w:val="Table Normal"/>
    <w:unhideWhenUsed/>
    <w:qFormat/>
    <w:uiPriority w:val="2"/>
    <w:tblPr>
      <w:tblCellMar>
        <w:top w:w="0" w:type="dxa"/>
        <w:left w:w="0" w:type="dxa"/>
        <w:bottom w:w="0" w:type="dxa"/>
        <w:right w:w="0" w:type="dxa"/>
      </w:tblCellMar>
    </w:tblPr>
  </w:style>
  <w:style w:type="paragraph" w:customStyle="1" w:styleId="83">
    <w:name w:val="Table Paragraph"/>
    <w:basedOn w:val="1"/>
    <w:qFormat/>
    <w:uiPriority w:val="1"/>
  </w:style>
  <w:style w:type="paragraph" w:customStyle="1" w:styleId="84">
    <w:name w:val="正文文本缩进1"/>
    <w:basedOn w:val="80"/>
    <w:qFormat/>
    <w:uiPriority w:val="0"/>
    <w:pPr>
      <w:spacing w:after="120"/>
      <w:ind w:left="420" w:leftChars="200"/>
    </w:pPr>
  </w:style>
  <w:style w:type="paragraph" w:customStyle="1" w:styleId="85">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6">
    <w:name w:val="纯文本2"/>
    <w:basedOn w:val="80"/>
    <w:qFormat/>
    <w:uiPriority w:val="0"/>
    <w:rPr>
      <w:rFonts w:ascii="宋体" w:hAnsi="Courier New"/>
      <w:szCs w:val="20"/>
    </w:rPr>
  </w:style>
  <w:style w:type="character" w:customStyle="1" w:styleId="87">
    <w:name w:val="font141"/>
    <w:qFormat/>
    <w:uiPriority w:val="0"/>
    <w:rPr>
      <w:rFonts w:hint="default" w:ascii="Times New Roman" w:hAnsi="Times New Roman" w:cs="Times New Roman"/>
      <w:color w:val="000000"/>
      <w:sz w:val="18"/>
      <w:szCs w:val="18"/>
      <w:u w:val="none"/>
    </w:rPr>
  </w:style>
  <w:style w:type="character" w:customStyle="1" w:styleId="88">
    <w:name w:val="font71"/>
    <w:qFormat/>
    <w:uiPriority w:val="0"/>
    <w:rPr>
      <w:rFonts w:hint="eastAsia" w:ascii="宋体" w:hAnsi="宋体" w:eastAsia="宋体" w:cs="宋体"/>
      <w:color w:val="000000"/>
      <w:sz w:val="18"/>
      <w:szCs w:val="18"/>
      <w:u w:val="none"/>
    </w:rPr>
  </w:style>
  <w:style w:type="character" w:customStyle="1" w:styleId="89">
    <w:name w:val="font21"/>
    <w:basedOn w:val="35"/>
    <w:qFormat/>
    <w:uiPriority w:val="0"/>
    <w:rPr>
      <w:rFonts w:hint="eastAsia" w:ascii="宋体" w:hAnsi="宋体" w:eastAsia="宋体" w:cs="宋体"/>
      <w:color w:val="000000"/>
      <w:sz w:val="21"/>
      <w:szCs w:val="21"/>
      <w:u w:val="none"/>
    </w:rPr>
  </w:style>
  <w:style w:type="character" w:customStyle="1" w:styleId="90">
    <w:name w:val="font31"/>
    <w:basedOn w:val="35"/>
    <w:qFormat/>
    <w:uiPriority w:val="0"/>
    <w:rPr>
      <w:rFonts w:hint="eastAsia" w:ascii="宋体" w:hAnsi="宋体" w:eastAsia="宋体" w:cs="宋体"/>
      <w:b/>
      <w:bCs/>
      <w:color w:val="000000"/>
      <w:sz w:val="21"/>
      <w:szCs w:val="21"/>
      <w:u w:val="none"/>
    </w:rPr>
  </w:style>
  <w:style w:type="paragraph" w:customStyle="1" w:styleId="91">
    <w:name w:val="_Style 10"/>
    <w:basedOn w:val="1"/>
    <w:next w:val="44"/>
    <w:qFormat/>
    <w:uiPriority w:val="34"/>
    <w:pPr>
      <w:ind w:firstLine="420" w:firstLineChars="200"/>
    </w:pPr>
    <w:rPr>
      <w:rFonts w:ascii="Times New Roman"/>
    </w:rPr>
  </w:style>
  <w:style w:type="paragraph" w:customStyle="1" w:styleId="92">
    <w:name w:val="无间隔1"/>
    <w:qFormat/>
    <w:uiPriority w:val="1"/>
    <w:pPr>
      <w:widowControl w:val="0"/>
      <w:spacing w:line="300" w:lineRule="exact"/>
    </w:pPr>
    <w:rPr>
      <w:rFonts w:ascii="仿宋_GB2312" w:hAnsi="宋体" w:eastAsia="仿宋_GB2312" w:cs="Times New Roman"/>
      <w:color w:val="FF0000"/>
      <w:kern w:val="2"/>
      <w:sz w:val="24"/>
      <w:szCs w:val="24"/>
      <w:lang w:val="en-US" w:eastAsia="zh-CN" w:bidi="ar-SA"/>
    </w:rPr>
  </w:style>
  <w:style w:type="paragraph" w:customStyle="1" w:styleId="93">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94">
    <w:name w:val="font41"/>
    <w:qFormat/>
    <w:uiPriority w:val="0"/>
    <w:rPr>
      <w:rFonts w:hint="eastAsia" w:ascii="宋体" w:hAnsi="宋体" w:eastAsia="宋体" w:cs="宋体"/>
      <w:color w:val="000000"/>
      <w:sz w:val="20"/>
      <w:szCs w:val="20"/>
      <w:u w:val="none"/>
    </w:rPr>
  </w:style>
  <w:style w:type="table" w:customStyle="1" w:styleId="95">
    <w:name w:val="Grid Table 4 Accent 1"/>
    <w:basedOn w:val="33"/>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emf"/><Relationship Id="rId21" Type="http://schemas.openxmlformats.org/officeDocument/2006/relationships/oleObject" Target="embeddings/oleObject1.bin"/><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107</Pages>
  <Words>53776</Words>
  <Characters>56599</Characters>
  <Lines>66</Lines>
  <Paragraphs>65</Paragraphs>
  <TotalTime>7</TotalTime>
  <ScaleCrop>false</ScaleCrop>
  <LinksUpToDate>false</LinksUpToDate>
  <CharactersWithSpaces>58850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卢真</cp:lastModifiedBy>
  <cp:lastPrinted>2022-12-01T06:09:00Z</cp:lastPrinted>
  <dcterms:modified xsi:type="dcterms:W3CDTF">2026-04-09T08:58:59Z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2B7F1448BEA9487788BDD091BFF44FC7_13</vt:lpwstr>
  </property>
  <property fmtid="{D5CDD505-2E9C-101B-9397-08002B2CF9AE}" pid="4" name="KSOTemplateDocerSaveRecord">
    <vt:lpwstr>eyJoZGlkIjoiMjM2ODFkNzM3YjFmM2ZkNTQzZjVjOWMwMzE4N2JlYTEiLCJ1c2VySWQiOiIyNDY2MzMwNzIifQ==</vt:lpwstr>
  </property>
</Properties>
</file>