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color w:val="auto"/>
          <w:sz w:val="30"/>
          <w:szCs w:val="30"/>
          <w:highlight w:val="none"/>
          <w:lang w:val="en-US" w:eastAsia="zh-CN"/>
        </w:rPr>
      </w:pPr>
      <w:r>
        <w:rPr>
          <w:rFonts w:hint="eastAsia"/>
          <w:b/>
          <w:color w:val="auto"/>
          <w:sz w:val="30"/>
          <w:szCs w:val="30"/>
          <w:highlight w:val="none"/>
          <w:lang w:val="en-US" w:eastAsia="zh-CN"/>
        </w:rPr>
        <w:t>采购需求</w:t>
      </w:r>
    </w:p>
    <w:p>
      <w:pPr>
        <w:pStyle w:val="2"/>
        <w:rPr>
          <w:rFonts w:hint="eastAsia"/>
          <w:color w:val="auto"/>
          <w:highlight w:val="none"/>
          <w:lang w:val="en-US" w:eastAsia="zh-CN"/>
        </w:rPr>
      </w:pPr>
    </w:p>
    <w:p>
      <w:pPr>
        <w:pStyle w:val="10"/>
        <w:widowControl/>
        <w:numPr>
          <w:ilvl w:val="0"/>
          <w:numId w:val="1"/>
        </w:numPr>
        <w:spacing w:line="360" w:lineRule="auto"/>
        <w:ind w:firstLineChars="0"/>
        <w:jc w:val="left"/>
        <w:rPr>
          <w:rFonts w:ascii="黑体" w:hAnsi="黑体" w:cs="Helvetica Neue"/>
          <w:b/>
          <w:color w:val="auto"/>
          <w:kern w:val="0"/>
          <w:sz w:val="32"/>
          <w:szCs w:val="32"/>
          <w:highlight w:val="none"/>
        </w:rPr>
      </w:pPr>
      <w:r>
        <w:rPr>
          <w:rFonts w:hint="eastAsia" w:ascii="黑体" w:hAnsi="黑体" w:cs="Helvetica Neue"/>
          <w:b/>
          <w:color w:val="auto"/>
          <w:kern w:val="0"/>
          <w:sz w:val="32"/>
          <w:szCs w:val="32"/>
          <w:highlight w:val="none"/>
        </w:rPr>
        <w:t>采购需求</w:t>
      </w:r>
    </w:p>
    <w:p>
      <w:pPr>
        <w:spacing w:line="360" w:lineRule="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（一）采购项目需实现的功能和目标：</w:t>
      </w:r>
      <w:r>
        <w:rPr>
          <w:rFonts w:hint="eastAsia" w:ascii="仿宋" w:hAnsi="仿宋" w:eastAsia="仿宋"/>
          <w:color w:val="auto"/>
          <w:sz w:val="32"/>
          <w:szCs w:val="32"/>
          <w:highlight w:val="none"/>
          <w:lang w:val="en-US" w:eastAsia="zh-CN"/>
        </w:rPr>
        <w:t>实现</w:t>
      </w:r>
      <w:r>
        <w:rPr>
          <w:rFonts w:hint="eastAsia" w:ascii="仿宋" w:hAnsi="仿宋" w:eastAsia="仿宋"/>
          <w:color w:val="auto"/>
          <w:sz w:val="32"/>
          <w:szCs w:val="32"/>
          <w:highlight w:val="none"/>
        </w:rPr>
        <w:t>2024年7月-2026年6月共两年中药饮片</w:t>
      </w:r>
      <w:r>
        <w:rPr>
          <w:rFonts w:hint="eastAsia" w:ascii="仿宋" w:hAnsi="仿宋" w:eastAsia="仿宋"/>
          <w:color w:val="auto"/>
          <w:sz w:val="32"/>
          <w:szCs w:val="32"/>
          <w:highlight w:val="none"/>
          <w:lang w:val="en-US" w:eastAsia="zh-CN"/>
        </w:rPr>
        <w:t>采购</w:t>
      </w:r>
      <w:r>
        <w:rPr>
          <w:rFonts w:hint="eastAsia" w:ascii="仿宋" w:hAnsi="仿宋" w:eastAsia="仿宋"/>
          <w:color w:val="auto"/>
          <w:sz w:val="32"/>
          <w:szCs w:val="32"/>
          <w:highlight w:val="none"/>
        </w:rPr>
        <w:t>需求，采购符合质量标准、质优价廉的中药饮片</w:t>
      </w:r>
      <w:r>
        <w:rPr>
          <w:rFonts w:hint="eastAsia" w:ascii="仿宋" w:hAnsi="仿宋" w:eastAsia="仿宋"/>
          <w:color w:val="auto"/>
          <w:sz w:val="32"/>
          <w:szCs w:val="32"/>
          <w:highlight w:val="none"/>
          <w:lang w:val="en-US" w:eastAsia="zh-CN"/>
        </w:rPr>
        <w:t>以</w:t>
      </w:r>
      <w:r>
        <w:rPr>
          <w:rFonts w:hint="eastAsia" w:ascii="仿宋" w:hAnsi="仿宋" w:eastAsia="仿宋"/>
          <w:color w:val="auto"/>
          <w:sz w:val="32"/>
          <w:szCs w:val="32"/>
          <w:highlight w:val="none"/>
        </w:rPr>
        <w:t>保障医院医疗服务质量，降低患者就医成本。</w:t>
      </w:r>
    </w:p>
    <w:p>
      <w:pPr>
        <w:spacing w:line="360" w:lineRule="auto"/>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）采购标的汇总表</w:t>
      </w:r>
    </w:p>
    <w:tbl>
      <w:tblPr>
        <w:tblStyle w:val="7"/>
        <w:tblW w:w="8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264"/>
        <w:gridCol w:w="1035"/>
        <w:gridCol w:w="1100"/>
        <w:gridCol w:w="2116"/>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265"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auto"/>
                <w:kern w:val="0"/>
                <w:sz w:val="28"/>
                <w:szCs w:val="28"/>
                <w:highlight w:val="none"/>
              </w:rPr>
            </w:pPr>
            <w:r>
              <w:rPr>
                <w:rFonts w:hint="eastAsia" w:ascii="仿宋" w:hAnsi="仿宋" w:eastAsia="仿宋" w:cs="Helvetica Neue"/>
                <w:color w:val="auto"/>
                <w:kern w:val="0"/>
                <w:sz w:val="28"/>
                <w:szCs w:val="28"/>
                <w:highlight w:val="none"/>
              </w:rPr>
              <w:t>序号</w:t>
            </w:r>
          </w:p>
        </w:tc>
        <w:tc>
          <w:tcPr>
            <w:tcW w:w="1264"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auto"/>
                <w:kern w:val="0"/>
                <w:sz w:val="28"/>
                <w:szCs w:val="28"/>
                <w:highlight w:val="none"/>
              </w:rPr>
            </w:pPr>
            <w:r>
              <w:rPr>
                <w:rFonts w:hint="eastAsia" w:ascii="仿宋" w:hAnsi="仿宋" w:eastAsia="仿宋" w:cs="Helvetica Neue"/>
                <w:color w:val="auto"/>
                <w:kern w:val="0"/>
                <w:sz w:val="28"/>
                <w:szCs w:val="28"/>
                <w:highlight w:val="none"/>
                <w:lang w:val="en-US" w:eastAsia="zh-CN"/>
              </w:rPr>
              <w:t>标的</w:t>
            </w:r>
            <w:r>
              <w:rPr>
                <w:rFonts w:hint="eastAsia" w:ascii="仿宋" w:hAnsi="仿宋" w:eastAsia="仿宋" w:cs="Helvetica Neue"/>
                <w:color w:val="auto"/>
                <w:kern w:val="0"/>
                <w:sz w:val="28"/>
                <w:szCs w:val="28"/>
                <w:highlight w:val="none"/>
              </w:rPr>
              <w:t>名称</w:t>
            </w:r>
          </w:p>
        </w:tc>
        <w:tc>
          <w:tcPr>
            <w:tcW w:w="1035"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auto"/>
                <w:kern w:val="0"/>
                <w:sz w:val="28"/>
                <w:szCs w:val="28"/>
                <w:highlight w:val="none"/>
              </w:rPr>
            </w:pPr>
            <w:r>
              <w:rPr>
                <w:rFonts w:hint="eastAsia" w:ascii="仿宋" w:hAnsi="仿宋" w:eastAsia="仿宋" w:cs="Helvetica Neue"/>
                <w:color w:val="auto"/>
                <w:kern w:val="0"/>
                <w:sz w:val="28"/>
                <w:szCs w:val="28"/>
                <w:highlight w:val="none"/>
              </w:rPr>
              <w:t>计量单位</w:t>
            </w:r>
          </w:p>
        </w:tc>
        <w:tc>
          <w:tcPr>
            <w:tcW w:w="1100"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auto"/>
                <w:kern w:val="0"/>
                <w:sz w:val="28"/>
                <w:szCs w:val="28"/>
                <w:highlight w:val="none"/>
              </w:rPr>
            </w:pPr>
            <w:r>
              <w:rPr>
                <w:rFonts w:hint="eastAsia" w:ascii="仿宋" w:hAnsi="仿宋" w:eastAsia="仿宋" w:cs="Helvetica Neue"/>
                <w:color w:val="auto"/>
                <w:kern w:val="0"/>
                <w:sz w:val="28"/>
                <w:szCs w:val="28"/>
                <w:highlight w:val="none"/>
              </w:rPr>
              <w:t>数量</w:t>
            </w:r>
          </w:p>
        </w:tc>
        <w:tc>
          <w:tcPr>
            <w:tcW w:w="2116" w:type="dxa"/>
            <w:shd w:val="clear" w:color="auto" w:fill="FFFFFF"/>
            <w:vAlign w:val="center"/>
          </w:tcPr>
          <w:p>
            <w:pPr>
              <w:autoSpaceDE w:val="0"/>
              <w:autoSpaceDN w:val="0"/>
              <w:adjustRightInd w:val="0"/>
              <w:spacing w:line="360" w:lineRule="auto"/>
              <w:jc w:val="center"/>
              <w:rPr>
                <w:rFonts w:hint="eastAsia" w:ascii="仿宋" w:hAnsi="仿宋" w:eastAsia="仿宋" w:cs="Helvetica Neue"/>
                <w:color w:val="auto"/>
                <w:kern w:val="0"/>
                <w:sz w:val="28"/>
                <w:szCs w:val="28"/>
                <w:highlight w:val="none"/>
              </w:rPr>
            </w:pPr>
            <w:r>
              <w:rPr>
                <w:rFonts w:hint="eastAsia" w:ascii="仿宋" w:hAnsi="仿宋" w:eastAsia="仿宋" w:cs="Helvetica Neue"/>
                <w:color w:val="auto"/>
                <w:kern w:val="0"/>
                <w:sz w:val="28"/>
                <w:szCs w:val="28"/>
                <w:highlight w:val="none"/>
              </w:rPr>
              <w:t>预算</w:t>
            </w:r>
          </w:p>
          <w:p>
            <w:pPr>
              <w:autoSpaceDE w:val="0"/>
              <w:autoSpaceDN w:val="0"/>
              <w:adjustRightInd w:val="0"/>
              <w:spacing w:line="360" w:lineRule="auto"/>
              <w:jc w:val="center"/>
              <w:rPr>
                <w:rFonts w:hint="default" w:ascii="仿宋" w:hAnsi="仿宋" w:eastAsia="仿宋" w:cs="Helvetica Neue"/>
                <w:color w:val="auto"/>
                <w:kern w:val="0"/>
                <w:sz w:val="28"/>
                <w:szCs w:val="28"/>
                <w:highlight w:val="none"/>
                <w:lang w:val="en-US" w:eastAsia="zh-CN"/>
              </w:rPr>
            </w:pPr>
            <w:r>
              <w:rPr>
                <w:rFonts w:hint="eastAsia" w:ascii="仿宋" w:hAnsi="仿宋" w:eastAsia="仿宋" w:cs="Helvetica Neue"/>
                <w:color w:val="auto"/>
                <w:kern w:val="0"/>
                <w:sz w:val="28"/>
                <w:szCs w:val="28"/>
                <w:highlight w:val="none"/>
                <w:lang w:eastAsia="zh-CN"/>
              </w:rPr>
              <w:t>（</w:t>
            </w:r>
            <w:r>
              <w:rPr>
                <w:rFonts w:hint="eastAsia" w:ascii="仿宋" w:hAnsi="仿宋" w:eastAsia="仿宋" w:cs="Helvetica Neue"/>
                <w:color w:val="auto"/>
                <w:kern w:val="0"/>
                <w:sz w:val="28"/>
                <w:szCs w:val="28"/>
                <w:highlight w:val="none"/>
                <w:lang w:val="en-US" w:eastAsia="zh-CN"/>
              </w:rPr>
              <w:t>元）</w:t>
            </w:r>
          </w:p>
        </w:tc>
        <w:tc>
          <w:tcPr>
            <w:tcW w:w="1337"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auto"/>
                <w:kern w:val="0"/>
                <w:sz w:val="28"/>
                <w:szCs w:val="28"/>
                <w:highlight w:val="none"/>
              </w:rPr>
            </w:pPr>
            <w:r>
              <w:rPr>
                <w:rFonts w:hint="eastAsia" w:ascii="仿宋" w:hAnsi="仿宋" w:eastAsia="仿宋" w:cs="Helvetica Neue"/>
                <w:color w:val="auto"/>
                <w:kern w:val="0"/>
                <w:sz w:val="28"/>
                <w:szCs w:val="28"/>
                <w:highlight w:val="none"/>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265" w:type="dxa"/>
            <w:shd w:val="clear" w:color="auto" w:fill="FFFFFF"/>
            <w:tcMar>
              <w:top w:w="0" w:type="dxa"/>
              <w:right w:w="0" w:type="dxa"/>
            </w:tcMar>
            <w:vAlign w:val="center"/>
          </w:tcPr>
          <w:p>
            <w:pPr>
              <w:autoSpaceDE w:val="0"/>
              <w:autoSpaceDN w:val="0"/>
              <w:adjustRightInd w:val="0"/>
              <w:spacing w:line="360" w:lineRule="auto"/>
              <w:jc w:val="center"/>
              <w:rPr>
                <w:rFonts w:hint="default" w:ascii="仿宋" w:hAnsi="仿宋" w:eastAsia="仿宋" w:cs="Cabin-Regular"/>
                <w:color w:val="auto"/>
                <w:kern w:val="0"/>
                <w:sz w:val="28"/>
                <w:szCs w:val="28"/>
                <w:highlight w:val="none"/>
                <w:lang w:val="en-US" w:eastAsia="zh-CN"/>
              </w:rPr>
            </w:pPr>
            <w:r>
              <w:rPr>
                <w:rFonts w:hint="eastAsia" w:ascii="仿宋" w:hAnsi="仿宋" w:eastAsia="仿宋" w:cs="Cabin-Regular"/>
                <w:color w:val="auto"/>
                <w:kern w:val="0"/>
                <w:sz w:val="28"/>
                <w:szCs w:val="28"/>
                <w:highlight w:val="none"/>
                <w:lang w:val="en-US" w:eastAsia="zh-CN"/>
              </w:rPr>
              <w:t>1</w:t>
            </w:r>
          </w:p>
        </w:tc>
        <w:tc>
          <w:tcPr>
            <w:tcW w:w="1264" w:type="dxa"/>
            <w:shd w:val="clear" w:color="auto" w:fill="FFFFFF"/>
            <w:tcMar>
              <w:top w:w="0" w:type="dxa"/>
              <w:right w:w="0" w:type="dxa"/>
            </w:tcMar>
            <w:vAlign w:val="center"/>
          </w:tcPr>
          <w:p>
            <w:pPr>
              <w:autoSpaceDE w:val="0"/>
              <w:autoSpaceDN w:val="0"/>
              <w:adjustRightInd w:val="0"/>
              <w:spacing w:line="360" w:lineRule="auto"/>
              <w:jc w:val="center"/>
              <w:rPr>
                <w:rFonts w:hint="default" w:ascii="仿宋" w:hAnsi="仿宋" w:eastAsia="仿宋" w:cs="Cabin-Regular"/>
                <w:color w:val="auto"/>
                <w:kern w:val="0"/>
                <w:sz w:val="28"/>
                <w:szCs w:val="28"/>
                <w:highlight w:val="none"/>
                <w:lang w:val="en-US" w:eastAsia="zh-CN"/>
              </w:rPr>
            </w:pPr>
            <w:r>
              <w:rPr>
                <w:rFonts w:hint="eastAsia" w:ascii="仿宋" w:hAnsi="仿宋" w:eastAsia="仿宋" w:cs="Cabin-Regular"/>
                <w:color w:val="auto"/>
                <w:kern w:val="0"/>
                <w:sz w:val="28"/>
                <w:szCs w:val="28"/>
                <w:highlight w:val="none"/>
                <w:lang w:val="en-US" w:eastAsia="zh-CN"/>
              </w:rPr>
              <w:t>中药饮片供应服务</w:t>
            </w:r>
          </w:p>
        </w:tc>
        <w:tc>
          <w:tcPr>
            <w:tcW w:w="1035" w:type="dxa"/>
            <w:shd w:val="clear" w:color="auto" w:fill="FFFFFF"/>
            <w:tcMar>
              <w:top w:w="0" w:type="dxa"/>
              <w:right w:w="0" w:type="dxa"/>
            </w:tcMar>
            <w:vAlign w:val="center"/>
          </w:tcPr>
          <w:p>
            <w:pPr>
              <w:autoSpaceDE w:val="0"/>
              <w:autoSpaceDN w:val="0"/>
              <w:adjustRightInd w:val="0"/>
              <w:spacing w:line="360" w:lineRule="auto"/>
              <w:jc w:val="center"/>
              <w:rPr>
                <w:rFonts w:hint="default" w:ascii="仿宋" w:hAnsi="仿宋" w:eastAsia="仿宋" w:cs="Cabin-Regular"/>
                <w:color w:val="auto"/>
                <w:kern w:val="0"/>
                <w:sz w:val="28"/>
                <w:szCs w:val="28"/>
                <w:highlight w:val="none"/>
                <w:lang w:val="en-US" w:eastAsia="zh-CN"/>
              </w:rPr>
            </w:pPr>
            <w:r>
              <w:rPr>
                <w:rFonts w:hint="eastAsia" w:ascii="仿宋" w:hAnsi="仿宋" w:eastAsia="仿宋" w:cs="Cabin-Regular"/>
                <w:color w:val="auto"/>
                <w:kern w:val="0"/>
                <w:sz w:val="28"/>
                <w:szCs w:val="28"/>
                <w:highlight w:val="none"/>
                <w:lang w:val="en-US" w:eastAsia="zh-CN"/>
              </w:rPr>
              <w:t>项</w:t>
            </w:r>
          </w:p>
        </w:tc>
        <w:tc>
          <w:tcPr>
            <w:tcW w:w="1100" w:type="dxa"/>
            <w:shd w:val="clear" w:color="auto" w:fill="FFFFFF"/>
            <w:tcMar>
              <w:top w:w="0" w:type="dxa"/>
              <w:right w:w="0" w:type="dxa"/>
            </w:tcMar>
            <w:vAlign w:val="center"/>
          </w:tcPr>
          <w:p>
            <w:pPr>
              <w:autoSpaceDE w:val="0"/>
              <w:autoSpaceDN w:val="0"/>
              <w:adjustRightInd w:val="0"/>
              <w:spacing w:line="360" w:lineRule="auto"/>
              <w:jc w:val="center"/>
              <w:rPr>
                <w:rFonts w:hint="default" w:ascii="仿宋" w:hAnsi="仿宋" w:eastAsia="仿宋" w:cs="Cabin-Regular"/>
                <w:color w:val="auto"/>
                <w:kern w:val="0"/>
                <w:sz w:val="28"/>
                <w:szCs w:val="28"/>
                <w:highlight w:val="none"/>
                <w:lang w:val="en-US" w:eastAsia="zh-CN"/>
              </w:rPr>
            </w:pPr>
            <w:r>
              <w:rPr>
                <w:rFonts w:hint="eastAsia" w:ascii="仿宋" w:hAnsi="仿宋" w:eastAsia="仿宋" w:cs="Cabin-Regular"/>
                <w:color w:val="auto"/>
                <w:kern w:val="0"/>
                <w:sz w:val="28"/>
                <w:szCs w:val="28"/>
                <w:highlight w:val="none"/>
                <w:lang w:val="en-US" w:eastAsia="zh-CN"/>
              </w:rPr>
              <w:t>1</w:t>
            </w:r>
          </w:p>
        </w:tc>
        <w:tc>
          <w:tcPr>
            <w:tcW w:w="2116" w:type="dxa"/>
            <w:shd w:val="clear" w:color="auto" w:fill="FFFFFF"/>
            <w:vAlign w:val="center"/>
          </w:tcPr>
          <w:p>
            <w:pPr>
              <w:autoSpaceDE w:val="0"/>
              <w:autoSpaceDN w:val="0"/>
              <w:adjustRightInd w:val="0"/>
              <w:spacing w:line="360" w:lineRule="auto"/>
              <w:jc w:val="center"/>
              <w:rPr>
                <w:rFonts w:hint="eastAsia" w:ascii="仿宋" w:hAnsi="仿宋" w:cs="Helvetica Neue" w:eastAsiaTheme="minorEastAsia"/>
                <w:color w:val="auto"/>
                <w:kern w:val="0"/>
                <w:sz w:val="28"/>
                <w:szCs w:val="28"/>
                <w:highlight w:val="none"/>
                <w:lang w:val="en-US" w:eastAsia="zh-CN"/>
              </w:rPr>
            </w:pPr>
            <w:r>
              <w:rPr>
                <w:rFonts w:hint="eastAsia" w:ascii="仿宋" w:hAnsi="仿宋" w:eastAsia="仿宋" w:cs="Cabin-Regular"/>
                <w:color w:val="auto"/>
                <w:kern w:val="0"/>
                <w:sz w:val="28"/>
                <w:szCs w:val="28"/>
                <w:highlight w:val="none"/>
                <w:lang w:val="en-US" w:eastAsia="zh-CN"/>
              </w:rPr>
              <w:t>3,000,000.00</w:t>
            </w:r>
          </w:p>
        </w:tc>
        <w:tc>
          <w:tcPr>
            <w:tcW w:w="1337" w:type="dxa"/>
            <w:shd w:val="clear" w:color="auto" w:fill="FFFFFF"/>
            <w:tcMar>
              <w:top w:w="0" w:type="dxa"/>
              <w:right w:w="0" w:type="dxa"/>
            </w:tcMar>
            <w:vAlign w:val="center"/>
          </w:tcPr>
          <w:p>
            <w:pPr>
              <w:autoSpaceDE w:val="0"/>
              <w:autoSpaceDN w:val="0"/>
              <w:adjustRightInd w:val="0"/>
              <w:spacing w:line="360" w:lineRule="auto"/>
              <w:jc w:val="center"/>
              <w:rPr>
                <w:rFonts w:hint="default" w:ascii="仿宋" w:hAnsi="仿宋" w:eastAsia="仿宋" w:cs="Cabin-Regular"/>
                <w:color w:val="auto"/>
                <w:kern w:val="0"/>
                <w:sz w:val="28"/>
                <w:szCs w:val="28"/>
                <w:highlight w:val="none"/>
                <w:lang w:val="en-US" w:eastAsia="zh-CN"/>
              </w:rPr>
            </w:pPr>
            <w:r>
              <w:rPr>
                <w:rFonts w:hint="eastAsia" w:ascii="仿宋" w:hAnsi="仿宋" w:eastAsia="仿宋" w:cs="Cabin-Regular"/>
                <w:color w:val="auto"/>
                <w:kern w:val="0"/>
                <w:sz w:val="28"/>
                <w:szCs w:val="28"/>
                <w:highlight w:val="none"/>
                <w:lang w:val="en-US" w:eastAsia="zh-CN"/>
              </w:rPr>
              <w:t>否</w:t>
            </w:r>
          </w:p>
        </w:tc>
      </w:tr>
    </w:tbl>
    <w:p>
      <w:pPr>
        <w:autoSpaceDE w:val="0"/>
        <w:autoSpaceDN w:val="0"/>
        <w:adjustRightInd w:val="0"/>
        <w:spacing w:line="360" w:lineRule="auto"/>
        <w:jc w:val="left"/>
        <w:rPr>
          <w:rFonts w:ascii="仿宋" w:hAnsi="仿宋" w:eastAsia="仿宋" w:cs="Helvetica Neue"/>
          <w:i/>
          <w:iCs/>
          <w:color w:val="auto"/>
          <w:kern w:val="0"/>
          <w:sz w:val="24"/>
          <w:highlight w:val="none"/>
        </w:rPr>
        <w:sectPr>
          <w:headerReference r:id="rId3" w:type="default"/>
          <w:footerReference r:id="rId4" w:type="default"/>
          <w:pgSz w:w="11900" w:h="16840"/>
          <w:pgMar w:top="1440" w:right="1800" w:bottom="1440" w:left="1800" w:header="851" w:footer="992" w:gutter="0"/>
          <w:cols w:space="425" w:num="1"/>
          <w:docGrid w:type="lines" w:linePitch="312" w:charSpace="0"/>
        </w:sectPr>
      </w:pPr>
    </w:p>
    <w:p>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）技术要求与商务要求</w:t>
      </w:r>
    </w:p>
    <w:p>
      <w:pPr>
        <w:spacing w:line="360" w:lineRule="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1、采购标</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中药饮片供应服务（2年期）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p>
    <w:p>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（1）技术要求</w:t>
      </w:r>
      <w:r>
        <w:rPr>
          <w:rFonts w:hint="eastAsia" w:ascii="仿宋" w:hAnsi="仿宋" w:eastAsia="仿宋" w:cs="仿宋"/>
          <w:b/>
          <w:bCs/>
          <w:color w:val="auto"/>
          <w:sz w:val="32"/>
          <w:szCs w:val="32"/>
          <w:highlight w:val="none"/>
          <w:lang w:val="en-US" w:eastAsia="zh-CN"/>
        </w:rPr>
        <w:t>或参数</w:t>
      </w:r>
      <w:r>
        <w:rPr>
          <w:rFonts w:hint="eastAsia" w:ascii="仿宋" w:hAnsi="仿宋" w:eastAsia="仿宋" w:cs="仿宋"/>
          <w:color w:val="auto"/>
          <w:sz w:val="32"/>
          <w:szCs w:val="32"/>
          <w:highlight w:val="none"/>
        </w:rPr>
        <w:t>（包括性能、材料、结构、外观、</w:t>
      </w:r>
      <w:r>
        <w:rPr>
          <w:rFonts w:hint="eastAsia" w:ascii="仿宋" w:hAnsi="仿宋" w:eastAsia="仿宋" w:cs="仿宋"/>
          <w:color w:val="auto"/>
          <w:sz w:val="32"/>
          <w:szCs w:val="32"/>
          <w:highlight w:val="none"/>
          <w:lang w:val="en-US" w:eastAsia="zh-CN"/>
        </w:rPr>
        <w:t>工程清单、图纸、设计和服务方案、</w:t>
      </w:r>
      <w:r>
        <w:rPr>
          <w:rFonts w:hint="eastAsia" w:ascii="仿宋" w:hAnsi="仿宋" w:eastAsia="仿宋" w:cs="仿宋"/>
          <w:color w:val="auto"/>
          <w:sz w:val="32"/>
          <w:szCs w:val="32"/>
          <w:highlight w:val="none"/>
        </w:rPr>
        <w:t>安全或服务内容和服务标准</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color w:val="auto"/>
          <w:highlight w:val="none"/>
        </w:rPr>
      </w:pPr>
      <w:r>
        <w:rPr>
          <w:rFonts w:hint="eastAsia" w:ascii="仿宋" w:hAnsi="仿宋" w:eastAsia="仿宋" w:cs="仿宋"/>
          <w:b w:val="0"/>
          <w:bCs/>
          <w:color w:val="auto"/>
          <w:kern w:val="2"/>
          <w:sz w:val="32"/>
          <w:szCs w:val="32"/>
          <w:highlight w:val="none"/>
          <w:u w:val="single"/>
          <w:lang w:val="en-US" w:eastAsia="zh-CN" w:bidi="ar-SA"/>
        </w:rPr>
        <w:t xml:space="preserve">     详见中药饮片需求一览表</w:t>
      </w:r>
      <w:r>
        <w:rPr>
          <w:rFonts w:hint="eastAsia" w:ascii="仿宋" w:hAnsi="仿宋" w:eastAsia="仿宋" w:cs="仿宋"/>
          <w:color w:val="auto"/>
          <w:sz w:val="32"/>
          <w:szCs w:val="32"/>
          <w:highlight w:val="none"/>
          <w:u w:val="single"/>
        </w:rPr>
        <w:t>。</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一、服务要求:</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1、供应商在合同履行期限内，严格按照中标价格执行采购人采购计划，保障供应。</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2、中标后，药品生产企业</w:t>
      </w:r>
      <w:r>
        <w:rPr>
          <w:rFonts w:hint="eastAsia" w:ascii="仿宋" w:hAnsi="仿宋" w:eastAsia="仿宋" w:cs="仿宋"/>
          <w:color w:val="auto"/>
          <w:sz w:val="32"/>
          <w:szCs w:val="32"/>
          <w:highlight w:val="none"/>
          <w:lang w:eastAsia="zh-CN"/>
        </w:rPr>
        <w:t>或供应商</w:t>
      </w:r>
      <w:r>
        <w:rPr>
          <w:rFonts w:hint="eastAsia" w:ascii="仿宋" w:hAnsi="仿宋" w:eastAsia="仿宋" w:cs="仿宋"/>
          <w:color w:val="auto"/>
          <w:sz w:val="32"/>
          <w:szCs w:val="32"/>
          <w:highlight w:val="none"/>
          <w:lang w:val="en-US" w:eastAsia="zh-CN"/>
        </w:rPr>
        <w:t>须与医院签订“质量保证协议书”，保证所供中药饮片的有关质量标准符合国家药品监督管理局的规定，确保临床用药安全有效，并向采购人提供每一批中药饮片的质检报告，随货同行。</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3、供应商须能供应多种包装规格，如 3g、5g、10g、15g、20g 等，可根据采购人需求提供各种规格的小包装中药饮片；提供的小包装色标须符合《国家中医药管理局办公室关于印发小包装中药饮片规格和色标的通知(国中医药办医政发[2011]18号)》文件的要求。如果临床用药有特殊的包装需求，供应商须协助满足临床需求。</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供应商提供的中药饮片应在最小包装袋上和外包装袋上须附有该饮片的产品标签，包括品名、规格、产地、生产企业、产品批号、生产日期等内容。实施批准文号管理的中药饮片还必须注明药品批准文号；毒性中药饮片的包装还须增印毒性药品警示标记。</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供应商应配备足够库存饮片，能够按采购人的采购计划（品种、规格、数量）足量配送；供应商须保证能够按时按量供应采购人中药饮片目录上的所有产品，并保证此目录内的中药饮片在采购期限内可持续供货；除不可抗力原因外，同一中药饮片出现超过两次缺货时长达2周以上（含2周）的情况，供应商须提供放弃该品种的说明函并加盖公章；如超过二十一天仍未解决供应短缺问题，医院有权视为供应商主动放弃供应。</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采购人根据临床需求，领导审批后向供应商下达中药饮片供货订单。供应商必须满足采购人的采购需求，不论供货规模多少，均应保证按时按量配送，并对所供应的中药饮片质量负责，发生质量问题（除患者自身保管不妥外）一切由供应商承担责任。供应商不得以交货地点远或送货量少而拒绝按时送达，因上述理由经查属实二次以上或一年内因发生质量问题而需退换货累计超过2批次，采购人有权终止合同，由此产生的一切损失，均由供应商一律承担；若中标产品有断货或停供等特殊情况时，供应商必须提前5个工作日通知采购人，并出示加盖公章的停止供货书面说明，价格变动不能成为停止供货理由。</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7、如供应商为非药品生产企业，须提供药品生产企业对药品经营企业的授权委托书和供货合同（提供授权委托书和供货合同的复印件加盖单位公章）。</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8、供应商应保证采购人在使用药品时免受第三方提出的有关专利权、商标权或保护期等方面的权利要求。</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二、配送要求:</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负责配送工作，供应商应根据采购人的药品采购计划，按规定的中药饮片品种、规格和数量进行配送，供应商须在接到采购人通知后2小时内响应并反馈药品可供应情况，且须于接到通知后48小时内送至指定地点，紧急用药必须在6小时内送达，并保证能1周内多次送货，不得影响医院正常用药，配送时应提供同批号的质检报告书。</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2、供应商提供的中药饮片应符合现行版《中华人民共和国药典》；如该品种无现行版药典标准，应符合既往版药典或广东省标准或生厂商所在省市的地方标准。</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供应商配送的中药饮片应搬运至采购人指定地点，并提供中药饮片清单（需电子打印清单）、详细信息资料，待医院专业技术人员验收无误后方可离开，对不符合合同约定或质量要求的，采购人有权拒绝接受。</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4、供应商若未能按时供货而造成采购人损失的，供应商必须负责赔偿及承担相关责任。除不可抗力原因外如供应商3次逾期交货的，采购人有权终止合同。</w:t>
      </w:r>
    </w:p>
    <w:p>
      <w:pPr>
        <w:widowControl/>
        <w:tabs>
          <w:tab w:val="left" w:pos="424"/>
          <w:tab w:val="left" w:pos="826"/>
        </w:tabs>
        <w:spacing w:line="360" w:lineRule="auto"/>
        <w:ind w:firstLine="0" w:firstLineChars="0"/>
        <w:rPr>
          <w:rFonts w:hint="eastAsia" w:ascii="仿宋" w:hAnsi="仿宋" w:eastAsia="仿宋" w:cs="仿宋"/>
          <w:color w:val="auto"/>
          <w:sz w:val="32"/>
          <w:szCs w:val="32"/>
          <w:highlight w:val="none"/>
          <w:lang w:val="en-US" w:eastAsia="zh-CN"/>
        </w:rPr>
      </w:pP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三、其他要求:</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1、供应商保证依法处理医药购销业务事项，不搞违法乱纪活动，自觉接受监督检查；维护正常的医疗秩序，不影响医生用药选择权。</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2、供应商提供的药品必须出具合法完整票据，以便有疑问时有据可查。</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3、供应商应定期征询采购人对药品质量和服务质量意见，改进工作，提高服务质量，做好售后跟踪服务。</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供应商所提供的药品质量不符合合同约定或质量要求的，如给采购人造成损失的，供应商应当赔偿损失。采购人在使用中，如发现有使用方面的质量问题，供应商应在第一时间赶到现场，配合处理相关事宜，如有纠纷，赔偿由供应商承担。</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5、供需双方在药品购销过程中严格执行《中华人民共和国药品管理法》、《医疗机构药事管理规定》和《处方管理办法》等法律法规的有关规定，诚信经营。</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供应商所配送药品如临床使用过程中出现群体药物不良反应时，采购人有权退回所有同类剩余药品,并根据不良反应的严重程度及造成的后果要求供应商承担相应责任，并有权终止合同，由此造成的一切损失均由供应商承担。</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其他未尽事宜，可在双方合同签订时协商确定。合同签署后，根据项目实际需求，采购人有权适当调整服务内容或要求，经双方协商同意后执行。如遇重大政策调整影响，属不可抗力因素，采购人及供应商均应共同遵守政策规定，无条件终止合同并执行相关政策文件，双方均不负赔偿责任。</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★四、罚则:</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采购人发出订单通知后供应商拒绝供货的，供应商应向采购人支付拒绝供货部分货款10%的违约金，还应继续履行供货义务；除不可抗力原因外，同一中药饮片出现超过两次缺货时长达2周以上（含2周）的情况，则该中药饮片不再由该名供应商供应。</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保证提供的药品品质、生产厂家等与报价清单一致，对不符合要求的，采购人有权拒绝接受，并要求供应商进行退、换、补，供应商应在48小时内进行更换、补充，紧急用药须在6小时内完成更换、补充，不得影响采购人的临床用药，否则，采购人有权终止合同并要求供应商对其所造成的损失进行赔偿。</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3、合同履行期限内，如有企业名称、中药饮片包装等信息变更的，需在变更之日起10个工作日内向采购人办理备案手续。逾期未办理备案的，采购人有权终止合同，由此产生的一切损失，均由供应商一律承担。</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4、若供应商在合同履行期限内存在违法、违规或违反合同、招投标文件的行为，且经采购人核查属实，则采购人有权终止合同，对此采购人并不构成违约，同时依法依规向供应商提出索偿。</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如供应商弄虚作假，以次充好（例如在整体包装中上层优品，下层劣品），或提供假冒伪劣、不合格药品的，采购人有权终止合同，供应商还应赔偿采购人所有损失；如因该药品造成人员伤亡的，按实际损失另行赔偿并承担法律责任。</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6、供应商在投标文件中已对本采购文件需求等条款进行响应的，在合同执行过程中，如出现违反其投标文件内容或执行不到位，且采购人已对其发出书面通报两次或以上的，采购人有权终止合同。</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7、如因供应商违约导致采购人循法律途径主张权利，由此产生的诉讼费、律师费、差旅费等合理费用均由供应商承担。</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color w:val="auto"/>
          <w:sz w:val="32"/>
          <w:szCs w:val="32"/>
          <w:highlight w:val="none"/>
          <w:u w:val="single"/>
          <w:lang w:val="en-US" w:eastAsia="zh-CN"/>
        </w:rPr>
      </w:pPr>
    </w:p>
    <w:p>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（2）商务要求：</w:t>
      </w:r>
    </w:p>
    <w:p>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）交付时间：</w:t>
      </w:r>
      <w:r>
        <w:rPr>
          <w:rFonts w:hint="eastAsia" w:ascii="仿宋" w:hAnsi="仿宋" w:eastAsia="仿宋" w:cs="仿宋"/>
          <w:b w:val="0"/>
          <w:bCs/>
          <w:color w:val="auto"/>
          <w:sz w:val="32"/>
          <w:szCs w:val="32"/>
          <w:highlight w:val="none"/>
          <w:u w:val="single"/>
          <w:lang w:val="en-US" w:eastAsia="zh-CN"/>
        </w:rPr>
        <w:t>接到通知后2小时内响应并反馈药品可供应情况，且须于接到通知后48小时内送至指定地点，紧急用药必须在6小时内送达，并保证能1周内多次送货。</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2）地点：</w:t>
      </w:r>
      <w:r>
        <w:rPr>
          <w:rFonts w:hint="eastAsia" w:ascii="仿宋" w:hAnsi="仿宋" w:eastAsia="仿宋" w:cs="仿宋"/>
          <w:color w:val="auto"/>
          <w:sz w:val="32"/>
          <w:szCs w:val="32"/>
          <w:highlight w:val="none"/>
          <w:u w:val="single"/>
          <w:lang w:eastAsia="zh-CN"/>
        </w:rPr>
        <w:t>中山火炬开发区人民医院</w:t>
      </w:r>
      <w:r>
        <w:rPr>
          <w:rFonts w:hint="eastAsia" w:ascii="仿宋" w:hAnsi="仿宋" w:eastAsia="仿宋" w:cs="仿宋"/>
          <w:color w:val="auto"/>
          <w:sz w:val="32"/>
          <w:szCs w:val="32"/>
          <w:highlight w:val="none"/>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pacing w:val="-1"/>
          <w:sz w:val="32"/>
          <w:szCs w:val="32"/>
          <w:highlight w:val="none"/>
          <w:u w:val="single"/>
        </w:rPr>
      </w:pPr>
      <w:r>
        <w:rPr>
          <w:rFonts w:hint="eastAsia" w:ascii="仿宋" w:hAnsi="仿宋" w:eastAsia="仿宋" w:cs="仿宋"/>
          <w:color w:val="auto"/>
          <w:sz w:val="32"/>
          <w:szCs w:val="32"/>
          <w:highlight w:val="none"/>
        </w:rPr>
        <w:t>3）付款进度和方式：</w:t>
      </w:r>
      <w:r>
        <w:rPr>
          <w:rFonts w:hint="eastAsia" w:ascii="仿宋" w:hAnsi="仿宋" w:eastAsia="仿宋" w:cs="仿宋"/>
          <w:b w:val="0"/>
          <w:bCs/>
          <w:color w:val="auto"/>
          <w:sz w:val="32"/>
          <w:szCs w:val="32"/>
          <w:highlight w:val="none"/>
          <w:u w:val="single"/>
          <w:lang w:val="en-US" w:eastAsia="zh-CN"/>
        </w:rPr>
        <w:t>按每月实际采购量结算，以每个自然月最后一日为截数日，持随货同行单、货物签收单、对账单、发票向采购方结算，采购方在收到供应商请款资料核对无误后，90日内付清货款</w:t>
      </w:r>
      <w:r>
        <w:rPr>
          <w:rFonts w:hint="eastAsia" w:ascii="仿宋" w:hAnsi="仿宋" w:eastAsia="仿宋" w:cs="仿宋"/>
          <w:color w:val="auto"/>
          <w:spacing w:val="-1"/>
          <w:sz w:val="32"/>
          <w:szCs w:val="32"/>
          <w:highlight w:val="none"/>
          <w:u w:val="single"/>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6" w:firstLineChars="200"/>
        <w:jc w:val="left"/>
        <w:textAlignment w:val="auto"/>
        <w:rPr>
          <w:rFonts w:hint="default" w:ascii="仿宋" w:hAnsi="仿宋" w:eastAsia="仿宋" w:cs="仿宋"/>
          <w:color w:val="auto"/>
          <w:spacing w:val="-1"/>
          <w:sz w:val="32"/>
          <w:szCs w:val="32"/>
          <w:highlight w:val="none"/>
          <w:u w:val="single"/>
          <w:lang w:val="en-US" w:eastAsia="zh-CN"/>
        </w:rPr>
      </w:pPr>
      <w:r>
        <w:rPr>
          <w:rFonts w:hint="eastAsia" w:ascii="仿宋" w:hAnsi="仿宋" w:eastAsia="仿宋" w:cs="仿宋"/>
          <w:color w:val="auto"/>
          <w:spacing w:val="-1"/>
          <w:sz w:val="32"/>
          <w:szCs w:val="32"/>
          <w:highlight w:val="none"/>
          <w:u w:val="single"/>
          <w:lang w:val="en-US" w:eastAsia="zh-CN"/>
        </w:rPr>
        <w:t>履约保证金：收取比例：5%，说明：中标人应在中标结果公告发布后5个工作日内将合同金额（预算金额）的5%款项（可选支票、汇票、本票、保函、转账等非现金形式）作为履约保证金汇入采购人指定的账户。在履约期满后采购人于30日内无息退还其履约保证金。不予退还的情形:拒绝履行合同义务的。采购人逾期退还履约保证金的，从逾期之日起每日按履约保证金3‰的数额向中标人支付违约金。但因中标人自身原因导致无法及时退还的除外。</w:t>
      </w:r>
    </w:p>
    <w:p>
      <w:pPr>
        <w:spacing w:line="360" w:lineRule="auto"/>
        <w:ind w:firstLine="640" w:firstLineChars="200"/>
        <w:rPr>
          <w:rFonts w:hint="eastAsia" w:ascii="仿宋" w:hAnsi="仿宋" w:eastAsia="仿宋" w:cs="仿宋"/>
          <w:b w:val="0"/>
          <w:bCs/>
          <w:color w:val="auto"/>
          <w:kern w:val="2"/>
          <w:sz w:val="32"/>
          <w:szCs w:val="32"/>
          <w:highlight w:val="none"/>
          <w:u w:val="single"/>
          <w:lang w:val="en-US" w:eastAsia="zh-CN" w:bidi="ar-SA"/>
        </w:rPr>
      </w:pPr>
      <w:r>
        <w:rPr>
          <w:rFonts w:hint="eastAsia" w:ascii="仿宋" w:hAnsi="仿宋" w:eastAsia="仿宋" w:cs="仿宋"/>
          <w:color w:val="auto"/>
          <w:sz w:val="32"/>
          <w:szCs w:val="32"/>
          <w:highlight w:val="none"/>
        </w:rPr>
        <w:t>4）包装运输：</w:t>
      </w:r>
      <w:r>
        <w:rPr>
          <w:rFonts w:hint="eastAsia" w:ascii="仿宋" w:hAnsi="仿宋" w:eastAsia="仿宋" w:cs="仿宋"/>
          <w:b w:val="0"/>
          <w:bCs/>
          <w:color w:val="auto"/>
          <w:kern w:val="2"/>
          <w:sz w:val="32"/>
          <w:szCs w:val="32"/>
          <w:highlight w:val="none"/>
          <w:u w:val="single"/>
          <w:lang w:val="en-US" w:eastAsia="zh-CN" w:bidi="ar-SA"/>
        </w:rPr>
        <w:t>饮片内包装须能供应多种包装规格，如3g、5g、10g、15g、20g等，可根据采购人需求提供各种规格的小包装中药饮片；提供的小包装色标须符合《国家中医药管理局办公室关于印发小包装中药饮片规格和色标的通知(国中医药办医政发[2011]18号)》文件的要求。如果临床</w:t>
      </w:r>
      <w:bookmarkStart w:id="0" w:name="_GoBack"/>
      <w:r>
        <w:rPr>
          <w:rFonts w:hint="eastAsia" w:ascii="仿宋" w:hAnsi="仿宋" w:eastAsia="仿宋" w:cs="仿宋"/>
          <w:b w:val="0"/>
          <w:bCs/>
          <w:color w:val="auto"/>
          <w:kern w:val="2"/>
          <w:sz w:val="32"/>
          <w:szCs w:val="32"/>
          <w:highlight w:val="none"/>
          <w:u w:val="single"/>
          <w:lang w:val="en-US" w:eastAsia="zh-CN" w:bidi="ar-SA"/>
        </w:rPr>
        <w:t>用药有特殊的包装需求，供应商须协助满足临床需求。整体</w:t>
      </w:r>
      <w:bookmarkEnd w:id="0"/>
      <w:r>
        <w:rPr>
          <w:rFonts w:hint="eastAsia" w:ascii="仿宋" w:hAnsi="仿宋" w:eastAsia="仿宋" w:cs="仿宋"/>
          <w:b w:val="0"/>
          <w:bCs/>
          <w:color w:val="auto"/>
          <w:kern w:val="2"/>
          <w:sz w:val="32"/>
          <w:szCs w:val="32"/>
          <w:highlight w:val="none"/>
          <w:u w:val="single"/>
          <w:lang w:val="en-US" w:eastAsia="zh-CN" w:bidi="ar-SA"/>
        </w:rPr>
        <w:t>运输包装完整，送货上门至采购方指定点，运输费用由供应商承担。</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5）售后服务：</w:t>
      </w:r>
      <w:r>
        <w:rPr>
          <w:rFonts w:hint="eastAsia" w:ascii="仿宋" w:hAnsi="仿宋" w:eastAsia="仿宋" w:cs="仿宋"/>
          <w:color w:val="auto"/>
          <w:sz w:val="32"/>
          <w:szCs w:val="32"/>
          <w:highlight w:val="none"/>
          <w:u w:val="single"/>
          <w:lang w:val="en-US" w:eastAsia="zh-CN"/>
        </w:rPr>
        <w:t>1、药品正常储存使用过程中出现变质或运输途中损坏，供应商应无条件退换货。</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2、供应商应提供优质的售后服务，保证送货产品自验收合格之日起算，剩余保质期不得短于整个保质期的80%，出现失效、破损、吸潮、结块等质量异常情况供应商免费及时进行退换（不得超过15个工作日），临床积压品种，离有效期截止日期不足6个月时供应商免费及时进行退换。</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3、供应商须根据采购人的要求对需要加工的中药进行免费加工服务（如粉末化加工，即将中药捣至粉末状）并贴上加工生产药品信息（含名称、加工日期）。</w:t>
      </w:r>
    </w:p>
    <w:p>
      <w:pPr>
        <w:widowControl/>
        <w:tabs>
          <w:tab w:val="left" w:pos="424"/>
          <w:tab w:val="left" w:pos="826"/>
        </w:tabs>
        <w:spacing w:line="360" w:lineRule="auto"/>
        <w:ind w:firstLine="640"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4、采购人发现进货的中药饮片破损、近效期、包装不合格或有质量问题的，供应商应保证及时更换或退货处理。</w:t>
      </w:r>
    </w:p>
    <w:p>
      <w:pPr>
        <w:spacing w:line="360" w:lineRule="auto"/>
        <w:ind w:firstLine="640" w:firstLineChars="200"/>
        <w:rPr>
          <w:rFonts w:hint="eastAsia" w:ascii="仿宋" w:hAnsi="仿宋" w:eastAsia="仿宋"/>
          <w:color w:val="auto"/>
          <w:sz w:val="28"/>
          <w:szCs w:val="28"/>
          <w:highlight w:val="none"/>
        </w:rPr>
      </w:pPr>
      <w:r>
        <w:rPr>
          <w:rFonts w:hint="eastAsia" w:ascii="仿宋" w:hAnsi="仿宋" w:eastAsia="仿宋"/>
          <w:color w:val="auto"/>
          <w:sz w:val="32"/>
          <w:szCs w:val="32"/>
          <w:highlight w:val="none"/>
        </w:rPr>
        <w:t>6）保险</w:t>
      </w:r>
      <w:r>
        <w:rPr>
          <w:rFonts w:hint="eastAsia" w:ascii="仿宋" w:hAnsi="仿宋" w:eastAsia="仿宋"/>
          <w:color w:val="auto"/>
          <w:sz w:val="28"/>
          <w:szCs w:val="28"/>
          <w:highlight w:val="none"/>
        </w:rPr>
        <w:t>：</w:t>
      </w:r>
      <w:r>
        <w:rPr>
          <w:rFonts w:hint="eastAsia" w:ascii="仿宋" w:hAnsi="仿宋" w:eastAsia="仿宋" w:cs="仿宋"/>
          <w:bCs/>
          <w:color w:val="auto"/>
          <w:kern w:val="2"/>
          <w:sz w:val="32"/>
          <w:szCs w:val="32"/>
          <w:highlight w:val="none"/>
          <w:u w:val="single"/>
        </w:rPr>
        <w:t>所有根据合同或其他原因应由</w:t>
      </w:r>
      <w:r>
        <w:rPr>
          <w:rFonts w:hint="eastAsia" w:ascii="仿宋" w:hAnsi="仿宋" w:eastAsia="仿宋" w:cs="仿宋"/>
          <w:bCs/>
          <w:color w:val="auto"/>
          <w:kern w:val="2"/>
          <w:sz w:val="32"/>
          <w:szCs w:val="32"/>
          <w:highlight w:val="none"/>
          <w:u w:val="single"/>
          <w:lang w:val="en-US" w:eastAsia="zh-CN"/>
        </w:rPr>
        <w:t>供应商</w:t>
      </w:r>
      <w:r>
        <w:rPr>
          <w:rFonts w:hint="eastAsia" w:ascii="仿宋" w:hAnsi="仿宋" w:eastAsia="仿宋" w:cs="仿宋"/>
          <w:bCs/>
          <w:color w:val="auto"/>
          <w:kern w:val="2"/>
          <w:sz w:val="32"/>
          <w:szCs w:val="32"/>
          <w:highlight w:val="none"/>
          <w:u w:val="single"/>
        </w:rPr>
        <w:t>支付的税款和其他应交纳的费用都要包括在</w:t>
      </w:r>
      <w:r>
        <w:rPr>
          <w:rFonts w:hint="eastAsia" w:ascii="仿宋" w:hAnsi="仿宋" w:eastAsia="仿宋" w:cs="仿宋"/>
          <w:bCs/>
          <w:color w:val="auto"/>
          <w:kern w:val="2"/>
          <w:sz w:val="32"/>
          <w:szCs w:val="32"/>
          <w:highlight w:val="none"/>
          <w:u w:val="single"/>
          <w:lang w:val="en-US" w:eastAsia="zh-CN"/>
        </w:rPr>
        <w:t>供应商</w:t>
      </w:r>
      <w:r>
        <w:rPr>
          <w:rFonts w:hint="eastAsia" w:ascii="仿宋" w:hAnsi="仿宋" w:eastAsia="仿宋" w:cs="仿宋"/>
          <w:bCs/>
          <w:color w:val="auto"/>
          <w:kern w:val="2"/>
          <w:sz w:val="32"/>
          <w:szCs w:val="32"/>
          <w:highlight w:val="none"/>
          <w:u w:val="single"/>
        </w:rPr>
        <w:t>提交的投标价格中</w:t>
      </w:r>
      <w:r>
        <w:rPr>
          <w:rFonts w:hint="eastAsia" w:ascii="仿宋" w:hAnsi="仿宋" w:eastAsia="仿宋" w:cs="仿宋"/>
          <w:bCs/>
          <w:color w:val="auto"/>
          <w:kern w:val="2"/>
          <w:sz w:val="32"/>
          <w:szCs w:val="32"/>
          <w:highlight w:val="none"/>
          <w:u w:val="single"/>
          <w:lang w:val="en-US" w:eastAsia="zh-CN"/>
        </w:rPr>
        <w:t>；</w:t>
      </w:r>
      <w:r>
        <w:rPr>
          <w:rFonts w:hint="eastAsia" w:ascii="仿宋" w:hAnsi="仿宋" w:eastAsia="仿宋" w:cs="仿宋"/>
          <w:bCs/>
          <w:color w:val="auto"/>
          <w:kern w:val="2"/>
          <w:sz w:val="32"/>
          <w:szCs w:val="32"/>
          <w:highlight w:val="none"/>
          <w:u w:val="single"/>
        </w:rPr>
        <w:t>应包含货物运至最终目的地的运输、保险和伴随货物服务的其他所有费用</w:t>
      </w:r>
      <w:r>
        <w:rPr>
          <w:rFonts w:hint="eastAsia" w:ascii="仿宋" w:hAnsi="仿宋" w:eastAsia="仿宋"/>
          <w:color w:val="auto"/>
          <w:sz w:val="28"/>
          <w:szCs w:val="28"/>
          <w:highlight w:val="none"/>
          <w:u w:val="single"/>
          <w:lang w:val="en-US" w:eastAsia="zh-CN"/>
        </w:rPr>
        <w:t>。</w:t>
      </w:r>
    </w:p>
    <w:p>
      <w:pPr>
        <w:spacing w:line="360" w:lineRule="auto"/>
        <w:ind w:firstLine="640" w:firstLineChars="200"/>
        <w:jc w:val="left"/>
        <w:rPr>
          <w:rFonts w:hint="eastAsia" w:ascii="仿宋" w:hAnsi="仿宋" w:eastAsia="仿宋" w:cs="仿宋"/>
          <w:color w:val="auto"/>
          <w:spacing w:val="-1"/>
          <w:sz w:val="32"/>
          <w:szCs w:val="32"/>
          <w:highlight w:val="none"/>
          <w:u w:val="single"/>
          <w:lang w:val="en-US" w:eastAsia="zh-CN"/>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验收要求</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w:t>
      </w:r>
      <w:r>
        <w:rPr>
          <w:rFonts w:hint="eastAsia" w:ascii="仿宋" w:hAnsi="仿宋" w:eastAsia="仿宋" w:cs="仿宋"/>
          <w:color w:val="auto"/>
          <w:spacing w:val="-1"/>
          <w:sz w:val="32"/>
          <w:szCs w:val="32"/>
          <w:highlight w:val="none"/>
          <w:u w:val="single"/>
          <w:lang w:val="en-US" w:eastAsia="zh-CN"/>
        </w:rPr>
        <w:t>供应的中药饮片应符合现行版《中华人民共和国药典》，如该品种无现行版药典标准应符合既往版药典或广东省标准或生产商所在省市的地方标准，并附该批次药检报告书。</w:t>
      </w:r>
    </w:p>
    <w:p>
      <w:pPr>
        <w:spacing w:line="360" w:lineRule="auto"/>
        <w:ind w:firstLine="636" w:firstLineChars="200"/>
        <w:jc w:val="left"/>
        <w:rPr>
          <w:rFonts w:hint="eastAsia" w:ascii="仿宋" w:hAnsi="仿宋" w:eastAsia="仿宋" w:cs="仿宋"/>
          <w:color w:val="auto"/>
          <w:spacing w:val="-1"/>
          <w:sz w:val="32"/>
          <w:szCs w:val="32"/>
          <w:highlight w:val="none"/>
          <w:u w:val="single"/>
          <w:lang w:val="en-US" w:eastAsia="zh-CN"/>
        </w:rPr>
      </w:pPr>
      <w:r>
        <w:rPr>
          <w:rFonts w:hint="eastAsia" w:ascii="仿宋" w:hAnsi="仿宋" w:eastAsia="仿宋" w:cs="仿宋"/>
          <w:color w:val="auto"/>
          <w:spacing w:val="-1"/>
          <w:sz w:val="32"/>
          <w:szCs w:val="32"/>
          <w:highlight w:val="none"/>
          <w:u w:val="single"/>
          <w:lang w:val="en-US" w:eastAsia="zh-CN"/>
        </w:rPr>
        <w:t>2.供应商提供的药品品质不符合质量要求的，采购人有权拒绝接受，并要求立即退、换、补，供应商应在48小时内进行更换、补充、并不得影响采购人的临床用药，否则，采购人有权终止合同并要求供应商对其所造成的损失进行赔偿。</w:t>
      </w:r>
    </w:p>
    <w:p>
      <w:pPr>
        <w:spacing w:line="360" w:lineRule="auto"/>
        <w:ind w:firstLine="636" w:firstLineChars="200"/>
        <w:jc w:val="left"/>
        <w:rPr>
          <w:rFonts w:hint="eastAsia" w:ascii="仿宋" w:hAnsi="仿宋" w:eastAsia="仿宋" w:cs="仿宋"/>
          <w:color w:val="auto"/>
          <w:spacing w:val="-1"/>
          <w:sz w:val="32"/>
          <w:szCs w:val="32"/>
          <w:highlight w:val="none"/>
          <w:u w:val="single"/>
          <w:lang w:val="en-US" w:eastAsia="zh-CN"/>
        </w:rPr>
      </w:pPr>
      <w:r>
        <w:rPr>
          <w:rFonts w:hint="eastAsia" w:ascii="仿宋" w:hAnsi="仿宋" w:eastAsia="仿宋" w:cs="仿宋"/>
          <w:color w:val="auto"/>
          <w:spacing w:val="-1"/>
          <w:sz w:val="32"/>
          <w:szCs w:val="32"/>
          <w:highlight w:val="none"/>
          <w:u w:val="single"/>
          <w:lang w:val="en-US" w:eastAsia="zh-CN"/>
        </w:rPr>
        <w:t>3.如果采购人在临床使用中发现药品不符合质量要求（含出现严重的临床反应时），供应商必须收回并马上更换为合格药品，采购人要求进行药品质量检验的，应及时以书面形式把质量检验要求通知供应商。如果检验证明药品存在质量问题，则检验费用由供应商承担，采购人有权终止合同并要求供应商对其所造成的损失进行赔偿，供应商必须负经济和法律责任。如因药品质量问题引起药政管理方面的问题或引起医疗纠纷，供应商必须负连带责任。药品质量检验在采购人所在地药检部门进行。</w:t>
      </w:r>
    </w:p>
    <w:p>
      <w:pPr>
        <w:spacing w:line="360" w:lineRule="auto"/>
        <w:ind w:firstLine="636" w:firstLineChars="200"/>
        <w:jc w:val="left"/>
        <w:rPr>
          <w:rFonts w:hint="eastAsia" w:ascii="仿宋" w:hAnsi="仿宋" w:eastAsia="仿宋" w:cs="仿宋"/>
          <w:color w:val="auto"/>
          <w:spacing w:val="-1"/>
          <w:sz w:val="32"/>
          <w:szCs w:val="32"/>
          <w:highlight w:val="none"/>
          <w:u w:val="single"/>
          <w:lang w:val="en-US" w:eastAsia="zh-CN"/>
        </w:rPr>
      </w:pPr>
      <w:r>
        <w:rPr>
          <w:rFonts w:hint="eastAsia" w:ascii="仿宋" w:hAnsi="仿宋" w:eastAsia="仿宋" w:cs="仿宋"/>
          <w:color w:val="auto"/>
          <w:spacing w:val="-1"/>
          <w:sz w:val="32"/>
          <w:szCs w:val="32"/>
          <w:highlight w:val="none"/>
          <w:u w:val="single"/>
          <w:lang w:val="en-US" w:eastAsia="zh-CN"/>
        </w:rPr>
        <w:t>4.药品的质量保证：供应商应在药品的有效期内保证药品的质量。在有效期内供应商对任何缺陷的劣变药品应实施补偿措施，更换所有需要更换的药品并承担所需费用，更换时间不得超过5个工作日。</w:t>
      </w:r>
    </w:p>
    <w:p>
      <w:pPr>
        <w:spacing w:line="360" w:lineRule="auto"/>
        <w:ind w:firstLine="636" w:firstLineChars="200"/>
        <w:jc w:val="left"/>
        <w:rPr>
          <w:rFonts w:hint="eastAsia" w:ascii="仿宋" w:hAnsi="仿宋" w:eastAsia="仿宋" w:cs="仿宋"/>
          <w:color w:val="auto"/>
          <w:spacing w:val="-1"/>
          <w:sz w:val="32"/>
          <w:szCs w:val="32"/>
          <w:highlight w:val="none"/>
          <w:u w:val="single"/>
          <w:lang w:val="en-US" w:eastAsia="zh-CN"/>
        </w:rPr>
      </w:pPr>
      <w:r>
        <w:rPr>
          <w:rFonts w:hint="eastAsia" w:ascii="仿宋" w:hAnsi="仿宋" w:eastAsia="仿宋" w:cs="仿宋"/>
          <w:color w:val="auto"/>
          <w:spacing w:val="-1"/>
          <w:sz w:val="32"/>
          <w:szCs w:val="32"/>
          <w:highlight w:val="none"/>
          <w:u w:val="single"/>
          <w:lang w:val="en-US" w:eastAsia="zh-CN"/>
        </w:rPr>
        <w:t>5.如有遇上任何问题需要回收药品的，供应商有义务尽快通知采购人，供应商须按合格的质量标准重新供货并承担所需费用。</w:t>
      </w:r>
    </w:p>
    <w:p>
      <w:pPr>
        <w:ind w:firstLine="640" w:firstLineChars="200"/>
        <w:rPr>
          <w:rFonts w:hint="eastAsia" w:ascii="仿宋" w:hAnsi="仿宋" w:eastAsia="仿宋" w:cs="仿宋"/>
          <w:color w:val="auto"/>
          <w:spacing w:val="-1"/>
          <w:sz w:val="32"/>
          <w:szCs w:val="32"/>
          <w:highlight w:val="none"/>
          <w:u w:val="single"/>
          <w:lang w:val="en-US"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质量与服务考核</w:t>
      </w:r>
      <w:r>
        <w:rPr>
          <w:rFonts w:hint="eastAsia" w:ascii="仿宋" w:hAnsi="仿宋" w:eastAsia="仿宋" w:cs="仿宋"/>
          <w:color w:val="auto"/>
          <w:sz w:val="32"/>
          <w:szCs w:val="32"/>
          <w:highlight w:val="none"/>
        </w:rPr>
        <w:t>：</w:t>
      </w:r>
      <w:r>
        <w:rPr>
          <w:rFonts w:hint="eastAsia" w:ascii="仿宋" w:hAnsi="仿宋" w:eastAsia="仿宋" w:cs="仿宋"/>
          <w:color w:val="auto"/>
          <w:spacing w:val="-1"/>
          <w:sz w:val="32"/>
          <w:szCs w:val="32"/>
          <w:highlight w:val="none"/>
          <w:u w:val="single"/>
          <w:lang w:val="en-US" w:eastAsia="zh-CN"/>
        </w:rPr>
        <w:t>对质量不符合要求的，供应商应在48小时内进行更换、补充、并不得影响采购人的临床用药。否则，采购人有权终止合同并要求供应商对其所造成的损失进行赔偿。</w:t>
      </w:r>
    </w:p>
    <w:p>
      <w:pPr>
        <w:ind w:firstLine="640" w:firstLineChars="200"/>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none"/>
          <w:lang w:val="en-US" w:eastAsia="zh-CN"/>
        </w:rPr>
        <w:t>9）保密：</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pPr>
        <w:ind w:firstLine="640" w:firstLineChars="200"/>
        <w:rPr>
          <w:rFonts w:hint="default" w:ascii="仿宋" w:hAnsi="仿宋" w:eastAsia="仿宋" w:cs="仿宋"/>
          <w:color w:val="auto"/>
          <w:spacing w:val="-1"/>
          <w:sz w:val="32"/>
          <w:szCs w:val="32"/>
          <w:highlight w:val="none"/>
          <w:u w:val="single"/>
          <w:lang w:val="en-US" w:eastAsia="zh-CN"/>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违约责任</w:t>
      </w:r>
      <w:r>
        <w:rPr>
          <w:rFonts w:hint="eastAsia" w:ascii="仿宋" w:hAnsi="仿宋" w:eastAsia="仿宋" w:cs="仿宋"/>
          <w:color w:val="auto"/>
          <w:sz w:val="32"/>
          <w:szCs w:val="32"/>
          <w:highlight w:val="none"/>
        </w:rPr>
        <w:t>：</w:t>
      </w:r>
      <w:r>
        <w:rPr>
          <w:rFonts w:hint="eastAsia" w:ascii="仿宋" w:hAnsi="仿宋" w:eastAsia="仿宋" w:cs="仿宋"/>
          <w:color w:val="auto"/>
          <w:spacing w:val="-1"/>
          <w:sz w:val="32"/>
          <w:szCs w:val="32"/>
          <w:highlight w:val="none"/>
          <w:u w:val="single"/>
          <w:lang w:val="en-US" w:eastAsia="zh-CN"/>
        </w:rPr>
        <w:t>采购人发出订单通知后供应商拒绝供货的，供应商应向采购人支付拒绝供货部分货款10%的违约金，还应继续履行供货义务；除不可抗力原因外，同一中药饮片出现超过两次缺货时长达2周以上（含2周）的情况，采购人有权解除本合同。</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其他</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shd w:val="clear" w:color="auto" w:fill="FFFFFF"/>
          <w:lang w:val="en-US" w:eastAsia="zh-CN"/>
        </w:rPr>
        <w:t>自合同生效之日起两年或累计采购金额达到项目预算金额时结束（按达到项目预算金额或合同约定期限计算，以先达到作为合同截止时间）。如合同到期需配合采购方供货至招标完成为止，服务金额不得超过原合同总金额的10%。</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u w:val="single"/>
          <w:shd w:val="clear" w:color="auto" w:fill="FFFFFF"/>
          <w:lang w:val="en-US" w:eastAsia="zh-CN"/>
        </w:rPr>
        <w:t>12）报价要求：</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u w:val="single"/>
          <w:shd w:val="clear" w:color="auto" w:fill="FFFFFF"/>
          <w:lang w:val="en-US" w:eastAsia="zh-CN"/>
        </w:rPr>
        <w:t>（1）本采购包采用投标折扣率进行报价，投标报价（投标折扣率）即为投标报价。</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u w:val="single"/>
          <w:shd w:val="clear" w:color="auto" w:fill="FFFFFF"/>
          <w:lang w:val="en-US" w:eastAsia="zh-CN"/>
        </w:rPr>
        <w:t>（2）投标报价（投标折扣率）应考虑货物的价格、包装费、运输费、装卸费、人工费、交通费、质保期保障、保险费、仓储费所有税费及供应商认为需要的其它费用因素等；如发生缺漏项视同已包含在投标报价（投标折扣率）之中，投标供应商须根据自身经验自行承担相应风险。</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u w:val="single"/>
          <w:shd w:val="clear" w:color="auto" w:fill="FFFFFF"/>
          <w:lang w:val="en-US" w:eastAsia="zh-CN"/>
        </w:rPr>
        <w:t>（3）采购人与中标供应商于签订合同时按照中标的投标报价（投标折扣率）确定各中药饮片的实际供应单价，即各中药饮片实际供应单价=中标折扣率×预算单价，各中药饮片实际供应单价按四舍五入规则，保留两位小数计算。例如采购需求给出的某中药饮片预算单价为100元，中标折扣率为80%，即实际中标单价=100×80%=80元。</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u w:val="single"/>
          <w:shd w:val="clear" w:color="auto" w:fill="FFFFFF"/>
          <w:lang w:val="en-US" w:eastAsia="zh-CN"/>
        </w:rPr>
        <w:t>（4）投标供应商的投标报价（投标折扣率）不得大于100%且不能为负数不能为零，各品目的投标报价（投标折扣率）须相同，否则视为无效报价。</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u w:val="single"/>
          <w:shd w:val="clear" w:color="auto" w:fill="FFFFFF"/>
          <w:lang w:val="en-US" w:eastAsia="zh-CN"/>
        </w:rPr>
        <w:t>（5）合同期内不得随意更改供应价格。</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u w:val="single"/>
          <w:shd w:val="clear" w:color="auto" w:fill="FFFFFF"/>
          <w:lang w:val="en-US" w:eastAsia="zh-CN"/>
        </w:rPr>
        <w:t>（6）如果是全国性市场调价（需要提交调价申请），应该按采购人相关规定执行，应至少提前一个月以书面形式告知采购人。</w:t>
      </w:r>
    </w:p>
    <w:p>
      <w:pPr>
        <w:keepNext w:val="0"/>
        <w:keepLines w:val="0"/>
        <w:pageBreakBefore w:val="0"/>
        <w:widowControl/>
        <w:tabs>
          <w:tab w:val="left" w:pos="424"/>
          <w:tab w:val="left" w:pos="82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highlight w:val="none"/>
          <w:u w:val="single"/>
          <w:shd w:val="clear" w:color="auto" w:fill="FFFFFF"/>
          <w:lang w:val="en-US" w:eastAsia="zh-CN"/>
        </w:rPr>
      </w:pPr>
      <w:r>
        <w:rPr>
          <w:rFonts w:hint="eastAsia" w:ascii="仿宋" w:hAnsi="仿宋" w:eastAsia="仿宋" w:cs="仿宋"/>
          <w:color w:val="auto"/>
          <w:sz w:val="32"/>
          <w:szCs w:val="32"/>
          <w:highlight w:val="none"/>
          <w:u w:val="single"/>
          <w:shd w:val="clear" w:color="auto" w:fill="FFFFFF"/>
          <w:lang w:val="en-US" w:eastAsia="zh-CN"/>
        </w:rPr>
        <w:t>（7）更改供应价格原则:调整后的供应价格=中标折扣率*市场价（市场价：中标人提供3家同类医疗机构近一个月内的对应药品发票价格的平均值）。中标人须同时提供进货发票、销售发票、销售合同等证明材料进行佐证，并经采购人按质量及价格评估、审核，形成统一意见后方可对其进行调整。如发现中标人所提供价格明显高于行业价格的，采购人有权对其提出质疑并拒绝其调整价格要求，供应价应保持长期稳定，中标人不得因市场价格波动等原因拒绝提供供货服务。</w:t>
      </w:r>
    </w:p>
    <w:p>
      <w:pPr>
        <w:rPr>
          <w:rFonts w:ascii="仿宋" w:hAnsi="仿宋" w:eastAsia="仿宋"/>
          <w:color w:val="auto"/>
          <w:sz w:val="32"/>
          <w:szCs w:val="32"/>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Cabin-Regular">
    <w:altName w:val="Calibri"/>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NTg2MjQ0ZjhmMzM1OGQwZDE2ODhjNmI1MGIxMzQifQ=="/>
  </w:docVars>
  <w:rsids>
    <w:rsidRoot w:val="00C04F89"/>
    <w:rsid w:val="001C4986"/>
    <w:rsid w:val="001D633E"/>
    <w:rsid w:val="001F60AE"/>
    <w:rsid w:val="00220C5E"/>
    <w:rsid w:val="00231FC2"/>
    <w:rsid w:val="00253C08"/>
    <w:rsid w:val="00306058"/>
    <w:rsid w:val="005562D1"/>
    <w:rsid w:val="00770816"/>
    <w:rsid w:val="007F1BE9"/>
    <w:rsid w:val="008E3C51"/>
    <w:rsid w:val="008F201F"/>
    <w:rsid w:val="009819B1"/>
    <w:rsid w:val="00AA6E54"/>
    <w:rsid w:val="00AD42EE"/>
    <w:rsid w:val="00C04F89"/>
    <w:rsid w:val="00D11F51"/>
    <w:rsid w:val="00F77627"/>
    <w:rsid w:val="00FB0A40"/>
    <w:rsid w:val="00FB30F0"/>
    <w:rsid w:val="019124F6"/>
    <w:rsid w:val="04967D6D"/>
    <w:rsid w:val="0C5C7E64"/>
    <w:rsid w:val="0C66658F"/>
    <w:rsid w:val="0E42322E"/>
    <w:rsid w:val="104A3FCB"/>
    <w:rsid w:val="109E7744"/>
    <w:rsid w:val="15997A33"/>
    <w:rsid w:val="195C6AC3"/>
    <w:rsid w:val="1B105DBE"/>
    <w:rsid w:val="1C6E061D"/>
    <w:rsid w:val="1C9C128C"/>
    <w:rsid w:val="1D734541"/>
    <w:rsid w:val="1F9C4CF0"/>
    <w:rsid w:val="228F28EA"/>
    <w:rsid w:val="29EC6874"/>
    <w:rsid w:val="2C6739A6"/>
    <w:rsid w:val="2D5D1DE8"/>
    <w:rsid w:val="32F742EB"/>
    <w:rsid w:val="33492E65"/>
    <w:rsid w:val="351C69E8"/>
    <w:rsid w:val="37BF44D8"/>
    <w:rsid w:val="37C60704"/>
    <w:rsid w:val="383342C9"/>
    <w:rsid w:val="3A0F3C63"/>
    <w:rsid w:val="3B620E88"/>
    <w:rsid w:val="3F1F2A13"/>
    <w:rsid w:val="42846B43"/>
    <w:rsid w:val="44E202F6"/>
    <w:rsid w:val="44E4556C"/>
    <w:rsid w:val="459E5BC3"/>
    <w:rsid w:val="46E35024"/>
    <w:rsid w:val="48A93307"/>
    <w:rsid w:val="4C733834"/>
    <w:rsid w:val="4CFA1D89"/>
    <w:rsid w:val="4D21045F"/>
    <w:rsid w:val="4ED17C62"/>
    <w:rsid w:val="528635AA"/>
    <w:rsid w:val="53AC545D"/>
    <w:rsid w:val="53EA22EE"/>
    <w:rsid w:val="58313011"/>
    <w:rsid w:val="594D25DB"/>
    <w:rsid w:val="5A9E45F3"/>
    <w:rsid w:val="5BBB6087"/>
    <w:rsid w:val="5E804BD7"/>
    <w:rsid w:val="60121E89"/>
    <w:rsid w:val="60BA67A8"/>
    <w:rsid w:val="61AC3E95"/>
    <w:rsid w:val="64B11C70"/>
    <w:rsid w:val="66932130"/>
    <w:rsid w:val="669A277C"/>
    <w:rsid w:val="68A75116"/>
    <w:rsid w:val="6ABF7071"/>
    <w:rsid w:val="6AD60098"/>
    <w:rsid w:val="70671D7D"/>
    <w:rsid w:val="72C15774"/>
    <w:rsid w:val="73864646"/>
    <w:rsid w:val="7446571A"/>
    <w:rsid w:val="7BAB4E34"/>
    <w:rsid w:val="7C14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outlineLvl w:val="2"/>
    </w:pPr>
    <w:rPr>
      <w:rFonts w:ascii="楷体_GB2312" w:hAnsi="宋体" w:eastAsia="黑体"/>
      <w:b/>
      <w:bCs/>
      <w:sz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qFormat/>
    <w:uiPriority w:val="99"/>
    <w:pPr>
      <w:ind w:firstLine="420" w:firstLineChars="200"/>
    </w:pPr>
    <w:rPr>
      <w:rFonts w:ascii="Times New Roman" w:hAnsi="Times New Roman"/>
      <w:szCs w:val="24"/>
    </w:rPr>
  </w:style>
  <w:style w:type="paragraph" w:styleId="4">
    <w:name w:val="annotation text"/>
    <w:basedOn w:val="1"/>
    <w:autoRedefine/>
    <w:semiHidden/>
    <w:unhideWhenUsed/>
    <w:qFormat/>
    <w:uiPriority w:val="99"/>
    <w:pPr>
      <w:jc w:val="left"/>
    </w:p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0">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11">
    <w:name w:val="页眉 字符"/>
    <w:basedOn w:val="9"/>
    <w:link w:val="6"/>
    <w:autoRedefine/>
    <w:semiHidden/>
    <w:qFormat/>
    <w:uiPriority w:val="99"/>
    <w:rPr>
      <w:sz w:val="18"/>
      <w:szCs w:val="18"/>
    </w:rPr>
  </w:style>
  <w:style w:type="character" w:customStyle="1" w:styleId="12">
    <w:name w:val="页脚 字符"/>
    <w:basedOn w:val="9"/>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51</Words>
  <Characters>292</Characters>
  <Lines>2</Lines>
  <Paragraphs>1</Paragraphs>
  <TotalTime>27</TotalTime>
  <ScaleCrop>false</ScaleCrop>
  <LinksUpToDate>false</LinksUpToDate>
  <CharactersWithSpaces>342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2019-12-05T08:51:00Z</dcterms:created>
  <dc:creator>Administrator</dc:creator>
  <cp:lastModifiedBy>Chloe 。</cp:lastModifiedBy>
  <cp:lastPrinted>2024-03-11T00:33:00Z</cp:lastPrinted>
  <dcterms:modified xsi:type="dcterms:W3CDTF">2024-05-13T08:10:17Z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E870113CE89A4AE789FBAD7099538B6B_13</vt:lpwstr>
  </property>
</Properties>
</file>