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b/>
          <w:bCs/>
          <w:i w:val="0"/>
          <w:iCs w:val="0"/>
          <w:color w:val="auto"/>
          <w:sz w:val="44"/>
          <w:szCs w:val="44"/>
          <w:lang w:val="en-US" w:eastAsia="zh-CN"/>
        </w:rPr>
      </w:pPr>
      <w:r>
        <w:rPr>
          <w:rFonts w:hint="eastAsia" w:ascii="仿宋_GB2312" w:hAnsi="仿宋_GB2312" w:eastAsia="仿宋_GB2312" w:cs="仿宋_GB2312"/>
          <w:b/>
          <w:bCs/>
          <w:i w:val="0"/>
          <w:iCs w:val="0"/>
          <w:color w:val="auto"/>
          <w:sz w:val="44"/>
          <w:szCs w:val="44"/>
          <w:lang w:val="en-US" w:eastAsia="zh-CN"/>
        </w:rPr>
        <w:t>惠州市中心人民医院"互联网+护理"小程序项目采购需求</w:t>
      </w:r>
    </w:p>
    <w:p>
      <w:pPr>
        <w:pStyle w:val="2"/>
        <w:numPr>
          <w:ilvl w:val="0"/>
          <w:numId w:val="0"/>
        </w:numPr>
        <w:ind w:leftChars="0"/>
        <w:rPr>
          <w:rFonts w:hint="eastAsia" w:ascii="仿宋_GB2312" w:hAnsi="仿宋_GB2312" w:eastAsia="仿宋_GB2312" w:cs="仿宋_GB231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02"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b/>
          <w:bCs/>
          <w:sz w:val="30"/>
          <w:szCs w:val="30"/>
          <w:lang w:val="en-US" w:eastAsia="zh-CN"/>
        </w:rPr>
        <w:t>一、</w:t>
      </w:r>
      <w:r>
        <w:rPr>
          <w:rFonts w:hint="eastAsia" w:ascii="仿宋_GB2312" w:hAnsi="仿宋_GB2312" w:eastAsia="仿宋_GB2312" w:cs="仿宋_GB2312"/>
          <w:b/>
          <w:bCs/>
          <w:sz w:val="30"/>
          <w:szCs w:val="30"/>
        </w:rPr>
        <w:t>采购</w:t>
      </w:r>
      <w:r>
        <w:rPr>
          <w:rFonts w:hint="eastAsia" w:ascii="仿宋_GB2312" w:hAnsi="仿宋_GB2312" w:eastAsia="仿宋_GB2312" w:cs="仿宋_GB2312"/>
          <w:b/>
          <w:bCs/>
          <w:sz w:val="30"/>
          <w:szCs w:val="30"/>
          <w:lang w:val="en-US" w:eastAsia="zh-CN"/>
        </w:rPr>
        <w:t>项目</w:t>
      </w:r>
      <w:r>
        <w:rPr>
          <w:rFonts w:hint="eastAsia" w:ascii="仿宋_GB2312" w:hAnsi="仿宋_GB2312" w:eastAsia="仿宋_GB2312" w:cs="仿宋_GB2312"/>
          <w:b/>
          <w:bCs/>
          <w:sz w:val="30"/>
          <w:szCs w:val="30"/>
        </w:rPr>
        <w:t>名称：</w:t>
      </w:r>
      <w:r>
        <w:rPr>
          <w:rFonts w:hint="eastAsia" w:ascii="仿宋_GB2312" w:hAnsi="仿宋_GB2312" w:eastAsia="仿宋_GB2312" w:cs="仿宋_GB2312"/>
          <w:b w:val="0"/>
          <w:bCs w:val="0"/>
          <w:sz w:val="30"/>
          <w:szCs w:val="30"/>
          <w:lang w:val="en-US" w:eastAsia="zh-CN"/>
        </w:rPr>
        <w:t>惠州市中心人民医院</w:t>
      </w:r>
      <w:r>
        <w:rPr>
          <w:rFonts w:hint="eastAsia" w:ascii="仿宋_GB2312" w:hAnsi="仿宋_GB2312" w:eastAsia="仿宋_GB2312" w:cs="仿宋_GB2312"/>
          <w:sz w:val="30"/>
          <w:szCs w:val="30"/>
          <w:lang w:val="en-US" w:eastAsia="zh-CN"/>
        </w:rPr>
        <w:t>"互联网+护理"小程序项目</w:t>
      </w:r>
    </w:p>
    <w:p>
      <w:pPr>
        <w:keepNext w:val="0"/>
        <w:keepLines w:val="0"/>
        <w:pageBreakBefore w:val="0"/>
        <w:widowControl w:val="0"/>
        <w:kinsoku/>
        <w:wordWrap/>
        <w:overflowPunct/>
        <w:topLinePunct w:val="0"/>
        <w:autoSpaceDE/>
        <w:autoSpaceDN/>
        <w:bidi w:val="0"/>
        <w:adjustRightInd/>
        <w:snapToGrid/>
        <w:spacing w:line="360" w:lineRule="auto"/>
        <w:ind w:left="0" w:leftChars="0" w:firstLine="602" w:firstLineChars="200"/>
        <w:textAlignment w:val="auto"/>
        <w:rPr>
          <w:rFonts w:hint="eastAsia"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二、采购标的（货物类）：</w:t>
      </w:r>
    </w:p>
    <w:tbl>
      <w:tblPr>
        <w:tblStyle w:val="6"/>
        <w:tblW w:w="9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2665"/>
        <w:gridCol w:w="737"/>
        <w:gridCol w:w="737"/>
        <w:gridCol w:w="4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keepNext w:val="0"/>
              <w:keepLines w:val="0"/>
              <w:widowControl/>
              <w:suppressLineNumbers w:val="0"/>
              <w:shd w:val="clear" w:color="auto" w:fill="auto"/>
              <w:spacing w:line="360" w:lineRule="auto"/>
              <w:jc w:val="center"/>
              <w:textAlignment w:val="center"/>
              <w:rPr>
                <w:rFonts w:hint="eastAsia" w:ascii="仿宋_GB2312" w:hAnsi="仿宋_GB2312" w:eastAsia="仿宋_GB2312" w:cs="仿宋_GB2312"/>
                <w:b/>
                <w:bCs/>
                <w:color w:val="000000"/>
                <w:kern w:val="0"/>
                <w:sz w:val="24"/>
                <w:highlight w:val="none"/>
                <w:vertAlign w:val="baseli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序号</w:t>
            </w:r>
          </w:p>
        </w:tc>
        <w:tc>
          <w:tcPr>
            <w:tcW w:w="2665" w:type="dxa"/>
            <w:noWrap w:val="0"/>
            <w:vAlign w:val="center"/>
          </w:tcPr>
          <w:p>
            <w:pPr>
              <w:keepNext w:val="0"/>
              <w:keepLines w:val="0"/>
              <w:widowControl/>
              <w:suppressLineNumbers w:val="0"/>
              <w:shd w:val="clear" w:color="auto" w:fill="auto"/>
              <w:spacing w:line="360" w:lineRule="auto"/>
              <w:jc w:val="center"/>
              <w:textAlignment w:val="center"/>
              <w:rPr>
                <w:rFonts w:hint="eastAsia" w:ascii="仿宋_GB2312" w:hAnsi="仿宋_GB2312" w:eastAsia="仿宋_GB2312" w:cs="仿宋_GB2312"/>
                <w:b/>
                <w:bCs/>
                <w:color w:val="000000"/>
                <w:kern w:val="0"/>
                <w:sz w:val="24"/>
                <w:highlight w:val="none"/>
                <w:vertAlign w:val="baseli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产品名称</w:t>
            </w:r>
          </w:p>
        </w:tc>
        <w:tc>
          <w:tcPr>
            <w:tcW w:w="737" w:type="dxa"/>
            <w:shd w:val="clear" w:color="auto" w:fill="auto"/>
            <w:noWrap w:val="0"/>
            <w:vAlign w:val="center"/>
          </w:tcPr>
          <w:p>
            <w:pPr>
              <w:widowControl/>
              <w:shd w:val="clear" w:color="auto" w:fill="auto"/>
              <w:spacing w:line="360" w:lineRule="auto"/>
              <w:jc w:val="center"/>
              <w:textAlignment w:val="center"/>
              <w:rPr>
                <w:rFonts w:hint="eastAsia" w:ascii="仿宋_GB2312" w:hAnsi="仿宋_GB2312" w:eastAsia="仿宋_GB2312" w:cs="仿宋_GB2312"/>
                <w:b/>
                <w:bCs/>
                <w:color w:val="000000"/>
                <w:kern w:val="0"/>
                <w:sz w:val="24"/>
                <w:szCs w:val="24"/>
                <w:highlight w:val="none"/>
                <w:vertAlign w:val="baseline"/>
                <w:lang w:val="en-US" w:eastAsia="zh-CN" w:bidi="ar"/>
              </w:rPr>
            </w:pPr>
            <w:r>
              <w:rPr>
                <w:rFonts w:hint="eastAsia" w:ascii="仿宋_GB2312" w:hAnsi="仿宋_GB2312" w:eastAsia="仿宋_GB2312" w:cs="仿宋_GB2312"/>
                <w:b/>
                <w:bCs/>
                <w:color w:val="000000"/>
                <w:kern w:val="0"/>
                <w:sz w:val="24"/>
                <w:highlight w:val="none"/>
                <w:vertAlign w:val="baseline"/>
                <w:lang w:val="en-US" w:eastAsia="zh-CN" w:bidi="ar"/>
              </w:rPr>
              <w:t>数量</w:t>
            </w:r>
          </w:p>
        </w:tc>
        <w:tc>
          <w:tcPr>
            <w:tcW w:w="737" w:type="dxa"/>
            <w:shd w:val="clear" w:color="auto" w:fill="auto"/>
            <w:noWrap w:val="0"/>
            <w:vAlign w:val="center"/>
          </w:tcPr>
          <w:p>
            <w:pPr>
              <w:widowControl/>
              <w:shd w:val="clear" w:color="auto" w:fill="auto"/>
              <w:spacing w:line="360" w:lineRule="auto"/>
              <w:jc w:val="center"/>
              <w:textAlignment w:val="center"/>
              <w:rPr>
                <w:rFonts w:hint="eastAsia" w:ascii="仿宋_GB2312" w:hAnsi="仿宋_GB2312" w:eastAsia="仿宋_GB2312" w:cs="仿宋_GB2312"/>
                <w:b/>
                <w:bCs/>
                <w:color w:val="000000"/>
                <w:kern w:val="0"/>
                <w:sz w:val="24"/>
                <w:szCs w:val="24"/>
                <w:highlight w:val="none"/>
                <w:vertAlign w:val="baseline"/>
                <w:lang w:val="en-US" w:eastAsia="zh-CN" w:bidi="ar"/>
              </w:rPr>
            </w:pPr>
            <w:r>
              <w:rPr>
                <w:rFonts w:hint="eastAsia" w:ascii="仿宋_GB2312" w:hAnsi="仿宋_GB2312" w:eastAsia="仿宋_GB2312" w:cs="仿宋_GB2312"/>
                <w:b/>
                <w:bCs/>
                <w:color w:val="000000"/>
                <w:kern w:val="0"/>
                <w:sz w:val="24"/>
                <w:highlight w:val="none"/>
                <w:vertAlign w:val="baseline"/>
                <w:lang w:val="en-US" w:eastAsia="zh-CN" w:bidi="ar"/>
              </w:rPr>
              <w:t>单位</w:t>
            </w:r>
          </w:p>
        </w:tc>
        <w:tc>
          <w:tcPr>
            <w:tcW w:w="4389" w:type="dxa"/>
            <w:noWrap w:val="0"/>
            <w:vAlign w:val="center"/>
          </w:tcPr>
          <w:p>
            <w:pPr>
              <w:widowControl/>
              <w:shd w:val="clear" w:color="auto" w:fill="auto"/>
              <w:spacing w:line="360" w:lineRule="auto"/>
              <w:jc w:val="center"/>
              <w:textAlignment w:val="center"/>
              <w:rPr>
                <w:rFonts w:hint="default" w:ascii="仿宋_GB2312" w:hAnsi="仿宋_GB2312" w:eastAsia="仿宋_GB2312" w:cs="仿宋_GB2312"/>
                <w:b/>
                <w:bCs/>
                <w:color w:val="000000"/>
                <w:kern w:val="0"/>
                <w:sz w:val="24"/>
                <w:highlight w:val="none"/>
                <w:vertAlign w:val="baseline"/>
                <w:lang w:val="en-US" w:eastAsia="zh-CN" w:bidi="ar"/>
              </w:rPr>
            </w:pPr>
            <w:r>
              <w:rPr>
                <w:rFonts w:hint="eastAsia" w:ascii="仿宋_GB2312" w:hAnsi="仿宋_GB2312" w:eastAsia="仿宋_GB2312" w:cs="仿宋_GB2312"/>
                <w:b/>
                <w:bCs/>
                <w:color w:val="000000"/>
                <w:kern w:val="0"/>
                <w:sz w:val="24"/>
                <w:highlight w:val="none"/>
                <w:vertAlign w:val="baseli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keepNext w:val="0"/>
              <w:keepLines w:val="0"/>
              <w:widowControl/>
              <w:suppressLineNumbers w:val="0"/>
              <w:shd w:val="clear" w:color="auto" w:fill="auto"/>
              <w:spacing w:line="360" w:lineRule="auto"/>
              <w:jc w:val="center"/>
              <w:textAlignment w:val="center"/>
              <w:rPr>
                <w:rFonts w:hint="eastAsia" w:ascii="仿宋_GB2312" w:hAnsi="仿宋_GB2312" w:eastAsia="仿宋_GB2312" w:cs="仿宋_GB2312"/>
                <w:b w:val="0"/>
                <w:bCs w:val="0"/>
                <w:sz w:val="24"/>
                <w:highlight w:val="none"/>
                <w:vertAlign w:val="baseline"/>
                <w:lang w:val="en-US" w:eastAsia="zh-CN"/>
              </w:rPr>
            </w:pPr>
            <w:r>
              <w:rPr>
                <w:rFonts w:hint="eastAsia" w:ascii="仿宋_GB2312" w:hAnsi="仿宋_GB2312" w:eastAsia="仿宋_GB2312" w:cs="仿宋_GB2312"/>
                <w:i w:val="0"/>
                <w:iCs w:val="0"/>
                <w:kern w:val="2"/>
                <w:sz w:val="24"/>
                <w:szCs w:val="24"/>
                <w:highlight w:val="none"/>
                <w:u w:val="none"/>
                <w:lang w:val="en-US" w:eastAsia="zh-CN" w:bidi="ar"/>
              </w:rPr>
              <w:t>1</w:t>
            </w:r>
          </w:p>
        </w:tc>
        <w:tc>
          <w:tcPr>
            <w:tcW w:w="2665" w:type="dxa"/>
            <w:noWrap w:val="0"/>
            <w:vAlign w:val="center"/>
          </w:tcPr>
          <w:p>
            <w:pPr>
              <w:keepNext w:val="0"/>
              <w:keepLines w:val="0"/>
              <w:widowControl/>
              <w:suppressLineNumbers w:val="0"/>
              <w:shd w:val="clear" w:color="auto" w:fill="auto"/>
              <w:spacing w:line="360" w:lineRule="auto"/>
              <w:jc w:val="center"/>
              <w:textAlignment w:val="center"/>
              <w:rPr>
                <w:rFonts w:hint="eastAsia" w:ascii="仿宋_GB2312" w:hAnsi="仿宋_GB2312" w:eastAsia="仿宋_GB2312" w:cs="仿宋_GB2312"/>
                <w:b w:val="0"/>
                <w:bCs w:val="0"/>
                <w:sz w:val="24"/>
                <w:highlight w:val="none"/>
                <w:vertAlign w:val="baseline"/>
                <w:lang w:val="en-US" w:eastAsia="zh-CN"/>
              </w:rPr>
            </w:pPr>
            <w:r>
              <w:rPr>
                <w:rFonts w:hint="eastAsia" w:ascii="仿宋_GB2312" w:hAnsi="仿宋_GB2312" w:eastAsia="仿宋_GB2312" w:cs="仿宋_GB2312"/>
                <w:b w:val="0"/>
                <w:bCs w:val="0"/>
                <w:sz w:val="24"/>
                <w:highlight w:val="none"/>
                <w:vertAlign w:val="baseline"/>
                <w:lang w:val="en-US" w:eastAsia="zh-CN"/>
              </w:rPr>
              <w:t>“互联网+护理”小程序</w:t>
            </w:r>
          </w:p>
        </w:tc>
        <w:tc>
          <w:tcPr>
            <w:tcW w:w="737" w:type="dxa"/>
            <w:shd w:val="clear" w:color="auto" w:fill="auto"/>
            <w:noWrap w:val="0"/>
            <w:vAlign w:val="center"/>
          </w:tcPr>
          <w:p>
            <w:pPr>
              <w:keepNext w:val="0"/>
              <w:keepLines w:val="0"/>
              <w:widowControl/>
              <w:suppressLineNumbers w:val="0"/>
              <w:shd w:val="clear" w:color="auto" w:fill="auto"/>
              <w:spacing w:line="360" w:lineRule="auto"/>
              <w:jc w:val="center"/>
              <w:textAlignment w:val="center"/>
              <w:rPr>
                <w:rFonts w:hint="eastAsia" w:ascii="仿宋_GB2312" w:hAnsi="仿宋_GB2312" w:eastAsia="仿宋_GB2312" w:cs="仿宋_GB2312"/>
                <w:i w:val="0"/>
                <w:iCs w:val="0"/>
                <w:kern w:val="2"/>
                <w:sz w:val="24"/>
                <w:szCs w:val="24"/>
                <w:highlight w:val="none"/>
                <w:u w:val="none"/>
                <w:lang w:val="en-US" w:eastAsia="zh-CN" w:bidi="ar"/>
              </w:rPr>
            </w:pPr>
            <w:r>
              <w:rPr>
                <w:rFonts w:hint="eastAsia" w:ascii="仿宋_GB2312" w:hAnsi="仿宋_GB2312" w:eastAsia="仿宋_GB2312" w:cs="仿宋_GB2312"/>
                <w:i w:val="0"/>
                <w:iCs w:val="0"/>
                <w:kern w:val="2"/>
                <w:sz w:val="24"/>
                <w:szCs w:val="24"/>
                <w:highlight w:val="none"/>
                <w:u w:val="none"/>
                <w:lang w:val="en-US" w:eastAsia="zh-CN" w:bidi="ar"/>
              </w:rPr>
              <w:t>1</w:t>
            </w:r>
          </w:p>
        </w:tc>
        <w:tc>
          <w:tcPr>
            <w:tcW w:w="737" w:type="dxa"/>
            <w:shd w:val="clear" w:color="auto" w:fill="auto"/>
            <w:noWrap w:val="0"/>
            <w:vAlign w:val="center"/>
          </w:tcPr>
          <w:p>
            <w:pPr>
              <w:keepNext w:val="0"/>
              <w:keepLines w:val="0"/>
              <w:widowControl/>
              <w:suppressLineNumbers w:val="0"/>
              <w:shd w:val="clear" w:color="auto" w:fill="auto"/>
              <w:spacing w:line="360" w:lineRule="auto"/>
              <w:jc w:val="center"/>
              <w:textAlignment w:val="center"/>
              <w:rPr>
                <w:rFonts w:hint="eastAsia" w:ascii="仿宋_GB2312" w:hAnsi="仿宋_GB2312" w:eastAsia="仿宋_GB2312" w:cs="仿宋_GB2312"/>
                <w:i w:val="0"/>
                <w:iCs w:val="0"/>
                <w:kern w:val="2"/>
                <w:sz w:val="24"/>
                <w:szCs w:val="24"/>
                <w:highlight w:val="none"/>
                <w:u w:val="none"/>
                <w:lang w:val="en-US" w:eastAsia="zh-CN" w:bidi="ar"/>
              </w:rPr>
            </w:pPr>
            <w:r>
              <w:rPr>
                <w:rFonts w:hint="eastAsia" w:ascii="仿宋_GB2312" w:hAnsi="仿宋_GB2312" w:eastAsia="仿宋_GB2312" w:cs="仿宋_GB2312"/>
                <w:i w:val="0"/>
                <w:iCs w:val="0"/>
                <w:kern w:val="2"/>
                <w:sz w:val="24"/>
                <w:szCs w:val="24"/>
                <w:highlight w:val="none"/>
                <w:u w:val="none"/>
                <w:lang w:val="en-US" w:eastAsia="zh-CN" w:bidi="ar"/>
              </w:rPr>
              <w:t>套</w:t>
            </w:r>
          </w:p>
        </w:tc>
        <w:tc>
          <w:tcPr>
            <w:tcW w:w="4389" w:type="dxa"/>
            <w:noWrap w:val="0"/>
            <w:vAlign w:val="center"/>
          </w:tcPr>
          <w:p>
            <w:pPr>
              <w:keepNext w:val="0"/>
              <w:keepLines w:val="0"/>
              <w:widowControl/>
              <w:suppressLineNumbers w:val="0"/>
              <w:shd w:val="clear" w:color="auto" w:fill="auto"/>
              <w:spacing w:line="360" w:lineRule="auto"/>
              <w:jc w:val="center"/>
              <w:textAlignment w:val="center"/>
              <w:rPr>
                <w:rFonts w:hint="default" w:ascii="仿宋_GB2312" w:hAnsi="仿宋_GB2312" w:eastAsia="仿宋_GB2312" w:cs="仿宋_GB2312"/>
                <w:b w:val="0"/>
                <w:bCs w:val="0"/>
                <w:sz w:val="24"/>
                <w:highlight w:val="none"/>
                <w:vertAlign w:val="baseline"/>
                <w:lang w:val="en-US" w:eastAsia="zh-CN"/>
              </w:rPr>
            </w:pPr>
            <w:r>
              <w:rPr>
                <w:rFonts w:hint="eastAsia" w:ascii="仿宋_GB2312" w:hAnsi="仿宋_GB2312" w:eastAsia="仿宋_GB2312" w:cs="仿宋_GB2312"/>
                <w:b w:val="0"/>
                <w:bCs w:val="0"/>
                <w:sz w:val="24"/>
                <w:highlight w:val="none"/>
                <w:vertAlign w:val="baseline"/>
                <w:lang w:val="en-US" w:eastAsia="zh-CN"/>
              </w:rPr>
              <w:t>具体功能见：三、采购项目技术/服务要求指标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keepNext w:val="0"/>
              <w:keepLines w:val="0"/>
              <w:widowControl/>
              <w:suppressLineNumbers w:val="0"/>
              <w:shd w:val="clear" w:color="auto" w:fill="auto"/>
              <w:spacing w:line="360" w:lineRule="auto"/>
              <w:jc w:val="center"/>
              <w:textAlignment w:val="center"/>
              <w:rPr>
                <w:rFonts w:hint="eastAsia" w:ascii="仿宋_GB2312" w:hAnsi="仿宋_GB2312" w:eastAsia="仿宋_GB2312" w:cs="仿宋_GB2312"/>
                <w:b w:val="0"/>
                <w:bCs w:val="0"/>
                <w:sz w:val="24"/>
                <w:vertAlign w:val="baseline"/>
                <w:lang w:val="en-US" w:eastAsia="zh-CN"/>
              </w:rPr>
            </w:pPr>
            <w:r>
              <w:rPr>
                <w:rFonts w:hint="eastAsia" w:ascii="仿宋_GB2312" w:hAnsi="仿宋_GB2312" w:eastAsia="仿宋_GB2312" w:cs="仿宋_GB2312"/>
                <w:i w:val="0"/>
                <w:iCs w:val="0"/>
                <w:kern w:val="2"/>
                <w:sz w:val="24"/>
                <w:szCs w:val="24"/>
                <w:u w:val="none"/>
                <w:lang w:val="en-US" w:eastAsia="zh-CN" w:bidi="ar"/>
              </w:rPr>
              <w:t>2</w:t>
            </w:r>
          </w:p>
        </w:tc>
        <w:tc>
          <w:tcPr>
            <w:tcW w:w="2665" w:type="dxa"/>
            <w:noWrap w:val="0"/>
            <w:vAlign w:val="center"/>
          </w:tcPr>
          <w:p>
            <w:pPr>
              <w:keepNext w:val="0"/>
              <w:keepLines w:val="0"/>
              <w:widowControl/>
              <w:suppressLineNumbers w:val="0"/>
              <w:shd w:val="clear" w:color="auto" w:fill="auto"/>
              <w:spacing w:line="360" w:lineRule="auto"/>
              <w:jc w:val="center"/>
              <w:textAlignment w:val="center"/>
              <w:rPr>
                <w:rFonts w:hint="eastAsia" w:ascii="仿宋_GB2312" w:hAnsi="仿宋_GB2312" w:eastAsia="仿宋_GB2312" w:cs="仿宋_GB2312"/>
                <w:b w:val="0"/>
                <w:bCs w:val="0"/>
                <w:sz w:val="24"/>
                <w:vertAlign w:val="baseline"/>
                <w:lang w:val="en-US" w:eastAsia="zh-CN"/>
              </w:rPr>
            </w:pPr>
            <w:r>
              <w:rPr>
                <w:rFonts w:hint="eastAsia" w:ascii="仿宋_GB2312" w:hAnsi="仿宋_GB2312" w:eastAsia="仿宋_GB2312" w:cs="仿宋_GB2312"/>
                <w:b w:val="0"/>
                <w:bCs w:val="0"/>
                <w:sz w:val="24"/>
                <w:vertAlign w:val="baseline"/>
                <w:lang w:val="en-US" w:eastAsia="zh-CN"/>
              </w:rPr>
              <w:t>“互联网+护理”小程序配套硬件</w:t>
            </w:r>
          </w:p>
        </w:tc>
        <w:tc>
          <w:tcPr>
            <w:tcW w:w="737" w:type="dxa"/>
            <w:shd w:val="clear" w:color="auto" w:fill="auto"/>
            <w:noWrap w:val="0"/>
            <w:vAlign w:val="center"/>
          </w:tcPr>
          <w:p>
            <w:pPr>
              <w:keepNext w:val="0"/>
              <w:keepLines w:val="0"/>
              <w:widowControl/>
              <w:suppressLineNumbers w:val="0"/>
              <w:shd w:val="clear" w:color="auto" w:fill="auto"/>
              <w:spacing w:line="360" w:lineRule="auto"/>
              <w:jc w:val="center"/>
              <w:textAlignment w:val="center"/>
              <w:rPr>
                <w:rFonts w:hint="eastAsia" w:ascii="仿宋_GB2312" w:hAnsi="仿宋_GB2312" w:eastAsia="仿宋_GB2312" w:cs="仿宋_GB2312"/>
                <w:i w:val="0"/>
                <w:iCs w:val="0"/>
                <w:kern w:val="2"/>
                <w:sz w:val="24"/>
                <w:szCs w:val="24"/>
                <w:u w:val="none"/>
                <w:lang w:val="en-US" w:eastAsia="zh-CN" w:bidi="ar"/>
              </w:rPr>
            </w:pPr>
            <w:r>
              <w:rPr>
                <w:rFonts w:hint="eastAsia" w:ascii="仿宋_GB2312" w:hAnsi="仿宋_GB2312" w:eastAsia="仿宋_GB2312" w:cs="仿宋_GB2312"/>
                <w:i w:val="0"/>
                <w:iCs w:val="0"/>
                <w:kern w:val="2"/>
                <w:sz w:val="24"/>
                <w:szCs w:val="24"/>
                <w:u w:val="none"/>
                <w:lang w:val="en-US" w:eastAsia="zh-CN" w:bidi="ar"/>
              </w:rPr>
              <w:t>1</w:t>
            </w:r>
          </w:p>
        </w:tc>
        <w:tc>
          <w:tcPr>
            <w:tcW w:w="737" w:type="dxa"/>
            <w:shd w:val="clear" w:color="auto" w:fill="auto"/>
            <w:noWrap w:val="0"/>
            <w:vAlign w:val="center"/>
          </w:tcPr>
          <w:p>
            <w:pPr>
              <w:keepNext w:val="0"/>
              <w:keepLines w:val="0"/>
              <w:widowControl/>
              <w:suppressLineNumbers w:val="0"/>
              <w:shd w:val="clear" w:color="auto" w:fill="auto"/>
              <w:spacing w:line="360" w:lineRule="auto"/>
              <w:jc w:val="center"/>
              <w:textAlignment w:val="center"/>
              <w:rPr>
                <w:rFonts w:hint="eastAsia" w:ascii="仿宋_GB2312" w:hAnsi="仿宋_GB2312" w:eastAsia="仿宋_GB2312" w:cs="仿宋_GB2312"/>
                <w:i w:val="0"/>
                <w:iCs w:val="0"/>
                <w:kern w:val="2"/>
                <w:sz w:val="24"/>
                <w:szCs w:val="24"/>
                <w:u w:val="none"/>
                <w:lang w:val="en-US" w:eastAsia="zh-CN" w:bidi="ar"/>
              </w:rPr>
            </w:pPr>
            <w:r>
              <w:rPr>
                <w:rFonts w:hint="eastAsia" w:ascii="仿宋_GB2312" w:hAnsi="仿宋_GB2312" w:eastAsia="仿宋_GB2312" w:cs="仿宋_GB2312"/>
                <w:i w:val="0"/>
                <w:iCs w:val="0"/>
                <w:kern w:val="2"/>
                <w:sz w:val="24"/>
                <w:szCs w:val="24"/>
                <w:u w:val="none"/>
                <w:lang w:val="en-US" w:eastAsia="zh-CN" w:bidi="ar"/>
              </w:rPr>
              <w:t>套</w:t>
            </w:r>
          </w:p>
        </w:tc>
        <w:tc>
          <w:tcPr>
            <w:tcW w:w="4389" w:type="dxa"/>
            <w:noWrap w:val="0"/>
            <w:vAlign w:val="center"/>
          </w:tcPr>
          <w:p>
            <w:pPr>
              <w:keepNext w:val="0"/>
              <w:keepLines w:val="0"/>
              <w:widowControl/>
              <w:suppressLineNumbers w:val="0"/>
              <w:shd w:val="clear" w:color="auto" w:fill="auto"/>
              <w:spacing w:line="360" w:lineRule="auto"/>
              <w:jc w:val="center"/>
              <w:textAlignment w:val="center"/>
              <w:rPr>
                <w:rFonts w:hint="default" w:ascii="仿宋_GB2312" w:hAnsi="仿宋_GB2312" w:eastAsia="仿宋_GB2312" w:cs="仿宋_GB2312"/>
                <w:b w:val="0"/>
                <w:bCs w:val="0"/>
                <w:sz w:val="24"/>
                <w:vertAlign w:val="baseline"/>
                <w:lang w:val="en-US" w:eastAsia="zh-CN"/>
              </w:rPr>
            </w:pPr>
            <w:r>
              <w:rPr>
                <w:rFonts w:hint="eastAsia" w:ascii="仿宋_GB2312" w:hAnsi="仿宋_GB2312" w:eastAsia="仿宋_GB2312" w:cs="仿宋_GB2312"/>
                <w:b w:val="0"/>
                <w:bCs w:val="0"/>
                <w:sz w:val="24"/>
                <w:highlight w:val="none"/>
                <w:vertAlign w:val="baseline"/>
                <w:lang w:val="en-US" w:eastAsia="zh-CN"/>
              </w:rPr>
              <w:t>实现与“互联网+护理”小程序对接与操作，可同时支持3组人员外出护理（即至少含3台记录仪），具体参数见：三、采购项目技术/服务要求指标。</w:t>
            </w:r>
          </w:p>
        </w:tc>
      </w:tr>
    </w:tbl>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hint="eastAsia" w:ascii="仿宋_GB2312" w:hAnsi="仿宋_GB2312" w:eastAsia="仿宋_GB2312" w:cs="仿宋_GB2312"/>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2" w:firstLineChars="200"/>
        <w:jc w:val="left"/>
        <w:textAlignment w:val="auto"/>
        <w:rPr>
          <w:rFonts w:hint="eastAsia" w:ascii="仿宋_GB2312" w:hAnsi="仿宋_GB2312" w:eastAsia="仿宋_GB2312" w:cs="仿宋_GB2312"/>
          <w:b/>
          <w:sz w:val="30"/>
          <w:szCs w:val="30"/>
          <w:lang w:val="en-GB"/>
        </w:rPr>
      </w:pPr>
      <w:bookmarkStart w:id="0" w:name="_GoBack"/>
      <w:r>
        <w:rPr>
          <w:rFonts w:hint="eastAsia" w:ascii="仿宋_GB2312" w:hAnsi="仿宋_GB2312" w:eastAsia="仿宋_GB2312" w:cs="仿宋_GB2312"/>
          <w:b/>
          <w:bCs/>
          <w:sz w:val="30"/>
          <w:szCs w:val="30"/>
          <w:lang w:val="en-US" w:eastAsia="zh-CN"/>
        </w:rPr>
        <w:t>三</w:t>
      </w:r>
      <w:r>
        <w:rPr>
          <w:rFonts w:hint="eastAsia" w:ascii="仿宋_GB2312" w:hAnsi="仿宋_GB2312" w:eastAsia="仿宋_GB2312" w:cs="仿宋_GB2312"/>
          <w:b/>
          <w:sz w:val="30"/>
          <w:szCs w:val="30"/>
          <w:lang w:val="en-GB" w:eastAsia="zh-CN"/>
        </w:rPr>
        <w:t>、</w:t>
      </w:r>
      <w:r>
        <w:rPr>
          <w:rFonts w:hint="eastAsia" w:ascii="仿宋_GB2312" w:hAnsi="仿宋_GB2312" w:eastAsia="仿宋_GB2312" w:cs="仿宋_GB2312"/>
          <w:b/>
          <w:sz w:val="30"/>
          <w:szCs w:val="30"/>
          <w:lang w:val="en-GB"/>
        </w:rPr>
        <w:t>采购项目技术</w:t>
      </w:r>
      <w:r>
        <w:rPr>
          <w:rFonts w:hint="eastAsia" w:ascii="仿宋_GB2312" w:hAnsi="仿宋_GB2312" w:eastAsia="仿宋_GB2312" w:cs="仿宋_GB2312"/>
          <w:b/>
          <w:sz w:val="30"/>
          <w:szCs w:val="30"/>
          <w:lang w:val="en-GB" w:eastAsia="zh-CN"/>
        </w:rPr>
        <w:t>/服务要求</w:t>
      </w:r>
      <w:r>
        <w:rPr>
          <w:rFonts w:hint="eastAsia" w:ascii="仿宋_GB2312" w:hAnsi="仿宋_GB2312" w:eastAsia="仿宋_GB2312" w:cs="仿宋_GB2312"/>
          <w:b/>
          <w:sz w:val="30"/>
          <w:szCs w:val="30"/>
          <w:lang w:val="en-GB"/>
        </w:rPr>
        <w:t>指标（规格、技术参数/方案、配置）要求：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2" w:firstLineChars="200"/>
        <w:jc w:val="left"/>
        <w:textAlignment w:val="auto"/>
        <w:rPr>
          <w:rFonts w:hint="eastAsia" w:ascii="仿宋_GB2312" w:hAnsi="仿宋_GB2312" w:eastAsia="仿宋_GB2312" w:cs="仿宋_GB2312"/>
          <w:b/>
          <w:sz w:val="30"/>
          <w:szCs w:val="30"/>
          <w:lang w:val="en-US" w:eastAsia="zh-CN"/>
        </w:rPr>
      </w:pPr>
      <w:r>
        <w:rPr>
          <w:rFonts w:hint="eastAsia" w:ascii="仿宋_GB2312" w:hAnsi="仿宋_GB2312" w:eastAsia="仿宋_GB2312" w:cs="仿宋_GB2312"/>
          <w:b/>
          <w:sz w:val="30"/>
          <w:szCs w:val="30"/>
          <w:lang w:val="en-GB" w:eastAsia="zh-CN"/>
        </w:rPr>
        <w:t>（</w:t>
      </w:r>
      <w:r>
        <w:rPr>
          <w:rFonts w:hint="eastAsia" w:ascii="仿宋_GB2312" w:hAnsi="仿宋_GB2312" w:eastAsia="仿宋_GB2312" w:cs="仿宋_GB2312"/>
          <w:b/>
          <w:sz w:val="30"/>
          <w:szCs w:val="30"/>
          <w:lang w:val="en-US" w:eastAsia="zh-CN"/>
        </w:rPr>
        <w:t>一</w:t>
      </w:r>
      <w:r>
        <w:rPr>
          <w:rFonts w:hint="eastAsia" w:ascii="仿宋_GB2312" w:hAnsi="仿宋_GB2312" w:eastAsia="仿宋_GB2312" w:cs="仿宋_GB2312"/>
          <w:b/>
          <w:sz w:val="30"/>
          <w:szCs w:val="30"/>
          <w:lang w:val="en-GB" w:eastAsia="zh-CN"/>
        </w:rPr>
        <w:t>）“</w:t>
      </w:r>
      <w:r>
        <w:rPr>
          <w:rFonts w:hint="eastAsia" w:ascii="仿宋_GB2312" w:hAnsi="仿宋_GB2312" w:eastAsia="仿宋_GB2312" w:cs="仿宋_GB2312"/>
          <w:b/>
          <w:sz w:val="30"/>
          <w:szCs w:val="30"/>
          <w:lang w:val="en-US" w:eastAsia="zh-CN"/>
        </w:rPr>
        <w:t>互联网+护理</w:t>
      </w:r>
      <w:r>
        <w:rPr>
          <w:rFonts w:hint="eastAsia" w:ascii="仿宋_GB2312" w:hAnsi="仿宋_GB2312" w:eastAsia="仿宋_GB2312" w:cs="仿宋_GB2312"/>
          <w:b/>
          <w:sz w:val="30"/>
          <w:szCs w:val="30"/>
          <w:lang w:val="en-GB" w:eastAsia="zh-CN"/>
        </w:rPr>
        <w:t>”</w:t>
      </w:r>
      <w:r>
        <w:rPr>
          <w:rFonts w:hint="eastAsia" w:ascii="仿宋_GB2312" w:hAnsi="仿宋_GB2312" w:eastAsia="仿宋_GB2312" w:cs="仿宋_GB2312"/>
          <w:b/>
          <w:sz w:val="30"/>
          <w:szCs w:val="30"/>
          <w:lang w:val="en-US" w:eastAsia="zh-CN"/>
        </w:rPr>
        <w:t>小程序功能</w:t>
      </w:r>
    </w:p>
    <w:bookmarkEnd w:id="0"/>
    <w:tbl>
      <w:tblPr>
        <w:tblStyle w:val="5"/>
        <w:tblW w:w="55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37"/>
        <w:gridCol w:w="737"/>
        <w:gridCol w:w="1191"/>
        <w:gridCol w:w="1191"/>
        <w:gridCol w:w="5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blHeader/>
          <w:jc w:val="center"/>
        </w:trPr>
        <w:tc>
          <w:tcPr>
            <w:tcW w:w="386" w:type="pct"/>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b/>
                <w:bCs/>
                <w:i w:val="0"/>
                <w:iCs w:val="0"/>
                <w:color w:val="auto"/>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序号</w:t>
            </w:r>
          </w:p>
        </w:tc>
        <w:tc>
          <w:tcPr>
            <w:tcW w:w="386"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功能大项</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功能子项</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功能细项</w:t>
            </w:r>
          </w:p>
        </w:tc>
        <w:tc>
          <w:tcPr>
            <w:tcW w:w="297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功能描述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6" w:type="pct"/>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386"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上门护理</w:t>
            </w: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服务分类</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服务分类</w:t>
            </w:r>
          </w:p>
        </w:tc>
        <w:tc>
          <w:tcPr>
            <w:tcW w:w="2975" w:type="pct"/>
            <w:shd w:val="clear" w:color="auto" w:fill="auto"/>
            <w:vAlign w:val="center"/>
          </w:tcPr>
          <w:p>
            <w:pPr>
              <w:keepNext w:val="0"/>
              <w:keepLines w:val="0"/>
              <w:widowControl/>
              <w:suppressLineNumbers w:val="0"/>
              <w:jc w:val="left"/>
              <w:textAlignment w:val="center"/>
              <w:rPr>
                <w:rStyle w:val="10"/>
                <w:rFonts w:hint="eastAsia" w:ascii="仿宋_GB2312" w:hAnsi="仿宋_GB2312" w:eastAsia="仿宋_GB2312" w:cs="仿宋_GB2312"/>
                <w:color w:val="auto"/>
                <w:sz w:val="24"/>
                <w:szCs w:val="24"/>
                <w:lang w:val="en-US" w:eastAsia="zh-CN" w:bidi="ar"/>
              </w:rPr>
            </w:pPr>
            <w:r>
              <w:rPr>
                <w:rStyle w:val="10"/>
                <w:rFonts w:hint="eastAsia" w:ascii="仿宋_GB2312" w:hAnsi="仿宋_GB2312" w:eastAsia="仿宋_GB2312" w:cs="仿宋_GB2312"/>
                <w:color w:val="auto"/>
                <w:sz w:val="24"/>
                <w:szCs w:val="24"/>
                <w:lang w:val="en-US" w:eastAsia="zh-CN" w:bidi="ar"/>
              </w:rPr>
              <w:t>1.支持患者能够通过服务分类，快速选择需要的服务种类</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2.后台可配置服务分类，将服务项目进行关联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2</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项目搜索</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支持以项目关键词模糊搜索指定项目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3</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服务列表</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支持展示当前医院启用的服务项目列表展示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4</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服务详情</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服务介绍</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支持患者在点击服务项目后，预览项目名称、项目简介、项目价格、项目详情（适用人群、服务内容、服务提示、注意事项）等后台可配置的内容展示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jc w:val="center"/>
        </w:trPr>
        <w:tc>
          <w:tcPr>
            <w:tcW w:w="386" w:type="pct"/>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5</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耗材选择</w:t>
            </w:r>
          </w:p>
        </w:tc>
        <w:tc>
          <w:tcPr>
            <w:tcW w:w="2975" w:type="pct"/>
            <w:shd w:val="clear" w:color="auto" w:fill="auto"/>
            <w:vAlign w:val="center"/>
          </w:tcPr>
          <w:p>
            <w:pPr>
              <w:keepNext w:val="0"/>
              <w:keepLines w:val="0"/>
              <w:widowControl/>
              <w:suppressLineNumbers w:val="0"/>
              <w:jc w:val="left"/>
              <w:textAlignment w:val="center"/>
              <w:rPr>
                <w:rStyle w:val="10"/>
                <w:rFonts w:hint="eastAsia" w:ascii="仿宋_GB2312" w:hAnsi="仿宋_GB2312" w:eastAsia="仿宋_GB2312" w:cs="仿宋_GB2312"/>
                <w:color w:val="auto"/>
                <w:sz w:val="24"/>
                <w:szCs w:val="24"/>
                <w:lang w:val="en-US" w:eastAsia="zh-CN" w:bidi="ar"/>
              </w:rPr>
            </w:pPr>
            <w:r>
              <w:rPr>
                <w:rStyle w:val="10"/>
                <w:rFonts w:hint="eastAsia" w:ascii="仿宋_GB2312" w:hAnsi="仿宋_GB2312" w:eastAsia="仿宋_GB2312" w:cs="仿宋_GB2312"/>
                <w:color w:val="auto"/>
                <w:sz w:val="24"/>
                <w:szCs w:val="24"/>
                <w:lang w:val="en-US" w:eastAsia="zh-CN" w:bidi="ar"/>
              </w:rPr>
              <w:t>1.支持医院根据不同项目预选配对应耗材包，且耗材包是否支持患者自备</w:t>
            </w:r>
          </w:p>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lang w:val="en-US"/>
              </w:rPr>
            </w:pPr>
            <w:r>
              <w:rPr>
                <w:rStyle w:val="10"/>
                <w:rFonts w:hint="eastAsia" w:ascii="仿宋_GB2312" w:hAnsi="仿宋_GB2312" w:eastAsia="仿宋_GB2312" w:cs="仿宋_GB2312"/>
                <w:color w:val="auto"/>
                <w:sz w:val="24"/>
                <w:szCs w:val="24"/>
                <w:lang w:val="en-US" w:eastAsia="zh-CN" w:bidi="ar"/>
              </w:rPr>
              <w:t>2.支持患者预约订单时根据后台配置选购耗材包，或自备相关耗材包，或不预选购耗材包，上门后再添加使用耗材进行收费，可对已购买耗材包内未使用的耗材进行退费。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6" w:type="pct"/>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6</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风险评估表</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风险评估表单填写</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支持患者根据医院配置是否要求进行在线风险评估，在预约服务前根据项目关联的风险评估表单，填写对应内容后，护士指派/接单前可预览对应表单内容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7</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服务预约</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服务预览</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对应服务项目价格、icon图标信息预览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8</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选择就诊人</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1.支持选择/新增/编辑/删除预约主体就诊人信息</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就诊人信息：就诊人关系、真实姓名、身份证号码、手机号、地址、卡号（可填无）</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2.支持与互联网医院就诊人信息或his就诊人信息互通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9</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实名校验</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可支持患者在预约护理服务时对就诊人身份进行实名验证：</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1.短信校验</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2.人脸核身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10</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选择上门地址</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1.支持选择/新增/编辑/删除预约上门服务的地址（服务仅限南湖院区、仲恺院区、下埔院区为中心周边10公里内）</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2.服务范围外的地址不可被选中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11</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行程计算</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根据后台配置的路费计算方式计算患者预约地址所需路费</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1.按区域不同固定价格收费</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2.按上门驾车距离及每公里定价收费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12</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病历资料上传</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1.支持后台配置每个项目需要患者上传的图片模块如住院证明、检查报告等</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2.患者根据不同模块上传对应图片内容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13</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知情同意书</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kern w:val="0"/>
                <w:sz w:val="24"/>
                <w:szCs w:val="24"/>
                <w:u w:val="none"/>
                <w:lang w:val="en-US" w:eastAsia="zh-CN" w:bidi="ar"/>
              </w:rPr>
              <w:t>患者在提交订单之前，需要勾选知情同意书，勾选时会自动跳转阅读界面强制进行阅读，完成阅读后，可返回预约界面，且自动勾选已同意知情同意书，可支持在知情同意书上进行手写签名。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14</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费用支付</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支付订单</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患者支付项目预约订单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15</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服务宣教</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服务宣教</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用户完成订单预约后，展示相关项目的服务宣教内容，提醒用户注意事项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16</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预约详情</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订单信息预览</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完成支付后，支持患者预览订单对应预约信息（病情资料、护理记录、评估量表、预约时间、地点、预约人信息等）、服务进度、支付信息（订单金额、单号、支付时间等）展示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17</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服务评价</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服务评价</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支持患者针对护理服务及护士进行评价及填写回访表单，管理后台查询预览：</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护理过程、评分护士印象、回访表单、评价详情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18</w:t>
            </w:r>
          </w:p>
        </w:tc>
        <w:tc>
          <w:tcPr>
            <w:tcW w:w="386"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护理咨询</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护士选择</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护士列表</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通过科室分类，护士级别分类和搜索框内快速的找到合适护士咨询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19</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护士主页</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基本信息</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患者能查看护士的姓名、头像、科室、职称、接诊次数、综合评分、可服务项目等信息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20</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收藏</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对护士进修收藏，下次咨询可以快速找到对应的护士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21</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咨询发起</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支持患者针对护士基于图文问诊发起咨询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22</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护士介绍</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支持患者查看护士擅长标签、简介、执业经历、荣誉嘉奖、学术成就等信息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23</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患者评价</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支持患者查看其他患者对护士的评价信息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24</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咨询沟通</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图文咨询</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支持患者及护士之间使用图文、语音消息进行沟通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25</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推荐项目预约</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支持患者点击护士推荐的护理服务项目预览详情及预约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26</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发送处方记录</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支持患者发送过往的处方记录给护士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27</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结束咨询</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在患者接受结束咨询的相关告知后，可自主结束咨询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28</w:t>
            </w:r>
          </w:p>
        </w:tc>
        <w:tc>
          <w:tcPr>
            <w:tcW w:w="386"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个人中心</w:t>
            </w: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个人中心</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就诊人管理</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支持患者添加/编辑/删除接受服务的就诊人，并进行多就诊人管理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29</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问诊记录</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支持患者能够查看护理咨询订单状态及订单基本信息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30</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护理记录</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支持患者能够查看上门护理订单状态及订单基本信息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r>
              <w:rPr>
                <w:rFonts w:hint="default" w:ascii="仿宋_GB2312" w:hAnsi="仿宋_GB2312" w:eastAsia="仿宋_GB2312" w:cs="仿宋_GB2312"/>
                <w:i w:val="0"/>
                <w:iCs w:val="0"/>
                <w:color w:val="auto"/>
                <w:sz w:val="24"/>
                <w:szCs w:val="24"/>
                <w:u w:val="none"/>
                <w:lang w:val="en-US" w:eastAsia="zh-CN"/>
              </w:rPr>
              <w:t>31</w:t>
            </w:r>
          </w:p>
        </w:tc>
        <w:tc>
          <w:tcPr>
            <w:tcW w:w="386" w:type="pct"/>
            <w:vMerge w:val="continue"/>
            <w:shd w:val="clear" w:color="auto" w:fill="FFFFFF"/>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FFFFFF"/>
            <w:noWrap/>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进程提醒</w:t>
            </w:r>
          </w:p>
        </w:tc>
        <w:tc>
          <w:tcPr>
            <w:tcW w:w="2975" w:type="pct"/>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护士出发、到达、开始服务、结束服务时小程序订阅消息提醒患者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6" w:type="pct"/>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32</w:t>
            </w:r>
          </w:p>
        </w:tc>
        <w:tc>
          <w:tcPr>
            <w:tcW w:w="386"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账号管理</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账号登录</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护士入驻</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支持护士在移动端登录预设帐号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33</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审核提交</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资料提交审核</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首次登录账号时引导护士完善以下个人资料以提交账号进行激活认证审核：头像、性别、身份证号、登录密码、职称、执业证书编号、日期、资格证书编号、日期、科室、服务项目、擅长标签、擅长领域、介绍、执业经历、荣誉嘉奖、学术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386" w:type="pct"/>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34</w:t>
            </w:r>
          </w:p>
        </w:tc>
        <w:tc>
          <w:tcPr>
            <w:tcW w:w="386"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上门护理</w:t>
            </w: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预约列表</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待接单列表</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1.后台配置支持护士自主接单时，则出诊护士能查看当前当前待接单页面，且可自由选择订单进行主动接取</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2.管理护士可选择待接单的订单选择符合预约时间的排班护士进行指派接单</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列表展示内容如下：项目icon、项目名称、服务价格、预约日期、患者姓名、年龄、性别、预约地址、接单护士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35</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订单接取</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1.护士长能够将订单指派/改派给指定护士</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2.出诊护士可根据后台配置控制是否支持其自主接单</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3.可开启/关闭系统自动指派订单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36</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已接单列表</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出诊/管理护士能查看自身已接取的订单列表展示</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列表展示内容如下：项目icon、项目名称、服务价格、预约日期、患者姓名、年龄、性别、预约地址、接单护士</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操作：出发、核对准备事项、到达、开始、结束、提交护理记录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37</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订单详情</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除展示列表预览的内容详情外，还可额外查看订单对应耗材、预约订单填写的病情描述、过敏史、既往史、上传的图片等信息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38</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订单备注</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支持管理员联系患者审核订单后，对订单添加备注，接单护士在接单后能查看对应订单备注内容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39</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知情同意书添加</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支持护士携带纸质知情同意书患者签署后，拍照上传归档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40</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费用添加</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支持护士针对服务过程中添加使用的耗材、或新增的服务项目进行收费发起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41</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护理记录</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支持护士能够查看患者以前的护理记录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6" w:type="pct"/>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42</w:t>
            </w:r>
          </w:p>
        </w:tc>
        <w:tc>
          <w:tcPr>
            <w:tcW w:w="386"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护理咨询</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护理咨询设置</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护理咨询设置</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支持护士设置护理咨询接诊价格，接诊人数的信息和是否开启服务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43</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咨询列表</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咨询列表</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支持护士查看患者针对自己预约的护理咨询订单信息，展示内容如下：患者头像、姓名、性别、年龄、下单时间、病情描述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44</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诊间沟通</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患者信息</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支持护士查看患者姓名、性别、年龄、病情描述、上传图片等信息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45</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患者标签</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护士能为患者添加标签分组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46</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患者病历</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护士能查看患者历史病历、检查检验报告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47</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咨询退款</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若咨询受阻，护士能选择原因后对咨询金额发起退款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48</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发送护理项目</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经过沟通后能选择与患者咨询相关的护理项目发送给患者，便于患者快速预约对应护理项目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49</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结束咨询</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在接收提醒告知后，可自主结束咨询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50</w:t>
            </w:r>
          </w:p>
        </w:tc>
        <w:tc>
          <w:tcPr>
            <w:tcW w:w="386"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患者管理</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患者列表</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患者列表</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支持护士查看接诊过的患者列表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51</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患者详情</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问诊记录</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支持护士查看该患者历史的问诊记录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52</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患者病历</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护士能查看患者历史病历、检查检验报告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53</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基本信息</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支持护士查看患者姓名、性别、年龄、病情描述、上传图片等信息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54</w:t>
            </w:r>
          </w:p>
        </w:tc>
        <w:tc>
          <w:tcPr>
            <w:tcW w:w="386"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个人信息管理</w:t>
            </w: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个人中心</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数据总览</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支持护士查看自身头像、名称、职称、科室、护理次数、好评率、服务天数等信息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55</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编辑资料</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1.首次登录账号时引导护士完善以下个人资料：</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头像、性别、身份证号、登录密码、职称、执业证书编号、日期、资格证书编号、日期、科室、服务项目、擅长标签、擅长领域、介绍、执业经历、荣誉嘉奖、学术成就</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2.支持护士自由编辑自己的头像、性别、身份证号码外的其他个人资料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56</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上门服务设置</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支持护士开关是否接受上门服务订单指派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57</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查看排班</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1.支持护士查看自身排班</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2.支持开启护士自主排班后，护士自己可以给自己排班</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3.支持管理护士给全部护士进行排班</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4.支持出诊护士申请取消自己的排班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58</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护士审核</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支持管理护士可在移动端进行护士账号进行预览审核</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支持管理护士针对出诊护士申请取消的排班进行审核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59</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记录仪管理</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支持管理护士可针对记录仪设备进行管理：</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1.添加：新增记录仪设备</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2.删除：删除记录仪设备</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3.停用：停用记录仪设备</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4.归还：置记录仪设备为归还状态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60</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订单记录</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1.支持护士能查看自身已完成和取消的订单</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2.支持管理护士查看医院全部护士已完成和取消的订单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61</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我的收益</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支持护士查看自身今日、当月和累计收益分析图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62</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账号管理</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支持护士切换当前账号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63</w:t>
            </w:r>
          </w:p>
        </w:tc>
        <w:tc>
          <w:tcPr>
            <w:tcW w:w="386"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消息提醒</w:t>
            </w:r>
          </w:p>
        </w:tc>
        <w:tc>
          <w:tcPr>
            <w:tcW w:w="625" w:type="pct"/>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订单流程</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新订单提醒</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当前有患者下单后小程序订阅消息提醒管理员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64</w:t>
            </w:r>
          </w:p>
        </w:tc>
        <w:tc>
          <w:tcPr>
            <w:tcW w:w="386"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多院区管理</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添加/删除</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支持医院按照单院区或多院区模式分管不同院区的护士及指派订单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65</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护士管理</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添加</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支持管理员单独输入护士姓名、工号、手机号信息创建基础护士账号提供给护士登录完善自身信息进而提交账号审核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66</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导入</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支持管理员下载excel模板，批量录入护士账号信息：名称、工号、科室编号、科室名称、身份证、性别、手机号、职级、执业资格编号、执业证书编号、签发机构、签发日期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67</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编辑/删除</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1.支持管理员编辑护士性别、头像、身份证号、科室、职称、资格证书编号及图片、执业证书编号及图片、发证日期、发证机构、开关护理咨询及修改价格、开关上门护理及关联的服务项目、擅长标签、擅长领域、介绍、执业经历、荣誉嘉奖、学术成就</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2.支持管理员删除护士账号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68</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审核</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支持管理员审核护士资质进行账号激活操作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69</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重置密码</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支持管理员重置护士登录密码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70</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启用/禁用</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支持管理员启用/禁用护士账号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71</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项目管理</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添加</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支持管理员创建当前医院支持的护理服务项目以下内容：</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项目图片、项目名称、项目分类、项目科室、项目费用、选配关联耗材包、耗材包是否支持患者自备、患者需要上传的图片模块、项目关联耗材库、服务范围选择、知情同意书管理、项目简介、服务宣教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72</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编辑/删除</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1.支持管理员编辑项目任意信息</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2.支持管理员删除当前项目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73</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启用/停用</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支持管理员单个/批量进行项目启用/停用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74</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服务范围管理</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服务范围模式</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支持管理员设置当前医院服务范围的模式</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1.按区域设置：选择当前医院支持服务的地区</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2.按距离设置：选择当前医院支付服务的距离范围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75</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服务路费收取模式</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支持管理员设置当前医院路费收取的模式</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1.按区域收取：根据区域设置每个地区上门服务需收取的路费金额</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2.按距离收取：设置每公里收取多少金额，根据当前医院和患者预约地址的距离计算路费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76</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排班管理</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添加</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支持管理员针对当前医院启用状态的护士进行单独或批量排班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77</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删除</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支持管理员删除当前已发布的排班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78</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订单管理</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订单查询</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支持查询当前医院全部状态的上门护理及护理咨询订单列表及详情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79</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订单指派</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支持管理员指派无人接单的订单给对应排班护士进行服务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80</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订单导出</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支持管理员导出当前订单明细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81</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订单备注</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支持管理员联系患者审核订单后，对订单添加备注，接单护士在接单后能查看对应订单备注内容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82</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模板管理</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添加</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支持管理员新增护理服务项目所需患者填写的评估量及护士完成护理所需填写的护理记录表单模板信息</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所需填写内容：表单标题、表单类型、表单关联项目（支持多选）、表单说明、表单题目（题目类型支持文本、单选、多选、日期、下拉等形式）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83</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编辑/删除</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支持管理员编辑/删除表单相关内容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84</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启用/停用</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支持管理员启用/停用对应表单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85</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设备管理</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添加</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支持管理员添加对应护理记录仪设备进行管理，添加后默认启用，出诊护士可在出诊前进行领用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86</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删除</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支持管理员删除当前设备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87</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启用/停用</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支持管理员启用/停用当前设备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88</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患者名单管理</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上传名单</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开启黑名单模式后，管理员通过单独添加或批量上传等方式上传患者名单后，可禁止对应患者进行服务项目预约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89</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移除名单</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可基于现有的黑名单列表移除对应患者出黑名单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90</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回访管理</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患者评价查询</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支持管理员查看患者历史全部评价内容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91</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回访记录查看/填写</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支持管理员查看患者历史填写的回访记录表单内容，及人工回访后针对订单备注对应回访内容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92</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restar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模式设置</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预约模式设置</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排班模式：支持护士不排班患者即可自由下单及自由指派功能</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无需排班模式：需要护士排班后患者才能选择护士排班时间进行下单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93</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患者可预约时间选择</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支持管理员设置当前患者预约时间是否支持预约当天或需要提前预约</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1.预约当天：开启后，支持患者预约当天时间进行下单</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2.跨天预约：开启后，支持设置患者仅能预约X天后的订单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94</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管理护士指派选择</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支持管理员设置当前管理护士可指派的服务项目范围</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1.指派所有项目：开启后，管理护士可指派全部项目的订单</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2.指派关联项目：开启后，管理护士仅能指派自身关联项目的订单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95</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接单模式选择</w:t>
            </w:r>
          </w:p>
        </w:tc>
        <w:tc>
          <w:tcPr>
            <w:tcW w:w="2975" w:type="pct"/>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10"/>
                <w:rFonts w:hint="eastAsia" w:ascii="仿宋_GB2312" w:hAnsi="仿宋_GB2312" w:eastAsia="仿宋_GB2312" w:cs="仿宋_GB2312"/>
                <w:color w:val="auto"/>
                <w:sz w:val="24"/>
                <w:szCs w:val="24"/>
                <w:lang w:val="en-US" w:eastAsia="zh-CN" w:bidi="ar"/>
              </w:rPr>
              <w:t>支持管理员设置当前出诊护士是否可自主接单</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1.支持自主接单：开启后，支持出诊护士自由主动接取订单，且可选择护士接单时是否需要有订单对应排班才能进行接单</w:t>
            </w:r>
            <w:r>
              <w:rPr>
                <w:rStyle w:val="10"/>
                <w:rFonts w:hint="eastAsia" w:ascii="仿宋_GB2312" w:hAnsi="仿宋_GB2312" w:eastAsia="仿宋_GB2312" w:cs="仿宋_GB2312"/>
                <w:color w:val="auto"/>
                <w:sz w:val="24"/>
                <w:szCs w:val="24"/>
                <w:lang w:val="en-US" w:eastAsia="zh-CN" w:bidi="ar"/>
              </w:rPr>
              <w:br w:type="textWrapping"/>
            </w:r>
            <w:r>
              <w:rPr>
                <w:rStyle w:val="10"/>
                <w:rFonts w:hint="eastAsia" w:ascii="仿宋_GB2312" w:hAnsi="仿宋_GB2312" w:eastAsia="仿宋_GB2312" w:cs="仿宋_GB2312"/>
                <w:color w:val="auto"/>
                <w:sz w:val="24"/>
                <w:szCs w:val="24"/>
                <w:lang w:val="en-US" w:eastAsia="zh-CN" w:bidi="ar"/>
              </w:rPr>
              <w:t>2.不支持自主接单：开启后，出诊护士仅能被指派订单，无法自己主动接取订单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96</w:t>
            </w:r>
          </w:p>
        </w:tc>
        <w:tc>
          <w:tcPr>
            <w:tcW w:w="386" w:type="pct"/>
            <w:vMerge w:val="restart"/>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安全服务</w:t>
            </w:r>
          </w:p>
        </w:tc>
        <w:tc>
          <w:tcPr>
            <w:tcW w:w="625" w:type="pct"/>
            <w:vMerge w:val="restart"/>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其他</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一键报警</w:t>
            </w:r>
          </w:p>
        </w:tc>
        <w:tc>
          <w:tcPr>
            <w:tcW w:w="2975" w:type="pct"/>
            <w:shd w:val="clear" w:color="auto" w:fill="auto"/>
            <w:vAlign w:val="center"/>
          </w:tcPr>
          <w:p>
            <w:pPr>
              <w:keepNext w:val="0"/>
              <w:keepLines w:val="0"/>
              <w:widowControl/>
              <w:numPr>
                <w:ilvl w:val="0"/>
                <w:numId w:val="2"/>
              </w:numPr>
              <w:suppressLineNumbers w:val="0"/>
              <w:jc w:val="left"/>
              <w:textAlignment w:val="center"/>
              <w:rPr>
                <w:rStyle w:val="10"/>
                <w:rFonts w:hint="eastAsia" w:ascii="仿宋_GB2312" w:hAnsi="仿宋_GB2312" w:eastAsia="仿宋_GB2312" w:cs="仿宋_GB2312"/>
                <w:color w:val="auto"/>
                <w:sz w:val="24"/>
                <w:szCs w:val="24"/>
                <w:lang w:val="en-US" w:eastAsia="zh-CN" w:bidi="ar"/>
              </w:rPr>
            </w:pPr>
            <w:r>
              <w:rPr>
                <w:rStyle w:val="10"/>
                <w:rFonts w:hint="eastAsia" w:ascii="仿宋_GB2312" w:hAnsi="仿宋_GB2312" w:eastAsia="仿宋_GB2312" w:cs="仿宋_GB2312"/>
                <w:color w:val="auto"/>
                <w:sz w:val="24"/>
                <w:szCs w:val="24"/>
                <w:lang w:val="en-US" w:eastAsia="zh-CN" w:bidi="ar"/>
              </w:rPr>
              <w:t>手机小程序端支持一键报警，可设置110报警电话。</w:t>
            </w:r>
          </w:p>
          <w:p>
            <w:pPr>
              <w:keepNext w:val="0"/>
              <w:keepLines w:val="0"/>
              <w:widowControl/>
              <w:numPr>
                <w:ilvl w:val="0"/>
                <w:numId w:val="2"/>
              </w:numPr>
              <w:suppressLineNumbers w:val="0"/>
              <w:jc w:val="left"/>
              <w:textAlignment w:val="center"/>
              <w:rPr>
                <w:rStyle w:val="10"/>
                <w:rFonts w:hint="eastAsia" w:ascii="仿宋_GB2312" w:hAnsi="仿宋_GB2312" w:eastAsia="仿宋_GB2312" w:cs="仿宋_GB2312"/>
                <w:color w:val="auto"/>
                <w:sz w:val="24"/>
                <w:szCs w:val="24"/>
                <w:lang w:val="en-US" w:eastAsia="zh-CN" w:bidi="ar"/>
              </w:rPr>
            </w:pPr>
            <w:r>
              <w:rPr>
                <w:rStyle w:val="10"/>
                <w:rFonts w:hint="eastAsia" w:ascii="仿宋_GB2312" w:hAnsi="仿宋_GB2312" w:eastAsia="仿宋_GB2312" w:cs="仿宋_GB2312"/>
                <w:color w:val="auto"/>
                <w:sz w:val="24"/>
                <w:szCs w:val="24"/>
                <w:lang w:val="en-US" w:eastAsia="zh-CN" w:bidi="ar"/>
              </w:rPr>
              <w:t>记录仪可实现物理按键一键拨打报警电话110，记录仪需接入手机卡。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97</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查询</w:t>
            </w:r>
          </w:p>
        </w:tc>
        <w:tc>
          <w:tcPr>
            <w:tcW w:w="2975" w:type="pct"/>
            <w:shd w:val="clear" w:color="auto" w:fill="auto"/>
            <w:vAlign w:val="center"/>
          </w:tcPr>
          <w:p>
            <w:pPr>
              <w:keepNext w:val="0"/>
              <w:keepLines w:val="0"/>
              <w:widowControl/>
              <w:numPr>
                <w:ilvl w:val="0"/>
                <w:numId w:val="3"/>
              </w:numPr>
              <w:suppressLineNumbers w:val="0"/>
              <w:jc w:val="left"/>
              <w:textAlignment w:val="center"/>
              <w:rPr>
                <w:rStyle w:val="10"/>
                <w:rFonts w:hint="eastAsia" w:ascii="仿宋_GB2312" w:hAnsi="仿宋_GB2312" w:eastAsia="仿宋_GB2312" w:cs="仿宋_GB2312"/>
                <w:color w:val="auto"/>
                <w:sz w:val="24"/>
                <w:szCs w:val="24"/>
                <w:lang w:val="en-US" w:eastAsia="zh-CN" w:bidi="ar"/>
              </w:rPr>
            </w:pPr>
            <w:r>
              <w:rPr>
                <w:rStyle w:val="10"/>
                <w:rFonts w:hint="eastAsia" w:ascii="仿宋_GB2312" w:hAnsi="仿宋_GB2312" w:eastAsia="仿宋_GB2312" w:cs="仿宋_GB2312"/>
                <w:color w:val="auto"/>
                <w:sz w:val="24"/>
                <w:szCs w:val="24"/>
                <w:lang w:val="en-US" w:eastAsia="zh-CN" w:bidi="ar"/>
              </w:rPr>
              <w:t>后台可查询护士上门服务的移动路线图.</w:t>
            </w:r>
          </w:p>
          <w:p>
            <w:pPr>
              <w:keepNext w:val="0"/>
              <w:keepLines w:val="0"/>
              <w:widowControl/>
              <w:numPr>
                <w:ilvl w:val="0"/>
                <w:numId w:val="3"/>
              </w:numPr>
              <w:suppressLineNumbers w:val="0"/>
              <w:jc w:val="left"/>
              <w:textAlignment w:val="center"/>
              <w:rPr>
                <w:rStyle w:val="10"/>
                <w:rFonts w:hint="eastAsia" w:ascii="仿宋_GB2312" w:hAnsi="仿宋_GB2312" w:eastAsia="仿宋_GB2312" w:cs="仿宋_GB2312"/>
                <w:color w:val="auto"/>
                <w:sz w:val="24"/>
                <w:szCs w:val="24"/>
                <w:lang w:val="en-US" w:eastAsia="zh-CN" w:bidi="ar"/>
              </w:rPr>
            </w:pPr>
            <w:r>
              <w:rPr>
                <w:rStyle w:val="10"/>
                <w:rFonts w:hint="eastAsia" w:ascii="仿宋_GB2312" w:hAnsi="仿宋_GB2312" w:eastAsia="仿宋_GB2312" w:cs="仿宋_GB2312"/>
                <w:color w:val="auto"/>
                <w:sz w:val="24"/>
                <w:szCs w:val="24"/>
                <w:lang w:val="en-US" w:eastAsia="zh-CN" w:bidi="ar"/>
              </w:rPr>
              <w:t>后台可查询到每个订单的接单时间，出门时间，到达时间，开始服务时间、结束时间，并计算出服务时长。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98</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预警通知</w:t>
            </w:r>
          </w:p>
        </w:tc>
        <w:tc>
          <w:tcPr>
            <w:tcW w:w="2975" w:type="pct"/>
            <w:shd w:val="clear" w:color="auto" w:fill="auto"/>
            <w:vAlign w:val="center"/>
          </w:tcPr>
          <w:p>
            <w:pPr>
              <w:keepNext w:val="0"/>
              <w:keepLines w:val="0"/>
              <w:widowControl/>
              <w:numPr>
                <w:ilvl w:val="0"/>
                <w:numId w:val="4"/>
              </w:numPr>
              <w:suppressLineNumbers w:val="0"/>
              <w:jc w:val="left"/>
              <w:textAlignment w:val="center"/>
              <w:rPr>
                <w:rStyle w:val="10"/>
                <w:rFonts w:hint="eastAsia" w:ascii="仿宋_GB2312" w:hAnsi="仿宋_GB2312" w:eastAsia="仿宋_GB2312" w:cs="仿宋_GB2312"/>
                <w:color w:val="auto"/>
                <w:sz w:val="24"/>
                <w:szCs w:val="24"/>
                <w:lang w:val="en-US" w:eastAsia="zh-CN" w:bidi="ar"/>
              </w:rPr>
            </w:pPr>
            <w:r>
              <w:rPr>
                <w:rStyle w:val="10"/>
                <w:rFonts w:hint="eastAsia" w:ascii="仿宋_GB2312" w:hAnsi="仿宋_GB2312" w:eastAsia="仿宋_GB2312" w:cs="仿宋_GB2312"/>
                <w:color w:val="auto"/>
                <w:sz w:val="24"/>
                <w:szCs w:val="24"/>
                <w:lang w:val="en-US" w:eastAsia="zh-CN" w:bidi="ar"/>
              </w:rPr>
              <w:t>可后台设置每个护理服务的时长及预警通知人。</w:t>
            </w:r>
          </w:p>
          <w:p>
            <w:pPr>
              <w:keepNext w:val="0"/>
              <w:keepLines w:val="0"/>
              <w:widowControl/>
              <w:numPr>
                <w:ilvl w:val="0"/>
                <w:numId w:val="4"/>
              </w:numPr>
              <w:suppressLineNumbers w:val="0"/>
              <w:jc w:val="left"/>
              <w:textAlignment w:val="center"/>
              <w:rPr>
                <w:rStyle w:val="10"/>
                <w:rFonts w:hint="eastAsia" w:ascii="仿宋_GB2312" w:hAnsi="仿宋_GB2312" w:eastAsia="仿宋_GB2312" w:cs="仿宋_GB2312"/>
                <w:color w:val="auto"/>
                <w:sz w:val="24"/>
                <w:szCs w:val="24"/>
                <w:lang w:val="en-US" w:eastAsia="zh-CN" w:bidi="ar"/>
              </w:rPr>
            </w:pPr>
            <w:r>
              <w:rPr>
                <w:rStyle w:val="10"/>
                <w:rFonts w:hint="eastAsia" w:ascii="仿宋_GB2312" w:hAnsi="仿宋_GB2312" w:eastAsia="仿宋_GB2312" w:cs="仿宋_GB2312"/>
                <w:color w:val="auto"/>
                <w:sz w:val="24"/>
                <w:szCs w:val="24"/>
                <w:lang w:val="en-US" w:eastAsia="zh-CN" w:bidi="ar"/>
              </w:rPr>
              <w:t>每个订单服务时间在结束前，如超过设置的服务时长，可支持在院内服务后台进行弹窗提醒或是短信通知预警通知人。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99</w:t>
            </w:r>
          </w:p>
        </w:tc>
        <w:tc>
          <w:tcPr>
            <w:tcW w:w="386" w:type="pct"/>
            <w:vMerge w:val="restart"/>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接口</w:t>
            </w:r>
          </w:p>
        </w:tc>
        <w:tc>
          <w:tcPr>
            <w:tcW w:w="625" w:type="pct"/>
            <w:vMerge w:val="restart"/>
            <w:shd w:val="clear" w:color="auto" w:fill="auto"/>
            <w:vAlign w:val="center"/>
          </w:tcPr>
          <w:p>
            <w:pPr>
              <w:jc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lang w:val="en-US" w:eastAsia="zh-CN"/>
              </w:rPr>
              <w:t>其他</w:t>
            </w: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统计报表</w:t>
            </w:r>
          </w:p>
        </w:tc>
        <w:tc>
          <w:tcPr>
            <w:tcW w:w="2975" w:type="pct"/>
            <w:shd w:val="clear" w:color="auto" w:fill="auto"/>
            <w:vAlign w:val="center"/>
          </w:tcPr>
          <w:p>
            <w:pPr>
              <w:keepNext w:val="0"/>
              <w:keepLines w:val="0"/>
              <w:widowControl/>
              <w:suppressLineNumbers w:val="0"/>
              <w:jc w:val="left"/>
              <w:textAlignment w:val="center"/>
              <w:rPr>
                <w:rStyle w:val="10"/>
                <w:rFonts w:hint="eastAsia" w:ascii="仿宋_GB2312" w:hAnsi="仿宋_GB2312" w:eastAsia="仿宋_GB2312" w:cs="仿宋_GB2312"/>
                <w:color w:val="auto"/>
                <w:sz w:val="24"/>
                <w:szCs w:val="24"/>
                <w:lang w:val="en-US" w:eastAsia="zh-CN" w:bidi="ar"/>
              </w:rPr>
            </w:pPr>
            <w:r>
              <w:rPr>
                <w:rStyle w:val="10"/>
                <w:rFonts w:hint="eastAsia" w:ascii="仿宋_GB2312" w:hAnsi="仿宋_GB2312" w:eastAsia="仿宋_GB2312" w:cs="仿宋_GB2312"/>
                <w:color w:val="auto"/>
                <w:sz w:val="24"/>
                <w:szCs w:val="24"/>
                <w:lang w:val="en-US" w:eastAsia="zh-CN" w:bidi="ar"/>
              </w:rPr>
              <w:t>可根据使用科室的业务需求，生成所需统计报表。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100</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医保接口</w:t>
            </w:r>
          </w:p>
        </w:tc>
        <w:tc>
          <w:tcPr>
            <w:tcW w:w="2975" w:type="pct"/>
            <w:shd w:val="clear" w:color="auto" w:fill="auto"/>
            <w:vAlign w:val="center"/>
          </w:tcPr>
          <w:p>
            <w:pPr>
              <w:keepNext w:val="0"/>
              <w:keepLines w:val="0"/>
              <w:widowControl/>
              <w:suppressLineNumbers w:val="0"/>
              <w:jc w:val="left"/>
              <w:textAlignment w:val="center"/>
              <w:rPr>
                <w:rStyle w:val="10"/>
                <w:rFonts w:hint="eastAsia" w:ascii="仿宋_GB2312" w:hAnsi="仿宋_GB2312" w:eastAsia="仿宋_GB2312" w:cs="仿宋_GB2312"/>
                <w:color w:val="auto"/>
                <w:sz w:val="24"/>
                <w:szCs w:val="24"/>
                <w:lang w:val="en-US" w:eastAsia="zh-CN" w:bidi="ar"/>
              </w:rPr>
            </w:pPr>
            <w:r>
              <w:rPr>
                <w:rStyle w:val="10"/>
                <w:rFonts w:hint="eastAsia" w:ascii="仿宋_GB2312" w:hAnsi="仿宋_GB2312" w:eastAsia="仿宋_GB2312" w:cs="仿宋_GB2312"/>
                <w:color w:val="auto"/>
                <w:sz w:val="24"/>
                <w:szCs w:val="24"/>
                <w:lang w:val="en-US" w:eastAsia="zh-CN" w:bidi="ar"/>
              </w:rPr>
              <w:t>医保政策支持的情况下，可与医保对接，实现医保个账或其他医保模式支付费用。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100</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HIS接口</w:t>
            </w:r>
          </w:p>
        </w:tc>
        <w:tc>
          <w:tcPr>
            <w:tcW w:w="2975" w:type="pct"/>
            <w:shd w:val="clear" w:color="auto" w:fill="auto"/>
            <w:vAlign w:val="center"/>
          </w:tcPr>
          <w:p>
            <w:pPr>
              <w:keepNext w:val="0"/>
              <w:keepLines w:val="0"/>
              <w:widowControl/>
              <w:suppressLineNumbers w:val="0"/>
              <w:jc w:val="left"/>
              <w:textAlignment w:val="center"/>
              <w:rPr>
                <w:rStyle w:val="10"/>
                <w:rFonts w:hint="eastAsia" w:ascii="仿宋_GB2312" w:hAnsi="仿宋_GB2312" w:eastAsia="仿宋_GB2312" w:cs="仿宋_GB2312"/>
                <w:color w:val="auto"/>
                <w:sz w:val="24"/>
                <w:szCs w:val="24"/>
                <w:lang w:val="en-US" w:eastAsia="zh-CN" w:bidi="ar"/>
              </w:rPr>
            </w:pPr>
            <w:r>
              <w:rPr>
                <w:rStyle w:val="10"/>
                <w:rFonts w:hint="eastAsia" w:ascii="仿宋_GB2312" w:hAnsi="仿宋_GB2312" w:eastAsia="仿宋_GB2312" w:cs="仿宋_GB2312"/>
                <w:color w:val="auto"/>
                <w:sz w:val="24"/>
                <w:szCs w:val="24"/>
                <w:lang w:val="en-US" w:eastAsia="zh-CN" w:bidi="ar"/>
              </w:rPr>
              <w:t>可支持与院内HIS系统对接，实现与院内HIS数据互通。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101</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电子病历查询接口</w:t>
            </w:r>
          </w:p>
        </w:tc>
        <w:tc>
          <w:tcPr>
            <w:tcW w:w="2975" w:type="pct"/>
            <w:shd w:val="clear" w:color="auto" w:fill="auto"/>
            <w:vAlign w:val="center"/>
          </w:tcPr>
          <w:p>
            <w:pPr>
              <w:keepNext w:val="0"/>
              <w:keepLines w:val="0"/>
              <w:widowControl/>
              <w:suppressLineNumbers w:val="0"/>
              <w:jc w:val="left"/>
              <w:textAlignment w:val="center"/>
              <w:rPr>
                <w:rStyle w:val="10"/>
                <w:rFonts w:hint="eastAsia" w:ascii="仿宋_GB2312" w:hAnsi="仿宋_GB2312" w:eastAsia="仿宋_GB2312" w:cs="仿宋_GB2312"/>
                <w:color w:val="auto"/>
                <w:sz w:val="24"/>
                <w:szCs w:val="24"/>
                <w:lang w:val="en-US" w:eastAsia="zh-CN" w:bidi="ar"/>
              </w:rPr>
            </w:pPr>
            <w:r>
              <w:rPr>
                <w:rStyle w:val="10"/>
                <w:rFonts w:hint="eastAsia" w:ascii="仿宋_GB2312" w:hAnsi="仿宋_GB2312" w:eastAsia="仿宋_GB2312" w:cs="仿宋_GB2312"/>
                <w:color w:val="auto"/>
                <w:sz w:val="24"/>
                <w:szCs w:val="24"/>
                <w:lang w:val="en-US" w:eastAsia="zh-CN" w:bidi="ar"/>
              </w:rPr>
              <w:t>可支持与院内电子病历系统对接，实现在护士端（小程序）查看患者的院内病历记录。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102</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检验检查报告接口</w:t>
            </w:r>
          </w:p>
        </w:tc>
        <w:tc>
          <w:tcPr>
            <w:tcW w:w="2975" w:type="pct"/>
            <w:shd w:val="clear" w:color="auto" w:fill="auto"/>
            <w:vAlign w:val="center"/>
          </w:tcPr>
          <w:p>
            <w:pPr>
              <w:keepNext w:val="0"/>
              <w:keepLines w:val="0"/>
              <w:widowControl/>
              <w:suppressLineNumbers w:val="0"/>
              <w:jc w:val="left"/>
              <w:textAlignment w:val="center"/>
              <w:rPr>
                <w:rStyle w:val="10"/>
                <w:rFonts w:hint="eastAsia" w:ascii="仿宋_GB2312" w:hAnsi="仿宋_GB2312" w:eastAsia="仿宋_GB2312" w:cs="仿宋_GB2312"/>
                <w:color w:val="auto"/>
                <w:sz w:val="24"/>
                <w:szCs w:val="24"/>
                <w:lang w:val="en-US" w:eastAsia="zh-CN" w:bidi="ar"/>
              </w:rPr>
            </w:pPr>
            <w:r>
              <w:rPr>
                <w:rStyle w:val="10"/>
                <w:rFonts w:hint="eastAsia" w:ascii="仿宋_GB2312" w:hAnsi="仿宋_GB2312" w:eastAsia="仿宋_GB2312" w:cs="仿宋_GB2312"/>
                <w:color w:val="auto"/>
                <w:sz w:val="24"/>
                <w:szCs w:val="24"/>
                <w:lang w:val="en-US" w:eastAsia="zh-CN" w:bidi="ar"/>
              </w:rPr>
              <w:t>可支持在护士端（小程序）查看患者的检验检查报告结果。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103</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平台接口</w:t>
            </w:r>
          </w:p>
        </w:tc>
        <w:tc>
          <w:tcPr>
            <w:tcW w:w="2975" w:type="pct"/>
            <w:shd w:val="clear" w:color="auto" w:fill="auto"/>
            <w:vAlign w:val="center"/>
          </w:tcPr>
          <w:p>
            <w:pPr>
              <w:keepNext w:val="0"/>
              <w:keepLines w:val="0"/>
              <w:widowControl/>
              <w:suppressLineNumbers w:val="0"/>
              <w:jc w:val="left"/>
              <w:textAlignment w:val="center"/>
              <w:rPr>
                <w:rStyle w:val="10"/>
                <w:rFonts w:hint="eastAsia" w:ascii="仿宋_GB2312" w:hAnsi="仿宋_GB2312" w:eastAsia="仿宋_GB2312" w:cs="仿宋_GB2312"/>
                <w:color w:val="auto"/>
                <w:sz w:val="24"/>
                <w:szCs w:val="24"/>
                <w:lang w:val="en-US" w:eastAsia="zh-CN" w:bidi="ar"/>
              </w:rPr>
            </w:pPr>
            <w:r>
              <w:rPr>
                <w:rStyle w:val="10"/>
                <w:rFonts w:hint="eastAsia" w:ascii="仿宋_GB2312" w:hAnsi="仿宋_GB2312" w:eastAsia="仿宋_GB2312" w:cs="仿宋_GB2312"/>
                <w:color w:val="auto"/>
                <w:sz w:val="24"/>
                <w:szCs w:val="24"/>
                <w:lang w:val="en-US" w:eastAsia="zh-CN" w:bidi="ar"/>
              </w:rPr>
              <w:t>可支持与院内平台对接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86" w:type="pct"/>
            <w:shd w:val="clear" w:color="auto" w:fill="auto"/>
            <w:vAlign w:val="center"/>
          </w:tcPr>
          <w:p>
            <w:pPr>
              <w:jc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104</w:t>
            </w:r>
          </w:p>
        </w:tc>
        <w:tc>
          <w:tcPr>
            <w:tcW w:w="386"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p>
        </w:tc>
        <w:tc>
          <w:tcPr>
            <w:tcW w:w="625" w:type="pct"/>
            <w:vMerge w:val="continue"/>
            <w:shd w:val="clear" w:color="auto" w:fill="auto"/>
            <w:vAlign w:val="center"/>
          </w:tcPr>
          <w:p>
            <w:pPr>
              <w:jc w:val="center"/>
              <w:rPr>
                <w:rFonts w:hint="eastAsia" w:ascii="仿宋_GB2312" w:hAnsi="仿宋_GB2312" w:eastAsia="仿宋_GB2312" w:cs="仿宋_GB2312"/>
                <w:i w:val="0"/>
                <w:iCs w:val="0"/>
                <w:color w:val="auto"/>
                <w:sz w:val="24"/>
                <w:szCs w:val="24"/>
                <w:u w:val="none"/>
                <w:lang w:val="en-US" w:eastAsia="zh-CN"/>
              </w:rPr>
            </w:pPr>
          </w:p>
        </w:tc>
        <w:tc>
          <w:tcPr>
            <w:tcW w:w="625" w:type="pct"/>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其他</w:t>
            </w:r>
          </w:p>
        </w:tc>
        <w:tc>
          <w:tcPr>
            <w:tcW w:w="2975" w:type="pct"/>
            <w:shd w:val="clear" w:color="auto" w:fill="auto"/>
            <w:vAlign w:val="center"/>
          </w:tcPr>
          <w:p>
            <w:pPr>
              <w:keepNext w:val="0"/>
              <w:keepLines w:val="0"/>
              <w:widowControl/>
              <w:numPr>
                <w:ilvl w:val="0"/>
                <w:numId w:val="0"/>
              </w:numPr>
              <w:suppressLineNumbers w:val="0"/>
              <w:jc w:val="left"/>
              <w:textAlignment w:val="center"/>
              <w:rPr>
                <w:rStyle w:val="10"/>
                <w:rFonts w:hint="eastAsia" w:ascii="仿宋_GB2312" w:hAnsi="仿宋_GB2312" w:eastAsia="仿宋_GB2312" w:cs="仿宋_GB2312"/>
                <w:color w:val="auto"/>
                <w:sz w:val="24"/>
                <w:szCs w:val="24"/>
                <w:lang w:val="en-US" w:eastAsia="zh-CN" w:bidi="ar"/>
              </w:rPr>
            </w:pPr>
            <w:r>
              <w:rPr>
                <w:rStyle w:val="10"/>
                <w:rFonts w:hint="eastAsia" w:ascii="仿宋_GB2312" w:hAnsi="仿宋_GB2312" w:eastAsia="仿宋_GB2312" w:cs="仿宋_GB2312"/>
                <w:color w:val="auto"/>
                <w:sz w:val="24"/>
                <w:szCs w:val="24"/>
                <w:lang w:val="en-US" w:eastAsia="zh-CN" w:bidi="ar"/>
              </w:rPr>
              <w:t>以下接口，需医院提供对应的第三方接口文档：</w:t>
            </w:r>
          </w:p>
          <w:p>
            <w:pPr>
              <w:keepNext w:val="0"/>
              <w:keepLines w:val="0"/>
              <w:widowControl/>
              <w:numPr>
                <w:ilvl w:val="0"/>
                <w:numId w:val="5"/>
              </w:numPr>
              <w:suppressLineNumbers w:val="0"/>
              <w:jc w:val="left"/>
              <w:textAlignment w:val="center"/>
              <w:rPr>
                <w:rStyle w:val="10"/>
                <w:rFonts w:hint="eastAsia" w:ascii="仿宋_GB2312" w:hAnsi="仿宋_GB2312" w:eastAsia="仿宋_GB2312" w:cs="仿宋_GB2312"/>
                <w:color w:val="auto"/>
                <w:sz w:val="24"/>
                <w:szCs w:val="24"/>
                <w:lang w:val="en-US" w:eastAsia="zh-CN" w:bidi="ar"/>
              </w:rPr>
            </w:pPr>
            <w:r>
              <w:rPr>
                <w:rStyle w:val="10"/>
                <w:rFonts w:hint="eastAsia" w:ascii="仿宋_GB2312" w:hAnsi="仿宋_GB2312" w:eastAsia="仿宋_GB2312" w:cs="仿宋_GB2312"/>
                <w:color w:val="auto"/>
                <w:sz w:val="24"/>
                <w:szCs w:val="24"/>
                <w:lang w:val="en-US" w:eastAsia="zh-CN" w:bidi="ar"/>
              </w:rPr>
              <w:t>可支持与打车软件实现对接，实现接单护士在小程序上可直接呼叫出行车辆。</w:t>
            </w:r>
          </w:p>
          <w:p>
            <w:pPr>
              <w:keepNext w:val="0"/>
              <w:keepLines w:val="0"/>
              <w:widowControl/>
              <w:numPr>
                <w:ilvl w:val="0"/>
                <w:numId w:val="5"/>
              </w:numPr>
              <w:suppressLineNumbers w:val="0"/>
              <w:jc w:val="left"/>
              <w:textAlignment w:val="center"/>
              <w:rPr>
                <w:rStyle w:val="10"/>
                <w:rFonts w:hint="eastAsia" w:ascii="仿宋_GB2312" w:hAnsi="仿宋_GB2312" w:eastAsia="仿宋_GB2312" w:cs="仿宋_GB2312"/>
                <w:color w:val="auto"/>
                <w:sz w:val="24"/>
                <w:szCs w:val="24"/>
                <w:lang w:val="en-US" w:eastAsia="zh-CN" w:bidi="ar"/>
              </w:rPr>
            </w:pPr>
            <w:r>
              <w:rPr>
                <w:rStyle w:val="10"/>
                <w:rFonts w:hint="eastAsia" w:ascii="仿宋_GB2312" w:hAnsi="仿宋_GB2312" w:eastAsia="仿宋_GB2312" w:cs="仿宋_GB2312"/>
                <w:color w:val="auto"/>
                <w:sz w:val="24"/>
                <w:szCs w:val="24"/>
                <w:lang w:val="en-US" w:eastAsia="zh-CN" w:bidi="ar"/>
              </w:rPr>
              <w:t>可支持与保险实现对接，实现接单护士在上门前自动购买保险保障。</w:t>
            </w:r>
          </w:p>
        </w:tc>
      </w:tr>
    </w:tbl>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482" w:firstLineChars="200"/>
        <w:textAlignment w:val="auto"/>
        <w:outlineLvl w:val="9"/>
        <w:rPr>
          <w:rFonts w:hint="eastAsia" w:ascii="仿宋_GB2312" w:hAnsi="仿宋_GB2312" w:eastAsia="仿宋_GB2312" w:cs="仿宋_GB2312"/>
          <w:b/>
          <w:bCs/>
          <w:color w:val="000000"/>
          <w:sz w:val="24"/>
          <w:szCs w:val="24"/>
          <w:lang w:val="en-US" w:eastAsia="zh-CN"/>
        </w:rPr>
      </w:pPr>
      <w:r>
        <w:rPr>
          <w:rFonts w:hint="eastAsia" w:ascii="仿宋_GB2312" w:hAnsi="仿宋_GB2312" w:eastAsia="仿宋_GB2312" w:cs="仿宋_GB2312"/>
          <w:b/>
          <w:bCs/>
          <w:color w:val="000000"/>
          <w:sz w:val="24"/>
          <w:szCs w:val="24"/>
          <w:lang w:val="en-US" w:eastAsia="zh-CN"/>
        </w:rPr>
        <w:t>（二）“互联网+护理”小程序配套硬件（记录仪参数）</w:t>
      </w:r>
    </w:p>
    <w:tbl>
      <w:tblPr>
        <w:tblStyle w:val="5"/>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37"/>
        <w:gridCol w:w="2268"/>
        <w:gridCol w:w="6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blHeader/>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bCs/>
                <w:color w:val="000000"/>
                <w:sz w:val="24"/>
                <w:szCs w:val="24"/>
                <w:lang w:val="en-US" w:eastAsia="zh-CN"/>
              </w:rPr>
            </w:pPr>
            <w:r>
              <w:rPr>
                <w:rFonts w:hint="eastAsia" w:ascii="仿宋_GB2312" w:hAnsi="仿宋_GB2312" w:eastAsia="仿宋_GB2312" w:cs="仿宋_GB2312"/>
                <w:b/>
                <w:bCs/>
                <w:color w:val="000000"/>
                <w:sz w:val="24"/>
                <w:szCs w:val="24"/>
                <w:lang w:val="en-US" w:eastAsia="zh-CN"/>
              </w:rPr>
              <w:t>序号</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bCs/>
                <w:color w:val="000000"/>
                <w:sz w:val="24"/>
                <w:szCs w:val="24"/>
                <w:lang w:val="en-US" w:eastAsia="zh-CN"/>
              </w:rPr>
            </w:pPr>
            <w:r>
              <w:rPr>
                <w:rFonts w:hint="eastAsia" w:ascii="仿宋_GB2312" w:hAnsi="仿宋_GB2312" w:eastAsia="仿宋_GB2312" w:cs="仿宋_GB2312"/>
                <w:b/>
                <w:bCs/>
                <w:color w:val="000000"/>
                <w:sz w:val="24"/>
                <w:szCs w:val="24"/>
                <w:lang w:val="en-US" w:eastAsia="zh-CN"/>
              </w:rPr>
              <w:t>指标项</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bCs/>
                <w:color w:val="000000"/>
                <w:sz w:val="24"/>
                <w:szCs w:val="24"/>
                <w:lang w:val="en-US" w:eastAsia="zh-CN"/>
              </w:rPr>
            </w:pPr>
            <w:r>
              <w:rPr>
                <w:rFonts w:hint="eastAsia" w:ascii="仿宋_GB2312" w:hAnsi="仿宋_GB2312" w:eastAsia="仿宋_GB2312" w:cs="仿宋_GB2312"/>
                <w:b/>
                <w:bCs/>
                <w:color w:val="000000"/>
                <w:sz w:val="24"/>
                <w:szCs w:val="24"/>
                <w:lang w:val="en-US" w:eastAsia="zh-CN"/>
              </w:rPr>
              <w:t>指标参数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1</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LCD显示屏</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2.0英寸全高清显示屏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2</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兼容操作系统</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Windows 98/2000/ME/XP/Windows 7/Windows8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3</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镜头</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140度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vMerge w:val="restart"/>
            <w:tcBorders>
              <w:top w:val="single" w:color="auto" w:sz="4" w:space="0"/>
              <w:left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4</w:t>
            </w:r>
          </w:p>
        </w:tc>
        <w:tc>
          <w:tcPr>
            <w:tcW w:w="2268" w:type="dxa"/>
            <w:vMerge w:val="restart"/>
            <w:tcBorders>
              <w:top w:val="single" w:color="auto" w:sz="4" w:space="0"/>
              <w:left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无线连接</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3/4G网络（TDD/FDD-LTE、TD-SCDMA、EVDO、WCDMA)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737" w:type="dxa"/>
            <w:vMerge w:val="continue"/>
            <w:tcBorders>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p>
        </w:tc>
        <w:tc>
          <w:tcPr>
            <w:tcW w:w="2268" w:type="dxa"/>
            <w:vMerge w:val="continue"/>
            <w:tcBorders>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WiFi网络(支持802.11b/n/g协议,2.4GHz)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5</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网络接口</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Mini USB接口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6</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照片格式</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JEPG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7</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红外夜视</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自动切换 可看清8m处人物的面部特征，并可看清距样机15m处的人体轮廓。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8</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摄影格式</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MOV   H.264压缩格式(AVI、MP4）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9</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录像帧率</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1080P 60帧/秒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10</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白平衡</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11</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照相分辨率</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4608*3456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12</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摄像分辨率</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1920*1080 1440*1080 1280*720 848*480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13</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存储容量</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16GB /32GB/64GB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14</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外形</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86*62*30mm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15</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重量</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150g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16</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电池容量</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1950 mAh（可更换电池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17</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待机时间</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240小时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18</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电池连续供电时间</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16小时左右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19</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辅助光源</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红外补光灯， 高亮LED闪光灯、激光定位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20</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录音功能</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21</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工作环境温度</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-40--60℃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22</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工作相对湿度</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40%－80%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23</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储存温度</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-20--55℃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24</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防水等级</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IP68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25</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抗跌落等级</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3.5米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26</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日志功能</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27</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移动侦测</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画面物体移动，自动开启录像模式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28</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视频延录、视频预录</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30s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29</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GPS</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内置（通过专用播放器，可实现轨迹回放）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30</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外置摄像头</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400W 1080P（可选）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31</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车载模式</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汽车打火启动即可录像，可配专用吸盘或充电底座做行车记录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32</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充电底座</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33</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送话器功能</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兼容模拟数字对讲机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34</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jc w:val="center"/>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一键报警功能</w:t>
            </w:r>
          </w:p>
        </w:tc>
        <w:tc>
          <w:tcPr>
            <w:tcW w:w="65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0" w:firstLineChars="0"/>
              <w:textAlignment w:val="auto"/>
              <w:outlineLvl w:val="9"/>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可支持物理按键一键拨打110报警电话</w:t>
            </w:r>
          </w:p>
        </w:tc>
      </w:tr>
    </w:tbl>
    <w:p>
      <w:pPr>
        <w:keepNext w:val="0"/>
        <w:keepLines w:val="0"/>
        <w:pageBreakBefore w:val="0"/>
        <w:widowControl w:val="0"/>
        <w:numPr>
          <w:ilvl w:val="0"/>
          <w:numId w:val="0"/>
        </w:numPr>
        <w:kinsoku/>
        <w:wordWrap/>
        <w:overflowPunct/>
        <w:topLinePunct w:val="0"/>
        <w:autoSpaceDE w:val="0"/>
        <w:autoSpaceDN w:val="0"/>
        <w:bidi w:val="0"/>
        <w:adjustRightInd/>
        <w:snapToGrid/>
        <w:spacing w:beforeLines="0" w:afterLines="0" w:line="360" w:lineRule="auto"/>
        <w:ind w:leftChars="0" w:firstLine="602" w:firstLineChars="200"/>
        <w:textAlignment w:val="auto"/>
        <w:outlineLvl w:val="9"/>
        <w:rPr>
          <w:rFonts w:hint="eastAsia" w:ascii="仿宋_GB2312" w:hAnsi="仿宋_GB2312" w:eastAsia="仿宋_GB2312" w:cs="仿宋_GB2312"/>
          <w:b/>
          <w:sz w:val="30"/>
          <w:szCs w:val="30"/>
          <w:lang w:val="en-US" w:eastAsia="zh-CN"/>
        </w:rPr>
      </w:pPr>
      <w:r>
        <w:rPr>
          <w:rFonts w:hint="eastAsia" w:ascii="仿宋_GB2312" w:hAnsi="仿宋_GB2312" w:eastAsia="仿宋_GB2312" w:cs="仿宋_GB2312"/>
          <w:b/>
          <w:sz w:val="30"/>
          <w:szCs w:val="30"/>
          <w:lang w:val="en-US" w:eastAsia="zh-CN"/>
        </w:rPr>
        <w:t>供应商应全部响应上述采购项目技术/服务要求指标（规格、技术参数/方案、配置）要求。</w:t>
      </w:r>
    </w:p>
    <w:p>
      <w:pPr>
        <w:pStyle w:val="2"/>
        <w:numPr>
          <w:ilvl w:val="0"/>
          <w:numId w:val="0"/>
        </w:numPr>
        <w:ind w:leftChars="0"/>
        <w:rPr>
          <w:rFonts w:hint="default"/>
          <w:sz w:val="30"/>
          <w:szCs w:val="30"/>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Lines="0" w:afterLines="0" w:line="360" w:lineRule="auto"/>
        <w:ind w:leftChars="0" w:firstLine="602" w:firstLineChars="200"/>
        <w:textAlignment w:val="auto"/>
        <w:outlineLvl w:val="9"/>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lang w:val="en-US" w:eastAsia="zh-CN"/>
        </w:rPr>
        <w:t>四</w:t>
      </w:r>
      <w:r>
        <w:rPr>
          <w:rFonts w:hint="eastAsia" w:ascii="仿宋_GB2312" w:hAnsi="仿宋_GB2312" w:eastAsia="仿宋_GB2312" w:cs="仿宋_GB2312"/>
          <w:b/>
          <w:sz w:val="30"/>
          <w:szCs w:val="30"/>
        </w:rPr>
        <w:t>、采购项目商务要求</w:t>
      </w:r>
    </w:p>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600" w:firstLineChars="200"/>
        <w:textAlignment w:val="auto"/>
        <w:outlineLvl w:val="9"/>
        <w:rPr>
          <w:rFonts w:hint="eastAsia" w:ascii="仿宋_GB2312" w:hAnsi="仿宋_GB2312" w:eastAsia="仿宋_GB2312" w:cs="仿宋_GB2312"/>
          <w:b w:val="0"/>
          <w:color w:val="000000"/>
          <w:sz w:val="30"/>
          <w:szCs w:val="30"/>
        </w:rPr>
      </w:pPr>
      <w:r>
        <w:rPr>
          <w:rFonts w:hint="eastAsia" w:ascii="仿宋_GB2312" w:hAnsi="仿宋_GB2312" w:eastAsia="仿宋_GB2312" w:cs="仿宋_GB2312"/>
          <w:b w:val="0"/>
          <w:color w:val="000000"/>
          <w:sz w:val="30"/>
          <w:szCs w:val="30"/>
        </w:rPr>
        <w:t>（一）权利保证：</w:t>
      </w:r>
      <w:r>
        <w:rPr>
          <w:rFonts w:hint="eastAsia" w:ascii="仿宋_GB2312" w:hAnsi="仿宋_GB2312" w:eastAsia="仿宋_GB2312" w:cs="仿宋_GB2312"/>
          <w:b w:val="0"/>
          <w:color w:val="000000"/>
          <w:sz w:val="30"/>
          <w:szCs w:val="30"/>
          <w:lang w:val="en-US" w:eastAsia="zh-CN"/>
        </w:rPr>
        <w:t>供应商</w:t>
      </w:r>
      <w:r>
        <w:rPr>
          <w:rFonts w:hint="eastAsia" w:ascii="仿宋_GB2312" w:hAnsi="仿宋_GB2312" w:eastAsia="仿宋_GB2312" w:cs="仿宋_GB2312"/>
          <w:b w:val="0"/>
          <w:color w:val="000000"/>
          <w:sz w:val="30"/>
          <w:szCs w:val="30"/>
        </w:rPr>
        <w:t>应保证出卖给</w:t>
      </w:r>
      <w:r>
        <w:rPr>
          <w:rFonts w:hint="eastAsia" w:ascii="仿宋_GB2312" w:hAnsi="仿宋_GB2312" w:eastAsia="仿宋_GB2312" w:cs="仿宋_GB2312"/>
          <w:b w:val="0"/>
          <w:color w:val="000000"/>
          <w:sz w:val="30"/>
          <w:szCs w:val="30"/>
          <w:lang w:val="en-US" w:eastAsia="zh-CN"/>
        </w:rPr>
        <w:t>采购人</w:t>
      </w:r>
      <w:r>
        <w:rPr>
          <w:rFonts w:hint="eastAsia" w:ascii="仿宋_GB2312" w:hAnsi="仿宋_GB2312" w:eastAsia="仿宋_GB2312" w:cs="仿宋_GB2312"/>
          <w:b w:val="0"/>
          <w:color w:val="000000"/>
          <w:sz w:val="30"/>
          <w:szCs w:val="30"/>
        </w:rPr>
        <w:t>的产品或产品任何部分非他人所有或与他人共有，未设有抵押权、租赁权，未侵犯他人的专利权、版权、商标权等知识产权。一旦出现侵权，</w:t>
      </w:r>
      <w:r>
        <w:rPr>
          <w:rFonts w:hint="eastAsia" w:ascii="仿宋_GB2312" w:hAnsi="仿宋_GB2312" w:eastAsia="仿宋_GB2312" w:cs="仿宋_GB2312"/>
          <w:b w:val="0"/>
          <w:color w:val="000000"/>
          <w:sz w:val="30"/>
          <w:szCs w:val="30"/>
          <w:lang w:val="en-US" w:eastAsia="zh-CN"/>
        </w:rPr>
        <w:t>供应商</w:t>
      </w:r>
      <w:r>
        <w:rPr>
          <w:rFonts w:hint="eastAsia" w:ascii="仿宋_GB2312" w:hAnsi="仿宋_GB2312" w:eastAsia="仿宋_GB2312" w:cs="仿宋_GB2312"/>
          <w:b w:val="0"/>
          <w:color w:val="000000"/>
          <w:sz w:val="30"/>
          <w:szCs w:val="30"/>
        </w:rPr>
        <w:t>应承担全部责任。</w:t>
      </w:r>
    </w:p>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600" w:firstLineChars="200"/>
        <w:textAlignment w:val="auto"/>
        <w:outlineLvl w:val="9"/>
        <w:rPr>
          <w:rFonts w:hint="default" w:ascii="仿宋_GB2312" w:hAnsi="仿宋_GB2312" w:eastAsia="仿宋_GB2312" w:cs="仿宋_GB2312"/>
          <w:b w:val="0"/>
          <w:color w:val="000000"/>
          <w:sz w:val="30"/>
          <w:szCs w:val="30"/>
          <w:lang w:val="en-US" w:eastAsia="zh-CN"/>
        </w:rPr>
      </w:pPr>
      <w:r>
        <w:rPr>
          <w:rFonts w:hint="eastAsia" w:ascii="仿宋_GB2312" w:hAnsi="仿宋_GB2312" w:eastAsia="仿宋_GB2312" w:cs="仿宋_GB2312"/>
          <w:b w:val="0"/>
          <w:color w:val="000000"/>
          <w:sz w:val="30"/>
          <w:szCs w:val="30"/>
        </w:rPr>
        <w:t>（</w:t>
      </w:r>
      <w:r>
        <w:rPr>
          <w:rFonts w:hint="eastAsia" w:ascii="仿宋_GB2312" w:hAnsi="仿宋_GB2312" w:eastAsia="仿宋_GB2312" w:cs="仿宋_GB2312"/>
          <w:b w:val="0"/>
          <w:color w:val="000000"/>
          <w:sz w:val="30"/>
          <w:szCs w:val="30"/>
          <w:lang w:val="en-US" w:eastAsia="zh-CN"/>
        </w:rPr>
        <w:t>二</w:t>
      </w:r>
      <w:r>
        <w:rPr>
          <w:rFonts w:hint="eastAsia" w:ascii="仿宋_GB2312" w:hAnsi="仿宋_GB2312" w:eastAsia="仿宋_GB2312" w:cs="仿宋_GB2312"/>
          <w:b w:val="0"/>
          <w:color w:val="000000"/>
          <w:sz w:val="30"/>
          <w:szCs w:val="30"/>
        </w:rPr>
        <w:t>）</w:t>
      </w:r>
      <w:r>
        <w:rPr>
          <w:rFonts w:hint="eastAsia" w:ascii="仿宋_GB2312" w:hAnsi="仿宋_GB2312" w:eastAsia="仿宋_GB2312" w:cs="仿宋_GB2312"/>
          <w:sz w:val="30"/>
          <w:szCs w:val="30"/>
          <w:lang w:val="en-US" w:eastAsia="zh-CN"/>
        </w:rPr>
        <w:t>交货时间和地点：</w:t>
      </w:r>
      <w:r>
        <w:rPr>
          <w:rFonts w:hint="eastAsia" w:ascii="仿宋_GB2312" w:hAnsi="仿宋_GB2312" w:eastAsia="仿宋_GB2312" w:cs="仿宋_GB2312"/>
          <w:sz w:val="30"/>
          <w:szCs w:val="30"/>
          <w:lang w:val="hr-HR" w:eastAsia="zh-CN"/>
        </w:rPr>
        <w:t>合同签订后，</w:t>
      </w:r>
      <w:r>
        <w:rPr>
          <w:rFonts w:hint="eastAsia" w:ascii="仿宋_GB2312" w:hAnsi="仿宋_GB2312" w:eastAsia="仿宋_GB2312" w:cs="仿宋_GB2312"/>
          <w:sz w:val="30"/>
          <w:szCs w:val="30"/>
          <w:lang w:val="en-US" w:eastAsia="zh-CN"/>
        </w:rPr>
        <w:t>成交</w:t>
      </w:r>
      <w:r>
        <w:rPr>
          <w:rFonts w:hint="eastAsia" w:ascii="仿宋_GB2312" w:hAnsi="仿宋_GB2312" w:eastAsia="仿宋_GB2312" w:cs="仿宋_GB2312"/>
          <w:sz w:val="30"/>
          <w:szCs w:val="30"/>
          <w:highlight w:val="none"/>
          <w:lang w:val="en-US" w:eastAsia="zh-CN"/>
        </w:rPr>
        <w:t>供应商30天内在</w:t>
      </w:r>
      <w:r>
        <w:rPr>
          <w:rFonts w:hint="eastAsia" w:ascii="仿宋_GB2312" w:hAnsi="仿宋_GB2312" w:eastAsia="仿宋_GB2312" w:cs="仿宋_GB2312"/>
          <w:sz w:val="30"/>
          <w:szCs w:val="30"/>
          <w:lang w:val="en-US" w:eastAsia="zh-CN"/>
        </w:rPr>
        <w:t>采购人指定地点负责把“互联网+护理”小程序软件及记录仪的供货、安装、调试、上线和培训，并承担由此产生的全部等费用，提供实施报告。</w:t>
      </w:r>
    </w:p>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600" w:firstLineChars="200"/>
        <w:textAlignment w:val="auto"/>
        <w:outlineLvl w:val="9"/>
        <w:rPr>
          <w:rFonts w:hint="eastAsia" w:ascii="仿宋_GB2312" w:hAnsi="仿宋_GB2312" w:eastAsia="仿宋_GB2312" w:cs="仿宋_GB2312"/>
          <w:b w:val="0"/>
          <w:color w:val="000000"/>
          <w:sz w:val="30"/>
          <w:szCs w:val="30"/>
          <w:lang w:val="en-US"/>
        </w:rPr>
      </w:pPr>
      <w:r>
        <w:rPr>
          <w:rFonts w:hint="eastAsia" w:ascii="仿宋_GB2312" w:hAnsi="仿宋_GB2312" w:eastAsia="仿宋_GB2312" w:cs="仿宋_GB2312"/>
          <w:b w:val="0"/>
          <w:color w:val="000000"/>
          <w:sz w:val="30"/>
          <w:szCs w:val="30"/>
        </w:rPr>
        <w:t>（</w:t>
      </w:r>
      <w:r>
        <w:rPr>
          <w:rFonts w:hint="eastAsia" w:ascii="仿宋_GB2312" w:hAnsi="仿宋_GB2312" w:eastAsia="仿宋_GB2312" w:cs="仿宋_GB2312"/>
          <w:b w:val="0"/>
          <w:color w:val="000000"/>
          <w:sz w:val="30"/>
          <w:szCs w:val="30"/>
          <w:lang w:val="en-US" w:eastAsia="zh-CN"/>
        </w:rPr>
        <w:t>三</w:t>
      </w:r>
      <w:r>
        <w:rPr>
          <w:rFonts w:hint="eastAsia" w:ascii="仿宋_GB2312" w:hAnsi="仿宋_GB2312" w:eastAsia="仿宋_GB2312" w:cs="仿宋_GB2312"/>
          <w:b w:val="0"/>
          <w:color w:val="000000"/>
          <w:sz w:val="30"/>
          <w:szCs w:val="30"/>
        </w:rPr>
        <w:t>）</w:t>
      </w:r>
      <w:r>
        <w:rPr>
          <w:rFonts w:hint="eastAsia" w:ascii="仿宋_GB2312" w:hAnsi="仿宋_GB2312" w:eastAsia="仿宋_GB2312" w:cs="仿宋_GB2312"/>
          <w:sz w:val="30"/>
          <w:szCs w:val="30"/>
          <w:lang w:val="en-US" w:eastAsia="zh-CN"/>
        </w:rPr>
        <w:t>维护期：软件免费维护期至少1年，设备免费维护期至少3年，自签订验收报告合格之日起算。免费维护期内，在采购人不改变设备配置参数的情况下，成交供应商负责“互联网+护理”小程序及记录仪的稳定维护。</w:t>
      </w:r>
    </w:p>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600" w:firstLineChars="200"/>
        <w:textAlignment w:val="auto"/>
        <w:outlineLvl w:val="9"/>
        <w:rPr>
          <w:rFonts w:hint="eastAsia" w:ascii="仿宋_GB2312" w:hAnsi="仿宋_GB2312" w:eastAsia="仿宋_GB2312" w:cs="仿宋_GB2312"/>
          <w:b w:val="0"/>
          <w:color w:val="000000"/>
          <w:sz w:val="30"/>
          <w:szCs w:val="30"/>
        </w:rPr>
      </w:pPr>
      <w:r>
        <w:rPr>
          <w:rFonts w:hint="eastAsia" w:ascii="仿宋_GB2312" w:hAnsi="仿宋_GB2312" w:eastAsia="仿宋_GB2312" w:cs="仿宋_GB2312"/>
          <w:b w:val="0"/>
          <w:color w:val="000000"/>
          <w:sz w:val="30"/>
          <w:szCs w:val="30"/>
        </w:rPr>
        <w:t>（</w:t>
      </w:r>
      <w:r>
        <w:rPr>
          <w:rFonts w:hint="eastAsia" w:ascii="仿宋_GB2312" w:hAnsi="仿宋_GB2312" w:eastAsia="仿宋_GB2312" w:cs="仿宋_GB2312"/>
          <w:b w:val="0"/>
          <w:color w:val="000000"/>
          <w:sz w:val="30"/>
          <w:szCs w:val="30"/>
          <w:lang w:val="en-US" w:eastAsia="zh-CN"/>
        </w:rPr>
        <w:t>四</w:t>
      </w:r>
      <w:r>
        <w:rPr>
          <w:rFonts w:hint="eastAsia" w:ascii="仿宋_GB2312" w:hAnsi="仿宋_GB2312" w:eastAsia="仿宋_GB2312" w:cs="仿宋_GB2312"/>
          <w:b w:val="0"/>
          <w:color w:val="000000"/>
          <w:sz w:val="30"/>
          <w:szCs w:val="30"/>
        </w:rPr>
        <w:t>）验收要求：</w:t>
      </w:r>
      <w:r>
        <w:rPr>
          <w:rFonts w:hint="eastAsia" w:ascii="仿宋_GB2312" w:hAnsi="仿宋_GB2312" w:eastAsia="仿宋_GB2312" w:cs="仿宋_GB2312"/>
          <w:sz w:val="30"/>
          <w:szCs w:val="30"/>
          <w:lang w:val="en-US" w:eastAsia="zh-CN"/>
        </w:rPr>
        <w:t>项目软硬件调试安装上线，平稳运行一个月后方可进行验收，</w:t>
      </w:r>
      <w:r>
        <w:rPr>
          <w:rFonts w:hint="eastAsia" w:ascii="仿宋_GB2312" w:hAnsi="仿宋_GB2312" w:eastAsia="仿宋_GB2312" w:cs="仿宋_GB2312"/>
          <w:b w:val="0"/>
          <w:color w:val="000000"/>
          <w:sz w:val="30"/>
          <w:szCs w:val="30"/>
        </w:rPr>
        <w:t>按技术服务事项进行验收。</w:t>
      </w:r>
    </w:p>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600" w:firstLineChars="200"/>
        <w:textAlignment w:val="auto"/>
        <w:outlineLvl w:val="9"/>
        <w:rPr>
          <w:rFonts w:hint="eastAsia" w:ascii="仿宋_GB2312" w:hAnsi="仿宋_GB2312" w:eastAsia="仿宋_GB2312" w:cs="仿宋_GB2312"/>
          <w:b w:val="0"/>
          <w:color w:val="000000"/>
          <w:sz w:val="30"/>
          <w:szCs w:val="30"/>
        </w:rPr>
      </w:pPr>
      <w:r>
        <w:rPr>
          <w:rFonts w:hint="eastAsia" w:ascii="仿宋_GB2312" w:hAnsi="仿宋_GB2312" w:eastAsia="仿宋_GB2312" w:cs="仿宋_GB2312"/>
          <w:sz w:val="30"/>
          <w:szCs w:val="30"/>
        </w:rPr>
        <w:t>周期维保到期之日</w:t>
      </w:r>
      <w:r>
        <w:rPr>
          <w:rFonts w:hint="eastAsia" w:ascii="仿宋_GB2312" w:hAnsi="仿宋_GB2312" w:eastAsia="仿宋_GB2312" w:cs="仿宋_GB2312"/>
          <w:b w:val="0"/>
          <w:color w:val="000000"/>
          <w:sz w:val="30"/>
          <w:szCs w:val="30"/>
        </w:rPr>
        <w:t>，</w:t>
      </w:r>
      <w:r>
        <w:rPr>
          <w:rFonts w:hint="eastAsia" w:ascii="仿宋_GB2312" w:hAnsi="仿宋_GB2312" w:eastAsia="仿宋_GB2312" w:cs="仿宋_GB2312"/>
          <w:b w:val="0"/>
          <w:color w:val="000000"/>
          <w:sz w:val="30"/>
          <w:szCs w:val="30"/>
          <w:lang w:val="en-US" w:eastAsia="zh-CN"/>
        </w:rPr>
        <w:t>成交供应商</w:t>
      </w:r>
      <w:r>
        <w:rPr>
          <w:rFonts w:hint="eastAsia" w:ascii="仿宋_GB2312" w:hAnsi="仿宋_GB2312" w:eastAsia="仿宋_GB2312" w:cs="仿宋_GB2312"/>
          <w:b w:val="0"/>
          <w:color w:val="000000"/>
          <w:sz w:val="30"/>
          <w:szCs w:val="30"/>
        </w:rPr>
        <w:t>须向</w:t>
      </w:r>
      <w:r>
        <w:rPr>
          <w:rFonts w:hint="eastAsia" w:ascii="仿宋_GB2312" w:hAnsi="仿宋_GB2312" w:eastAsia="仿宋_GB2312" w:cs="仿宋_GB2312"/>
          <w:b w:val="0"/>
          <w:color w:val="000000"/>
          <w:sz w:val="30"/>
          <w:szCs w:val="30"/>
          <w:lang w:val="en-US" w:eastAsia="zh-CN"/>
        </w:rPr>
        <w:t>采购人</w:t>
      </w:r>
      <w:r>
        <w:rPr>
          <w:rFonts w:hint="eastAsia" w:ascii="仿宋_GB2312" w:hAnsi="仿宋_GB2312" w:eastAsia="仿宋_GB2312" w:cs="仿宋_GB2312"/>
          <w:b w:val="0"/>
          <w:color w:val="000000"/>
          <w:sz w:val="30"/>
          <w:szCs w:val="30"/>
        </w:rPr>
        <w:t>移交完整使用功能的齐全的正常运行的系统，不得设置影响正常的使用的功能障碍或密码保护等。</w:t>
      </w:r>
    </w:p>
    <w:p>
      <w:pPr>
        <w:keepNext w:val="0"/>
        <w:keepLines w:val="0"/>
        <w:pageBreakBefore w:val="0"/>
        <w:kinsoku/>
        <w:wordWrap/>
        <w:overflowPunct/>
        <w:topLinePunct w:val="0"/>
        <w:bidi w:val="0"/>
        <w:adjustRightInd/>
        <w:snapToGrid/>
        <w:spacing w:beforeLines="0" w:afterLines="0" w:line="360" w:lineRule="auto"/>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b w:val="0"/>
          <w:color w:val="000000"/>
          <w:sz w:val="30"/>
          <w:szCs w:val="30"/>
        </w:rPr>
        <w:t>（</w:t>
      </w:r>
      <w:r>
        <w:rPr>
          <w:rFonts w:hint="eastAsia" w:ascii="仿宋_GB2312" w:hAnsi="仿宋_GB2312" w:eastAsia="仿宋_GB2312" w:cs="仿宋_GB2312"/>
          <w:b w:val="0"/>
          <w:color w:val="000000"/>
          <w:sz w:val="30"/>
          <w:szCs w:val="30"/>
          <w:lang w:val="en-US" w:eastAsia="zh-CN"/>
        </w:rPr>
        <w:t>五</w:t>
      </w:r>
      <w:r>
        <w:rPr>
          <w:rFonts w:hint="eastAsia" w:ascii="仿宋_GB2312" w:hAnsi="仿宋_GB2312" w:eastAsia="仿宋_GB2312" w:cs="仿宋_GB2312"/>
          <w:b w:val="0"/>
          <w:color w:val="000000"/>
          <w:sz w:val="30"/>
          <w:szCs w:val="30"/>
        </w:rPr>
        <w:t>）</w:t>
      </w:r>
      <w:r>
        <w:rPr>
          <w:rFonts w:hint="eastAsia" w:ascii="仿宋_GB2312" w:hAnsi="仿宋_GB2312" w:eastAsia="仿宋_GB2312" w:cs="仿宋_GB2312"/>
          <w:sz w:val="30"/>
          <w:szCs w:val="30"/>
          <w:lang w:val="en-US" w:eastAsia="zh-CN"/>
        </w:rPr>
        <w:t>售后服务要求：</w:t>
      </w:r>
    </w:p>
    <w:p>
      <w:pPr>
        <w:keepNext w:val="0"/>
        <w:keepLines w:val="0"/>
        <w:pageBreakBefore w:val="0"/>
        <w:kinsoku/>
        <w:wordWrap/>
        <w:overflowPunct/>
        <w:topLinePunct w:val="0"/>
        <w:bidi w:val="0"/>
        <w:adjustRightInd/>
        <w:snapToGrid/>
        <w:spacing w:beforeLines="0" w:afterLines="0" w:line="360" w:lineRule="auto"/>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保修期内所发生的一切费用包括系统及设备技术支持、系统及设备维护或升级、人员交通、差旅服务和医院现有系统接口等费用全部包含在成交价内。系统及设备免费维护期限届满后，成交供应商继续对系统及设备提供维护，项目费用不高于软件合同成交总价的6%，项目另外立项。</w:t>
      </w:r>
    </w:p>
    <w:p>
      <w:pPr>
        <w:keepNext w:val="0"/>
        <w:keepLines w:val="0"/>
        <w:pageBreakBefore w:val="0"/>
        <w:kinsoku/>
        <w:wordWrap/>
        <w:overflowPunct/>
        <w:topLinePunct w:val="0"/>
        <w:bidi w:val="0"/>
        <w:adjustRightInd/>
        <w:snapToGrid/>
        <w:spacing w:beforeLines="0" w:afterLines="0" w:line="360" w:lineRule="auto"/>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成交供应商负责为该项目软件系统的扩充、优化、升级等方面提供技术支持服务，承诺保证在合同规定时间内上线以及上线后软件系统的正常平稳运行。若成交供应商在维护期内对本项目中的系统功能有更新版本，应提供免费系统扩充、升级方面的技术支持服务。</w:t>
      </w:r>
    </w:p>
    <w:p>
      <w:pPr>
        <w:keepNext w:val="0"/>
        <w:keepLines w:val="0"/>
        <w:pageBreakBefore w:val="0"/>
        <w:kinsoku/>
        <w:wordWrap/>
        <w:overflowPunct/>
        <w:topLinePunct w:val="0"/>
        <w:bidi w:val="0"/>
        <w:adjustRightInd/>
        <w:snapToGrid/>
        <w:spacing w:beforeLines="0" w:afterLines="0" w:line="360" w:lineRule="auto"/>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该项目系统各功能模块服务期内提供每天24小时的维护响应，接听采购人在系统使用过程中的报障电话，做好报障记录，安排人员及时解决。系统故障报修的响应时间：1小时内响应，若远程维护无法解决，成交供应商应及时安排人员在4小时内到达现场并及时调查故障原因并修复，直至系统恢复正常使用，解决后进行记录归档。</w:t>
      </w:r>
    </w:p>
    <w:p>
      <w:pPr>
        <w:keepNext w:val="0"/>
        <w:keepLines w:val="0"/>
        <w:pageBreakBefore w:val="0"/>
        <w:kinsoku/>
        <w:wordWrap/>
        <w:overflowPunct/>
        <w:topLinePunct w:val="0"/>
        <w:bidi w:val="0"/>
        <w:adjustRightInd/>
        <w:snapToGrid/>
        <w:spacing w:beforeLines="0" w:afterLines="0" w:line="360" w:lineRule="auto"/>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4、成交供应商免费负责为采购人产品使用人员的操作培训等工作，直至采购人使用人员能独立正常操作使用为止。</w:t>
      </w:r>
    </w:p>
    <w:p>
      <w:pPr>
        <w:keepNext w:val="0"/>
        <w:keepLines w:val="0"/>
        <w:pageBreakBefore w:val="0"/>
        <w:kinsoku/>
        <w:wordWrap/>
        <w:overflowPunct/>
        <w:topLinePunct w:val="0"/>
        <w:bidi w:val="0"/>
        <w:adjustRightInd/>
        <w:snapToGrid/>
        <w:spacing w:beforeLines="0" w:afterLines="0" w:line="360" w:lineRule="auto"/>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培训内容与课程要求：对系统的使用，操作，维护进行培训，并提供安装使用维护说明书，以确保采购人能够对系统有足够的了解和熟悉，能够独立进行系统的日常维护和管理。培训所需一切资料由成交供应商提供。</w:t>
      </w:r>
    </w:p>
    <w:p>
      <w:pPr>
        <w:keepNext w:val="0"/>
        <w:keepLines w:val="0"/>
        <w:pageBreakBefore w:val="0"/>
        <w:kinsoku/>
        <w:wordWrap/>
        <w:overflowPunct/>
        <w:topLinePunct w:val="0"/>
        <w:bidi w:val="0"/>
        <w:adjustRightInd/>
        <w:snapToGrid/>
        <w:spacing w:beforeLines="0" w:afterLines="0" w:line="360" w:lineRule="auto"/>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（2）培训费用：培训过程中所发生的一切费用（含培训教材费）均包含在成交价内。</w:t>
      </w:r>
    </w:p>
    <w:p>
      <w:pPr>
        <w:keepNext w:val="0"/>
        <w:keepLines w:val="0"/>
        <w:pageBreakBefore w:val="0"/>
        <w:kinsoku/>
        <w:wordWrap/>
        <w:overflowPunct/>
        <w:topLinePunct w:val="0"/>
        <w:bidi w:val="0"/>
        <w:adjustRightInd/>
        <w:snapToGrid/>
        <w:spacing w:beforeLines="0" w:afterLines="0" w:line="360" w:lineRule="auto"/>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5、需选派具有二年以上相关工作经验的技术人员负责开发维护工作。</w:t>
      </w:r>
    </w:p>
    <w:p>
      <w:pPr>
        <w:keepNext w:val="0"/>
        <w:keepLines w:val="0"/>
        <w:pageBreakBefore w:val="0"/>
        <w:kinsoku/>
        <w:wordWrap/>
        <w:overflowPunct/>
        <w:topLinePunct w:val="0"/>
        <w:bidi w:val="0"/>
        <w:adjustRightInd/>
        <w:snapToGrid/>
        <w:spacing w:beforeLines="0" w:afterLines="0" w:line="360" w:lineRule="auto"/>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6、在技术开发服务项目实施与维护期间过程中，采购人必然存在对一些软件系统更改和进行适应性维护的要求，成交供应商接到采购人的需求后，必须免费提供二次开发和客户化修改的执行计划，并与采购人双方进行工作量的评估，不超出三个人日工作时间内的工作量，不得另外收取费用。成交供应商应在双方协定的时间内完成采购人的需求，如成交供应商不能在双方协定时间内完成采购人的需求而影响采购人的正常业务，采购人可根据受影响的程度，扣除成交供应商相应的服务费用。</w:t>
      </w:r>
    </w:p>
    <w:p>
      <w:pPr>
        <w:keepNext w:val="0"/>
        <w:keepLines w:val="0"/>
        <w:pageBreakBefore w:val="0"/>
        <w:kinsoku/>
        <w:wordWrap/>
        <w:overflowPunct/>
        <w:topLinePunct w:val="0"/>
        <w:bidi w:val="0"/>
        <w:adjustRightInd/>
        <w:snapToGrid/>
        <w:spacing w:beforeLines="0" w:afterLines="0" w:line="360" w:lineRule="auto"/>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（六）产品所属权：所采购的系统及硬件产品所有权归采购人所有，采购人可以永久免费使用成交供应商在完成系统开发过程中所形成的所有专利或版权。成交供应商需对采购人开放源代码内容。</w:t>
      </w:r>
    </w:p>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600" w:firstLineChars="200"/>
        <w:textAlignment w:val="auto"/>
        <w:outlineLvl w:val="9"/>
        <w:rPr>
          <w:rFonts w:hint="eastAsia" w:ascii="仿宋_GB2312" w:hAnsi="仿宋_GB2312" w:eastAsia="仿宋_GB2312" w:cs="仿宋_GB2312"/>
          <w:b w:val="0"/>
          <w:color w:val="000000"/>
          <w:sz w:val="30"/>
          <w:szCs w:val="30"/>
        </w:rPr>
      </w:pPr>
      <w:r>
        <w:rPr>
          <w:rFonts w:hint="eastAsia" w:ascii="仿宋_GB2312" w:hAnsi="仿宋_GB2312" w:eastAsia="仿宋_GB2312" w:cs="仿宋_GB2312"/>
          <w:b w:val="0"/>
          <w:color w:val="000000"/>
          <w:sz w:val="30"/>
          <w:szCs w:val="30"/>
          <w:lang w:eastAsia="zh-CN"/>
        </w:rPr>
        <w:t>（</w:t>
      </w:r>
      <w:r>
        <w:rPr>
          <w:rFonts w:hint="eastAsia" w:ascii="仿宋_GB2312" w:hAnsi="仿宋_GB2312" w:eastAsia="仿宋_GB2312" w:cs="仿宋_GB2312"/>
          <w:b w:val="0"/>
          <w:color w:val="000000"/>
          <w:sz w:val="30"/>
          <w:szCs w:val="30"/>
          <w:lang w:val="en-US" w:eastAsia="zh-CN"/>
        </w:rPr>
        <w:t>七</w:t>
      </w:r>
      <w:r>
        <w:rPr>
          <w:rFonts w:hint="eastAsia" w:ascii="仿宋_GB2312" w:hAnsi="仿宋_GB2312" w:eastAsia="仿宋_GB2312" w:cs="仿宋_GB2312"/>
          <w:b w:val="0"/>
          <w:color w:val="000000"/>
          <w:sz w:val="30"/>
          <w:szCs w:val="30"/>
          <w:lang w:eastAsia="zh-CN"/>
        </w:rPr>
        <w:t>）</w:t>
      </w:r>
      <w:r>
        <w:rPr>
          <w:rFonts w:hint="eastAsia" w:ascii="仿宋_GB2312" w:hAnsi="仿宋_GB2312" w:eastAsia="仿宋_GB2312" w:cs="仿宋_GB2312"/>
          <w:b w:val="0"/>
          <w:color w:val="000000"/>
          <w:sz w:val="30"/>
          <w:szCs w:val="30"/>
        </w:rPr>
        <w:t>付款期限及方式：</w:t>
      </w:r>
    </w:p>
    <w:p>
      <w:pPr>
        <w:keepNext w:val="0"/>
        <w:keepLines w:val="0"/>
        <w:pageBreakBefore w:val="0"/>
        <w:widowControl/>
        <w:kinsoku/>
        <w:wordWrap/>
        <w:overflowPunct/>
        <w:topLinePunct w:val="0"/>
        <w:autoSpaceDE/>
        <w:autoSpaceDN/>
        <w:bidi w:val="0"/>
        <w:adjustRightInd/>
        <w:snapToGrid/>
        <w:spacing w:beforeLines="0" w:afterLines="0" w:line="360" w:lineRule="auto"/>
        <w:ind w:firstLine="600" w:firstLineChars="200"/>
        <w:jc w:val="left"/>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经验收合格且成交供应商向采购人提供合法有效的全额增值税专用发票后30个工作日内，支付合同总额的100%。</w:t>
      </w:r>
    </w:p>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600" w:firstLineChars="200"/>
        <w:textAlignment w:val="auto"/>
        <w:outlineLvl w:val="9"/>
        <w:rPr>
          <w:rFonts w:hint="eastAsia" w:ascii="仿宋_GB2312" w:hAnsi="仿宋_GB2312" w:eastAsia="仿宋_GB2312" w:cs="仿宋_GB2312"/>
          <w:b w:val="0"/>
          <w:sz w:val="30"/>
          <w:szCs w:val="30"/>
        </w:rPr>
      </w:pPr>
      <w:r>
        <w:rPr>
          <w:rFonts w:hint="eastAsia" w:ascii="仿宋_GB2312" w:hAnsi="仿宋_GB2312" w:eastAsia="仿宋_GB2312" w:cs="仿宋_GB2312"/>
          <w:b w:val="0"/>
          <w:sz w:val="30"/>
          <w:szCs w:val="30"/>
        </w:rPr>
        <w:t>付款采用银行转账支付的方式。</w:t>
      </w:r>
    </w:p>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600" w:firstLineChars="200"/>
        <w:textAlignment w:val="auto"/>
        <w:outlineLvl w:val="9"/>
        <w:rPr>
          <w:rFonts w:hint="eastAsia" w:ascii="仿宋_GB2312" w:hAnsi="仿宋_GB2312" w:eastAsia="仿宋_GB2312" w:cs="仿宋_GB2312"/>
          <w:b w:val="0"/>
          <w:color w:val="000000"/>
          <w:sz w:val="30"/>
          <w:szCs w:val="30"/>
        </w:rPr>
      </w:pPr>
      <w:r>
        <w:rPr>
          <w:rFonts w:hint="eastAsia" w:ascii="仿宋_GB2312" w:hAnsi="仿宋_GB2312" w:eastAsia="仿宋_GB2312" w:cs="仿宋_GB2312"/>
          <w:b w:val="0"/>
          <w:color w:val="000000"/>
          <w:sz w:val="30"/>
          <w:szCs w:val="30"/>
        </w:rPr>
        <w:t>（</w:t>
      </w:r>
      <w:r>
        <w:rPr>
          <w:rFonts w:hint="eastAsia" w:ascii="仿宋_GB2312" w:hAnsi="仿宋_GB2312" w:eastAsia="仿宋_GB2312" w:cs="仿宋_GB2312"/>
          <w:b w:val="0"/>
          <w:color w:val="000000"/>
          <w:sz w:val="30"/>
          <w:szCs w:val="30"/>
          <w:lang w:val="en-US" w:eastAsia="zh-CN"/>
        </w:rPr>
        <w:t>八</w:t>
      </w:r>
      <w:r>
        <w:rPr>
          <w:rFonts w:hint="eastAsia" w:ascii="仿宋_GB2312" w:hAnsi="仿宋_GB2312" w:eastAsia="仿宋_GB2312" w:cs="仿宋_GB2312"/>
          <w:b w:val="0"/>
          <w:color w:val="000000"/>
          <w:sz w:val="30"/>
          <w:szCs w:val="30"/>
        </w:rPr>
        <w:t>）保密要求：</w:t>
      </w:r>
      <w:r>
        <w:rPr>
          <w:rFonts w:hint="eastAsia" w:ascii="仿宋_GB2312" w:hAnsi="仿宋_GB2312" w:eastAsia="仿宋_GB2312" w:cs="仿宋_GB2312"/>
          <w:b w:val="0"/>
          <w:color w:val="000000"/>
          <w:sz w:val="30"/>
          <w:szCs w:val="30"/>
          <w:lang w:val="en-US" w:eastAsia="zh-CN"/>
        </w:rPr>
        <w:t>成交供应商商</w:t>
      </w:r>
      <w:r>
        <w:rPr>
          <w:rFonts w:hint="eastAsia" w:ascii="仿宋_GB2312" w:hAnsi="仿宋_GB2312" w:eastAsia="仿宋_GB2312" w:cs="仿宋_GB2312"/>
          <w:b w:val="0"/>
          <w:color w:val="000000"/>
          <w:sz w:val="30"/>
          <w:szCs w:val="30"/>
        </w:rPr>
        <w:t>必须如约承担合同履行时所应该尽的一切保密义务。</w:t>
      </w:r>
      <w:r>
        <w:rPr>
          <w:rFonts w:hint="eastAsia" w:ascii="仿宋_GB2312" w:hAnsi="仿宋_GB2312" w:eastAsia="仿宋_GB2312" w:cs="仿宋_GB2312"/>
          <w:b w:val="0"/>
          <w:color w:val="000000"/>
          <w:sz w:val="30"/>
          <w:szCs w:val="30"/>
          <w:lang w:val="en-US" w:eastAsia="zh-CN"/>
        </w:rPr>
        <w:t>成交服务商</w:t>
      </w:r>
      <w:r>
        <w:rPr>
          <w:rFonts w:hint="eastAsia" w:ascii="仿宋_GB2312" w:hAnsi="仿宋_GB2312" w:eastAsia="仿宋_GB2312" w:cs="仿宋_GB2312"/>
          <w:b w:val="0"/>
          <w:color w:val="000000"/>
          <w:sz w:val="30"/>
          <w:szCs w:val="30"/>
        </w:rPr>
        <w:t>对项目</w:t>
      </w:r>
      <w:r>
        <w:rPr>
          <w:rFonts w:hint="eastAsia" w:ascii="仿宋_GB2312" w:hAnsi="仿宋_GB2312" w:eastAsia="仿宋_GB2312" w:cs="仿宋_GB2312"/>
          <w:b w:val="0"/>
          <w:color w:val="000000"/>
          <w:sz w:val="30"/>
          <w:szCs w:val="30"/>
          <w:lang w:val="en-US" w:eastAsia="zh-CN"/>
        </w:rPr>
        <w:t>服务</w:t>
      </w:r>
      <w:r>
        <w:rPr>
          <w:rFonts w:hint="eastAsia" w:ascii="仿宋_GB2312" w:hAnsi="仿宋_GB2312" w:eastAsia="仿宋_GB2312" w:cs="仿宋_GB2312"/>
          <w:b w:val="0"/>
          <w:color w:val="000000"/>
          <w:sz w:val="30"/>
          <w:szCs w:val="30"/>
        </w:rPr>
        <w:t>过程中的资料、数据进行保密，未经采购人书面同意不得泄露，一切保密责任不因合同的中止或解除而失效。</w:t>
      </w:r>
    </w:p>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600" w:firstLineChars="200"/>
        <w:textAlignment w:val="auto"/>
        <w:outlineLvl w:val="9"/>
        <w:rPr>
          <w:rFonts w:hint="eastAsia" w:ascii="仿宋_GB2312" w:hAnsi="仿宋_GB2312" w:eastAsia="仿宋_GB2312" w:cs="仿宋_GB2312"/>
          <w:b w:val="0"/>
          <w:color w:val="000000"/>
          <w:sz w:val="30"/>
          <w:szCs w:val="30"/>
        </w:rPr>
      </w:pPr>
      <w:r>
        <w:rPr>
          <w:rFonts w:hint="eastAsia" w:ascii="仿宋_GB2312" w:hAnsi="仿宋_GB2312" w:eastAsia="仿宋_GB2312" w:cs="仿宋_GB2312"/>
          <w:b w:val="0"/>
          <w:color w:val="000000"/>
          <w:sz w:val="30"/>
          <w:szCs w:val="30"/>
          <w:lang w:eastAsia="zh-CN"/>
        </w:rPr>
        <w:t>（</w:t>
      </w:r>
      <w:r>
        <w:rPr>
          <w:rFonts w:hint="eastAsia" w:ascii="仿宋_GB2312" w:hAnsi="仿宋_GB2312" w:eastAsia="仿宋_GB2312" w:cs="仿宋_GB2312"/>
          <w:b w:val="0"/>
          <w:color w:val="000000"/>
          <w:sz w:val="30"/>
          <w:szCs w:val="30"/>
          <w:lang w:val="en-US" w:eastAsia="zh-CN"/>
        </w:rPr>
        <w:t>九</w:t>
      </w:r>
      <w:r>
        <w:rPr>
          <w:rFonts w:hint="eastAsia" w:ascii="仿宋_GB2312" w:hAnsi="仿宋_GB2312" w:eastAsia="仿宋_GB2312" w:cs="仿宋_GB2312"/>
          <w:b w:val="0"/>
          <w:color w:val="000000"/>
          <w:sz w:val="30"/>
          <w:szCs w:val="30"/>
          <w:lang w:eastAsia="zh-CN"/>
        </w:rPr>
        <w:t>）</w:t>
      </w:r>
      <w:r>
        <w:rPr>
          <w:rFonts w:hint="eastAsia" w:ascii="仿宋_GB2312" w:hAnsi="仿宋_GB2312" w:eastAsia="仿宋_GB2312" w:cs="仿宋_GB2312"/>
          <w:b w:val="0"/>
          <w:color w:val="000000"/>
          <w:sz w:val="30"/>
          <w:szCs w:val="30"/>
        </w:rPr>
        <w:t>违约责任：</w:t>
      </w:r>
    </w:p>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600" w:firstLineChars="200"/>
        <w:textAlignment w:val="auto"/>
        <w:outlineLvl w:val="9"/>
        <w:rPr>
          <w:rFonts w:hint="eastAsia" w:ascii="仿宋_GB2312" w:hAnsi="仿宋_GB2312" w:eastAsia="仿宋_GB2312" w:cs="仿宋_GB2312"/>
          <w:b w:val="0"/>
          <w:color w:val="000000"/>
          <w:sz w:val="30"/>
          <w:szCs w:val="30"/>
        </w:rPr>
      </w:pPr>
      <w:r>
        <w:rPr>
          <w:rFonts w:hint="eastAsia" w:ascii="仿宋_GB2312" w:hAnsi="仿宋_GB2312" w:eastAsia="仿宋_GB2312" w:cs="仿宋_GB2312"/>
          <w:b w:val="0"/>
          <w:color w:val="000000"/>
          <w:sz w:val="30"/>
          <w:szCs w:val="30"/>
        </w:rPr>
        <w:t>1、</w:t>
      </w:r>
      <w:r>
        <w:rPr>
          <w:rFonts w:hint="eastAsia" w:ascii="仿宋_GB2312" w:hAnsi="仿宋_GB2312" w:eastAsia="仿宋_GB2312" w:cs="仿宋_GB2312"/>
          <w:b w:val="0"/>
          <w:color w:val="000000"/>
          <w:sz w:val="30"/>
          <w:szCs w:val="30"/>
          <w:lang w:val="en-US" w:eastAsia="zh-CN"/>
        </w:rPr>
        <w:t>成交供应商</w:t>
      </w:r>
      <w:r>
        <w:rPr>
          <w:rFonts w:hint="eastAsia" w:ascii="仿宋_GB2312" w:hAnsi="仿宋_GB2312" w:eastAsia="仿宋_GB2312" w:cs="仿宋_GB2312"/>
          <w:b w:val="0"/>
          <w:color w:val="000000"/>
          <w:sz w:val="30"/>
          <w:szCs w:val="30"/>
        </w:rPr>
        <w:t>不能</w:t>
      </w:r>
      <w:r>
        <w:rPr>
          <w:rFonts w:hint="eastAsia" w:ascii="仿宋_GB2312" w:hAnsi="仿宋_GB2312" w:eastAsia="仿宋_GB2312" w:cs="仿宋_GB2312"/>
          <w:b w:val="0"/>
          <w:color w:val="000000"/>
          <w:sz w:val="30"/>
          <w:szCs w:val="30"/>
          <w:lang w:val="en-US" w:eastAsia="zh-CN"/>
        </w:rPr>
        <w:t>提供服务或</w:t>
      </w:r>
      <w:r>
        <w:rPr>
          <w:rFonts w:hint="eastAsia" w:ascii="仿宋_GB2312" w:hAnsi="仿宋_GB2312" w:eastAsia="仿宋_GB2312" w:cs="仿宋_GB2312"/>
          <w:b w:val="0"/>
          <w:color w:val="000000"/>
          <w:sz w:val="30"/>
          <w:szCs w:val="30"/>
        </w:rPr>
        <w:t>交货的，</w:t>
      </w:r>
      <w:r>
        <w:rPr>
          <w:rFonts w:hint="eastAsia" w:ascii="仿宋_GB2312" w:hAnsi="仿宋_GB2312" w:eastAsia="仿宋_GB2312" w:cs="仿宋_GB2312"/>
          <w:b w:val="0"/>
          <w:color w:val="000000"/>
          <w:sz w:val="30"/>
          <w:szCs w:val="30"/>
          <w:lang w:val="en-US" w:eastAsia="zh-CN"/>
        </w:rPr>
        <w:t>采购人</w:t>
      </w:r>
      <w:r>
        <w:rPr>
          <w:rFonts w:hint="eastAsia" w:ascii="仿宋_GB2312" w:hAnsi="仿宋_GB2312" w:eastAsia="仿宋_GB2312" w:cs="仿宋_GB2312"/>
          <w:b w:val="0"/>
          <w:color w:val="000000"/>
          <w:sz w:val="30"/>
          <w:szCs w:val="30"/>
        </w:rPr>
        <w:t>不向</w:t>
      </w:r>
      <w:r>
        <w:rPr>
          <w:rFonts w:hint="eastAsia" w:ascii="仿宋_GB2312" w:hAnsi="仿宋_GB2312" w:eastAsia="仿宋_GB2312" w:cs="仿宋_GB2312"/>
          <w:b w:val="0"/>
          <w:color w:val="000000"/>
          <w:sz w:val="30"/>
          <w:szCs w:val="30"/>
          <w:lang w:val="en-US" w:eastAsia="zh-CN"/>
        </w:rPr>
        <w:t>成交供应商</w:t>
      </w:r>
      <w:r>
        <w:rPr>
          <w:rFonts w:hint="eastAsia" w:ascii="仿宋_GB2312" w:hAnsi="仿宋_GB2312" w:eastAsia="仿宋_GB2312" w:cs="仿宋_GB2312"/>
          <w:b w:val="0"/>
          <w:color w:val="000000"/>
          <w:sz w:val="30"/>
          <w:szCs w:val="30"/>
        </w:rPr>
        <w:t>付款。</w:t>
      </w:r>
      <w:r>
        <w:rPr>
          <w:rFonts w:hint="eastAsia" w:ascii="仿宋_GB2312" w:hAnsi="仿宋_GB2312" w:eastAsia="仿宋_GB2312" w:cs="仿宋_GB2312"/>
          <w:b w:val="0"/>
          <w:color w:val="000000"/>
          <w:sz w:val="30"/>
          <w:szCs w:val="30"/>
          <w:lang w:val="en-US" w:eastAsia="zh-CN"/>
        </w:rPr>
        <w:t>成交供应商</w:t>
      </w:r>
      <w:r>
        <w:rPr>
          <w:rFonts w:hint="eastAsia" w:ascii="仿宋_GB2312" w:hAnsi="仿宋_GB2312" w:eastAsia="仿宋_GB2312" w:cs="仿宋_GB2312"/>
          <w:b w:val="0"/>
          <w:color w:val="000000"/>
          <w:sz w:val="30"/>
          <w:szCs w:val="30"/>
        </w:rPr>
        <w:t>应向</w:t>
      </w:r>
      <w:r>
        <w:rPr>
          <w:rFonts w:hint="eastAsia" w:ascii="仿宋_GB2312" w:hAnsi="仿宋_GB2312" w:eastAsia="仿宋_GB2312" w:cs="仿宋_GB2312"/>
          <w:b w:val="0"/>
          <w:color w:val="000000"/>
          <w:sz w:val="30"/>
          <w:szCs w:val="30"/>
          <w:lang w:val="en-US" w:eastAsia="zh-CN"/>
        </w:rPr>
        <w:t>采购人</w:t>
      </w:r>
      <w:r>
        <w:rPr>
          <w:rFonts w:hint="eastAsia" w:ascii="仿宋_GB2312" w:hAnsi="仿宋_GB2312" w:eastAsia="仿宋_GB2312" w:cs="仿宋_GB2312"/>
          <w:b w:val="0"/>
          <w:color w:val="000000"/>
          <w:sz w:val="30"/>
          <w:szCs w:val="30"/>
        </w:rPr>
        <w:t>偿付相当于不能</w:t>
      </w:r>
      <w:r>
        <w:rPr>
          <w:rFonts w:hint="eastAsia" w:ascii="仿宋_GB2312" w:hAnsi="仿宋_GB2312" w:eastAsia="仿宋_GB2312" w:cs="仿宋_GB2312"/>
          <w:b w:val="0"/>
          <w:color w:val="000000"/>
          <w:sz w:val="30"/>
          <w:szCs w:val="30"/>
          <w:lang w:val="en-US" w:eastAsia="zh-CN"/>
        </w:rPr>
        <w:t>提供服务或</w:t>
      </w:r>
      <w:r>
        <w:rPr>
          <w:rFonts w:hint="eastAsia" w:ascii="仿宋_GB2312" w:hAnsi="仿宋_GB2312" w:eastAsia="仿宋_GB2312" w:cs="仿宋_GB2312"/>
          <w:b w:val="0"/>
          <w:color w:val="000000"/>
          <w:sz w:val="30"/>
          <w:szCs w:val="30"/>
        </w:rPr>
        <w:t>交货部分</w:t>
      </w:r>
      <w:r>
        <w:rPr>
          <w:rFonts w:hint="eastAsia" w:ascii="仿宋_GB2312" w:hAnsi="仿宋_GB2312" w:eastAsia="仿宋_GB2312" w:cs="仿宋_GB2312"/>
          <w:b w:val="0"/>
          <w:color w:val="000000"/>
          <w:sz w:val="30"/>
          <w:szCs w:val="30"/>
          <w:lang w:val="en-US" w:eastAsia="zh-CN"/>
        </w:rPr>
        <w:t>款项</w:t>
      </w:r>
      <w:r>
        <w:rPr>
          <w:rFonts w:hint="eastAsia" w:ascii="仿宋_GB2312" w:hAnsi="仿宋_GB2312" w:eastAsia="仿宋_GB2312" w:cs="仿宋_GB2312"/>
          <w:b w:val="0"/>
          <w:color w:val="000000"/>
          <w:sz w:val="30"/>
          <w:szCs w:val="30"/>
        </w:rPr>
        <w:t>的百分之二十的违约金；</w:t>
      </w:r>
    </w:p>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600" w:firstLineChars="200"/>
        <w:textAlignment w:val="auto"/>
        <w:outlineLvl w:val="9"/>
        <w:rPr>
          <w:rFonts w:hint="eastAsia" w:ascii="仿宋_GB2312" w:hAnsi="仿宋_GB2312" w:eastAsia="仿宋_GB2312" w:cs="仿宋_GB2312"/>
          <w:b w:val="0"/>
          <w:color w:val="000000"/>
          <w:sz w:val="30"/>
          <w:szCs w:val="30"/>
          <w:lang w:eastAsia="zh-CN"/>
        </w:rPr>
      </w:pPr>
      <w:r>
        <w:rPr>
          <w:rFonts w:hint="eastAsia" w:ascii="仿宋_GB2312" w:hAnsi="仿宋_GB2312" w:eastAsia="仿宋_GB2312" w:cs="仿宋_GB2312"/>
          <w:b w:val="0"/>
          <w:color w:val="000000"/>
          <w:sz w:val="30"/>
          <w:szCs w:val="30"/>
        </w:rPr>
        <w:t>2、</w:t>
      </w:r>
      <w:r>
        <w:rPr>
          <w:rFonts w:hint="eastAsia" w:ascii="仿宋_GB2312" w:hAnsi="仿宋_GB2312" w:eastAsia="仿宋_GB2312" w:cs="仿宋_GB2312"/>
          <w:b w:val="0"/>
          <w:color w:val="000000"/>
          <w:sz w:val="30"/>
          <w:szCs w:val="30"/>
          <w:lang w:val="en-US" w:eastAsia="zh-CN"/>
        </w:rPr>
        <w:t>成交供应商</w:t>
      </w:r>
      <w:r>
        <w:rPr>
          <w:rFonts w:hint="eastAsia" w:ascii="仿宋_GB2312" w:hAnsi="仿宋_GB2312" w:eastAsia="仿宋_GB2312" w:cs="仿宋_GB2312"/>
          <w:b w:val="0"/>
          <w:color w:val="000000"/>
          <w:sz w:val="30"/>
          <w:szCs w:val="30"/>
        </w:rPr>
        <w:t>所交产品品种、数量、规格、型号、质量、技术参数及配置不符合国家法律法规和招标文件及合同规定的，</w:t>
      </w:r>
      <w:r>
        <w:rPr>
          <w:rFonts w:hint="eastAsia" w:ascii="仿宋_GB2312" w:hAnsi="仿宋_GB2312" w:eastAsia="仿宋_GB2312" w:cs="仿宋_GB2312"/>
          <w:b w:val="0"/>
          <w:color w:val="000000"/>
          <w:sz w:val="30"/>
          <w:szCs w:val="30"/>
          <w:lang w:val="en-US" w:eastAsia="zh-CN"/>
        </w:rPr>
        <w:t>采购人</w:t>
      </w:r>
      <w:r>
        <w:rPr>
          <w:rFonts w:hint="eastAsia" w:ascii="仿宋_GB2312" w:hAnsi="仿宋_GB2312" w:eastAsia="仿宋_GB2312" w:cs="仿宋_GB2312"/>
          <w:b w:val="0"/>
          <w:color w:val="000000"/>
          <w:sz w:val="30"/>
          <w:szCs w:val="30"/>
        </w:rPr>
        <w:t>有权拒绝收货，由</w:t>
      </w:r>
      <w:r>
        <w:rPr>
          <w:rFonts w:hint="eastAsia" w:ascii="仿宋_GB2312" w:hAnsi="仿宋_GB2312" w:eastAsia="仿宋_GB2312" w:cs="仿宋_GB2312"/>
          <w:b w:val="0"/>
          <w:color w:val="000000"/>
          <w:sz w:val="30"/>
          <w:szCs w:val="30"/>
          <w:lang w:val="en-US" w:eastAsia="zh-CN"/>
        </w:rPr>
        <w:t>成交供应商</w:t>
      </w:r>
      <w:r>
        <w:rPr>
          <w:rFonts w:hint="eastAsia" w:ascii="仿宋_GB2312" w:hAnsi="仿宋_GB2312" w:eastAsia="仿宋_GB2312" w:cs="仿宋_GB2312"/>
          <w:b w:val="0"/>
          <w:color w:val="000000"/>
          <w:sz w:val="30"/>
          <w:szCs w:val="30"/>
        </w:rPr>
        <w:t>负责包换或退货，并承担由此而支付的实际费用。换货的再次交货时间超过合同交货时间的视为逾期交货，退货的视为不能交货，并承担逾期交货、不能交货的违约责任</w:t>
      </w:r>
      <w:r>
        <w:rPr>
          <w:rFonts w:hint="eastAsia" w:ascii="仿宋_GB2312" w:hAnsi="仿宋_GB2312" w:eastAsia="仿宋_GB2312" w:cs="仿宋_GB2312"/>
          <w:b w:val="0"/>
          <w:color w:val="000000"/>
          <w:sz w:val="30"/>
          <w:szCs w:val="30"/>
          <w:lang w:eastAsia="zh-CN"/>
        </w:rPr>
        <w:t>。</w:t>
      </w:r>
    </w:p>
    <w:p>
      <w:pPr>
        <w:keepNext w:val="0"/>
        <w:keepLines w:val="0"/>
        <w:pageBreakBefore w:val="0"/>
        <w:widowControl w:val="0"/>
        <w:kinsoku/>
        <w:wordWrap/>
        <w:overflowPunct/>
        <w:topLinePunct w:val="0"/>
        <w:autoSpaceDE/>
        <w:autoSpaceDN/>
        <w:bidi w:val="0"/>
        <w:adjustRightInd/>
        <w:spacing w:before="0" w:beforeLines="0" w:after="0" w:afterLines="0" w:line="360" w:lineRule="auto"/>
        <w:ind w:firstLine="600" w:firstLineChars="200"/>
        <w:textAlignment w:val="auto"/>
        <w:outlineLvl w:val="9"/>
        <w:rPr>
          <w:rFonts w:hint="eastAsia" w:ascii="仿宋_GB2312" w:hAnsi="仿宋_GB2312" w:eastAsia="仿宋_GB2312" w:cs="仿宋_GB2312"/>
          <w:b w:val="0"/>
          <w:color w:val="000000"/>
          <w:sz w:val="30"/>
          <w:szCs w:val="30"/>
        </w:rPr>
      </w:pPr>
      <w:r>
        <w:rPr>
          <w:rFonts w:hint="eastAsia" w:ascii="仿宋_GB2312" w:hAnsi="仿宋_GB2312" w:eastAsia="仿宋_GB2312" w:cs="仿宋_GB2312"/>
          <w:b w:val="0"/>
          <w:color w:val="000000"/>
          <w:sz w:val="30"/>
          <w:szCs w:val="30"/>
        </w:rPr>
        <w:t>3、</w:t>
      </w:r>
      <w:r>
        <w:rPr>
          <w:rFonts w:hint="eastAsia" w:ascii="仿宋_GB2312" w:hAnsi="仿宋_GB2312" w:eastAsia="仿宋_GB2312" w:cs="仿宋_GB2312"/>
          <w:b w:val="0"/>
          <w:color w:val="000000"/>
          <w:sz w:val="30"/>
          <w:szCs w:val="30"/>
          <w:lang w:val="en-US" w:eastAsia="zh-CN"/>
        </w:rPr>
        <w:t>成交供应商</w:t>
      </w:r>
      <w:r>
        <w:rPr>
          <w:rFonts w:hint="eastAsia" w:ascii="仿宋_GB2312" w:hAnsi="仿宋_GB2312" w:eastAsia="仿宋_GB2312" w:cs="仿宋_GB2312"/>
          <w:b w:val="0"/>
          <w:color w:val="000000"/>
          <w:sz w:val="30"/>
          <w:szCs w:val="30"/>
        </w:rPr>
        <w:t>逾期交货的，按逾期交货部分货款计算，向</w:t>
      </w:r>
      <w:r>
        <w:rPr>
          <w:rFonts w:hint="eastAsia" w:ascii="仿宋_GB2312" w:hAnsi="仿宋_GB2312" w:eastAsia="仿宋_GB2312" w:cs="仿宋_GB2312"/>
          <w:b w:val="0"/>
          <w:color w:val="000000"/>
          <w:sz w:val="30"/>
          <w:szCs w:val="30"/>
          <w:lang w:val="en-US" w:eastAsia="zh-CN"/>
        </w:rPr>
        <w:t>采购人</w:t>
      </w:r>
      <w:r>
        <w:rPr>
          <w:rFonts w:hint="eastAsia" w:ascii="仿宋_GB2312" w:hAnsi="仿宋_GB2312" w:eastAsia="仿宋_GB2312" w:cs="仿宋_GB2312"/>
          <w:b w:val="0"/>
          <w:color w:val="000000"/>
          <w:sz w:val="30"/>
          <w:szCs w:val="30"/>
        </w:rPr>
        <w:t>偿付每日</w:t>
      </w:r>
      <w:r>
        <w:rPr>
          <w:rFonts w:hint="eastAsia" w:ascii="仿宋_GB2312" w:hAnsi="仿宋_GB2312" w:eastAsia="仿宋_GB2312" w:cs="仿宋_GB2312"/>
          <w:b w:val="0"/>
          <w:color w:val="000000"/>
          <w:sz w:val="30"/>
          <w:szCs w:val="30"/>
          <w:lang w:val="en-US" w:eastAsia="zh-CN"/>
        </w:rPr>
        <w:t>万分之一</w:t>
      </w:r>
      <w:r>
        <w:rPr>
          <w:rFonts w:hint="eastAsia" w:ascii="仿宋_GB2312" w:hAnsi="仿宋_GB2312" w:eastAsia="仿宋_GB2312" w:cs="仿宋_GB2312"/>
          <w:b w:val="0"/>
          <w:color w:val="000000"/>
          <w:sz w:val="30"/>
          <w:szCs w:val="30"/>
        </w:rPr>
        <w:t>的违约金，并承担</w:t>
      </w:r>
      <w:r>
        <w:rPr>
          <w:rFonts w:hint="eastAsia" w:ascii="仿宋_GB2312" w:hAnsi="仿宋_GB2312" w:eastAsia="仿宋_GB2312" w:cs="仿宋_GB2312"/>
          <w:b w:val="0"/>
          <w:color w:val="000000"/>
          <w:sz w:val="30"/>
          <w:szCs w:val="30"/>
          <w:lang w:val="en-US" w:eastAsia="zh-CN"/>
        </w:rPr>
        <w:t>采购人</w:t>
      </w:r>
      <w:r>
        <w:rPr>
          <w:rFonts w:hint="eastAsia" w:ascii="仿宋_GB2312" w:hAnsi="仿宋_GB2312" w:eastAsia="仿宋_GB2312" w:cs="仿宋_GB2312"/>
          <w:b w:val="0"/>
          <w:color w:val="000000"/>
          <w:sz w:val="30"/>
          <w:szCs w:val="30"/>
        </w:rPr>
        <w:t>因此所受的损失费用。如因成交供应商原因逾期超过180天未能完成，采购人有权解除合同，成交供应商除退回采购人所支付款项外，还应承担合同金额20%的违约金。</w:t>
      </w:r>
    </w:p>
    <w:p>
      <w:pPr>
        <w:spacing w:beforeLines="0" w:afterLines="0" w:line="360" w:lineRule="auto"/>
        <w:ind w:firstLine="600" w:firstLineChars="200"/>
        <w:outlineLvl w:val="9"/>
        <w:rPr>
          <w:rFonts w:hint="eastAsia" w:ascii="仿宋_GB2312" w:hAnsi="仿宋_GB2312" w:eastAsia="仿宋_GB2312" w:cs="仿宋_GB2312"/>
          <w:b w:val="0"/>
          <w:color w:val="000000"/>
          <w:sz w:val="30"/>
          <w:szCs w:val="30"/>
        </w:rPr>
      </w:pPr>
      <w:r>
        <w:rPr>
          <w:rFonts w:hint="eastAsia" w:ascii="仿宋_GB2312" w:hAnsi="仿宋_GB2312" w:eastAsia="仿宋_GB2312" w:cs="仿宋_GB2312"/>
          <w:color w:val="000000"/>
          <w:sz w:val="30"/>
          <w:szCs w:val="30"/>
          <w:lang w:val="en-US" w:eastAsia="zh-CN"/>
        </w:rPr>
        <w:t>4、</w:t>
      </w:r>
      <w:r>
        <w:rPr>
          <w:rFonts w:hint="eastAsia" w:ascii="仿宋_GB2312" w:hAnsi="仿宋_GB2312" w:eastAsia="仿宋_GB2312" w:cs="仿宋_GB2312"/>
          <w:color w:val="000000"/>
          <w:sz w:val="30"/>
          <w:szCs w:val="30"/>
        </w:rPr>
        <w:t>对于出现违约行为或服务行为不符合质量要求，采购人将要求</w:t>
      </w:r>
      <w:r>
        <w:rPr>
          <w:rFonts w:hint="eastAsia" w:ascii="仿宋_GB2312" w:hAnsi="仿宋_GB2312" w:eastAsia="仿宋_GB2312" w:cs="仿宋_GB2312"/>
          <w:color w:val="000000"/>
          <w:sz w:val="30"/>
          <w:szCs w:val="30"/>
          <w:lang w:eastAsia="zh-CN"/>
        </w:rPr>
        <w:t>成交服务商</w:t>
      </w:r>
      <w:r>
        <w:rPr>
          <w:rFonts w:hint="eastAsia" w:ascii="仿宋_GB2312" w:hAnsi="仿宋_GB2312" w:eastAsia="仿宋_GB2312" w:cs="仿宋_GB2312"/>
          <w:color w:val="000000"/>
          <w:sz w:val="30"/>
          <w:szCs w:val="30"/>
        </w:rPr>
        <w:t>按规定进行整改，在两次整改均无效或仍不能符合质量要求的，将</w:t>
      </w:r>
      <w:r>
        <w:rPr>
          <w:rFonts w:hint="eastAsia" w:ascii="仿宋_GB2312" w:hAnsi="仿宋_GB2312" w:eastAsia="仿宋_GB2312" w:cs="仿宋_GB2312"/>
          <w:color w:val="000000"/>
          <w:sz w:val="30"/>
          <w:szCs w:val="30"/>
          <w:lang w:eastAsia="zh-CN"/>
        </w:rPr>
        <w:t>成交</w:t>
      </w:r>
      <w:r>
        <w:rPr>
          <w:rFonts w:hint="eastAsia" w:ascii="仿宋_GB2312" w:hAnsi="仿宋_GB2312" w:eastAsia="仿宋_GB2312" w:cs="仿宋_GB2312"/>
          <w:color w:val="000000"/>
          <w:sz w:val="30"/>
          <w:szCs w:val="30"/>
          <w:lang w:val="en-US" w:eastAsia="zh-CN"/>
        </w:rPr>
        <w:t>供应商</w:t>
      </w:r>
      <w:r>
        <w:rPr>
          <w:rFonts w:hint="eastAsia" w:ascii="仿宋_GB2312" w:hAnsi="仿宋_GB2312" w:eastAsia="仿宋_GB2312" w:cs="仿宋_GB2312"/>
          <w:color w:val="000000"/>
          <w:sz w:val="30"/>
          <w:szCs w:val="30"/>
          <w:lang w:eastAsia="zh-CN"/>
        </w:rPr>
        <w:t>商</w:t>
      </w:r>
      <w:r>
        <w:rPr>
          <w:rFonts w:hint="eastAsia" w:ascii="仿宋_GB2312" w:hAnsi="仿宋_GB2312" w:eastAsia="仿宋_GB2312" w:cs="仿宋_GB2312"/>
          <w:color w:val="000000"/>
          <w:sz w:val="30"/>
          <w:szCs w:val="30"/>
        </w:rPr>
        <w:t>列入</w:t>
      </w:r>
      <w:r>
        <w:rPr>
          <w:rFonts w:hint="eastAsia" w:ascii="仿宋_GB2312" w:hAnsi="仿宋_GB2312" w:eastAsia="仿宋_GB2312" w:cs="仿宋_GB2312"/>
          <w:color w:val="000000"/>
          <w:sz w:val="30"/>
          <w:szCs w:val="30"/>
          <w:lang w:val="en-US" w:eastAsia="zh-CN"/>
        </w:rPr>
        <w:t>不良供应商</w:t>
      </w:r>
      <w:r>
        <w:rPr>
          <w:rFonts w:hint="eastAsia" w:ascii="仿宋_GB2312" w:hAnsi="仿宋_GB2312" w:eastAsia="仿宋_GB2312" w:cs="仿宋_GB2312"/>
          <w:color w:val="000000"/>
          <w:sz w:val="30"/>
          <w:szCs w:val="30"/>
        </w:rPr>
        <w:t>管理。同时，</w:t>
      </w:r>
      <w:r>
        <w:rPr>
          <w:rFonts w:hint="eastAsia" w:ascii="仿宋_GB2312" w:hAnsi="仿宋_GB2312" w:eastAsia="仿宋_GB2312" w:cs="仿宋_GB2312"/>
          <w:color w:val="000000"/>
          <w:sz w:val="30"/>
          <w:szCs w:val="30"/>
          <w:lang w:eastAsia="zh-CN"/>
        </w:rPr>
        <w:t>成交服务商</w:t>
      </w:r>
      <w:r>
        <w:rPr>
          <w:rFonts w:hint="eastAsia" w:ascii="仿宋_GB2312" w:hAnsi="仿宋_GB2312" w:eastAsia="仿宋_GB2312" w:cs="仿宋_GB2312"/>
          <w:color w:val="000000"/>
          <w:sz w:val="30"/>
          <w:szCs w:val="30"/>
        </w:rPr>
        <w:t>须承担所有违约责任。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4B96E3"/>
    <w:multiLevelType w:val="singleLevel"/>
    <w:tmpl w:val="134B96E3"/>
    <w:lvl w:ilvl="0" w:tentative="0">
      <w:start w:val="1"/>
      <w:numFmt w:val="decimal"/>
      <w:suff w:val="nothing"/>
      <w:lvlText w:val="%1、"/>
      <w:lvlJc w:val="left"/>
    </w:lvl>
  </w:abstractNum>
  <w:abstractNum w:abstractNumId="1">
    <w:nsid w:val="3F7964AB"/>
    <w:multiLevelType w:val="singleLevel"/>
    <w:tmpl w:val="3F7964AB"/>
    <w:lvl w:ilvl="0" w:tentative="0">
      <w:start w:val="1"/>
      <w:numFmt w:val="decimal"/>
      <w:suff w:val="nothing"/>
      <w:lvlText w:val="%1、"/>
      <w:lvlJc w:val="left"/>
    </w:lvl>
  </w:abstractNum>
  <w:abstractNum w:abstractNumId="2">
    <w:nsid w:val="4B96E42C"/>
    <w:multiLevelType w:val="singleLevel"/>
    <w:tmpl w:val="4B96E42C"/>
    <w:lvl w:ilvl="0" w:tentative="0">
      <w:start w:val="1"/>
      <w:numFmt w:val="decimal"/>
      <w:suff w:val="nothing"/>
      <w:lvlText w:val="%1、"/>
      <w:lvlJc w:val="left"/>
    </w:lvl>
  </w:abstractNum>
  <w:abstractNum w:abstractNumId="3">
    <w:nsid w:val="53BE6FC0"/>
    <w:multiLevelType w:val="multilevel"/>
    <w:tmpl w:val="53BE6FC0"/>
    <w:lvl w:ilvl="0" w:tentative="0">
      <w:start w:val="1"/>
      <w:numFmt w:val="decimal"/>
      <w:pStyle w:val="2"/>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abstractNum w:abstractNumId="4">
    <w:nsid w:val="7DF19654"/>
    <w:multiLevelType w:val="singleLevel"/>
    <w:tmpl w:val="7DF19654"/>
    <w:lvl w:ilvl="0" w:tentative="0">
      <w:start w:val="1"/>
      <w:numFmt w:val="decimal"/>
      <w:suff w:val="nothing"/>
      <w:lvlText w:val="%1、"/>
      <w:lvlJc w:val="left"/>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834"/>
    <w:rsid w:val="000206E5"/>
    <w:rsid w:val="00123FAE"/>
    <w:rsid w:val="00AB58BF"/>
    <w:rsid w:val="00E52834"/>
    <w:rsid w:val="00EB529C"/>
    <w:rsid w:val="3E6054EC"/>
    <w:rsid w:val="6126789E"/>
    <w:rsid w:val="77CA75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pPr>
      <w:numPr>
        <w:ilvl w:val="0"/>
        <w:numId w:val="1"/>
      </w:numPr>
      <w:tabs>
        <w:tab w:val="clear" w:pos="839"/>
      </w:tabs>
      <w:spacing w:after="120"/>
      <w:ind w:left="0" w:firstLine="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font2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12</Words>
  <Characters>75</Characters>
  <Lines>1</Lines>
  <Paragraphs>1</Paragraphs>
  <TotalTime>51</TotalTime>
  <ScaleCrop>false</ScaleCrop>
  <LinksUpToDate>false</LinksUpToDate>
  <CharactersWithSpaces>86</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2023-11-17T09:15:00Z</dcterms:created>
  <dc:creator>供应商管理科</dc:creator>
  <cp:lastModifiedBy>财务会计部</cp:lastModifiedBy>
  <dcterms:modified xsi:type="dcterms:W3CDTF">2026-06-02T01:16:37Z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885A840455C24451B16998A0D12D1D54_12</vt:lpwstr>
  </property>
</Properties>
</file>