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附件</w:t>
      </w:r>
      <w:r>
        <w:rPr>
          <w:rFonts w:hint="eastAsia" w:ascii="仿宋_GB2312" w:hAnsi="仿宋_GB2312" w:eastAsia="仿宋_GB2312" w:cs="仿宋_GB2312"/>
          <w:color w:val="auto"/>
          <w:sz w:val="32"/>
          <w:szCs w:val="32"/>
          <w:lang w:val="en-US" w:eastAsia="zh-CN"/>
        </w:rPr>
        <w:t>17</w:t>
      </w:r>
      <w:bookmarkStart w:id="0" w:name="_GoBack"/>
      <w:bookmarkEnd w:id="0"/>
      <w:r>
        <w:rPr>
          <w:rFonts w:hint="eastAsia" w:ascii="仿宋_GB2312" w:hAnsi="仿宋_GB2312" w:eastAsia="仿宋_GB2312" w:cs="仿宋_GB2312"/>
          <w:color w:val="auto"/>
          <w:sz w:val="32"/>
          <w:szCs w:val="32"/>
        </w:rPr>
        <w:t>：</w:t>
      </w:r>
    </w:p>
    <w:p>
      <w:pPr>
        <w:jc w:val="center"/>
        <w:rPr>
          <w:rFonts w:hint="eastAsia" w:ascii="微软简标宋" w:hAnsi="微软简标宋" w:eastAsia="微软简标宋" w:cs="微软简标宋"/>
          <w:color w:val="auto"/>
          <w:sz w:val="44"/>
          <w:szCs w:val="44"/>
        </w:rPr>
      </w:pPr>
      <w:r>
        <w:rPr>
          <w:rFonts w:hint="eastAsia" w:ascii="Times New Roman" w:hAnsi="Times New Roman" w:eastAsia="微软简标宋" w:cs="微软简标宋"/>
          <w:color w:val="auto"/>
          <w:sz w:val="44"/>
          <w:szCs w:val="44"/>
        </w:rPr>
        <w:t>202</w:t>
      </w:r>
      <w:r>
        <w:rPr>
          <w:rFonts w:hint="eastAsia" w:ascii="Times New Roman" w:hAnsi="Times New Roman" w:eastAsia="微软简标宋" w:cs="微软简标宋"/>
          <w:color w:val="auto"/>
          <w:sz w:val="44"/>
          <w:szCs w:val="44"/>
          <w:lang w:val="en-US" w:eastAsia="zh-CN"/>
        </w:rPr>
        <w:t>4</w:t>
      </w:r>
      <w:r>
        <w:rPr>
          <w:rFonts w:hint="eastAsia" w:ascii="微软简标宋" w:hAnsi="微软简标宋" w:eastAsia="微软简标宋" w:cs="微软简标宋"/>
          <w:color w:val="auto"/>
          <w:sz w:val="44"/>
          <w:szCs w:val="44"/>
        </w:rPr>
        <w:t>年中山市卫生健康局石岐分局国家基本公共卫生服务-高血压和2型糖尿病患者健康管理、老年健康与医养结合服务管理、精神障碍患者管理采购项目验收考核办法</w:t>
      </w:r>
    </w:p>
    <w:p>
      <w:pPr>
        <w:pStyle w:val="7"/>
        <w:rPr>
          <w:rFonts w:hint="eastAsia"/>
          <w:color w:val="auto"/>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为了提高中山市卫生健康局石岐分局国家基本公共卫生服务-高血压和2型糖尿病患者健康管理</w:t>
      </w:r>
      <w:r>
        <w:rPr>
          <w:rFonts w:hint="eastAsia" w:ascii="仿宋_GB2312" w:hAnsi="仿宋_GB2312" w:eastAsia="仿宋_GB2312" w:cs="仿宋_GB2312"/>
          <w:color w:val="auto"/>
          <w:sz w:val="32"/>
          <w:szCs w:val="32"/>
          <w:lang w:eastAsia="zh-CN"/>
        </w:rPr>
        <w:t>、老年健康与医养结合服务管理、精神障碍患者管理</w:t>
      </w:r>
      <w:r>
        <w:rPr>
          <w:rFonts w:hint="eastAsia" w:ascii="仿宋_GB2312" w:hAnsi="仿宋_GB2312" w:eastAsia="仿宋_GB2312" w:cs="仿宋_GB2312"/>
          <w:color w:val="auto"/>
          <w:sz w:val="32"/>
          <w:szCs w:val="32"/>
          <w:lang w:val="en-US" w:eastAsia="zh-CN"/>
        </w:rPr>
        <w:t>采购服务质量，</w:t>
      </w:r>
      <w:r>
        <w:rPr>
          <w:rFonts w:hint="eastAsia" w:ascii="仿宋_GB2312" w:hAnsi="仿宋_GB2312" w:eastAsia="仿宋_GB2312" w:cs="仿宋_GB2312"/>
          <w:color w:val="auto"/>
          <w:sz w:val="32"/>
          <w:szCs w:val="32"/>
        </w:rPr>
        <w:t>真实有效评估项目效果，中山市卫生健康局石岐分局与</w:t>
      </w:r>
      <w:r>
        <w:rPr>
          <w:rFonts w:hint="eastAsia" w:ascii="仿宋_GB2312" w:hAnsi="仿宋_GB2312" w:eastAsia="仿宋_GB2312" w:cs="仿宋_GB2312"/>
          <w:color w:val="auto"/>
          <w:sz w:val="32"/>
          <w:szCs w:val="32"/>
          <w:lang w:val="en-US" w:eastAsia="zh-CN"/>
        </w:rPr>
        <w:t>**</w:t>
      </w:r>
      <w:r>
        <w:rPr>
          <w:rFonts w:hint="eastAsia" w:ascii="仿宋_GB2312" w:hAnsi="仿宋_GB2312" w:eastAsia="仿宋_GB2312" w:cs="仿宋_GB2312"/>
          <w:color w:val="auto"/>
          <w:sz w:val="32"/>
          <w:szCs w:val="32"/>
        </w:rPr>
        <w:t>有限公司根据项目内容，经过双方讨论，制定以下购买服务项目验收考核办法。具体考核方法如下：</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一、</w:t>
      </w:r>
      <w:r>
        <w:rPr>
          <w:rFonts w:hint="eastAsia" w:ascii="仿宋_GB2312" w:hAnsi="仿宋_GB2312" w:eastAsia="仿宋_GB2312" w:cs="仿宋_GB2312"/>
          <w:color w:val="auto"/>
          <w:sz w:val="32"/>
          <w:szCs w:val="32"/>
        </w:rPr>
        <w:t>项目结束后15个工作日内，双方指定项目对接人及评估人员根据具体内容对相应的数据进行验收和考核。</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二、</w:t>
      </w:r>
      <w:r>
        <w:rPr>
          <w:rFonts w:hint="eastAsia" w:ascii="仿宋_GB2312" w:hAnsi="仿宋_GB2312" w:eastAsia="仿宋_GB2312" w:cs="仿宋_GB2312"/>
          <w:color w:val="auto"/>
          <w:sz w:val="32"/>
          <w:szCs w:val="32"/>
        </w:rPr>
        <w:t>考核的具体内容按《202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年中山市卫生健康局石岐分局国家基本公共卫生服务</w:t>
      </w:r>
      <w:r>
        <w:rPr>
          <w:rFonts w:hint="eastAsia" w:ascii="仿宋_GB2312" w:hAnsi="仿宋_GB2312" w:eastAsia="仿宋_GB2312" w:cs="仿宋_GB2312"/>
          <w:color w:val="auto"/>
          <w:sz w:val="32"/>
          <w:szCs w:val="32"/>
          <w:lang w:eastAsia="zh-CN"/>
        </w:rPr>
        <w:t>项目</w:t>
      </w:r>
      <w:r>
        <w:rPr>
          <w:rFonts w:hint="eastAsia" w:ascii="仿宋_GB2312" w:hAnsi="仿宋_GB2312" w:eastAsia="仿宋_GB2312" w:cs="仿宋_GB2312"/>
          <w:color w:val="auto"/>
          <w:sz w:val="32"/>
          <w:szCs w:val="32"/>
        </w:rPr>
        <w:t>》执行。</w:t>
      </w:r>
    </w:p>
    <w:p>
      <w:pPr>
        <w:ind w:firstLine="640" w:firstLineChars="200"/>
        <w:rPr>
          <w:rFonts w:hint="eastAsia" w:ascii="仿宋_GB2312" w:hAnsi="仿宋_GB2312" w:eastAsia="仿宋_GB2312" w:cs="仿宋_GB2312"/>
          <w:color w:val="auto"/>
          <w:sz w:val="32"/>
          <w:szCs w:val="32"/>
          <w:lang w:val="en-US" w:eastAsia="zh-CN"/>
        </w:rPr>
      </w:pPr>
      <w:r>
        <w:rPr>
          <w:rFonts w:hint="eastAsia" w:ascii="仿宋_GB2312" w:hAnsi="仿宋_GB2312" w:eastAsia="仿宋_GB2312" w:cs="仿宋_GB2312"/>
          <w:color w:val="auto"/>
          <w:sz w:val="32"/>
          <w:szCs w:val="32"/>
          <w:lang w:eastAsia="zh-CN"/>
        </w:rPr>
        <w:t>三、</w:t>
      </w:r>
      <w:r>
        <w:rPr>
          <w:rFonts w:hint="eastAsia" w:ascii="仿宋_GB2312" w:hAnsi="仿宋_GB2312" w:eastAsia="仿宋_GB2312" w:cs="仿宋_GB2312"/>
          <w:color w:val="auto"/>
          <w:sz w:val="32"/>
          <w:szCs w:val="32"/>
        </w:rPr>
        <w:t>按照《202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年中山市卫生健康局石岐分局国家基本公共卫生服务</w:t>
      </w:r>
      <w:r>
        <w:rPr>
          <w:rFonts w:hint="eastAsia" w:ascii="仿宋_GB2312" w:hAnsi="仿宋_GB2312" w:eastAsia="仿宋_GB2312" w:cs="仿宋_GB2312"/>
          <w:color w:val="auto"/>
          <w:sz w:val="32"/>
          <w:szCs w:val="32"/>
          <w:lang w:val="en-US" w:eastAsia="zh-CN"/>
        </w:rPr>
        <w:t>项目</w:t>
      </w:r>
      <w:r>
        <w:rPr>
          <w:rFonts w:hint="eastAsia" w:ascii="仿宋_GB2312" w:hAnsi="仿宋_GB2312" w:eastAsia="仿宋_GB2312" w:cs="仿宋_GB2312"/>
          <w:color w:val="auto"/>
          <w:sz w:val="32"/>
          <w:szCs w:val="32"/>
        </w:rPr>
        <w:t>》按分值进行</w:t>
      </w:r>
      <w:r>
        <w:rPr>
          <w:rFonts w:hint="eastAsia" w:ascii="仿宋_GB2312" w:hAnsi="仿宋_GB2312" w:eastAsia="仿宋_GB2312" w:cs="仿宋_GB2312"/>
          <w:color w:val="auto"/>
          <w:sz w:val="32"/>
          <w:szCs w:val="32"/>
          <w:lang w:val="en-US" w:eastAsia="zh-CN"/>
        </w:rPr>
        <w:t>考核</w:t>
      </w:r>
      <w:r>
        <w:rPr>
          <w:rFonts w:hint="eastAsia" w:ascii="仿宋_GB2312" w:hAnsi="仿宋_GB2312" w:eastAsia="仿宋_GB2312" w:cs="仿宋_GB2312"/>
          <w:color w:val="auto"/>
          <w:sz w:val="32"/>
          <w:szCs w:val="32"/>
        </w:rPr>
        <w:t>，</w:t>
      </w:r>
      <w:r>
        <w:rPr>
          <w:rFonts w:hint="eastAsia" w:ascii="仿宋_GB2312" w:hAnsi="仿宋_GB2312" w:eastAsia="仿宋_GB2312" w:cs="仿宋_GB2312"/>
          <w:color w:val="auto"/>
          <w:sz w:val="32"/>
          <w:szCs w:val="32"/>
          <w:lang w:val="en-US" w:eastAsia="zh-CN"/>
        </w:rPr>
        <w:t>考核结果按百分制分为优秀(90分-100分) 、良好(80-89分) 、合格(60-80分) 和差 (60分以下) 四个等级。被评为优秀的，按核定项目经费予以100%拨付；被评为良好的，按核定项目经费的90%予以拨付；被评为合格的，按核定项目经费的80%予以拨付；被评为差的，按核定项目经费的70%予以拨付。</w:t>
      </w:r>
    </w:p>
    <w:p>
      <w:pPr>
        <w:ind w:firstLine="640" w:firstLineChars="200"/>
        <w:rPr>
          <w:rFonts w:hint="eastAsia" w:ascii="仿宋_GB2312" w:hAnsi="仿宋_GB2312" w:eastAsia="仿宋_GB2312" w:cs="仿宋_GB2312"/>
          <w:color w:val="auto"/>
          <w:sz w:val="32"/>
          <w:szCs w:val="32"/>
        </w:rPr>
      </w:pP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考核结果和合同资金的核算挂钩，具体可参见合同正文。</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考核过程中若双方存在疑问或者争议，可协商进行调整。</w:t>
      </w: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2"/>
        <w:rPr>
          <w:color w:val="auto"/>
        </w:rPr>
      </w:pPr>
    </w:p>
    <w:p>
      <w:pPr>
        <w:pStyle w:val="3"/>
        <w:rPr>
          <w:color w:val="auto"/>
        </w:rPr>
      </w:pPr>
    </w:p>
    <w:p>
      <w:pPr>
        <w:rPr>
          <w:color w:val="auto"/>
        </w:rPr>
      </w:pPr>
    </w:p>
    <w:p>
      <w:pPr>
        <w:pStyle w:val="8"/>
        <w:jc w:val="both"/>
        <w:rPr>
          <w:rFonts w:hint="default" w:eastAsiaTheme="minorEastAsia"/>
          <w:color w:val="auto"/>
          <w:sz w:val="18"/>
          <w:szCs w:val="18"/>
          <w:lang w:val="en-US" w:eastAsia="zh-CN"/>
        </w:rPr>
      </w:pPr>
      <w:r>
        <w:rPr>
          <w:rFonts w:hint="eastAsia"/>
          <w:color w:val="auto"/>
          <w:sz w:val="18"/>
          <w:szCs w:val="18"/>
        </w:rPr>
        <w:t>（一）高血压和2型糖尿病患者健康管理</w:t>
      </w:r>
      <w:r>
        <w:rPr>
          <w:rFonts w:hint="eastAsia"/>
          <w:color w:val="auto"/>
          <w:sz w:val="18"/>
          <w:szCs w:val="18"/>
          <w:lang w:val="en-US" w:eastAsia="zh-CN"/>
        </w:rPr>
        <w:t>考核表</w:t>
      </w:r>
    </w:p>
    <w:p>
      <w:pPr>
        <w:pStyle w:val="2"/>
        <w:rPr>
          <w:color w:val="auto"/>
        </w:rPr>
      </w:pPr>
    </w:p>
    <w:p>
      <w:pPr>
        <w:rPr>
          <w:color w:val="auto"/>
        </w:rPr>
      </w:pPr>
    </w:p>
    <w:tbl>
      <w:tblPr>
        <w:tblStyle w:val="5"/>
        <w:tblW w:w="73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1"/>
        <w:gridCol w:w="1268"/>
        <w:gridCol w:w="4372"/>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721" w:type="dxa"/>
            <w:shd w:val="clear" w:color="auto" w:fill="FFFFFF"/>
            <w:vAlign w:val="center"/>
          </w:tcPr>
          <w:p>
            <w:pPr>
              <w:keepNext w:val="0"/>
              <w:keepLines w:val="0"/>
              <w:pageBreakBefore w:val="0"/>
              <w:kinsoku/>
              <w:wordWrap/>
              <w:overflowPunct/>
              <w:topLinePunct w:val="0"/>
              <w:bidi w:val="0"/>
              <w:adjustRightInd w:val="0"/>
              <w:snapToGrid w:val="0"/>
              <w:spacing w:line="336" w:lineRule="auto"/>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序号</w:t>
            </w:r>
          </w:p>
        </w:tc>
        <w:tc>
          <w:tcPr>
            <w:tcW w:w="1268" w:type="dxa"/>
            <w:shd w:val="clear" w:color="auto" w:fill="FFFFFF"/>
            <w:vAlign w:val="center"/>
          </w:tcPr>
          <w:p>
            <w:pPr>
              <w:keepNext w:val="0"/>
              <w:keepLines w:val="0"/>
              <w:pageBreakBefore w:val="0"/>
              <w:kinsoku/>
              <w:wordWrap/>
              <w:overflowPunct/>
              <w:topLinePunct w:val="0"/>
              <w:bidi w:val="0"/>
              <w:adjustRightInd w:val="0"/>
              <w:snapToGrid w:val="0"/>
              <w:spacing w:line="336" w:lineRule="auto"/>
              <w:jc w:val="center"/>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项目</w:t>
            </w:r>
          </w:p>
        </w:tc>
        <w:tc>
          <w:tcPr>
            <w:tcW w:w="4372" w:type="dxa"/>
            <w:shd w:val="clear" w:color="auto" w:fill="FFFFFF"/>
            <w:vAlign w:val="center"/>
          </w:tcPr>
          <w:p>
            <w:pPr>
              <w:keepNext w:val="0"/>
              <w:keepLines w:val="0"/>
              <w:pageBreakBefore w:val="0"/>
              <w:kinsoku/>
              <w:wordWrap/>
              <w:overflowPunct/>
              <w:topLinePunct w:val="0"/>
              <w:bidi w:val="0"/>
              <w:adjustRightInd w:val="0"/>
              <w:snapToGrid w:val="0"/>
              <w:spacing w:line="336" w:lineRule="auto"/>
              <w:jc w:val="center"/>
              <w:rPr>
                <w:rFonts w:hint="default"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考核内容</w:t>
            </w:r>
          </w:p>
        </w:tc>
        <w:tc>
          <w:tcPr>
            <w:tcW w:w="1028" w:type="dxa"/>
            <w:shd w:val="clear" w:color="auto" w:fill="FFFFFF"/>
            <w:vAlign w:val="center"/>
          </w:tcPr>
          <w:p>
            <w:pPr>
              <w:keepNext w:val="0"/>
              <w:keepLines w:val="0"/>
              <w:pageBreakBefore w:val="0"/>
              <w:kinsoku/>
              <w:wordWrap/>
              <w:overflowPunct/>
              <w:topLinePunct w:val="0"/>
              <w:bidi w:val="0"/>
              <w:adjustRightInd w:val="0"/>
              <w:snapToGrid w:val="0"/>
              <w:spacing w:line="336" w:lineRule="auto"/>
              <w:jc w:val="center"/>
              <w:rPr>
                <w:rFonts w:hint="eastAsia" w:asciiTheme="minorEastAsia" w:hAnsiTheme="minorEastAsia" w:eastAsiaTheme="minorEastAsia" w:cstheme="minorEastAsia"/>
                <w:b w:val="0"/>
                <w:bCs w:val="0"/>
                <w:color w:val="auto"/>
                <w:sz w:val="18"/>
                <w:szCs w:val="18"/>
                <w:highlight w:val="none"/>
              </w:rPr>
            </w:pPr>
            <w:r>
              <w:rPr>
                <w:rFonts w:hint="eastAsia" w:asciiTheme="minorEastAsia" w:hAnsiTheme="minorEastAsia" w:eastAsiaTheme="minorEastAsia" w:cstheme="minorEastAsia"/>
                <w:b w:val="0"/>
                <w:bCs w:val="0"/>
                <w:color w:val="auto"/>
                <w:sz w:val="18"/>
                <w:szCs w:val="18"/>
                <w:highlight w:val="none"/>
              </w:rPr>
              <w:t>考核分值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trPr>
        <w:tc>
          <w:tcPr>
            <w:tcW w:w="7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1</w:t>
            </w:r>
          </w:p>
        </w:tc>
        <w:tc>
          <w:tcPr>
            <w:tcW w:w="12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慢性病患者建档及完善率</w:t>
            </w:r>
          </w:p>
        </w:tc>
        <w:tc>
          <w:tcPr>
            <w:tcW w:w="43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1.</w:t>
            </w:r>
            <w:r>
              <w:rPr>
                <w:rFonts w:hint="eastAsia" w:asciiTheme="minorEastAsia" w:hAnsiTheme="minorEastAsia" w:eastAsiaTheme="minorEastAsia" w:cstheme="minorEastAsia"/>
                <w:b w:val="0"/>
                <w:bCs w:val="0"/>
                <w:color w:val="auto"/>
                <w:sz w:val="18"/>
                <w:szCs w:val="18"/>
              </w:rPr>
              <w:t>对就诊（含住院）的35周岁及以上</w:t>
            </w:r>
            <w:r>
              <w:rPr>
                <w:rFonts w:hint="eastAsia" w:asciiTheme="minorEastAsia" w:hAnsiTheme="minorEastAsia" w:eastAsiaTheme="minorEastAsia" w:cstheme="minorEastAsia"/>
                <w:b w:val="0"/>
                <w:bCs w:val="0"/>
                <w:color w:val="auto"/>
                <w:sz w:val="18"/>
                <w:szCs w:val="18"/>
                <w:lang w:val="en-US" w:eastAsia="zh-CN"/>
              </w:rPr>
              <w:t>高血压</w:t>
            </w:r>
            <w:r>
              <w:rPr>
                <w:rFonts w:hint="eastAsia" w:asciiTheme="minorEastAsia" w:hAnsiTheme="minorEastAsia" w:eastAsiaTheme="minorEastAsia" w:cstheme="minorEastAsia"/>
                <w:b w:val="0"/>
                <w:bCs w:val="0"/>
                <w:color w:val="auto"/>
                <w:sz w:val="18"/>
                <w:szCs w:val="18"/>
              </w:rPr>
              <w:t>病患者确认建档并纳管；完善其健康档案。建档</w:t>
            </w:r>
            <w:r>
              <w:rPr>
                <w:rFonts w:hint="eastAsia" w:asciiTheme="minorEastAsia" w:hAnsiTheme="minorEastAsia" w:eastAsiaTheme="minorEastAsia" w:cstheme="minorEastAsia"/>
                <w:b w:val="0"/>
                <w:bCs w:val="0"/>
                <w:color w:val="auto"/>
                <w:sz w:val="18"/>
                <w:szCs w:val="18"/>
                <w:lang w:val="en-US" w:eastAsia="zh-CN"/>
              </w:rPr>
              <w:t>及完善</w:t>
            </w:r>
            <w:r>
              <w:rPr>
                <w:rFonts w:hint="eastAsia" w:asciiTheme="minorEastAsia" w:hAnsiTheme="minorEastAsia" w:eastAsiaTheme="minorEastAsia" w:cstheme="minorEastAsia"/>
                <w:b w:val="0"/>
                <w:bCs w:val="0"/>
                <w:color w:val="auto"/>
                <w:sz w:val="18"/>
                <w:szCs w:val="18"/>
              </w:rPr>
              <w:t>数/就诊数≥6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15分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w:t>
            </w: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分，扣完为止。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对就诊（含住院）的35周岁及以</w:t>
            </w:r>
            <w:r>
              <w:rPr>
                <w:rFonts w:hint="eastAsia" w:asciiTheme="minorEastAsia" w:hAnsiTheme="minorEastAsia" w:eastAsiaTheme="minorEastAsia" w:cstheme="minorEastAsia"/>
                <w:b w:val="0"/>
                <w:bCs w:val="0"/>
                <w:color w:val="auto"/>
                <w:sz w:val="18"/>
                <w:szCs w:val="18"/>
                <w:lang w:val="en-US" w:eastAsia="zh-CN"/>
              </w:rPr>
              <w:t>上2型糖尿病</w:t>
            </w:r>
            <w:r>
              <w:rPr>
                <w:rFonts w:hint="eastAsia" w:asciiTheme="minorEastAsia" w:hAnsiTheme="minorEastAsia" w:eastAsiaTheme="minorEastAsia" w:cstheme="minorEastAsia"/>
                <w:b w:val="0"/>
                <w:bCs w:val="0"/>
                <w:color w:val="auto"/>
                <w:sz w:val="18"/>
                <w:szCs w:val="18"/>
              </w:rPr>
              <w:t>病患者确认建档并纳管；完善其健康档案。建档</w:t>
            </w:r>
            <w:r>
              <w:rPr>
                <w:rFonts w:hint="eastAsia" w:asciiTheme="minorEastAsia" w:hAnsiTheme="minorEastAsia" w:eastAsiaTheme="minorEastAsia" w:cstheme="minorEastAsia"/>
                <w:b w:val="0"/>
                <w:bCs w:val="0"/>
                <w:color w:val="auto"/>
                <w:sz w:val="18"/>
                <w:szCs w:val="18"/>
                <w:lang w:val="en-US" w:eastAsia="zh-CN"/>
              </w:rPr>
              <w:t>及完善</w:t>
            </w:r>
            <w:r>
              <w:rPr>
                <w:rFonts w:hint="eastAsia" w:asciiTheme="minorEastAsia" w:hAnsiTheme="minorEastAsia" w:eastAsiaTheme="minorEastAsia" w:cstheme="minorEastAsia"/>
                <w:b w:val="0"/>
                <w:bCs w:val="0"/>
                <w:color w:val="auto"/>
                <w:sz w:val="18"/>
                <w:szCs w:val="18"/>
              </w:rPr>
              <w:t>数/就诊数≥6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15分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w:t>
            </w: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分，扣完为止。</w:t>
            </w:r>
          </w:p>
        </w:tc>
        <w:tc>
          <w:tcPr>
            <w:tcW w:w="1028" w:type="dxa"/>
            <w:vAlign w:val="center"/>
          </w:tcPr>
          <w:p>
            <w:pPr>
              <w:keepNext w:val="0"/>
              <w:keepLines w:val="0"/>
              <w:pageBreakBefore w:val="0"/>
              <w:kinsoku/>
              <w:wordWrap/>
              <w:overflowPunct/>
              <w:topLinePunct w:val="0"/>
              <w:bidi w:val="0"/>
              <w:adjustRightInd w:val="0"/>
              <w:snapToGrid w:val="0"/>
              <w:spacing w:line="336" w:lineRule="auto"/>
              <w:jc w:val="center"/>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7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2</w:t>
            </w:r>
          </w:p>
        </w:tc>
        <w:tc>
          <w:tcPr>
            <w:tcW w:w="12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慢性病患者规范管理服务率</w:t>
            </w:r>
          </w:p>
        </w:tc>
        <w:tc>
          <w:tcPr>
            <w:tcW w:w="43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1.</w:t>
            </w:r>
            <w:r>
              <w:rPr>
                <w:rFonts w:hint="eastAsia" w:asciiTheme="minorEastAsia" w:hAnsiTheme="minorEastAsia" w:eastAsiaTheme="minorEastAsia" w:cstheme="minorEastAsia"/>
                <w:b w:val="0"/>
                <w:bCs w:val="0"/>
                <w:color w:val="auto"/>
                <w:sz w:val="18"/>
                <w:szCs w:val="18"/>
              </w:rPr>
              <w:t>对就诊（含住院）的在管</w:t>
            </w:r>
            <w:r>
              <w:rPr>
                <w:rFonts w:hint="eastAsia" w:asciiTheme="minorEastAsia" w:hAnsiTheme="minorEastAsia" w:eastAsiaTheme="minorEastAsia" w:cstheme="minorEastAsia"/>
                <w:b w:val="0"/>
                <w:bCs w:val="0"/>
                <w:color w:val="auto"/>
                <w:sz w:val="18"/>
                <w:szCs w:val="18"/>
                <w:lang w:val="en-US" w:eastAsia="zh-CN"/>
              </w:rPr>
              <w:t>高血压</w:t>
            </w:r>
            <w:r>
              <w:rPr>
                <w:rFonts w:hint="eastAsia" w:asciiTheme="minorEastAsia" w:hAnsiTheme="minorEastAsia" w:eastAsiaTheme="minorEastAsia" w:cstheme="minorEastAsia"/>
                <w:b w:val="0"/>
                <w:bCs w:val="0"/>
                <w:color w:val="auto"/>
                <w:sz w:val="18"/>
                <w:szCs w:val="18"/>
              </w:rPr>
              <w:t>患者按季度进行</w:t>
            </w:r>
            <w:r>
              <w:rPr>
                <w:rFonts w:hint="eastAsia" w:asciiTheme="minorEastAsia" w:hAnsiTheme="minorEastAsia" w:eastAsiaTheme="minorEastAsia" w:cstheme="minorEastAsia"/>
                <w:b w:val="0"/>
                <w:bCs w:val="0"/>
                <w:color w:val="auto"/>
                <w:sz w:val="18"/>
                <w:szCs w:val="18"/>
                <w:lang w:val="en-US" w:eastAsia="zh-CN"/>
              </w:rPr>
              <w:t>规范随访</w:t>
            </w:r>
            <w:r>
              <w:rPr>
                <w:rFonts w:hint="eastAsia" w:asciiTheme="minorEastAsia" w:hAnsiTheme="minorEastAsia" w:eastAsiaTheme="minorEastAsia" w:cstheme="minorEastAsia"/>
                <w:b w:val="0"/>
                <w:bCs w:val="0"/>
                <w:color w:val="auto"/>
                <w:sz w:val="18"/>
                <w:szCs w:val="18"/>
              </w:rPr>
              <w:t>，</w:t>
            </w:r>
            <w:r>
              <w:rPr>
                <w:rFonts w:hint="eastAsia" w:asciiTheme="minorEastAsia" w:hAnsiTheme="minorEastAsia" w:eastAsiaTheme="minorEastAsia" w:cstheme="minorEastAsia"/>
                <w:b w:val="0"/>
                <w:bCs w:val="0"/>
                <w:color w:val="auto"/>
                <w:sz w:val="18"/>
                <w:szCs w:val="18"/>
                <w:highlight w:val="none"/>
                <w:lang w:val="en-US" w:eastAsia="zh-CN"/>
              </w:rPr>
              <w:t>规范管理服务率</w:t>
            </w:r>
            <w:r>
              <w:rPr>
                <w:rFonts w:hint="eastAsia" w:asciiTheme="minorEastAsia" w:hAnsiTheme="minorEastAsia" w:eastAsiaTheme="minorEastAsia" w:cstheme="minorEastAsia"/>
                <w:b w:val="0"/>
                <w:bCs w:val="0"/>
                <w:color w:val="auto"/>
                <w:sz w:val="18"/>
                <w:szCs w:val="18"/>
              </w:rPr>
              <w:t>≥6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15分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w:t>
            </w: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分，扣完为止。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对就诊（含住院）的在管</w:t>
            </w:r>
            <w:r>
              <w:rPr>
                <w:rFonts w:hint="eastAsia" w:asciiTheme="minorEastAsia" w:hAnsiTheme="minorEastAsia" w:eastAsiaTheme="minorEastAsia" w:cstheme="minorEastAsia"/>
                <w:b w:val="0"/>
                <w:bCs w:val="0"/>
                <w:color w:val="auto"/>
                <w:sz w:val="18"/>
                <w:szCs w:val="18"/>
                <w:lang w:val="en-US" w:eastAsia="zh-CN"/>
              </w:rPr>
              <w:t>2型糖尿病</w:t>
            </w:r>
            <w:r>
              <w:rPr>
                <w:rFonts w:hint="eastAsia" w:asciiTheme="minorEastAsia" w:hAnsiTheme="minorEastAsia" w:eastAsiaTheme="minorEastAsia" w:cstheme="minorEastAsia"/>
                <w:b w:val="0"/>
                <w:bCs w:val="0"/>
                <w:color w:val="auto"/>
                <w:sz w:val="18"/>
                <w:szCs w:val="18"/>
              </w:rPr>
              <w:t>患者按季度进行</w:t>
            </w:r>
            <w:r>
              <w:rPr>
                <w:rFonts w:hint="eastAsia" w:asciiTheme="minorEastAsia" w:hAnsiTheme="minorEastAsia" w:eastAsiaTheme="minorEastAsia" w:cstheme="minorEastAsia"/>
                <w:b w:val="0"/>
                <w:bCs w:val="0"/>
                <w:color w:val="auto"/>
                <w:sz w:val="18"/>
                <w:szCs w:val="18"/>
                <w:lang w:val="en-US" w:eastAsia="zh-CN"/>
              </w:rPr>
              <w:t>规范随访</w:t>
            </w:r>
            <w:r>
              <w:rPr>
                <w:rFonts w:hint="eastAsia" w:asciiTheme="minorEastAsia" w:hAnsiTheme="minorEastAsia" w:eastAsiaTheme="minorEastAsia" w:cstheme="minorEastAsia"/>
                <w:b w:val="0"/>
                <w:bCs w:val="0"/>
                <w:color w:val="auto"/>
                <w:sz w:val="18"/>
                <w:szCs w:val="18"/>
              </w:rPr>
              <w:t>，</w:t>
            </w:r>
            <w:r>
              <w:rPr>
                <w:rFonts w:hint="eastAsia" w:asciiTheme="minorEastAsia" w:hAnsiTheme="minorEastAsia" w:eastAsiaTheme="minorEastAsia" w:cstheme="minorEastAsia"/>
                <w:b w:val="0"/>
                <w:bCs w:val="0"/>
                <w:color w:val="auto"/>
                <w:sz w:val="18"/>
                <w:szCs w:val="18"/>
                <w:highlight w:val="none"/>
                <w:lang w:val="en-US" w:eastAsia="zh-CN"/>
              </w:rPr>
              <w:t>规范管理服务率</w:t>
            </w:r>
            <w:r>
              <w:rPr>
                <w:rFonts w:hint="eastAsia" w:asciiTheme="minorEastAsia" w:hAnsiTheme="minorEastAsia" w:eastAsiaTheme="minorEastAsia" w:cstheme="minorEastAsia"/>
                <w:b w:val="0"/>
                <w:bCs w:val="0"/>
                <w:color w:val="auto"/>
                <w:sz w:val="18"/>
                <w:szCs w:val="18"/>
              </w:rPr>
              <w:t>≥6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15分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w:t>
            </w: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分，扣完为止。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p>
        </w:tc>
        <w:tc>
          <w:tcPr>
            <w:tcW w:w="10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30分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6" w:hRule="atLeast"/>
        </w:trPr>
        <w:tc>
          <w:tcPr>
            <w:tcW w:w="7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3</w:t>
            </w:r>
          </w:p>
        </w:tc>
        <w:tc>
          <w:tcPr>
            <w:tcW w:w="12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慢性病患者体检率</w:t>
            </w:r>
          </w:p>
        </w:tc>
        <w:tc>
          <w:tcPr>
            <w:tcW w:w="43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1.</w:t>
            </w:r>
            <w:r>
              <w:rPr>
                <w:rFonts w:hint="eastAsia" w:asciiTheme="minorEastAsia" w:hAnsiTheme="minorEastAsia" w:eastAsiaTheme="minorEastAsia" w:cstheme="minorEastAsia"/>
                <w:b w:val="0"/>
                <w:bCs w:val="0"/>
                <w:color w:val="auto"/>
                <w:sz w:val="18"/>
                <w:szCs w:val="18"/>
              </w:rPr>
              <w:t>对就诊（含住院）的在管</w:t>
            </w:r>
            <w:r>
              <w:rPr>
                <w:rFonts w:hint="eastAsia" w:asciiTheme="minorEastAsia" w:hAnsiTheme="minorEastAsia" w:eastAsiaTheme="minorEastAsia" w:cstheme="minorEastAsia"/>
                <w:b w:val="0"/>
                <w:bCs w:val="0"/>
                <w:color w:val="auto"/>
                <w:sz w:val="18"/>
                <w:szCs w:val="18"/>
                <w:lang w:val="en-US" w:eastAsia="zh-CN"/>
              </w:rPr>
              <w:t>高血压</w:t>
            </w:r>
            <w:r>
              <w:rPr>
                <w:rFonts w:hint="eastAsia" w:asciiTheme="minorEastAsia" w:hAnsiTheme="minorEastAsia" w:eastAsiaTheme="minorEastAsia" w:cstheme="minorEastAsia"/>
                <w:b w:val="0"/>
                <w:bCs w:val="0"/>
                <w:color w:val="auto"/>
                <w:sz w:val="18"/>
                <w:szCs w:val="18"/>
              </w:rPr>
              <w:t>患者按年度进行</w:t>
            </w:r>
            <w:r>
              <w:rPr>
                <w:rFonts w:hint="eastAsia" w:asciiTheme="minorEastAsia" w:hAnsiTheme="minorEastAsia" w:eastAsiaTheme="minorEastAsia" w:cstheme="minorEastAsia"/>
                <w:b w:val="0"/>
                <w:bCs w:val="0"/>
                <w:color w:val="auto"/>
                <w:sz w:val="18"/>
                <w:szCs w:val="18"/>
                <w:lang w:val="en-US" w:eastAsia="zh-CN"/>
              </w:rPr>
              <w:t>一次免费</w:t>
            </w:r>
            <w:r>
              <w:rPr>
                <w:rFonts w:hint="eastAsia" w:asciiTheme="minorEastAsia" w:hAnsiTheme="minorEastAsia" w:eastAsiaTheme="minorEastAsia" w:cstheme="minorEastAsia"/>
                <w:b w:val="0"/>
                <w:bCs w:val="0"/>
                <w:color w:val="auto"/>
                <w:sz w:val="18"/>
                <w:szCs w:val="18"/>
              </w:rPr>
              <w:t>体检，体检率≥6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10分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。每降低5%，扣1分，扣完为止。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lang w:val="en-US" w:eastAsia="zh-CN"/>
              </w:rPr>
              <w:t>2.</w:t>
            </w:r>
            <w:r>
              <w:rPr>
                <w:rFonts w:hint="eastAsia" w:asciiTheme="minorEastAsia" w:hAnsiTheme="minorEastAsia" w:eastAsiaTheme="minorEastAsia" w:cstheme="minorEastAsia"/>
                <w:b w:val="0"/>
                <w:bCs w:val="0"/>
                <w:color w:val="auto"/>
                <w:sz w:val="18"/>
                <w:szCs w:val="18"/>
              </w:rPr>
              <w:t>对就诊（含住院）的在管</w:t>
            </w:r>
            <w:r>
              <w:rPr>
                <w:rFonts w:hint="eastAsia" w:asciiTheme="minorEastAsia" w:hAnsiTheme="minorEastAsia" w:eastAsiaTheme="minorEastAsia" w:cstheme="minorEastAsia"/>
                <w:b w:val="0"/>
                <w:bCs w:val="0"/>
                <w:color w:val="auto"/>
                <w:sz w:val="18"/>
                <w:szCs w:val="18"/>
                <w:lang w:val="en-US" w:eastAsia="zh-CN"/>
              </w:rPr>
              <w:t>2型糖尿病</w:t>
            </w:r>
            <w:r>
              <w:rPr>
                <w:rFonts w:hint="eastAsia" w:asciiTheme="minorEastAsia" w:hAnsiTheme="minorEastAsia" w:eastAsiaTheme="minorEastAsia" w:cstheme="minorEastAsia"/>
                <w:b w:val="0"/>
                <w:bCs w:val="0"/>
                <w:color w:val="auto"/>
                <w:sz w:val="18"/>
                <w:szCs w:val="18"/>
              </w:rPr>
              <w:t>患者按年度进行</w:t>
            </w:r>
            <w:r>
              <w:rPr>
                <w:rFonts w:hint="eastAsia" w:asciiTheme="minorEastAsia" w:hAnsiTheme="minorEastAsia" w:eastAsiaTheme="minorEastAsia" w:cstheme="minorEastAsia"/>
                <w:b w:val="0"/>
                <w:bCs w:val="0"/>
                <w:color w:val="auto"/>
                <w:sz w:val="18"/>
                <w:szCs w:val="18"/>
                <w:lang w:val="en-US" w:eastAsia="zh-CN"/>
              </w:rPr>
              <w:t>一次免费</w:t>
            </w:r>
            <w:r>
              <w:rPr>
                <w:rFonts w:hint="eastAsia" w:asciiTheme="minorEastAsia" w:hAnsiTheme="minorEastAsia" w:eastAsiaTheme="minorEastAsia" w:cstheme="minorEastAsia"/>
                <w:b w:val="0"/>
                <w:bCs w:val="0"/>
                <w:color w:val="auto"/>
                <w:sz w:val="18"/>
                <w:szCs w:val="18"/>
              </w:rPr>
              <w:t>体检，体检率≥6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lang w:val="en-US" w:eastAsia="zh-CN"/>
              </w:rPr>
              <w:t>10分</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。每降低5%，扣1分，扣完为止。</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p>
        </w:tc>
        <w:tc>
          <w:tcPr>
            <w:tcW w:w="10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6" w:hRule="atLeast"/>
        </w:trPr>
        <w:tc>
          <w:tcPr>
            <w:tcW w:w="721"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4</w:t>
            </w:r>
          </w:p>
        </w:tc>
        <w:tc>
          <w:tcPr>
            <w:tcW w:w="126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质量控制</w:t>
            </w:r>
          </w:p>
        </w:tc>
        <w:tc>
          <w:tcPr>
            <w:tcW w:w="4372" w:type="dxa"/>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Theme="minorEastAsia" w:hAnsiTheme="minorEastAsia" w:eastAsiaTheme="minorEastAsia" w:cstheme="minorEastAsia"/>
                <w:b w:val="0"/>
                <w:bCs w:val="0"/>
                <w:color w:val="auto"/>
                <w:sz w:val="18"/>
                <w:szCs w:val="18"/>
              </w:rPr>
            </w:pPr>
            <w:r>
              <w:rPr>
                <w:rFonts w:hint="eastAsia" w:asciiTheme="minorEastAsia" w:hAnsiTheme="minorEastAsia" w:eastAsiaTheme="minorEastAsia" w:cstheme="minorEastAsia"/>
                <w:b w:val="0"/>
                <w:bCs w:val="0"/>
                <w:color w:val="auto"/>
                <w:sz w:val="18"/>
                <w:szCs w:val="18"/>
              </w:rPr>
              <w:t>抽查高血压和糖尿病患者各20名，通过面谈或者电话访谈的方式，核实是否有按照规范要求开展管理工作</w:t>
            </w:r>
            <w:r>
              <w:rPr>
                <w:rFonts w:hint="eastAsia" w:asciiTheme="minorEastAsia" w:hAnsiTheme="minorEastAsia" w:eastAsiaTheme="minorEastAsia" w:cstheme="minorEastAsia"/>
                <w:b w:val="0"/>
                <w:bCs w:val="0"/>
                <w:color w:val="auto"/>
                <w:sz w:val="18"/>
                <w:szCs w:val="18"/>
                <w:lang w:eastAsia="zh-CN"/>
              </w:rPr>
              <w:t>。</w:t>
            </w:r>
            <w:r>
              <w:rPr>
                <w:rFonts w:hint="eastAsia" w:asciiTheme="minorEastAsia" w:hAnsiTheme="minorEastAsia" w:eastAsiaTheme="minorEastAsia" w:cstheme="minorEastAsia"/>
                <w:b w:val="0"/>
                <w:bCs w:val="0"/>
                <w:color w:val="auto"/>
                <w:sz w:val="18"/>
                <w:szCs w:val="18"/>
              </w:rPr>
              <w:t>规范管理率≥6</w:t>
            </w:r>
            <w:r>
              <w:rPr>
                <w:rFonts w:hint="eastAsia" w:asciiTheme="minorEastAsia" w:hAnsiTheme="minorEastAsia" w:eastAsiaTheme="minorEastAsia" w:cstheme="minorEastAsia"/>
                <w:b w:val="0"/>
                <w:bCs w:val="0"/>
                <w:color w:val="auto"/>
                <w:sz w:val="18"/>
                <w:szCs w:val="18"/>
                <w:lang w:val="en-US" w:eastAsia="zh-CN"/>
              </w:rPr>
              <w:t>4</w:t>
            </w:r>
            <w:r>
              <w:rPr>
                <w:rFonts w:hint="eastAsia" w:asciiTheme="minorEastAsia" w:hAnsiTheme="minorEastAsia" w:eastAsiaTheme="minorEastAsia" w:cstheme="minorEastAsia"/>
                <w:b w:val="0"/>
                <w:bCs w:val="0"/>
                <w:color w:val="auto"/>
                <w:sz w:val="18"/>
                <w:szCs w:val="18"/>
              </w:rPr>
              <w:t>%得满分，每降低5%，扣1分，扣完为止。</w:t>
            </w:r>
          </w:p>
        </w:tc>
        <w:tc>
          <w:tcPr>
            <w:tcW w:w="1028" w:type="dxa"/>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989" w:type="dxa"/>
            <w:gridSpan w:val="2"/>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heme="minorEastAsia" w:hAnsiTheme="minorEastAsia" w:eastAsiaTheme="minorEastAsia" w:cstheme="minorEastAsia"/>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总分</w:t>
            </w:r>
          </w:p>
        </w:tc>
        <w:tc>
          <w:tcPr>
            <w:tcW w:w="5400" w:type="dxa"/>
            <w:gridSpan w:val="2"/>
            <w:vAlign w:val="center"/>
          </w:tcPr>
          <w:p>
            <w:pPr>
              <w:spacing w:line="480" w:lineRule="exact"/>
              <w:jc w:val="center"/>
              <w:rPr>
                <w:rFonts w:hint="default" w:asciiTheme="minorEastAsia" w:hAnsiTheme="minorEastAsia" w:eastAsiaTheme="minorEastAsia" w:cstheme="minorEastAsia"/>
                <w:color w:val="auto"/>
                <w:sz w:val="18"/>
                <w:szCs w:val="18"/>
                <w:lang w:val="en-US" w:eastAsia="zh-CN"/>
              </w:rPr>
            </w:pPr>
            <w:r>
              <w:rPr>
                <w:rFonts w:hint="eastAsia" w:asciiTheme="minorEastAsia" w:hAnsiTheme="minorEastAsia" w:eastAsiaTheme="minorEastAsia" w:cstheme="minorEastAsia"/>
                <w:color w:val="auto"/>
                <w:sz w:val="18"/>
                <w:szCs w:val="18"/>
                <w:lang w:val="en-US" w:eastAsia="zh-CN"/>
              </w:rPr>
              <w:t>100分</w:t>
            </w:r>
          </w:p>
        </w:tc>
      </w:tr>
    </w:tbl>
    <w:p>
      <w:pPr>
        <w:pStyle w:val="2"/>
        <w:rPr>
          <w:color w:val="auto"/>
        </w:rPr>
      </w:pPr>
    </w:p>
    <w:p>
      <w:pPr>
        <w:pStyle w:val="3"/>
        <w:rPr>
          <w:color w:val="auto"/>
        </w:rPr>
      </w:pPr>
    </w:p>
    <w:p>
      <w:pPr>
        <w:pStyle w:val="2"/>
        <w:keepNext w:val="0"/>
        <w:keepLines w:val="0"/>
        <w:pageBreakBefore w:val="0"/>
        <w:kinsoku/>
        <w:wordWrap/>
        <w:overflowPunct/>
        <w:topLinePunct w:val="0"/>
        <w:autoSpaceDE/>
        <w:autoSpaceDN/>
        <w:bidi w:val="0"/>
        <w:adjustRightInd w:val="0"/>
        <w:snapToGrid w:val="0"/>
        <w:spacing w:line="336" w:lineRule="auto"/>
        <w:ind w:firstLine="384" w:firstLineChars="200"/>
        <w:textAlignment w:val="auto"/>
        <w:rPr>
          <w:rFonts w:hint="eastAsia" w:ascii="宋体" w:hAnsi="宋体" w:eastAsia="宋体" w:cs="宋体"/>
          <w:b w:val="0"/>
          <w:bCs w:val="0"/>
          <w:color w:val="auto"/>
          <w:spacing w:val="6"/>
          <w:sz w:val="18"/>
          <w:szCs w:val="18"/>
          <w:lang w:eastAsia="zh-CN"/>
        </w:rPr>
      </w:pPr>
    </w:p>
    <w:p>
      <w:pPr>
        <w:pStyle w:val="2"/>
        <w:keepNext w:val="0"/>
        <w:keepLines w:val="0"/>
        <w:pageBreakBefore w:val="0"/>
        <w:numPr>
          <w:ilvl w:val="0"/>
          <w:numId w:val="1"/>
        </w:numPr>
        <w:kinsoku/>
        <w:wordWrap/>
        <w:overflowPunct/>
        <w:topLinePunct w:val="0"/>
        <w:autoSpaceDE/>
        <w:autoSpaceDN/>
        <w:bidi w:val="0"/>
        <w:adjustRightInd w:val="0"/>
        <w:snapToGrid w:val="0"/>
        <w:spacing w:line="336" w:lineRule="auto"/>
        <w:textAlignment w:val="auto"/>
        <w:rPr>
          <w:rFonts w:hint="eastAsia"/>
          <w:color w:val="auto"/>
          <w:sz w:val="18"/>
          <w:szCs w:val="18"/>
          <w:lang w:val="en-US" w:eastAsia="zh-CN"/>
        </w:rPr>
      </w:pPr>
      <w:r>
        <w:rPr>
          <w:rFonts w:hint="eastAsia" w:ascii="宋体" w:hAnsi="宋体" w:eastAsia="宋体" w:cs="宋体"/>
          <w:b w:val="0"/>
          <w:bCs w:val="0"/>
          <w:color w:val="auto"/>
          <w:spacing w:val="6"/>
          <w:sz w:val="18"/>
          <w:szCs w:val="18"/>
        </w:rPr>
        <w:t>老年健康</w:t>
      </w:r>
      <w:r>
        <w:rPr>
          <w:rFonts w:hint="eastAsia" w:ascii="宋体" w:hAnsi="宋体" w:eastAsia="宋体" w:cs="宋体"/>
          <w:b w:val="0"/>
          <w:bCs w:val="0"/>
          <w:color w:val="auto"/>
          <w:spacing w:val="6"/>
          <w:sz w:val="18"/>
          <w:szCs w:val="18"/>
          <w:lang w:val="en-US" w:eastAsia="zh-CN"/>
        </w:rPr>
        <w:t>与医养结合服务</w:t>
      </w:r>
      <w:r>
        <w:rPr>
          <w:rFonts w:hint="eastAsia" w:ascii="宋体" w:hAnsi="宋体" w:eastAsia="宋体" w:cs="宋体"/>
          <w:b w:val="0"/>
          <w:bCs w:val="0"/>
          <w:color w:val="auto"/>
          <w:spacing w:val="6"/>
          <w:sz w:val="18"/>
          <w:szCs w:val="18"/>
        </w:rPr>
        <w:t>管理</w:t>
      </w:r>
      <w:r>
        <w:rPr>
          <w:rFonts w:hint="eastAsia"/>
          <w:color w:val="auto"/>
          <w:sz w:val="18"/>
          <w:szCs w:val="18"/>
          <w:lang w:val="en-US" w:eastAsia="zh-CN"/>
        </w:rPr>
        <w:t>考核表</w:t>
      </w:r>
    </w:p>
    <w:p>
      <w:pPr>
        <w:pStyle w:val="3"/>
        <w:widowControl w:val="0"/>
        <w:numPr>
          <w:ilvl w:val="0"/>
          <w:numId w:val="0"/>
        </w:numPr>
        <w:jc w:val="left"/>
        <w:rPr>
          <w:rFonts w:hint="eastAsia"/>
          <w:color w:val="auto"/>
        </w:rPr>
      </w:pPr>
    </w:p>
    <w:tbl>
      <w:tblPr>
        <w:tblStyle w:val="5"/>
        <w:tblpPr w:leftFromText="180" w:rightFromText="180" w:vertAnchor="text" w:horzAnchor="page" w:tblpXSpec="center" w:tblpY="210"/>
        <w:tblOverlap w:val="never"/>
        <w:tblW w:w="72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343"/>
        <w:gridCol w:w="3800"/>
        <w:gridCol w:w="13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04"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Times New Roman" w:hAnsi="Times New Roman" w:eastAsia="黑体" w:cs="黑体"/>
                <w:b w:val="0"/>
                <w:bCs w:val="0"/>
                <w:color w:val="auto"/>
                <w:sz w:val="18"/>
                <w:szCs w:val="18"/>
                <w:highlight w:val="none"/>
              </w:rPr>
            </w:pPr>
            <w:r>
              <w:rPr>
                <w:rFonts w:hint="eastAsia" w:ascii="宋体" w:hAnsi="宋体" w:eastAsia="宋体" w:cs="宋体"/>
                <w:b w:val="0"/>
                <w:bCs w:val="0"/>
                <w:color w:val="auto"/>
                <w:sz w:val="18"/>
                <w:szCs w:val="18"/>
                <w:highlight w:val="none"/>
                <w:lang w:val="en-US" w:eastAsia="zh-CN"/>
              </w:rPr>
              <w:t>序号</w:t>
            </w:r>
          </w:p>
        </w:tc>
        <w:tc>
          <w:tcPr>
            <w:tcW w:w="1343"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lang w:val="en-US" w:eastAsia="zh-CN"/>
              </w:rPr>
              <w:t>项目</w:t>
            </w:r>
          </w:p>
        </w:tc>
        <w:tc>
          <w:tcPr>
            <w:tcW w:w="3800"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rPr>
              <w:t>内容</w:t>
            </w:r>
            <w:r>
              <w:rPr>
                <w:rFonts w:hint="eastAsia" w:ascii="宋体" w:hAnsi="宋体" w:cs="宋体"/>
                <w:b w:val="0"/>
                <w:bCs w:val="0"/>
                <w:color w:val="auto"/>
                <w:sz w:val="18"/>
                <w:szCs w:val="18"/>
                <w:highlight w:val="none"/>
                <w:lang w:val="en-US" w:eastAsia="zh-CN"/>
              </w:rPr>
              <w:t>及指标</w:t>
            </w:r>
          </w:p>
        </w:tc>
        <w:tc>
          <w:tcPr>
            <w:tcW w:w="1320"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宋体" w:hAnsi="宋体" w:eastAsia="宋体" w:cs="宋体"/>
                <w:b w:val="0"/>
                <w:bCs w:val="0"/>
                <w:color w:val="auto"/>
                <w:sz w:val="18"/>
                <w:szCs w:val="18"/>
                <w:highlight w:val="none"/>
                <w:lang w:eastAsia="zh-CN"/>
              </w:rPr>
            </w:pPr>
            <w:r>
              <w:rPr>
                <w:rFonts w:hint="eastAsia" w:ascii="宋体" w:hAnsi="宋体" w:eastAsia="宋体" w:cs="宋体"/>
                <w:b w:val="0"/>
                <w:bCs w:val="0"/>
                <w:color w:val="auto"/>
                <w:sz w:val="18"/>
                <w:szCs w:val="18"/>
                <w:highlight w:val="none"/>
                <w:lang w:eastAsia="zh-CN"/>
              </w:rPr>
              <w:t>考核分值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b w:val="0"/>
                <w:bCs w:val="0"/>
                <w:color w:val="auto"/>
                <w:sz w:val="18"/>
                <w:szCs w:val="18"/>
                <w:highlight w:val="none"/>
                <w:lang w:val="en-US" w:eastAsia="zh-CN"/>
              </w:rPr>
            </w:pPr>
            <w:r>
              <w:rPr>
                <w:rFonts w:hint="eastAsia" w:ascii="Times New Roman" w:hAnsi="Times New Roman" w:eastAsia="仿宋_GB2312" w:cs="Times New Roman"/>
                <w:b w:val="0"/>
                <w:bCs w:val="0"/>
                <w:color w:val="auto"/>
                <w:sz w:val="18"/>
                <w:szCs w:val="18"/>
                <w:highlight w:val="none"/>
                <w:lang w:val="en-US" w:eastAsia="zh-CN"/>
              </w:rPr>
              <w:t>1</w:t>
            </w:r>
          </w:p>
        </w:tc>
        <w:tc>
          <w:tcPr>
            <w:tcW w:w="13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65岁及以上老年人医养结合服务</w:t>
            </w:r>
          </w:p>
        </w:tc>
        <w:tc>
          <w:tcPr>
            <w:tcW w:w="38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w:t>
            </w:r>
            <w:r>
              <w:rPr>
                <w:rFonts w:hint="eastAsia" w:ascii="宋体" w:hAnsi="宋体" w:eastAsia="宋体" w:cs="宋体"/>
                <w:b w:val="0"/>
                <w:bCs w:val="0"/>
                <w:color w:val="auto"/>
                <w:sz w:val="18"/>
                <w:szCs w:val="18"/>
              </w:rPr>
              <w:t>对辖区内65岁及以上老年人进行两次医养结合服务</w:t>
            </w:r>
            <w:r>
              <w:rPr>
                <w:rFonts w:hint="eastAsia" w:ascii="宋体" w:hAnsi="宋体" w:eastAsia="宋体" w:cs="宋体"/>
                <w:b w:val="0"/>
                <w:bCs w:val="0"/>
                <w:color w:val="auto"/>
                <w:sz w:val="18"/>
                <w:szCs w:val="18"/>
                <w:lang w:eastAsia="zh-CN"/>
              </w:rPr>
              <w:t>。服务率≥</w:t>
            </w:r>
            <w:r>
              <w:rPr>
                <w:rFonts w:hint="eastAsia" w:ascii="宋体" w:hAnsi="宋体" w:cs="宋体"/>
                <w:b w:val="0"/>
                <w:bCs w:val="0"/>
                <w:color w:val="auto"/>
                <w:sz w:val="18"/>
                <w:szCs w:val="18"/>
                <w:lang w:val="en-US" w:eastAsia="zh-CN"/>
              </w:rPr>
              <w:t>3</w:t>
            </w:r>
            <w:r>
              <w:rPr>
                <w:rFonts w:hint="eastAsia" w:ascii="宋体" w:hAnsi="宋体" w:eastAsia="宋体" w:cs="宋体"/>
                <w:b w:val="0"/>
                <w:bCs w:val="0"/>
                <w:color w:val="auto"/>
                <w:sz w:val="18"/>
                <w:szCs w:val="18"/>
                <w:lang w:val="en-US" w:eastAsia="zh-CN"/>
              </w:rPr>
              <w:t>0%得满分（20分），每降低5%扣2分。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2.</w:t>
            </w:r>
            <w:r>
              <w:rPr>
                <w:rFonts w:hint="eastAsia" w:ascii="宋体" w:hAnsi="宋体" w:eastAsia="宋体" w:cs="宋体"/>
                <w:b w:val="0"/>
                <w:bCs w:val="0"/>
                <w:color w:val="auto"/>
                <w:sz w:val="18"/>
                <w:szCs w:val="18"/>
              </w:rPr>
              <w:t>对高龄、失能、行动不便的老年人进行</w:t>
            </w:r>
            <w:r>
              <w:rPr>
                <w:rFonts w:hint="eastAsia" w:ascii="宋体" w:hAnsi="宋体" w:eastAsia="宋体" w:cs="宋体"/>
                <w:b w:val="0"/>
                <w:bCs w:val="0"/>
                <w:color w:val="auto"/>
                <w:sz w:val="18"/>
                <w:szCs w:val="18"/>
                <w:lang w:val="en-US" w:eastAsia="zh-CN"/>
              </w:rPr>
              <w:t>初筛</w:t>
            </w:r>
            <w:r>
              <w:rPr>
                <w:rFonts w:hint="eastAsia" w:ascii="宋体" w:hAnsi="宋体" w:eastAsia="宋体" w:cs="宋体"/>
                <w:b w:val="0"/>
                <w:bCs w:val="0"/>
                <w:color w:val="auto"/>
                <w:sz w:val="18"/>
                <w:szCs w:val="18"/>
                <w:lang w:eastAsia="zh-CN"/>
              </w:rPr>
              <w:t>。服务率≥</w:t>
            </w:r>
            <w:r>
              <w:rPr>
                <w:rFonts w:hint="eastAsia" w:ascii="宋体" w:hAnsi="宋体" w:cs="宋体"/>
                <w:b w:val="0"/>
                <w:bCs w:val="0"/>
                <w:color w:val="auto"/>
                <w:sz w:val="18"/>
                <w:szCs w:val="18"/>
                <w:lang w:val="en-US" w:eastAsia="zh-CN"/>
              </w:rPr>
              <w:t>3</w:t>
            </w:r>
            <w:r>
              <w:rPr>
                <w:rFonts w:hint="eastAsia" w:ascii="宋体" w:hAnsi="宋体" w:eastAsia="宋体" w:cs="宋体"/>
                <w:b w:val="0"/>
                <w:bCs w:val="0"/>
                <w:color w:val="auto"/>
                <w:sz w:val="18"/>
                <w:szCs w:val="18"/>
                <w:lang w:val="en-US" w:eastAsia="zh-CN"/>
              </w:rPr>
              <w:t>0%得满分（10分），每降低5%扣2分</w:t>
            </w:r>
            <w:r>
              <w:rPr>
                <w:rFonts w:hint="eastAsia" w:ascii="宋体" w:hAnsi="宋体" w:eastAsia="宋体" w:cs="宋体"/>
                <w:b w:val="0"/>
                <w:bCs w:val="0"/>
                <w:color w:val="auto"/>
                <w:sz w:val="18"/>
                <w:szCs w:val="18"/>
                <w:lang w:eastAsia="zh-CN"/>
              </w:rPr>
              <w:t>。</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highlight w:val="none"/>
                <w:lang w:val="en-US" w:eastAsia="zh-CN"/>
              </w:rPr>
            </w:pPr>
          </w:p>
        </w:tc>
        <w:tc>
          <w:tcPr>
            <w:tcW w:w="13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cs="宋体"/>
                <w:b w:val="0"/>
                <w:bCs w:val="0"/>
                <w:color w:val="auto"/>
                <w:sz w:val="18"/>
                <w:szCs w:val="18"/>
                <w:highlight w:val="none"/>
                <w:lang w:val="en-US" w:eastAsia="zh-CN"/>
              </w:rPr>
              <w:t>3</w:t>
            </w:r>
            <w:r>
              <w:rPr>
                <w:rFonts w:hint="eastAsia" w:ascii="宋体" w:hAnsi="宋体" w:eastAsia="宋体" w:cs="宋体"/>
                <w:b w:val="0"/>
                <w:bCs w:val="0"/>
                <w:color w:val="auto"/>
                <w:sz w:val="18"/>
                <w:szCs w:val="18"/>
                <w:highlight w:val="none"/>
                <w:lang w:val="en-US" w:eastAsia="zh-CN"/>
              </w:rPr>
              <w:t>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70"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Times New Roman" w:hAnsi="Times New Roman" w:eastAsia="仿宋_GB2312" w:cs="Times New Roman"/>
                <w:b w:val="0"/>
                <w:bCs w:val="0"/>
                <w:color w:val="auto"/>
                <w:sz w:val="18"/>
                <w:szCs w:val="18"/>
                <w:highlight w:val="none"/>
                <w:lang w:val="en-US" w:eastAsia="zh-CN"/>
              </w:rPr>
            </w:pPr>
            <w:r>
              <w:rPr>
                <w:rFonts w:hint="eastAsia" w:ascii="Times New Roman" w:hAnsi="Times New Roman" w:eastAsia="仿宋_GB2312" w:cs="Times New Roman"/>
                <w:b w:val="0"/>
                <w:bCs w:val="0"/>
                <w:color w:val="auto"/>
                <w:sz w:val="18"/>
                <w:szCs w:val="18"/>
                <w:highlight w:val="none"/>
                <w:lang w:val="en-US" w:eastAsia="zh-CN"/>
              </w:rPr>
              <w:t>2</w:t>
            </w:r>
          </w:p>
        </w:tc>
        <w:tc>
          <w:tcPr>
            <w:tcW w:w="13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65岁及以上失能老人健康评估和健康服务</w:t>
            </w:r>
          </w:p>
        </w:tc>
        <w:tc>
          <w:tcPr>
            <w:tcW w:w="3800"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1.对提出申请的失能老人提供上门健康评估服务，服务率</w:t>
            </w:r>
            <w:r>
              <w:rPr>
                <w:rFonts w:hint="eastAsia" w:ascii="宋体" w:hAnsi="宋体" w:eastAsia="宋体" w:cs="宋体"/>
                <w:b w:val="0"/>
                <w:bCs w:val="0"/>
                <w:color w:val="auto"/>
                <w:sz w:val="18"/>
                <w:szCs w:val="18"/>
                <w:lang w:eastAsia="zh-CN"/>
              </w:rPr>
              <w:t>≥</w:t>
            </w:r>
            <w:r>
              <w:rPr>
                <w:rFonts w:hint="eastAsia" w:ascii="宋体" w:hAnsi="宋体" w:cs="宋体"/>
                <w:b w:val="0"/>
                <w:bCs w:val="0"/>
                <w:color w:val="auto"/>
                <w:sz w:val="18"/>
                <w:szCs w:val="18"/>
                <w:lang w:val="en-US" w:eastAsia="zh-CN"/>
              </w:rPr>
              <w:t>35</w:t>
            </w:r>
            <w:r>
              <w:rPr>
                <w:rFonts w:hint="eastAsia" w:ascii="宋体" w:hAnsi="宋体" w:eastAsia="宋体" w:cs="宋体"/>
                <w:b w:val="0"/>
                <w:bCs w:val="0"/>
                <w:color w:val="auto"/>
                <w:sz w:val="18"/>
                <w:szCs w:val="18"/>
                <w:lang w:val="en-US" w:eastAsia="zh-CN"/>
              </w:rPr>
              <w:t>%得满分（10分），每降低5%扣1分</w:t>
            </w:r>
            <w:r>
              <w:rPr>
                <w:rFonts w:hint="eastAsia" w:ascii="宋体" w:hAnsi="宋体" w:eastAsia="宋体" w:cs="宋体"/>
                <w:b w:val="0"/>
                <w:bCs w:val="0"/>
                <w:color w:val="auto"/>
                <w:sz w:val="18"/>
                <w:szCs w:val="18"/>
                <w:lang w:eastAsia="zh-CN"/>
              </w:rPr>
              <w:t>。</w:t>
            </w:r>
            <w:r>
              <w:rPr>
                <w:rFonts w:hint="eastAsia" w:ascii="宋体" w:hAnsi="宋体" w:eastAsia="宋体" w:cs="宋体"/>
                <w:b w:val="0"/>
                <w:bCs w:val="0"/>
                <w:color w:val="auto"/>
                <w:sz w:val="18"/>
                <w:szCs w:val="18"/>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lang w:val="en-US" w:eastAsia="zh-CN"/>
              </w:rPr>
              <w:t>2.</w:t>
            </w:r>
            <w:r>
              <w:rPr>
                <w:rFonts w:hint="eastAsia" w:ascii="宋体" w:hAnsi="宋体" w:eastAsia="宋体" w:cs="宋体"/>
                <w:b w:val="0"/>
                <w:bCs w:val="0"/>
                <w:color w:val="auto"/>
                <w:sz w:val="18"/>
                <w:szCs w:val="18"/>
              </w:rPr>
              <w:t>对符合条件的失能老年人及照护者提供1次健康服务</w:t>
            </w:r>
            <w:r>
              <w:rPr>
                <w:rFonts w:hint="eastAsia" w:ascii="宋体" w:hAnsi="宋体" w:eastAsia="宋体" w:cs="宋体"/>
                <w:b w:val="0"/>
                <w:bCs w:val="0"/>
                <w:color w:val="auto"/>
                <w:sz w:val="18"/>
                <w:szCs w:val="18"/>
                <w:highlight w:val="none"/>
                <w:lang w:val="en-US" w:eastAsia="zh-CN"/>
              </w:rPr>
              <w:t>，服务率</w:t>
            </w:r>
            <w:r>
              <w:rPr>
                <w:rFonts w:hint="eastAsia" w:ascii="宋体" w:hAnsi="宋体" w:eastAsia="宋体" w:cs="宋体"/>
                <w:b w:val="0"/>
                <w:bCs w:val="0"/>
                <w:color w:val="auto"/>
                <w:sz w:val="18"/>
                <w:szCs w:val="18"/>
                <w:lang w:eastAsia="zh-CN"/>
              </w:rPr>
              <w:t>≥</w:t>
            </w:r>
            <w:r>
              <w:rPr>
                <w:rFonts w:hint="eastAsia" w:ascii="宋体" w:hAnsi="宋体" w:cs="宋体"/>
                <w:b w:val="0"/>
                <w:bCs w:val="0"/>
                <w:color w:val="auto"/>
                <w:sz w:val="18"/>
                <w:szCs w:val="18"/>
                <w:lang w:val="en-US" w:eastAsia="zh-CN"/>
              </w:rPr>
              <w:t>35</w:t>
            </w:r>
            <w:r>
              <w:rPr>
                <w:rFonts w:hint="eastAsia" w:ascii="宋体" w:hAnsi="宋体" w:eastAsia="宋体" w:cs="宋体"/>
                <w:b w:val="0"/>
                <w:bCs w:val="0"/>
                <w:color w:val="auto"/>
                <w:sz w:val="18"/>
                <w:szCs w:val="18"/>
                <w:lang w:val="en-US" w:eastAsia="zh-CN"/>
              </w:rPr>
              <w:t>%得满分（10分），每降低5%扣1分</w:t>
            </w:r>
            <w:r>
              <w:rPr>
                <w:rFonts w:hint="eastAsia" w:ascii="宋体" w:hAnsi="宋体" w:eastAsia="宋体" w:cs="宋体"/>
                <w:b w:val="0"/>
                <w:bCs w:val="0"/>
                <w:color w:val="auto"/>
                <w:sz w:val="18"/>
                <w:szCs w:val="18"/>
                <w:lang w:eastAsia="zh-CN"/>
              </w:rPr>
              <w:t>。</w:t>
            </w:r>
          </w:p>
        </w:tc>
        <w:tc>
          <w:tcPr>
            <w:tcW w:w="13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05"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b w:val="0"/>
                <w:bCs w:val="0"/>
                <w:color w:val="auto"/>
                <w:kern w:val="2"/>
                <w:sz w:val="18"/>
                <w:szCs w:val="18"/>
                <w:highlight w:val="none"/>
                <w:lang w:val="en-US" w:eastAsia="zh-CN" w:bidi="ar-SA"/>
              </w:rPr>
            </w:pPr>
            <w:r>
              <w:rPr>
                <w:rFonts w:hint="eastAsia" w:ascii="Times New Roman" w:hAnsi="Times New Roman" w:eastAsia="仿宋_GB2312" w:cs="Times New Roman"/>
                <w:b w:val="0"/>
                <w:bCs w:val="0"/>
                <w:color w:val="auto"/>
                <w:sz w:val="18"/>
                <w:szCs w:val="18"/>
                <w:highlight w:val="none"/>
                <w:lang w:val="en-US" w:eastAsia="zh-CN"/>
              </w:rPr>
              <w:t>3</w:t>
            </w:r>
          </w:p>
        </w:tc>
        <w:tc>
          <w:tcPr>
            <w:tcW w:w="13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eastAsia="zh-CN"/>
              </w:rPr>
              <w:t>质量控制</w:t>
            </w:r>
          </w:p>
        </w:tc>
        <w:tc>
          <w:tcPr>
            <w:tcW w:w="38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val="en-US" w:eastAsia="zh-CN"/>
              </w:rPr>
              <w:t>抽</w:t>
            </w:r>
            <w:r>
              <w:rPr>
                <w:rFonts w:hint="eastAsia" w:ascii="宋体" w:hAnsi="宋体" w:cs="宋体"/>
                <w:b w:val="0"/>
                <w:bCs w:val="0"/>
                <w:color w:val="auto"/>
                <w:sz w:val="18"/>
                <w:szCs w:val="18"/>
                <w:highlight w:val="none"/>
                <w:lang w:val="en-US" w:eastAsia="zh-CN"/>
              </w:rPr>
              <w:t>取</w:t>
            </w:r>
            <w:r>
              <w:rPr>
                <w:rFonts w:hint="eastAsia" w:ascii="宋体" w:hAnsi="宋体" w:eastAsia="宋体" w:cs="宋体"/>
                <w:b w:val="0"/>
                <w:bCs w:val="0"/>
                <w:color w:val="auto"/>
                <w:sz w:val="18"/>
                <w:szCs w:val="18"/>
                <w:highlight w:val="none"/>
                <w:lang w:val="en-US" w:eastAsia="zh-CN"/>
              </w:rPr>
              <w:t>65岁及以上老人20名，其中失能老人</w:t>
            </w:r>
            <w:r>
              <w:rPr>
                <w:rFonts w:hint="eastAsia" w:ascii="宋体" w:hAnsi="宋体" w:cs="宋体"/>
                <w:b w:val="0"/>
                <w:bCs w:val="0"/>
                <w:color w:val="auto"/>
                <w:sz w:val="18"/>
                <w:szCs w:val="18"/>
                <w:highlight w:val="none"/>
                <w:lang w:val="en-US" w:eastAsia="zh-CN"/>
              </w:rPr>
              <w:t>和一般老年人</w:t>
            </w:r>
            <w:r>
              <w:rPr>
                <w:rFonts w:hint="eastAsia" w:ascii="宋体" w:hAnsi="宋体" w:eastAsia="宋体" w:cs="宋体"/>
                <w:b w:val="0"/>
                <w:bCs w:val="0"/>
                <w:color w:val="auto"/>
                <w:sz w:val="18"/>
                <w:szCs w:val="18"/>
                <w:highlight w:val="none"/>
                <w:lang w:val="en-US" w:eastAsia="zh-CN"/>
              </w:rPr>
              <w:t>各</w:t>
            </w:r>
            <w:r>
              <w:rPr>
                <w:rFonts w:hint="eastAsia" w:ascii="宋体" w:hAnsi="宋体" w:cs="宋体"/>
                <w:b w:val="0"/>
                <w:bCs w:val="0"/>
                <w:color w:val="auto"/>
                <w:sz w:val="18"/>
                <w:szCs w:val="18"/>
                <w:highlight w:val="none"/>
                <w:lang w:val="en-US" w:eastAsia="zh-CN"/>
              </w:rPr>
              <w:t>10</w:t>
            </w:r>
            <w:r>
              <w:rPr>
                <w:rFonts w:hint="eastAsia" w:ascii="宋体" w:hAnsi="宋体" w:eastAsia="宋体" w:cs="宋体"/>
                <w:b w:val="0"/>
                <w:bCs w:val="0"/>
                <w:color w:val="auto"/>
                <w:sz w:val="18"/>
                <w:szCs w:val="18"/>
                <w:highlight w:val="none"/>
                <w:lang w:val="en-US" w:eastAsia="zh-CN"/>
              </w:rPr>
              <w:t>人，通过面谈或者电话访谈的方式，核实是否有按照要求开展管理服务工作，管理率</w:t>
            </w:r>
            <w:r>
              <w:rPr>
                <w:rFonts w:hint="eastAsia" w:ascii="宋体" w:hAnsi="宋体" w:eastAsia="宋体" w:cs="宋体"/>
                <w:b w:val="0"/>
                <w:bCs w:val="0"/>
                <w:color w:val="auto"/>
                <w:sz w:val="18"/>
                <w:szCs w:val="18"/>
                <w:highlight w:val="none"/>
                <w:lang w:eastAsia="zh-CN"/>
              </w:rPr>
              <w:t>≥</w:t>
            </w:r>
            <w:r>
              <w:rPr>
                <w:rFonts w:hint="eastAsia" w:ascii="宋体" w:hAnsi="宋体" w:cs="宋体"/>
                <w:b w:val="0"/>
                <w:bCs w:val="0"/>
                <w:color w:val="auto"/>
                <w:sz w:val="18"/>
                <w:szCs w:val="18"/>
                <w:highlight w:val="none"/>
                <w:lang w:val="en-US" w:eastAsia="zh-CN"/>
              </w:rPr>
              <w:t>8</w:t>
            </w:r>
            <w:r>
              <w:rPr>
                <w:rFonts w:hint="eastAsia" w:ascii="宋体" w:hAnsi="宋体" w:eastAsia="宋体" w:cs="宋体"/>
                <w:b w:val="0"/>
                <w:bCs w:val="0"/>
                <w:color w:val="auto"/>
                <w:sz w:val="18"/>
                <w:szCs w:val="18"/>
                <w:highlight w:val="none"/>
                <w:lang w:val="en-US" w:eastAsia="zh-CN"/>
              </w:rPr>
              <w:t>0%得满分，每降低5%，扣1分，扣完为止。</w:t>
            </w:r>
          </w:p>
        </w:tc>
        <w:tc>
          <w:tcPr>
            <w:tcW w:w="13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val="en-US" w:eastAsia="zh-CN"/>
              </w:rPr>
              <w:t>20分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9"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Times New Roman" w:hAnsi="Times New Roman" w:eastAsia="仿宋_GB2312" w:cs="Times New Roman"/>
                <w:b w:val="0"/>
                <w:bCs w:val="0"/>
                <w:color w:val="auto"/>
                <w:kern w:val="2"/>
                <w:sz w:val="18"/>
                <w:szCs w:val="18"/>
                <w:highlight w:val="none"/>
                <w:lang w:val="en-US" w:eastAsia="zh-CN" w:bidi="ar-SA"/>
              </w:rPr>
            </w:pPr>
            <w:r>
              <w:rPr>
                <w:rFonts w:hint="eastAsia" w:ascii="Times New Roman" w:hAnsi="Times New Roman" w:eastAsia="仿宋_GB2312" w:cs="Times New Roman"/>
                <w:b w:val="0"/>
                <w:bCs w:val="0"/>
                <w:color w:val="auto"/>
                <w:sz w:val="18"/>
                <w:szCs w:val="18"/>
                <w:highlight w:val="none"/>
                <w:lang w:val="en-US" w:eastAsia="zh-CN"/>
              </w:rPr>
              <w:t>4</w:t>
            </w:r>
          </w:p>
        </w:tc>
        <w:tc>
          <w:tcPr>
            <w:tcW w:w="1343"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val="en-US" w:eastAsia="zh-CN"/>
              </w:rPr>
              <w:t>特定老年人家庭病床</w:t>
            </w:r>
          </w:p>
        </w:tc>
        <w:tc>
          <w:tcPr>
            <w:tcW w:w="380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color w:val="auto"/>
                <w:sz w:val="18"/>
                <w:szCs w:val="18"/>
                <w:lang w:val="en-US" w:eastAsia="zh-CN"/>
              </w:rPr>
            </w:pPr>
            <w:r>
              <w:rPr>
                <w:rFonts w:hint="eastAsia"/>
                <w:color w:val="auto"/>
                <w:sz w:val="18"/>
                <w:szCs w:val="18"/>
                <w:lang w:val="en-US" w:eastAsia="zh-CN"/>
              </w:rPr>
              <w:t>1.对家庭病床的收治对象医疗康复护理服务，群众满意度达95%以上得满分（7分），每降低5%扣1分，扣完为止。</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default"/>
                <w:color w:val="auto"/>
                <w:sz w:val="18"/>
                <w:szCs w:val="18"/>
                <w:lang w:val="en-US" w:eastAsia="zh-CN"/>
              </w:rPr>
            </w:pPr>
            <w:r>
              <w:rPr>
                <w:rFonts w:hint="eastAsia"/>
                <w:color w:val="auto"/>
                <w:sz w:val="18"/>
                <w:szCs w:val="18"/>
                <w:lang w:val="en-US" w:eastAsia="zh-CN"/>
              </w:rPr>
              <w:t>2.加强病历档案质量管理，规范书写《广东省中山市家庭病床病历》，做好资料归档，规范完成16张以上家庭病床病历得满分（16分），不足16张家庭病床的，每少一张扣2分，未规范书写每份扣1分，扣完为止。</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olor w:val="auto"/>
                <w:sz w:val="18"/>
                <w:szCs w:val="18"/>
                <w:lang w:val="en-US" w:eastAsia="zh-CN"/>
              </w:rPr>
            </w:pPr>
            <w:r>
              <w:rPr>
                <w:rFonts w:hint="eastAsia"/>
                <w:color w:val="auto"/>
                <w:sz w:val="18"/>
                <w:szCs w:val="18"/>
                <w:lang w:val="en-US" w:eastAsia="zh-CN"/>
              </w:rPr>
              <w:t>3.结合业务需要开展家庭病床服务培训。年内开展至少1次培训，未开展不得分（3分）。</w:t>
            </w:r>
          </w:p>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color w:val="auto"/>
                <w:sz w:val="18"/>
                <w:szCs w:val="18"/>
                <w:lang w:val="en-US" w:eastAsia="zh-CN"/>
              </w:rPr>
            </w:pPr>
            <w:r>
              <w:rPr>
                <w:rFonts w:hint="eastAsia"/>
                <w:color w:val="auto"/>
                <w:sz w:val="18"/>
                <w:szCs w:val="18"/>
                <w:lang w:val="en-US" w:eastAsia="zh-CN"/>
              </w:rPr>
              <w:t>4.每月3日前按时交报家庭病床服务《工作进度表》，每次未及时交报扣1分，扣完为止（4分）。</w:t>
            </w:r>
          </w:p>
          <w:p>
            <w:pPr>
              <w:pStyle w:val="2"/>
              <w:rPr>
                <w:rFonts w:hint="eastAsia" w:ascii="宋体" w:hAnsi="宋体" w:eastAsia="宋体" w:cs="宋体"/>
                <w:b w:val="0"/>
                <w:bCs w:val="0"/>
                <w:color w:val="auto"/>
                <w:kern w:val="2"/>
                <w:sz w:val="18"/>
                <w:szCs w:val="18"/>
                <w:highlight w:val="none"/>
                <w:lang w:val="en-US" w:eastAsia="zh-CN" w:bidi="ar-SA"/>
              </w:rPr>
            </w:pPr>
          </w:p>
        </w:tc>
        <w:tc>
          <w:tcPr>
            <w:tcW w:w="132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ind w:firstLine="360" w:firstLineChars="200"/>
              <w:jc w:val="left"/>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cs="宋体"/>
                <w:b w:val="0"/>
                <w:bCs w:val="0"/>
                <w:color w:val="auto"/>
                <w:sz w:val="18"/>
                <w:szCs w:val="18"/>
                <w:highlight w:val="none"/>
                <w:lang w:val="en-US" w:eastAsia="zh-CN"/>
              </w:rPr>
              <w:t>30</w:t>
            </w:r>
            <w:r>
              <w:rPr>
                <w:rFonts w:hint="eastAsia" w:ascii="宋体" w:hAnsi="宋体" w:eastAsia="宋体" w:cs="宋体"/>
                <w:b w:val="0"/>
                <w:bCs w:val="0"/>
                <w:color w:val="auto"/>
                <w:sz w:val="18"/>
                <w:szCs w:val="18"/>
                <w:highlight w:val="none"/>
                <w:lang w:val="en-US" w:eastAsia="zh-CN"/>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2147"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Theme="minorEastAsia" w:hAnsiTheme="minorEastAsia" w:eastAsiaTheme="minorEastAsia" w:cstheme="minorEastAsia"/>
                <w:b w:val="0"/>
                <w:bCs w:val="0"/>
                <w:color w:val="auto"/>
                <w:sz w:val="18"/>
                <w:szCs w:val="18"/>
                <w:highlight w:val="none"/>
                <w:lang w:val="en-US" w:eastAsia="zh-CN"/>
              </w:rPr>
              <w:t>总分</w:t>
            </w:r>
          </w:p>
        </w:tc>
        <w:tc>
          <w:tcPr>
            <w:tcW w:w="5120" w:type="dxa"/>
            <w:gridSpan w:val="2"/>
            <w:noWrap w:val="0"/>
            <w:vAlign w:val="center"/>
          </w:tcPr>
          <w:p>
            <w:pPr>
              <w:spacing w:line="480" w:lineRule="exact"/>
              <w:jc w:val="center"/>
              <w:rPr>
                <w:rFonts w:hint="eastAsia" w:ascii="宋体" w:hAnsi="宋体" w:eastAsia="宋体" w:cs="宋体"/>
                <w:b w:val="0"/>
                <w:bCs w:val="0"/>
                <w:color w:val="auto"/>
                <w:sz w:val="18"/>
                <w:szCs w:val="18"/>
                <w:highlight w:val="none"/>
                <w:lang w:val="en-US" w:eastAsia="zh-CN"/>
              </w:rPr>
            </w:pPr>
            <w:r>
              <w:rPr>
                <w:rFonts w:hint="eastAsia" w:asciiTheme="minorEastAsia" w:hAnsiTheme="minorEastAsia" w:eastAsiaTheme="minorEastAsia" w:cstheme="minorEastAsia"/>
                <w:color w:val="auto"/>
                <w:sz w:val="18"/>
                <w:szCs w:val="18"/>
                <w:lang w:val="en-US" w:eastAsia="zh-CN"/>
              </w:rPr>
              <w:t>100分</w:t>
            </w:r>
          </w:p>
        </w:tc>
      </w:tr>
    </w:tbl>
    <w:p>
      <w:pPr>
        <w:rPr>
          <w:color w:val="auto"/>
        </w:rPr>
      </w:pPr>
    </w:p>
    <w:p>
      <w:pPr>
        <w:pStyle w:val="2"/>
        <w:rPr>
          <w:color w:val="auto"/>
        </w:rPr>
      </w:pPr>
    </w:p>
    <w:p>
      <w:pPr>
        <w:pStyle w:val="8"/>
        <w:numPr>
          <w:ilvl w:val="0"/>
          <w:numId w:val="1"/>
        </w:numPr>
        <w:ind w:left="0" w:leftChars="0" w:firstLine="0" w:firstLineChars="0"/>
        <w:jc w:val="both"/>
        <w:rPr>
          <w:rFonts w:hint="eastAsia"/>
          <w:color w:val="auto"/>
          <w:sz w:val="18"/>
          <w:szCs w:val="18"/>
          <w:lang w:val="en-US" w:eastAsia="zh-CN"/>
        </w:rPr>
      </w:pPr>
      <w:r>
        <w:rPr>
          <w:rFonts w:hint="eastAsia"/>
          <w:color w:val="auto"/>
          <w:sz w:val="18"/>
          <w:szCs w:val="18"/>
        </w:rPr>
        <w:t>精神障碍患者管理</w:t>
      </w:r>
      <w:r>
        <w:rPr>
          <w:rFonts w:hint="eastAsia"/>
          <w:color w:val="auto"/>
          <w:sz w:val="18"/>
          <w:szCs w:val="18"/>
          <w:lang w:val="en-US" w:eastAsia="zh-CN"/>
        </w:rPr>
        <w:t>考核表</w:t>
      </w:r>
    </w:p>
    <w:p>
      <w:pPr>
        <w:pStyle w:val="8"/>
        <w:numPr>
          <w:ilvl w:val="0"/>
          <w:numId w:val="0"/>
        </w:numPr>
        <w:ind w:leftChars="0"/>
        <w:jc w:val="both"/>
        <w:rPr>
          <w:rFonts w:hint="eastAsia"/>
          <w:color w:val="auto"/>
          <w:sz w:val="18"/>
          <w:szCs w:val="18"/>
          <w:lang w:val="en-US" w:eastAsia="zh-CN"/>
        </w:rPr>
      </w:pPr>
    </w:p>
    <w:tbl>
      <w:tblPr>
        <w:tblStyle w:val="5"/>
        <w:tblpPr w:leftFromText="180" w:rightFromText="180" w:vertAnchor="text" w:horzAnchor="page" w:tblpXSpec="center" w:tblpY="528"/>
        <w:tblOverlap w:val="never"/>
        <w:tblW w:w="72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04"/>
        <w:gridCol w:w="1260"/>
        <w:gridCol w:w="400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804"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both"/>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lang w:val="en-US" w:eastAsia="zh-CN"/>
              </w:rPr>
              <w:t>序号</w:t>
            </w:r>
          </w:p>
        </w:tc>
        <w:tc>
          <w:tcPr>
            <w:tcW w:w="1260"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宋体" w:hAnsi="宋体" w:eastAsia="宋体" w:cs="宋体"/>
                <w:b w:val="0"/>
                <w:bCs w:val="0"/>
                <w:color w:val="auto"/>
                <w:sz w:val="18"/>
                <w:szCs w:val="18"/>
                <w:highlight w:val="none"/>
              </w:rPr>
            </w:pPr>
            <w:r>
              <w:rPr>
                <w:rFonts w:hint="eastAsia" w:ascii="宋体" w:hAnsi="宋体" w:eastAsia="宋体" w:cs="宋体"/>
                <w:b w:val="0"/>
                <w:bCs w:val="0"/>
                <w:color w:val="auto"/>
                <w:sz w:val="18"/>
                <w:szCs w:val="18"/>
                <w:highlight w:val="none"/>
                <w:lang w:val="en-US" w:eastAsia="zh-CN"/>
              </w:rPr>
              <w:t>项目</w:t>
            </w:r>
          </w:p>
        </w:tc>
        <w:tc>
          <w:tcPr>
            <w:tcW w:w="4004"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rPr>
              <w:t>内容</w:t>
            </w:r>
            <w:r>
              <w:rPr>
                <w:rFonts w:hint="eastAsia" w:ascii="宋体" w:hAnsi="宋体" w:eastAsia="宋体" w:cs="宋体"/>
                <w:b w:val="0"/>
                <w:bCs w:val="0"/>
                <w:color w:val="auto"/>
                <w:sz w:val="18"/>
                <w:szCs w:val="18"/>
                <w:highlight w:val="none"/>
                <w:lang w:val="en-US" w:eastAsia="zh-CN"/>
              </w:rPr>
              <w:t>及指标</w:t>
            </w:r>
          </w:p>
        </w:tc>
        <w:tc>
          <w:tcPr>
            <w:tcW w:w="1134" w:type="dxa"/>
            <w:shd w:val="clear" w:color="auto" w:fill="FFFFFF"/>
            <w:noWrap w:val="0"/>
            <w:vAlign w:val="center"/>
          </w:tcPr>
          <w:p>
            <w:pPr>
              <w:keepNext w:val="0"/>
              <w:keepLines w:val="0"/>
              <w:pageBreakBefore w:val="0"/>
              <w:kinsoku/>
              <w:wordWrap/>
              <w:overflowPunct/>
              <w:topLinePunct w:val="0"/>
              <w:bidi w:val="0"/>
              <w:adjustRightInd w:val="0"/>
              <w:snapToGrid w:val="0"/>
              <w:spacing w:line="336" w:lineRule="auto"/>
              <w:jc w:val="center"/>
              <w:rPr>
                <w:rFonts w:hint="eastAsia" w:ascii="宋体" w:hAnsi="宋体" w:eastAsia="宋体" w:cs="宋体"/>
                <w:b w:val="0"/>
                <w:bCs w:val="0"/>
                <w:color w:val="auto"/>
                <w:sz w:val="18"/>
                <w:szCs w:val="18"/>
                <w:highlight w:val="none"/>
                <w:lang w:eastAsia="zh-CN"/>
              </w:rPr>
            </w:pPr>
            <w:r>
              <w:rPr>
                <w:rFonts w:hint="eastAsia" w:ascii="宋体" w:hAnsi="宋体" w:eastAsia="宋体" w:cs="宋体"/>
                <w:b w:val="0"/>
                <w:bCs w:val="0"/>
                <w:color w:val="auto"/>
                <w:sz w:val="18"/>
                <w:szCs w:val="18"/>
                <w:highlight w:val="none"/>
                <w:lang w:eastAsia="zh-CN"/>
              </w:rPr>
              <w:t>考核分值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4"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color w:val="auto"/>
                <w:sz w:val="18"/>
                <w:szCs w:val="18"/>
                <w:highlight w:val="none"/>
              </w:rPr>
              <w:t>随访工作</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1、</w:t>
            </w:r>
            <w:r>
              <w:rPr>
                <w:rFonts w:hint="eastAsia" w:ascii="宋体" w:hAnsi="宋体" w:eastAsia="宋体" w:cs="宋体"/>
                <w:b w:val="0"/>
                <w:bCs w:val="0"/>
                <w:color w:val="auto"/>
                <w:sz w:val="18"/>
                <w:szCs w:val="18"/>
                <w:lang w:val="en-US" w:eastAsia="zh-CN"/>
              </w:rPr>
              <w:t>按照要求分别对病情稳定、基本稳定、不稳定患者进行随访管理，随访频次符合要求。每处不符合扣1分，扣完为止。（10分）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cs="宋体"/>
                <w:b w:val="0"/>
                <w:bCs w:val="0"/>
                <w:color w:val="auto"/>
                <w:sz w:val="18"/>
                <w:szCs w:val="18"/>
                <w:lang w:val="en-US" w:eastAsia="zh-CN"/>
              </w:rPr>
              <w:t>2、</w:t>
            </w:r>
            <w:r>
              <w:rPr>
                <w:rFonts w:hint="eastAsia" w:ascii="宋体" w:hAnsi="宋体" w:eastAsia="宋体" w:cs="宋体"/>
                <w:b w:val="0"/>
                <w:bCs w:val="0"/>
                <w:color w:val="auto"/>
                <w:sz w:val="18"/>
                <w:szCs w:val="18"/>
                <w:lang w:val="en-US" w:eastAsia="zh-CN"/>
              </w:rPr>
              <w:t>随访表内容填写不完整扣1分/项、缺项扣1分/项、错项扣1分/项，扣完为止。（10分）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cs="宋体"/>
                <w:b w:val="0"/>
                <w:bCs w:val="0"/>
                <w:color w:val="auto"/>
                <w:sz w:val="18"/>
                <w:szCs w:val="18"/>
                <w:lang w:val="en-US" w:eastAsia="zh-CN"/>
              </w:rPr>
              <w:t>3、</w:t>
            </w:r>
            <w:r>
              <w:rPr>
                <w:rFonts w:hint="eastAsia" w:ascii="宋体" w:hAnsi="宋体" w:eastAsia="宋体" w:cs="宋体"/>
                <w:b w:val="0"/>
                <w:bCs w:val="0"/>
                <w:color w:val="auto"/>
                <w:sz w:val="18"/>
                <w:szCs w:val="18"/>
                <w:lang w:val="en-US" w:eastAsia="zh-CN"/>
              </w:rPr>
              <w:t>开展个案管理，填写好个案管理手册，每一个案未填写完整扣1分，扣完为止。（5分）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1"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2</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rPr>
              <w:t>档案建立与管理</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1、患者信息按实际内容规范录入系统,每处不符合扣1分，扣完为止。（10分）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2、档案不完整扣0.5分/处；档案资料未及时更新扣0.5分/处，如患者及家属的联系电话，住址等。（10分）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17"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val="en-US" w:eastAsia="zh-CN"/>
              </w:rPr>
              <w:t>3</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color w:val="auto"/>
                <w:sz w:val="18"/>
                <w:szCs w:val="18"/>
              </w:rPr>
              <w:t>协助处理精神障碍患者相关事务</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1、及时协助处理精神病应急处置。知情情同意书及处置记录表，处置信息能及时录入省精神卫生信息平台。处置录入系统一项不符合扣1分，扣完为止。（5分）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2、每次随访开展危险性评估，随访信息按要求录入系统每</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缺一次扣0.5分，扣完为止。（5分）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default"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3、协助每月派发精防药品及统计整理资料，不及时、不准确一次扣1分，扣完为止。（5分）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kern w:val="2"/>
                <w:sz w:val="18"/>
                <w:szCs w:val="18"/>
                <w:highlight w:val="none"/>
                <w:lang w:val="en-US" w:eastAsia="zh-CN" w:bidi="ar-SA"/>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 w:val="0"/>
                <w:bCs w:val="0"/>
                <w:color w:val="auto"/>
                <w:sz w:val="18"/>
                <w:szCs w:val="18"/>
                <w:highlight w:val="none"/>
                <w:lang w:val="en-US" w:eastAsia="zh-CN"/>
              </w:rPr>
              <w:t>4</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color w:val="auto"/>
                <w:sz w:val="18"/>
                <w:szCs w:val="18"/>
                <w:highlight w:val="none"/>
              </w:rPr>
              <w:t>健康体检宣传</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1、宣传发动免费体检，抽检一个患者及家属未通知到位扣0.5分/个。（5分）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2、体检结果及时录入精防系统。录入错项、少项扣0.5分/处。（5分）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3、动员体检人数不低于总人数的80 %。体检率≥80%得满分。每降低5%，扣1分，扣完为止。（5分）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5</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color w:val="auto"/>
                <w:sz w:val="18"/>
                <w:szCs w:val="18"/>
              </w:rPr>
              <w:t>长效针剂的推广和使用</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1、及时报送患者的长效针申请、评估、报销工作。提交三院的资料迟交一次扣1分；资料错误扣1分；扣完为止。（5分）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2、在册精神分裂症患者二代长效针使用比例达到12%。长效针使用率≥12%得满分。每降低5%，扣2分，扣完为止。（5分）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0"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6</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color w:val="auto"/>
                <w:sz w:val="18"/>
                <w:szCs w:val="18"/>
              </w:rPr>
              <w:t>开展辖区老年人认知功能评估和抑郁症筛查</w:t>
            </w:r>
          </w:p>
        </w:tc>
        <w:tc>
          <w:tcPr>
            <w:tcW w:w="4004" w:type="dxa"/>
            <w:noWrap w:val="0"/>
            <w:vAlign w:val="center"/>
          </w:tcPr>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1、2024年，至少完成不少于3个村居或社区的80%。每降低5%，扣1分，扣完为止。（5分）</w:t>
            </w:r>
          </w:p>
          <w:p>
            <w:pPr>
              <w:keepNext w:val="0"/>
              <w:keepLines w:val="0"/>
              <w:pageBreakBefore w:val="0"/>
              <w:widowControl w:val="0"/>
              <w:numPr>
                <w:ilvl w:val="0"/>
                <w:numId w:val="0"/>
              </w:numPr>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sz w:val="18"/>
                <w:szCs w:val="18"/>
                <w:lang w:val="en-US" w:eastAsia="zh-CN"/>
              </w:rPr>
            </w:pPr>
            <w:r>
              <w:rPr>
                <w:rFonts w:hint="eastAsia" w:ascii="宋体" w:hAnsi="宋体" w:eastAsia="宋体" w:cs="宋体"/>
                <w:b w:val="0"/>
                <w:bCs w:val="0"/>
                <w:color w:val="auto"/>
                <w:sz w:val="18"/>
                <w:szCs w:val="18"/>
                <w:lang w:val="en-US" w:eastAsia="zh-CN"/>
              </w:rPr>
              <w:t>2、2025年，完成剩下村居和社区的80%。每降低5%，扣1分，扣完为止。（5分）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jc w:val="center"/>
        </w:trPr>
        <w:tc>
          <w:tcPr>
            <w:tcW w:w="8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7</w:t>
            </w:r>
          </w:p>
        </w:tc>
        <w:tc>
          <w:tcPr>
            <w:tcW w:w="1260"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宋体" w:hAnsi="宋体" w:eastAsia="宋体" w:cs="宋体"/>
                <w:bCs/>
                <w:color w:val="auto"/>
                <w:kern w:val="2"/>
                <w:sz w:val="18"/>
                <w:szCs w:val="18"/>
                <w:highlight w:val="none"/>
                <w:lang w:val="en-US" w:eastAsia="zh-CN" w:bidi="ar-SA"/>
              </w:rPr>
              <w:t>保密性</w:t>
            </w:r>
          </w:p>
        </w:tc>
        <w:tc>
          <w:tcPr>
            <w:tcW w:w="400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left"/>
              <w:textAlignment w:val="auto"/>
              <w:rPr>
                <w:rFonts w:hint="eastAsia" w:ascii="宋体" w:hAnsi="宋体" w:eastAsia="宋体" w:cs="宋体"/>
                <w:b w:val="0"/>
                <w:bCs w:val="0"/>
                <w:color w:val="auto"/>
                <w:kern w:val="2"/>
                <w:sz w:val="18"/>
                <w:szCs w:val="18"/>
                <w:highlight w:val="none"/>
                <w:lang w:val="en-US" w:eastAsia="zh-CN" w:bidi="ar-SA"/>
              </w:rPr>
            </w:pPr>
            <w:r>
              <w:rPr>
                <w:rStyle w:val="9"/>
                <w:rFonts w:hint="eastAsia" w:ascii="宋体" w:hAnsi="宋体" w:eastAsia="宋体" w:cs="宋体"/>
                <w:color w:val="auto"/>
                <w:sz w:val="18"/>
                <w:szCs w:val="18"/>
                <w:highlight w:val="none"/>
              </w:rPr>
              <w:t>本项目中服务对象的任何档案资料、文件、相关图纸、谈话记录、录音及其所涉及的内容等必须严格保密，未经服务中心或服务对象许可不得以任何方式向第三方披露，违规每次扣5分，造成严重后果的将扣除100分。</w:t>
            </w:r>
          </w:p>
        </w:tc>
        <w:tc>
          <w:tcPr>
            <w:tcW w:w="1134" w:type="dxa"/>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ascii="宋体" w:hAnsi="宋体" w:eastAsia="宋体" w:cs="宋体"/>
                <w:b w:val="0"/>
                <w:bCs w:val="0"/>
                <w:color w:val="auto"/>
                <w:sz w:val="18"/>
                <w:szCs w:val="18"/>
                <w:highlight w:val="none"/>
                <w:lang w:val="en-US" w:eastAsia="zh-CN"/>
              </w:rPr>
            </w:pPr>
            <w:r>
              <w:rPr>
                <w:rFonts w:hint="eastAsia" w:ascii="宋体" w:hAnsi="宋体" w:eastAsia="宋体" w:cs="宋体"/>
                <w:b w:val="0"/>
                <w:bCs w:val="0"/>
                <w:color w:val="auto"/>
                <w:sz w:val="18"/>
                <w:szCs w:val="18"/>
                <w:highlight w:val="none"/>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064" w:type="dxa"/>
            <w:gridSpan w:val="2"/>
            <w:noWrap w:val="0"/>
            <w:vAlign w:val="center"/>
          </w:tcPr>
          <w:p>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eastAsia" w:ascii="宋体" w:hAnsi="宋体" w:eastAsia="宋体" w:cs="宋体"/>
                <w:b w:val="0"/>
                <w:bCs w:val="0"/>
                <w:color w:val="auto"/>
                <w:kern w:val="2"/>
                <w:sz w:val="18"/>
                <w:szCs w:val="18"/>
                <w:highlight w:val="none"/>
                <w:lang w:val="en-US" w:eastAsia="zh-CN" w:bidi="ar-SA"/>
              </w:rPr>
            </w:pPr>
            <w:r>
              <w:rPr>
                <w:rFonts w:hint="eastAsia" w:asciiTheme="minorEastAsia" w:hAnsiTheme="minorEastAsia" w:eastAsiaTheme="minorEastAsia" w:cstheme="minorEastAsia"/>
                <w:b w:val="0"/>
                <w:bCs w:val="0"/>
                <w:color w:val="auto"/>
                <w:sz w:val="18"/>
                <w:szCs w:val="18"/>
                <w:highlight w:val="none"/>
                <w:lang w:val="en-US" w:eastAsia="zh-CN"/>
              </w:rPr>
              <w:t>总分</w:t>
            </w:r>
          </w:p>
        </w:tc>
        <w:tc>
          <w:tcPr>
            <w:tcW w:w="5138" w:type="dxa"/>
            <w:gridSpan w:val="2"/>
            <w:noWrap w:val="0"/>
            <w:vAlign w:val="center"/>
          </w:tcPr>
          <w:p>
            <w:pPr>
              <w:spacing w:line="480" w:lineRule="exact"/>
              <w:jc w:val="center"/>
              <w:rPr>
                <w:rFonts w:hint="eastAsia" w:ascii="宋体" w:hAnsi="宋体" w:eastAsia="宋体" w:cs="宋体"/>
                <w:b w:val="0"/>
                <w:bCs w:val="0"/>
                <w:color w:val="auto"/>
                <w:kern w:val="2"/>
                <w:sz w:val="18"/>
                <w:szCs w:val="18"/>
                <w:highlight w:val="none"/>
                <w:lang w:val="en-US" w:eastAsia="zh-CN" w:bidi="ar-SA"/>
              </w:rPr>
            </w:pPr>
            <w:r>
              <w:rPr>
                <w:rFonts w:hint="eastAsia" w:asciiTheme="minorEastAsia" w:hAnsiTheme="minorEastAsia" w:eastAsiaTheme="minorEastAsia" w:cstheme="minorEastAsia"/>
                <w:color w:val="auto"/>
                <w:sz w:val="18"/>
                <w:szCs w:val="18"/>
                <w:lang w:val="en-US" w:eastAsia="zh-CN"/>
              </w:rPr>
              <w:t>100分</w:t>
            </w:r>
          </w:p>
        </w:tc>
      </w:tr>
    </w:tbl>
    <w:p>
      <w:pPr>
        <w:pStyle w:val="3"/>
        <w:rPr>
          <w:color w:val="auto"/>
        </w:rPr>
      </w:pPr>
    </w:p>
    <w:p>
      <w:pPr>
        <w:rPr>
          <w:color w:val="auto"/>
        </w:rPr>
      </w:pPr>
    </w:p>
    <w:p>
      <w:pPr>
        <w:pStyle w:val="2"/>
        <w:rPr>
          <w:color w:val="auto"/>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公文小标宋简">
    <w:altName w:val="宋体"/>
    <w:panose1 w:val="00000000000000000000"/>
    <w:charset w:val="86"/>
    <w:family w:val="modern"/>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微软简标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682ACB"/>
    <w:multiLevelType w:val="singleLevel"/>
    <w:tmpl w:val="60682ACB"/>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E9441E"/>
    <w:rsid w:val="13E9441E"/>
    <w:rsid w:val="75362B70"/>
    <w:rsid w:val="7DAC42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4">
    <w:name w:val="heading 4"/>
    <w:basedOn w:val="1"/>
    <w:next w:val="1"/>
    <w:qFormat/>
    <w:uiPriority w:val="0"/>
    <w:pPr>
      <w:keepNext/>
      <w:jc w:val="center"/>
      <w:outlineLvl w:val="3"/>
    </w:pPr>
    <w:rPr>
      <w:rFonts w:eastAsia="公文小标宋简"/>
      <w:b/>
      <w:sz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style>
  <w:style w:type="paragraph" w:styleId="3">
    <w:name w:val="toc 5"/>
    <w:basedOn w:val="1"/>
    <w:next w:val="1"/>
    <w:qFormat/>
    <w:uiPriority w:val="0"/>
    <w:pPr>
      <w:ind w:left="840"/>
      <w:jc w:val="left"/>
    </w:pPr>
    <w:rPr>
      <w:sz w:val="18"/>
      <w:szCs w:val="18"/>
    </w:rPr>
  </w:style>
  <w:style w:type="paragraph" w:customStyle="1" w:styleId="7">
    <w:name w:val="样式 宋体 四号 首行缩进:  2 字符"/>
    <w:basedOn w:val="1"/>
    <w:qFormat/>
    <w:uiPriority w:val="0"/>
    <w:pPr>
      <w:widowControl/>
      <w:jc w:val="both"/>
    </w:pPr>
    <w:rPr>
      <w:rFonts w:cs="宋体"/>
      <w:color w:val="000000"/>
      <w:kern w:val="0"/>
      <w:szCs w:val="20"/>
    </w:rPr>
  </w:style>
  <w:style w:type="paragraph" w:customStyle="1" w:styleId="8">
    <w:name w:val="null3"/>
    <w:hidden/>
    <w:qFormat/>
    <w:uiPriority w:val="0"/>
    <w:rPr>
      <w:rFonts w:hint="eastAsia" w:asciiTheme="minorHAnsi" w:hAnsiTheme="minorHAnsi" w:eastAsiaTheme="minorEastAsia" w:cstheme="minorBidi"/>
      <w:lang w:val="en-US" w:eastAsia="zh-Hans"/>
    </w:rPr>
  </w:style>
  <w:style w:type="character" w:customStyle="1" w:styleId="9">
    <w:name w:val="NormalCharacter"/>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中山市人民政府石岐街道办事处</Company>
  <Pages>1</Pages>
  <Words>0</Words>
  <Characters>0</Characters>
  <Lines>0</Lines>
  <Paragraphs>0</Paragraphs>
  <TotalTime>0</TotalTime>
  <ScaleCrop>false</ScaleCrop>
  <LinksUpToDate>false</LinksUpToDate>
  <CharactersWithSpaces>0</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2024-07-18T08:45:00Z</dcterms:created>
  <dc:creator>刘倩云</dc:creator>
  <cp:lastModifiedBy>刘爱韶</cp:lastModifiedBy>
  <dcterms:modified xsi:type="dcterms:W3CDTF">2024-07-18T08:57:13Z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92B8EEA7434644888720303D2C5D105C</vt:lpwstr>
  </property>
</Properties>
</file>