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442000-2025-00382</w:t>
      </w:r>
    </w:p>
    <w:p>
      <w:pPr>
        <w:pStyle w:val="null3"/>
        <w:jc w:val="center"/>
        <w:outlineLvl w:val="3"/>
      </w:pPr>
      <w:r>
        <w:rPr>
          <w:sz w:val="24"/>
          <w:b/>
        </w:rPr>
        <w:t>采购项目编号：</w:t>
      </w:r>
      <w:r>
        <w:rPr>
          <w:sz w:val="24"/>
          <w:b/>
        </w:rPr>
        <w:t>ZZ22413538</w:t>
      </w:r>
    </w:p>
    <w:p>
      <w:pPr>
        <w:pStyle w:val="null3"/>
        <w:jc w:val="center"/>
        <w:outlineLvl w:val="3"/>
      </w:pPr>
      <w:r>
        <w:rPr>
          <w:sz w:val="24"/>
          <w:b/>
        </w:rPr>
        <w:t>项目名称：</w:t>
      </w:r>
      <w:r>
        <w:rPr>
          <w:sz w:val="24"/>
          <w:b/>
        </w:rPr>
        <w:t>中山市博爱医院外送基因测序项目（2025年至2027年）</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中山市博爱医院</w:t>
      </w:r>
      <w:r>
        <w:rPr/>
        <w:t>的委托，采用</w:t>
      </w:r>
      <w:r>
        <w:rPr/>
        <w:t>公开招标</w:t>
      </w:r>
      <w:r>
        <w:rPr/>
        <w:t>方式组织采购</w:t>
      </w:r>
      <w:r>
        <w:rPr/>
        <w:t>中山市博爱医院外送基因测序项目（2025年至2027年）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中山市博爱医院外送基因测序项目（2025年至2027年）</w:t>
      </w:r>
    </w:p>
    <w:p>
      <w:pPr>
        <w:pStyle w:val="null3"/>
        <w:ind w:firstLine="480"/>
      </w:pPr>
      <w:r>
        <w:rPr/>
        <w:t>采购计划编号：</w:t>
      </w:r>
      <w:r>
        <w:rPr/>
        <w:t>442000-2025-00382</w:t>
      </w:r>
    </w:p>
    <w:p>
      <w:pPr>
        <w:pStyle w:val="null3"/>
        <w:ind w:firstLine="480"/>
      </w:pPr>
      <w:r>
        <w:rPr/>
        <w:t>采购项目编号：</w:t>
      </w:r>
      <w:r>
        <w:rPr/>
        <w:t>ZZ22413538</w:t>
      </w:r>
    </w:p>
    <w:p>
      <w:pPr>
        <w:pStyle w:val="null3"/>
        <w:ind w:firstLine="480"/>
      </w:pPr>
      <w:r>
        <w:rPr/>
        <w:t>采购方式：</w:t>
      </w:r>
      <w:r>
        <w:rPr/>
        <w:t>公开招标</w:t>
      </w:r>
    </w:p>
    <w:p>
      <w:pPr>
        <w:pStyle w:val="null3"/>
        <w:ind w:firstLine="480"/>
      </w:pPr>
      <w:r>
        <w:rPr/>
        <w:t>预算金额：</w:t>
      </w:r>
      <w:r>
        <w:rPr/>
        <w:t>17,100,000.00</w:t>
      </w:r>
      <w:r>
        <w:rPr/>
        <w:t>元</w:t>
      </w:r>
    </w:p>
    <w:p>
      <w:pPr>
        <w:pStyle w:val="null3"/>
        <w:outlineLvl w:val="3"/>
      </w:pPr>
      <w:r>
        <w:rPr>
          <w:sz w:val="24"/>
          <w:b/>
        </w:rPr>
        <w:t>2.项目内容及需求情况（采购项目技术规格、参数及要求）</w:t>
      </w:r>
    </w:p>
    <w:p>
      <w:pPr>
        <w:pStyle w:val="null3"/>
      </w:pPr>
      <w:r>
        <w:rPr/>
        <w:t>采购包1(外送基因测序):</w:t>
      </w:r>
    </w:p>
    <w:p>
      <w:pPr>
        <w:pStyle w:val="null3"/>
      </w:pPr>
      <w:r>
        <w:rPr/>
        <w:t>采购包预算金额：13,100,000.00元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外送基因测序</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合同履行期限：自合同签订之日起3年，当合同期结束或项目结算金额累计达到采购预算金额时（以先到者为准），该合同自动终止。</w:t>
      </w:r>
    </w:p>
    <w:p>
      <w:pPr>
        <w:pStyle w:val="null3"/>
      </w:pPr>
      <w:r>
        <w:rPr/>
        <w:t>采购包2(特殊单基因疾病整体解决方案):</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特殊单基因疾病整体解决方案</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合同履行期限：自合同签订之日起3年，当合同期结束或项目结算金额累计达到采购预算金额时（以先到者为准），该合同自动终止。</w:t>
      </w:r>
    </w:p>
    <w:p>
      <w:pPr>
        <w:pStyle w:val="null3"/>
      </w:pPr>
      <w:r>
        <w:rPr/>
        <w:t>采购包3(辅助生殖人群相关基因检测):</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其他医疗卫生服务</w:t>
            </w:r>
          </w:p>
        </w:tc>
        <w:tc>
          <w:tcPr>
            <w:tcW w:type="dxa" w:w="2052"/>
          </w:tcPr>
          <w:p>
            <w:pPr>
              <w:pStyle w:val="null3"/>
            </w:pPr>
            <w:r>
              <w:rPr/>
              <w:t>辅助生殖人群相关基因检测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合同履行期限：自合同签订之日起3年，当合同期结束或项目结算金额累计达到采购预算金额时（以先到者为准），该合同自动终止。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2）有依法缴纳税收和社会保障资金的良好记录：提供投标截止日前6个月内任意1个月依法缴纳税收和社会保障资金的相关（如依法免税或不需要缴纳社会保障资金的， 提供相应证明材料。）或提供《政府采购供应商资格信用承诺函》。若供应商同时提供资格信用承诺函和证明材料的，资格审查时以证明材料为准。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采购包1（外送基因测序）：</w:t>
      </w:r>
      <w:r>
        <w:rPr/>
        <w:t>本项目不属于专门面向中小企业采购的项目。</w:t>
      </w:r>
    </w:p>
    <w:p>
      <w:pPr>
        <w:pStyle w:val="null3"/>
        <w:jc w:val="left"/>
      </w:pPr>
      <w:r>
        <w:rPr/>
        <w:t>采购包2（特殊单基因疾病整体解决方案）：</w:t>
      </w:r>
      <w:r>
        <w:rPr/>
        <w:t>本项目不属于专门面向中小企业采购的项目。</w:t>
      </w:r>
    </w:p>
    <w:p>
      <w:pPr>
        <w:pStyle w:val="null3"/>
        <w:jc w:val="left"/>
      </w:pPr>
      <w:r>
        <w:rPr/>
        <w:t>采购包3（辅助生殖人群相关基因检测）：</w:t>
      </w:r>
      <w:r>
        <w:rPr/>
        <w:t>本项目不属于专门面向中小企业采购的项目。</w:t>
      </w:r>
    </w:p>
    <w:p>
      <w:pPr>
        <w:pStyle w:val="null3"/>
        <w:outlineLvl w:val="3"/>
      </w:pPr>
      <w:r>
        <w:rPr>
          <w:sz w:val="24"/>
          <w:b/>
        </w:rPr>
        <w:t>3.本项目特定的资格要求：</w:t>
      </w:r>
    </w:p>
    <w:p>
      <w:pPr>
        <w:pStyle w:val="null3"/>
      </w:pPr>
      <w:r>
        <w:rPr/>
        <w:t>采购包1（外送基因测序）：</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3)供应商须具备卫生部门核发且在有效期内的《医疗机构执业许可证》，诊疗科目需包含医学检验科（提供有效的证书复印件加盖公章）。（如国家另有规定，则适用其规定）。</w:t>
      </w:r>
    </w:p>
    <w:p>
      <w:pPr>
        <w:pStyle w:val="null3"/>
      </w:pPr>
      <w:r>
        <w:rPr/>
        <w:t>采购包2（特殊单基因疾病整体解决方案）：</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3)供应商须具备卫生部门核发且在有效期内的《医疗机构执业许可证》，诊疗科目需包含医学检验科（提供有效的证书复印件加盖公章）。（如国家另有规定，则适用其规定）。</w:t>
      </w:r>
    </w:p>
    <w:p>
      <w:pPr>
        <w:pStyle w:val="null3"/>
      </w:pPr>
      <w:r>
        <w:rPr/>
        <w:t>采购包3（辅助生殖人群相关基因检测）：</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3)供应商须具备卫生部门核发且在有效期内的《医疗机构执业许可证》，诊疗科目需包含医学检验科（提供有效的证书复印件加盖公章）。（如国家另有规定，则适用其规定）。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中山市城桂路6号</w:t>
      </w:r>
    </w:p>
    <w:p>
      <w:pPr>
        <w:pStyle w:val="null3"/>
        <w:ind w:firstLine="480"/>
      </w:pPr>
      <w:r>
        <w:rPr/>
        <w:t xml:space="preserve"> 联系方式：</w:t>
      </w:r>
      <w:r>
        <w:rPr/>
        <w:t>0760-88776128</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、采购项目内容：对基因筛查及诊断、个体化用药指导基因检测、单基因遗传病基因检测、病原微生物高通量基因检测和肿瘤基因检测等项目外送检测。</w:t>
      </w:r>
    </w:p>
    <w:p>
      <w:pPr>
        <w:pStyle w:val="null3"/>
      </w:pPr>
      <w:r>
        <w:rPr/>
        <w:t>2</w:t>
      </w:r>
      <w:r>
        <w:rPr/>
        <w:t>、本项目合同一年一签，采购人将根据中标供应商上一年度的服务质量决定是否续签合同；若采购人使用科室核心小组有</w:t>
      </w:r>
      <w:r>
        <w:rPr/>
        <w:t>2/3</w:t>
      </w:r>
      <w:r>
        <w:rPr/>
        <w:t>或以上人数对中标供应商的服务质量不满意的，经院方领导同意，采购人有权不续签合同并重新组织采购。</w:t>
      </w:r>
    </w:p>
    <w:p>
      <w:pPr>
        <w:pStyle w:val="null3"/>
      </w:pPr>
      <w:r>
        <w:rPr/>
        <w:t>3</w:t>
      </w:r>
      <w:r>
        <w:rPr/>
        <w:t>、供应商须对</w:t>
      </w:r>
      <w:r>
        <w:rPr/>
        <w:t>所投采购包</w:t>
      </w:r>
      <w:r>
        <w:rPr/>
        <w:t>的服务</w:t>
      </w:r>
      <w:r>
        <w:rPr/>
        <w:t>内容</w:t>
      </w:r>
      <w:r>
        <w:rPr/>
        <w:t>进行整体响应，任何只对</w:t>
      </w:r>
      <w:r>
        <w:rPr/>
        <w:t>所投采购包的</w:t>
      </w:r>
      <w:r>
        <w:rPr/>
        <w:t>其中一部分内容进行的响应都被视为无效报价处理。</w:t>
      </w:r>
    </w:p>
    <w:p>
      <w:pPr>
        <w:pStyle w:val="null3"/>
      </w:pPr>
      <w:r>
        <w:rPr/>
        <w:t>4</w:t>
      </w:r>
      <w:r>
        <w:rPr/>
        <w:t>、本项目不接受联合体投标，中标人不得以任何方式转包或分包本项目。</w:t>
      </w:r>
    </w:p>
    <w:p>
      <w:pPr>
        <w:pStyle w:val="null3"/>
      </w:pPr>
      <w:r>
        <w:rPr/>
        <w:t>5</w:t>
      </w:r>
      <w:r>
        <w:rPr/>
        <w:t>、采购人不承诺中标人在合同期内可获得的实际服务数量。</w:t>
      </w:r>
    </w:p>
    <w:p>
      <w:pPr>
        <w:pStyle w:val="null3"/>
      </w:pPr>
      <w:r>
        <w:rPr/>
        <w:t>6</w:t>
      </w:r>
      <w:r>
        <w:rPr/>
        <w:t>、打“★”号条款为实质性条款，若有任何一条负偏离或不满足则导致投标（响应）无效。</w:t>
      </w:r>
    </w:p>
    <w:p>
      <w:pPr>
        <w:pStyle w:val="null3"/>
      </w:pPr>
      <w:r>
        <w:rPr/>
        <w:t>7</w:t>
      </w:r>
      <w:r>
        <w:rPr/>
        <w:t>、打“▲”号条款为重要技术参数（如有），若有部分“▲”条款未响应或不满足，将根据评审要求影响其得分，但不作为无效投标（响应）条款。</w:t>
      </w:r>
    </w:p>
    <w:p>
      <w:pPr>
        <w:pStyle w:val="null3"/>
      </w:pPr>
      <w:r>
        <w:br/>
      </w:r>
    </w:p>
    <w:p>
      <w:pPr>
        <w:pStyle w:val="null3"/>
      </w:pPr>
      <w:r>
        <w:rPr/>
        <w:t>采购包1（外送基因测序）</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自合同签订之日起3年，当合同期结束或项目结算金额累计达到采购预算金额时（以先到者为准），该合同自动终止。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月支付)：支付比例100%，1、采购人按照当地物价部门公布的标准，以实际检验报告发生数和采购人当地物价收费的标准计算所得的检验业务收入（实际检验业务收入=实际检验报告发生数×采购人当地物价收费标准）作为费用结算基数，再以双方约定的结算规则按月计算服务费用，然后进行结算操作。其中未经中标人同意而采购人单方面减免的（采购人漏收、病人逃费等情况）应由采购人负责承担相关的检验费用。结算规则如下： ①各检测项目实际服务费用=各检测项目实际检验业务收入×各检测项目对应的中标折扣率； ②所有检测项目实际服务费用相加所得的金额即为结算金额。 2、中标人于每月5日前提供上月数量和价格，采购人进行核实。如出现差异，应于五个工作日内双方共同复核并确定结算数据，经双方认可和确认数据后方可进行费用结算。 3、根据双方协商，双方按上述统一收费标准进行统计，结算按照标本的产生日期为准。双方每月结算一次，采购人自收到中标人发票起30个工作日内向中标人付款。 4、因采购人使用资金需要经过财务审批程序，采购人在前款规定的付款时间为向财务部门提出办理支付申请手续的时间（不含账务部门、支付部门审核的时间） ，在规定时间内提出支付申请手续后即视为采购人已经按期支付。 5、本项目将对中标人进行不定期考核，并根据考核情况对中标人进行扣罚，具体扣罚如下： （1）若服务考核低于90分的，采购人按该月度服务款项的5%对中标人进行扣罚，即该月的服务费结算金额=该月度服务费用-该月度服务费用×5%； （2）若服务考核低于80分的，采购人按该月度服务款项的10%对中标人进行扣罚，即该月的服务费结算金额=该月度服务费用-该月度服务费用×10%。 6、如因政策影响使拨款未能及时到位的，中标人不得以此为由而不履行(或不完全履行)合同规定的义务。。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 2.验收标准：按招标文件技术要求和合同条款、国家以及采购人有关医疗标本送检规定执行进行验收，在验收时，中标人向采购人提供本项目服务过程资料及总结资料 。 3.采购人可以邀请参加本项目的其他供应商或者第三方专业机构及专家参与验收，相关验收意见作为验收的参考资料。 4.如发现效果与相关要求规定不符，采购人有权拒绝接受。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一、服务要求，（一）被委托实验室的要求</w:t>
            </w:r>
          </w:p>
        </w:tc>
        <w:tc>
          <w:tcPr>
            <w:tcW w:type="dxa" w:w="2076"/>
          </w:tcPr>
          <w:p>
            <w:pPr>
              <w:pStyle w:val="null3"/>
              <w:jc w:val="left"/>
            </w:pPr>
            <w:r>
              <w:rPr/>
              <w:t>1、投标人实验室符合国家卫计委《医疗机构临床实验室管理办法》等法律法规要求。 2、按采购人指定时间、地点等相关要求收检和运送标本，并及时发送报告。 3、投标人负责免费提供标本采集试管、保存装置等。 4、投标人保证按国家检验规范进行操作，并对标本的检验报告承担相应的责任。 5、投标人有为采购人保密的义务，在未经采购人同意或授权下，投标人不得向采购人以外的任何单位或个人泄露采购人委托检测的任何信息。 6、检测样本、检测数据的所有权、使用权为采购人所有，未经许可不得挪作它用。 7、投标人检测后的剩余标本（如有），由投标人依法处置，投标人按照国家法律法规及相关行业规定的保存期限保存剩余标本（若有）。 8、投标人保证检验结果的公正性，不受任何诱使或压力的干扰。 9、投标人建立快速的客户服务反应机制，如有针对投标人或采购人与投标人双方的投诉或需处理的情况，投标人须在接到采购人通知后4小时内派代表到达医院及时沟通处理；若主要针对采购人的投诉或需处理的情况，投标人有义务协助采购人及时沟通处理。 10、投标人每年定期安排相关的专家与采购人进行学术讲座、学术交流、培训等。 11、投标人应保证其应用到本项目的专利、技术是归其持有的，且享有处分权。 12、双方合作仅限于开展本基因检测服务类范畴的合作。未经对方书面同意，采购人不得单方面以任何名义使用投标人及关联方品牌开展任何形式的宣传活动；投标人亦不得单方面以任何名义使用采购人及关联方品牌开展任何形式的宣传活动。双方如有一方违反规定，守约方保留向违约方追究相应法律责任的权利。 13、投标人如使用采购人提供的受检者标本发表科研成果，需经采购人同意，且采购人有署名权，署名排序按照文章发表时各方的贡献另行协商确定。 14、检测报告须由副高级或以上职称人员审核签发。 15、投标人具备一定的科研能力，主持或以合作单位参与过市级及以上级别科研项目，并能协助采购人进行科研及成果转化。</w:t>
            </w:r>
          </w:p>
        </w:tc>
      </w:tr>
      <w:tr>
        <w:tc>
          <w:tcPr>
            <w:tcW w:type="dxa" w:w="2076"/>
          </w:tcPr>
          <w:p/>
        </w:tc>
        <w:tc>
          <w:tcPr>
            <w:tcW w:type="dxa" w:w="2076"/>
          </w:tcPr>
          <w:p>
            <w:pPr>
              <w:pStyle w:val="null3"/>
              <w:jc w:val="center"/>
            </w:pPr>
            <w:r>
              <w:rPr/>
              <w:t>2</w:t>
            </w:r>
          </w:p>
        </w:tc>
        <w:tc>
          <w:tcPr>
            <w:tcW w:type="dxa" w:w="2076"/>
          </w:tcPr>
          <w:p>
            <w:pPr>
              <w:pStyle w:val="null3"/>
              <w:jc w:val="left"/>
            </w:pPr>
            <w:r>
              <w:rPr/>
              <w:t>一、服务要求，(二)被委托实验室的质量要求</w:t>
            </w:r>
          </w:p>
        </w:tc>
        <w:tc>
          <w:tcPr>
            <w:tcW w:type="dxa" w:w="2076"/>
          </w:tcPr>
          <w:p>
            <w:pPr>
              <w:pStyle w:val="null3"/>
              <w:jc w:val="left"/>
            </w:pPr>
            <w:r>
              <w:rPr/>
              <w:t xml:space="preserve"> 1、投标人对采购人送检的合格样本结果进行负责，对于按照投标人取材要求进行取材的合格样本，若因投标人原因导致检测结果存在质量问题，由投标人承担相关责任。 2、投标人均按日或检测批次对采购人委托项目进行室内质控，按季度提供室内质量控制报表，其内容包括质控检测数据、控制标准、质控分析、失控报告。 3、投标人参加国家卫计委室间质评，每半年提供委托项目的能力验证活动报告，没有能力验证的检验项目应提供与委托方认可的实验室结果一致性的证据。 4、按采购人要求，随时提供质量和技术资料，如更换试剂批号、仪器维修后、检验系统更换后的质控记录和性能验证报告。 5、投标人有专人负责采购人业务及质量、技术、培训等工作。 6、投标人随时接受并妥善安排采购人查阅项目检测、质量控制等情况。 7、若采购人患者对投标人出具的检测结果存有异议，因患者有充足的证据证明投标人所提供的检测结果有误导致采购人赔偿的，经法定的医疗争议解决途径确认采购人损失后，投标人对采购人予以赔偿；或者投标人无法协助采购人证明所出具结果准确性如无法提供按照国家法律法规及相关行业规定的保存期限内留存的标本委托法定的第三方检验、检测机构再次检验等，导致通过法定的医疗争议解决途径，采购人需要向检测患者或近亲属承担赔付责任的，投标人需要全数承担采购人的经济损失。 8、对样本运输的要求： （1）临床科室采集样本后，由委托检测机构派专人到采购人指定地点接收并保证物流运输。 （2）一般标本自接收后24小时内送达委托检测机构，特殊项目具体按双方协商时间为准。 （3）样本运输要求直立、冷藏、封闭，符合《GBT28577-2012 冷链物流分类与基本要求》与生物安全要求，确保运输过程的样品质量和环境安全。 （4）投标人接收后不合格样本率≤1/1000。</w:t>
            </w:r>
          </w:p>
        </w:tc>
      </w:tr>
      <w:tr>
        <w:tc>
          <w:tcPr>
            <w:tcW w:type="dxa" w:w="2076"/>
          </w:tcPr>
          <w:p/>
        </w:tc>
        <w:tc>
          <w:tcPr>
            <w:tcW w:type="dxa" w:w="2076"/>
          </w:tcPr>
          <w:p>
            <w:pPr>
              <w:pStyle w:val="null3"/>
              <w:jc w:val="center"/>
            </w:pPr>
            <w:r>
              <w:rPr/>
              <w:t>3</w:t>
            </w:r>
          </w:p>
        </w:tc>
        <w:tc>
          <w:tcPr>
            <w:tcW w:type="dxa" w:w="2076"/>
          </w:tcPr>
          <w:p>
            <w:pPr>
              <w:pStyle w:val="null3"/>
              <w:jc w:val="left"/>
            </w:pPr>
            <w:r>
              <w:rPr/>
              <w:t>一、服务要求，（三）服务响应</w:t>
            </w:r>
          </w:p>
        </w:tc>
        <w:tc>
          <w:tcPr>
            <w:tcW w:type="dxa" w:w="2076"/>
          </w:tcPr>
          <w:p>
            <w:pPr>
              <w:pStyle w:val="null3"/>
              <w:jc w:val="left"/>
            </w:pPr>
            <w:r>
              <w:rPr/>
              <w:t xml:space="preserve"> 1、投标人建立完善的售后服务团队，可及时提供完善物流网络、技术支持、售后服务和遗传咨询等服务。 2、有明确的样本送检和报告发布时间服务承诺。检测报告需按照投标人提供的《检测项目手册》规定的出报告时间出具。 3、每周提供六次上门收取标本服务，安排专人驻点处理委托检验标本。 4、如投标人检测报告超出约定时间而又未出具书面通知采购人造成恶劣影响的，包括造成医疗纠纷、有群众投诉造成严重后果等情况，投标人应承担相应的经济和法律责任。 5、投标人需提供免费服务电话、网络査询、微信查询等多种渠道供采购人相关临床部门进行业务咨询、报告查询、账单查询统计功能。 6、投标人指定日常联系人，提供专门服务，确保圆满落实各项承保、理赔、防灾防损和培训服务承诺。 7、投标人有客服中心，能满足在线客服及电话客服，满足受检者的业务咨询、投诉处理等需求。</w:t>
            </w:r>
          </w:p>
        </w:tc>
      </w:tr>
      <w:tr>
        <w:tc>
          <w:tcPr>
            <w:tcW w:type="dxa" w:w="2076"/>
          </w:tcPr>
          <w:p/>
        </w:tc>
        <w:tc>
          <w:tcPr>
            <w:tcW w:type="dxa" w:w="2076"/>
          </w:tcPr>
          <w:p>
            <w:pPr>
              <w:pStyle w:val="null3"/>
              <w:jc w:val="center"/>
            </w:pPr>
            <w:r>
              <w:rPr/>
              <w:t>4</w:t>
            </w:r>
          </w:p>
        </w:tc>
        <w:tc>
          <w:tcPr>
            <w:tcW w:type="dxa" w:w="2076"/>
          </w:tcPr>
          <w:p>
            <w:pPr>
              <w:pStyle w:val="null3"/>
              <w:jc w:val="left"/>
            </w:pPr>
            <w:r>
              <w:rPr/>
              <w:t>一、服务要求，（四）对于委托检验项目的要求</w:t>
            </w:r>
          </w:p>
        </w:tc>
        <w:tc>
          <w:tcPr>
            <w:tcW w:type="dxa" w:w="2076"/>
          </w:tcPr>
          <w:p>
            <w:pPr>
              <w:pStyle w:val="null3"/>
              <w:jc w:val="left"/>
            </w:pPr>
            <w:r>
              <w:rPr/>
              <w:t>1、合同期内，采购人的检测实验室能够在院内开展招标的检测项目时，该测序项目可提前终止，采购人不承担任何的违约责任。 2、被委托实验室按采购人要求进行检测，在标本结果出具时限内出具检验报告。</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二、其他要求</w:t>
            </w:r>
          </w:p>
        </w:tc>
        <w:tc>
          <w:tcPr>
            <w:tcW w:type="dxa" w:w="2076"/>
          </w:tcPr>
          <w:p>
            <w:pPr>
              <w:pStyle w:val="null3"/>
              <w:jc w:val="left"/>
            </w:pPr>
            <w:r>
              <w:rPr/>
              <w:t>★1、投标人的实验室获得临床检验中心颁发有效期内的临床基因扩增检验实验室技术审核验收合格的相关证书或批复（投标文件中提供证明文件复印件加盖投标人公章）。 ★2、投标人所有开展的检测项目必须能自主开展，不得送至第三方检验公司或其他医疗机构检测（投标文件中提供承诺函加盖投标人公章）。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二、其他要求</w:t>
            </w:r>
          </w:p>
        </w:tc>
        <w:tc>
          <w:tcPr>
            <w:tcW w:type="dxa" w:w="2076"/>
          </w:tcPr>
          <w:p>
            <w:pPr>
              <w:pStyle w:val="null3"/>
              <w:jc w:val="left"/>
            </w:pPr>
            <w:r>
              <w:rPr/>
              <w:t>3、投标人必须如实提供投标所需证明材料，不得弄虚作假。 4、中标人发生事业单位改革或者公司合并、分立等情况，不能以原机构名义履行合同的，拟继续履约的检验机构应及时以书面方式报告采购人、提供相关证明材料，经采购人审查并报有关部门同意后再决定是否继续履约。 5、根据工作需要，采购人对中标人的承检任务可以适当调整，中标人应当予以支持。 6、本项目需求中未作细化详尽的地方，采购人将在送检开始前制定具体的要求，中标人应遵守执行；当政策法规发生调整或者工作形势发生变更，采购人可以调整有关送检操作要求，中标人应按采购人要求实施。 7、在服务采购期限内，若采购人增加本项目清单外的检验项目，投标人应尽量配合开展，若经双方同意送检的检验项目，按本采购同类项目的中标折扣率结算。</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★三、罚则</w:t>
            </w:r>
          </w:p>
        </w:tc>
        <w:tc>
          <w:tcPr>
            <w:tcW w:type="dxa" w:w="2076"/>
          </w:tcPr>
          <w:p>
            <w:pPr>
              <w:pStyle w:val="null3"/>
              <w:jc w:val="left"/>
            </w:pPr>
            <w:r>
              <w:rPr/>
              <w:t>1、在服务期间，服务人员因为调走、辞职或被中标供应商辞退等原因导致服务人员不足的，而中标供应商在30天内未能及时补齐符合项目要求的服务人员时，则视为中标供应商违约，采购人有权终止合同，并有权拒绝支付因此而产生的项目服务费。 2、因中标供应商安排的服务人员违反采购人内部管理制度、蓄意破坏设备设施、违反工作规程造成重大事故的，一经查实，则视为中标供应商严重违约，采购人有权终止合同，责令中标供应商赔偿损失，情节严重的依法追究中标供应商法律责任。 3、若中标供应商在合同期内违反其服务承诺或本项目合同（包括合同附件）的要求2次或以上的，则视为中标供应商违约，采购人有权单方解除合同并拒绝支付本期项目服务费。 4、服务人员有以下情况之一的，造成采购人安全责任事故的，中标供应商除承担事故处理费用外，视情节还须按中标价支付0.5%-1%的违约金： ①违反采购人单位规章制度、业务规程或工作纪律的； ②严重失职，造成重大安全事故的； ③工作不服从指挥和安排的； ④其他违反法律法规规定情形的。 5、若采购人使用科室核心小组有2/3或以上人数对中标供应商的服务质量不满意的，且使用科室核心小组已对其发出书面通报两次或以上的，经院方领导同意，采购人有权终止合同，并有权拒绝支付剩余未支付的服务费。 6、中标供应商在投标文件中已对本采购文件需求等条款进行响应的，在合同执行过程中，如出现违反其响应文件内容或执行不到位，且采购人已对其发出书面通报两次或以上的，采购人有权终止合同，并有权拒绝支付剩余未支付的服务费。 7、采购人使用科室对中标供应商进行考核，考核标准详见《中山市博爱医院外送基因测序项目考核表》，如考核分数低于60分，或累计两次服务考核低于80分的，采购人提出在一个月内整改后仍不达标，采购人有权提前终止合同而不承担法律责任，未支付的服务费无需支付。 8、如因中标供应商违约导致采购人循法律途径主张权利，由此产生的诉讼费、律师费、差旅费等合理费用均由中标供应商承担。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外送基因测序</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13,100,000.00</w:t>
            </w:r>
          </w:p>
        </w:tc>
        <w:tc>
          <w:tcPr>
            <w:tcW w:type="dxa" w:w="831"/>
          </w:tcPr>
          <w:p>
            <w:pPr>
              <w:pStyle w:val="null3"/>
              <w:jc w:val="right"/>
            </w:pPr>
            <w:r>
              <w:rPr/>
              <w:t>13,100,000.00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外送基因测序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报价要求</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500"/>
              <w:gridCol w:w="2305"/>
              <w:gridCol w:w="1556"/>
              <w:gridCol w:w="1238"/>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检测项目名称</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投标折扣率报价上限</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评分权重</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无创产前基因检测</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无创产前基因检测升级版</w:t>
                  </w:r>
                  <w:r>
                    <w:rPr>
                      <w:sz w:val="21"/>
                    </w:rPr>
                    <w:t>、临床全外显组检测（测序</w:t>
                  </w:r>
                  <w:r>
                    <w:rPr>
                      <w:sz w:val="21"/>
                    </w:rPr>
                    <w:t>+</w:t>
                  </w:r>
                  <w:r>
                    <w:rPr>
                      <w:sz w:val="21"/>
                    </w:rPr>
                    <w:t>报告）</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临床全外显组检测</w:t>
                  </w:r>
                  <w:r>
                    <w:rPr>
                      <w:sz w:val="21"/>
                    </w:rPr>
                    <w:t>（仅测序）</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除上述序号</w:t>
                  </w:r>
                  <w:r>
                    <w:rPr>
                      <w:sz w:val="21"/>
                    </w:rPr>
                    <w:t>1</w:t>
                  </w:r>
                  <w:r>
                    <w:rPr>
                      <w:sz w:val="21"/>
                    </w:rPr>
                    <w:t>至序号</w:t>
                  </w:r>
                  <w:r>
                    <w:rPr>
                      <w:sz w:val="21"/>
                    </w:rPr>
                    <w:t>3</w:t>
                  </w:r>
                  <w:r>
                    <w:rPr>
                      <w:sz w:val="21"/>
                    </w:rPr>
                    <w:t>外的所有检测项目</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28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平均投标折扣率</w:t>
                  </w:r>
                  <w:r>
                    <w:rPr>
                      <w:sz w:val="21"/>
                    </w:rPr>
                    <w:t>（计算方法：序号</w:t>
                  </w:r>
                  <w:r>
                    <w:rPr>
                      <w:sz w:val="21"/>
                    </w:rPr>
                    <w:t>1</w:t>
                  </w:r>
                  <w:r>
                    <w:rPr>
                      <w:sz w:val="21"/>
                    </w:rPr>
                    <w:t>折扣率×序号</w:t>
                  </w:r>
                  <w:r>
                    <w:rPr>
                      <w:sz w:val="21"/>
                    </w:rPr>
                    <w:t>1</w:t>
                  </w:r>
                  <w:r>
                    <w:rPr>
                      <w:sz w:val="21"/>
                    </w:rPr>
                    <w:t>评分权重</w:t>
                  </w:r>
                  <w:r>
                    <w:rPr>
                      <w:sz w:val="21"/>
                    </w:rPr>
                    <w:t>+</w:t>
                  </w:r>
                  <w:r>
                    <w:rPr>
                      <w:sz w:val="21"/>
                    </w:rPr>
                    <w:t>…</w:t>
                  </w:r>
                  <w:r>
                    <w:rPr>
                      <w:sz w:val="21"/>
                    </w:rPr>
                    <w:t>+</w:t>
                  </w:r>
                  <w:r>
                    <w:rPr>
                      <w:sz w:val="21"/>
                    </w:rPr>
                    <w:t>序号</w:t>
                  </w:r>
                  <w:r>
                    <w:rPr>
                      <w:sz w:val="21"/>
                    </w:rPr>
                    <w:t>4</w:t>
                  </w:r>
                  <w:r>
                    <w:rPr>
                      <w:sz w:val="21"/>
                    </w:rPr>
                    <w:t>折扣率</w:t>
                  </w:r>
                  <w:r>
                    <w:rPr>
                      <w:sz w:val="21"/>
                    </w:rPr>
                    <w:t>×序号</w:t>
                  </w:r>
                  <w:r>
                    <w:rPr>
                      <w:sz w:val="21"/>
                    </w:rPr>
                    <w:t>4</w:t>
                  </w:r>
                  <w:r>
                    <w:rPr>
                      <w:sz w:val="21"/>
                    </w:rPr>
                    <w:t>评分权重）</w:t>
                  </w:r>
                  <w:r>
                    <w:rPr>
                      <w:sz w:val="21"/>
                    </w:rPr>
                    <w:t>报价上限</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100%</w:t>
                  </w:r>
                </w:p>
              </w:tc>
            </w:tr>
          </w:tbl>
          <w:p>
            <w:pPr>
              <w:pStyle w:val="null3"/>
              <w:jc w:val="both"/>
            </w:pPr>
            <w:r>
              <w:rPr>
                <w:sz w:val="21"/>
                <w:b/>
              </w:rPr>
              <w:t>（平均投标折扣率</w:t>
            </w:r>
            <w:r>
              <w:rPr>
                <w:sz w:val="21"/>
                <w:b/>
              </w:rPr>
              <w:t>=</w:t>
            </w:r>
            <w:r>
              <w:rPr>
                <w:sz w:val="21"/>
                <w:b/>
              </w:rPr>
              <w:t>各检测项目报价×各检测项目所占评分权重的相加之和）</w:t>
            </w:r>
          </w:p>
          <w:p>
            <w:pPr>
              <w:pStyle w:val="null3"/>
              <w:jc w:val="both"/>
            </w:pPr>
            <w:r>
              <w:rPr>
                <w:sz w:val="21"/>
              </w:rPr>
              <w:t>注：</w:t>
            </w:r>
          </w:p>
          <w:p>
            <w:pPr>
              <w:pStyle w:val="null3"/>
              <w:jc w:val="both"/>
            </w:pPr>
            <w:r>
              <w:rPr>
                <w:sz w:val="21"/>
                <w:b/>
              </w:rPr>
              <w:t>1</w:t>
            </w:r>
            <w:r>
              <w:rPr>
                <w:sz w:val="21"/>
                <w:b/>
              </w:rPr>
              <w:t>、本采购包投标报价采用折扣率方式进行报价，“序号</w:t>
            </w:r>
            <w:r>
              <w:rPr>
                <w:sz w:val="21"/>
                <w:b/>
              </w:rPr>
              <w:t>1- 4</w:t>
            </w:r>
            <w:r>
              <w:rPr>
                <w:sz w:val="21"/>
                <w:b/>
              </w:rPr>
              <w:t>”必须按附件《报价明细表（采购包</w:t>
            </w:r>
            <w:r>
              <w:rPr>
                <w:sz w:val="21"/>
                <w:b/>
              </w:rPr>
              <w:t>1</w:t>
            </w:r>
            <w:r>
              <w:rPr>
                <w:sz w:val="21"/>
                <w:b/>
              </w:rPr>
              <w:t>）》格式全部报价，开标一览表中的投标报价填写平均投标折扣率报价；投标人的投标折扣率报价不得高于投标折扣率报价上限且不能为负数或零，投标折扣率报价不接受区间报价（例如</w:t>
            </w:r>
            <w:r>
              <w:rPr>
                <w:sz w:val="21"/>
                <w:b/>
              </w:rPr>
              <w:t>30%</w:t>
            </w:r>
            <w:r>
              <w:rPr>
                <w:sz w:val="21"/>
                <w:b/>
              </w:rPr>
              <w:t>～</w:t>
            </w:r>
            <w:r>
              <w:rPr>
                <w:sz w:val="21"/>
                <w:b/>
              </w:rPr>
              <w:t>40%</w:t>
            </w:r>
            <w:r>
              <w:rPr>
                <w:sz w:val="21"/>
                <w:b/>
              </w:rPr>
              <w:t>），否则将作无效报价处理，投标人须对全部招标内容进行报价，不允许只对部份内容报价。</w:t>
            </w:r>
          </w:p>
          <w:p>
            <w:pPr>
              <w:pStyle w:val="null3"/>
              <w:jc w:val="both"/>
            </w:pPr>
            <w:r>
              <w:rPr>
                <w:sz w:val="21"/>
              </w:rPr>
              <w:t>2</w:t>
            </w:r>
            <w:r>
              <w:rPr>
                <w:sz w:val="21"/>
              </w:rPr>
              <w:t>、实际合同期内，以各检测项目对应的中标折扣率进行结算。除非另有规定，各检测项目对应的中标折扣率在合同实施期间应保持不变，均不受市场价格及政策性价格的调整而增减。</w:t>
            </w:r>
          </w:p>
          <w:p>
            <w:pPr>
              <w:pStyle w:val="null3"/>
              <w:jc w:val="both"/>
            </w:pPr>
            <w:r>
              <w:rPr>
                <w:sz w:val="21"/>
              </w:rPr>
              <w:t>3</w:t>
            </w:r>
            <w:r>
              <w:rPr>
                <w:sz w:val="21"/>
              </w:rPr>
              <w:t>、结算的单价以中山市医疗保障局公布的《基本医疗服务价格项目目录（</w:t>
            </w:r>
            <w:r>
              <w:rPr>
                <w:sz w:val="21"/>
              </w:rPr>
              <w:t>202</w:t>
            </w:r>
            <w:r>
              <w:rPr>
                <w:sz w:val="21"/>
              </w:rPr>
              <w:t>4</w:t>
            </w:r>
            <w:r>
              <w:rPr>
                <w:sz w:val="21"/>
              </w:rPr>
              <w:t>年版）》为标准（服务期内如有最新物价标准修改的单价收费标准则按最新物价标准执行），如此价格标准以外的送检项目，由中标人提供收费依据，并与采购人协商确定后的价格作为收费标准。</w:t>
            </w:r>
          </w:p>
          <w:p>
            <w:pPr>
              <w:pStyle w:val="null3"/>
              <w:jc w:val="both"/>
            </w:pPr>
            <w:r>
              <w:rPr>
                <w:sz w:val="21"/>
              </w:rPr>
              <w:t>4</w:t>
            </w:r>
            <w:r>
              <w:rPr>
                <w:sz w:val="21"/>
              </w:rPr>
              <w:t>、投标人的报价应包括但不限于检测项目的检测费用、检测标本接收保存运输费用、检测报告输出费用、试剂耗材费、人工费、材料费、设备使用费、各种税务费、必须的辅助材料费及合同实施过程中应预见和合同实施过程中不可预见费用等全部费用。</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pPr>
            <w:r>
              <w:rPr>
                <w:b/>
              </w:rPr>
              <w:t>二、基因检测项目明细</w:t>
            </w:r>
          </w:p>
          <w:p>
            <w:pPr>
              <w:pStyle w:val="null3"/>
            </w:pPr>
            <w:r>
              <w:rPr>
                <w:b/>
              </w:rPr>
              <w:t>1</w:t>
            </w:r>
            <w:r>
              <w:rPr>
                <w:b/>
              </w:rPr>
              <w:t>、基因筛查及诊断类：</w:t>
            </w:r>
          </w:p>
          <w:tbl>
            <w:tblPr>
              <w:tblBorders>
                <w:top w:val="none" w:color="000000" w:sz="4"/>
                <w:left w:val="none" w:color="000000" w:sz="4"/>
                <w:bottom w:val="none" w:color="000000" w:sz="4"/>
                <w:right w:val="none" w:color="000000" w:sz="4"/>
                <w:insideH w:val="none"/>
                <w:insideV w:val="none"/>
              </w:tblBorders>
            </w:tblPr>
            <w:tblGrid>
              <w:gridCol w:w="1903"/>
              <w:gridCol w:w="3683"/>
            </w:tblGrid>
            <w:tr>
              <w:tc>
                <w:tcPr>
                  <w:tcW w:type="dxa" w:w="190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项目名称</w:t>
                  </w:r>
                </w:p>
              </w:tc>
              <w:tc>
                <w:tcPr>
                  <w:tcW w:type="dxa" w:w="368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检测内容</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无创产前基因检测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胎儿染色体非整倍体（</w:t>
                  </w:r>
                  <w:r>
                    <w:rPr>
                      <w:sz w:val="20"/>
                    </w:rPr>
                    <w:t>T21、T18、T13）检测：胎儿染色体非整倍体检测范围包括胎儿21 三体综合征、18 三体综合征、13 三体综合征。</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无创产前基因检测升级版</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检测范围包括胎儿</w:t>
                  </w:r>
                  <w:r>
                    <w:rPr>
                      <w:sz w:val="20"/>
                    </w:rPr>
                    <w:t>21-三体综合征、18-三体综合征、13-三体综合征、性染色体非整倍体在内的所有染色体数目异常和多种染色体缺失重复综合征。</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胎儿无创产前基因检测升级版</w:t>
                  </w:r>
                  <w:r>
                    <w:rPr>
                      <w:sz w:val="20"/>
                    </w:rPr>
                    <w:t>+孕妇单基因遗传病携带者筛查</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检测范围包括胎儿</w:t>
                  </w:r>
                  <w:r>
                    <w:rPr>
                      <w:sz w:val="20"/>
                    </w:rPr>
                    <w:t>21-三体综合征、18-三体综合征、13-三体综合征、性染色体非整倍体在内的所有染色体数目异常和多种染色体缺失重复综合征；同时检测孕妇百种常见单基因隐性遗传病的常见变异进行检测分析</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无创产前基因检测</w:t>
                  </w:r>
                  <w:r>
                    <w:rPr>
                      <w:sz w:val="20"/>
                    </w:rPr>
                    <w:t>+胎儿软骨发育不全检测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检测范围包括胎儿</w:t>
                  </w:r>
                  <w:r>
                    <w:rPr>
                      <w:sz w:val="20"/>
                    </w:rPr>
                    <w:t>21-三体综合征、18-三体综合征、13-三体综合征、性染色体非整倍体在内的所有染色体数目异常、多种染色体缺失重复综合征和软骨发育不全</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胎儿软骨发育不全无创产前检测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FGFR3基因两个突变位点引起的胎儿软骨发育不全</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多种单基因病无创产前检测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致病性明确的多种显性单基因病</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遗传性耳聋</w:t>
                  </w:r>
                  <w:r>
                    <w:rPr>
                      <w:sz w:val="20"/>
                    </w:rPr>
                    <w:t>4个常见基因检测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先天性耳聋、大前庭水管综合征、药物性耳聋相关</w:t>
                  </w:r>
                  <w:r>
                    <w:rPr>
                      <w:sz w:val="20"/>
                    </w:rPr>
                    <w:t>4个基因至少20个位点</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遗传性耳聋基因检测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采用高通量测序技术对遗传性耳聋</w:t>
                  </w:r>
                  <w:r>
                    <w:rPr>
                      <w:sz w:val="20"/>
                    </w:rPr>
                    <w:t>20余个基因致病性位点进行检测</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遗传性耳聋</w:t>
                  </w:r>
                  <w:r>
                    <w:rPr>
                      <w:sz w:val="20"/>
                    </w:rPr>
                    <w:t>NGS Panel基因检测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采用高通量测序技术进行非综合征型与综合征型耳聋共</w:t>
                  </w:r>
                  <w:r>
                    <w:rPr>
                      <w:sz w:val="20"/>
                    </w:rPr>
                    <w:t>200余个基因测序</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遗传性耳聋</w:t>
                  </w:r>
                  <w:r>
                    <w:rPr>
                      <w:sz w:val="20"/>
                    </w:rPr>
                    <w:t>GJB2基因检测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GJB2基因全部外显子区域</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遗传性耳聋</w:t>
                  </w:r>
                  <w:r>
                    <w:rPr>
                      <w:sz w:val="20"/>
                    </w:rPr>
                    <w:t>SLC26A4基因检测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SLC26A4基因全部外显子区域</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地中海贫血基因检测</w:t>
                  </w:r>
                  <w:r>
                    <w:rPr>
                      <w:sz w:val="20"/>
                    </w:rPr>
                    <w:t>(α+β)</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采用</w:t>
                  </w:r>
                  <w:r>
                    <w:rPr>
                      <w:sz w:val="20"/>
                    </w:rPr>
                    <w:t>PCR联合高通量测序技术（PCR-NGS）对HBA1、HBA2和HBB三个基因全长以及α地贫4种缺失型和β地贫3种缺失型，共超500个基因变异进行检测</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单基因遗传病携带者筛查</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采用目标区域捕获</w:t>
                  </w:r>
                  <w:r>
                    <w:rPr>
                      <w:sz w:val="20"/>
                    </w:rPr>
                    <w:t>-高通量测序技术，对百种常见单基因隐性遗传病的常见致病变异进行检测分析</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单基因遗传病携带者筛查</w:t>
                  </w:r>
                  <w:r>
                    <w:rPr>
                      <w:sz w:val="20"/>
                    </w:rPr>
                    <w:t>+甲型血友病+脆性X综合征基因检测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采用目标区域捕获</w:t>
                  </w:r>
                  <w:r>
                    <w:rPr>
                      <w:sz w:val="20"/>
                    </w:rPr>
                    <w:t>-高通量测序技术，对百种常见单基因隐性遗传病的常见变异进行检测分析+F</w:t>
                  </w:r>
                  <w:r>
                    <w:rPr>
                      <w:sz w:val="20"/>
                    </w:rPr>
                    <w:t>8</w:t>
                  </w:r>
                  <w:r>
                    <w:rPr>
                      <w:sz w:val="20"/>
                    </w:rPr>
                    <w:t>基因致病变异（包含</w:t>
                  </w:r>
                  <w:r>
                    <w:rPr>
                      <w:sz w:val="20"/>
                    </w:rPr>
                    <w:t>F8基因1号、22号内含子倒位）+FMR1基因CGG重复片段）</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血友病基因检测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采用目标区域捕获</w:t>
                  </w:r>
                  <w:r>
                    <w:rPr>
                      <w:sz w:val="20"/>
                    </w:rPr>
                    <w:t>-高通量测序技术，对甲型和乙型血友病致病基因的致病变异进行检测分析（包含F8基因1号、22号内含子倒位）</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脆性</w:t>
                  </w:r>
                  <w:r>
                    <w:rPr>
                      <w:sz w:val="20"/>
                    </w:rPr>
                    <w:t>X综合征基因检测</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对</w:t>
                  </w:r>
                  <w:r>
                    <w:rPr>
                      <w:sz w:val="20"/>
                    </w:rPr>
                    <w:t>FMR1基因CGG重复片段进行检测分析</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染色体检测</w:t>
                  </w:r>
                  <w:r>
                    <w:rPr>
                      <w:sz w:val="20"/>
                    </w:rPr>
                    <w:t>CNVseq-100K</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23对染色体非整倍体及100Kb以上CNV缺失、重复</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染色体检测</w:t>
                  </w:r>
                  <w:r>
                    <w:rPr>
                      <w:sz w:val="20"/>
                    </w:rPr>
                    <w:t>CNVseq-100K升级版</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三倍体；</w:t>
                  </w:r>
                  <w:r>
                    <w:rPr>
                      <w:sz w:val="20"/>
                    </w:rPr>
                    <w:t>23对染色体非整倍体;</w:t>
                  </w:r>
                  <w:r>
                    <w:rPr>
                      <w:sz w:val="20"/>
                    </w:rPr>
                    <w:t>100</w:t>
                  </w:r>
                  <w:r>
                    <w:rPr>
                      <w:sz w:val="20"/>
                    </w:rPr>
                    <w:t>Kb以上CNV缺失、重复；单亲二倍体和宫内病原感染提示。</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新生儿遗传病基因筛查</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包括百种常见遗传病相关的</w:t>
                  </w:r>
                  <w:r>
                    <w:rPr>
                      <w:sz w:val="20"/>
                    </w:rPr>
                    <w:t>2</w:t>
                  </w:r>
                  <w:r>
                    <w:rPr>
                      <w:sz w:val="20"/>
                    </w:rPr>
                    <w:t>00</w:t>
                  </w:r>
                  <w:r>
                    <w:rPr>
                      <w:sz w:val="20"/>
                    </w:rPr>
                    <w:t>余个基因（检测病种涵盖了常见遗传代谢病、耳聋、地中海贫血、杜氏肌营养不良、脊髓性肌肉萎缩症等）</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临床全外显组检测</w:t>
                  </w:r>
                  <w:r>
                    <w:rPr>
                      <w:sz w:val="20"/>
                    </w:rPr>
                    <w:t>-单人</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可一次性对先证者单人基因组中</w:t>
                  </w:r>
                  <w:r>
                    <w:rPr>
                      <w:sz w:val="20"/>
                    </w:rPr>
                    <w:t>2万多个基因的外显子组区域和线粒体基因区域进行检测。主要针对OMIM 数据库中几乎所有明确致病的4000多个基因、近6000种遗传病进行解读，此外还可以额外检测线粒体基因上的致病位点，以及HGMD/ClinVar数据库中记录致病的深度内含子位点，全方位辅助临床寻找基因层面的致病原因。本检测还可提示与受检者表型相关的其它变异类型，包括大片段的基因组拷贝数变异（例如缺失/ 重复区间≥1Mb）、染色体非整倍体、三倍体、杂合性缺失（LOH，区间≥5Mb）、多种动态突变致病疾病等。</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临床全外显组检测</w:t>
                  </w:r>
                  <w:r>
                    <w:rPr>
                      <w:sz w:val="20"/>
                    </w:rPr>
                    <w:t>-单人</w:t>
                  </w:r>
                </w:p>
                <w:p>
                  <w:pPr>
                    <w:pStyle w:val="null3"/>
                    <w:jc w:val="center"/>
                  </w:pPr>
                  <w:r>
                    <w:rPr>
                      <w:sz w:val="20"/>
                    </w:rPr>
                    <w:t>（仅测序）</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一次性检测先证者的人类基因组中</w:t>
                  </w:r>
                  <w:r>
                    <w:rPr>
                      <w:sz w:val="20"/>
                    </w:rPr>
                    <w:t>2万多个基因上约18万个外显子相邻20bp的内含子区中的点突变（检测准确率为99%以上）及</w:t>
                  </w:r>
                  <w:r>
                    <w:rPr>
                      <w:sz w:val="20"/>
                    </w:rPr>
                    <w:t xml:space="preserve"> 20bp </w:t>
                  </w:r>
                  <w:r>
                    <w:rPr>
                      <w:sz w:val="20"/>
                    </w:rPr>
                    <w:t>以内的小片段缺失插入突变（</w:t>
                  </w:r>
                  <w:r>
                    <w:rPr>
                      <w:sz w:val="20"/>
                    </w:rPr>
                    <w:t>20bp以内）（检测准确率为99%以上），以及外显子水平的缺失重复变异（包括SMN1基因7号外显子的缺失情况）（检测准确率为95%以上），检测涵盖线粒体基因组；提供高通量原始下机数据Fastq</w:t>
                  </w:r>
                  <w:r>
                    <w:rPr>
                      <w:sz w:val="21"/>
                    </w:rPr>
                    <w:t xml:space="preserve"> </w:t>
                  </w:r>
                  <w:r>
                    <w:rPr>
                      <w:sz w:val="20"/>
                    </w:rPr>
                    <w:t>文件及信息分析后的</w:t>
                  </w:r>
                  <w:r>
                    <w:rPr>
                      <w:sz w:val="20"/>
                    </w:rPr>
                    <w:t xml:space="preserve"> VCF </w:t>
                  </w:r>
                  <w:r>
                    <w:rPr>
                      <w:sz w:val="20"/>
                    </w:rPr>
                    <w:t>文件。</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临床全外显组检测</w:t>
                  </w:r>
                  <w:r>
                    <w:rPr>
                      <w:sz w:val="20"/>
                    </w:rPr>
                    <w:t>-家系</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可一次性对先证者及其父母基因组中</w:t>
                  </w:r>
                  <w:r>
                    <w:rPr>
                      <w:sz w:val="20"/>
                    </w:rPr>
                    <w:t>2万多个基因的外显子组区域和线粒体基因区域进行检测。主要针对OMIM 数据库中几乎所有明确致病的4000多个基因、近6000种遗传病进行解读，此外还可以额外检测线粒体基因上的致病位点，以及HGMD/ClinVar数据库中记录致病的深度内含子位点，全方位辅助临床寻找基因层面的致病原因。本检测还可提示与受检者表型相关的其它变异类型，包括大片段的基因组拷贝数变异（例如缺失/ 重复区间≥1Mb）、染色体非整倍体、三倍体、杂合性缺失（LOH，区间≥5Mb）、多种动态突变致病疾病等。</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临床全外显组检测</w:t>
                  </w:r>
                  <w:r>
                    <w:rPr>
                      <w:sz w:val="20"/>
                    </w:rPr>
                    <w:t>-家系（仅测序）</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526"/>
                    <w:jc w:val="both"/>
                  </w:pPr>
                  <w:r>
                    <w:rPr>
                      <w:sz w:val="20"/>
                    </w:rPr>
                    <w:t>一次性检测（先证者及其父母）人类基因组中</w:t>
                  </w:r>
                  <w:r>
                    <w:rPr>
                      <w:sz w:val="20"/>
                    </w:rPr>
                    <w:t>2万多个基因上约18万个外显子相邻20bp的内含子区中的点突变（检测准确率为99%以上）及</w:t>
                  </w:r>
                  <w:r>
                    <w:rPr>
                      <w:sz w:val="20"/>
                    </w:rPr>
                    <w:t xml:space="preserve"> 20bp </w:t>
                  </w:r>
                  <w:r>
                    <w:rPr>
                      <w:sz w:val="20"/>
                    </w:rPr>
                    <w:t>以内的小片段缺失插入突变（</w:t>
                  </w:r>
                  <w:r>
                    <w:rPr>
                      <w:sz w:val="20"/>
                    </w:rPr>
                    <w:t>20bp以内）（检测准确率为99%以上），以及外显子水平的缺失重复变异（包括SMN1基因7号外显子的缺失情况）（检测准确率为95%以上），检测涵盖线粒体基因组；提供高通量原始下机数据Fastq</w:t>
                  </w:r>
                  <w:r>
                    <w:rPr>
                      <w:sz w:val="21"/>
                    </w:rPr>
                    <w:t xml:space="preserve"> </w:t>
                  </w:r>
                  <w:r>
                    <w:rPr>
                      <w:sz w:val="20"/>
                    </w:rPr>
                    <w:t>文件及信息分析后的</w:t>
                  </w:r>
                  <w:r>
                    <w:rPr>
                      <w:sz w:val="20"/>
                    </w:rPr>
                    <w:t xml:space="preserve"> VCF </w:t>
                  </w:r>
                  <w:r>
                    <w:rPr>
                      <w:sz w:val="20"/>
                    </w:rPr>
                    <w:t>文件。</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Sanger验证</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根据全外显子检测或单病基因检测位点进行家系验证（单个位点）</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CNV验证</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根据全外显子检测或单病基因检测位点进行家系验证（单个位点）</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临床全基因组检测</w:t>
                  </w:r>
                  <w:r>
                    <w:rPr>
                      <w:sz w:val="20"/>
                    </w:rPr>
                    <w:t>-单人</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可同时检测先证者编码区变异（外显子区变异）、非编码区变异（包括内含子区，启动</w:t>
                  </w:r>
                  <w:r>
                    <w:rPr>
                      <w:sz w:val="20"/>
                    </w:rPr>
                    <w:t>子区和基因间区域等的变异）、结构变异、拷贝数变异和线粒体变异等。</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临床全基因组检测</w:t>
                  </w:r>
                  <w:r>
                    <w:rPr>
                      <w:sz w:val="20"/>
                    </w:rPr>
                    <w:t>-家系</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可同时检测先证者及其父母编码区变异（外显子区变异）、非编码区变异（包括内含子区，启动</w:t>
                  </w:r>
                  <w:r>
                    <w:rPr>
                      <w:sz w:val="20"/>
                    </w:rPr>
                    <w:t>子区和基因间区域等的变异）、结构变异、拷贝数变异和线粒体变异等。</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指定表型外显子测序</w:t>
                  </w:r>
                  <w:r>
                    <w:rPr>
                      <w:sz w:val="20"/>
                    </w:rPr>
                    <w:t>(夫妻送检)</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为有单基因遗传病家族史的健康人群，以及配偶为单基因遗传病携带者的健康人群；不适用于单基因遗传病患者以及非上述情况的健康人群。其解读范围仅限受检者提供的先证者表型相关的基因。</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指定基因外显子测序</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为有单基因遗传病家族史的健康人群，以及配偶为单基因遗传病携带者的健康人群；不适用于单基因遗传病患者以及非上述情况的健康人群。其解读范围仅限受检者提供的先证者疾病相关的基因。</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单人全外及</w:t>
                  </w:r>
                  <w:r>
                    <w:rPr>
                      <w:sz w:val="20"/>
                    </w:rPr>
                    <w:t>CNVseq检测套餐</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一次性对先证者单人基因组中</w:t>
                  </w:r>
                  <w:r>
                    <w:rPr>
                      <w:sz w:val="20"/>
                    </w:rPr>
                    <w:t>2 万多个基因的外显子组区域和线粒体基因区域进行检测，主要针对OMIM 数据库中几乎所有明确致病的4000多个基因、近6000种遗传病进行解读，还可检测染色体的100Kb以上的CNVs，此外还可以额外检测线粒体基因上的致病位点，以及HGMD/ClinVar数据库中记录致病的深度内含子位点，全方位辅助临床寻找基因层面的致病原因。</w:t>
                  </w:r>
                </w:p>
              </w:tc>
            </w:tr>
            <w:tr>
              <w:tc>
                <w:tcPr>
                  <w:tcW w:type="dxa" w:w="190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家系全外及家系</w:t>
                  </w:r>
                  <w:r>
                    <w:rPr>
                      <w:sz w:val="20"/>
                    </w:rPr>
                    <w:t>CNVseq检测套餐</w:t>
                  </w:r>
                </w:p>
              </w:tc>
              <w:tc>
                <w:tcPr>
                  <w:tcW w:type="dxa" w:w="368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一次性针对先证者及父母家系</w:t>
                  </w:r>
                  <w:r>
                    <w:rPr>
                      <w:sz w:val="20"/>
                    </w:rPr>
                    <w:t>3人基因组中2 万多个基因的外显子组区域和线粒体基因区域进行检测，主要针对OMIM 数据库中几乎所有明确致病的4000多个基因、近6000种遗传病进行解读，还可检测染色体的100Kb以上的CNVs，此外还可以额外检测线粒体基因上的致病位点，以及HGMD/ClinVar数据库中记录致病的深度内含子位点，全方位辅助临床寻找基因层面的致病原因。</w:t>
                  </w:r>
                </w:p>
              </w:tc>
            </w:tr>
          </w:tbl>
          <w:p>
            <w:pPr>
              <w:pStyle w:val="null3"/>
            </w:pPr>
            <w:r>
              <w:rPr/>
              <w:t xml:space="preserve"> </w:t>
            </w:r>
          </w:p>
          <w:p>
            <w:pPr>
              <w:pStyle w:val="null3"/>
            </w:pPr>
            <w:r>
              <w:rPr>
                <w:b/>
              </w:rPr>
              <w:t>2</w:t>
            </w:r>
            <w:r>
              <w:rPr>
                <w:b/>
              </w:rPr>
              <w:t>、单基因遗传病基因检测类</w:t>
            </w:r>
          </w:p>
          <w:tbl>
            <w:tblPr>
              <w:tblBorders>
                <w:top w:val="none" w:color="000000" w:sz="4"/>
                <w:left w:val="none" w:color="000000" w:sz="4"/>
                <w:bottom w:val="none" w:color="000000" w:sz="4"/>
                <w:right w:val="none" w:color="000000" w:sz="4"/>
                <w:insideH w:val="none"/>
                <w:insideV w:val="none"/>
              </w:tblBorders>
            </w:tblPr>
            <w:tblGrid>
              <w:gridCol w:w="324"/>
              <w:gridCol w:w="1545"/>
              <w:gridCol w:w="3134"/>
              <w:gridCol w:w="570"/>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疾病</w:t>
                  </w:r>
                </w:p>
              </w:tc>
              <w:tc>
                <w:tcPr>
                  <w:tcW w:type="dxa" w:w="3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检测基因</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基因数</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结节性硬化症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TSC1，TSC2，IFNG</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原发性高草酸尿症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AGXT，GRHPR，HOGA1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低钾性周期性麻痹</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CACNA1S，SCN4A</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葡萄糖</w:t>
                  </w:r>
                  <w:r>
                    <w:rPr>
                      <w:sz w:val="20"/>
                    </w:rPr>
                    <w:t>6磷酸脱氢酶缺乏症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G6PD</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囊性纤维化</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CFTR，FCGR2A</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原发性肉碱缺乏症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SLC22A5</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Gitelman综合征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SLC12A3，CLCNKB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斯特格病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ABCA4， PROM1，ELOVL4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肝豆状核变性</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ATP7B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X连锁低磷酸盐血症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PHEX</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先天性无虹膜</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PAX6，ELP4，TRIM44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α-抗胰蛋白酶缺乏症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SERPINA1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多发性内分泌瘤病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MEN1，RET，CDKN1B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色素沉着息肉综合征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STK11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Fabry病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GLA</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神经纤维瘤病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NF1，NF2，SPRED1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杜氏肌营养不良症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DMD</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四氢生物蝶呤缺乏症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PTS，GCH1，QDPR，PCBD1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毛细血管扩张症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ENG，ACVRL1，SMAD4，GDF2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眼球震颤</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FRMD7，GPR143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尿崩症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AQP2，AVPR2，AVP</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遗传性多发性软骨瘤</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EXT1，EXT2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Rett综合征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FOXG1，MECP2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鸟氨酸氨甲酰转移酶缺乏症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OTC</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丙酸血症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PCCA，PCCB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多巴反应性肌张力障碍</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GCH1，SPR，TH</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半乳糖血症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GALT，GALE，GALK1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先天性输精管缺如</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CFTR</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瓜氨酸血症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SLC25A13，ASS1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神经节苷脂贮积症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GLB1，GM2A，HEXA，HEXB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苯丙酮尿症</w:t>
                  </w:r>
                  <w:r>
                    <w:rPr>
                      <w:sz w:val="20"/>
                    </w:rPr>
                    <w:t>PKU</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PAH，PTS，GCH1，QDPR，PCBD1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Crigler-Najjar综合征/ Gilbert综合征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UGT1A1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血色病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HFE，HAMP，HFE2，TFR2，SLC40A1，FTH1，BMP2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Alport综合征及薄基底膜肾病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COL4A3，COL4A5，COL4A4，COL4A6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3-甲基巴豆酰辅酶A羧化酶缺乏症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MCCC1，MCCC2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视神经萎缩</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OPA1，OPA3，TMEM126A，ACO2，RTN4IP1，YME1L1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Waardenburg综合征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PAX3，MITF，SOX10，EDNRB，EDN3，SNAI2，TYR</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Bartter综合征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SLC12A1，KCNJ1，CLCNKB，BSND，CLCNKA，MAGED2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肺表面活性剂功能障碍</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SFTPB，SFTPC，ABCA3，CSF2RA，CSF2RB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非综合征型先天性巨结肠</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RET，EDNRB，GDNF，EDN3，ECE1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枫糖尿病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BCKDHA，BCKDHB，DBT，DLD，PPM1K</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着色性干皮病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DDB2，ERCC1，XPA，ERCC3，XPC，ERCC2，ERCC4，ERCC5，POLH，MPLKIP，ERCC6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进展性家族性肝内胆汁淤积症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ATP8B1，ABCB11，ABCB4，TJP2，ATP8B1，HSD3B7，CYP7B1，AMACR</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神经皮肤综合征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XPA，ERCC3，XPC，ERCC2，ERCC4，ERCC5，DDB2，POLH，TSC1，TSC2，MEFV，NF1，NF2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外胚层发育不良</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EDA，GJB6，MSX1，KRT85，KRT74，HOXC13，EDAR，EDARADD， NFKBIA ，C1ORF172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马凡综合征及动脉瘤</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FBN1，FBN2，TGFBR1，TGFBR2，SMAD3，TGFB2，COL3A1，SLC2A10，MYH11，ACTA2，MYLK，MFAP5，LOX，FOXE3，CBS，MSTN，COL5A2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范可尼贫血</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FANCA，FANCB，FANCC，BRCA2，FANCD2，FANCE，FANCF，FANCG，FANCI，BRIP1，FANCL，FANCM，PALB2，RAD51C，SLX4，MAD2L2，UBE2T，XRCC2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戊二酸血</w:t>
                  </w:r>
                  <w:r>
                    <w:rPr>
                      <w:sz w:val="20"/>
                    </w:rPr>
                    <w:t>/尿症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GCDH，ETFA，ETFB，ETFDH，D2HGDH，IDH2，L2HGDH，SLC25A1，C7orf10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粘多糖贮积症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IDUA，IDS，SGSH，NAGLU，HGSNAT，GNS，GALNS，GLB1，ARSB，GUSB，HYAL1，VPS33A</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Bardet-Biedl综合征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BBS1，CCDC28B，BBS2，ARL6，BBS4，BBS5，MKKS，BBS7，TTC8，BBS9，BBS10，TRIM32，BBS12，MKS1，CEP290，TMEM67，WDPCP，SDCCAG8，LZTFL1，BBIP1，IFT27，IFT74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Brugada/布氏综合征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SCN5A，GPD1L，CACNA1C，CACNB2，SCN1B，KCNE3，SCN3B，HCN4，KCND3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糖原累积症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GYS2，GYS1，G6PC，SLC37A4，GAA，AGL，GBE1，PYGL，PFKM，PGAM2，LDHA，ALDOA，ENO3，GYG1，PHKA2，PHKG2，LAMP2，PHKB，PHKA1，PYGM，PRKAG2，PGM1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Ehlers-Danlos综合征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ADAMTS2，B4GALT7，COL5A1，COL5A2，PLOD1，COL3A1，COL1A1，COL1A2，C1R，CHST14，C1S，DSE，SLC39A13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家族性肌萎缩性侧索硬化症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SOD1，ALS2，SETX，FUS，VAPB，ANG，TARDBP，FIG4，OPTN，VCP，UBQLN2，SIGMAR1，CHMP2B，PFN1，ERBB4，HNRNPA1，MATR3，TUBA4A， CHCHD10，SQSTM1，TBK1，PRPH， SPG20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大疱性表皮松解症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KRT5，ITGB4，ITGA6，PLEC，LAMB3，COL17A1，COL7A1，CD151，DSP，ITGA3，KLHL24，KRT14，LAMC2，LAMA3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佝偻病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ALPL，CLCN5，CLCNKB，CYP27B1，CYP2R1，ENPP1，FAH，DMP1，FGF23，PHEX，SLC34A3，VDR，SLC34A1，OCRL，HRAS，KRAS，NRAS，CTNS，ABCC6，HNF4A</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鱼鳞病及鱼鳞病样皮肤病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ABCA12，ALOX12B，ALOXE3，CLDN1，ITGB4，COL7A1，CYP4F22，FLG，ITGA6，KRT14，LAMA3，MBTPS2，NIPAL4，PLEC，PNPLA1，SLC27A4，SNAP29，SPINK5，ST14，STS，TGM1，ABHD5，KRT10，CERS3，CASP14，LIPN，COL17A1，KRT5，LAMB3，LAMC2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Usher综合征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MYO7A，USH1C，CDH23，PCDH15，USH1G，USH2A，ADGRV1，WHRN，CLRN1，HARS，CIB2，ABHD12，PDZD7</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白化病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GPR143，TYR，OCA2，MC1R，TYRP1，SLC45A2，SLC24A5，LYST，HPS1，AP3B1，HPS3，HPS4，HPS5，HPS6，DTNBP1，BLOC1S3，BLOC1S6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成骨不全</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COL1A1，IFITM5，SERPINF1，CRTAP，LEPRE1，PPIB，SERPINH1，FKBP10，SP7，BMP1，TMEM38B，WNT1，SPARC，P4HB，ANO5，LRP5，COL1A2，CTSK</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多囊肾（显性和隐性）</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PKD1，PKD2，MUC1，SALL1，GANAB，PKHD1，UMOD，NPHP3，PEX1，NPHP1，ALG9，OFD1，GLIS3，ZNF423，ANKS6，VHL，CDC73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甲基丙二酸血</w:t>
                  </w:r>
                  <w:r>
                    <w:rPr>
                      <w:sz w:val="20"/>
                    </w:rPr>
                    <w:t>(尿)症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ABCD4，CBS，MTHFR，MTR，MTRR，MMADHC，MMACHC，SUCLA2，ACSF3，LMBRD1，MUT，MMAA，MMAB，MCEE，SUCLG1，TCN2，HCFC1，CD320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促性腺激素分泌不足伴性腺功能减退</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KAL1，FGFR1，PROKR2，PROK2，CHD7，FGF8，GNRHR，KISS1R，NSMF，TAC3，TACR3，GNRH1，KISS1，WDR11，HS6ST1，SEMA3A，SPRY4，IL17RD，DUSP6，FGF17，FLRT3，FEZF1，LHB，FSHB</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先天性肌无力综合征</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CHRNA1，CHRNB1，CHRND，CHRNE，COLQ，CHAT，SYT2，MUSK，DOK7，RAPSN，SCN4A，DPAGT1，ALG2，ALG14，LRP4，SNAP25，COL13A1，SLC5A7，SLC18A3，PREPL，AGRN，GFPT1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软骨发育不良</w:t>
                  </w:r>
                  <w:r>
                    <w:rPr>
                      <w:sz w:val="20"/>
                    </w:rPr>
                    <w:t>/软骨发育不全</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UL7，OBSL1，CCDC8，FGFR3，FLNB，DLL3，MESP2，LFNG，HES7，MATN3，TRAPPC2，CHST3，COL2A1，COMP，COL9A2，COL9A3，SLC26A2，COL9A1，PEX7，GNPAT，AGPS，EBP，ARSE，PTH1R，FBN1，WNT7A，FGFR2，SOX9，TGFB1，RUNX2，SOST，ANKH，EVC，ADAMTSL2，LBR，LMNA，ZMPSTE24，COL10A1，TREM2，GNAS，FGFR1，TNFRSF11A，CTSK，SMARCAL1，SLC35D1，WNT5A，ROR2，EVC2，TYROBP</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腓骨肌萎缩症</w:t>
                  </w:r>
                  <w:r>
                    <w:rPr>
                      <w:sz w:val="20"/>
                    </w:rPr>
                    <w:t>(Charcot-Marie-Tooth病)</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MP22，MPZ，LITAF，EGR2，NEFL，DYNC1H1，KIF1B，MFN2，RAB7A，LMNA，MED25，NEFH，GDAP1，HSPB1，JPH1，HSPB8，DNM2，AARS，LRSAM1，DHTKD1，TRIM2，IGHMBP2，MME，MARS，NAGLU，HARS，SPG11，MORC2，GARS，MTMR2，SBF2，SBF1，SH3TC2，NDRG1，PRX，FGD4，FIG4，SURF1，KARS，PLEKHG5，COX6A1，YARS，INF2，GNB4，GJB1，PRPS1，PDK3，HOXD10，FBXO38，HSPB3，REEP1，SLC5A7，DCTN1，BSCL2，HK1，SLC25A46，TFG，TRPV4，SPTLC1，SPTLC2，WNK1，FAM134B，NGF，DST，SCN11A，ATL1，DNMT1，KIF1A，MYH14，DNAJB2，AIFM1，SOX10，IKBKAP，GAN，SLC12A6，ARHGEF10，HINT1，CTDP1，NTRK1，SCN9A，CCT5</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7</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遗传性心律失常、心脑血管疾病基因检测</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遗传性心律不齐、心脑血管疾病相关的</w:t>
                  </w:r>
                  <w:r>
                    <w:rPr>
                      <w:sz w:val="21"/>
                    </w:rPr>
                    <w:t>300</w:t>
                  </w:r>
                  <w:r>
                    <w:rPr>
                      <w:sz w:val="21"/>
                    </w:rPr>
                    <w:t>余个基因</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8</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遗传性肾病基因检测</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遗传性肾病相关的</w:t>
                  </w:r>
                  <w:r>
                    <w:rPr>
                      <w:sz w:val="21"/>
                    </w:rPr>
                    <w:t>400</w:t>
                  </w:r>
                  <w:r>
                    <w:rPr>
                      <w:sz w:val="21"/>
                    </w:rPr>
                    <w:t>余个基因</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9</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遗传性眼科疾病基因检测</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遗传性眼科疾病相关的</w:t>
                  </w:r>
                  <w:r>
                    <w:rPr>
                      <w:sz w:val="21"/>
                    </w:rPr>
                    <w:t>500</w:t>
                  </w:r>
                  <w:r>
                    <w:rPr>
                      <w:sz w:val="21"/>
                    </w:rPr>
                    <w:t>余个基因</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r>
                    <w:rPr>
                      <w:sz w:val="20"/>
                    </w:rPr>
                    <w:t>0</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脊肌萎缩症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SMN</w:t>
                  </w:r>
                  <w:r>
                    <w:rPr>
                      <w:sz w:val="21"/>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r>
                    <w:rPr>
                      <w:sz w:val="2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X连锁肾上腺脑白质营养不良</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ABCD</w:t>
                  </w:r>
                  <w:r>
                    <w:rPr>
                      <w:sz w:val="2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r>
                    <w:rPr>
                      <w:sz w:val="20"/>
                    </w:rPr>
                    <w:t>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21-β-</w:t>
                  </w:r>
                  <w:r>
                    <w:rPr>
                      <w:sz w:val="22"/>
                    </w:rPr>
                    <w:t>羟化酶缺乏性先天性肾上腺皮质增生症</w:t>
                  </w:r>
                </w:p>
              </w:tc>
              <w:tc>
                <w:tcPr>
                  <w:tcW w:type="dxa" w:w="3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CYP21A2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t xml:space="preserve"> </w:t>
            </w:r>
          </w:p>
          <w:p>
            <w:pPr>
              <w:pStyle w:val="null3"/>
            </w:pPr>
            <w:r>
              <w:rPr>
                <w:b/>
              </w:rPr>
              <w:t>3</w:t>
            </w:r>
            <w:r>
              <w:rPr>
                <w:b/>
              </w:rPr>
              <w:t>、病原微生物高通量基因检测类：</w:t>
            </w:r>
          </w:p>
          <w:tbl>
            <w:tblPr>
              <w:tblBorders>
                <w:top w:val="none" w:color="000000" w:sz="4"/>
                <w:left w:val="none" w:color="000000" w:sz="4"/>
                <w:bottom w:val="none" w:color="000000" w:sz="4"/>
                <w:right w:val="none" w:color="000000" w:sz="4"/>
                <w:insideH w:val="none"/>
                <w:insideV w:val="none"/>
              </w:tblBorders>
            </w:tblPr>
            <w:tblGrid>
              <w:gridCol w:w="473"/>
              <w:gridCol w:w="1678"/>
              <w:gridCol w:w="991"/>
              <w:gridCol w:w="2455"/>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项目名称</w:t>
                  </w:r>
                </w:p>
              </w:tc>
              <w:tc>
                <w:tcPr>
                  <w:tcW w:type="dxa" w:w="9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样本类别</w:t>
                  </w:r>
                </w:p>
              </w:tc>
              <w:tc>
                <w:tcPr>
                  <w:tcW w:type="dxa" w:w="2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检测内容</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感染病原微生物高通量基因检测</w:t>
                  </w:r>
                </w:p>
                <w:p>
                  <w:pPr>
                    <w:pStyle w:val="null3"/>
                    <w:jc w:val="center"/>
                  </w:pPr>
                  <w:r>
                    <w:rPr>
                      <w:sz w:val="20"/>
                    </w:rPr>
                    <w:t>DNA/RNA 与DNA+RNA类</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外周血、脑脊液、肺泡灌洗液、组织液等各种体液</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根据宏基因组学方法学原理（</w:t>
                  </w:r>
                  <w:r>
                    <w:rPr>
                      <w:sz w:val="20"/>
                    </w:rPr>
                    <w:t>metagenomics NGS， mNGS），采用常规文库构建流程，利用高通量测序法，对样本中的核酸进行测序，再通过微生物专用数据库进行比对分析，经过智能化算法获得疑似致病微生物的种属信息，测定样本中存在的可疑致病微生物。</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百种病原微生物靶向高通量基因检测</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外周血、脑脊液、肺泡灌洗液、组织液等各种体液</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上百种靶标病原体高通量基因检测（含多种呼吸道感染病原微生物和多种耐药和毒力基因检测）</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常见感染病原体核酸检测</w:t>
                  </w:r>
                </w:p>
              </w:tc>
              <w:tc>
                <w:tcPr>
                  <w:tcW w:type="dxa" w:w="9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外周血、脑脊液、肺泡灌洗液、组织液等各种体液</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10-20种常见病原体检测</w:t>
                  </w:r>
                </w:p>
              </w:tc>
            </w:tr>
          </w:tbl>
          <w:p>
            <w:pPr>
              <w:pStyle w:val="null3"/>
            </w:pPr>
            <w:r>
              <w:rPr/>
              <w:t xml:space="preserve"> </w:t>
            </w:r>
          </w:p>
          <w:p>
            <w:pPr>
              <w:pStyle w:val="null3"/>
            </w:pPr>
            <w:r>
              <w:rPr>
                <w:b/>
              </w:rPr>
              <w:t>4</w:t>
            </w:r>
            <w:r>
              <w:rPr>
                <w:b/>
              </w:rPr>
              <w:t>、肿瘤高通量基因检测类：</w:t>
            </w:r>
          </w:p>
          <w:tbl>
            <w:tblPr>
              <w:tblBorders>
                <w:top w:val="none" w:color="000000" w:sz="4"/>
                <w:left w:val="none" w:color="000000" w:sz="4"/>
                <w:bottom w:val="none" w:color="000000" w:sz="4"/>
                <w:right w:val="none" w:color="000000" w:sz="4"/>
                <w:insideH w:val="none"/>
                <w:insideV w:val="none"/>
              </w:tblBorders>
            </w:tblPr>
            <w:tblGrid>
              <w:gridCol w:w="469"/>
              <w:gridCol w:w="1564"/>
              <w:gridCol w:w="838"/>
              <w:gridCol w:w="2692"/>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检测项目名称</w:t>
                  </w:r>
                </w:p>
              </w:tc>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标本要求</w:t>
                  </w:r>
                </w:p>
              </w:tc>
              <w:tc>
                <w:tcPr>
                  <w:tcW w:type="dxa" w:w="2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检测内容</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卵巢癌、乳腺癌、胰腺癌、前列腺癌胚系</w:t>
                  </w:r>
                  <w:r>
                    <w:rPr>
                      <w:sz w:val="21"/>
                    </w:rPr>
                    <w:t>HRR</w:t>
                  </w:r>
                  <w:r>
                    <w:rPr>
                      <w:sz w:val="21"/>
                    </w:rPr>
                    <w:t>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胚系卵巢癌、乳腺癌，胰腺癌，前列腺癌相关的遗传风险基因评估和</w:t>
                  </w:r>
                  <w:r>
                    <w:rPr>
                      <w:sz w:val="21"/>
                    </w:rPr>
                    <w:t>PRAPi类药物的用药指导</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卵巢癌、乳腺癌、胰腺癌、前列腺癌胚系与体系</w:t>
                  </w:r>
                  <w:r>
                    <w:rPr>
                      <w:sz w:val="21"/>
                    </w:rPr>
                    <w:t>HRR</w:t>
                  </w:r>
                  <w:r>
                    <w:rPr>
                      <w:sz w:val="21"/>
                    </w:rPr>
                    <w:t>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r>
                    <w:rPr>
                      <w:sz w:val="21"/>
                    </w:rPr>
                    <w:t>+</w:t>
                  </w:r>
                  <w:r>
                    <w:rPr>
                      <w:sz w:val="21"/>
                    </w:rPr>
                    <w:t>配对血液</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胚系和体系卵巢癌、乳腺癌，胰腺癌，前列腺癌相关的遗传风险基因评估和</w:t>
                  </w:r>
                  <w:r>
                    <w:rPr>
                      <w:sz w:val="21"/>
                    </w:rPr>
                    <w:t>PRAPi类药物的用药指导</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遗传性肿瘤基因检测</w:t>
                  </w:r>
                  <w:r>
                    <w:rPr>
                      <w:sz w:val="21"/>
                    </w:rPr>
                    <w:t>-</w:t>
                  </w:r>
                  <w:r>
                    <w:rPr>
                      <w:sz w:val="21"/>
                    </w:rPr>
                    <w:t>女性套餐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检测胚系肿瘤基因变异，包含以下遗传性肿瘤：乳腺癌</w:t>
                  </w:r>
                  <w:r>
                    <w:rPr>
                      <w:sz w:val="21"/>
                    </w:rPr>
                    <w:t>/</w:t>
                  </w:r>
                  <w:r>
                    <w:rPr>
                      <w:sz w:val="21"/>
                    </w:rPr>
                    <w:t>卵巢癌</w:t>
                  </w:r>
                  <w:r>
                    <w:rPr>
                      <w:sz w:val="21"/>
                    </w:rPr>
                    <w:t>/</w:t>
                  </w:r>
                  <w:r>
                    <w:rPr>
                      <w:sz w:val="21"/>
                    </w:rPr>
                    <w:t>子宫内膜癌</w:t>
                  </w:r>
                  <w:r>
                    <w:rPr>
                      <w:sz w:val="21"/>
                    </w:rPr>
                    <w:t>/</w:t>
                  </w:r>
                  <w:r>
                    <w:rPr>
                      <w:sz w:val="21"/>
                    </w:rPr>
                    <w:t>结直肠癌</w:t>
                  </w:r>
                  <w:r>
                    <w:rPr>
                      <w:sz w:val="21"/>
                    </w:rPr>
                    <w:t>/</w:t>
                  </w:r>
                  <w:r>
                    <w:rPr>
                      <w:sz w:val="21"/>
                    </w:rPr>
                    <w:t>胃癌</w:t>
                  </w:r>
                  <w:r>
                    <w:rPr>
                      <w:sz w:val="21"/>
                    </w:rPr>
                    <w:t>/</w:t>
                  </w:r>
                  <w:r>
                    <w:rPr>
                      <w:sz w:val="21"/>
                    </w:rPr>
                    <w:t>食管癌</w:t>
                  </w:r>
                  <w:r>
                    <w:rPr>
                      <w:sz w:val="21"/>
                    </w:rPr>
                    <w:t>/</w:t>
                  </w:r>
                  <w:r>
                    <w:rPr>
                      <w:sz w:val="21"/>
                    </w:rPr>
                    <w:t>胰腺癌</w:t>
                  </w:r>
                  <w:r>
                    <w:rPr>
                      <w:sz w:val="21"/>
                    </w:rPr>
                    <w:t>/</w:t>
                  </w:r>
                  <w:r>
                    <w:rPr>
                      <w:sz w:val="21"/>
                    </w:rPr>
                    <w:t>胃肠道间质瘤</w:t>
                  </w:r>
                  <w:r>
                    <w:rPr>
                      <w:sz w:val="21"/>
                    </w:rPr>
                    <w:t>/</w:t>
                  </w:r>
                  <w:r>
                    <w:rPr>
                      <w:sz w:val="21"/>
                    </w:rPr>
                    <w:t>肾癌</w:t>
                  </w:r>
                  <w:r>
                    <w:rPr>
                      <w:sz w:val="21"/>
                    </w:rPr>
                    <w:t>/</w:t>
                  </w:r>
                  <w:r>
                    <w:rPr>
                      <w:sz w:val="21"/>
                    </w:rPr>
                    <w:t>膀胱癌</w:t>
                  </w:r>
                  <w:r>
                    <w:rPr>
                      <w:sz w:val="21"/>
                    </w:rPr>
                    <w:t>/</w:t>
                  </w:r>
                  <w:r>
                    <w:rPr>
                      <w:sz w:val="21"/>
                    </w:rPr>
                    <w:t>尿路上皮癌</w:t>
                  </w:r>
                  <w:r>
                    <w:rPr>
                      <w:sz w:val="21"/>
                    </w:rPr>
                    <w:t>/</w:t>
                  </w:r>
                  <w:r>
                    <w:rPr>
                      <w:sz w:val="21"/>
                    </w:rPr>
                    <w:t>甲状腺癌</w:t>
                  </w:r>
                  <w:r>
                    <w:rPr>
                      <w:sz w:val="21"/>
                    </w:rPr>
                    <w:t>/</w:t>
                  </w:r>
                  <w:r>
                    <w:rPr>
                      <w:sz w:val="21"/>
                    </w:rPr>
                    <w:t>甲状旁腺癌</w:t>
                  </w:r>
                  <w:r>
                    <w:rPr>
                      <w:sz w:val="21"/>
                    </w:rPr>
                    <w:t>/</w:t>
                  </w:r>
                  <w:r>
                    <w:rPr>
                      <w:sz w:val="21"/>
                    </w:rPr>
                    <w:t>黑色素瘤</w:t>
                  </w:r>
                  <w:r>
                    <w:rPr>
                      <w:sz w:val="21"/>
                    </w:rPr>
                    <w:t>/</w:t>
                  </w:r>
                  <w:r>
                    <w:rPr>
                      <w:sz w:val="21"/>
                    </w:rPr>
                    <w:t>多发性内分泌腺瘤</w:t>
                  </w:r>
                  <w:r>
                    <w:rPr>
                      <w:sz w:val="21"/>
                    </w:rPr>
                    <w:t>/</w:t>
                  </w:r>
                  <w:r>
                    <w:rPr>
                      <w:sz w:val="21"/>
                    </w:rPr>
                    <w:t>多发性神经纤维瘤</w:t>
                  </w:r>
                  <w:r>
                    <w:rPr>
                      <w:sz w:val="21"/>
                    </w:rPr>
                    <w:t>/</w:t>
                  </w:r>
                  <w:r>
                    <w:rPr>
                      <w:sz w:val="21"/>
                    </w:rPr>
                    <w:t>嗜铬细胞瘤</w:t>
                  </w:r>
                  <w:r>
                    <w:rPr>
                      <w:sz w:val="21"/>
                    </w:rPr>
                    <w:t>/</w:t>
                  </w:r>
                  <w:r>
                    <w:rPr>
                      <w:sz w:val="21"/>
                    </w:rPr>
                    <w:t>家族性副神经节瘤</w:t>
                  </w:r>
                  <w:r>
                    <w:rPr>
                      <w:sz w:val="21"/>
                    </w:rPr>
                    <w:t>/</w:t>
                  </w:r>
                  <w:r>
                    <w:rPr>
                      <w:sz w:val="21"/>
                    </w:rPr>
                    <w:t>视网膜母细胞瘤</w:t>
                  </w:r>
                  <w:r>
                    <w:rPr>
                      <w:sz w:val="21"/>
                    </w:rPr>
                    <w:t>/</w:t>
                  </w:r>
                  <w:r>
                    <w:rPr>
                      <w:sz w:val="21"/>
                    </w:rPr>
                    <w:t>多发性骨软骨瘤</w:t>
                  </w:r>
                  <w:r>
                    <w:rPr>
                      <w:sz w:val="21"/>
                    </w:rPr>
                    <w:t>/</w:t>
                  </w:r>
                  <w:r>
                    <w:rPr>
                      <w:sz w:val="21"/>
                    </w:rPr>
                    <w:t>家族性成神经细胞瘤</w:t>
                  </w:r>
                  <w:r>
                    <w:rPr>
                      <w:sz w:val="21"/>
                    </w:rPr>
                    <w:t>/</w:t>
                  </w:r>
                  <w:r>
                    <w:rPr>
                      <w:sz w:val="21"/>
                    </w:rPr>
                    <w:t>结节性硬化症</w:t>
                  </w:r>
                  <w:r>
                    <w:rPr>
                      <w:sz w:val="21"/>
                    </w:rPr>
                    <w:t>/</w:t>
                  </w:r>
                  <w:r>
                    <w:rPr>
                      <w:sz w:val="21"/>
                    </w:rPr>
                    <w:t>痣样基底细胞癌</w:t>
                  </w:r>
                  <w:r>
                    <w:rPr>
                      <w:sz w:val="21"/>
                    </w:rPr>
                    <w:t>/</w:t>
                  </w:r>
                  <w:r>
                    <w:rPr>
                      <w:sz w:val="21"/>
                    </w:rPr>
                    <w:t>肾母细胞瘤</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遗传性肿瘤基因检测</w:t>
                  </w:r>
                  <w:r>
                    <w:rPr>
                      <w:sz w:val="21"/>
                    </w:rPr>
                    <w:t>-</w:t>
                  </w:r>
                  <w:r>
                    <w:rPr>
                      <w:sz w:val="21"/>
                    </w:rPr>
                    <w:t>男性套餐</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检测胚系肿瘤基因变异，包含以下遗传性肿瘤：前列腺癌</w:t>
                  </w:r>
                  <w:r>
                    <w:rPr>
                      <w:sz w:val="21"/>
                    </w:rPr>
                    <w:t>/</w:t>
                  </w:r>
                  <w:r>
                    <w:rPr>
                      <w:sz w:val="21"/>
                    </w:rPr>
                    <w:t>乳腺癌</w:t>
                  </w:r>
                  <w:r>
                    <w:rPr>
                      <w:sz w:val="21"/>
                    </w:rPr>
                    <w:t>/</w:t>
                  </w:r>
                  <w:r>
                    <w:rPr>
                      <w:sz w:val="21"/>
                    </w:rPr>
                    <w:t>结直肠癌</w:t>
                  </w:r>
                  <w:r>
                    <w:rPr>
                      <w:sz w:val="21"/>
                    </w:rPr>
                    <w:t>/</w:t>
                  </w:r>
                  <w:r>
                    <w:rPr>
                      <w:sz w:val="21"/>
                    </w:rPr>
                    <w:t>胃癌</w:t>
                  </w:r>
                  <w:r>
                    <w:rPr>
                      <w:sz w:val="21"/>
                    </w:rPr>
                    <w:t>/</w:t>
                  </w:r>
                  <w:r>
                    <w:rPr>
                      <w:sz w:val="21"/>
                    </w:rPr>
                    <w:t>食管癌</w:t>
                  </w:r>
                  <w:r>
                    <w:rPr>
                      <w:sz w:val="21"/>
                    </w:rPr>
                    <w:t>/</w:t>
                  </w:r>
                  <w:r>
                    <w:rPr>
                      <w:sz w:val="21"/>
                    </w:rPr>
                    <w:t>胰腺癌</w:t>
                  </w:r>
                  <w:r>
                    <w:rPr>
                      <w:sz w:val="21"/>
                    </w:rPr>
                    <w:t>/</w:t>
                  </w:r>
                  <w:r>
                    <w:rPr>
                      <w:sz w:val="21"/>
                    </w:rPr>
                    <w:t>胃肠道间质瘤</w:t>
                  </w:r>
                  <w:r>
                    <w:rPr>
                      <w:sz w:val="21"/>
                    </w:rPr>
                    <w:t>/</w:t>
                  </w:r>
                  <w:r>
                    <w:rPr>
                      <w:sz w:val="21"/>
                    </w:rPr>
                    <w:t>肾癌</w:t>
                  </w:r>
                  <w:r>
                    <w:rPr>
                      <w:sz w:val="21"/>
                    </w:rPr>
                    <w:t>/</w:t>
                  </w:r>
                  <w:r>
                    <w:rPr>
                      <w:sz w:val="21"/>
                    </w:rPr>
                    <w:t>膀胱癌</w:t>
                  </w:r>
                  <w:r>
                    <w:rPr>
                      <w:sz w:val="21"/>
                    </w:rPr>
                    <w:t>/</w:t>
                  </w:r>
                  <w:r>
                    <w:rPr>
                      <w:sz w:val="21"/>
                    </w:rPr>
                    <w:t>尿路上皮癌</w:t>
                  </w:r>
                  <w:r>
                    <w:rPr>
                      <w:sz w:val="21"/>
                    </w:rPr>
                    <w:t>/</w:t>
                  </w:r>
                  <w:r>
                    <w:rPr>
                      <w:sz w:val="21"/>
                    </w:rPr>
                    <w:t>甲状腺癌</w:t>
                  </w:r>
                  <w:r>
                    <w:rPr>
                      <w:sz w:val="21"/>
                    </w:rPr>
                    <w:t>/</w:t>
                  </w:r>
                  <w:r>
                    <w:rPr>
                      <w:sz w:val="21"/>
                    </w:rPr>
                    <w:t>甲状旁腺癌</w:t>
                  </w:r>
                  <w:r>
                    <w:rPr>
                      <w:sz w:val="21"/>
                    </w:rPr>
                    <w:t>/</w:t>
                  </w:r>
                  <w:r>
                    <w:rPr>
                      <w:sz w:val="21"/>
                    </w:rPr>
                    <w:t>黑色素瘤</w:t>
                  </w:r>
                  <w:r>
                    <w:rPr>
                      <w:sz w:val="21"/>
                    </w:rPr>
                    <w:t>/</w:t>
                  </w:r>
                  <w:r>
                    <w:rPr>
                      <w:sz w:val="21"/>
                    </w:rPr>
                    <w:t>多发性内分泌腺瘤</w:t>
                  </w:r>
                  <w:r>
                    <w:rPr>
                      <w:sz w:val="21"/>
                    </w:rPr>
                    <w:t>/</w:t>
                  </w:r>
                  <w:r>
                    <w:rPr>
                      <w:sz w:val="21"/>
                    </w:rPr>
                    <w:t>多发性神经纤维瘤</w:t>
                  </w:r>
                  <w:r>
                    <w:rPr>
                      <w:sz w:val="21"/>
                    </w:rPr>
                    <w:t>/</w:t>
                  </w:r>
                  <w:r>
                    <w:rPr>
                      <w:sz w:val="21"/>
                    </w:rPr>
                    <w:t>嗜铬细胞瘤</w:t>
                  </w:r>
                  <w:r>
                    <w:rPr>
                      <w:sz w:val="21"/>
                    </w:rPr>
                    <w:t>/</w:t>
                  </w:r>
                  <w:r>
                    <w:rPr>
                      <w:sz w:val="21"/>
                    </w:rPr>
                    <w:t>家族性副神经节瘤</w:t>
                  </w:r>
                  <w:r>
                    <w:rPr>
                      <w:sz w:val="21"/>
                    </w:rPr>
                    <w:t>/</w:t>
                  </w:r>
                  <w:r>
                    <w:rPr>
                      <w:sz w:val="21"/>
                    </w:rPr>
                    <w:t>视网膜母细胞瘤</w:t>
                  </w:r>
                  <w:r>
                    <w:rPr>
                      <w:sz w:val="21"/>
                    </w:rPr>
                    <w:t>/</w:t>
                  </w:r>
                  <w:r>
                    <w:rPr>
                      <w:sz w:val="21"/>
                    </w:rPr>
                    <w:t>多发性骨软骨瘤</w:t>
                  </w:r>
                  <w:r>
                    <w:rPr>
                      <w:sz w:val="21"/>
                    </w:rPr>
                    <w:t>/</w:t>
                  </w:r>
                  <w:r>
                    <w:rPr>
                      <w:sz w:val="21"/>
                    </w:rPr>
                    <w:t>家族性成神经细胞瘤</w:t>
                  </w:r>
                  <w:r>
                    <w:rPr>
                      <w:sz w:val="21"/>
                    </w:rPr>
                    <w:t>/</w:t>
                  </w:r>
                  <w:r>
                    <w:rPr>
                      <w:sz w:val="21"/>
                    </w:rPr>
                    <w:t>结节性硬化症</w:t>
                  </w:r>
                  <w:r>
                    <w:rPr>
                      <w:sz w:val="21"/>
                    </w:rPr>
                    <w:t>/</w:t>
                  </w:r>
                  <w:r>
                    <w:rPr>
                      <w:sz w:val="21"/>
                    </w:rPr>
                    <w:t>痣样基底细胞癌</w:t>
                  </w:r>
                  <w:r>
                    <w:rPr>
                      <w:sz w:val="21"/>
                    </w:rPr>
                    <w:t>/</w:t>
                  </w:r>
                  <w:r>
                    <w:rPr>
                      <w:sz w:val="21"/>
                    </w:rPr>
                    <w:t>肾母细胞瘤</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遗传性乳腺癌</w:t>
                  </w:r>
                  <w:r>
                    <w:rPr>
                      <w:sz w:val="21"/>
                    </w:rPr>
                    <w:t xml:space="preserve">/ </w:t>
                  </w:r>
                  <w:r>
                    <w:rPr>
                      <w:sz w:val="21"/>
                    </w:rPr>
                    <w:t>卵巢癌基因检测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遗传性乳腺癌</w:t>
                  </w:r>
                  <w:r>
                    <w:rPr>
                      <w:sz w:val="21"/>
                    </w:rPr>
                    <w:t>/ 卵巢癌相关基因检测</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BRCA1/2</w:t>
                  </w:r>
                  <w:r>
                    <w:rPr>
                      <w:sz w:val="21"/>
                    </w:rPr>
                    <w:t>基因检测</w:t>
                  </w:r>
                  <w:r>
                    <w:rPr>
                      <w:sz w:val="21"/>
                    </w:rPr>
                    <w:t>（测序法）</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BRCA1/2</w:t>
                  </w:r>
                  <w:r>
                    <w:rPr>
                      <w:sz w:val="21"/>
                    </w:rPr>
                    <w:t>，</w:t>
                  </w:r>
                  <w:r>
                    <w:rPr>
                      <w:sz w:val="21"/>
                    </w:rPr>
                    <w:t xml:space="preserve">2 </w:t>
                  </w:r>
                  <w:r>
                    <w:rPr>
                      <w:sz w:val="21"/>
                    </w:rPr>
                    <w:t>个基因</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BRCA1/2基因CNV检测(MLPA法)</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BRCA1/2，2 个基因</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乳腺癌</w:t>
                  </w:r>
                  <w:r>
                    <w:rPr>
                      <w:sz w:val="21"/>
                    </w:rPr>
                    <w:t>21</w:t>
                  </w:r>
                  <w:r>
                    <w:rPr>
                      <w:sz w:val="21"/>
                    </w:rPr>
                    <w:t>基因复发风险评估检测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r>
                    <w:rPr>
                      <w:sz w:val="21"/>
                    </w:rPr>
                    <w:t>+</w:t>
                  </w:r>
                  <w:r>
                    <w:rPr>
                      <w:sz w:val="21"/>
                    </w:rPr>
                    <w:t>配对血液</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21 </w:t>
                  </w:r>
                  <w:r>
                    <w:rPr>
                      <w:sz w:val="21"/>
                    </w:rPr>
                    <w:t>个基因</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遗传性子宫内膜癌</w:t>
                  </w:r>
                </w:p>
                <w:p>
                  <w:pPr>
                    <w:pStyle w:val="null3"/>
                    <w:jc w:val="center"/>
                  </w:pPr>
                  <w:r>
                    <w:rPr>
                      <w:sz w:val="21"/>
                    </w:rPr>
                    <w:t>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遗传性子宫内膜癌相关基因，需包含林奇综合征相关基因筛查</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子宫内膜癌分子分型检测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r>
                    <w:rPr>
                      <w:sz w:val="21"/>
                    </w:rPr>
                    <w:t>+</w:t>
                  </w:r>
                  <w:r>
                    <w:rPr>
                      <w:sz w:val="21"/>
                    </w:rPr>
                    <w:t>配对血液</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POLE</w:t>
                  </w:r>
                  <w:r>
                    <w:rPr>
                      <w:sz w:val="21"/>
                    </w:rPr>
                    <w:t>基因、</w:t>
                  </w:r>
                  <w:r>
                    <w:rPr>
                      <w:sz w:val="21"/>
                    </w:rPr>
                    <w:t>MMR</w:t>
                  </w:r>
                  <w:r>
                    <w:rPr>
                      <w:sz w:val="21"/>
                    </w:rPr>
                    <w:t>基因、</w:t>
                  </w:r>
                  <w:r>
                    <w:rPr>
                      <w:sz w:val="21"/>
                    </w:rPr>
                    <w:t>P53</w:t>
                  </w:r>
                  <w:r>
                    <w:rPr>
                      <w:sz w:val="21"/>
                    </w:rPr>
                    <w:t>蛋白分子分型推测预后和用药指导，</w:t>
                  </w:r>
                  <w:r>
                    <w:rPr>
                      <w:sz w:val="21"/>
                    </w:rPr>
                    <w:t xml:space="preserve">POLE </w:t>
                  </w:r>
                  <w:r>
                    <w:rPr>
                      <w:sz w:val="21"/>
                    </w:rPr>
                    <w:t xml:space="preserve">基因突变检测限低至 </w:t>
                  </w:r>
                  <w:r>
                    <w:rPr>
                      <w:sz w:val="21"/>
                    </w:rPr>
                    <w:t>3%</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子宫内膜癌基因检测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r>
                    <w:rPr>
                      <w:sz w:val="21"/>
                    </w:rPr>
                    <w:t>+</w:t>
                  </w:r>
                  <w:r>
                    <w:rPr>
                      <w:sz w:val="21"/>
                    </w:rPr>
                    <w:t>配对血液</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提供相关基因遗传风险评估，分子分型，靶向药物的用药参考及免疫疗效评价（</w:t>
                  </w:r>
                  <w:r>
                    <w:rPr>
                      <w:sz w:val="21"/>
                    </w:rPr>
                    <w:t>MSI</w:t>
                  </w:r>
                  <w:r>
                    <w:rPr>
                      <w:sz w:val="21"/>
                    </w:rPr>
                    <w:t>检测），检测限低至</w:t>
                  </w:r>
                  <w:r>
                    <w:rPr>
                      <w:sz w:val="21"/>
                    </w:rPr>
                    <w:t>1%</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粪便</w:t>
                  </w:r>
                  <w:r>
                    <w:rPr>
                      <w:sz w:val="21"/>
                    </w:rPr>
                    <w:t>DNA</w:t>
                  </w:r>
                  <w:r>
                    <w:rPr>
                      <w:sz w:val="21"/>
                    </w:rPr>
                    <w:t>甲基化检测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粪便</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检测不少于</w:t>
                  </w:r>
                  <w:r>
                    <w:rPr>
                      <w:sz w:val="21"/>
                    </w:rPr>
                    <w:t>3</w:t>
                  </w:r>
                  <w:r>
                    <w:rPr>
                      <w:sz w:val="21"/>
                    </w:rPr>
                    <w:t>个肠癌相关基因</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无创肝癌基因检测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w:t>
                  </w:r>
                  <w:r>
                    <w:rPr>
                      <w:sz w:val="21"/>
                    </w:rPr>
                    <w:t xml:space="preserve">2 </w:t>
                  </w:r>
                  <w:r>
                    <w:rPr>
                      <w:sz w:val="21"/>
                    </w:rPr>
                    <w:t>个肝癌相关基因甲基化状态</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卵巢癌</w:t>
                  </w:r>
                  <w:r>
                    <w:rPr>
                      <w:sz w:val="21"/>
                    </w:rPr>
                    <w:t xml:space="preserve">HRD Score </w:t>
                  </w:r>
                  <w:r>
                    <w:rPr>
                      <w:sz w:val="21"/>
                    </w:rPr>
                    <w:t>同源重组缺陷检测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HRD </w:t>
                  </w:r>
                  <w:r>
                    <w:rPr>
                      <w:sz w:val="21"/>
                    </w:rPr>
                    <w:t xml:space="preserve">评分：杂合性缺失 </w:t>
                  </w:r>
                  <w:r>
                    <w:rPr>
                      <w:sz w:val="21"/>
                    </w:rPr>
                    <w:t>(LOH)</w:t>
                  </w:r>
                  <w:r>
                    <w:rPr>
                      <w:sz w:val="21"/>
                    </w:rPr>
                    <w:t xml:space="preserve">、端粒等位基因不平衡 </w:t>
                  </w:r>
                  <w:r>
                    <w:rPr>
                      <w:sz w:val="21"/>
                    </w:rPr>
                    <w:t>(TAI)</w:t>
                  </w:r>
                  <w:r>
                    <w:rPr>
                      <w:sz w:val="21"/>
                    </w:rPr>
                    <w:t xml:space="preserve">、大片段迁移 </w:t>
                  </w:r>
                  <w:r>
                    <w:rPr>
                      <w:sz w:val="21"/>
                    </w:rPr>
                    <w:t>(LST)</w:t>
                  </w:r>
                  <w:r>
                    <w:rPr>
                      <w:sz w:val="21"/>
                    </w:rPr>
                    <w:t>，</w:t>
                  </w:r>
                  <w:r>
                    <w:rPr>
                      <w:sz w:val="21"/>
                    </w:rPr>
                    <w:t xml:space="preserve">PARP </w:t>
                  </w:r>
                  <w:r>
                    <w:rPr>
                      <w:sz w:val="21"/>
                    </w:rPr>
                    <w:t>抑制剂疗效评估</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卵巢癌</w:t>
                  </w:r>
                  <w:r>
                    <w:rPr>
                      <w:sz w:val="21"/>
                    </w:rPr>
                    <w:t xml:space="preserve">HRD Score </w:t>
                  </w:r>
                  <w:r>
                    <w:rPr>
                      <w:sz w:val="21"/>
                    </w:rPr>
                    <w:t>同源重组缺陷与单组织</w:t>
                  </w:r>
                  <w:r>
                    <w:rPr>
                      <w:sz w:val="21"/>
                    </w:rPr>
                    <w:t>BRCA1/2</w:t>
                  </w:r>
                  <w:r>
                    <w:rPr>
                      <w:sz w:val="21"/>
                    </w:rPr>
                    <w:t>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HRD </w:t>
                  </w:r>
                  <w:r>
                    <w:rPr>
                      <w:sz w:val="21"/>
                    </w:rPr>
                    <w:t>评分</w:t>
                  </w:r>
                  <w:r>
                    <w:rPr>
                      <w:sz w:val="21"/>
                    </w:rPr>
                    <w:t>:</w:t>
                  </w:r>
                  <w:r>
                    <w:rPr>
                      <w:sz w:val="21"/>
                    </w:rPr>
                    <w:t xml:space="preserve">杂合性缺失 </w:t>
                  </w:r>
                  <w:r>
                    <w:rPr>
                      <w:sz w:val="21"/>
                    </w:rPr>
                    <w:t>(LOH)</w:t>
                  </w:r>
                  <w:r>
                    <w:rPr>
                      <w:sz w:val="21"/>
                    </w:rPr>
                    <w:t xml:space="preserve">、端粒等位基因不平衡 </w:t>
                  </w:r>
                  <w:r>
                    <w:rPr>
                      <w:sz w:val="21"/>
                    </w:rPr>
                    <w:t>(TAI)</w:t>
                  </w:r>
                  <w:r>
                    <w:rPr>
                      <w:sz w:val="21"/>
                    </w:rPr>
                    <w:t xml:space="preserve">、大片段迁移 </w:t>
                  </w:r>
                  <w:r>
                    <w:rPr>
                      <w:sz w:val="21"/>
                    </w:rPr>
                    <w:t>(LST),</w:t>
                  </w:r>
                  <w:r>
                    <w:rPr>
                      <w:sz w:val="21"/>
                    </w:rPr>
                    <w:t>增加单组织</w:t>
                  </w:r>
                  <w:r>
                    <w:rPr>
                      <w:sz w:val="21"/>
                    </w:rPr>
                    <w:t>BRCA1/2</w:t>
                  </w:r>
                  <w:r>
                    <w:rPr>
                      <w:sz w:val="21"/>
                    </w:rPr>
                    <w:t>，</w:t>
                  </w:r>
                  <w:r>
                    <w:rPr>
                      <w:sz w:val="21"/>
                    </w:rPr>
                    <w:t xml:space="preserve">PARP </w:t>
                  </w:r>
                  <w:r>
                    <w:rPr>
                      <w:sz w:val="21"/>
                    </w:rPr>
                    <w:t>抑制剂疗效评估</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卵巢癌</w:t>
                  </w:r>
                  <w:r>
                    <w:rPr>
                      <w:sz w:val="21"/>
                    </w:rPr>
                    <w:t xml:space="preserve">HRD Score </w:t>
                  </w:r>
                  <w:r>
                    <w:rPr>
                      <w:sz w:val="21"/>
                    </w:rPr>
                    <w:t>同源重组缺陷与胚系和体系</w:t>
                  </w:r>
                  <w:r>
                    <w:rPr>
                      <w:sz w:val="21"/>
                    </w:rPr>
                    <w:t>BRCA1/2</w:t>
                  </w:r>
                  <w:r>
                    <w:rPr>
                      <w:sz w:val="21"/>
                    </w:rPr>
                    <w:t>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r>
                    <w:rPr>
                      <w:sz w:val="21"/>
                    </w:rPr>
                    <w:t>+</w:t>
                  </w:r>
                  <w:r>
                    <w:rPr>
                      <w:sz w:val="21"/>
                    </w:rPr>
                    <w:t>配对血液</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HRD </w:t>
                  </w:r>
                  <w:r>
                    <w:rPr>
                      <w:sz w:val="21"/>
                    </w:rPr>
                    <w:t>评分</w:t>
                  </w:r>
                  <w:r>
                    <w:rPr>
                      <w:sz w:val="21"/>
                    </w:rPr>
                    <w:t>:</w:t>
                  </w:r>
                  <w:r>
                    <w:rPr>
                      <w:sz w:val="21"/>
                    </w:rPr>
                    <w:t xml:space="preserve">杂合性缺失 </w:t>
                  </w:r>
                  <w:r>
                    <w:rPr>
                      <w:sz w:val="21"/>
                    </w:rPr>
                    <w:t>(LOH)</w:t>
                  </w:r>
                  <w:r>
                    <w:rPr>
                      <w:sz w:val="21"/>
                    </w:rPr>
                    <w:t xml:space="preserve">、端粒等位基因不平衡 </w:t>
                  </w:r>
                  <w:r>
                    <w:rPr>
                      <w:sz w:val="21"/>
                    </w:rPr>
                    <w:t>(TAI)</w:t>
                  </w:r>
                  <w:r>
                    <w:rPr>
                      <w:sz w:val="21"/>
                    </w:rPr>
                    <w:t xml:space="preserve">、大片段迁移 </w:t>
                  </w:r>
                  <w:r>
                    <w:rPr>
                      <w:sz w:val="21"/>
                    </w:rPr>
                    <w:t>(LST),</w:t>
                  </w:r>
                  <w:r>
                    <w:rPr>
                      <w:sz w:val="21"/>
                    </w:rPr>
                    <w:t>增加胚系和体系</w:t>
                  </w:r>
                  <w:r>
                    <w:rPr>
                      <w:sz w:val="21"/>
                    </w:rPr>
                    <w:t>BRCA1/2</w:t>
                  </w:r>
                  <w:r>
                    <w:rPr>
                      <w:sz w:val="21"/>
                    </w:rPr>
                    <w:t>，</w:t>
                  </w:r>
                  <w:r>
                    <w:rPr>
                      <w:sz w:val="21"/>
                    </w:rPr>
                    <w:t xml:space="preserve">PARP </w:t>
                  </w:r>
                  <w:r>
                    <w:rPr>
                      <w:sz w:val="21"/>
                    </w:rPr>
                    <w:t>抑制剂疗效评估、铂类化疗药物评估、预后评估、患者及其家属遗传风险</w:t>
                  </w:r>
                </w:p>
                <w:p>
                  <w:pPr>
                    <w:pStyle w:val="null3"/>
                    <w:jc w:val="center"/>
                  </w:pPr>
                  <w:r>
                    <w:rPr>
                      <w:sz w:val="21"/>
                    </w:rPr>
                    <w:t>评估</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肿瘤个体化诊疗基因组织检测（</w:t>
                  </w:r>
                  <w:r>
                    <w:rPr>
                      <w:sz w:val="21"/>
                    </w:rPr>
                    <w:t>800+</w:t>
                  </w:r>
                  <w:r>
                    <w:rPr>
                      <w:sz w:val="21"/>
                    </w:rPr>
                    <w:t>个基因）</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r>
                    <w:rPr>
                      <w:sz w:val="21"/>
                    </w:rPr>
                    <w:t>+</w:t>
                  </w:r>
                  <w:r>
                    <w:rPr>
                      <w:sz w:val="21"/>
                    </w:rPr>
                    <w:t>配对血液</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检测实体瘤患者肿瘤组织样本，使用高通量测序技术，检测与肿瘤诊治相关的</w:t>
                  </w:r>
                  <w:r>
                    <w:rPr>
                      <w:sz w:val="21"/>
                    </w:rPr>
                    <w:t>800+</w:t>
                  </w:r>
                  <w:r>
                    <w:rPr>
                      <w:sz w:val="21"/>
                    </w:rPr>
                    <w:t>基因，全面评估免疫治疗、靶向治疗、遗传风险、化疗提示、分子分型、耐药检测等。</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肿瘤个体化诊疗基因血液检测（</w:t>
                  </w:r>
                  <w:r>
                    <w:rPr>
                      <w:sz w:val="21"/>
                    </w:rPr>
                    <w:t>800+</w:t>
                  </w:r>
                  <w:r>
                    <w:rPr>
                      <w:sz w:val="21"/>
                    </w:rPr>
                    <w:t>个基因）</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检测实体瘤患者外周血样本，使用高通量测序技术，检测与肿瘤诊治相关的</w:t>
                  </w:r>
                  <w:r>
                    <w:rPr>
                      <w:sz w:val="21"/>
                    </w:rPr>
                    <w:t>800+</w:t>
                  </w:r>
                  <w:r>
                    <w:rPr>
                      <w:sz w:val="21"/>
                    </w:rPr>
                    <w:t>基因，全面评估免疫治疗、靶向治疗、遗传风险、化疗提示、分子分型、耐药检测等。</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泛实体瘤</w:t>
                  </w:r>
                  <w:r>
                    <w:rPr>
                      <w:sz w:val="21"/>
                    </w:rPr>
                    <w:t xml:space="preserve">RNA </w:t>
                  </w:r>
                  <w:r>
                    <w:rPr>
                      <w:sz w:val="21"/>
                    </w:rPr>
                    <w:t>多基因检测</w:t>
                  </w:r>
                </w:p>
              </w:tc>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tc>
              <w:tc>
                <w:tcPr>
                  <w:tcW w:type="dxa" w:w="2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各类实体瘤患者基因融合靶向药指导</w:t>
                  </w:r>
                </w:p>
              </w:tc>
            </w:tr>
          </w:tbl>
          <w:p>
            <w:pPr>
              <w:pStyle w:val="null3"/>
            </w:pPr>
            <w:r>
              <w:rPr/>
              <w:t xml:space="preserve"> </w:t>
            </w:r>
          </w:p>
          <w:p>
            <w:pPr>
              <w:pStyle w:val="null3"/>
            </w:pPr>
            <w:r>
              <w:rPr/>
              <w:t>5</w:t>
            </w:r>
            <w:r>
              <w:rPr>
                <w:b/>
              </w:rPr>
              <w:t>、个体化用药指导基因检测</w:t>
            </w:r>
          </w:p>
          <w:tbl>
            <w:tblPr>
              <w:tblBorders>
                <w:top w:val="none" w:color="000000" w:sz="4"/>
                <w:left w:val="none" w:color="000000" w:sz="4"/>
                <w:bottom w:val="none" w:color="000000" w:sz="4"/>
                <w:right w:val="none" w:color="000000" w:sz="4"/>
                <w:insideH w:val="none"/>
                <w:insideV w:val="none"/>
              </w:tblBorders>
            </w:tblPr>
            <w:tblGrid>
              <w:gridCol w:w="1899"/>
              <w:gridCol w:w="3688"/>
            </w:tblGrid>
            <w:tr>
              <w:tc>
                <w:tcPr>
                  <w:tcW w:type="dxa" w:w="189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项目名称</w:t>
                  </w:r>
                </w:p>
              </w:tc>
              <w:tc>
                <w:tcPr>
                  <w:tcW w:type="dxa" w:w="368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检测内容</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儿童个体化用药指导基因检测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对不少于</w:t>
                  </w:r>
                  <w:r>
                    <w:rPr>
                      <w:sz w:val="21"/>
                    </w:rPr>
                    <w:t>120种药物相关基因多态性进行检测</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成人个体化用药指导基因检测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对不少于</w:t>
                  </w:r>
                  <w:r>
                    <w:rPr>
                      <w:sz w:val="21"/>
                    </w:rPr>
                    <w:t>200种药物相关基因多态性进行检测</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-高血压用药指导基因检测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替洛尔、氨氯地平、奥美沙坦、贝那普利、比素洛尔、布美他尼、厄贝沙坦、呋塞米、福辛普利、肼屈嗪、卡托普利、卡维地洛、坎地沙坦、喹那普利、赖诺普利、螺内酯、氯沙坦、美托洛尔、咪达普利、尼群地平、培哚普利、普萘洛尔、氢氟噻嗪、噻吗洛尔、索他洛尔、托拉塞米、硝普钠、依那普利</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-质子泵用药指导基因检测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埃索美拉唑、奥美拉唑、兰索拉唑、雷贝拉唑、泮托拉唑、右兰索拉唑</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-感染疾病用药指导基因检测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沙利度胺、阿米卡星、氨苯砜、氨基水杨酸、吡嗪酰胺、博赛泼维、达卡他韦、呋喃妥因、呋喃西林、呋喃唑酮、伏立康唑、复方磺胺甲嘌唑、干扰素、红霉素、磺胺甲恶唑、磺胺甲氧嗪、磺胺米隆、磺胺嘧啶、磺胺异蒽唑、甲氧苄啶、聚乙二醇干扰素</w:t>
                  </w:r>
                  <w:r>
                    <w:rPr>
                      <w:sz w:val="21"/>
                    </w:rPr>
                    <w:t>α-2a、聚乙二醇干扰素α-2b、卡那霉素、奎宁、拉米夫定、雷迪帕韦、利巴韦林、利福平、链霉素、磷酸伯氨喹、氯丙胍、氟喹、氯霉素、萘啶酸、诺氟沙星、庆大霉素、素非布韦、特比萘芬、特拉普韦、替诺福韦、妥布霉素、西咪匹韦、新霉素、乙胺丁醇、乙胺嘧啶、异烟肼</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-病毒性肝炎用药指导基因检测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博赛泼维、达卡他韦、干扰素、聚乙二醇干扰素</w:t>
                  </w:r>
                  <w:r>
                    <w:rPr>
                      <w:sz w:val="21"/>
                    </w:rPr>
                    <w:t>α-2a、聚乙二醇干扰素α-2b、拉米夫定、雷迪帕韦、利巴韦林、索非布韦、特拉普韦、替诺福韦、西咪匹韦</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-结核用药指导基因检测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氨基水杨酸、吡嗪酰胺、利福平、链霉素、乙胺丁醇、异烟肼</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-骨质疏松用药指导基因检测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阿仑膦酸钠、雷洛昔芬、利塞膦酸盐、膦酸盐、氯膦酸二钠、依替膦酸</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-糖尿病用药指导基因检测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吡格列酮、二甲双胍、格列本脲、格列吡嗪、格列喹酮、格列美脲、格列齐特、甲苯磺丁脲、罗格列酮、氯磺丙脲、瑞格列柰、维格列汀、西他列汀</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-他汀类药物用药指导基因检测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阿托伐他汀、氟伐他汀、洛伐他汀、匹伐他汀、普伐他汀、瑞舒伐他汀、辛伐他汀</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-叶酸用药指导基因检测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叶酸</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-焦虑抑郁症用药指导基因检测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戈美拉汀、阿米替林、艾司西酞普兰、安非他酮、奥匹哌醇、奥沙西泮、丙咪嗪、地西泮、度洛西汀、多塞平、氟伏沙明、氟西汀、卡立普多、劳拉西泮、氯丙咪嗪、马晋替林、咪达唑仓、米氮平、奈法唑酮、帕罗西汀、普罗替林、曲米帕明、去甲丙咪嗪、去甲替林、舍曲林、文拉法辛、沃替西汀、西酞普兰、依匹哌唑</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-癫痫用药指导基因检测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丙戊酸、布瓦西坦、拉考沙胺、氯巴占、美芬妥英、双丙戊酸钠、托吡酯</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-癫痫用药指导基因检测（升级版）</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奥卡西平、苯巴比妥、苯妥英、丙戊酸、布瓦西坦、卡马西平、拉考沙胺、拉莫三嗪、氯巴占、美芬妥英、双丙戊酸钠、托吡酯</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-抗血栓用药指导基因检测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阿司匹林、苯丙香豆素、醋硝香豆素、氟茚二酮、华法林、利伐沙班、氯吡格雷、替格瑞洛、西洛他唑</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-甲亢用药指导基因检测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丙硫氧嘧啶、甲巯咪唑、卡比马唑</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-痛风用药指导基因检测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别嘌醇、丙磺舒、非布司他、聚乙二醇重组尿酸酶、雷西那德</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-免疫抑制剂用药指导基因检测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环孢素、硫唑嘌呤、霉酚酸酯、他克莫司、西罗莫司</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-风湿用药指导基因检测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达木单抗、阿芬太尼、阿司匹林、氨基比林、吡罗昔康、布洛芬、醋酸泼尼松、丁丙诺啡、芬太尼、氟比洛芬、环孢索、甲氨蝶呤、甲泼尼龙、甲羟孕酮、来氟米特、硫唑嘌呤、罗非昔布、吗啡、霉酚酸酯、美洛昔康、哌替啶、喷他佐辛、泼尼松、羟考酮、氢可酮、疏基嘌呤、曲安奈德、曲马多、塞来昔布、沙利度胺、舒芬太尼、双氯芬酸、他克莫司、西罗莫司、依那西普、英夫利昔单抗</w:t>
                  </w:r>
                </w:p>
              </w:tc>
            </w:tr>
            <w:tr>
              <w:tc>
                <w:tcPr>
                  <w:tcW w:type="dxa" w:w="189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个体化用药指导</w:t>
                  </w:r>
                  <w:r>
                    <w:rPr>
                      <w:sz w:val="21"/>
                    </w:rPr>
                    <w:t>-高血压、高血糖、高血脂用药指导基因检测</w:t>
                  </w:r>
                </w:p>
              </w:tc>
              <w:tc>
                <w:tcPr>
                  <w:tcW w:type="dxa" w:w="368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阿替洛尔、阿托伐他汀、氨氯地平、奥美沙坦、贝那普利、比索洛尔、吡格列酮、布美他尼、厄贝沙坦、二甲双胍、呋塞米、氟伐他汀、福辛普利、格列本脲、格列吡嗪、格列喹酮、格列美脲、格列齐特、甲苯磺丁脲、肼屈嗪、卡托普利、卡维地洛、坎地沙坦、喹那普利、频诺普利、罗格列酮、煤内酯、泽伐他汀、氯磺丙脲、氯沙坦、美托洛尔、咪达普利、尼群地平、培哚普利、匹伐他汀、普伐他汀、普萘洛尔、氢氟噻嗪、瑞格列奈、瑞舒伐他汀、噻吗洛尔、索他洛尔、托拉塞米、维格列汀、西他列汀、硝普钠、辛伐他汀、依那普利</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w:t>
            </w:r>
            <w:r>
              <w:rPr>
                <w:b/>
              </w:rPr>
              <w:t>、重点基因检测项目参数</w:t>
            </w:r>
          </w:p>
          <w:p>
            <w:pPr>
              <w:pStyle w:val="null3"/>
            </w:pPr>
            <w:r>
              <w:rPr/>
              <w:t>（一）无创产前基因检测升级版</w:t>
            </w:r>
          </w:p>
          <w:p>
            <w:pPr>
              <w:pStyle w:val="null3"/>
            </w:pPr>
            <w:r>
              <w:rPr/>
              <w:t>▲1.检测内容：21三体综合征、18 三体综合征和13 三体综合征、性染色体异常在内的其它染色体非整倍体异常，不少于90种临床意义明确的染色体缺失重复综合征。</w:t>
            </w:r>
          </w:p>
          <w:p>
            <w:pPr>
              <w:pStyle w:val="null3"/>
            </w:pPr>
            <w:r>
              <w:rPr/>
              <w:t>▲2.检测准确性：按卫健委要求，</w:t>
            </w:r>
            <w:r>
              <w:rPr/>
              <w:t>无创产前</w:t>
            </w:r>
            <w:r>
              <w:rPr/>
              <w:t>胎儿染色体非整倍体检测，</w:t>
            </w:r>
            <w:r>
              <w:rPr/>
              <w:t>21 三体综合征检出率应不低于95%，18三体综合征检出率应不低于85%，13 三体综合征检出率应不低于70%；复合假阳性率应不高于0.5%。</w:t>
            </w:r>
            <w:r>
              <w:rPr>
                <w:b/>
              </w:rPr>
              <w:t>（提供临床验证文章或第三方证明材料以佐证）</w:t>
            </w:r>
            <w:r>
              <w:rPr/>
              <w:t>。</w:t>
            </w:r>
          </w:p>
          <w:p>
            <w:pPr>
              <w:pStyle w:val="null3"/>
            </w:pPr>
            <w:r>
              <w:rPr/>
              <w:t>3.样本要求：孕妇外周血，5mL。</w:t>
            </w:r>
          </w:p>
          <w:p>
            <w:pPr>
              <w:pStyle w:val="null3"/>
            </w:pPr>
            <w:r>
              <w:rPr/>
              <w:t>4.</w:t>
            </w:r>
            <w:r>
              <w:rPr/>
              <w:t>报告</w:t>
            </w:r>
            <w:r>
              <w:rPr/>
              <w:t>周期</w:t>
            </w:r>
            <w:r>
              <w:rPr/>
              <w:t>：</w:t>
            </w:r>
            <w:r>
              <w:rPr/>
              <w:t>10个工作日</w:t>
            </w:r>
            <w:r>
              <w:rPr/>
              <w:t>内</w:t>
            </w:r>
            <w:r>
              <w:rPr/>
              <w:t>，</w:t>
            </w:r>
            <w:r>
              <w:rPr/>
              <w:t>并提供</w:t>
            </w:r>
            <w:r>
              <w:rPr/>
              <w:t>项目假阴性</w:t>
            </w:r>
            <w:r>
              <w:rPr/>
              <w:t>和</w:t>
            </w:r>
            <w:r>
              <w:rPr/>
              <w:t>假阳性排查验证流程。</w:t>
            </w:r>
          </w:p>
          <w:p>
            <w:pPr>
              <w:pStyle w:val="null3"/>
            </w:pPr>
            <w:r>
              <w:rPr/>
              <w:t>▲5.投标人需为受检人群购买保险，阳性报销：21三体综合征、18三体综合征、13 三体综合征、其他染色体异常最高可达5000元；假阴报销：包含21三体综合征、18三体综合征、13三体综合征及其他染色体数目异常和缺失重复综合征、出生后检测结果假阴性赔付不低于40万、出生前检测结果假阴性不低于2万。</w:t>
            </w:r>
          </w:p>
          <w:p>
            <w:pPr>
              <w:pStyle w:val="null3"/>
            </w:pPr>
            <w:r>
              <w:rPr/>
              <w:t>▲6.样本数据量：每个样品数据量不少于25M reads。</w:t>
            </w:r>
          </w:p>
          <w:p>
            <w:pPr>
              <w:pStyle w:val="null3"/>
            </w:pPr>
            <w:r>
              <w:rPr/>
              <w:t>7.扩增方法：采取线性扩增的方式进行扩增，始终以原始序列为模板进行扩增，降低指数扩增带来的错误累积。</w:t>
            </w:r>
          </w:p>
          <w:p>
            <w:pPr>
              <w:pStyle w:val="null3"/>
            </w:pPr>
            <w:r>
              <w:rPr/>
              <w:t>▲8.</w:t>
            </w:r>
            <w:r>
              <w:rPr>
                <w:sz w:val="20"/>
              </w:rPr>
              <w:t>采用国产化基因测序仪且经国家药品监督管理局批准可用于临床检测。</w:t>
            </w:r>
            <w:r>
              <w:rPr>
                <w:sz w:val="20"/>
                <w:b/>
              </w:rPr>
              <w:t>（提供医疗器械注册证复印件并加盖投标人公章）</w:t>
            </w:r>
          </w:p>
          <w:p>
            <w:pPr>
              <w:pStyle w:val="null3"/>
            </w:pPr>
            <w:r>
              <w:rPr/>
              <w:t>▲</w:t>
            </w:r>
            <w:r>
              <w:rPr>
                <w:sz w:val="20"/>
              </w:rPr>
              <w:t>9.</w:t>
            </w:r>
            <w:r>
              <w:rPr/>
              <w:t xml:space="preserve"> </w:t>
            </w:r>
            <w:r>
              <w:rPr>
                <w:sz w:val="20"/>
              </w:rPr>
              <w:t>采用的检测试剂盒经国家药品监督管理局批准可用于临床检测。</w:t>
            </w:r>
            <w:r>
              <w:rPr>
                <w:sz w:val="20"/>
                <w:b/>
              </w:rPr>
              <w:t>（提供医疗器械注册证复印件并加盖投标人公章）</w:t>
            </w:r>
          </w:p>
          <w:p>
            <w:pPr>
              <w:pStyle w:val="null3"/>
            </w:pPr>
            <w:r>
              <w:rPr/>
              <w:t>▲</w:t>
            </w:r>
            <w:r>
              <w:rPr>
                <w:sz w:val="20"/>
              </w:rPr>
              <w:t>10.</w:t>
            </w:r>
            <w:r>
              <w:rPr>
                <w:sz w:val="20"/>
              </w:rPr>
              <w:t>采用的分析软件经国家药品监督管理局批准可用于临床检测。</w:t>
            </w:r>
            <w:r>
              <w:rPr>
                <w:sz w:val="20"/>
                <w:b/>
              </w:rPr>
              <w:t>（提供医疗器械注册证复印件并加盖投标人公章）</w:t>
            </w:r>
            <w:r>
              <w:rPr/>
              <w:t>。</w:t>
            </w:r>
          </w:p>
          <w:p>
            <w:pPr>
              <w:pStyle w:val="null3"/>
            </w:pPr>
            <w:r>
              <w:rPr/>
              <w:t>▲11.投标人近</w:t>
            </w:r>
            <w:r>
              <w:rPr/>
              <w:t>三</w:t>
            </w:r>
            <w:r>
              <w:rPr/>
              <w:t>年每年均参与</w:t>
            </w:r>
            <w:r>
              <w:rPr/>
              <w:t>国家卫健委临检中心</w:t>
            </w:r>
            <w:r>
              <w:rPr/>
              <w:t>或省级临检中心组织的</w:t>
            </w:r>
            <w:r>
              <w:rPr/>
              <w:t>外周血胎儿染色体非整倍体（</w:t>
            </w:r>
            <w:r>
              <w:rPr/>
              <w:t>T21、T18、T13）高通量检测室间质评，并合格通过。</w:t>
            </w:r>
            <w:r>
              <w:rPr>
                <w:b/>
              </w:rPr>
              <w:t>（提供室间质评合格证书</w:t>
            </w:r>
            <w:r>
              <w:rPr>
                <w:b/>
              </w:rPr>
              <w:t>，若投标人</w:t>
            </w:r>
            <w:r>
              <w:rPr>
                <w:sz w:val="20"/>
                <w:b/>
              </w:rPr>
              <w:t>成立年限不足三年的，则提供证书时间为从成立起至投标截止时间</w:t>
            </w:r>
            <w:r>
              <w:rPr>
                <w:b/>
              </w:rPr>
              <w:t>）</w:t>
            </w:r>
            <w:r>
              <w:rPr/>
              <w:t>。</w:t>
            </w:r>
          </w:p>
          <w:p>
            <w:pPr>
              <w:pStyle w:val="null3"/>
            </w:pPr>
            <w:r>
              <w:rPr/>
              <w:t>▲12.为提高检测成功率，使用胎儿浓度富集技术以提高胎儿浓度。</w:t>
            </w:r>
          </w:p>
          <w:p>
            <w:pPr>
              <w:pStyle w:val="null3"/>
            </w:pPr>
            <w:r>
              <w:rPr/>
              <w:t>（二）遗传性耳聋</w:t>
            </w:r>
            <w:r>
              <w:rPr/>
              <w:t>4个常见基因检测</w:t>
            </w:r>
          </w:p>
          <w:p>
            <w:pPr>
              <w:pStyle w:val="null3"/>
            </w:pPr>
            <w:r>
              <w:rPr/>
              <w:t>1.检测基因：至少覆盖GJB2、GJB3、SLC26A4及12SrRNA这4个耳聋常见基因。</w:t>
            </w:r>
          </w:p>
          <w:p>
            <w:pPr>
              <w:pStyle w:val="null3"/>
            </w:pPr>
            <w:r>
              <w:rPr/>
              <w:t>2.检测位点：覆盖耳聋基因常见位点不少于20个位点。</w:t>
            </w:r>
          </w:p>
          <w:p>
            <w:pPr>
              <w:pStyle w:val="null3"/>
            </w:pPr>
            <w:r>
              <w:rPr/>
              <w:t>3.样本类型：干血片</w:t>
            </w:r>
            <w:r>
              <w:rPr>
                <w:sz w:val="20"/>
              </w:rPr>
              <w:t>、脐血、外周血</w:t>
            </w:r>
            <w:r>
              <w:rPr/>
              <w:t>。</w:t>
            </w:r>
          </w:p>
          <w:p>
            <w:pPr>
              <w:pStyle w:val="null3"/>
            </w:pPr>
            <w:r>
              <w:rPr/>
              <w:t>4.产品性能：准确率高，与sanger测序法符合率100%，特异性在99.9%以上。</w:t>
            </w:r>
            <w:r>
              <w:rPr>
                <w:b/>
              </w:rPr>
              <w:t>（提供临床验证文章或第三方证明材料以佐证）</w:t>
            </w:r>
          </w:p>
          <w:p>
            <w:pPr>
              <w:pStyle w:val="null3"/>
            </w:pPr>
            <w:r>
              <w:rPr/>
              <w:t>5.对所有初检阳性样本均进行重复检测验证，确保阳性结果的真阳性。</w:t>
            </w:r>
          </w:p>
          <w:p>
            <w:pPr>
              <w:pStyle w:val="null3"/>
            </w:pPr>
            <w:r>
              <w:rPr/>
              <w:t>▲6.投标人具有完善的后续诊疗措施，能提供包括GJB2和SLC26A4基因编码区±10bp的全测序和耳聋相关多个基因全测序的检测服务</w:t>
            </w:r>
            <w:r>
              <w:rPr>
                <w:b/>
              </w:rPr>
              <w:t>(提供检测报告模板)</w:t>
            </w:r>
            <w:r>
              <w:rPr/>
              <w:t>。</w:t>
            </w:r>
          </w:p>
          <w:p>
            <w:pPr>
              <w:pStyle w:val="null3"/>
            </w:pPr>
            <w:r>
              <w:rPr/>
              <w:t>▲7.</w:t>
            </w:r>
            <w:r>
              <w:rPr/>
              <w:t>采用国产化基因测序仪且经国家药品监督管理局批准可用于临床检测。（</w:t>
            </w:r>
            <w:r>
              <w:rPr>
                <w:b/>
              </w:rPr>
              <w:t>提供医疗器械注册证复印件并加盖投标人公章）</w:t>
            </w:r>
          </w:p>
          <w:p>
            <w:pPr>
              <w:pStyle w:val="null3"/>
            </w:pPr>
            <w:r>
              <w:rPr/>
              <w:t>▲8.</w:t>
            </w:r>
            <w:r>
              <w:rPr/>
              <w:t>采用的检测试剂盒经国家药品监督管理局批准可用于临床检测。</w:t>
            </w:r>
            <w:r>
              <w:rPr>
                <w:b/>
              </w:rPr>
              <w:t>（提供医疗器械注册证复印件并加盖投标人公章）</w:t>
            </w:r>
          </w:p>
          <w:p>
            <w:pPr>
              <w:pStyle w:val="null3"/>
            </w:pPr>
            <w:r>
              <w:rPr/>
              <w:t>▲9.</w:t>
            </w:r>
            <w:r>
              <w:rPr/>
              <w:t>采用的分析软件经国家药品监督管理局批准可用于临床检测。</w:t>
            </w:r>
            <w:r>
              <w:rPr>
                <w:b/>
              </w:rPr>
              <w:t>（提供医疗器械注册证复印件并加盖投标人公章）</w:t>
            </w:r>
            <w:r>
              <w:rPr/>
              <w:t>。</w:t>
            </w:r>
          </w:p>
          <w:p>
            <w:pPr>
              <w:pStyle w:val="null3"/>
            </w:pPr>
            <w:r>
              <w:rPr/>
              <w:t>▲10.投标人近</w:t>
            </w:r>
            <w:r>
              <w:rPr/>
              <w:t>三</w:t>
            </w:r>
            <w:r>
              <w:rPr/>
              <w:t>年每年均参与</w:t>
            </w:r>
            <w:r>
              <w:rPr/>
              <w:t>国家卫健委临检中心</w:t>
            </w:r>
            <w:r>
              <w:rPr/>
              <w:t>或省级临检中心组织的</w:t>
            </w:r>
            <w:r>
              <w:rPr/>
              <w:t>耳聋基因检测室间质评，并合格通过。</w:t>
            </w:r>
            <w:r>
              <w:rPr>
                <w:b/>
              </w:rPr>
              <w:t>（提供室间质评合格证书</w:t>
            </w:r>
            <w:r>
              <w:rPr>
                <w:b/>
              </w:rPr>
              <w:t>，若投标人成立年限不足三年的，则提供证书时间为从成立起至投标截止时间</w:t>
            </w:r>
            <w:r>
              <w:rPr>
                <w:b/>
              </w:rPr>
              <w:t>）</w:t>
            </w:r>
            <w:r>
              <w:rPr/>
              <w:t>。</w:t>
            </w:r>
          </w:p>
          <w:p>
            <w:pPr>
              <w:pStyle w:val="null3"/>
            </w:pPr>
            <w:r>
              <w:rPr/>
              <w:t>▲</w:t>
            </w:r>
            <w:r>
              <w:rPr/>
              <w:t>11</w:t>
            </w:r>
            <w:r>
              <w:rPr/>
              <w:t>.最低检测限不应高于1ng/uL</w:t>
            </w:r>
            <w:r>
              <w:rPr>
                <w:b/>
              </w:rPr>
              <w:t>（提供说明书）</w:t>
            </w:r>
            <w:r>
              <w:rPr/>
              <w:t>。</w:t>
            </w:r>
          </w:p>
          <w:p>
            <w:pPr>
              <w:pStyle w:val="null3"/>
            </w:pPr>
            <w:r>
              <w:rPr/>
              <w:t>（三）遗传性耳聋</w:t>
            </w:r>
            <w:r>
              <w:rPr/>
              <w:t>NGS Panel基因检测</w:t>
            </w:r>
          </w:p>
          <w:p>
            <w:pPr>
              <w:pStyle w:val="null3"/>
            </w:pPr>
            <w:r>
              <w:rPr/>
              <w:t>▲1.检测内容：非综合征型与综合征型耳聋常见与罕见的不少于200个致病基因，可检出单个位点及短片段插入与缺失的杂合、纯合、复合杂合突变，以及外显子水平的纯合型缺失。</w:t>
            </w:r>
          </w:p>
          <w:p>
            <w:pPr>
              <w:pStyle w:val="null3"/>
            </w:pPr>
            <w:r>
              <w:rPr/>
              <w:t>2.样本类型：外周血或基因组DNA。</w:t>
            </w:r>
          </w:p>
          <w:p>
            <w:pPr>
              <w:pStyle w:val="null3"/>
            </w:pPr>
            <w:r>
              <w:rPr/>
              <w:t>3.检测技术：目标序列捕获+高通量测序技术。</w:t>
            </w:r>
          </w:p>
          <w:p>
            <w:pPr>
              <w:pStyle w:val="null3"/>
            </w:pPr>
            <w:r>
              <w:rPr/>
              <w:t>4.扩增方法：采取线性扩增的方式进行扩增，降低指数扩增带来的错误累积。</w:t>
            </w:r>
          </w:p>
          <w:p>
            <w:pPr>
              <w:pStyle w:val="null3"/>
            </w:pPr>
            <w:r>
              <w:rPr/>
              <w:t>5.检测结果与“金标准”Sanger测序结果一致率100%。</w:t>
            </w:r>
          </w:p>
          <w:p>
            <w:pPr>
              <w:pStyle w:val="null3"/>
            </w:pPr>
            <w:r>
              <w:rPr/>
              <w:t>▲6.</w:t>
            </w:r>
            <w:r>
              <w:rPr/>
              <w:t>采用国产化基因测序仪且经国家药品监督管理局批准可用于临床检测。</w:t>
            </w:r>
            <w:r>
              <w:rPr>
                <w:b/>
              </w:rPr>
              <w:t>（提供医疗器械注册证复印件并加盖投标人公章）</w:t>
            </w:r>
          </w:p>
          <w:p>
            <w:pPr>
              <w:pStyle w:val="null3"/>
            </w:pPr>
            <w:r>
              <w:rPr/>
              <w:t>▲7.</w:t>
            </w:r>
            <w:r>
              <w:rPr/>
              <w:t>采用的检测试剂盒经国家药品监督管理局批准可用于临床检测。</w:t>
            </w:r>
            <w:r>
              <w:rPr>
                <w:b/>
              </w:rPr>
              <w:t>（提供医疗器械注册证复印件并加盖投标人公章）</w:t>
            </w:r>
          </w:p>
          <w:p>
            <w:pPr>
              <w:pStyle w:val="null3"/>
            </w:pPr>
            <w:r>
              <w:rPr/>
              <w:t>▲8.</w:t>
            </w:r>
            <w:r>
              <w:rPr/>
              <w:t>采用的分析软件经国家药品监督管理局批准可用于临床检测。</w:t>
            </w:r>
            <w:r>
              <w:rPr>
                <w:b/>
              </w:rPr>
              <w:t>（提供医疗器械注册证复印件并加盖投标人公章）</w:t>
            </w:r>
            <w:r>
              <w:rPr/>
              <w:t>。</w:t>
            </w:r>
          </w:p>
          <w:p>
            <w:pPr>
              <w:pStyle w:val="null3"/>
            </w:pPr>
            <w:r>
              <w:rPr/>
              <w:t>▲9.投标人近</w:t>
            </w:r>
            <w:r>
              <w:rPr/>
              <w:t>三</w:t>
            </w:r>
            <w:r>
              <w:rPr/>
              <w:t>年每年均参与</w:t>
            </w:r>
            <w:r>
              <w:rPr/>
              <w:t>国家卫健委临检中心</w:t>
            </w:r>
            <w:r>
              <w:rPr/>
              <w:t>或省级临检中心组织的</w:t>
            </w:r>
            <w:r>
              <w:rPr/>
              <w:t>耳聋基因检测室间质评，并合格通过。</w:t>
            </w:r>
            <w:r>
              <w:rPr>
                <w:b/>
              </w:rPr>
              <w:t>（提供室间质评合格证书，若投标人成立年限不足三年的，则提供证书时间为从成立起至投标截止时间）</w:t>
            </w:r>
            <w:r>
              <w:rPr/>
              <w:t>。</w:t>
            </w:r>
          </w:p>
          <w:p>
            <w:pPr>
              <w:pStyle w:val="null3"/>
            </w:pPr>
            <w:r>
              <w:rPr/>
              <w:t>（四）遗传性耳聋</w:t>
            </w:r>
            <w:r>
              <w:rPr/>
              <w:t>GJB2基因</w:t>
            </w:r>
            <w:r>
              <w:rPr/>
              <w:t>测序</w:t>
            </w:r>
          </w:p>
          <w:p>
            <w:pPr>
              <w:pStyle w:val="null3"/>
            </w:pPr>
            <w:r>
              <w:rPr/>
              <w:t>1.检测内容： GJB2；</w:t>
            </w:r>
          </w:p>
          <w:p>
            <w:pPr>
              <w:pStyle w:val="null3"/>
            </w:pPr>
            <w:r>
              <w:rPr/>
              <w:t>▲2.检测方法：高通量测序；</w:t>
            </w:r>
          </w:p>
          <w:p>
            <w:pPr>
              <w:pStyle w:val="null3"/>
            </w:pPr>
            <w:r>
              <w:rPr/>
              <w:t>▲3.检测位点：GJB2基因的编码区及侧翼±10bp区域</w:t>
            </w:r>
          </w:p>
          <w:p>
            <w:pPr>
              <w:pStyle w:val="null3"/>
            </w:pPr>
            <w:r>
              <w:rPr/>
              <w:t>4.样本类型：外周血；</w:t>
            </w:r>
          </w:p>
          <w:p>
            <w:pPr>
              <w:pStyle w:val="null3"/>
            </w:pPr>
            <w:r>
              <w:rPr/>
              <w:t>5.报告周期： 10个工作日内。</w:t>
            </w:r>
          </w:p>
          <w:p>
            <w:pPr>
              <w:pStyle w:val="null3"/>
            </w:pPr>
            <w:r>
              <w:rPr/>
              <w:t>（五）遗传性耳聋</w:t>
            </w:r>
            <w:r>
              <w:rPr/>
              <w:t>SLC26A4基因</w:t>
            </w:r>
            <w:r>
              <w:rPr/>
              <w:t>测序</w:t>
            </w:r>
          </w:p>
          <w:p>
            <w:pPr>
              <w:pStyle w:val="null3"/>
            </w:pPr>
            <w:r>
              <w:rPr/>
              <w:t>1.检测内容：SLC26A4；</w:t>
            </w:r>
          </w:p>
          <w:p>
            <w:pPr>
              <w:pStyle w:val="null3"/>
            </w:pPr>
            <w:r>
              <w:rPr/>
              <w:t>▲2.检测方法：高通量测序；</w:t>
            </w:r>
          </w:p>
          <w:p>
            <w:pPr>
              <w:pStyle w:val="null3"/>
            </w:pPr>
            <w:r>
              <w:rPr/>
              <w:t>▲3.检测位点：SLC26A4基因的编码区及侧翼±10bp区域</w:t>
            </w:r>
          </w:p>
          <w:p>
            <w:pPr>
              <w:pStyle w:val="null3"/>
            </w:pPr>
            <w:r>
              <w:rPr/>
              <w:t>4.样本类型：外周血；</w:t>
            </w:r>
          </w:p>
          <w:p>
            <w:pPr>
              <w:pStyle w:val="null3"/>
            </w:pPr>
            <w:r>
              <w:rPr/>
              <w:t>5.报告周期： 15个工作日内</w:t>
            </w:r>
          </w:p>
          <w:p>
            <w:pPr>
              <w:pStyle w:val="null3"/>
            </w:pPr>
            <w:r>
              <w:rPr/>
              <w:t>（六）地中海贫血基因检测</w:t>
            </w:r>
          </w:p>
          <w:p>
            <w:pPr>
              <w:pStyle w:val="null3"/>
            </w:pPr>
            <w:r>
              <w:rPr/>
              <w:t>1.检测内容：α和β地中海贫血基因检测。</w:t>
            </w:r>
          </w:p>
          <w:p>
            <w:pPr>
              <w:pStyle w:val="null3"/>
            </w:pPr>
            <w:r>
              <w:rPr/>
              <w:t>▲2.检测位点：不低于500种地贫变异型别。</w:t>
            </w:r>
          </w:p>
          <w:p>
            <w:pPr>
              <w:pStyle w:val="null3"/>
            </w:pPr>
            <w:r>
              <w:rPr/>
              <w:t>▲3.检测类型：涵盖α地贫缺失型、α地贫非缺失型、β地贫缺失型和β地贫非缺失型</w:t>
            </w:r>
            <w:r>
              <w:rPr>
                <w:sz w:val="20"/>
                <w:b/>
              </w:rPr>
              <w:t>（提供详细检测列表复印件加盖投标人公章）</w:t>
            </w:r>
            <w:r>
              <w:rPr/>
              <w:t>。</w:t>
            </w:r>
          </w:p>
          <w:p>
            <w:pPr>
              <w:pStyle w:val="null3"/>
            </w:pPr>
            <w:r>
              <w:rPr/>
              <w:t>▲4.检测方法：高通量测序技术。</w:t>
            </w:r>
          </w:p>
          <w:p>
            <w:pPr>
              <w:pStyle w:val="null3"/>
            </w:pPr>
            <w:r>
              <w:rPr/>
              <w:t>5.采用DNA片段环化，线性扩增的方法，避免指数扩增带来的错误累积。</w:t>
            </w:r>
          </w:p>
          <w:p>
            <w:pPr>
              <w:pStyle w:val="null3"/>
            </w:pPr>
            <w:r>
              <w:rPr/>
              <w:t>6.检测技术能够扩展更多的地贫变异类型、异常血红蛋白类型及新发变异类型。</w:t>
            </w:r>
          </w:p>
          <w:p>
            <w:pPr>
              <w:pStyle w:val="null3"/>
            </w:pPr>
            <w:r>
              <w:rPr/>
              <w:t>7.检测准确性：检测范围内的地贫类型准确率不低于99%。</w:t>
            </w:r>
          </w:p>
          <w:p>
            <w:pPr>
              <w:pStyle w:val="null3"/>
            </w:pPr>
            <w:r>
              <w:rPr/>
              <w:t>8.样本类型：外周血、血斑、唾液和DNA。</w:t>
            </w:r>
          </w:p>
          <w:p>
            <w:pPr>
              <w:pStyle w:val="null3"/>
            </w:pPr>
            <w:r>
              <w:rPr/>
              <w:t>9.</w:t>
            </w:r>
            <w:r>
              <w:rPr/>
              <w:t>报告</w:t>
            </w:r>
            <w:r>
              <w:rPr/>
              <w:t>周期</w:t>
            </w:r>
            <w:r>
              <w:rPr/>
              <w:t>：</w:t>
            </w:r>
            <w:r>
              <w:rPr/>
              <w:t>10个工作日</w:t>
            </w:r>
            <w:r>
              <w:rPr/>
              <w:t>内</w:t>
            </w:r>
            <w:r>
              <w:rPr/>
              <w:t>。</w:t>
            </w:r>
          </w:p>
          <w:p>
            <w:pPr>
              <w:pStyle w:val="null3"/>
            </w:pPr>
            <w:r>
              <w:rPr/>
              <w:t>▲10.</w:t>
            </w:r>
            <w:r>
              <w:rPr/>
              <w:t>采用国产化基因测序仪且经国家药品监督管理局批准可用于临床检测。</w:t>
            </w:r>
            <w:r>
              <w:rPr>
                <w:b/>
              </w:rPr>
              <w:t>（提供医疗器械注册证复印件并加盖投标人公章）</w:t>
            </w:r>
          </w:p>
          <w:p>
            <w:pPr>
              <w:pStyle w:val="null3"/>
            </w:pPr>
            <w:r>
              <w:rPr/>
              <w:t>▲11.</w:t>
            </w:r>
            <w:r>
              <w:rPr/>
              <w:t>采用的检测试剂盒经国家药品监督管理局批准可用于临床检测。</w:t>
            </w:r>
            <w:r>
              <w:rPr>
                <w:b/>
              </w:rPr>
              <w:t>（提供医疗器械注册证复印件并加盖投标人公章）</w:t>
            </w:r>
          </w:p>
          <w:p>
            <w:pPr>
              <w:pStyle w:val="null3"/>
            </w:pPr>
            <w:r>
              <w:rPr/>
              <w:t>▲12.</w:t>
            </w:r>
            <w:r>
              <w:rPr/>
              <w:t>采用的分析软件经国家药品监督管理局批准可用于临床检测。</w:t>
            </w:r>
            <w:r>
              <w:rPr>
                <w:b/>
              </w:rPr>
              <w:t>（提供医疗器械注册证复印件并加盖投标人公章）</w:t>
            </w:r>
            <w:r>
              <w:rPr/>
              <w:t>。</w:t>
            </w:r>
          </w:p>
          <w:p>
            <w:pPr>
              <w:pStyle w:val="null3"/>
            </w:pPr>
            <w:r>
              <w:rPr/>
              <w:t>▲13.投标人近</w:t>
            </w:r>
            <w:r>
              <w:rPr/>
              <w:t>三</w:t>
            </w:r>
            <w:r>
              <w:rPr/>
              <w:t>年每年均参与</w:t>
            </w:r>
            <w:r>
              <w:rPr/>
              <w:t>国家卫健委临检中心</w:t>
            </w:r>
            <w:r>
              <w:rPr/>
              <w:t>或省级临检中心组织的地贫</w:t>
            </w:r>
            <w:r>
              <w:rPr/>
              <w:t>基因检测室间质评，并合格通过。</w:t>
            </w:r>
            <w:r>
              <w:rPr>
                <w:b/>
              </w:rPr>
              <w:t>（提供室间质评合格证书，若投标人成立年限不足三年的，则提供证书时间为从成立起至投标截止时间）</w:t>
            </w:r>
            <w:r>
              <w:rPr/>
              <w:t>。</w:t>
            </w:r>
          </w:p>
          <w:p>
            <w:pPr>
              <w:pStyle w:val="null3"/>
            </w:pPr>
            <w:r>
              <w:rPr/>
              <w:t>（七）单基因遗传病携带者筛查</w:t>
            </w:r>
          </w:p>
          <w:p>
            <w:pPr>
              <w:pStyle w:val="null3"/>
            </w:pPr>
            <w:r>
              <w:rPr/>
              <w:t>▲1.检测病种数：不低于150种，包含常见的进行性假肥大性肌营养不良（DMD）、脊肌萎缩症（SMA）和地中海贫血等遗传病。</w:t>
            </w:r>
          </w:p>
          <w:p>
            <w:pPr>
              <w:pStyle w:val="null3"/>
            </w:pPr>
            <w:r>
              <w:rPr/>
              <w:t>2.检测方法：目标区域捕获及高通量测序技术。</w:t>
            </w:r>
          </w:p>
          <w:p>
            <w:pPr>
              <w:pStyle w:val="null3"/>
            </w:pPr>
            <w:r>
              <w:rPr/>
              <w:t>3.检测样本类型：外周血、DNA、唾液。</w:t>
            </w:r>
          </w:p>
          <w:p>
            <w:pPr>
              <w:pStyle w:val="null3"/>
            </w:pPr>
            <w:r>
              <w:rPr/>
              <w:t>▲4.检测位点不低于10000个，且位点均参照ACMG解读指南规则判定为致病性或疑似致病性。</w:t>
            </w:r>
          </w:p>
          <w:p>
            <w:pPr>
              <w:pStyle w:val="null3"/>
            </w:pPr>
            <w:r>
              <w:rPr/>
              <w:t>▲5.能检测常见的CNV变异类型，包括进行性假肥大性肌营养不良DMD基因连续2个外显子及以上的缺失/重复、脊髓性肌肉萎缩症SMN1基因7号外显子缺失、地中海贫血HBA1/HBA2基因的常见5种大片段缺失（-SEA、-α3.7、-α4.2、FIL、THAI ）和地中海贫血HBB基因的常见3种大片段缺失（SEA-HPFH、Chinese、Taiwanese）。</w:t>
            </w:r>
          </w:p>
          <w:p>
            <w:pPr>
              <w:pStyle w:val="null3"/>
            </w:pPr>
            <w:r>
              <w:rPr/>
              <w:t>6.对于承诺能检测的CNV，</w:t>
            </w:r>
            <w:r>
              <w:rPr>
                <w:b/>
              </w:rPr>
              <w:t>需提供</w:t>
            </w:r>
            <w:r>
              <w:rPr>
                <w:b/>
              </w:rPr>
              <w:t>CNV检测性能报告书</w:t>
            </w:r>
            <w:r>
              <w:rPr/>
              <w:t>，与金标准相比灵敏度特异性不低于</w:t>
            </w:r>
            <w:r>
              <w:rPr/>
              <w:t>99%。</w:t>
            </w:r>
          </w:p>
          <w:p>
            <w:pPr>
              <w:pStyle w:val="null3"/>
            </w:pPr>
            <w:r>
              <w:rPr/>
              <w:t>▲7.对NGS分析CNV流程中结果为阳性或灰区的样本提供金标准MLPA、Gap-PCR等方法的二次验证。</w:t>
            </w:r>
          </w:p>
          <w:p>
            <w:pPr>
              <w:pStyle w:val="null3"/>
            </w:pPr>
            <w:r>
              <w:rPr/>
              <w:t>8.报告周期： 15个工作日内。</w:t>
            </w:r>
          </w:p>
          <w:p>
            <w:pPr>
              <w:pStyle w:val="null3"/>
            </w:pPr>
            <w:r>
              <w:rPr/>
              <w:t>9.检测报告需包含所检测疾病的剩余风险相关信息。</w:t>
            </w:r>
          </w:p>
          <w:p>
            <w:pPr>
              <w:pStyle w:val="null3"/>
            </w:pPr>
            <w:r>
              <w:rPr/>
              <w:t>▲10.</w:t>
            </w:r>
            <w:r>
              <w:rPr/>
              <w:t>采用国产化基因测序仪且经国家药品监督管理局批准可用于临床检测。</w:t>
            </w:r>
            <w:r>
              <w:rPr>
                <w:b/>
              </w:rPr>
              <w:t>（提供医疗器械注册证复印件并加盖投标人公章）</w:t>
            </w:r>
          </w:p>
          <w:p>
            <w:pPr>
              <w:pStyle w:val="null3"/>
            </w:pPr>
            <w:r>
              <w:rPr/>
              <w:t>▲11.</w:t>
            </w:r>
            <w:r>
              <w:rPr/>
              <w:t>采用的检测试剂盒经国家药品监督管理局批准可用于临床检测。</w:t>
            </w:r>
            <w:r>
              <w:rPr>
                <w:b/>
              </w:rPr>
              <w:t>（提供医疗器械注册证复印件并加盖投标人公章）</w:t>
            </w:r>
          </w:p>
          <w:p>
            <w:pPr>
              <w:pStyle w:val="null3"/>
            </w:pPr>
            <w:r>
              <w:rPr/>
              <w:t>▲12.</w:t>
            </w:r>
            <w:r>
              <w:rPr/>
              <w:t>采用的分析软件经国家药品监督管理局批准可用于临床检测。</w:t>
            </w:r>
            <w:r>
              <w:rPr>
                <w:b/>
              </w:rPr>
              <w:t>（提供医疗器械注册证复印件并加盖投标人公章）</w:t>
            </w:r>
            <w:r>
              <w:rPr/>
              <w:t>。</w:t>
            </w:r>
          </w:p>
          <w:p>
            <w:pPr>
              <w:pStyle w:val="null3"/>
            </w:pPr>
            <w:r>
              <w:rPr/>
              <w:t>（八）染色体检测</w:t>
            </w:r>
            <w:r>
              <w:rPr/>
              <w:t>CNVseq-100K PLUS</w:t>
            </w:r>
          </w:p>
          <w:p>
            <w:pPr>
              <w:pStyle w:val="null3"/>
            </w:pPr>
            <w:r>
              <w:rPr/>
              <w:t>▲1.检测内容：三倍体、23对染色体非整倍体、100K以上</w:t>
            </w:r>
            <w:r>
              <w:rPr/>
              <w:t>CNV</w:t>
            </w:r>
            <w:r>
              <w:rPr/>
              <w:t>、单亲二体、宫内病原感染检测、母源污染检测。</w:t>
            </w:r>
          </w:p>
          <w:p>
            <w:pPr>
              <w:pStyle w:val="null3"/>
            </w:pPr>
            <w:r>
              <w:rPr/>
              <w:t>2.检测方法：高通量测序技术。</w:t>
            </w:r>
          </w:p>
          <w:p>
            <w:pPr>
              <w:pStyle w:val="null3"/>
            </w:pPr>
            <w:r>
              <w:rPr/>
              <w:t>3.使用短串联重复序列（STR）技术进行三倍体检测及母源污染检测。</w:t>
            </w:r>
          </w:p>
          <w:p>
            <w:pPr>
              <w:pStyle w:val="null3"/>
            </w:pPr>
            <w:r>
              <w:rPr/>
              <w:t>4.使用甲基化特异性qPCR（MS-qPCR）技术进行目标区域单亲二体检测。</w:t>
            </w:r>
          </w:p>
          <w:p>
            <w:pPr>
              <w:pStyle w:val="null3"/>
            </w:pPr>
            <w:r>
              <w:rPr/>
              <w:t>5.样本类型：流产组织、DNA、外周血等。</w:t>
            </w:r>
          </w:p>
          <w:p>
            <w:pPr>
              <w:pStyle w:val="null3"/>
            </w:pPr>
            <w:r>
              <w:rPr/>
              <w:t>6.报告周期：收到样本10个自然日内。</w:t>
            </w:r>
          </w:p>
          <w:p>
            <w:pPr>
              <w:pStyle w:val="null3"/>
            </w:pPr>
            <w:r>
              <w:rPr/>
              <w:t>▲7.数据量：平均数据量≥35M，单样本检测有效数据量要求≥20M reads。</w:t>
            </w:r>
          </w:p>
          <w:p>
            <w:pPr>
              <w:pStyle w:val="null3"/>
            </w:pPr>
            <w:r>
              <w:rPr/>
              <w:t>▲8.投标人具有CNV-seq智能化解读云平台，提供智能化ACMG打分、变异注释、自动出报告等CNV解读本地化方案。</w:t>
            </w:r>
          </w:p>
          <w:p>
            <w:pPr>
              <w:pStyle w:val="null3"/>
            </w:pPr>
            <w:r>
              <w:rPr/>
              <w:t>▲9.</w:t>
            </w:r>
            <w:r>
              <w:rPr/>
              <w:t>采用国产化基因测序仪且经国家药品监督管理局批准可用于临床检测。</w:t>
            </w:r>
            <w:r>
              <w:rPr>
                <w:b/>
              </w:rPr>
              <w:t>（提供医疗器械注册证复印件并加盖投标人公章）</w:t>
            </w:r>
          </w:p>
          <w:p>
            <w:pPr>
              <w:pStyle w:val="null3"/>
            </w:pPr>
            <w:r>
              <w:rPr/>
              <w:t>▲10.</w:t>
            </w:r>
            <w:r>
              <w:rPr/>
              <w:t>采用的检测试剂盒经国家药品监督管理局批准可用于临床检测。</w:t>
            </w:r>
            <w:r>
              <w:rPr>
                <w:b/>
              </w:rPr>
              <w:t>（提供医疗器械注册证复印件并加盖投标人公章）</w:t>
            </w:r>
          </w:p>
          <w:p>
            <w:pPr>
              <w:pStyle w:val="null3"/>
            </w:pPr>
            <w:r>
              <w:rPr/>
              <w:t>▲11.</w:t>
            </w:r>
            <w:r>
              <w:rPr/>
              <w:t>采用的分析软件经国家药品监督管理局批准可用于临床检测。</w:t>
            </w:r>
            <w:r>
              <w:rPr>
                <w:b/>
              </w:rPr>
              <w:t>（提供医疗器械注册证复印件并加盖投标人公章）</w:t>
            </w:r>
            <w:r>
              <w:rPr/>
              <w:t>。</w:t>
            </w:r>
          </w:p>
          <w:p>
            <w:pPr>
              <w:pStyle w:val="null3"/>
            </w:pPr>
            <w:r>
              <w:rPr/>
              <w:t>▲12.投标人近</w:t>
            </w:r>
            <w:r>
              <w:rPr/>
              <w:t>三</w:t>
            </w:r>
            <w:r>
              <w:rPr/>
              <w:t>年每年均参与</w:t>
            </w:r>
            <w:r>
              <w:rPr/>
              <w:t>国家卫健委临检中心</w:t>
            </w:r>
            <w:r>
              <w:rPr/>
              <w:t>或省级临检中心组织的</w:t>
            </w:r>
            <w:r>
              <w:rPr/>
              <w:t>染色体基因组结构异常室间质评，并合格通过。</w:t>
            </w:r>
            <w:r>
              <w:rPr>
                <w:b/>
              </w:rPr>
              <w:t>（提供室间质评合格证书，若投标人成立年限不足三年的，则提供证书时间为从成立起至投标截止时间）</w:t>
            </w:r>
            <w:r>
              <w:rPr/>
              <w:t>。</w:t>
            </w:r>
          </w:p>
          <w:p>
            <w:pPr>
              <w:pStyle w:val="null3"/>
            </w:pPr>
            <w:r>
              <w:rPr/>
              <w:t>（九）临床全外显子组测序（单人</w:t>
            </w:r>
            <w:r>
              <w:rPr/>
              <w:t>/</w:t>
            </w:r>
            <w:r>
              <w:rPr/>
              <w:t>家系</w:t>
            </w:r>
            <w:r>
              <w:rPr/>
              <w:t>）</w:t>
            </w:r>
          </w:p>
          <w:p>
            <w:pPr>
              <w:pStyle w:val="null3"/>
            </w:pPr>
            <w:r>
              <w:rPr/>
              <w:t>▲1.检测范围：一次性检测人类基因组中2万多个基因上约18万个外显子突变及外显子相邻20bp的内含子区中的点突变（检测准确率为99%以上）、小的缺失插入突变（20bp以内）（检测准确率为99%以上），以及外显子水平的缺失重复变异（包括SMN1基因7号外显子的缺失情况）（检测准确率为95%以上）。</w:t>
            </w:r>
          </w:p>
          <w:p>
            <w:pPr>
              <w:pStyle w:val="null3"/>
            </w:pPr>
            <w:r>
              <w:rPr/>
              <w:t>▲2.涵盖线粒体基因组，覆盖对应基因上的致病位点。</w:t>
            </w:r>
          </w:p>
          <w:p>
            <w:pPr>
              <w:pStyle w:val="null3"/>
            </w:pPr>
            <w:r>
              <w:rPr/>
              <w:t>▲3.该检测可分析HGMD/ClinVar数据库中记录致病的至少3万个位于UTR区、启动子区及深度内含子区位点。</w:t>
            </w:r>
          </w:p>
          <w:p>
            <w:pPr>
              <w:pStyle w:val="null3"/>
            </w:pPr>
            <w:r>
              <w:rPr/>
              <w:t>▲4.可提示与受检者表型相关的其它变异类型，包括大片段的基因组拷贝数变异（例如缺失/重复区间 ≥1Mb）、染色体非整倍体、三倍体、杂合性缺失（LOH，区间≥5Mb），及部分动态突变。</w:t>
            </w:r>
          </w:p>
          <w:p>
            <w:pPr>
              <w:pStyle w:val="null3"/>
            </w:pPr>
            <w:r>
              <w:rPr/>
              <w:t>5.样本类型：外周血、新鲜组织、唾液、DNA等。</w:t>
            </w:r>
          </w:p>
          <w:p>
            <w:pPr>
              <w:pStyle w:val="null3"/>
            </w:pPr>
            <w:r>
              <w:rPr/>
              <w:t>6.检测方法：目标区域捕获和高通量测序技术。</w:t>
            </w:r>
          </w:p>
          <w:p>
            <w:pPr>
              <w:pStyle w:val="null3"/>
            </w:pPr>
            <w:r>
              <w:rPr/>
              <w:t>7.报告周期：收到合格样本25个自然日；急速全外为9个工作日。</w:t>
            </w:r>
          </w:p>
          <w:p>
            <w:pPr>
              <w:pStyle w:val="null3"/>
            </w:pPr>
            <w:r>
              <w:rPr/>
              <w:t>8.外显子捕获探针不低于42M，探针设计需采用CCDS、RefSeq、Ensembl、GENCODE、ClinVar等数据库。</w:t>
            </w:r>
          </w:p>
          <w:p>
            <w:pPr>
              <w:pStyle w:val="null3"/>
            </w:pPr>
            <w:r>
              <w:rPr/>
              <w:t>9.全外信息分析数据标准：（1）测序数据量不小于15G；（2）基因组比对率&gt;99%；</w:t>
            </w:r>
          </w:p>
          <w:p>
            <w:pPr>
              <w:pStyle w:val="null3"/>
            </w:pPr>
            <w:r>
              <w:rPr/>
              <w:t>（</w:t>
            </w:r>
            <w:r>
              <w:rPr/>
              <w:t>3）数据重复率&lt;8%；（4）去重前测序深度≥200X；（5）全外显子组区域覆盖度≥99.5%、20X覆盖度≥98.5%、30X覆盖度≥98%；（6）捕获效率&gt;65%；（7）线粒体平均深度≥2000X。</w:t>
            </w:r>
          </w:p>
          <w:p>
            <w:pPr>
              <w:pStyle w:val="null3"/>
            </w:pPr>
            <w:r>
              <w:rPr/>
              <w:t>10.数据解读： （1）数据解读规则参考美国医学遗传学和基因组学学院（American College of Medical Genetics and Genomics，ACMG）相关指南。（2）报告中致病位点给出明确的致病性评级证据项。</w:t>
            </w:r>
          </w:p>
          <w:p>
            <w:pPr>
              <w:pStyle w:val="null3"/>
            </w:pPr>
            <w:r>
              <w:rPr/>
              <w:t>11. 疾病-基因数据库更新迅速：每三个月更新一次，提升检出率。</w:t>
            </w:r>
          </w:p>
          <w:p>
            <w:pPr>
              <w:pStyle w:val="null3"/>
            </w:pPr>
            <w:r>
              <w:rPr/>
              <w:t>▲12.</w:t>
            </w:r>
            <w:r>
              <w:rPr/>
              <w:t>采用国产化基因测序仪且经国家药品监督管理局批准可用于临床检测。</w:t>
            </w:r>
            <w:r>
              <w:rPr>
                <w:b/>
              </w:rPr>
              <w:t>（提供</w:t>
            </w:r>
            <w:r>
              <w:rPr>
                <w:b/>
              </w:rPr>
              <w:t>医疗器械注册证复印件并加盖投标人公章）</w:t>
            </w:r>
          </w:p>
          <w:p>
            <w:pPr>
              <w:pStyle w:val="null3"/>
            </w:pPr>
            <w:r>
              <w:rPr/>
              <w:t>▲13.</w:t>
            </w:r>
            <w:r>
              <w:rPr/>
              <w:t>采用的检测试剂盒经国家药品监督管理局批准可用于临床检测。</w:t>
            </w:r>
            <w:r>
              <w:rPr>
                <w:b/>
              </w:rPr>
              <w:t>（提供医疗器械注册证复印件并加盖投标人公章）</w:t>
            </w:r>
          </w:p>
          <w:p>
            <w:pPr>
              <w:pStyle w:val="null3"/>
            </w:pPr>
            <w:r>
              <w:rPr/>
              <w:t>▲14.</w:t>
            </w:r>
            <w:r>
              <w:rPr/>
              <w:t>采用的分析软件经国家药品监督管理局批准可用于临床检测。</w:t>
            </w:r>
            <w:r>
              <w:rPr>
                <w:b/>
              </w:rPr>
              <w:t>（提供医疗器械注册证复印件并加盖投标人公章）</w:t>
            </w:r>
            <w:r>
              <w:rPr/>
              <w:t>。</w:t>
            </w:r>
          </w:p>
          <w:p>
            <w:pPr>
              <w:pStyle w:val="null3"/>
            </w:pPr>
            <w:r>
              <w:rPr/>
              <w:t>▲15.投标人近</w:t>
            </w:r>
            <w:r>
              <w:rPr/>
              <w:t>三</w:t>
            </w:r>
            <w:r>
              <w:rPr/>
              <w:t>年每年均参与</w:t>
            </w:r>
            <w:r>
              <w:rPr/>
              <w:t>国家卫健委临检中心</w:t>
            </w:r>
            <w:r>
              <w:rPr/>
              <w:t>或省级临检中心组织的</w:t>
            </w:r>
            <w:r>
              <w:rPr/>
              <w:t>遗传病高通量测序检测生物信息学分析室间质评，并合格通过。</w:t>
            </w:r>
            <w:r>
              <w:rPr>
                <w:b/>
              </w:rPr>
              <w:t>（提供室间质评合格证书，若投标人成立年限不足三年的，则提供证书时间为从成立起至投标截止时间）</w:t>
            </w:r>
            <w:r>
              <w:rPr/>
              <w:t>。</w:t>
            </w:r>
          </w:p>
          <w:p>
            <w:pPr>
              <w:pStyle w:val="null3"/>
            </w:pPr>
            <w:r>
              <w:rPr/>
              <w:t>（十）常见单基因病基因检测</w:t>
            </w:r>
          </w:p>
          <w:p>
            <w:pPr>
              <w:pStyle w:val="null3"/>
            </w:pPr>
            <w:r>
              <w:rPr/>
              <w:t>1.检测范围：针对＞60种常见单基因病明确的致病基因进行检测。</w:t>
            </w:r>
          </w:p>
          <w:p>
            <w:pPr>
              <w:pStyle w:val="null3"/>
            </w:pPr>
            <w:r>
              <w:rPr/>
              <w:t>2.样本类型：外周血、羊水、流产组织、唾液、DNA。</w:t>
            </w:r>
          </w:p>
          <w:p>
            <w:pPr>
              <w:pStyle w:val="null3"/>
            </w:pPr>
            <w:r>
              <w:rPr/>
              <w:t>3.检测方法：目标区域捕获和高通量测序技术。</w:t>
            </w:r>
          </w:p>
          <w:p>
            <w:pPr>
              <w:pStyle w:val="null3"/>
            </w:pPr>
            <w:r>
              <w:rPr/>
              <w:t>4.数据解读：（1）数据解读规则参考美国医学遗传学和基因组学学院（American College of Medical Genetics and Genomics，ACMG）相关指南。（2）报告中致病位点给出明确的致病性评级证据项。</w:t>
            </w:r>
          </w:p>
          <w:p>
            <w:pPr>
              <w:pStyle w:val="null3"/>
            </w:pPr>
            <w:r>
              <w:rPr/>
              <w:t>5.报告周期： 25个自然日</w:t>
            </w:r>
            <w:r>
              <w:rPr/>
              <w:t>内</w:t>
            </w:r>
            <w:r>
              <w:rPr/>
              <w:t>。</w:t>
            </w:r>
          </w:p>
          <w:p>
            <w:pPr>
              <w:pStyle w:val="null3"/>
            </w:pPr>
            <w:r>
              <w:rPr/>
              <w:t>▲6.</w:t>
            </w:r>
            <w:r>
              <w:rPr/>
              <w:t>采用国产化基因测序仪且经国家药品监督管理局批准可用于临床检测。</w:t>
            </w:r>
            <w:r>
              <w:rPr>
                <w:b/>
              </w:rPr>
              <w:t>（提供医疗器械注册证复印件并加盖投标人公章）</w:t>
            </w:r>
            <w:r>
              <w:rPr/>
              <w:t>。</w:t>
            </w:r>
          </w:p>
          <w:p>
            <w:pPr>
              <w:pStyle w:val="null3"/>
            </w:pPr>
            <w:r>
              <w:rPr/>
              <w:t>▲7.投标人近</w:t>
            </w:r>
            <w:r>
              <w:rPr/>
              <w:t>三</w:t>
            </w:r>
            <w:r>
              <w:rPr/>
              <w:t>年每年均参与</w:t>
            </w:r>
            <w:r>
              <w:rPr/>
              <w:t>国家卫健委临检中心</w:t>
            </w:r>
            <w:r>
              <w:rPr/>
              <w:t>或省级临检中心组织的</w:t>
            </w:r>
            <w:r>
              <w:rPr/>
              <w:t>遗传病高通量测序检测生物信息学分析室间质评，并合格通过。</w:t>
            </w:r>
            <w:r>
              <w:rPr>
                <w:b/>
              </w:rPr>
              <w:t>（提供室间质评合格证书，若投标人成立年限不足三年的，则提供证书时间为从成立起至投标截止时间）</w:t>
            </w:r>
            <w:r>
              <w:rPr/>
              <w:t>。</w:t>
            </w:r>
          </w:p>
          <w:p>
            <w:pPr>
              <w:pStyle w:val="null3"/>
            </w:pPr>
            <w:r>
              <w:rPr/>
              <w:t>（十一）临床全基因组检测</w:t>
            </w:r>
          </w:p>
          <w:p>
            <w:pPr>
              <w:pStyle w:val="null3"/>
            </w:pPr>
            <w:r>
              <w:rPr/>
              <w:t>▲1.检测范围：一次性检测人类基因组中2万多个基因，可分析的变异包括：核基因编码及非编码区（包括外显子、内含子区，启动子区和基因间区域等）的点突变(SNV)、小片段插入缺失(InDel)，外显子水平的拷贝数变异 (ExonCNV)， 基因组大片段拷贝数变异(Large CNV)及线粒体变异等。</w:t>
            </w:r>
          </w:p>
          <w:p>
            <w:pPr>
              <w:pStyle w:val="null3"/>
            </w:pPr>
            <w:r>
              <w:rPr/>
              <w:t>▲2.可同时提示杂合性缺失 (LOH)、易位倒位等结构变异(SV)、部分动态突变(STR)等。</w:t>
            </w:r>
          </w:p>
          <w:p>
            <w:pPr>
              <w:pStyle w:val="null3"/>
            </w:pPr>
            <w:r>
              <w:rPr/>
              <w:t>3.样本类型：外周血、基因组DNA。</w:t>
            </w:r>
          </w:p>
          <w:p>
            <w:pPr>
              <w:pStyle w:val="null3"/>
            </w:pPr>
            <w:r>
              <w:rPr/>
              <w:t>4.检测方法：高通量测序技术。</w:t>
            </w:r>
          </w:p>
          <w:p>
            <w:pPr>
              <w:pStyle w:val="null3"/>
            </w:pPr>
            <w:r>
              <w:rPr/>
              <w:t>5.报告周期： 30个自然日。</w:t>
            </w:r>
          </w:p>
          <w:p>
            <w:pPr>
              <w:pStyle w:val="null3"/>
            </w:pPr>
            <w:r>
              <w:rPr/>
              <w:t>▲6.质控标准：去重测序深度＞40X，20X覆盖度≥90%，线粒体200X覆盖度≥99%且线粒体拷贝数≥50。</w:t>
            </w:r>
          </w:p>
          <w:p>
            <w:pPr>
              <w:pStyle w:val="null3"/>
            </w:pPr>
            <w:r>
              <w:rPr/>
              <w:t>7.数据解读：（1）数据解读规则参考美国医学遗传学和基因组学学院（American College of Medical Genetics and Genomics，ACMG）相关指南。（2）报告中致病位点给出明确的致病性评级证据项。</w:t>
            </w:r>
          </w:p>
          <w:p>
            <w:pPr>
              <w:pStyle w:val="null3"/>
            </w:pPr>
            <w:r>
              <w:rPr/>
              <w:t>▲8.</w:t>
            </w:r>
            <w:r>
              <w:rPr/>
              <w:t>采用国产化基因测序仪且经国家药品监督管理局批准可用于临床检测。</w:t>
            </w:r>
            <w:r>
              <w:rPr>
                <w:b/>
              </w:rPr>
              <w:t>（提供医疗器械注册证复印件并加盖投标人公章）</w:t>
            </w:r>
            <w:r>
              <w:rPr/>
              <w:t>。</w:t>
            </w:r>
          </w:p>
          <w:p>
            <w:pPr>
              <w:pStyle w:val="null3"/>
            </w:pPr>
            <w:r>
              <w:rPr/>
              <w:t>▲9.投标人近</w:t>
            </w:r>
            <w:r>
              <w:rPr/>
              <w:t>三</w:t>
            </w:r>
            <w:r>
              <w:rPr/>
              <w:t>年每年均参与</w:t>
            </w:r>
            <w:r>
              <w:rPr/>
              <w:t>国家卫健委临检中心</w:t>
            </w:r>
            <w:r>
              <w:rPr/>
              <w:t>或省级临检中心组织的</w:t>
            </w:r>
            <w:r>
              <w:rPr/>
              <w:t>遗传病高通量测序检测生物信息学分析室间质评，并合格通过。</w:t>
            </w:r>
            <w:r>
              <w:rPr>
                <w:b/>
              </w:rPr>
              <w:t>（提供室间质评合格证书，若投标人成立年限不足三年的，则提供证书时间为从成立起至投标截止时间）</w:t>
            </w:r>
            <w:r>
              <w:rPr/>
              <w:t>。</w:t>
            </w:r>
          </w:p>
          <w:p>
            <w:pPr>
              <w:pStyle w:val="null3"/>
            </w:pPr>
            <w:r>
              <w:rPr/>
              <w:t>（十二）病原微生物高通量基因检测（</w:t>
            </w:r>
            <w:r>
              <w:rPr/>
              <w:t>mNGS）</w:t>
            </w:r>
          </w:p>
          <w:p>
            <w:pPr>
              <w:pStyle w:val="null3"/>
            </w:pPr>
            <w:r>
              <w:rPr/>
              <w:t>▲1.检测内容：可进行＞16000种病原微生物检测，＞30种耐药基因，＞280种毒力基因，以及人源CNV分析。</w:t>
            </w:r>
          </w:p>
          <w:p>
            <w:pPr>
              <w:pStyle w:val="null3"/>
            </w:pPr>
            <w:r>
              <w:rPr/>
              <w:t>▲2.肺炎支原体耐药基因23S rRNA检测位点数量≥4 个。</w:t>
            </w:r>
          </w:p>
          <w:p>
            <w:pPr>
              <w:pStyle w:val="null3"/>
            </w:pPr>
            <w:r>
              <w:rPr/>
              <w:t>3</w:t>
            </w:r>
            <w:r>
              <w:rPr/>
              <w:t>.具备完善的病原检测与验证能力，配备多种技术平台多种病原检测项目（至少包括qPCR），以满足临床感染疾病诊断的多重需求。</w:t>
            </w:r>
          </w:p>
          <w:p>
            <w:pPr>
              <w:pStyle w:val="null3"/>
            </w:pPr>
            <w:r>
              <w:rPr/>
              <w:t>4</w:t>
            </w:r>
            <w:r>
              <w:rPr/>
              <w:t>.样本类型：血、脑脊液、肺泡灌洗液、痰液、组织、其他体液等多种样本类型。</w:t>
            </w:r>
          </w:p>
          <w:p>
            <w:pPr>
              <w:pStyle w:val="null3"/>
            </w:pPr>
            <w:r>
              <w:rPr/>
              <w:t>5</w:t>
            </w:r>
            <w:r>
              <w:rPr/>
              <w:t>.检测周期：≤24小时。</w:t>
            </w:r>
          </w:p>
          <w:p>
            <w:pPr>
              <w:pStyle w:val="null3"/>
            </w:pPr>
            <w:r>
              <w:rPr/>
              <w:t>▲</w:t>
            </w:r>
            <w:r>
              <w:rPr/>
              <w:t>6</w:t>
            </w:r>
            <w:r>
              <w:rPr/>
              <w:t>.</w:t>
            </w:r>
            <w:r>
              <w:rPr/>
              <w:t>数据要求：</w:t>
            </w:r>
            <w:r>
              <w:rPr/>
              <w:t>单个样本下机平均数据量</w:t>
            </w:r>
            <w:r>
              <w:rPr/>
              <w:t>≥30M；DR共检单个样本下机平均数据量≥60M。</w:t>
            </w:r>
          </w:p>
          <w:p>
            <w:pPr>
              <w:pStyle w:val="null3"/>
            </w:pPr>
            <w:r>
              <w:rPr/>
              <w:t>7.</w:t>
            </w:r>
            <w:r>
              <w:rPr/>
              <w:t>采用样本萃取液，进行去宿主处理。需提供试剂备案凭证。</w:t>
            </w:r>
          </w:p>
          <w:p>
            <w:pPr>
              <w:pStyle w:val="null3"/>
            </w:pPr>
            <w:r>
              <w:rPr/>
              <w:t>▲</w:t>
            </w:r>
            <w:r>
              <w:rPr/>
              <w:t>8</w:t>
            </w:r>
            <w:r>
              <w:rPr/>
              <w:t>.</w:t>
            </w:r>
            <w:r>
              <w:rPr/>
              <w:t>采用国产化基因测序仪且经国家药品监督管理局批准可用于临床检测。</w:t>
            </w:r>
            <w:r>
              <w:rPr>
                <w:b/>
              </w:rPr>
              <w:t>（提供</w:t>
            </w:r>
            <w:r>
              <w:rPr>
                <w:b/>
              </w:rPr>
              <w:t>医疗器械注册证复印件并加盖投标人公章）</w:t>
            </w:r>
          </w:p>
          <w:p>
            <w:pPr>
              <w:pStyle w:val="null3"/>
            </w:pPr>
            <w:r>
              <w:rPr/>
              <w:t>▲</w:t>
            </w:r>
            <w:r>
              <w:rPr/>
              <w:t>9</w:t>
            </w:r>
            <w:r>
              <w:rPr/>
              <w:t>.</w:t>
            </w:r>
            <w:r>
              <w:rPr/>
              <w:t>采用的检测试剂盒经国家药品监督管理局批准可用于临床检测。（</w:t>
            </w:r>
            <w:r>
              <w:rPr>
                <w:b/>
              </w:rPr>
              <w:t>提供医疗器械注册证复印件并加盖投标人公章）</w:t>
            </w:r>
          </w:p>
          <w:p>
            <w:pPr>
              <w:pStyle w:val="null3"/>
            </w:pPr>
            <w:r>
              <w:rPr/>
              <w:t>▲</w:t>
            </w:r>
            <w:r>
              <w:rPr/>
              <w:t>10</w:t>
            </w:r>
            <w:r>
              <w:rPr/>
              <w:t>.</w:t>
            </w:r>
            <w:r>
              <w:rPr/>
              <w:t>采用的分析软件经国家药品监督管理局批准可用于临床检测。</w:t>
            </w:r>
            <w:r>
              <w:rPr>
                <w:b/>
              </w:rPr>
              <w:t>（提供医疗器械注册证复印件并加盖投标人公章）</w:t>
            </w:r>
            <w:r>
              <w:rPr/>
              <w:t>。</w:t>
            </w:r>
          </w:p>
          <w:p>
            <w:pPr>
              <w:pStyle w:val="null3"/>
            </w:pPr>
            <w:r>
              <w:rPr/>
              <w:t>▲</w:t>
            </w:r>
            <w:r>
              <w:rPr/>
              <w:t>11</w:t>
            </w:r>
            <w:r>
              <w:rPr/>
              <w:t>.投标人近</w:t>
            </w:r>
            <w:r>
              <w:rPr/>
              <w:t>三</w:t>
            </w:r>
            <w:r>
              <w:rPr/>
              <w:t>年每年均参与</w:t>
            </w:r>
            <w:r>
              <w:rPr/>
              <w:t>国家卫健委临检中心</w:t>
            </w:r>
            <w:r>
              <w:rPr/>
              <w:t>或省级临检中心组织的病原体宏基因组检测</w:t>
            </w:r>
            <w:r>
              <w:rPr/>
              <w:t>室间质评，并合格通过。</w:t>
            </w:r>
            <w:r>
              <w:rPr>
                <w:b/>
              </w:rPr>
              <w:t>（提供室间质评合格证书，若投标人成立年限不足三年的，则提供证书时间为从成立起至投标截止时间）</w:t>
            </w:r>
            <w:r>
              <w:rPr/>
              <w:t>。</w:t>
            </w:r>
          </w:p>
          <w:p>
            <w:pPr>
              <w:pStyle w:val="null3"/>
            </w:pPr>
            <w:r>
              <w:rPr/>
              <w:t>（十三）病原微生物靶向高通量基因检测（</w:t>
            </w:r>
            <w:r>
              <w:rPr/>
              <w:t>tNGS）</w:t>
            </w:r>
          </w:p>
          <w:p>
            <w:pPr>
              <w:pStyle w:val="null3"/>
            </w:pPr>
            <w:r>
              <w:rPr/>
              <w:t>1.▲可鉴定呼吸道病原微生物＞230种，耐药基因＞30种，毒力基因＞10种。</w:t>
            </w:r>
          </w:p>
          <w:p>
            <w:pPr>
              <w:pStyle w:val="null3"/>
            </w:pPr>
            <w:r>
              <w:rPr/>
              <w:t>2.▲肺炎支原体耐药基因23S rRNA检测位点数量≥4 个。</w:t>
            </w:r>
          </w:p>
          <w:p>
            <w:pPr>
              <w:pStyle w:val="null3"/>
            </w:pPr>
            <w:r>
              <w:rPr/>
              <w:t>3.支持多种样本类型：痰液、肺泡灌洗液、咽拭子、鼻拭子等呼吸道样本。</w:t>
            </w:r>
          </w:p>
          <w:p>
            <w:pPr>
              <w:pStyle w:val="null3"/>
            </w:pPr>
            <w:r>
              <w:rPr/>
              <w:t>4.最低检测限低至50 copies/mL。</w:t>
            </w:r>
          </w:p>
          <w:p>
            <w:pPr>
              <w:pStyle w:val="null3"/>
            </w:pPr>
            <w:r>
              <w:rPr/>
              <w:t>5.需实现DNA+RNA共检。</w:t>
            </w:r>
          </w:p>
          <w:p>
            <w:pPr>
              <w:pStyle w:val="null3"/>
            </w:pPr>
            <w:r>
              <w:rPr/>
              <w:t>6.实验流程中添加核酸保护剂，降低RNA病原体在研磨损失。</w:t>
            </w:r>
          </w:p>
          <w:p>
            <w:pPr>
              <w:pStyle w:val="null3"/>
            </w:pPr>
            <w:r>
              <w:rPr/>
              <w:t>7.样本前处理技术，采用珠磨法+酶解法+化学法三重破壁方式进行核酸提取，可极大提高胞内菌、真菌等难检病原体的检出。</w:t>
            </w:r>
          </w:p>
          <w:p>
            <w:pPr>
              <w:pStyle w:val="null3"/>
            </w:pPr>
            <w:r>
              <w:rPr/>
              <w:t>8.检测周期：从标本进入检测流程到电子报告发出的时间≤18小时。</w:t>
            </w:r>
          </w:p>
          <w:p>
            <w:pPr>
              <w:pStyle w:val="null3"/>
            </w:pPr>
            <w:r>
              <w:rPr/>
              <w:t>9.采用超多重PCR +高通量测序技术。</w:t>
            </w:r>
          </w:p>
          <w:p>
            <w:pPr>
              <w:pStyle w:val="null3"/>
            </w:pPr>
            <w:r>
              <w:rPr/>
              <w:t>▲</w:t>
            </w:r>
            <w:r>
              <w:rPr/>
              <w:t>10</w:t>
            </w:r>
            <w:r>
              <w:rPr/>
              <w:t>.</w:t>
            </w:r>
            <w:r>
              <w:rPr/>
              <w:t>采用国产化基因测序仪且经国家药品监督管理局批准可用于临床检测。</w:t>
            </w:r>
            <w:r>
              <w:rPr>
                <w:b/>
              </w:rPr>
              <w:t>（提供医疗器械注册证复印件并加盖投标人公章）</w:t>
            </w:r>
          </w:p>
          <w:p>
            <w:pPr>
              <w:pStyle w:val="null3"/>
            </w:pPr>
            <w:r>
              <w:rPr/>
              <w:t>（十四）</w:t>
            </w:r>
            <w:r>
              <w:rPr/>
              <w:t>BRCA1/BRCA2</w:t>
            </w:r>
            <w:r>
              <w:rPr/>
              <w:t>基因检测（测序法）</w:t>
            </w:r>
          </w:p>
          <w:p>
            <w:pPr>
              <w:pStyle w:val="null3"/>
            </w:pPr>
            <w:r>
              <w:rPr/>
              <w:t>1.检测内容：检测BRCA1, BRCA2的全外显子及其上下游20bp区域。</w:t>
            </w:r>
          </w:p>
          <w:p>
            <w:pPr>
              <w:pStyle w:val="null3"/>
            </w:pPr>
            <w:r>
              <w:rPr/>
              <w:t>2.检测技术：目标区域捕获+高通量测序。</w:t>
            </w:r>
          </w:p>
          <w:p>
            <w:pPr>
              <w:pStyle w:val="null3"/>
            </w:pPr>
            <w:r>
              <w:rPr/>
              <w:t>3.报告周期：7个自然日。</w:t>
            </w:r>
          </w:p>
          <w:p>
            <w:pPr>
              <w:pStyle w:val="null3"/>
            </w:pPr>
            <w:r>
              <w:rPr/>
              <w:t>4.样本类型：血液，唾液</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 ▲阳性受检者可进行直系亲属免费验证检测（≤2个亲属）</w:t>
            </w:r>
          </w:p>
          <w:p>
            <w:pPr>
              <w:pStyle w:val="null3"/>
            </w:pPr>
            <w:r>
              <w:rPr/>
              <w:t>8.测序质控：测序有效深度≥100X</w:t>
            </w:r>
          </w:p>
          <w:p>
            <w:pPr>
              <w:pStyle w:val="null3"/>
            </w:pPr>
            <w:r>
              <w:rPr/>
              <w:t>9</w:t>
            </w:r>
            <w:r>
              <w:rPr/>
              <w:t>.▲分析软件获得医疗器械证。</w:t>
            </w:r>
          </w:p>
          <w:p>
            <w:pPr>
              <w:pStyle w:val="null3"/>
            </w:pPr>
            <w:r>
              <w:rPr/>
              <w:t>（十五）遗传性乳腺癌</w:t>
            </w:r>
            <w:r>
              <w:rPr/>
              <w:t>/卵巢癌基因检测（扩展型）</w:t>
            </w:r>
          </w:p>
          <w:p>
            <w:pPr>
              <w:pStyle w:val="null3"/>
            </w:pPr>
            <w:r>
              <w:rPr/>
              <w:t>1.▲检测内容：检测所有相关基因的全外显子及其上下游20bp区域。至少包含BRCA1, BRCA2, CHEK2, PALB2, BRIP1, TP53, PTEN, STK11等基因，基因数目不少于25个。</w:t>
            </w:r>
          </w:p>
          <w:p>
            <w:pPr>
              <w:pStyle w:val="null3"/>
            </w:pPr>
            <w:r>
              <w:rPr/>
              <w:t>2.检测技术：目标区域捕获+高通量测序。</w:t>
            </w:r>
          </w:p>
          <w:p>
            <w:pPr>
              <w:pStyle w:val="null3"/>
            </w:pPr>
            <w:r>
              <w:rPr/>
              <w:t>3.报告周期：7个自然日。</w:t>
            </w:r>
          </w:p>
          <w:p>
            <w:pPr>
              <w:pStyle w:val="null3"/>
            </w:pPr>
            <w:r>
              <w:rPr/>
              <w:t>4.样本类型：血液，唾液</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7.▲阳性受检者可进行直系亲属免费验证检测（≤2个亲属）</w:t>
            </w:r>
          </w:p>
          <w:p>
            <w:pPr>
              <w:pStyle w:val="null3"/>
            </w:pPr>
            <w:r>
              <w:rPr/>
              <w:t>8.测序质控：测序有效深度≥100X</w:t>
            </w:r>
          </w:p>
          <w:p>
            <w:pPr>
              <w:pStyle w:val="null3"/>
            </w:pPr>
            <w:r>
              <w:rPr/>
              <w:t>（十</w:t>
            </w:r>
            <w:r>
              <w:rPr/>
              <w:t>六</w:t>
            </w:r>
            <w:r>
              <w:rPr/>
              <w:t>）卵巢癌、乳腺癌、胰腺癌、前列腺癌胚系与体系</w:t>
            </w:r>
            <w:r>
              <w:rPr/>
              <w:t>HRR基因检测</w:t>
            </w:r>
          </w:p>
          <w:p>
            <w:pPr>
              <w:pStyle w:val="null3"/>
            </w:pPr>
            <w:r>
              <w:rPr/>
              <w:t>1.▲检测内容：不少于60基因的全部外显子区域及其上下游20bp，胚系和体系突变。</w:t>
            </w:r>
          </w:p>
          <w:p>
            <w:pPr>
              <w:pStyle w:val="null3"/>
            </w:pPr>
            <w:r>
              <w:rPr/>
              <w:t>2.检测技术：目标区域捕获+高通量测序。</w:t>
            </w:r>
          </w:p>
          <w:p>
            <w:pPr>
              <w:pStyle w:val="null3"/>
            </w:pPr>
            <w:r>
              <w:rPr/>
              <w:t>3.报告周期：6个自然日。</w:t>
            </w:r>
          </w:p>
          <w:p>
            <w:pPr>
              <w:pStyle w:val="null3"/>
            </w:pPr>
            <w:r>
              <w:rPr/>
              <w:t>4.样本类型：5mL血液和10张FFPE样本</w:t>
            </w:r>
          </w:p>
          <w:p>
            <w:pPr>
              <w:pStyle w:val="null3"/>
            </w:pPr>
            <w:r>
              <w:rPr/>
              <w:t>5.检测突变类型：SNV、InDel、CNV（高通量算法检测胚系CNV）</w:t>
            </w:r>
          </w:p>
          <w:p>
            <w:pPr>
              <w:pStyle w:val="null3"/>
            </w:pPr>
            <w:r>
              <w:rPr/>
              <w:t>6.测序质控：基因胚系测序深度≥100X，基因体系测序深度≥500X</w:t>
            </w:r>
          </w:p>
          <w:p>
            <w:pPr>
              <w:pStyle w:val="null3"/>
            </w:pPr>
            <w:r>
              <w:rPr/>
              <w:t>（十</w:t>
            </w:r>
            <w:r>
              <w:rPr/>
              <w:t>七</w:t>
            </w:r>
            <w:r>
              <w:rPr/>
              <w:t>）遗传性肿瘤基因检测</w:t>
            </w:r>
          </w:p>
          <w:p>
            <w:pPr>
              <w:pStyle w:val="null3"/>
            </w:pPr>
            <w:r>
              <w:rPr/>
              <w:t>1.▲检测内容：检测所有相关基因的全外显子及其上下游20bp区域。至少包含ALK, APC, ATM, AXIN2, BAP1, BARD1, BLM, BMPR1A, BRCA1, BRCA2等基因，基因数目不少于90个，遗传性肿瘤种类不少于25种。</w:t>
            </w:r>
          </w:p>
          <w:p>
            <w:pPr>
              <w:pStyle w:val="null3"/>
            </w:pPr>
            <w:r>
              <w:rPr/>
              <w:t>2.检测技术：目标区域捕获+高通量测序。</w:t>
            </w:r>
          </w:p>
          <w:p>
            <w:pPr>
              <w:pStyle w:val="null3"/>
            </w:pPr>
            <w:r>
              <w:rPr/>
              <w:t>3.报告周期：14个自然日。</w:t>
            </w:r>
          </w:p>
          <w:p>
            <w:pPr>
              <w:pStyle w:val="null3"/>
            </w:pPr>
            <w:r>
              <w:rPr/>
              <w:t>4.样本类型：血液，唾液</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 ▲阳性受检者可进行直系亲属免费验证检测（≤2个亲属）</w:t>
            </w:r>
          </w:p>
          <w:p>
            <w:pPr>
              <w:pStyle w:val="null3"/>
            </w:pPr>
            <w:r>
              <w:rPr/>
              <w:t>8.测序质控：测序有效深度≥100X</w:t>
            </w:r>
          </w:p>
          <w:p>
            <w:pPr>
              <w:pStyle w:val="null3"/>
            </w:pPr>
            <w:r>
              <w:rPr/>
              <w:t>（十</w:t>
            </w:r>
            <w:r>
              <w:rPr/>
              <w:t>八</w:t>
            </w:r>
            <w:r>
              <w:rPr/>
              <w:t>）子宫内膜癌基因检测</w:t>
            </w:r>
          </w:p>
          <w:p>
            <w:pPr>
              <w:pStyle w:val="null3"/>
            </w:pPr>
            <w:r>
              <w:rPr/>
              <w:t>1.▲检测内容：800</w:t>
            </w:r>
            <w:r>
              <w:rPr>
                <w:vertAlign w:val="superscript"/>
              </w:rPr>
              <w:t>+</w:t>
            </w:r>
            <w:r>
              <w:rPr/>
              <w:t>基因</w:t>
            </w:r>
            <w:r>
              <w:rPr/>
              <w:t>+TMB+MSI，评估预后、辅助治疗方案选择，遗传风险提示，靶药指导，免疫用药指导，化疗用药指导。</w:t>
            </w:r>
          </w:p>
          <w:p>
            <w:pPr>
              <w:pStyle w:val="null3"/>
            </w:pPr>
            <w:r>
              <w:rPr/>
              <w:t>2.▲MSI检测采用高通量测序方法，位点数量≥1000个。</w:t>
            </w:r>
          </w:p>
          <w:p>
            <w:pPr>
              <w:pStyle w:val="null3"/>
            </w:pPr>
            <w:r>
              <w:rPr/>
              <w:t>3.检测方法：高通量测序技术。</w:t>
            </w:r>
          </w:p>
          <w:p>
            <w:pPr>
              <w:pStyle w:val="null3"/>
            </w:pPr>
            <w:r>
              <w:rPr/>
              <w:t>4.样本类型：新鲜肿瘤组织，石蜡包埋组织。</w:t>
            </w:r>
          </w:p>
          <w:p>
            <w:pPr>
              <w:pStyle w:val="null3"/>
            </w:pPr>
            <w:r>
              <w:rPr/>
              <w:t>5.检测周期：6个自然日</w:t>
            </w:r>
          </w:p>
          <w:p>
            <w:pPr>
              <w:pStyle w:val="null3"/>
            </w:pPr>
            <w:r>
              <w:rPr/>
              <w:t>6.▲检测基因变异类型：胚系：SNP、InDel、CNV;体系SNP、InDel、CNV、Fusion。</w:t>
            </w:r>
          </w:p>
          <w:p>
            <w:pPr>
              <w:pStyle w:val="null3"/>
            </w:pPr>
            <w:r>
              <w:rPr/>
              <w:t>7.▲有效（去重）测序深度≥1200X。</w:t>
            </w:r>
          </w:p>
          <w:p>
            <w:pPr>
              <w:pStyle w:val="null3"/>
            </w:pPr>
            <w:r>
              <w:rPr/>
              <w:t>（</w:t>
            </w:r>
            <w:r>
              <w:rPr/>
              <w:t>十九</w:t>
            </w:r>
            <w:r>
              <w:rPr/>
              <w:t>）卵巢癌</w:t>
            </w:r>
            <w:r>
              <w:rPr/>
              <w:t>HRD Score 同源重组缺陷检测</w:t>
            </w:r>
          </w:p>
          <w:p>
            <w:pPr>
              <w:pStyle w:val="null3"/>
            </w:pPr>
            <w:r>
              <w:rPr/>
              <w:t>1.▲检测内容：采用高通量测序技术，检测实体瘤患者肿瘤组织样本，在全基因组范围内通过评估杂合性缺失(LOH)、端粒等位基因不平衡(TAI)、大区段重组异常（LST）三个指标来评估同源重组缺陷。</w:t>
            </w:r>
          </w:p>
          <w:p>
            <w:pPr>
              <w:pStyle w:val="null3"/>
            </w:pPr>
            <w:r>
              <w:rPr/>
              <w:t>2.检测方法：高通量测序技术。</w:t>
            </w:r>
          </w:p>
          <w:p>
            <w:pPr>
              <w:pStyle w:val="null3"/>
            </w:pPr>
            <w:r>
              <w:rPr/>
              <w:t>3.样本类型：12张以上组织切片，肿瘤细胞含量≥30%。</w:t>
            </w:r>
          </w:p>
          <w:p>
            <w:pPr>
              <w:pStyle w:val="null3"/>
            </w:pPr>
            <w:r>
              <w:rPr/>
              <w:t>4.检测周期：6个自然日。</w:t>
            </w:r>
          </w:p>
          <w:p>
            <w:pPr>
              <w:pStyle w:val="null3"/>
            </w:pPr>
            <w:r>
              <w:rPr/>
              <w:t>5.▲HRD捕获检测位点数＞9万个。</w:t>
            </w:r>
            <w:r>
              <w:rPr>
                <w:b/>
              </w:rPr>
              <w:t>（提供公开发表的文章材料证明）</w:t>
            </w:r>
          </w:p>
          <w:p>
            <w:pPr>
              <w:pStyle w:val="null3"/>
            </w:pPr>
            <w:r>
              <w:rPr/>
              <w:t>6.平均测序深度：≥150X。</w:t>
            </w:r>
          </w:p>
          <w:p>
            <w:pPr>
              <w:pStyle w:val="null3"/>
            </w:pPr>
            <w:r>
              <w:rPr/>
              <w:t>（二十）个体化诊疗基因组织检测</w:t>
            </w:r>
          </w:p>
          <w:p>
            <w:pPr>
              <w:pStyle w:val="null3"/>
            </w:pPr>
            <w:r>
              <w:rPr/>
              <w:t>1.▲检测实体瘤患者肿瘤组织样本，使用高通量测序技术，检测与肿瘤诊治相关的基因数量大于800个,涵盖靶向治疗药物靶点基因、化疗基因、免疫治疗基因、MSI位点、TMB等检测。（提供公开发表的资料）</w:t>
            </w:r>
          </w:p>
          <w:p>
            <w:pPr>
              <w:pStyle w:val="null3"/>
            </w:pPr>
            <w:r>
              <w:rPr/>
              <w:t>2.▲MSI检测采用高通量测序方法，位点数量≥1000个。</w:t>
            </w:r>
          </w:p>
          <w:p>
            <w:pPr>
              <w:pStyle w:val="null3"/>
            </w:pPr>
            <w:r>
              <w:rPr/>
              <w:t>3.TMB检测与WES 的一致性高，相关系数&gt;0.95。</w:t>
            </w:r>
          </w:p>
          <w:p>
            <w:pPr>
              <w:pStyle w:val="null3"/>
            </w:pPr>
            <w:r>
              <w:rPr/>
              <w:t>4.检测方法：高通量测序技术。</w:t>
            </w:r>
          </w:p>
          <w:p>
            <w:pPr>
              <w:pStyle w:val="null3"/>
            </w:pPr>
            <w:r>
              <w:rPr/>
              <w:t>5.检测周期：6个自然日。</w:t>
            </w:r>
          </w:p>
          <w:p>
            <w:pPr>
              <w:pStyle w:val="null3"/>
            </w:pPr>
            <w:r>
              <w:rPr/>
              <w:t>6.样本类型：新鲜肿瘤组织、石蜡包埋组织、胸腹水</w:t>
            </w:r>
          </w:p>
          <w:p>
            <w:pPr>
              <w:pStyle w:val="null3"/>
            </w:pPr>
            <w:r>
              <w:rPr/>
              <w:t>▲7.建库采用酶切打断的片段化方法，减少人工操作。</w:t>
            </w:r>
          </w:p>
          <w:p>
            <w:pPr>
              <w:pStyle w:val="null3"/>
            </w:pPr>
            <w:r>
              <w:rPr/>
              <w:t>8.检测体系突变类型包括：单核苷酸变异SNV，小片段插入缺失InDel、拷贝数变异CNV、融合Fusion。胚系突变类型包括：单核苷酸变异SNV，小片段插入缺失InDel</w:t>
            </w:r>
          </w:p>
          <w:p>
            <w:pPr>
              <w:pStyle w:val="null3"/>
            </w:pPr>
            <w:r>
              <w:rPr/>
              <w:t>9.有效（去重）测序深度：组织≥1200X，稳定检测限≥1%。</w:t>
            </w:r>
          </w:p>
          <w:p>
            <w:pPr>
              <w:pStyle w:val="null3"/>
            </w:pPr>
            <w:r>
              <w:rPr/>
              <w:t>（二十</w:t>
            </w:r>
            <w:r>
              <w:rPr/>
              <w:t>一</w:t>
            </w:r>
            <w:r>
              <w:rPr/>
              <w:t>）新生儿及儿童遗传病检测</w:t>
            </w:r>
          </w:p>
          <w:p>
            <w:pPr>
              <w:pStyle w:val="null3"/>
            </w:pPr>
            <w:r>
              <w:rPr/>
              <w:t>▲1.检测范围：240个以上目标基因的编码区进行捕获测序，同时分析点突变、小片段插入缺失 (≤20bp) 以及部分基因外显子水平的缺失/重复。</w:t>
            </w:r>
          </w:p>
          <w:p>
            <w:pPr>
              <w:pStyle w:val="null3"/>
            </w:pPr>
            <w:r>
              <w:rPr/>
              <w:t>2.样本类型：全血（≥1mL）、干血片（3个8mm血斑）。</w:t>
            </w:r>
          </w:p>
          <w:p>
            <w:pPr>
              <w:pStyle w:val="null3"/>
            </w:pPr>
            <w:r>
              <w:rPr/>
              <w:t>3.检测方法：目标区域捕获和高通量测序技术。</w:t>
            </w:r>
          </w:p>
          <w:p>
            <w:pPr>
              <w:pStyle w:val="null3"/>
            </w:pPr>
            <w:r>
              <w:rPr/>
              <w:t>4</w:t>
            </w:r>
            <w:r>
              <w:rPr/>
              <w:t>.数据解读：</w:t>
            </w:r>
          </w:p>
          <w:p>
            <w:pPr>
              <w:pStyle w:val="null3"/>
            </w:pPr>
            <w:r>
              <w:rPr/>
              <w:t>（</w:t>
            </w:r>
            <w:r>
              <w:rPr/>
              <w:t>1）数据解读规则参考美国医学遗传学和基因组学学院ACMG及ClinGen相关指南。</w:t>
            </w:r>
          </w:p>
          <w:p>
            <w:pPr>
              <w:pStyle w:val="null3"/>
            </w:pPr>
            <w:r>
              <w:rPr/>
              <w:t>▲（2）已精准解读超过1万个致病及疑似致病变异位点。</w:t>
            </w:r>
          </w:p>
          <w:p>
            <w:pPr>
              <w:pStyle w:val="null3"/>
            </w:pPr>
            <w:r>
              <w:rPr/>
              <w:t>▲（3）对于部分基因外显子的缺失/重复（包括进行性假肥大性肌营养不良DMD基因连续2个外显子及以上的纯合/半合缺失，脊髓性肌肉萎缩症 SMN1基因 7号外显子纯合缺失，地中海贫血HBA/HBB基因 --SEA、-α3.7、-α4.2、Chinese、SEA-HPFH、FIL、THAI大片段缺失），为临床提供更全面精准的检测服务。</w:t>
            </w:r>
          </w:p>
          <w:p>
            <w:pPr>
              <w:pStyle w:val="null3"/>
            </w:pPr>
            <w:r>
              <w:rPr/>
              <w:t>5</w:t>
            </w:r>
            <w:r>
              <w:rPr/>
              <w:t>.捕获探针不低于1M，探针设计需采用CCDS、RefSeq、Ensembl、GENCODE、ClinVar等数据库。</w:t>
            </w:r>
          </w:p>
          <w:p>
            <w:pPr>
              <w:pStyle w:val="null3"/>
            </w:pPr>
            <w:r>
              <w:rPr/>
              <w:t>6</w:t>
            </w:r>
            <w:r>
              <w:rPr/>
              <w:t>.新生儿遗传病基因筛查信息分析数据标准：</w:t>
            </w:r>
          </w:p>
          <w:p>
            <w:pPr>
              <w:pStyle w:val="null3"/>
            </w:pPr>
            <w:r>
              <w:rPr/>
              <w:t>（</w:t>
            </w:r>
            <w:r>
              <w:rPr/>
              <w:t>1）目标区域20X覆盖度＞95%；</w:t>
            </w:r>
          </w:p>
          <w:p>
            <w:pPr>
              <w:pStyle w:val="null3"/>
            </w:pPr>
            <w:r>
              <w:rPr/>
              <w:t>（</w:t>
            </w:r>
            <w:r>
              <w:rPr/>
              <w:t>2）核基因组有效测序深度≥100X；</w:t>
            </w:r>
          </w:p>
          <w:p>
            <w:pPr>
              <w:pStyle w:val="null3"/>
            </w:pPr>
            <w:r>
              <w:rPr/>
              <w:t>▲（3）线粒体有效测序深度≥300X。</w:t>
            </w:r>
          </w:p>
          <w:p>
            <w:pPr>
              <w:pStyle w:val="null3"/>
            </w:pPr>
            <w:r>
              <w:rPr/>
              <w:t>7</w:t>
            </w:r>
            <w:r>
              <w:rPr/>
              <w:t>.报告周期：样本中心收到合格样本10个工作日。</w:t>
            </w:r>
          </w:p>
          <w:p>
            <w:pPr>
              <w:pStyle w:val="null3"/>
            </w:pPr>
            <w:r>
              <w:rPr/>
              <w:t>8</w:t>
            </w:r>
            <w:r>
              <w:rPr/>
              <w:t>.为避免假阳性的出现，对NGS分析流程中低质量的SNV及CNV结果通过金标准Sanger、qPCR等方法进行二次验证。</w:t>
            </w:r>
          </w:p>
          <w:p>
            <w:pPr>
              <w:pStyle w:val="null3"/>
            </w:pPr>
            <w:r>
              <w:rPr/>
              <w:t>▲</w:t>
            </w:r>
            <w:r>
              <w:rPr/>
              <w:t>9</w:t>
            </w:r>
            <w:r>
              <w:rPr/>
              <w:t>.保险服务：自受检者接受项目检测后一年内，对于检测结果为阴性或携带者的情况，若明确诊断患有</w:t>
            </w:r>
            <w:r>
              <w:rPr/>
              <w:t>检测范围内</w:t>
            </w:r>
            <w:r>
              <w:rPr/>
              <w:t>部分疾病亚型中的一种或多种的，给付受检者的监护人人民币</w:t>
            </w:r>
            <w:r>
              <w:rPr/>
              <w:t>20000元</w:t>
            </w:r>
            <w:r>
              <w:rPr/>
              <w:t>或以上</w:t>
            </w:r>
            <w:r>
              <w:rPr/>
              <w:t>。</w:t>
            </w:r>
          </w:p>
          <w:p>
            <w:pPr>
              <w:pStyle w:val="null3"/>
            </w:pPr>
            <w:r>
              <w:rPr/>
              <w:t>▲</w:t>
            </w:r>
            <w:r>
              <w:rPr/>
              <w:t>10</w:t>
            </w:r>
            <w:r>
              <w:rPr/>
              <w:t>.</w:t>
            </w:r>
            <w:r>
              <w:rPr/>
              <w:t>采用国产化基因测序仪且经国家药品监督管理局批准可用于临床检测。</w:t>
            </w:r>
            <w:r>
              <w:rPr>
                <w:b/>
              </w:rPr>
              <w:t>（提供医疗器械注册证复印件并加盖投标人公章）</w:t>
            </w:r>
          </w:p>
          <w:p>
            <w:pPr>
              <w:pStyle w:val="null3"/>
            </w:pPr>
            <w:r>
              <w:rPr/>
              <w:t>▲</w:t>
            </w:r>
            <w:r>
              <w:rPr/>
              <w:t>11</w:t>
            </w:r>
            <w:r>
              <w:rPr/>
              <w:t>.</w:t>
            </w:r>
            <w:r>
              <w:rPr/>
              <w:t>采用的检测试剂盒经国家药品监督管理局批准可用于临床检测。</w:t>
            </w:r>
            <w:r>
              <w:rPr>
                <w:b/>
              </w:rPr>
              <w:t>（提供医疗器械注册证复印件并加盖投标人公章）</w:t>
            </w:r>
          </w:p>
          <w:p>
            <w:pPr>
              <w:pStyle w:val="null3"/>
            </w:pPr>
            <w:r>
              <w:rPr/>
              <w:t>▲</w:t>
            </w:r>
            <w:r>
              <w:rPr/>
              <w:t>12</w:t>
            </w:r>
            <w:r>
              <w:rPr/>
              <w:t>.</w:t>
            </w:r>
            <w:r>
              <w:rPr/>
              <w:t>采用的分析软件经国家药品监督管理局批准可用于临床检测。</w:t>
            </w:r>
            <w:r>
              <w:rPr>
                <w:b/>
              </w:rPr>
              <w:t>（提供医疗器械注册证复印件并加盖投标人公章）</w:t>
            </w:r>
            <w:r>
              <w:rPr/>
              <w:t>。</w:t>
            </w:r>
          </w:p>
          <w:p>
            <w:pPr>
              <w:pStyle w:val="null3"/>
            </w:pPr>
            <w:r>
              <w:rPr/>
              <w:t>▲</w:t>
            </w:r>
            <w:r>
              <w:rPr/>
              <w:t>13</w:t>
            </w:r>
            <w:r>
              <w:rPr/>
              <w:t>.投标人近</w:t>
            </w:r>
            <w:r>
              <w:rPr/>
              <w:t>三</w:t>
            </w:r>
            <w:r>
              <w:rPr/>
              <w:t>年每年均参与</w:t>
            </w:r>
            <w:r>
              <w:rPr/>
              <w:t>国家卫健委临检中心</w:t>
            </w:r>
            <w:r>
              <w:rPr/>
              <w:t>或省级临检中心组织的</w:t>
            </w:r>
            <w:r>
              <w:rPr/>
              <w:t>遗传病高通量测序检测生物信息学分析室间质评，并合格通过。</w:t>
            </w:r>
            <w:r>
              <w:rPr>
                <w:b/>
              </w:rPr>
              <w:t>（提供室间质评合格证书，若投标人成立年限不足三年的，则提供证书时间为从成立起至投标截止时间）</w:t>
            </w:r>
            <w:r>
              <w:rPr/>
              <w:t>。</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pPr>
            <w:r>
              <w:rPr>
                <w:b/>
              </w:rPr>
              <w:t>四</w:t>
            </w:r>
            <w:r>
              <w:rPr>
                <w:b/>
              </w:rPr>
              <w:t>、服务质量监督与考核</w:t>
            </w:r>
          </w:p>
          <w:p>
            <w:pPr>
              <w:pStyle w:val="null3"/>
            </w:pPr>
            <w:r>
              <w:rPr/>
              <w:t>1</w:t>
            </w:r>
            <w:r>
              <w:rPr/>
              <w:t>、中标供应商对采购人提出的问题须及时改进，处理率为</w:t>
            </w:r>
            <w:r>
              <w:rPr/>
              <w:t>100%</w:t>
            </w:r>
            <w:r>
              <w:rPr/>
              <w:t>。</w:t>
            </w:r>
          </w:p>
          <w:p>
            <w:pPr>
              <w:pStyle w:val="null3"/>
            </w:pPr>
            <w:r>
              <w:rPr/>
              <w:t>2</w:t>
            </w:r>
            <w:r>
              <w:rPr/>
              <w:t>、采购人将不定期对中标供应商服务质量进行量化考核，规范化管理。若服务考核低于</w:t>
            </w:r>
            <w:r>
              <w:rPr/>
              <w:t>90</w:t>
            </w:r>
            <w:r>
              <w:rPr/>
              <w:t>分的，采购人按该月度服务款项的</w:t>
            </w:r>
            <w:r>
              <w:rPr/>
              <w:t>5%</w:t>
            </w:r>
            <w:r>
              <w:rPr/>
              <w:t>对中标供应商进行扣罚；服务考核低于</w:t>
            </w:r>
            <w:r>
              <w:rPr/>
              <w:t>80</w:t>
            </w:r>
            <w:r>
              <w:rPr/>
              <w:t>分的，采购人按该月度服务款项的</w:t>
            </w:r>
            <w:r>
              <w:rPr/>
              <w:t>10%</w:t>
            </w:r>
            <w:r>
              <w:rPr/>
              <w:t>对中标供应商进行扣罚；如服务考核分数低于</w:t>
            </w:r>
            <w:r>
              <w:rPr/>
              <w:t>60</w:t>
            </w:r>
            <w:r>
              <w:rPr/>
              <w:t>分或若累计两次服务考核低于</w:t>
            </w:r>
            <w:r>
              <w:rPr/>
              <w:t>80</w:t>
            </w:r>
            <w:r>
              <w:rPr/>
              <w:t>分的，采购人提出在一个月内整改后仍不达标，采购人有权提前终止合同而不承担法律责任。</w:t>
            </w:r>
          </w:p>
          <w:p>
            <w:pPr>
              <w:pStyle w:val="null3"/>
            </w:pPr>
            <w:r>
              <w:rPr>
                <w:b/>
              </w:rPr>
              <w:t>中山市博爱医院外送基因测序项目服务考核表</w:t>
            </w:r>
          </w:p>
          <w:tbl>
            <w:tblPr>
              <w:tblBorders>
                <w:top w:val="none" w:color="000000" w:sz="4"/>
                <w:left w:val="none" w:color="000000" w:sz="4"/>
                <w:bottom w:val="none" w:color="000000" w:sz="4"/>
                <w:right w:val="none" w:color="000000" w:sz="4"/>
                <w:insideH w:val="none"/>
                <w:insideV w:val="none"/>
              </w:tblBorders>
            </w:tblPr>
            <w:tblGrid>
              <w:gridCol w:w="420"/>
              <w:gridCol w:w="2157"/>
              <w:gridCol w:w="613"/>
              <w:gridCol w:w="1226"/>
              <w:gridCol w:w="545"/>
              <w:gridCol w:w="636"/>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服务质量标准</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未按采购人指定时间、地点等相关要求收检和运送标本，未能按时发送报告的</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r>
                    <w:rPr>
                      <w:sz w:val="21"/>
                    </w:rPr>
                    <w:t>/</w:t>
                  </w:r>
                  <w:r>
                    <w:rPr>
                      <w:sz w:val="21"/>
                    </w:rPr>
                    <w:t>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人员情况：须按院方要求</w:t>
                  </w:r>
                  <w:r>
                    <w:rPr>
                      <w:sz w:val="21"/>
                    </w:rPr>
                    <w:t>投入</w:t>
                  </w:r>
                  <w:r>
                    <w:rPr>
                      <w:sz w:val="21"/>
                    </w:rPr>
                    <w:t>专业人员，且服务小组成员应保持稳定，做到人员配比合理以保证服务工作的正常进行，</w:t>
                  </w:r>
                  <w:r>
                    <w:rPr>
                      <w:sz w:val="21"/>
                    </w:rPr>
                    <w:t>投入的</w:t>
                  </w:r>
                  <w:r>
                    <w:rPr>
                      <w:sz w:val="21"/>
                    </w:rPr>
                    <w:t>技术人员需要暂时离岗时，须与院方进行协商</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5</w:t>
                  </w:r>
                  <w:r>
                    <w:rPr>
                      <w:sz w:val="21"/>
                    </w:rPr>
                    <w:t>分</w:t>
                  </w:r>
                  <w:r>
                    <w:rPr>
                      <w:sz w:val="21"/>
                    </w:rPr>
                    <w:t>/</w:t>
                  </w:r>
                  <w:r>
                    <w:rPr>
                      <w:sz w:val="21"/>
                    </w:rPr>
                    <w:t>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保密情况：</w:t>
                  </w:r>
                  <w:r>
                    <w:rPr>
                      <w:sz w:val="21"/>
                    </w:rPr>
                    <w:t>①</w:t>
                  </w:r>
                  <w:r>
                    <w:rPr>
                      <w:sz w:val="21"/>
                    </w:rPr>
                    <w:t>不得向医院以外的任何单位或个人泄露院方委托检测的任何信息。</w:t>
                  </w:r>
                  <w:r>
                    <w:rPr>
                      <w:sz w:val="21"/>
                    </w:rPr>
                    <w:t>②</w:t>
                  </w:r>
                  <w:r>
                    <w:rPr>
                      <w:sz w:val="21"/>
                    </w:rPr>
                    <w:t>未经采购人书面同意，投标人不得单方面以任何名义使用采购人及关联方品牌开展任何形式的宣传活动。</w:t>
                  </w:r>
                  <w:r>
                    <w:rPr>
                      <w:sz w:val="21"/>
                    </w:rPr>
                    <w:t>③</w:t>
                  </w:r>
                  <w:r>
                    <w:rPr>
                      <w:sz w:val="21"/>
                    </w:rPr>
                    <w:t>未经过院方同意，投标人不能使用采购人提供的受检者标本发表科研成果。</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20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投标人不得把检测项目送至第三方检验公司或其他医疗机构检测</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20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投诉处理机制</w:t>
                  </w:r>
                  <w:r>
                    <w:rPr>
                      <w:sz w:val="21"/>
                    </w:rPr>
                    <w:t>:</w:t>
                  </w:r>
                  <w:r>
                    <w:rPr>
                      <w:sz w:val="21"/>
                    </w:rPr>
                    <w:t>建立快速的客户服务反应机制，如有投诉或需处理的情况，须按院方要求及时进行沟通处理；如因检测服务发生质量问题，投标人积极处理并承担相应责任</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提供检测结果咨询服务：如果院方对检测结果存在疑问，投标人应能立即响应，并提供院方需要的所有数据，包括原始数据、相关图谱等资料。</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供应商服务质量不能满足采购人需求</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不能满足需求的，扣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得分合计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采购包2（特殊单基因疾病整体解决方案）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自合同签订之日起3年，当合同期结束或项目结算金额累计达到采购预算金额时（以先到者为准），该合同自动终止。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月支付)：支付比例100%，1、采购人按照当地物价部门公布的标准，以实际检验报告发生数和采购人当地物价收费的标准计算所得的检验业务收入（实际检验业务收入=实际检验报告发生数×采购人当地物价收费标准）作为费用结算基数，再以双方约定的结算规则按月计算服务费用，然后进行结算操作。其中未经中标人同意而采购人单方面减免的（采购人漏收、病人逃费等情况）应由采购人负责承担相关的检验费用。结算规则如下： ①各检测项目实际服务费用=各检测项目实际检验业务收入×各检测项目对应的中标折扣率； ②所有检测项目实际服务费用相加所得的金额即为结算金额。 2、中标人于每月5日前提供上月数量和价格，采购人进行核实。如出现差异，应于五个工作日内双方共同复核并确定结算数据，经双方认可和确认数据后方可进行费用结算。 3、根据双方协商，双方按上述统一收费标准进行统计，结算按照标本的产生日期为准。双方每月结算一次，采购人自收到中标人发票起30个工作日内向中标人付款。 4、因采购人使用资金需要经过财务审批程序，采购人在前款规定的付款时间为向财务部门提出办理支付申请手续的时间（不含账务部门、支付部门审核的时间） ，在规定时间内提出支付申请手续后即视为采购人已经按期支付。 5、本项目将对中标人进行不定期考核，并根据考核情况对中标人进行扣罚，具体扣罚如下： （1）若服务考核低于90分的，采购人按该月度服务款项的5%对中标人进行扣罚，即该月的服务费结算金额=该月度服务费用-该月度服务费用×5%； （2）若服务考核低于80分的，采购人按该月度服务款项的10%对中标人进行扣罚，即该月的服务费结算金额=该月度服务费用-该月度服务费用×10%。 6、如因政策影响使拨款未能及时到位的，中标人不得以此为由而不履行(或不完全履行)合同规定的义务。。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 2.验收标准：按招标文件技术要求和合同条款、国家以及采购人有关医疗标本送检规定执行进行验收，在验收时，中标人向采购人提供本项目服务过程资料及总结资料 。 3.采购人可以邀请参加本项目的其他供应商或者第三方专业机构及专家参与验收，相关验收意见作为验收的参考资料。 4.如发现效果与相关要求规定不符，采购人有权拒绝接受。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一、服务要求，（一）被委托实验室的要求</w:t>
            </w:r>
          </w:p>
        </w:tc>
        <w:tc>
          <w:tcPr>
            <w:tcW w:type="dxa" w:w="2076"/>
          </w:tcPr>
          <w:p>
            <w:pPr>
              <w:pStyle w:val="null3"/>
              <w:jc w:val="left"/>
            </w:pPr>
            <w:r>
              <w:rPr/>
              <w:t>1、投标人实验室符合国家卫计委《医疗机构临床实验室管理办法》等法律法规要求。 2、按采购人指定时间、地点等相关要求收检和运送标本，并及时发送报告。 3、投标人负责免费提供标本采集试管、保存装置等。 4、投标人保证按国家检验规范进行操作，并对标本的检验报告承担相应的责任。 5、投标人有为采购人保密的义务，在未经采购人同意或授权下，投标人不得向采购人以外的任何单位或个人泄露采购人委托检测的任何信息。 6、检测样本、检测数据的所有权、使用权为采购人所有，未经许可不得挪作它用。 7、投标人检测后的剩余标本（如有），由投标人依法处置，投标人按照国家法律法规及相关行业规定的保存期限保存剩余标本（若有）。 8、投标人保证检验结果的公正性，不受任何诱使或压力的干扰。 9、投标人建立快速的客户服务反应机制，如有针对投标人或采购人与投标人双方的投诉或需处理的情况，投标人须在接到采购人通知后4小时内派代表到达医院及时沟通处理；若主要针对采购人的投诉或需处理的情况，投标人有义务协助采购人及时沟通处理。 10、投标人每年定期安排相关的专家与采购人进行学术讲座、学术交流、培训等。 11、投标人应保证其应用到本项目的专利、技术是归其持有的，且享有处分权。 12、双方合作仅限于开展本基因检测服务类范畴的合作。未经对方书面同意，采购人不得单方面以任何名义使用投标人及关联方品牌开展任何形式的宣传活动；投标人亦不得单方面以任何名义使用采购人及关联方品牌开展任何形式的宣传活动。双方如有一方违反规定，守约方保留向违约方追究相应法律责任的权利。 13、投标人如使用采购人提供的受检者标本发表科研成果，需经采购人同意，且采购人有署名权，署名排序按照文章发表时各方的贡献另行协商确定。 14、检测报告须由副高级或以上职称人员审核签发。 15、投标人具备一定的科研能力，主持或以合作单位参与过市级及以上级别科研项目，并能协助采购人进行科研及成果转化。</w:t>
            </w:r>
          </w:p>
        </w:tc>
      </w:tr>
      <w:tr>
        <w:tc>
          <w:tcPr>
            <w:tcW w:type="dxa" w:w="2076"/>
          </w:tcPr>
          <w:p/>
        </w:tc>
        <w:tc>
          <w:tcPr>
            <w:tcW w:type="dxa" w:w="2076"/>
          </w:tcPr>
          <w:p>
            <w:pPr>
              <w:pStyle w:val="null3"/>
              <w:jc w:val="center"/>
            </w:pPr>
            <w:r>
              <w:rPr/>
              <w:t>2</w:t>
            </w:r>
          </w:p>
        </w:tc>
        <w:tc>
          <w:tcPr>
            <w:tcW w:type="dxa" w:w="2076"/>
          </w:tcPr>
          <w:p>
            <w:pPr>
              <w:pStyle w:val="null3"/>
              <w:jc w:val="left"/>
            </w:pPr>
            <w:r>
              <w:rPr/>
              <w:t>一、服务要求，(二)被委托实验室的质量要求</w:t>
            </w:r>
          </w:p>
        </w:tc>
        <w:tc>
          <w:tcPr>
            <w:tcW w:type="dxa" w:w="2076"/>
          </w:tcPr>
          <w:p>
            <w:pPr>
              <w:pStyle w:val="null3"/>
              <w:jc w:val="left"/>
            </w:pPr>
            <w:r>
              <w:rPr/>
              <w:t xml:space="preserve"> 1、投标人对采购人送检的合格样本结果进行负责，对于按照投标人取材要求进行取材的合格样本，若因投标人原因导致检测结果存在质量问题，由投标人承担相关责任。 2、投标人均按日或检测批次对采购人委托项目进行室内质控，按季度提供室内质量控制报表，其内容包括质控检测数据、控制标准、质控分析、失控报告。 3、投标人参加国家卫计委室间质评，每半年提供委托项目的能力验证活动报告，没有能力验证的检验项目应提供与委托方认可的实验室结果一致性的证据。 4、按采购人要求，随时提供质量和技术资料，如更换试剂批号、仪器维修后、检验系统更换后的质控记录和性能验证报告。 5、投标人有专人负责采购人业务及质量、技术、培训等工作。 6、投标人随时接受并妥善安排采购人查阅项目检测、质量控制等情况。 7、若采购人患者对投标人出具的检测结果存有异议，因患者有充足的证据证明投标人所提供的检测结果有误导致采购人赔偿的，经法定的医疗争议解决途径确认采购人损失后，投标人对采购人予以赔偿；或者投标人无法协助采购人证明所出具结果准确性如无法提供按照国家法律法规及相关行业规定的保存期限内留存的标本委托法定的第三方检验、检测机构再次检验等，导致通过法定的医疗争议解决途径，采购人需要向检测患者或近亲属承担赔付责任的，投标人需要全数承担采购人的经济损失。 8、对样本运输的要求： （1）临床科室采集样本后，由委托检测机构派专人到采购人指定地点接收并保证物流运输。 （2）一般标本自接收后24小时内送达委托检测机构，特殊项目具体按双方协商时间为准。 （3）样本运输要求直立、冷藏、封闭，符合《GBT28577-2012 冷链物流分类与基本要求》与生物安全要求，确保运输过程的样品质量和环境安全。 （4）投标人接收后不合格样本率≤1/1000。</w:t>
            </w:r>
          </w:p>
        </w:tc>
      </w:tr>
      <w:tr>
        <w:tc>
          <w:tcPr>
            <w:tcW w:type="dxa" w:w="2076"/>
          </w:tcPr>
          <w:p/>
        </w:tc>
        <w:tc>
          <w:tcPr>
            <w:tcW w:type="dxa" w:w="2076"/>
          </w:tcPr>
          <w:p>
            <w:pPr>
              <w:pStyle w:val="null3"/>
              <w:jc w:val="center"/>
            </w:pPr>
            <w:r>
              <w:rPr/>
              <w:t>3</w:t>
            </w:r>
          </w:p>
        </w:tc>
        <w:tc>
          <w:tcPr>
            <w:tcW w:type="dxa" w:w="2076"/>
          </w:tcPr>
          <w:p>
            <w:pPr>
              <w:pStyle w:val="null3"/>
              <w:jc w:val="left"/>
            </w:pPr>
            <w:r>
              <w:rPr/>
              <w:t>一、服务要求，（三）服务响应</w:t>
            </w:r>
          </w:p>
        </w:tc>
        <w:tc>
          <w:tcPr>
            <w:tcW w:type="dxa" w:w="2076"/>
          </w:tcPr>
          <w:p>
            <w:pPr>
              <w:pStyle w:val="null3"/>
              <w:jc w:val="left"/>
            </w:pPr>
            <w:r>
              <w:rPr/>
              <w:t xml:space="preserve"> 1、投标人建立完善的售后服务团队，可及时提供完善物流网络、技术支持、售后服务和遗传咨询等服务。 2、有明确的样本送检和报告发布时间服务承诺。检测报告需按照投标人提供的《检测项目手册》规定的出报告时间出具。 3、每周提供六次上门收取标本服务，安排专人驻点处理委托检验标本。 4、如投标人检测报告超出约定时间而又未出具书面通知采购人造成恶劣影响的，包括造成医疗纠纷、有群众投诉造成严重后果等情况，投标人应承担相应的经济和法律责任。 5、投标人需提供免费服务电话、网络査询、微信查询等多种渠道供采购人相关临床部门进行业务咨询、报告查询、账单查询统计功能。 6、投标人指定日常联系人，提供专门服务，确保圆满落实各项承保、理赔、防灾防损和培训服务承诺。 7、投标人有客服中心，能满足在线客服及电话客服，满足受检者的业务咨询、投诉处理等需求。</w:t>
            </w:r>
          </w:p>
        </w:tc>
      </w:tr>
      <w:tr>
        <w:tc>
          <w:tcPr>
            <w:tcW w:type="dxa" w:w="2076"/>
          </w:tcPr>
          <w:p/>
        </w:tc>
        <w:tc>
          <w:tcPr>
            <w:tcW w:type="dxa" w:w="2076"/>
          </w:tcPr>
          <w:p>
            <w:pPr>
              <w:pStyle w:val="null3"/>
              <w:jc w:val="center"/>
            </w:pPr>
            <w:r>
              <w:rPr/>
              <w:t>4</w:t>
            </w:r>
          </w:p>
        </w:tc>
        <w:tc>
          <w:tcPr>
            <w:tcW w:type="dxa" w:w="2076"/>
          </w:tcPr>
          <w:p>
            <w:pPr>
              <w:pStyle w:val="null3"/>
              <w:jc w:val="left"/>
            </w:pPr>
            <w:r>
              <w:rPr/>
              <w:t>一、服务要求，（四）对于委托检验项目的要求</w:t>
            </w:r>
          </w:p>
        </w:tc>
        <w:tc>
          <w:tcPr>
            <w:tcW w:type="dxa" w:w="2076"/>
          </w:tcPr>
          <w:p>
            <w:pPr>
              <w:pStyle w:val="null3"/>
              <w:jc w:val="left"/>
            </w:pPr>
            <w:r>
              <w:rPr/>
              <w:t>1、合同期内，采购人的检测实验室能够在院内开展招标的检测项目时，该测序项目可提前终止，采购人不承担任何的违约责任。 2、被委托实验室按采购人要求进行检测，在标本结果出具时限内出具检验报告。</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二、其他要求</w:t>
            </w:r>
          </w:p>
        </w:tc>
        <w:tc>
          <w:tcPr>
            <w:tcW w:type="dxa" w:w="2076"/>
          </w:tcPr>
          <w:p>
            <w:pPr>
              <w:pStyle w:val="null3"/>
              <w:jc w:val="left"/>
            </w:pPr>
            <w:r>
              <w:rPr/>
              <w:t>★1、投标人的实验室获得临床检验中心颁发有效期内的临床基因扩增检验实验室技术审核验收合格的相关证书或批复（投标文件中提供证明文件复印件加盖投标人公章）。 ★2、投标人所有开展的检测项目必须能自主开展，不得送至第三方检验公司或其他医疗机构检测（投标文件中提供承诺函加盖投标人公章）。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二、其他要求</w:t>
            </w:r>
          </w:p>
        </w:tc>
        <w:tc>
          <w:tcPr>
            <w:tcW w:type="dxa" w:w="2076"/>
          </w:tcPr>
          <w:p>
            <w:pPr>
              <w:pStyle w:val="null3"/>
              <w:jc w:val="left"/>
            </w:pPr>
            <w:r>
              <w:rPr/>
              <w:t>3、投标人必须如实提供投标所需证明材料，不得弄虚作假。 4、中标人发生事业单位改革或者公司合并、分立等情况，不能以原机构名义履行合同的，拟继续履约的检验机构应及时以书面方式报告采购人、提供相关证明材料，经采购人审查并报有关部门同意后再决定是否继续履约。 5、根据工作需要，采购人对中标人的承检任务可以适当调整，中标人应当予以支持。 6、本项目需求中未作细化详尽的地方，采购人将在送检开始前制定具体的要求，中标人应遵守执行；当政策法规发生调整或者工作形势发生变更，采购人可以调整有关送检操作要求，中标人应按采购人要求实施。 7、在服务采购期限内，若采购人增加本项目清单外的检验项目，投标人应尽量配合开展，若经双方同意送检的检验项目，按本采购同类项目的中标折扣率结算。</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★三、罚则</w:t>
            </w:r>
          </w:p>
        </w:tc>
        <w:tc>
          <w:tcPr>
            <w:tcW w:type="dxa" w:w="2076"/>
          </w:tcPr>
          <w:p>
            <w:pPr>
              <w:pStyle w:val="null3"/>
              <w:jc w:val="left"/>
            </w:pPr>
            <w:r>
              <w:rPr/>
              <w:t>1、在服务期间，服务人员因为调走、辞职或被中标供应商辞退等原因导致服务人员不足的，而中标供应商在30天内未能及时补齐符合项目要求的服务人员时，则视为中标供应商违约，采购人有权终止合同，并有权拒绝支付因此而产生的项目服务费。 2、因中标供应商安排的服务人员违反采购人内部管理制度、蓄意破坏设备设施、违反工作规程造成重大事故的，一经查实，则视为中标供应商严重违约，采购人有权终止合同，责令中标供应商赔偿损失，情节严重的依法追究中标供应商法律责任。 3、若中标供应商在合同期内违反其服务承诺或本项目合同（包括合同附件）的要求2次或以上的，则视为中标供应商违约，采购人有权单方解除合同并拒绝支付本期项目服务费。 4、服务人员有以下情况之一的，造成采购人安全责任事故的，中标供应商除承担事故处理费用外，视情节还须按中标价支付0.5%-1%的违约金： ①违反采购人单位规章制度、业务规程或工作纪律的； ②严重失职，造成重大安全事故的； ③工作不服从指挥和安排的； ④其他违反法律法规规定情形的。 5、若采购人使用科室核心小组有2/3或以上人数对中标供应商的服务质量不满意的，且使用科室核心小组已对其发出书面通报两次或以上的，经院方领导同意，采购人有权终止合同，并有权拒绝支付剩余未支付的服务费。 6、中标供应商在投标文件中已对本采购文件需求等条款进行响应的，在合同执行过程中，如出现违反其响应文件内容或执行不到位，且采购人已对其发出书面通报两次或以上的，采购人有权终止合同，并有权拒绝支付剩余未支付的服务费。 7、采购人使用科室对中标供应商进行考核，考核标准详见《中山市博爱医院外送基因测序项目考核表》，如考核分数低于60分，或累计两次服务考核低于80分的，采购人提出在一个月内整改后仍不达标，采购人有权提前终止合同而不承担法律责任，未支付的服务费无需支付。 8、如因中标供应商违约导致采购人循法律途径主张权利，由此产生的诉讼费、律师费、差旅费等合理费用均由中标供应商承担。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特殊单基因疾病整体解决方案</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特殊单基因疾病整体解决方案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报价要求</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2367"/>
              <w:gridCol w:w="1544"/>
              <w:gridCol w:w="1219"/>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检测项目名称</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投标折扣率报价上限</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评分权重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仅使用二代测序检测的项目</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仅使用非二代测序检测的项目</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同时使用二代测序和非二代测序检测的项目</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28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平均投标折扣率</w:t>
                  </w:r>
                  <w:r>
                    <w:rPr>
                      <w:sz w:val="21"/>
                    </w:rPr>
                    <w:t>（计算方法：序号</w:t>
                  </w:r>
                  <w:r>
                    <w:rPr>
                      <w:sz w:val="21"/>
                    </w:rPr>
                    <w:t>1</w:t>
                  </w:r>
                  <w:r>
                    <w:rPr>
                      <w:sz w:val="21"/>
                    </w:rPr>
                    <w:t>折扣率×序号</w:t>
                  </w:r>
                  <w:r>
                    <w:rPr>
                      <w:sz w:val="21"/>
                    </w:rPr>
                    <w:t>1</w:t>
                  </w:r>
                  <w:r>
                    <w:rPr>
                      <w:sz w:val="21"/>
                    </w:rPr>
                    <w:t>评分权重</w:t>
                  </w:r>
                  <w:r>
                    <w:rPr>
                      <w:sz w:val="21"/>
                    </w:rPr>
                    <w:t>+</w:t>
                  </w:r>
                  <w:r>
                    <w:rPr>
                      <w:sz w:val="21"/>
                    </w:rPr>
                    <w:t>…</w:t>
                  </w:r>
                  <w:r>
                    <w:rPr>
                      <w:sz w:val="21"/>
                    </w:rPr>
                    <w:t>+</w:t>
                  </w:r>
                  <w:r>
                    <w:rPr>
                      <w:sz w:val="21"/>
                    </w:rPr>
                    <w:t>序号</w:t>
                  </w:r>
                  <w:r>
                    <w:rPr>
                      <w:sz w:val="21"/>
                    </w:rPr>
                    <w:t>3</w:t>
                  </w:r>
                  <w:r>
                    <w:rPr>
                      <w:sz w:val="21"/>
                    </w:rPr>
                    <w:t>折扣率</w:t>
                  </w:r>
                  <w:r>
                    <w:rPr>
                      <w:sz w:val="21"/>
                    </w:rPr>
                    <w:t>×序号</w:t>
                  </w:r>
                  <w:r>
                    <w:rPr>
                      <w:sz w:val="21"/>
                    </w:rPr>
                    <w:t>3</w:t>
                  </w:r>
                  <w:r>
                    <w:rPr>
                      <w:sz w:val="21"/>
                    </w:rPr>
                    <w:t>评分权重）</w:t>
                  </w:r>
                  <w:r>
                    <w:rPr>
                      <w:sz w:val="21"/>
                    </w:rPr>
                    <w:t>报价上限</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r>
                    <w:rPr>
                      <w:sz w:val="21"/>
                    </w:rPr>
                    <w:t>.5%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100%</w:t>
                  </w:r>
                </w:p>
              </w:tc>
            </w:tr>
          </w:tbl>
          <w:p>
            <w:pPr>
              <w:pStyle w:val="null3"/>
              <w:jc w:val="both"/>
            </w:pPr>
            <w:r>
              <w:rPr>
                <w:sz w:val="21"/>
                <w:b/>
              </w:rPr>
              <w:t>（平均投标折扣率</w:t>
            </w:r>
            <w:r>
              <w:rPr>
                <w:sz w:val="21"/>
                <w:b/>
              </w:rPr>
              <w:t>=</w:t>
            </w:r>
            <w:r>
              <w:rPr>
                <w:sz w:val="21"/>
                <w:b/>
              </w:rPr>
              <w:t>各检测项目报价×各检测项目所占评分权重的相加之和）</w:t>
            </w:r>
          </w:p>
          <w:p>
            <w:pPr>
              <w:pStyle w:val="null3"/>
              <w:jc w:val="both"/>
            </w:pPr>
            <w:r>
              <w:rPr>
                <w:sz w:val="21"/>
              </w:rPr>
              <w:t>注：</w:t>
            </w:r>
          </w:p>
          <w:p>
            <w:pPr>
              <w:pStyle w:val="null3"/>
              <w:jc w:val="both"/>
            </w:pPr>
            <w:r>
              <w:rPr>
                <w:sz w:val="21"/>
                <w:b/>
              </w:rPr>
              <w:t>1</w:t>
            </w:r>
            <w:r>
              <w:rPr>
                <w:sz w:val="21"/>
                <w:b/>
              </w:rPr>
              <w:t>、本采购包投标报价采用折扣率方式进行报价，“序号</w:t>
            </w:r>
            <w:r>
              <w:rPr>
                <w:sz w:val="21"/>
                <w:b/>
              </w:rPr>
              <w:t>1- 3</w:t>
            </w:r>
            <w:r>
              <w:rPr>
                <w:sz w:val="21"/>
                <w:b/>
              </w:rPr>
              <w:t>”必须按附件《报价明细表（采购包</w:t>
            </w:r>
            <w:r>
              <w:rPr>
                <w:sz w:val="21"/>
                <w:b/>
              </w:rPr>
              <w:t>2</w:t>
            </w:r>
            <w:r>
              <w:rPr>
                <w:sz w:val="21"/>
                <w:b/>
              </w:rPr>
              <w:t>）》格式全部报价，开标一览表中的投标报价填写平均投标折扣率报价；投标人的投标折扣率报价不得高于投标折扣率报价上限且不能为负数或零，投标折扣率报价不接受区间报价（例如</w:t>
            </w:r>
            <w:r>
              <w:rPr>
                <w:sz w:val="21"/>
                <w:b/>
              </w:rPr>
              <w:t>30%</w:t>
            </w:r>
            <w:r>
              <w:rPr>
                <w:sz w:val="21"/>
                <w:b/>
              </w:rPr>
              <w:t>～</w:t>
            </w:r>
            <w:r>
              <w:rPr>
                <w:sz w:val="21"/>
                <w:b/>
              </w:rPr>
              <w:t>40%</w:t>
            </w:r>
            <w:r>
              <w:rPr>
                <w:sz w:val="21"/>
                <w:b/>
              </w:rPr>
              <w:t>），否则将作无效报价处理，投标人须对全部招标内容进行报价，不允许只对部份内容报价。</w:t>
            </w:r>
          </w:p>
          <w:p>
            <w:pPr>
              <w:pStyle w:val="null3"/>
              <w:jc w:val="both"/>
            </w:pPr>
            <w:r>
              <w:rPr>
                <w:sz w:val="21"/>
              </w:rPr>
              <w:t>2</w:t>
            </w:r>
            <w:r>
              <w:rPr>
                <w:sz w:val="21"/>
              </w:rPr>
              <w:t>、实际合同期内，以各检测项目对应的中标折扣率进行结算。除非另有规定，各检测项目对应的中标折扣率在合同实施期间应保持不变，均不受市场价格及政策性价格的调整而增减。</w:t>
            </w:r>
          </w:p>
          <w:p>
            <w:pPr>
              <w:pStyle w:val="null3"/>
              <w:jc w:val="both"/>
            </w:pPr>
            <w:r>
              <w:rPr>
                <w:sz w:val="21"/>
              </w:rPr>
              <w:t>3</w:t>
            </w:r>
            <w:r>
              <w:rPr>
                <w:sz w:val="21"/>
              </w:rPr>
              <w:t>、结算的单价以中山市医疗保障局公布的《基本医疗服务价格项目目录（</w:t>
            </w:r>
            <w:r>
              <w:rPr>
                <w:sz w:val="21"/>
              </w:rPr>
              <w:t>202</w:t>
            </w:r>
            <w:r>
              <w:rPr>
                <w:sz w:val="21"/>
              </w:rPr>
              <w:t>4</w:t>
            </w:r>
            <w:r>
              <w:rPr>
                <w:sz w:val="21"/>
              </w:rPr>
              <w:t>年版）》为标准（服务期内如有最新物价标准修改的单价收费标准则按最新物价标准执行），如此价格标准以外的送检项目，由中标人提供收费依据，并与采购人协商确定后的价格作为收费标准。</w:t>
            </w:r>
          </w:p>
          <w:p>
            <w:pPr>
              <w:pStyle w:val="null3"/>
              <w:jc w:val="both"/>
            </w:pPr>
            <w:r>
              <w:rPr>
                <w:sz w:val="21"/>
              </w:rPr>
              <w:t>4</w:t>
            </w:r>
            <w:r>
              <w:rPr>
                <w:sz w:val="21"/>
              </w:rPr>
              <w:t>、投标人的报价应包括但不限于检测项目的检测费用、检测标本接收保存运输费用、检测报告输出费用、试剂耗材费、人工费、材料费、设备使用费、各种税务费、必须的辅助材料费及合同实施过程中应预见和合同实施过程中不可预见费用等全部费用。</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pPr>
            <w:r>
              <w:rPr>
                <w:b/>
              </w:rPr>
              <w:t>二、项目明细</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883"/>
              <w:gridCol w:w="722"/>
              <w:gridCol w:w="2593"/>
            </w:tblGrid>
            <w:tr>
              <w:tc>
                <w:tcPr>
                  <w:tcW w:type="dxa" w:w="1400"/>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序号</w:t>
                  </w:r>
                </w:p>
              </w:tc>
              <w:tc>
                <w:tcPr>
                  <w:tcW w:type="dxa" w:w="88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项目名称</w:t>
                  </w:r>
                </w:p>
              </w:tc>
              <w:tc>
                <w:tcPr>
                  <w:tcW w:type="dxa" w:w="722"/>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检测方法</w:t>
                  </w:r>
                </w:p>
              </w:tc>
              <w:tc>
                <w:tcPr>
                  <w:tcW w:type="dxa" w:w="259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简介</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900余个遗传性皮肤病相关的基因SNV及InDel变异以及X连锁鱼鳞病STS基因外显子缺失或重复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呼吸系统疾病基因检测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1000余个呼吸系统相关疾病已知致病基因SNV及InDel变异以及囊性纤维化CFTR基因外显子缺失或重复。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内分泌系统疾病基因检测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600余个</w:t>
                  </w:r>
                  <w:r>
                    <w:rPr>
                      <w:sz w:val="21"/>
                    </w:rPr>
                    <w:t>内分泌疾病相关基因</w:t>
                  </w:r>
                  <w:r>
                    <w:rPr>
                      <w:sz w:val="21"/>
                    </w:rPr>
                    <w:t>SNV及InDel变异</w:t>
                  </w:r>
                  <w:r>
                    <w:rPr>
                      <w:sz w:val="21"/>
                    </w:rPr>
                    <w:t>以及</w:t>
                  </w:r>
                  <w:r>
                    <w:rPr>
                      <w:sz w:val="21"/>
                    </w:rPr>
                    <w:t>性别决定基因</w:t>
                  </w:r>
                  <w:r>
                    <w:rPr>
                      <w:sz w:val="21"/>
                    </w:rPr>
                    <w:t>(SRY/NR0B1/SOX9/NR5A1等)的外显子缺失或重复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代谢性肝病基因检测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600余个代谢性肝病相关基因SNV及InDel变异</w:t>
                  </w:r>
                  <w:r>
                    <w:rPr>
                      <w:sz w:val="21"/>
                    </w:rPr>
                    <w:t>以及</w:t>
                  </w:r>
                  <w:r>
                    <w:rPr>
                      <w:sz w:val="21"/>
                    </w:rPr>
                    <w:t>肝豆状核变性</w:t>
                  </w:r>
                  <w:r>
                    <w:rPr>
                      <w:sz w:val="21"/>
                    </w:rPr>
                    <w:t>ATP7B基因外显子缺失或重复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遗传代谢基因检测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600余个</w:t>
                  </w:r>
                  <w:r>
                    <w:rPr>
                      <w:sz w:val="21"/>
                    </w:rPr>
                    <w:t>遗传代谢病相关基因</w:t>
                  </w:r>
                  <w:r>
                    <w:rPr>
                      <w:sz w:val="21"/>
                    </w:rPr>
                    <w:t>SNV及InDel变异</w:t>
                  </w:r>
                  <w:r>
                    <w:rPr>
                      <w:sz w:val="21"/>
                    </w:rPr>
                    <w:t>以及</w:t>
                  </w:r>
                  <w:r>
                    <w:rPr>
                      <w:sz w:val="21"/>
                    </w:rPr>
                    <w:t>经典型苯丙酮尿症</w:t>
                  </w:r>
                  <w:r>
                    <w:rPr>
                      <w:sz w:val="21"/>
                    </w:rPr>
                    <w:t>PAH基因外显子缺失或重复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癫痫全面版基因检测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600余个癫痫相关基因SNV及InDel变异以及癫痫/热性惊厥SCN1A基因外显子缺失或重复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免疫系统疾病基因检测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400余个免疫系统疾病相关基因SNV及InDel变异以及高IgE综合征DOCK8/ STAT3基因外显子缺失或重复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泌尿系统疾病基因检测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800余个泌尿系统疾病相关基因SNV及InDel变异以及Alport综合征COL4A5基因外显子缺失或重复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血液系统疾病基因检测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1000余个血液疾病相关基因SNV及InDel变异以及甲型血友病F8基因外显子缺失或重复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神经肌肉病基因检测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900余个神经肌肉疾病相关基因SNV及InDel变异以及进行性肌营养不良DMD基因外显子缺失或重复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单基因突变位点超深度测序</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多重</w:t>
                  </w:r>
                  <w:r>
                    <w:rPr>
                      <w:sz w:val="21"/>
                    </w:rPr>
                    <w:t>PCR检测</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单基因突变位点超深度检测，大于</w:t>
                  </w:r>
                  <w:r>
                    <w:rPr>
                      <w:sz w:val="21"/>
                    </w:rPr>
                    <w:t>20000 X，可检测低频嵌合突变</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肾上腺脑白质营养不良</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Long-PCR</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ABCD1基因SNV及InDel变异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新生儿黄疸基因筛查</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40余个新生儿黄疸高度相关基因的SNV及InDel变异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运动障碍疾病基因检测整体解决方案</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PCR+毛细管电泳</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500余个运动障碍疾病相关基因的SNV及InDel变异以及10个脊髓小脑共济失调致病基因动态突变分析</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纤毛病整体解决方案</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p>
                <w:p>
                  <w:pPr>
                    <w:pStyle w:val="null3"/>
                    <w:jc w:val="center"/>
                  </w:pPr>
                  <w:r>
                    <w:rPr>
                      <w:sz w:val="21"/>
                    </w:rPr>
                    <w:t>二代测序</w:t>
                  </w:r>
                </w:p>
                <w:p>
                  <w:pPr>
                    <w:pStyle w:val="null3"/>
                    <w:jc w:val="center"/>
                  </w:pPr>
                  <w:r>
                    <w:rPr>
                      <w:sz w:val="21"/>
                    </w:rPr>
                    <w:t>long-PCR</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100余个纤毛并相关基因的SNV及InDel变异，以及PKD1/PKD2基因外显子缺失或重复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肾上腺皮质增生症整体解决方案</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p>
                <w:p>
                  <w:pPr>
                    <w:pStyle w:val="null3"/>
                    <w:jc w:val="center"/>
                  </w:pPr>
                  <w:r>
                    <w:rPr>
                      <w:sz w:val="21"/>
                    </w:rPr>
                    <w:t>二代测序</w:t>
                  </w:r>
                </w:p>
                <w:p>
                  <w:pPr>
                    <w:pStyle w:val="null3"/>
                    <w:jc w:val="center"/>
                  </w:pPr>
                  <w:r>
                    <w:rPr>
                      <w:sz w:val="21"/>
                    </w:rPr>
                    <w:t>long-PCR</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CYP21A2基因及其他CAH相关基因SNV及InDel变异，以及CYP21A2基因外显子缺失或重复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指定基因外显子缺失</w:t>
                  </w:r>
                  <w:r>
                    <w:rPr>
                      <w:sz w:val="21"/>
                    </w:rPr>
                    <w:t>/重复检测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检测以下基因</w:t>
                  </w:r>
                  <w:r>
                    <w:rPr>
                      <w:sz w:val="21"/>
                    </w:rPr>
                    <w:t>外显子缺失或重复，</w:t>
                  </w:r>
                  <w:r>
                    <w:rPr>
                      <w:sz w:val="21"/>
                    </w:rPr>
                    <w:t>包括但不仅限于：</w:t>
                  </w:r>
                  <w:r>
                    <w:rPr>
                      <w:sz w:val="21"/>
                    </w:rPr>
                    <w:t>PMP22、DMD、NF1、NF2、TSC1、TSC2、MECP2、PAH、OTC、ATP7B、PLP1、CASR、FANCA、GCH1、SLC26A4、NF2、F8、TCOF1、RB1、HBA1,HBA2、KRIT1、CCM2、PDCD10、PKD1、LDLR、PAX6、FH、HNF1B、STS、GNAS、CFTR、SCN1A、COL4A5等</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指定基因重复序列动态突变检测</w:t>
                  </w:r>
                </w:p>
              </w:tc>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PCR+毛细管电泳</w:t>
                  </w:r>
                </w:p>
              </w:tc>
              <w:tc>
                <w:tcPr>
                  <w:tcW w:type="dxa" w:w="2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检测以下疾病或基因的重复序列动态突变包括但不仅限于以下疾病：强直性肌营养不良</w:t>
                  </w:r>
                  <w:r>
                    <w:rPr>
                      <w:sz w:val="21"/>
                    </w:rPr>
                    <w:t>1型、肯尼迪病（KD/SBMA)、亨廷顿舞蹈症、X染色体失活检测、脊髓小脑共济失调动态突变（检测ATXN1，ATXN2，ATXN3，CACNA1A，ATXN7，ATXN8OS/ATXN8，PPP2R2B，TBP，ATN1，FXN，C9orf72、HTT和THAP11基因）等</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w:t>
            </w:r>
            <w:r>
              <w:rPr>
                <w:b/>
              </w:rPr>
              <w:t>、重点基因检测项目参数</w:t>
            </w:r>
          </w:p>
          <w:p>
            <w:pPr>
              <w:pStyle w:val="null3"/>
            </w:pPr>
            <w:r>
              <w:rPr/>
              <w:t>（一）</w:t>
            </w:r>
            <w:r>
              <w:rPr/>
              <w:t>皮肤病基因检测</w:t>
            </w:r>
          </w:p>
          <w:p>
            <w:pPr>
              <w:pStyle w:val="null3"/>
            </w:pPr>
            <w:r>
              <w:rPr/>
              <w:t>1.▲检测内容:检测900余个遗传性皮肤病相关的基因SNV及InDel变异以及X连锁鱼鳞病STS基因外显子缺失或重复：检测所有相关基因的全外显子及其上下游50bp区域。至少包含NF1、NF、SERPINB7、KRT5、COL7A1、HR、STS在内7个基因检测基因全长，对TSC1、TSC2、SLC45A2、DOCK8、TGM1、KRT10、TYR、NLGN4X、OCA2、FLG、TYR、EDA在内11个基因进行加密探针设计,对STS基因1-10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（二）</w:t>
            </w:r>
            <w:r>
              <w:rPr/>
              <w:t>呼吸系统疾病基因检测</w:t>
            </w:r>
          </w:p>
          <w:p>
            <w:pPr>
              <w:pStyle w:val="null3"/>
            </w:pPr>
            <w:r>
              <w:rPr/>
              <w:t>1.▲检测内容:检测1000余个呼吸系统相关疾病已知致病基因SNV及InDel变异，检测所有相关基因的全外显子及其上下游50bp区域；检测囊性纤维化CFTR基因外显子缺失或重复，对CFTR基因1-27号外显子进行MLPA检测，对PRKDC基因进行加密探针设计</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（三）</w:t>
            </w:r>
            <w:r>
              <w:rPr/>
              <w:t>内分泌系统疾病基因检测</w:t>
            </w:r>
          </w:p>
          <w:p>
            <w:pPr>
              <w:pStyle w:val="null3"/>
            </w:pPr>
            <w:r>
              <w:rPr/>
              <w:t>1.▲检测内容:检测600余个内分泌疾病相关基因SNV及InDel变异以及性别决定基因(SRY/NR0B1/SOX9/NR5A1等)的外显子缺失或重复：检测所有相关基因的全外显子及其上下游50bp区域，对SRY基因1号外显子、NROB1基因1-2号外显子、SOX9基因1-3号外显子、NR5A1基因1-7外显子等进行MLPA检测</w:t>
            </w:r>
            <w:r>
              <w:rPr>
                <w:b/>
              </w:rPr>
              <w:t>（提供宣传折页或报告单证明项目检测内容，并加盖公章）</w:t>
            </w:r>
          </w:p>
          <w:p>
            <w:pPr>
              <w:pStyle w:val="null3"/>
            </w:pPr>
            <w:r>
              <w:rPr/>
              <w:t>1.检测技术:二代测序、MLPA</w:t>
            </w:r>
          </w:p>
          <w:p>
            <w:pPr>
              <w:pStyle w:val="null3"/>
            </w:pPr>
            <w:r>
              <w:rPr/>
              <w:t>2.报告周期:20个自然日（自收到样本起算）</w:t>
            </w:r>
          </w:p>
          <w:p>
            <w:pPr>
              <w:pStyle w:val="null3"/>
            </w:pPr>
            <w:r>
              <w:rPr/>
              <w:t>3.样本类型:外周血、口腔拭子</w:t>
            </w:r>
          </w:p>
          <w:p>
            <w:pPr>
              <w:pStyle w:val="null3"/>
            </w:pPr>
            <w:r>
              <w:rPr/>
              <w:t>4.检测突变类型:SNV、InDel、CNV(高通量算法检测)</w:t>
            </w:r>
          </w:p>
          <w:p>
            <w:pPr>
              <w:pStyle w:val="null3"/>
            </w:pPr>
            <w:r>
              <w:rPr/>
              <w:t>5.报告解读:报告结果需按照ACMG指南对检出的突变进行5个等级的致病性分级</w:t>
            </w:r>
          </w:p>
          <w:p>
            <w:pPr>
              <w:pStyle w:val="null3"/>
            </w:pPr>
            <w:r>
              <w:rPr/>
              <w:t>6.▲阳性受检者可进行父母免费位点验证检测(≤3个位点)</w:t>
            </w:r>
          </w:p>
          <w:p>
            <w:pPr>
              <w:pStyle w:val="null3"/>
            </w:pPr>
            <w:r>
              <w:rPr/>
              <w:t>7.▲测序质控:测序有效深度≥300X、Q20＞95%，Q30＞90%，20X&gt;95%</w:t>
            </w:r>
            <w:r>
              <w:rPr>
                <w:b/>
              </w:rPr>
              <w:t>（提供报告单复印件并加盖公章）</w:t>
            </w:r>
          </w:p>
          <w:p>
            <w:pPr>
              <w:pStyle w:val="null3"/>
            </w:pPr>
            <w:r>
              <w:rPr/>
              <w:t>8.检测探针：DNA双链探针</w:t>
            </w:r>
          </w:p>
          <w:p>
            <w:pPr>
              <w:pStyle w:val="null3"/>
            </w:pPr>
            <w:r>
              <w:rPr/>
              <w:t>（四）</w:t>
            </w:r>
            <w:r>
              <w:rPr/>
              <w:t>代谢性肝病基因检测</w:t>
            </w:r>
          </w:p>
          <w:p>
            <w:pPr>
              <w:pStyle w:val="null3"/>
            </w:pPr>
            <w:r>
              <w:rPr/>
              <w:t>1.▲检测内容:检测600余个代谢性肝病相关基因SNV及InDel变异以及肝豆状核变性ATP7B基因外显子缺失或重复：检测所有相关基因的全外显子及其上下游50bp区域，对ATP7B基因1-21号外显子进行MLPA检测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w:t>
            </w:r>
            <w:r>
              <w:rPr>
                <w:b/>
              </w:rPr>
              <w:t>（提供报告单复印件并加盖公章）</w:t>
            </w:r>
          </w:p>
          <w:p>
            <w:pPr>
              <w:pStyle w:val="null3"/>
            </w:pPr>
            <w:r>
              <w:rPr/>
              <w:t>9.检测探针：DNA双链探针</w:t>
            </w:r>
          </w:p>
          <w:p>
            <w:pPr>
              <w:pStyle w:val="null3"/>
            </w:pPr>
            <w:r>
              <w:rPr/>
              <w:t>（五）</w:t>
            </w:r>
            <w:r>
              <w:rPr/>
              <w:t>遗传代谢基因检测</w:t>
            </w:r>
          </w:p>
          <w:p>
            <w:pPr>
              <w:pStyle w:val="null3"/>
            </w:pPr>
            <w:r>
              <w:rPr/>
              <w:t>1.▲检测内容:检测600余个遗传代谢病相关基因SNV及InDel变异以及经典型苯丙酮尿症PAH基因外显子缺失或重复：检测所有相关基因的全外显子及其上下游50bp区域，至少包含GCH1、OTC 基因，对PAH 基因检测全长，对PAH 基因1-13号外显子进行MLPA检测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（六）</w:t>
            </w:r>
            <w:r>
              <w:rPr/>
              <w:t>癫痫全面版基因检测</w:t>
            </w:r>
          </w:p>
          <w:p>
            <w:pPr>
              <w:pStyle w:val="null3"/>
            </w:pPr>
            <w:r>
              <w:rPr/>
              <w:t>1.▲检测内容:检测600余个癫痫相关基因SNV及InDel变异以及癫痫/热性惊厥SCN1A基因外显子缺失或重复：检测所有相关基因的全外显子及其上下游50bp区域，至少包含SCN1A:IVS14 ds A-T +3；KCNQ1：IVS7 ds A-G +3等深度内含子，对SCN1A基因1-26号外显子进行MLPA检测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（七）</w:t>
            </w:r>
            <w:r>
              <w:rPr/>
              <w:t>免疫系统疾病基因检测</w:t>
            </w:r>
          </w:p>
          <w:p>
            <w:pPr>
              <w:pStyle w:val="null3"/>
            </w:pPr>
            <w:r>
              <w:rPr/>
              <w:t>1.▲检测内容:检测400余个免疫系统疾病相关基因SNV及InDel变异以及高IgE综合征DOCK8/ STAT3基因外显子缺失或重复：检测所有相关基因的全外显子及其上下游50bp区域，至少包括</w:t>
            </w:r>
            <w:r>
              <w:rPr/>
              <w:t>相关</w:t>
            </w:r>
            <w:r>
              <w:rPr/>
              <w:t>基因的</w:t>
            </w:r>
            <w:r>
              <w:rPr/>
              <w:t>致病性</w:t>
            </w:r>
            <w:r>
              <w:rPr/>
              <w:t>深度内含子位点，对</w:t>
            </w:r>
            <w:r>
              <w:rPr/>
              <w:t>DOCK8基因1-48号外显子、 STAT3基因1-24号外显子进行MLPA检测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（八）</w:t>
            </w:r>
            <w:r>
              <w:rPr/>
              <w:t>泌尿系统疾病基因检测</w:t>
            </w:r>
          </w:p>
          <w:p>
            <w:pPr>
              <w:pStyle w:val="null3"/>
            </w:pPr>
            <w:r>
              <w:rPr/>
              <w:t>1.▲检测内容:检测800余个泌尿系统疾病相关基因SNV及InDel变异以及Alport综合征COL4A5基因外显子缺失或重复：检测所有相关基因的全外显子及其上下游50bp区域，需包含线粒体环基因，对PBX1，CFHR1，WT1，PIBF1，SLC12A3，HNF1B，SLC4A1，COL4A6，COL4A5，COL4A4，COL4A3，PKHD1，EYA1，CLCN5等基因进行了加密探针设计，对COL4A5基因1-7, 9-24, 26-39, 41 , 45-53 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（九）</w:t>
            </w:r>
            <w:r>
              <w:rPr/>
              <w:t>血液系统疾病基因检测</w:t>
            </w:r>
          </w:p>
          <w:p>
            <w:pPr>
              <w:pStyle w:val="null3"/>
            </w:pPr>
            <w:r>
              <w:rPr/>
              <w:t>1.▲检测内容:检测1000余个血液疾病相关基因SNV及InDel变异以及甲型血友病F8基因外显子缺失或重复：检测所有相关基因的全外显子及其上下游50bp区域，检测NF1等基因HGMD报道的内含子、基因间和非编码区，对F8基因1-26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（十）</w:t>
            </w:r>
            <w:r>
              <w:rPr/>
              <w:t>神经肌肉病基因检测</w:t>
            </w:r>
          </w:p>
          <w:p>
            <w:pPr>
              <w:pStyle w:val="null3"/>
            </w:pPr>
            <w:r>
              <w:rPr/>
              <w:t>1.▲检测内容:检测900余个神经肌肉疾病相关基因SNV及InDel变异以及进行性肌营养不良DMD基因外显子缺失或重复，检测所有相关基因的全外显子及其上下游50bp区域、对HGMD 报道的内含子、启动子及基因间区域进行检测，对DMD基因1-79号外显子进行MLPA检测</w:t>
            </w:r>
            <w:r>
              <w:rPr>
                <w:b/>
              </w:rPr>
              <w:t>（提供宣传折页或报告单证明项目检测内容，并加盖公章）</w:t>
            </w:r>
          </w:p>
          <w:p>
            <w:pPr>
              <w:pStyle w:val="null3"/>
            </w:pPr>
            <w:r>
              <w:rPr/>
              <w:t>2.检测技术:二代测序、MLPA</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（十一）</w:t>
            </w:r>
            <w:r>
              <w:rPr/>
              <w:t>单基因突变位点超深度测序</w:t>
            </w:r>
          </w:p>
          <w:p>
            <w:pPr>
              <w:pStyle w:val="null3"/>
            </w:pPr>
            <w:r>
              <w:rPr/>
              <w:t>1.▲检测内容:单基因突变位点超深度检测，大于20000 X，可检测低频嵌合突变，用于已知明确致病变异的验证性检测</w:t>
            </w:r>
            <w:r>
              <w:rPr>
                <w:b/>
              </w:rPr>
              <w:t>（提供宣传折页或报告单证明项目检测内容，并加盖公章）</w:t>
            </w:r>
          </w:p>
          <w:p>
            <w:pPr>
              <w:pStyle w:val="null3"/>
            </w:pPr>
            <w:r>
              <w:rPr/>
              <w:t>2.检测技术:多重PCR检测、二代测序</w:t>
            </w:r>
          </w:p>
          <w:p>
            <w:pPr>
              <w:pStyle w:val="null3"/>
            </w:pPr>
            <w:r>
              <w:rPr/>
              <w:t>3.报告周期:20个自然日（自收到样本起算）</w:t>
            </w:r>
          </w:p>
          <w:p>
            <w:pPr>
              <w:pStyle w:val="null3"/>
            </w:pPr>
            <w:r>
              <w:rPr/>
              <w:t>4.样本类型:外周血、口腔拭子</w:t>
            </w:r>
          </w:p>
          <w:p>
            <w:pPr>
              <w:pStyle w:val="null3"/>
            </w:pPr>
            <w:r>
              <w:rPr/>
              <w:t>5.检测突变类型:SNV</w:t>
            </w:r>
          </w:p>
          <w:p>
            <w:pPr>
              <w:pStyle w:val="null3"/>
            </w:pPr>
            <w:r>
              <w:rPr/>
              <w:t>6.▲测序质控:测序有效深度≥20000X</w:t>
            </w:r>
            <w:r>
              <w:rPr>
                <w:b/>
              </w:rPr>
              <w:t>（提供报告单复印件并加盖公章）</w:t>
            </w:r>
          </w:p>
          <w:p>
            <w:pPr>
              <w:pStyle w:val="null3"/>
            </w:pPr>
            <w:r>
              <w:rPr/>
              <w:t>（十二）</w:t>
            </w:r>
            <w:r>
              <w:rPr/>
              <w:t>肾上腺脑白质营养不良</w:t>
            </w:r>
          </w:p>
          <w:p>
            <w:pPr>
              <w:pStyle w:val="null3"/>
            </w:pPr>
            <w:r>
              <w:rPr/>
              <w:t>1.▲检测内容:检测ABCD1基因全长，检测整个基因点突变以及缺失重复，需要排除X-ALD分子诊断中ABCD1假基因干扰，检测基因缺失重复断裂点位置</w:t>
            </w:r>
            <w:r>
              <w:rPr>
                <w:b/>
              </w:rPr>
              <w:t>（提供宣传折页或报告单证明项目检测内容，并加盖公章）</w:t>
            </w:r>
          </w:p>
          <w:p>
            <w:pPr>
              <w:pStyle w:val="null3"/>
            </w:pPr>
            <w:r>
              <w:rPr/>
              <w:t>2.检测技术:Long-PCR、二代测序</w:t>
            </w:r>
          </w:p>
          <w:p>
            <w:pPr>
              <w:pStyle w:val="null3"/>
            </w:pPr>
            <w:r>
              <w:rPr/>
              <w:t>3.报告周期:20个自然日（自收到样本起算）</w:t>
            </w:r>
          </w:p>
          <w:p>
            <w:pPr>
              <w:pStyle w:val="null3"/>
            </w:pPr>
            <w:r>
              <w:rPr/>
              <w:t>4.样本类型:外周血</w:t>
            </w:r>
          </w:p>
          <w:p>
            <w:pPr>
              <w:pStyle w:val="null3"/>
            </w:pPr>
            <w:r>
              <w:rPr/>
              <w:t>5.检测突变类型:SNV、InDel</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（十三）</w:t>
            </w:r>
            <w:r>
              <w:rPr/>
              <w:t>新生儿黄疸基因筛查</w:t>
            </w:r>
          </w:p>
          <w:p>
            <w:pPr>
              <w:pStyle w:val="null3"/>
            </w:pPr>
            <w:r>
              <w:rPr/>
              <w:t>1.▲检测内容:检测40余个新生儿黄疸高度相关基因的SNV及InDel变异，检测包含所有相关基因的全外显子及其上下游50bp区域，HGMD、ClinVar数据库中已报道的非编码区的致病/疑似致病变异位点和深度内含子变异位点，其中，HBB基因进行了全长检测</w:t>
            </w:r>
            <w:r>
              <w:rPr>
                <w:b/>
              </w:rPr>
              <w:t>（提供宣传折页或报告单证明项目检测内容，并加盖公章）</w:t>
            </w:r>
          </w:p>
          <w:p>
            <w:pPr>
              <w:pStyle w:val="null3"/>
            </w:pPr>
            <w:r>
              <w:rPr/>
              <w:t>2.检测技术:二代测序</w:t>
            </w:r>
          </w:p>
          <w:p>
            <w:pPr>
              <w:pStyle w:val="null3"/>
            </w:pPr>
            <w:r>
              <w:rPr/>
              <w:t>3.报告周期:15个自然日（自收到样本起算）</w:t>
            </w:r>
          </w:p>
          <w:p>
            <w:pPr>
              <w:pStyle w:val="null3"/>
            </w:pPr>
            <w:r>
              <w:rPr/>
              <w:t>4.样本类型:血片，外周血</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7.▲测序质控:测序有效深度≥300X、Q20＞95%，Q30＞90%，20X&gt;95%</w:t>
            </w:r>
            <w:r>
              <w:rPr>
                <w:b/>
              </w:rPr>
              <w:t>（提供报告单复印件并加盖公章）</w:t>
            </w:r>
          </w:p>
          <w:p>
            <w:pPr>
              <w:pStyle w:val="null3"/>
            </w:pPr>
            <w:r>
              <w:rPr/>
              <w:t>（十四）</w:t>
            </w:r>
            <w:r>
              <w:rPr/>
              <w:t>运动障碍疾病基因检测整体解决方案</w:t>
            </w:r>
          </w:p>
          <w:p>
            <w:pPr>
              <w:pStyle w:val="null3"/>
            </w:pPr>
            <w:r>
              <w:rPr/>
              <w:t>1.▲检测内容:检测500余个运动障碍疾病相关基因的SNV及InDel变异以及10个脊髓小脑共济失调致病基因动态突变分析，检测包含所有相关基因的全外显子及其上下游50bp区域、HGMD 最新报道的内含子、启动子及基因间区域，对ATXN1、ATXN2、ATXN3、CACNA1A、ATXN7、ATXN8、PPP2R2B、TBP、ATN1、FXN 10个脊髓小脑共济失调致病基因进行动态突变分析</w:t>
            </w:r>
            <w:r>
              <w:rPr>
                <w:b/>
              </w:rPr>
              <w:t>（提供宣传折页或报告单证明项目检测内容，并加盖公章）</w:t>
            </w:r>
          </w:p>
          <w:p>
            <w:pPr>
              <w:pStyle w:val="null3"/>
            </w:pPr>
            <w:r>
              <w:rPr/>
              <w:t>1.检测技术:二代测序、PCR+毛细管电泳</w:t>
            </w:r>
          </w:p>
          <w:p>
            <w:pPr>
              <w:pStyle w:val="null3"/>
            </w:pPr>
            <w:r>
              <w:rPr/>
              <w:t>2.报告周期:20个自然日（自收到样本起算）</w:t>
            </w:r>
          </w:p>
          <w:p>
            <w:pPr>
              <w:pStyle w:val="null3"/>
            </w:pPr>
            <w:r>
              <w:rPr/>
              <w:t>3.样本类型:外周血、口腔拭子</w:t>
            </w:r>
          </w:p>
          <w:p>
            <w:pPr>
              <w:pStyle w:val="null3"/>
            </w:pPr>
            <w:r>
              <w:rPr/>
              <w:t>4.检测突变类型:SNV、InDel、CNV(高通量算法检测)</w:t>
            </w:r>
          </w:p>
          <w:p>
            <w:pPr>
              <w:pStyle w:val="null3"/>
            </w:pPr>
            <w:r>
              <w:rPr/>
              <w:t>5.报告解读:报告结果需按照ACMG指南对检出的突变进行5个等级的致病性分级</w:t>
            </w:r>
          </w:p>
          <w:p>
            <w:pPr>
              <w:pStyle w:val="null3"/>
            </w:pPr>
            <w:r>
              <w:rPr/>
              <w:t>6.▲阳性受检者可进行父母免费位点验证检测(≤3个位点)</w:t>
            </w:r>
          </w:p>
          <w:p>
            <w:pPr>
              <w:pStyle w:val="null3"/>
            </w:pPr>
            <w:r>
              <w:rPr/>
              <w:t>7.▲测序质控:测序有效深度≥300X、Q20＞95%，Q30＞90%，20X&gt;95%</w:t>
            </w:r>
            <w:r>
              <w:rPr>
                <w:b/>
              </w:rPr>
              <w:t>（提供报告单复印件并加盖公章）</w:t>
            </w:r>
          </w:p>
          <w:p>
            <w:pPr>
              <w:pStyle w:val="null3"/>
            </w:pPr>
            <w:r>
              <w:rPr/>
              <w:t>8.检测探针：DNA双链探针</w:t>
            </w:r>
          </w:p>
          <w:p>
            <w:pPr>
              <w:pStyle w:val="null3"/>
            </w:pPr>
            <w:r>
              <w:rPr/>
              <w:t>（十五）</w:t>
            </w:r>
            <w:r>
              <w:rPr/>
              <w:t>纤毛病整体解决方案</w:t>
            </w:r>
          </w:p>
          <w:p>
            <w:pPr>
              <w:pStyle w:val="null3"/>
            </w:pPr>
            <w:r>
              <w:rPr/>
              <w:t>1.▲检测内容:检测100余个纤毛并相关基因的SNV及InDel变异，以及PKD1/PKD2基因外显子缺失或重复：检测包含所有相关基因的全外显子及其上下游50bp区域、HGMD报道致病的内含子、基因间和非编码区捕获区域、对PKD1和PKD2基因进行MLPA检测</w:t>
            </w:r>
            <w:r>
              <w:rPr>
                <w:b/>
              </w:rPr>
              <w:t>（提供宣传折页或报告单证明项目检测内容，并加盖公章）</w:t>
            </w:r>
          </w:p>
          <w:p>
            <w:pPr>
              <w:pStyle w:val="null3"/>
            </w:pPr>
            <w:r>
              <w:rPr/>
              <w:t>2.检测技术:MLPA、二代测序</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（十六）</w:t>
            </w:r>
            <w:r>
              <w:rPr/>
              <w:t>肾上腺皮质增生症整体解决方案</w:t>
            </w:r>
          </w:p>
          <w:p>
            <w:pPr>
              <w:pStyle w:val="null3"/>
            </w:pPr>
            <w:r>
              <w:rPr/>
              <w:t>1.▲检测内容:检测CYP21A2基因及其他CAH相关基因SNV及InDel变异，以及CYP21A2基因外显子缺失或重复，检测包含所有相关基因的全外显子及其上下游50bp区域，对CLCNKB,NF1,CASR等基因检测HGMD报道的内含子、基因间和非编码区，用MLPA方法检测CYP21A2的CNV，使用longPCR方法去除CYP21A2假基因后进行高通量测序分析其点突变</w:t>
            </w:r>
            <w:r>
              <w:rPr>
                <w:b/>
              </w:rPr>
              <w:t>（提供宣传折页或报告单证明项目检测内容，并加盖公章）</w:t>
            </w:r>
          </w:p>
          <w:p>
            <w:pPr>
              <w:pStyle w:val="null3"/>
            </w:pPr>
            <w:r>
              <w:rPr/>
              <w:t>2.检测技术:MLPA、二代测序、long-PCR</w:t>
            </w:r>
          </w:p>
          <w:p>
            <w:pPr>
              <w:pStyle w:val="null3"/>
            </w:pPr>
            <w:r>
              <w:rPr/>
              <w:t>3.报告周期:20个自然日（自收到样本起算）</w:t>
            </w:r>
          </w:p>
          <w:p>
            <w:pPr>
              <w:pStyle w:val="null3"/>
            </w:pPr>
            <w:r>
              <w:rPr/>
              <w:t>4.样本类型:外周血、口腔拭子</w:t>
            </w:r>
          </w:p>
          <w:p>
            <w:pPr>
              <w:pStyle w:val="null3"/>
            </w:pPr>
            <w:r>
              <w:rPr/>
              <w:t>5.检测突变类型:SNV、InDel、CNV(高通量算法检测)</w:t>
            </w:r>
          </w:p>
          <w:p>
            <w:pPr>
              <w:pStyle w:val="null3"/>
            </w:pPr>
            <w:r>
              <w:rPr/>
              <w:t>6.报告解读:报告结果需按照ACMG指南对检出的突变进行5个等级的致病性分级</w:t>
            </w:r>
          </w:p>
          <w:p>
            <w:pPr>
              <w:pStyle w:val="null3"/>
            </w:pPr>
            <w:r>
              <w:rPr/>
              <w:t>7.▲阳性受检者可进行父母免费位点验证检测(≤3个位点)</w:t>
            </w:r>
          </w:p>
          <w:p>
            <w:pPr>
              <w:pStyle w:val="null3"/>
            </w:pPr>
            <w:r>
              <w:rPr/>
              <w:t>8.▲测序质控:测序有效深度≥300X、Q20＞95%，Q30＞90%，20X&gt;95%</w:t>
            </w:r>
            <w:r>
              <w:rPr>
                <w:b/>
              </w:rPr>
              <w:t>（提供报告单复印件并加盖公章）</w:t>
            </w:r>
          </w:p>
          <w:p>
            <w:pPr>
              <w:pStyle w:val="null3"/>
            </w:pPr>
            <w:r>
              <w:rPr/>
              <w:t>9.检测探针：DNA双链探针</w:t>
            </w:r>
          </w:p>
          <w:p>
            <w:pPr>
              <w:pStyle w:val="null3"/>
            </w:pPr>
            <w:r>
              <w:rPr/>
              <w:t>（十七）</w:t>
            </w:r>
            <w:r>
              <w:rPr/>
              <w:t>指定基因外显子缺失</w:t>
            </w:r>
            <w:r>
              <w:rPr/>
              <w:t>/重复检测</w:t>
            </w:r>
          </w:p>
          <w:p>
            <w:pPr>
              <w:pStyle w:val="null3"/>
            </w:pPr>
            <w:r>
              <w:rPr/>
              <w:t>1.▲检测内容：检测以下基因外显子缺失或重复，包括但不仅限于：PMP22、DMD、NF1、NF2、TSC1、TSC2、MECP2、PAH、OTC、ATP7B、PLP1、CASR、FANCA、GCH1、SLC26A4、NF2、F8、TCOF1、RB1、HBA1,HBA2、KRIT1、CCM2、PDCD10、PKD1、LDLR、PAX6、FH、HNF1B、STS、GNAS、CFTR、SCN1A、COL4A5等</w:t>
            </w:r>
            <w:r>
              <w:rPr>
                <w:b/>
              </w:rPr>
              <w:t>（提供宣传折页或报告单证明项目检测内容，并加盖公章）</w:t>
            </w:r>
          </w:p>
          <w:p>
            <w:pPr>
              <w:pStyle w:val="null3"/>
            </w:pPr>
            <w:r>
              <w:rPr/>
              <w:t>2.检测技术:MLPA</w:t>
            </w:r>
          </w:p>
          <w:p>
            <w:pPr>
              <w:pStyle w:val="null3"/>
            </w:pPr>
            <w:r>
              <w:rPr/>
              <w:t>3.报告周期:20个自然日（自收到样本起算）</w:t>
            </w:r>
          </w:p>
          <w:p>
            <w:pPr>
              <w:pStyle w:val="null3"/>
            </w:pPr>
            <w:r>
              <w:rPr/>
              <w:t>4.样本类型:外周血、口腔拭子</w:t>
            </w:r>
          </w:p>
          <w:p>
            <w:pPr>
              <w:pStyle w:val="null3"/>
            </w:pPr>
            <w:r>
              <w:rPr/>
              <w:t>5.检测突变类型:外显子缺失/重复</w:t>
            </w:r>
          </w:p>
          <w:p>
            <w:pPr>
              <w:pStyle w:val="null3"/>
            </w:pPr>
            <w:r>
              <w:rPr/>
              <w:t>6.报告解读:报告结果需按照ACMG指南对检出的外显子拷贝数突变进行致病性判断</w:t>
            </w:r>
            <w:r>
              <w:rPr/>
              <w:t>，</w:t>
            </w:r>
            <w:r>
              <w:rPr/>
              <w:t>满足遗传罕见患者诊断治疗需求，覆盖检测指南共识推荐，</w:t>
            </w:r>
            <w:r>
              <w:rPr/>
              <w:t>OMIM/HGMD等数据库收录的疾病相关基因，检测结果包含覆盖范围内的拷贝数变异</w:t>
            </w:r>
            <w:r>
              <w:rPr/>
              <w:t>。</w:t>
            </w:r>
          </w:p>
          <w:p>
            <w:pPr>
              <w:pStyle w:val="null3"/>
            </w:pPr>
            <w:r>
              <w:rPr/>
              <w:t>（十八）</w:t>
            </w:r>
            <w:r>
              <w:rPr/>
              <w:t>指定基因重复序列动态突变检测</w:t>
            </w:r>
          </w:p>
          <w:p>
            <w:pPr>
              <w:pStyle w:val="null3"/>
            </w:pPr>
            <w:r>
              <w:rPr/>
              <w:t>1.▲检测内容：检测以下疾病或基因的重复序列动态突变包括但不仅限于以下疾病：强直性肌营养不良1型、肯尼迪病（KD/SBMA)、亨廷顿舞蹈症、X染色体失活检测、脊髓小脑共济失调动态突变（检测ATXN1，ATXN2，ATXN3，CACNA1A，ATXN7，ATXN8OS/ATXN8，PPP2R2B，TBP，ATN1，FXN，C9orf72、HTT和THAP11基因）等</w:t>
            </w:r>
            <w:r>
              <w:rPr>
                <w:b/>
              </w:rPr>
              <w:t>（提供宣传折页或报告单证明项目检测内容，并加盖公章）</w:t>
            </w:r>
          </w:p>
          <w:p>
            <w:pPr>
              <w:pStyle w:val="null3"/>
            </w:pPr>
            <w:r>
              <w:rPr/>
              <w:t>2.检测技术:PCR+毛细管电泳</w:t>
            </w:r>
          </w:p>
          <w:p>
            <w:pPr>
              <w:pStyle w:val="null3"/>
            </w:pPr>
            <w:r>
              <w:rPr/>
              <w:t>3.报告周期:20个自然日（自收到样本起算）</w:t>
            </w:r>
          </w:p>
          <w:p>
            <w:pPr>
              <w:pStyle w:val="null3"/>
            </w:pPr>
            <w:r>
              <w:rPr/>
              <w:t>4.样本类型:外周血、口腔拭子</w:t>
            </w:r>
          </w:p>
          <w:p>
            <w:pPr>
              <w:pStyle w:val="null3"/>
            </w:pPr>
            <w:r>
              <w:rPr/>
              <w:t>5.检测突变类型:重复序列动态突变</w:t>
            </w:r>
          </w:p>
          <w:p>
            <w:pPr>
              <w:pStyle w:val="null3"/>
              <w:jc w:val="both"/>
            </w:pPr>
            <w:r>
              <w:rPr>
                <w:sz w:val="20"/>
              </w:rPr>
              <w:t>6.报告解读:报告结果需按照ACMG指南参考值对检出的突变判断</w:t>
            </w:r>
            <w:r>
              <w:rPr>
                <w:sz w:val="20"/>
              </w:rPr>
              <w:t>。</w:t>
            </w:r>
            <w:r>
              <w:rPr>
                <w:sz w:val="20"/>
              </w:rPr>
              <w:t>满足遗传罕见患者诊断治疗需求，覆盖检测指南共识推荐，</w:t>
            </w:r>
            <w:r>
              <w:rPr>
                <w:sz w:val="20"/>
              </w:rPr>
              <w:t>OMIM/HGMD等数据库收录的疾病相关基因，检测结果包含覆盖范围内的三核苷酸动态突变。</w:t>
            </w:r>
          </w:p>
          <w:p>
            <w:pPr>
              <w:pStyle w:val="null3"/>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4</w:t>
            </w:r>
          </w:p>
        </w:tc>
        <w:tc>
          <w:tcPr>
            <w:tcW w:type="dxa" w:w="5814"/>
          </w:tcPr>
          <w:p>
            <w:pPr>
              <w:pStyle w:val="null3"/>
            </w:pPr>
            <w:r>
              <w:rPr>
                <w:b/>
              </w:rPr>
              <w:t>四、服务质量监督与考核</w:t>
            </w:r>
          </w:p>
          <w:p>
            <w:pPr>
              <w:pStyle w:val="null3"/>
            </w:pPr>
            <w:r>
              <w:rPr/>
              <w:t>1</w:t>
            </w:r>
            <w:r>
              <w:rPr/>
              <w:t>、中标供应商对采购人提出的问题须及时改进，处理率为</w:t>
            </w:r>
            <w:r>
              <w:rPr/>
              <w:t>100%</w:t>
            </w:r>
            <w:r>
              <w:rPr/>
              <w:t>。</w:t>
            </w:r>
          </w:p>
          <w:p>
            <w:pPr>
              <w:pStyle w:val="null3"/>
            </w:pPr>
            <w:r>
              <w:rPr/>
              <w:t>2</w:t>
            </w:r>
            <w:r>
              <w:rPr/>
              <w:t>、采购人将不定期对中标供应商服务质量进行量化考核，规范化管理。若服务考核低于</w:t>
            </w:r>
            <w:r>
              <w:rPr/>
              <w:t>90</w:t>
            </w:r>
            <w:r>
              <w:rPr/>
              <w:t>分的，采购人按该月度服务款项的</w:t>
            </w:r>
            <w:r>
              <w:rPr/>
              <w:t>5%</w:t>
            </w:r>
            <w:r>
              <w:rPr/>
              <w:t>对中标供应商进行扣罚；服务考核低于</w:t>
            </w:r>
            <w:r>
              <w:rPr/>
              <w:t>80</w:t>
            </w:r>
            <w:r>
              <w:rPr/>
              <w:t>分的，采购人按该月度服务款项的</w:t>
            </w:r>
            <w:r>
              <w:rPr/>
              <w:t>10%</w:t>
            </w:r>
            <w:r>
              <w:rPr/>
              <w:t>对中标供应商进行扣罚；如服务考核分数低于</w:t>
            </w:r>
            <w:r>
              <w:rPr/>
              <w:t>60</w:t>
            </w:r>
            <w:r>
              <w:rPr/>
              <w:t>分或若累计两次服务考核低于</w:t>
            </w:r>
            <w:r>
              <w:rPr/>
              <w:t>80</w:t>
            </w:r>
            <w:r>
              <w:rPr/>
              <w:t>分的，采购人提出在一个月内整改后仍不达标，采购人有权提前终止合同而不承担法律责任。</w:t>
            </w:r>
          </w:p>
          <w:p>
            <w:pPr>
              <w:pStyle w:val="null3"/>
            </w:pPr>
            <w:r>
              <w:rPr>
                <w:b/>
              </w:rPr>
              <w:t>中山市博爱医院外送基因测序项目服务考核表</w:t>
            </w:r>
          </w:p>
          <w:tbl>
            <w:tblPr>
              <w:tblBorders>
                <w:top w:val="none" w:color="000000" w:sz="4"/>
                <w:left w:val="none" w:color="000000" w:sz="4"/>
                <w:bottom w:val="none" w:color="000000" w:sz="4"/>
                <w:right w:val="none" w:color="000000" w:sz="4"/>
                <w:insideH w:val="none"/>
                <w:insideV w:val="none"/>
              </w:tblBorders>
            </w:tblPr>
            <w:tblGrid>
              <w:gridCol w:w="420"/>
              <w:gridCol w:w="2157"/>
              <w:gridCol w:w="613"/>
              <w:gridCol w:w="1226"/>
              <w:gridCol w:w="545"/>
              <w:gridCol w:w="636"/>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服务质量标准</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未按采购人指定时间、地点等相关要求收检和运送标本，未能按时发送报告的</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r>
                    <w:rPr>
                      <w:sz w:val="21"/>
                    </w:rPr>
                    <w:t>/</w:t>
                  </w:r>
                  <w:r>
                    <w:rPr>
                      <w:sz w:val="21"/>
                    </w:rPr>
                    <w:t>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人员情况：须按院方要求</w:t>
                  </w:r>
                  <w:r>
                    <w:rPr>
                      <w:sz w:val="21"/>
                    </w:rPr>
                    <w:t>投入</w:t>
                  </w:r>
                  <w:r>
                    <w:rPr>
                      <w:sz w:val="21"/>
                    </w:rPr>
                    <w:t>专业人员，且服务小组成员应保持稳定，做到人员配比合理以保证服务工作的正常进行，</w:t>
                  </w:r>
                  <w:r>
                    <w:rPr>
                      <w:sz w:val="21"/>
                    </w:rPr>
                    <w:t>投入的</w:t>
                  </w:r>
                  <w:r>
                    <w:rPr>
                      <w:sz w:val="21"/>
                    </w:rPr>
                    <w:t>技术人员需要暂时离岗时，须与院方进行协商</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5</w:t>
                  </w:r>
                  <w:r>
                    <w:rPr>
                      <w:sz w:val="21"/>
                    </w:rPr>
                    <w:t>分</w:t>
                  </w:r>
                  <w:r>
                    <w:rPr>
                      <w:sz w:val="21"/>
                    </w:rPr>
                    <w:t>/</w:t>
                  </w:r>
                  <w:r>
                    <w:rPr>
                      <w:sz w:val="21"/>
                    </w:rPr>
                    <w:t>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保密情况：</w:t>
                  </w:r>
                  <w:r>
                    <w:rPr>
                      <w:sz w:val="21"/>
                    </w:rPr>
                    <w:t>①</w:t>
                  </w:r>
                  <w:r>
                    <w:rPr>
                      <w:sz w:val="21"/>
                    </w:rPr>
                    <w:t>不得向医院以外的任何单位或个人泄露院方委托检测的任何信息。</w:t>
                  </w:r>
                  <w:r>
                    <w:rPr>
                      <w:sz w:val="21"/>
                    </w:rPr>
                    <w:t>②</w:t>
                  </w:r>
                  <w:r>
                    <w:rPr>
                      <w:sz w:val="21"/>
                    </w:rPr>
                    <w:t>未经采购人书面同意，投标人不得单方面以任何名义使用采购人及关联方品牌开展任何形式的宣传活动。</w:t>
                  </w:r>
                  <w:r>
                    <w:rPr>
                      <w:sz w:val="21"/>
                    </w:rPr>
                    <w:t>③</w:t>
                  </w:r>
                  <w:r>
                    <w:rPr>
                      <w:sz w:val="21"/>
                    </w:rPr>
                    <w:t>未经过院方同意，投标人不能使用采购人提供的受检者标本发表科研成果。</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20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投标人不得把检测项目送至第三方检验公司或其他医疗机构检测</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20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投诉处理机制</w:t>
                  </w:r>
                  <w:r>
                    <w:rPr>
                      <w:sz w:val="21"/>
                    </w:rPr>
                    <w:t>:</w:t>
                  </w:r>
                  <w:r>
                    <w:rPr>
                      <w:sz w:val="21"/>
                    </w:rPr>
                    <w:t>建立快速的客户服务反应机制，如有投诉或需处理的情况，须按院方要求及时进行沟通处理；如因检测服务发生质量问题，投标人积极处理并承担相应责任</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提供检测结果咨询服务：如果院方对检测结果存在疑问，投标人应能立即响应，并提供院方需要的所有数据，包括原始数据、相关图谱等资料。</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供应商服务质量不能满足采购人需求</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不能满足需求的，扣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得分合计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采购包3（辅助生殖人群相关基因检测）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自合同签订之日起3年，当合同期结束或项目结算金额累计达到采购预算金额时（以先到者为准），该合同自动终止。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按月支付)：支付比例100%，1、采购人按照当地物价部门公布的标准，以实际检验报告发生数和采购人当地物价收费的标准计算所得的检验业务收入（实际检验业务收入=实际检验报告发生数×采购人当地物价收费标准）作为费用结算基数，再以双方约定的结算规则按月计算服务费用，然后进行结算操作。其中未经中标人同意而采购人单方面减免的（采购人漏收、病人逃费等情况）应由采购人负责承担相关的检验费用。结算规则如下： ①各检测项目实际服务费用=各检测项目实际检验业务收入×各检测项目对应的中标折扣率； ②所有检测项目实际服务费用相加所得的金额即为结算金额。 2、中标人于每月5日前提供上月数量和价格，采购人进行核实。如出现差异，应于五个工作日内双方共同复核并确定结算数据，经双方认可和确认数据后方可进行费用结算。 3、根据双方协商，双方按上述统一收费标准进行统计，结算按照标本的产生日期为准。双方每月结算一次，采购人自收到中标人发票起30个工作日内向中标人付款。 4、因采购人使用资金需要经过财务审批程序，采购人在前款规定的付款时间为向财务部门提出办理支付申请手续的时间（不含账务部门、支付部门审核的时间） ，在规定时间内提出支付申请手续后即视为采购人已经按期支付。 5、本项目将对中标人进行不定期考核，并根据考核情况对中标人进行扣罚，具体扣罚如下： （1）若服务考核低于90分的，采购人按该月度服务款项的5%对中标人进行扣罚，即该月的服务费结算金额=该月度服务费用-该月度服务费用×5%； （2）若服务考核低于80分的，采购人按该月度服务款项的10%对中标人进行扣罚，即该月的服务费结算金额=该月度服务费用-该月度服务费用×10%。 6、如因政策影响使拨款未能及时到位的，中标人不得以此为由而不履行(或不完全履行)合同规定的义务。。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 2.验收标准：按招标文件技术要求和合同条款、国家以及采购人有关医疗标本送检规定执行进行验收，在验收时，中标人向采购人提供本项目服务过程资料及总结资料 。 3.采购人可以邀请参加本项目的其他供应商或者第三方专业机构及专家参与验收，相关验收意见作为验收的参考资料。 4.如发现效果与相关要求规定不符，采购人有权拒绝接受。</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一、服务要求，（一）被委托实验室的要求</w:t>
            </w:r>
          </w:p>
        </w:tc>
        <w:tc>
          <w:tcPr>
            <w:tcW w:type="dxa" w:w="2076"/>
          </w:tcPr>
          <w:p>
            <w:pPr>
              <w:pStyle w:val="null3"/>
              <w:jc w:val="left"/>
            </w:pPr>
            <w:r>
              <w:rPr/>
              <w:t>1、投标人实验室符合国家卫计委《医疗机构临床实验室管理办法》等法律法规要求。 2、按采购人指定时间、地点等相关要求收检和运送标本，并及时发送报告。 3、投标人负责免费提供标本采集试管、保存装置等。 4、投标人保证按国家检验规范进行操作，并对标本的检验报告承担相应的责任。 5、投标人有为采购人保密的义务，在未经采购人同意或授权下，投标人不得向采购人以外的任何单位或个人泄露采购人委托检测的任何信息。 6、检测样本、检测数据的所有权、使用权为采购人所有，未经许可不得挪作它用。 7、投标人检测后的剩余标本（如有），由投标人依法处置，投标人按照国家法律法规及相关行业规定的保存期限保存剩余标本（若有）。 8、投标人保证检验结果的公正性，不受任何诱使或压力的干扰。 9、投标人建立快速的客户服务反应机制，如有针对投标人或采购人与投标人双方的投诉或需处理的情况，投标人须在接到采购人通知后4小时内派代表到达医院及时沟通处理；若主要针对采购人的投诉或需处理的情况，投标人有义务协助采购人及时沟通处理。 10、投标人每年定期安排相关的专家与采购人进行学术讲座、学术交流、培训等。 11、投标人应保证其应用到本项目的专利、技术是归其持有的，且享有处分权。 12、双方合作仅限于开展本基因检测服务类范畴的合作。未经对方书面同意，采购人不得单方面以任何名义使用投标人及关联方品牌开展任何形式的宣传活动；投标人亦不得单方面以任何名义使用采购人及关联方品牌开展任何形式的宣传活动。双方如有一方违反规定，守约方保留向违约方追究相应法律责任的权利。 13、投标人如使用采购人提供的受检者标本发表科研成果，需经采购人同意，且采购人有署名权，署名排序按照文章发表时各方的贡献另行协商确定。 14、检测报告须由副高级或以上职称人员审核签发。 15、投标人具备一定的科研能力，主持或以合作单位参与过市级及以上级别科研项目，并能协助采购人进行科研及成果转化。</w:t>
            </w:r>
          </w:p>
        </w:tc>
      </w:tr>
      <w:tr>
        <w:tc>
          <w:tcPr>
            <w:tcW w:type="dxa" w:w="2076"/>
          </w:tcPr>
          <w:p/>
        </w:tc>
        <w:tc>
          <w:tcPr>
            <w:tcW w:type="dxa" w:w="2076"/>
          </w:tcPr>
          <w:p>
            <w:pPr>
              <w:pStyle w:val="null3"/>
              <w:jc w:val="center"/>
            </w:pPr>
            <w:r>
              <w:rPr/>
              <w:t>2</w:t>
            </w:r>
          </w:p>
        </w:tc>
        <w:tc>
          <w:tcPr>
            <w:tcW w:type="dxa" w:w="2076"/>
          </w:tcPr>
          <w:p>
            <w:pPr>
              <w:pStyle w:val="null3"/>
              <w:jc w:val="left"/>
            </w:pPr>
            <w:r>
              <w:rPr/>
              <w:t>一、服务要求，(二)被委托实验室的质量要求</w:t>
            </w:r>
          </w:p>
        </w:tc>
        <w:tc>
          <w:tcPr>
            <w:tcW w:type="dxa" w:w="2076"/>
          </w:tcPr>
          <w:p>
            <w:pPr>
              <w:pStyle w:val="null3"/>
              <w:jc w:val="left"/>
            </w:pPr>
            <w:r>
              <w:rPr/>
              <w:t xml:space="preserve"> 1、投标人对采购人送检的合格样本结果进行负责，对于按照投标人取材要求进行取材的合格样本，若因投标人原因导致检测结果存在质量问题，由投标人承担相关责任。 2、投标人均按日或检测批次对采购人委托项目进行室内质控，按季度提供室内质量控制报表，其内容包括质控检测数据、控制标准、质控分析、失控报告。 3、投标人参加国家卫计委室间质评，每半年提供委托项目的能力验证活动报告，没有能力验证的检验项目应提供与委托方认可的实验室结果一致性的证据。 4、按采购人要求，随时提供质量和技术资料，如更换试剂批号、仪器维修后、检验系统更换后的质控记录和性能验证报告。 5、投标人有专人负责采购人业务及质量、技术、培训等工作。 6、投标人随时接受并妥善安排采购人查阅项目检测、质量控制等情况。 7、若采购人患者对投标人出具的检测结果存有异议，因患者有充足的证据证明投标人所提供的检测结果有误导致采购人赔偿的，经法定的医疗争议解决途径确认采购人损失后，投标人对采购人予以赔偿；或者投标人无法协助采购人证明所出具结果准确性如无法提供按照国家法律法规及相关行业规定的保存期限内留存的标本委托法定的第三方检验、检测机构再次检验等，导致通过法定的医疗争议解决途径，采购人需要向检测患者或近亲属承担赔付责任的，投标人需要全数承担采购人的经济损失。 8、对样本运输的要求： （1）临床科室采集样本后，由委托检测机构派专人到采购人指定地点接收并保证物流运输。 （2）一般标本自接收后24小时内送达委托检测机构，特殊项目具体按双方协商时间为准。 （3）样本运输要求直立、冷藏、封闭，符合《GBT28577-2012 冷链物流分类与基本要求》与生物安全要求，确保运输过程的样品质量和环境安全。 （4）投标人接收后不合格样本率≤1/1000。</w:t>
            </w:r>
          </w:p>
        </w:tc>
      </w:tr>
      <w:tr>
        <w:tc>
          <w:tcPr>
            <w:tcW w:type="dxa" w:w="2076"/>
          </w:tcPr>
          <w:p/>
        </w:tc>
        <w:tc>
          <w:tcPr>
            <w:tcW w:type="dxa" w:w="2076"/>
          </w:tcPr>
          <w:p>
            <w:pPr>
              <w:pStyle w:val="null3"/>
              <w:jc w:val="center"/>
            </w:pPr>
            <w:r>
              <w:rPr/>
              <w:t>3</w:t>
            </w:r>
          </w:p>
        </w:tc>
        <w:tc>
          <w:tcPr>
            <w:tcW w:type="dxa" w:w="2076"/>
          </w:tcPr>
          <w:p>
            <w:pPr>
              <w:pStyle w:val="null3"/>
              <w:jc w:val="left"/>
            </w:pPr>
            <w:r>
              <w:rPr/>
              <w:t>一、服务要求，（三）服务响应</w:t>
            </w:r>
          </w:p>
        </w:tc>
        <w:tc>
          <w:tcPr>
            <w:tcW w:type="dxa" w:w="2076"/>
          </w:tcPr>
          <w:p>
            <w:pPr>
              <w:pStyle w:val="null3"/>
              <w:jc w:val="left"/>
            </w:pPr>
            <w:r>
              <w:rPr/>
              <w:t xml:space="preserve"> 1、投标人建立完善的售后服务团队，可及时提供完善物流网络、技术支持、售后服务和遗传咨询等服务。 2、有明确的样本送检和报告发布时间服务承诺。检测报告需按照投标人提供的《检测项目手册》规定的出报告时间出具。 3、每周提供六次上门收取标本服务，安排专人驻点处理委托检验标本。 4、如投标人检测报告超出约定时间而又未出具书面通知采购人造成恶劣影响的，包括造成医疗纠纷、有群众投诉造成严重后果等情况，投标人应承担相应的经济和法律责任。 5、投标人需提供免费服务电话、网络査询、微信查询等多种渠道供采购人相关临床部门进行业务咨询、报告查询、账单查询统计功能。 6、投标人指定日常联系人，提供专门服务，确保圆满落实各项承保、理赔、防灾防损和培训服务承诺。 7、投标人有客服中心，能满足在线客服及电话客服，满足受检者的业务咨询、投诉处理等需求。</w:t>
            </w:r>
          </w:p>
        </w:tc>
      </w:tr>
      <w:tr>
        <w:tc>
          <w:tcPr>
            <w:tcW w:type="dxa" w:w="2076"/>
          </w:tcPr>
          <w:p/>
        </w:tc>
        <w:tc>
          <w:tcPr>
            <w:tcW w:type="dxa" w:w="2076"/>
          </w:tcPr>
          <w:p>
            <w:pPr>
              <w:pStyle w:val="null3"/>
              <w:jc w:val="center"/>
            </w:pPr>
            <w:r>
              <w:rPr/>
              <w:t>4</w:t>
            </w:r>
          </w:p>
        </w:tc>
        <w:tc>
          <w:tcPr>
            <w:tcW w:type="dxa" w:w="2076"/>
          </w:tcPr>
          <w:p>
            <w:pPr>
              <w:pStyle w:val="null3"/>
              <w:jc w:val="left"/>
            </w:pPr>
            <w:r>
              <w:rPr/>
              <w:t>一、服务要求，（四）对于委托检验项目的要求</w:t>
            </w:r>
          </w:p>
        </w:tc>
        <w:tc>
          <w:tcPr>
            <w:tcW w:type="dxa" w:w="2076"/>
          </w:tcPr>
          <w:p>
            <w:pPr>
              <w:pStyle w:val="null3"/>
              <w:jc w:val="left"/>
            </w:pPr>
            <w:r>
              <w:rPr/>
              <w:t>1、合同期内，采购人的检测实验室能够在院内开展招标的检测项目时，该测序项目可提前终止，采购人不承担任何的违约责任。 2、被委托实验室按采购人要求进行检测，在标本结果出具时限内出具检验报告。</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二、其他要求</w:t>
            </w:r>
          </w:p>
        </w:tc>
        <w:tc>
          <w:tcPr>
            <w:tcW w:type="dxa" w:w="2076"/>
          </w:tcPr>
          <w:p>
            <w:pPr>
              <w:pStyle w:val="null3"/>
              <w:jc w:val="left"/>
            </w:pPr>
            <w:r>
              <w:rPr/>
              <w:t>★1、投标人的实验室获得临床检验中心颁发有效期内的临床基因扩增检验实验室技术审核验收合格的相关证书或批复（投标文件中提供证明文件复印件加盖投标人公章）。 ★2、投标人所有开展的检测项目必须能自主开展，不得送至第三方检验公司或其他医疗机构检测（投标文件中提供承诺函加盖投标人公章）。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二、其他要求</w:t>
            </w:r>
          </w:p>
        </w:tc>
        <w:tc>
          <w:tcPr>
            <w:tcW w:type="dxa" w:w="2076"/>
          </w:tcPr>
          <w:p>
            <w:pPr>
              <w:pStyle w:val="null3"/>
              <w:jc w:val="left"/>
            </w:pPr>
            <w:r>
              <w:rPr/>
              <w:t>3、投标人必须如实提供投标所需证明材料，不得弄虚作假。 4、中标人发生事业单位改革或者公司合并、分立等情况，不能以原机构名义履行合同的，拟继续履约的检验机构应及时以书面方式报告采购人、提供相关证明材料，经采购人审查并报有关部门同意后再决定是否继续履约。 5、根据工作需要，采购人对中标人的承检任务可以适当调整，中标人应当予以支持。 6、本项目需求中未作细化详尽的地方，采购人将在送检开始前制定具体的要求，中标人应遵守执行；当政策法规发生调整或者工作形势发生变更，采购人可以调整有关送检操作要求，中标人应按采购人要求实施。 7、在服务采购期限内，若采购人增加本项目清单外的检验项目，投标人应尽量配合开展，若经双方同意送检的检验项目，按本采购同类项目的中标折扣率结算。</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★三、罚则</w:t>
            </w:r>
          </w:p>
        </w:tc>
        <w:tc>
          <w:tcPr>
            <w:tcW w:type="dxa" w:w="2076"/>
          </w:tcPr>
          <w:p>
            <w:pPr>
              <w:pStyle w:val="null3"/>
              <w:jc w:val="left"/>
            </w:pPr>
            <w:r>
              <w:rPr/>
              <w:t>1、在服务期间，服务人员因为调走、辞职或被中标供应商辞退等原因导致服务人员不足的，而中标供应商在30天内未能及时补齐符合项目要求的服务人员时，则视为中标供应商违约，采购人有权终止合同，并有权拒绝支付因此而产生的项目服务费。 2、因中标供应商安排的服务人员违反采购人内部管理制度、蓄意破坏设备设施、违反工作规程造成重大事故的，一经查实，则视为中标供应商严重违约，采购人有权终止合同，责令中标供应商赔偿损失，情节严重的依法追究中标供应商法律责任。 3、若中标供应商在合同期内违反其服务承诺或本项目合同（包括合同附件）的要求2次或以上的，则视为中标供应商违约，采购人有权单方解除合同并拒绝支付本期项目服务费。 4、服务人员有以下情况之一的，造成采购人安全责任事故的，中标供应商除承担事故处理费用外，视情节还须按中标价支付0.5%-1%的违约金： ①违反采购人单位规章制度、业务规程或工作纪律的； ②严重失职，造成重大安全事故的； ③工作不服从指挥和安排的； ④其他违反法律法规规定情形的。 5、若采购人使用科室核心小组有2/3或以上人数对中标供应商的服务质量不满意的，且使用科室核心小组已对其发出书面通报两次或以上的，经院方领导同意，采购人有权终止合同，并有权拒绝支付剩余未支付的服务费。 6、中标供应商在投标文件中已对本采购文件需求等条款进行响应的，在合同执行过程中，如出现违反其响应文件内容或执行不到位，且采购人已对其发出书面通报两次或以上的，采购人有权终止合同，并有权拒绝支付剩余未支付的服务费。 7、采购人使用科室对中标供应商进行考核，考核标准详见《中山市博爱医院外送基因测序项目考核表》，如考核分数低于60分，或累计两次服务考核低于80分的，采购人提出在一个月内整改后仍不达标，采购人有权提前终止合同而不承担法律责任，未支付的服务费无需支付。 8、如因中标供应商违约导致采购人循法律途径主张权利，由此产生的诉讼费、律师费、差旅费等合理费用均由中标供应商承担。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辅助生殖人群相关基因检测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辅助生殖人群相关基因检测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报价要求</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2367"/>
              <w:gridCol w:w="1544"/>
              <w:gridCol w:w="1219"/>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检测项目名称</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投标折扣率报价上限</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评分权重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仅使用二代测序检测的项目</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仅使用非二代测序检测的项目</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同时使用二代测序和非二代测序检测的项目</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28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平均投标折扣率</w:t>
                  </w:r>
                  <w:r>
                    <w:rPr>
                      <w:sz w:val="21"/>
                    </w:rPr>
                    <w:t>（计算方法：序号</w:t>
                  </w:r>
                  <w:r>
                    <w:rPr>
                      <w:sz w:val="21"/>
                    </w:rPr>
                    <w:t>1</w:t>
                  </w:r>
                  <w:r>
                    <w:rPr>
                      <w:sz w:val="21"/>
                    </w:rPr>
                    <w:t>折扣率×序号</w:t>
                  </w:r>
                  <w:r>
                    <w:rPr>
                      <w:sz w:val="21"/>
                    </w:rPr>
                    <w:t>1</w:t>
                  </w:r>
                  <w:r>
                    <w:rPr>
                      <w:sz w:val="21"/>
                    </w:rPr>
                    <w:t>评分权重</w:t>
                  </w:r>
                  <w:r>
                    <w:rPr>
                      <w:sz w:val="21"/>
                    </w:rPr>
                    <w:t>+</w:t>
                  </w:r>
                  <w:r>
                    <w:rPr>
                      <w:sz w:val="21"/>
                    </w:rPr>
                    <w:t>…</w:t>
                  </w:r>
                  <w:r>
                    <w:rPr>
                      <w:sz w:val="21"/>
                    </w:rPr>
                    <w:t>+</w:t>
                  </w:r>
                  <w:r>
                    <w:rPr>
                      <w:sz w:val="21"/>
                    </w:rPr>
                    <w:t>序号</w:t>
                  </w:r>
                  <w:r>
                    <w:rPr>
                      <w:sz w:val="21"/>
                    </w:rPr>
                    <w:t>3</w:t>
                  </w:r>
                  <w:r>
                    <w:rPr>
                      <w:sz w:val="21"/>
                    </w:rPr>
                    <w:t>折扣率</w:t>
                  </w:r>
                  <w:r>
                    <w:rPr>
                      <w:sz w:val="21"/>
                    </w:rPr>
                    <w:t>×序号</w:t>
                  </w:r>
                  <w:r>
                    <w:rPr>
                      <w:sz w:val="21"/>
                    </w:rPr>
                    <w:t>3</w:t>
                  </w:r>
                  <w:r>
                    <w:rPr>
                      <w:sz w:val="21"/>
                    </w:rPr>
                    <w:t>评分权重）</w:t>
                  </w:r>
                  <w:r>
                    <w:rPr>
                      <w:sz w:val="21"/>
                    </w:rPr>
                    <w:t>报价上限</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r>
                    <w:rPr>
                      <w:sz w:val="21"/>
                    </w:rPr>
                    <w:t>.5%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r>
                    <w:rPr>
                      <w:sz w:val="21"/>
                    </w:rPr>
                    <w:t>100%</w:t>
                  </w:r>
                </w:p>
              </w:tc>
            </w:tr>
          </w:tbl>
          <w:p>
            <w:pPr>
              <w:pStyle w:val="null3"/>
            </w:pPr>
            <w:r>
              <w:rPr>
                <w:sz w:val="21"/>
                <w:b/>
              </w:rPr>
              <w:t>（平均投标折扣率</w:t>
            </w:r>
            <w:r>
              <w:rPr>
                <w:sz w:val="21"/>
                <w:b/>
              </w:rPr>
              <w:t>=</w:t>
            </w:r>
            <w:r>
              <w:rPr>
                <w:sz w:val="21"/>
                <w:b/>
              </w:rPr>
              <w:t>各检测项目报价×各检测项目所占评分权重的相加之和）</w:t>
            </w:r>
          </w:p>
          <w:p>
            <w:pPr>
              <w:pStyle w:val="null3"/>
              <w:jc w:val="both"/>
            </w:pPr>
            <w:r>
              <w:rPr>
                <w:sz w:val="21"/>
              </w:rPr>
              <w:t>注：</w:t>
            </w:r>
          </w:p>
          <w:p>
            <w:pPr>
              <w:pStyle w:val="null3"/>
              <w:jc w:val="both"/>
            </w:pPr>
            <w:r>
              <w:rPr>
                <w:sz w:val="21"/>
                <w:b/>
              </w:rPr>
              <w:t>1</w:t>
            </w:r>
            <w:r>
              <w:rPr>
                <w:sz w:val="21"/>
                <w:b/>
              </w:rPr>
              <w:t>、本采购包投标报价采用折扣率方式进行报价，“序号</w:t>
            </w:r>
            <w:r>
              <w:rPr>
                <w:sz w:val="21"/>
                <w:b/>
              </w:rPr>
              <w:t>1-3</w:t>
            </w:r>
            <w:r>
              <w:rPr>
                <w:sz w:val="21"/>
                <w:b/>
              </w:rPr>
              <w:t>”必须按附件《报价明细表（采购包</w:t>
            </w:r>
            <w:r>
              <w:rPr>
                <w:sz w:val="21"/>
                <w:b/>
              </w:rPr>
              <w:t>3</w:t>
            </w:r>
            <w:r>
              <w:rPr>
                <w:sz w:val="21"/>
                <w:b/>
              </w:rPr>
              <w:t>）》格式全部报价，开标一览表中的投标报价填写平均投标折扣率报价；投标人的投标折扣率报价不得高于投标折扣率报价上限且不能为负数或零，投标折扣率报价不接受区间报价（例如</w:t>
            </w:r>
            <w:r>
              <w:rPr>
                <w:sz w:val="21"/>
                <w:b/>
              </w:rPr>
              <w:t>30%</w:t>
            </w:r>
            <w:r>
              <w:rPr>
                <w:sz w:val="21"/>
                <w:b/>
              </w:rPr>
              <w:t>～</w:t>
            </w:r>
            <w:r>
              <w:rPr>
                <w:sz w:val="21"/>
                <w:b/>
              </w:rPr>
              <w:t>40%</w:t>
            </w:r>
            <w:r>
              <w:rPr>
                <w:sz w:val="21"/>
                <w:b/>
              </w:rPr>
              <w:t>），否则将作无效报价处理，投标人须对全部招标内容进行报价，不允许只对部份内容报价。</w:t>
            </w:r>
          </w:p>
          <w:p>
            <w:pPr>
              <w:pStyle w:val="null3"/>
              <w:jc w:val="both"/>
            </w:pPr>
            <w:r>
              <w:rPr>
                <w:sz w:val="21"/>
              </w:rPr>
              <w:t>2</w:t>
            </w:r>
            <w:r>
              <w:rPr>
                <w:sz w:val="21"/>
              </w:rPr>
              <w:t>、实际合同期内，以各检测项目对应的中标折扣率进行结算。除非另有规定，各检测项目对应的中标折扣率在合同实施期间应保持不变，均不受市场价格及政策性价格的调整而增减。</w:t>
            </w:r>
          </w:p>
          <w:p>
            <w:pPr>
              <w:pStyle w:val="null3"/>
              <w:jc w:val="both"/>
            </w:pPr>
            <w:r>
              <w:rPr>
                <w:sz w:val="21"/>
              </w:rPr>
              <w:t>3</w:t>
            </w:r>
            <w:r>
              <w:rPr>
                <w:sz w:val="21"/>
              </w:rPr>
              <w:t>、结算的单价以中山市医疗保障局公布的《基本医疗服务价格项目目录（</w:t>
            </w:r>
            <w:r>
              <w:rPr>
                <w:sz w:val="21"/>
              </w:rPr>
              <w:t>202</w:t>
            </w:r>
            <w:r>
              <w:rPr>
                <w:sz w:val="21"/>
              </w:rPr>
              <w:t>4</w:t>
            </w:r>
            <w:r>
              <w:rPr>
                <w:sz w:val="21"/>
              </w:rPr>
              <w:t>年版）》为标准（服务期内如有最新物价标准修改的单价收费标准则按最新物价标准执行），如此价格标准以外的送检项目，由中标人提供收费依据，并与采购人协商确定后的价格作为收费标准。</w:t>
            </w:r>
          </w:p>
          <w:p>
            <w:pPr>
              <w:pStyle w:val="null3"/>
              <w:jc w:val="both"/>
            </w:pPr>
            <w:r>
              <w:rPr>
                <w:sz w:val="21"/>
              </w:rPr>
              <w:t>4</w:t>
            </w:r>
            <w:r>
              <w:rPr>
                <w:sz w:val="21"/>
              </w:rPr>
              <w:t>、投标人的报价应包括但不限于检测项目的检测费用、检测标本接收保存运输费用、检测报告输出费用、试剂耗材费、人工费、材料费、设备使用费、各种税务费、必须的辅助材料费及合同实施过程中应预见和合同实施过程中不可预见费用等全部费用。</w:t>
            </w:r>
          </w:p>
          <w:p>
            <w:pPr>
              <w:pStyle w:val="null3"/>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项目明细</w:t>
            </w:r>
          </w:p>
          <w:tbl>
            <w:tblPr>
              <w:tblInd w:type="dxa" w:w="105"/>
              <w:tblBorders>
                <w:top w:val="none" w:color="000000" w:sz="4"/>
                <w:left w:val="none" w:color="000000" w:sz="4"/>
                <w:bottom w:val="none" w:color="000000" w:sz="4"/>
                <w:right w:val="none" w:color="000000" w:sz="4"/>
                <w:insideH w:val="none"/>
                <w:insideV w:val="none"/>
              </w:tblBorders>
            </w:tblPr>
            <w:tblGrid>
              <w:gridCol w:w="1400"/>
              <w:gridCol w:w="813"/>
              <w:gridCol w:w="785"/>
              <w:gridCol w:w="2600"/>
            </w:tblGrid>
            <w:tr>
              <w:tc>
                <w:tcPr>
                  <w:tcW w:type="dxa" w:w="1400"/>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序号</w:t>
                  </w:r>
                </w:p>
              </w:tc>
              <w:tc>
                <w:tcPr>
                  <w:tcW w:type="dxa" w:w="813"/>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项目名称</w:t>
                  </w:r>
                </w:p>
              </w:tc>
              <w:tc>
                <w:tcPr>
                  <w:tcW w:type="dxa" w:w="785"/>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检测方法</w:t>
                  </w:r>
                </w:p>
              </w:tc>
              <w:tc>
                <w:tcPr>
                  <w:tcW w:type="dxa" w:w="2600"/>
                  <w:tcBorders>
                    <w:top w:val="single" w:color="000000" w:sz="4"/>
                    <w:left w:val="single" w:color="000000" w:sz="4"/>
                    <w:bottom w:val="single" w:color="000000" w:sz="4"/>
                    <w:right w:val="single" w:color="000000" w:sz="4"/>
                  </w:tcBorders>
                  <w:shd w:fill="CFCECE"/>
                  <w:tcMar>
                    <w:top w:type="dxa" w:w="0"/>
                    <w:left w:type="dxa" w:w="105"/>
                    <w:bottom w:type="dxa" w:w="0"/>
                    <w:right w:type="dxa" w:w="105"/>
                  </w:tcMar>
                  <w:vAlign w:val="top"/>
                </w:tcPr>
                <w:p>
                  <w:pPr>
                    <w:pStyle w:val="null3"/>
                    <w:jc w:val="center"/>
                  </w:pPr>
                  <w:r>
                    <w:rPr>
                      <w:sz w:val="21"/>
                      <w:b/>
                    </w:rPr>
                    <w:t>简介</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优生优育遗传病筛查</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p>
                  <w:pPr>
                    <w:pStyle w:val="null3"/>
                    <w:jc w:val="center"/>
                  </w:pPr>
                  <w:r>
                    <w:rPr>
                      <w:sz w:val="21"/>
                    </w:rPr>
                    <w:t>qPCR+</w:t>
                  </w:r>
                  <w:r>
                    <w:rPr>
                      <w:sz w:val="21"/>
                    </w:rPr>
                    <w:t>毛细管电泳</w:t>
                  </w:r>
                </w:p>
              </w:tc>
              <w:tc>
                <w:tcPr>
                  <w:tcW w:type="dxa" w:w="2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500</w:t>
                  </w:r>
                  <w:r>
                    <w:rPr>
                      <w:sz w:val="21"/>
                    </w:rPr>
                    <w:t>种以上单基因遗传病相关的基因致病性</w:t>
                  </w:r>
                  <w:r>
                    <w:rPr>
                      <w:sz w:val="21"/>
                    </w:rPr>
                    <w:t>SNV</w:t>
                  </w:r>
                  <w:r>
                    <w:rPr>
                      <w:sz w:val="21"/>
                    </w:rPr>
                    <w:t>及</w:t>
                  </w:r>
                  <w:r>
                    <w:rPr>
                      <w:sz w:val="21"/>
                    </w:rPr>
                    <w:t>InDel</w:t>
                  </w:r>
                  <w:r>
                    <w:rPr>
                      <w:sz w:val="21"/>
                    </w:rPr>
                    <w:t>变异，检测</w:t>
                  </w:r>
                  <w:r>
                    <w:rPr>
                      <w:sz w:val="21"/>
                    </w:rPr>
                    <w:t>HBA1</w:t>
                  </w:r>
                  <w:r>
                    <w:rPr>
                      <w:sz w:val="21"/>
                    </w:rPr>
                    <w:t>、</w:t>
                  </w:r>
                  <w:r>
                    <w:rPr>
                      <w:sz w:val="21"/>
                    </w:rPr>
                    <w:t>HBA2</w:t>
                  </w:r>
                  <w:r>
                    <w:rPr>
                      <w:sz w:val="21"/>
                    </w:rPr>
                    <w:t>、</w:t>
                  </w:r>
                  <w:r>
                    <w:rPr>
                      <w:sz w:val="21"/>
                    </w:rPr>
                    <w:t>F8</w:t>
                  </w:r>
                  <w:r>
                    <w:rPr>
                      <w:sz w:val="21"/>
                    </w:rPr>
                    <w:t>、</w:t>
                  </w:r>
                  <w:r>
                    <w:rPr>
                      <w:sz w:val="21"/>
                    </w:rPr>
                    <w:t>DMD</w:t>
                  </w:r>
                  <w:r>
                    <w:rPr>
                      <w:sz w:val="21"/>
                    </w:rPr>
                    <w:t>、</w:t>
                  </w:r>
                  <w:r>
                    <w:rPr>
                      <w:sz w:val="21"/>
                    </w:rPr>
                    <w:t>FMR1</w:t>
                  </w:r>
                  <w:r>
                    <w:rPr>
                      <w:sz w:val="21"/>
                    </w:rPr>
                    <w:t>、</w:t>
                  </w:r>
                  <w:r>
                    <w:rPr>
                      <w:sz w:val="21"/>
                    </w:rPr>
                    <w:t>SMN1</w:t>
                  </w:r>
                  <w:r>
                    <w:rPr>
                      <w:sz w:val="21"/>
                    </w:rPr>
                    <w:t>和</w:t>
                  </w:r>
                  <w:r>
                    <w:rPr>
                      <w:sz w:val="21"/>
                    </w:rPr>
                    <w:t>CYP21A2</w:t>
                  </w:r>
                  <w:r>
                    <w:rPr>
                      <w:sz w:val="21"/>
                    </w:rPr>
                    <w:t>等基因非</w:t>
                  </w:r>
                  <w:r>
                    <w:rPr>
                      <w:sz w:val="21"/>
                    </w:rPr>
                    <w:t>SNV</w:t>
                  </w:r>
                  <w:r>
                    <w:rPr>
                      <w:sz w:val="21"/>
                    </w:rPr>
                    <w:t>或</w:t>
                  </w:r>
                  <w:r>
                    <w:rPr>
                      <w:sz w:val="21"/>
                    </w:rPr>
                    <w:t>InDel</w:t>
                  </w:r>
                  <w:r>
                    <w:rPr>
                      <w:sz w:val="21"/>
                    </w:rPr>
                    <w:t>变异，检测</w:t>
                  </w:r>
                  <w:r>
                    <w:rPr>
                      <w:sz w:val="21"/>
                    </w:rPr>
                    <w:t>X</w:t>
                  </w:r>
                  <w:r>
                    <w:rPr>
                      <w:sz w:val="21"/>
                    </w:rPr>
                    <w:t>连锁或外显不全致病性拷贝数变异。</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不孕不育综合基因筛查</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tc>
              <w:tc>
                <w:tcPr>
                  <w:tcW w:type="dxa" w:w="2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w:t>
                  </w:r>
                  <w:r>
                    <w:rPr>
                      <w:sz w:val="21"/>
                    </w:rPr>
                    <w:t>500</w:t>
                  </w:r>
                  <w:r>
                    <w:rPr>
                      <w:sz w:val="21"/>
                    </w:rPr>
                    <w:t>种以上单基因遗传病相关的基因致病性</w:t>
                  </w:r>
                  <w:r>
                    <w:rPr>
                      <w:sz w:val="21"/>
                    </w:rPr>
                    <w:t>SNV</w:t>
                  </w:r>
                  <w:r>
                    <w:rPr>
                      <w:sz w:val="21"/>
                    </w:rPr>
                    <w:t>及</w:t>
                  </w:r>
                  <w:r>
                    <w:rPr>
                      <w:sz w:val="21"/>
                    </w:rPr>
                    <w:t>InDel</w:t>
                  </w:r>
                  <w:r>
                    <w:rPr>
                      <w:sz w:val="21"/>
                    </w:rPr>
                    <w:t>变异，检测</w:t>
                  </w:r>
                  <w:r>
                    <w:rPr>
                      <w:sz w:val="21"/>
                    </w:rPr>
                    <w:t>HBA1</w:t>
                  </w:r>
                  <w:r>
                    <w:rPr>
                      <w:sz w:val="21"/>
                    </w:rPr>
                    <w:t>、</w:t>
                  </w:r>
                  <w:r>
                    <w:rPr>
                      <w:sz w:val="21"/>
                    </w:rPr>
                    <w:t>HBA2</w:t>
                  </w:r>
                  <w:r>
                    <w:rPr>
                      <w:sz w:val="21"/>
                    </w:rPr>
                    <w:t>、</w:t>
                  </w:r>
                  <w:r>
                    <w:rPr>
                      <w:sz w:val="21"/>
                    </w:rPr>
                    <w:t>DMD</w:t>
                  </w:r>
                  <w:r>
                    <w:rPr>
                      <w:sz w:val="21"/>
                    </w:rPr>
                    <w:t>、</w:t>
                  </w:r>
                  <w:r>
                    <w:rPr>
                      <w:sz w:val="21"/>
                    </w:rPr>
                    <w:t>SMN1</w:t>
                  </w:r>
                  <w:r>
                    <w:rPr>
                      <w:sz w:val="21"/>
                    </w:rPr>
                    <w:t>和</w:t>
                  </w:r>
                  <w:r>
                    <w:rPr>
                      <w:sz w:val="21"/>
                    </w:rPr>
                    <w:t>CYP21A2</w:t>
                  </w:r>
                  <w:r>
                    <w:rPr>
                      <w:sz w:val="21"/>
                    </w:rPr>
                    <w:t>等基因非</w:t>
                  </w:r>
                  <w:r>
                    <w:rPr>
                      <w:sz w:val="21"/>
                    </w:rPr>
                    <w:t>SNV</w:t>
                  </w:r>
                  <w:r>
                    <w:rPr>
                      <w:sz w:val="21"/>
                    </w:rPr>
                    <w:t>或</w:t>
                  </w:r>
                  <w:r>
                    <w:rPr>
                      <w:sz w:val="21"/>
                    </w:rPr>
                    <w:t>InDel</w:t>
                  </w:r>
                  <w:r>
                    <w:rPr>
                      <w:sz w:val="21"/>
                    </w:rPr>
                    <w:t>变异。同时</w:t>
                  </w:r>
                  <w:r>
                    <w:rPr>
                      <w:sz w:val="21"/>
                    </w:rPr>
                    <w:t>检测精子异常、卵母细胞</w:t>
                  </w:r>
                  <w:r>
                    <w:rPr>
                      <w:sz w:val="21"/>
                    </w:rPr>
                    <w:t>/</w:t>
                  </w:r>
                  <w:r>
                    <w:rPr>
                      <w:sz w:val="21"/>
                    </w:rPr>
                    <w:t>胚胎形成及发育异常、原发性纤毛运动障碍、性器官或性激素发育异常（如两性畸形、尿道下裂、卵巢发育不全、卵巢早衰等）及其他不孕不育相关基因各种致病</w:t>
                  </w:r>
                  <w:r>
                    <w:rPr>
                      <w:sz w:val="21"/>
                    </w:rPr>
                    <w:t>SNV</w:t>
                  </w:r>
                  <w:r>
                    <w:rPr>
                      <w:sz w:val="21"/>
                    </w:rPr>
                    <w:t>及</w:t>
                  </w:r>
                  <w:r>
                    <w:rPr>
                      <w:sz w:val="21"/>
                    </w:rPr>
                    <w:t>InDel</w:t>
                  </w:r>
                  <w:r>
                    <w:rPr>
                      <w:sz w:val="21"/>
                    </w:rPr>
                    <w:t>变异</w:t>
                  </w:r>
                  <w:r>
                    <w:rPr>
                      <w:sz w:val="21"/>
                    </w:rPr>
                    <w:t>。可以对遗传性肿瘤、遗传性心血管系统疾病等进行检测、可以检测叶酸代谢能力基因、易栓症、预测卵巢早衰</w:t>
                  </w:r>
                  <w:r>
                    <w:rPr>
                      <w:sz w:val="21"/>
                    </w:rPr>
                    <w:t>/</w:t>
                  </w:r>
                  <w:r>
                    <w:rPr>
                      <w:sz w:val="21"/>
                    </w:rPr>
                    <w:t>早绝经风险等解读内容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遗传性罕见肿瘤基因检测</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二代测序</w:t>
                  </w:r>
                </w:p>
              </w:tc>
              <w:tc>
                <w:tcPr>
                  <w:tcW w:type="dxa" w:w="2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按不同类型检测包括但不限于以下遗传性肿瘤相关基因</w:t>
                  </w:r>
                  <w:r>
                    <w:rPr>
                      <w:sz w:val="21"/>
                    </w:rPr>
                    <w:t>SNV</w:t>
                  </w:r>
                  <w:r>
                    <w:rPr>
                      <w:sz w:val="21"/>
                    </w:rPr>
                    <w:t>及</w:t>
                  </w:r>
                  <w:r>
                    <w:rPr>
                      <w:sz w:val="21"/>
                    </w:rPr>
                    <w:t>InDel</w:t>
                  </w:r>
                  <w:r>
                    <w:rPr>
                      <w:sz w:val="21"/>
                    </w:rPr>
                    <w:t>变异：</w:t>
                  </w:r>
                  <w:r>
                    <w:rPr>
                      <w:sz w:val="21"/>
                    </w:rPr>
                    <w:t>林奇综合征、</w:t>
                  </w:r>
                  <w:r>
                    <w:rPr>
                      <w:sz w:val="21"/>
                    </w:rPr>
                    <w:t>BRCA1/2</w:t>
                  </w:r>
                  <w:r>
                    <w:rPr>
                      <w:sz w:val="21"/>
                    </w:rPr>
                    <w:t>、遗传性甲状腺癌、遗传性消化道肿瘤、遗传性妇科肿瘤、嗜铬细胞瘤副神经节瘤、遗传性肾肿瘤等</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变异位点</w:t>
                  </w:r>
                  <w:r>
                    <w:rPr>
                      <w:sz w:val="21"/>
                    </w:rPr>
                    <w:t>Sanger</w:t>
                  </w:r>
                  <w:r>
                    <w:rPr>
                      <w:sz w:val="21"/>
                    </w:rPr>
                    <w:t>验证</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p>
                  <w:pPr>
                    <w:pStyle w:val="null3"/>
                    <w:jc w:val="center"/>
                  </w:pPr>
                  <w:r>
                    <w:rPr>
                      <w:sz w:val="21"/>
                    </w:rPr>
                    <w:t>焦磷酸测序</w:t>
                  </w:r>
                </w:p>
              </w:tc>
              <w:tc>
                <w:tcPr>
                  <w:tcW w:type="dxa" w:w="2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w:t>
                  </w:r>
                  <w:r>
                    <w:rPr>
                      <w:sz w:val="21"/>
                    </w:rPr>
                    <w:t>NGS</w:t>
                  </w:r>
                  <w:r>
                    <w:rPr>
                      <w:sz w:val="21"/>
                    </w:rPr>
                    <w:t>发现的基因</w:t>
                  </w:r>
                  <w:r>
                    <w:rPr>
                      <w:sz w:val="21"/>
                    </w:rPr>
                    <w:t>SNV</w:t>
                  </w:r>
                  <w:r>
                    <w:rPr>
                      <w:sz w:val="21"/>
                    </w:rPr>
                    <w:t>及</w:t>
                  </w:r>
                  <w:r>
                    <w:rPr>
                      <w:sz w:val="21"/>
                    </w:rPr>
                    <w:t>InDel</w:t>
                  </w:r>
                  <w:r>
                    <w:rPr>
                      <w:sz w:val="21"/>
                    </w:rPr>
                    <w:t>变异进行</w:t>
                  </w:r>
                  <w:r>
                    <w:rPr>
                      <w:sz w:val="21"/>
                    </w:rPr>
                    <w:t>Sanger</w:t>
                  </w:r>
                  <w:r>
                    <w:rPr>
                      <w:sz w:val="21"/>
                    </w:rPr>
                    <w:t>测序验证或家系验证。</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b/>
              </w:rPr>
              <w:t>三</w:t>
            </w:r>
            <w:r>
              <w:rPr>
                <w:b/>
              </w:rPr>
              <w:t>、重点基因检测项目参数</w:t>
            </w:r>
          </w:p>
          <w:p>
            <w:pPr>
              <w:pStyle w:val="null3"/>
              <w:jc w:val="both"/>
            </w:pPr>
            <w:r>
              <w:rPr>
                <w:sz w:val="20"/>
              </w:rPr>
              <w:t>1.</w:t>
            </w:r>
            <w:r>
              <w:rPr>
                <w:sz w:val="20"/>
              </w:rPr>
              <w:t>优生优育遗传病筛查</w:t>
            </w:r>
          </w:p>
          <w:p>
            <w:pPr>
              <w:pStyle w:val="null3"/>
              <w:jc w:val="both"/>
            </w:pPr>
            <w:r>
              <w:rPr>
                <w:sz w:val="20"/>
              </w:rPr>
              <w:t>1.1</w:t>
            </w:r>
            <w:r>
              <w:rPr>
                <w:sz w:val="20"/>
              </w:rPr>
              <w:t>▲检测项目：检测</w:t>
            </w:r>
            <w:r>
              <w:rPr>
                <w:sz w:val="20"/>
              </w:rPr>
              <w:t>500</w:t>
            </w:r>
            <w:r>
              <w:rPr>
                <w:sz w:val="20"/>
              </w:rPr>
              <w:t>种以上单基因遗传病相关的基因致病性</w:t>
            </w:r>
            <w:r>
              <w:rPr>
                <w:sz w:val="20"/>
              </w:rPr>
              <w:t>SNV</w:t>
            </w:r>
            <w:r>
              <w:rPr>
                <w:sz w:val="20"/>
              </w:rPr>
              <w:t>及</w:t>
            </w:r>
            <w:r>
              <w:rPr>
                <w:sz w:val="20"/>
              </w:rPr>
              <w:t>InDel</w:t>
            </w:r>
            <w:r>
              <w:rPr>
                <w:sz w:val="20"/>
              </w:rPr>
              <w:t>变异，检测</w:t>
            </w:r>
            <w:r>
              <w:rPr>
                <w:sz w:val="20"/>
              </w:rPr>
              <w:t>HBA1</w:t>
            </w:r>
            <w:r>
              <w:rPr>
                <w:sz w:val="20"/>
              </w:rPr>
              <w:t>、</w:t>
            </w:r>
            <w:r>
              <w:rPr>
                <w:sz w:val="20"/>
              </w:rPr>
              <w:t>HBA2</w:t>
            </w:r>
            <w:r>
              <w:rPr>
                <w:sz w:val="20"/>
              </w:rPr>
              <w:t>、</w:t>
            </w:r>
            <w:r>
              <w:rPr>
                <w:sz w:val="20"/>
              </w:rPr>
              <w:t>F8</w:t>
            </w:r>
            <w:r>
              <w:rPr>
                <w:sz w:val="20"/>
              </w:rPr>
              <w:t>、</w:t>
            </w:r>
            <w:r>
              <w:rPr>
                <w:sz w:val="20"/>
              </w:rPr>
              <w:t>DMD</w:t>
            </w:r>
            <w:r>
              <w:rPr>
                <w:sz w:val="20"/>
              </w:rPr>
              <w:t>、</w:t>
            </w:r>
            <w:r>
              <w:rPr>
                <w:sz w:val="20"/>
              </w:rPr>
              <w:t>FMR1</w:t>
            </w:r>
            <w:r>
              <w:rPr>
                <w:sz w:val="20"/>
              </w:rPr>
              <w:t>、</w:t>
            </w:r>
            <w:r>
              <w:rPr>
                <w:sz w:val="20"/>
              </w:rPr>
              <w:t>SMN1</w:t>
            </w:r>
            <w:r>
              <w:rPr>
                <w:sz w:val="20"/>
              </w:rPr>
              <w:t>和</w:t>
            </w:r>
            <w:r>
              <w:rPr>
                <w:sz w:val="20"/>
              </w:rPr>
              <w:t>CYP21A2</w:t>
            </w:r>
            <w:r>
              <w:rPr>
                <w:sz w:val="20"/>
              </w:rPr>
              <w:t>等基因非</w:t>
            </w:r>
            <w:r>
              <w:rPr>
                <w:sz w:val="20"/>
              </w:rPr>
              <w:t>SNV</w:t>
            </w:r>
            <w:r>
              <w:rPr>
                <w:sz w:val="20"/>
              </w:rPr>
              <w:t>或</w:t>
            </w:r>
            <w:r>
              <w:rPr>
                <w:sz w:val="20"/>
              </w:rPr>
              <w:t>InDel</w:t>
            </w:r>
            <w:r>
              <w:rPr>
                <w:sz w:val="20"/>
              </w:rPr>
              <w:t>变异，检测</w:t>
            </w:r>
            <w:r>
              <w:rPr>
                <w:sz w:val="20"/>
              </w:rPr>
              <w:t>X</w:t>
            </w:r>
            <w:r>
              <w:rPr>
                <w:sz w:val="20"/>
              </w:rPr>
              <w:t>连锁或外显不全致病性拷贝数变异。</w:t>
            </w:r>
          </w:p>
          <w:p>
            <w:pPr>
              <w:pStyle w:val="null3"/>
              <w:jc w:val="both"/>
            </w:pPr>
            <w:r>
              <w:rPr>
                <w:sz w:val="20"/>
              </w:rPr>
              <w:t>1.2</w:t>
            </w:r>
            <w:r>
              <w:rPr>
                <w:sz w:val="20"/>
              </w:rPr>
              <w:t>样本要求：外周血；</w:t>
            </w:r>
          </w:p>
          <w:p>
            <w:pPr>
              <w:pStyle w:val="null3"/>
              <w:jc w:val="both"/>
            </w:pPr>
            <w:r>
              <w:rPr>
                <w:sz w:val="20"/>
              </w:rPr>
              <w:t>1.3</w:t>
            </w:r>
            <w:r>
              <w:rPr>
                <w:sz w:val="20"/>
              </w:rPr>
              <w:t>检测方式：医学外显子捕获</w:t>
            </w:r>
            <w:r>
              <w:rPr>
                <w:sz w:val="20"/>
              </w:rPr>
              <w:t>+NGS</w:t>
            </w:r>
            <w:r>
              <w:rPr>
                <w:sz w:val="20"/>
              </w:rPr>
              <w:t>，</w:t>
            </w:r>
            <w:r>
              <w:rPr>
                <w:sz w:val="20"/>
              </w:rPr>
              <w:t>qPCR+</w:t>
            </w:r>
            <w:r>
              <w:rPr>
                <w:sz w:val="20"/>
              </w:rPr>
              <w:t>毛细管电泳；</w:t>
            </w:r>
          </w:p>
          <w:p>
            <w:pPr>
              <w:pStyle w:val="null3"/>
              <w:jc w:val="both"/>
            </w:pPr>
            <w:r>
              <w:rPr>
                <w:sz w:val="20"/>
              </w:rPr>
              <w:t>1.4</w:t>
            </w:r>
            <w:r>
              <w:rPr>
                <w:sz w:val="20"/>
              </w:rPr>
              <w:t>检测周期：收到样本开始不超过</w:t>
            </w:r>
            <w:r>
              <w:rPr>
                <w:sz w:val="20"/>
              </w:rPr>
              <w:t>18</w:t>
            </w:r>
            <w:r>
              <w:rPr>
                <w:sz w:val="20"/>
              </w:rPr>
              <w:t>个自然日内完成检测；</w:t>
            </w:r>
          </w:p>
          <w:p>
            <w:pPr>
              <w:pStyle w:val="null3"/>
              <w:jc w:val="both"/>
            </w:pPr>
            <w:r>
              <w:rPr>
                <w:sz w:val="20"/>
              </w:rPr>
              <w:t>1.5</w:t>
            </w:r>
            <w:r>
              <w:rPr>
                <w:sz w:val="20"/>
              </w:rPr>
              <w:t>保险服务：针对假阴性有全面的保险方案；</w:t>
            </w:r>
          </w:p>
          <w:p>
            <w:pPr>
              <w:pStyle w:val="null3"/>
              <w:jc w:val="both"/>
            </w:pPr>
            <w:r>
              <w:rPr>
                <w:sz w:val="20"/>
              </w:rPr>
              <w:t>2.</w:t>
            </w:r>
            <w:r>
              <w:rPr>
                <w:sz w:val="20"/>
              </w:rPr>
              <w:t>不孕不育综合基因筛查</w:t>
            </w:r>
          </w:p>
          <w:p>
            <w:pPr>
              <w:pStyle w:val="null3"/>
              <w:jc w:val="both"/>
            </w:pPr>
            <w:r>
              <w:rPr>
                <w:sz w:val="20"/>
              </w:rPr>
              <w:t>2.1</w:t>
            </w:r>
            <w:r>
              <w:rPr>
                <w:sz w:val="20"/>
              </w:rPr>
              <w:t>▲检测内容：检测</w:t>
            </w:r>
            <w:r>
              <w:rPr>
                <w:sz w:val="20"/>
              </w:rPr>
              <w:t>500</w:t>
            </w:r>
            <w:r>
              <w:rPr>
                <w:sz w:val="20"/>
              </w:rPr>
              <w:t>种以上单基因遗传病相关的基因致病性</w:t>
            </w:r>
            <w:r>
              <w:rPr>
                <w:sz w:val="20"/>
              </w:rPr>
              <w:t>SNV</w:t>
            </w:r>
            <w:r>
              <w:rPr>
                <w:sz w:val="20"/>
              </w:rPr>
              <w:t>及</w:t>
            </w:r>
            <w:r>
              <w:rPr>
                <w:sz w:val="20"/>
              </w:rPr>
              <w:t>InDel</w:t>
            </w:r>
            <w:r>
              <w:rPr>
                <w:sz w:val="20"/>
              </w:rPr>
              <w:t>变异，检测</w:t>
            </w:r>
            <w:r>
              <w:rPr>
                <w:sz w:val="20"/>
              </w:rPr>
              <w:t>HBA1</w:t>
            </w:r>
            <w:r>
              <w:rPr>
                <w:sz w:val="20"/>
              </w:rPr>
              <w:t>、</w:t>
            </w:r>
            <w:r>
              <w:rPr>
                <w:sz w:val="20"/>
              </w:rPr>
              <w:t>HBA2</w:t>
            </w:r>
            <w:r>
              <w:rPr>
                <w:sz w:val="20"/>
              </w:rPr>
              <w:t>、</w:t>
            </w:r>
            <w:r>
              <w:rPr>
                <w:sz w:val="20"/>
              </w:rPr>
              <w:t>DMD</w:t>
            </w:r>
            <w:r>
              <w:rPr>
                <w:sz w:val="20"/>
              </w:rPr>
              <w:t>、</w:t>
            </w:r>
            <w:r>
              <w:rPr>
                <w:sz w:val="20"/>
              </w:rPr>
              <w:t>SMN1</w:t>
            </w:r>
            <w:r>
              <w:rPr>
                <w:sz w:val="20"/>
              </w:rPr>
              <w:t>和</w:t>
            </w:r>
            <w:r>
              <w:rPr>
                <w:sz w:val="20"/>
              </w:rPr>
              <w:t>CYP21A2</w:t>
            </w:r>
            <w:r>
              <w:rPr>
                <w:sz w:val="20"/>
              </w:rPr>
              <w:t>等基因非</w:t>
            </w:r>
            <w:r>
              <w:rPr>
                <w:sz w:val="20"/>
              </w:rPr>
              <w:t>SNV</w:t>
            </w:r>
            <w:r>
              <w:rPr>
                <w:sz w:val="20"/>
              </w:rPr>
              <w:t>或</w:t>
            </w:r>
            <w:r>
              <w:rPr>
                <w:sz w:val="20"/>
              </w:rPr>
              <w:t>InDel</w:t>
            </w:r>
            <w:r>
              <w:rPr>
                <w:sz w:val="20"/>
              </w:rPr>
              <w:t>变异。同时检测精子异常、卵母细胞</w:t>
            </w:r>
            <w:r>
              <w:rPr>
                <w:sz w:val="20"/>
              </w:rPr>
              <w:t>/</w:t>
            </w:r>
            <w:r>
              <w:rPr>
                <w:sz w:val="20"/>
              </w:rPr>
              <w:t>胚胎形成及发育异常、原发性纤毛运动障碍、性器官或性激素发育异常（如两性畸形、尿道下裂、卵巢发育不全、卵巢早衰等）及其他不孕不育相关基因各种致病变异。可以对遗传性肿瘤、遗传性心血管系统疾病进行检测、可以检测叶酸代谢能力基因、易栓症、预测卵巢早衰</w:t>
            </w:r>
            <w:r>
              <w:rPr>
                <w:sz w:val="20"/>
              </w:rPr>
              <w:t>/</w:t>
            </w:r>
            <w:r>
              <w:rPr>
                <w:sz w:val="20"/>
              </w:rPr>
              <w:t>早绝经风险等解读内容。</w:t>
            </w:r>
          </w:p>
          <w:p>
            <w:pPr>
              <w:pStyle w:val="null3"/>
              <w:jc w:val="both"/>
            </w:pPr>
            <w:r>
              <w:rPr>
                <w:sz w:val="20"/>
              </w:rPr>
              <w:t>2.2</w:t>
            </w:r>
            <w:r>
              <w:rPr>
                <w:sz w:val="20"/>
              </w:rPr>
              <w:t>样本要求：外周血</w:t>
            </w:r>
            <w:r>
              <w:rPr>
                <w:sz w:val="20"/>
              </w:rPr>
              <w:t>5ml</w:t>
            </w:r>
            <w:r>
              <w:rPr>
                <w:sz w:val="20"/>
              </w:rPr>
              <w:t>；</w:t>
            </w:r>
          </w:p>
          <w:p>
            <w:pPr>
              <w:pStyle w:val="null3"/>
              <w:jc w:val="both"/>
            </w:pPr>
            <w:r>
              <w:rPr>
                <w:sz w:val="20"/>
              </w:rPr>
              <w:t>2.3</w:t>
            </w:r>
            <w:r>
              <w:rPr>
                <w:sz w:val="20"/>
              </w:rPr>
              <w:t>检测方式：</w:t>
            </w:r>
            <w:r>
              <w:rPr>
                <w:sz w:val="20"/>
              </w:rPr>
              <w:t>WES</w:t>
            </w:r>
            <w:r>
              <w:rPr>
                <w:sz w:val="20"/>
              </w:rPr>
              <w:t>全外显子捕获测序；</w:t>
            </w:r>
          </w:p>
          <w:p>
            <w:pPr>
              <w:pStyle w:val="null3"/>
              <w:jc w:val="both"/>
            </w:pPr>
            <w:r>
              <w:rPr>
                <w:sz w:val="20"/>
              </w:rPr>
              <w:t>2.4</w:t>
            </w:r>
            <w:r>
              <w:rPr>
                <w:sz w:val="20"/>
              </w:rPr>
              <w:t>检测周期：收到样本开始不超过</w:t>
            </w:r>
            <w:r>
              <w:rPr>
                <w:sz w:val="20"/>
              </w:rPr>
              <w:t>18</w:t>
            </w:r>
            <w:r>
              <w:rPr>
                <w:sz w:val="20"/>
              </w:rPr>
              <w:t>个自然日内完成检测；</w:t>
            </w:r>
          </w:p>
          <w:p>
            <w:pPr>
              <w:pStyle w:val="null3"/>
              <w:jc w:val="both"/>
            </w:pPr>
            <w:r>
              <w:rPr>
                <w:sz w:val="20"/>
              </w:rPr>
              <w:t>2.5</w:t>
            </w:r>
            <w:r>
              <w:rPr>
                <w:sz w:val="20"/>
              </w:rPr>
              <w:t>特殊变异检测能力：除常规</w:t>
            </w:r>
            <w:r>
              <w:rPr>
                <w:sz w:val="20"/>
              </w:rPr>
              <w:t>SNV/INDEL</w:t>
            </w:r>
            <w:r>
              <w:rPr>
                <w:sz w:val="20"/>
              </w:rPr>
              <w:t>变异检测之外，可针对特殊基因进行检测，包括不限于以下变异：</w:t>
            </w:r>
          </w:p>
          <w:p>
            <w:pPr>
              <w:pStyle w:val="null3"/>
              <w:jc w:val="both"/>
            </w:pPr>
            <w:r>
              <w:rPr>
                <w:sz w:val="20"/>
              </w:rPr>
              <w:t>2.5.1</w:t>
            </w:r>
            <w:r>
              <w:rPr>
                <w:sz w:val="21"/>
              </w:rPr>
              <w:t xml:space="preserve"> </w:t>
            </w:r>
            <w:r>
              <w:rPr>
                <w:sz w:val="20"/>
              </w:rPr>
              <w:t>对地中海贫血</w:t>
            </w:r>
            <w:r>
              <w:rPr>
                <w:sz w:val="20"/>
              </w:rPr>
              <w:t>HBA1/HBA2</w:t>
            </w:r>
            <w:r>
              <w:rPr>
                <w:sz w:val="20"/>
              </w:rPr>
              <w:t>基因的</w:t>
            </w:r>
            <w:r>
              <w:rPr>
                <w:sz w:val="20"/>
              </w:rPr>
              <w:t>--SEA</w:t>
            </w:r>
            <w:r>
              <w:rPr>
                <w:sz w:val="20"/>
              </w:rPr>
              <w:t>缺失变异，</w:t>
            </w:r>
            <w:r>
              <w:rPr>
                <w:sz w:val="20"/>
              </w:rPr>
              <w:t>-</w:t>
            </w:r>
            <w:r>
              <w:rPr>
                <w:sz w:val="20"/>
              </w:rPr>
              <w:t>α</w:t>
            </w:r>
            <w:r>
              <w:rPr>
                <w:sz w:val="20"/>
              </w:rPr>
              <w:t>3.7</w:t>
            </w:r>
            <w:r>
              <w:rPr>
                <w:sz w:val="20"/>
              </w:rPr>
              <w:t>缺失变异，</w:t>
            </w:r>
            <w:r>
              <w:rPr>
                <w:sz w:val="20"/>
              </w:rPr>
              <w:t>-</w:t>
            </w:r>
            <w:r>
              <w:rPr>
                <w:sz w:val="20"/>
              </w:rPr>
              <w:t>α</w:t>
            </w:r>
            <w:r>
              <w:rPr>
                <w:sz w:val="20"/>
              </w:rPr>
              <w:t>4.2</w:t>
            </w:r>
            <w:r>
              <w:rPr>
                <w:sz w:val="20"/>
              </w:rPr>
              <w:t>缺失变异，</w:t>
            </w:r>
            <w:r>
              <w:rPr>
                <w:sz w:val="20"/>
              </w:rPr>
              <w:t>--THAI</w:t>
            </w:r>
            <w:r>
              <w:rPr>
                <w:sz w:val="20"/>
              </w:rPr>
              <w:t>缺失变异，</w:t>
            </w:r>
            <w:r>
              <w:rPr>
                <w:sz w:val="20"/>
              </w:rPr>
              <w:t>-</w:t>
            </w:r>
            <w:r>
              <w:rPr>
                <w:sz w:val="20"/>
              </w:rPr>
              <w:t>α</w:t>
            </w:r>
            <w:r>
              <w:rPr>
                <w:sz w:val="20"/>
              </w:rPr>
              <w:t>2.4</w:t>
            </w:r>
            <w:r>
              <w:rPr>
                <w:sz w:val="20"/>
              </w:rPr>
              <w:t>缺失变异，</w:t>
            </w:r>
            <w:r>
              <w:rPr>
                <w:sz w:val="20"/>
              </w:rPr>
              <w:t>--FIL</w:t>
            </w:r>
            <w:r>
              <w:rPr>
                <w:sz w:val="20"/>
              </w:rPr>
              <w:t>缺失变异，</w:t>
            </w:r>
            <w:r>
              <w:rPr>
                <w:sz w:val="20"/>
              </w:rPr>
              <w:t>--MED</w:t>
            </w:r>
            <w:r>
              <w:rPr>
                <w:sz w:val="20"/>
              </w:rPr>
              <w:t>缺失变异，</w:t>
            </w:r>
            <w:r>
              <w:rPr>
                <w:sz w:val="20"/>
              </w:rPr>
              <w:t>--20.5</w:t>
            </w:r>
            <w:r>
              <w:rPr>
                <w:sz w:val="20"/>
              </w:rPr>
              <w:t>缺失变异等、其它大片段缺失变异进行精准检测；</w:t>
            </w:r>
          </w:p>
          <w:p>
            <w:pPr>
              <w:pStyle w:val="null3"/>
              <w:jc w:val="both"/>
            </w:pPr>
            <w:r>
              <w:rPr>
                <w:sz w:val="20"/>
              </w:rPr>
              <w:t>2.5.2</w:t>
            </w:r>
            <w:r>
              <w:rPr>
                <w:sz w:val="21"/>
              </w:rPr>
              <w:t xml:space="preserve"> </w:t>
            </w:r>
            <w:r>
              <w:rPr>
                <w:sz w:val="20"/>
              </w:rPr>
              <w:t>对</w:t>
            </w:r>
            <w:r>
              <w:rPr>
                <w:sz w:val="20"/>
              </w:rPr>
              <w:t>DMD</w:t>
            </w:r>
            <w:r>
              <w:rPr>
                <w:sz w:val="20"/>
              </w:rPr>
              <w:t>外显子缺失重复及大片段缺失重复做精准检测（≥</w:t>
            </w:r>
            <w:r>
              <w:rPr>
                <w:sz w:val="20"/>
              </w:rPr>
              <w:t>2exon</w:t>
            </w:r>
            <w:r>
              <w:rPr>
                <w:sz w:val="20"/>
              </w:rPr>
              <w:t>）；</w:t>
            </w:r>
          </w:p>
          <w:p>
            <w:pPr>
              <w:pStyle w:val="null3"/>
              <w:jc w:val="both"/>
            </w:pPr>
            <w:r>
              <w:rPr>
                <w:sz w:val="20"/>
              </w:rPr>
              <w:t>2.5.3</w:t>
            </w:r>
            <w:r>
              <w:rPr>
                <w:sz w:val="21"/>
              </w:rPr>
              <w:t xml:space="preserve"> </w:t>
            </w:r>
            <w:r>
              <w:rPr>
                <w:sz w:val="20"/>
              </w:rPr>
              <w:t>可针对脊髓性肌萎缩症</w:t>
            </w:r>
            <w:r>
              <w:rPr>
                <w:sz w:val="20"/>
              </w:rPr>
              <w:t>SMN1</w:t>
            </w:r>
            <w:r>
              <w:rPr>
                <w:sz w:val="20"/>
              </w:rPr>
              <w:t>、</w:t>
            </w:r>
            <w:r>
              <w:rPr>
                <w:sz w:val="20"/>
              </w:rPr>
              <w:t>SMN2</w:t>
            </w:r>
            <w:r>
              <w:rPr>
                <w:sz w:val="20"/>
              </w:rPr>
              <w:t>基因进行拷贝数检测；</w:t>
            </w:r>
          </w:p>
          <w:p>
            <w:pPr>
              <w:pStyle w:val="null3"/>
              <w:jc w:val="both"/>
            </w:pPr>
            <w:r>
              <w:rPr>
                <w:sz w:val="20"/>
              </w:rPr>
              <w:t>2.5.4</w:t>
            </w:r>
            <w:r>
              <w:rPr>
                <w:sz w:val="21"/>
              </w:rPr>
              <w:t xml:space="preserve"> </w:t>
            </w:r>
            <w:r>
              <w:rPr>
                <w:sz w:val="20"/>
              </w:rPr>
              <w:t>可对</w:t>
            </w:r>
            <w:r>
              <w:rPr>
                <w:sz w:val="20"/>
              </w:rPr>
              <w:t>SLC25A13</w:t>
            </w:r>
            <w:r>
              <w:rPr>
                <w:sz w:val="20"/>
              </w:rPr>
              <w:t>基因的</w:t>
            </w:r>
            <w:r>
              <w:rPr>
                <w:sz w:val="20"/>
              </w:rPr>
              <w:t>IVS16 ins3kb</w:t>
            </w:r>
            <w:r>
              <w:rPr>
                <w:sz w:val="20"/>
              </w:rPr>
              <w:t>变异精准检测，</w:t>
            </w:r>
            <w:r>
              <w:rPr>
                <w:sz w:val="20"/>
                <w:b/>
              </w:rPr>
              <w:t>需提供阳性样本的</w:t>
            </w:r>
            <w:r>
              <w:rPr>
                <w:sz w:val="20"/>
                <w:b/>
              </w:rPr>
              <w:t>IGV</w:t>
            </w:r>
            <w:r>
              <w:rPr>
                <w:sz w:val="20"/>
                <w:b/>
              </w:rPr>
              <w:t>截图；</w:t>
            </w:r>
          </w:p>
          <w:p>
            <w:pPr>
              <w:pStyle w:val="null3"/>
              <w:jc w:val="both"/>
            </w:pPr>
            <w:r>
              <w:rPr>
                <w:sz w:val="20"/>
              </w:rPr>
              <w:t>2.5.5</w:t>
            </w:r>
            <w:r>
              <w:rPr>
                <w:sz w:val="21"/>
              </w:rPr>
              <w:t xml:space="preserve"> </w:t>
            </w:r>
            <w:r>
              <w:rPr>
                <w:sz w:val="20"/>
              </w:rPr>
              <w:t>▲可以检测易栓症</w:t>
            </w:r>
            <w:r>
              <w:rPr>
                <w:sz w:val="20"/>
              </w:rPr>
              <w:t>M2</w:t>
            </w:r>
            <w:r>
              <w:rPr>
                <w:sz w:val="20"/>
              </w:rPr>
              <w:t>单体型，</w:t>
            </w:r>
            <w:r>
              <w:rPr>
                <w:sz w:val="20"/>
                <w:b/>
              </w:rPr>
              <w:t>需提供</w:t>
            </w:r>
            <w:r>
              <w:rPr>
                <w:sz w:val="20"/>
                <w:b/>
              </w:rPr>
              <w:t>M2</w:t>
            </w:r>
            <w:r>
              <w:rPr>
                <w:sz w:val="20"/>
                <w:b/>
              </w:rPr>
              <w:t>单体型阳性的</w:t>
            </w:r>
            <w:r>
              <w:rPr>
                <w:sz w:val="20"/>
                <w:b/>
              </w:rPr>
              <w:t xml:space="preserve"> ANXA5 </w:t>
            </w:r>
            <w:r>
              <w:rPr>
                <w:sz w:val="20"/>
                <w:b/>
              </w:rPr>
              <w:t>基因</w:t>
            </w:r>
            <w:r>
              <w:rPr>
                <w:sz w:val="20"/>
                <w:b/>
              </w:rPr>
              <w:t>4</w:t>
            </w:r>
            <w:r>
              <w:rPr>
                <w:sz w:val="20"/>
                <w:b/>
              </w:rPr>
              <w:t>个位点的</w:t>
            </w:r>
            <w:r>
              <w:rPr>
                <w:sz w:val="20"/>
                <w:b/>
              </w:rPr>
              <w:t>IGV</w:t>
            </w:r>
            <w:r>
              <w:rPr>
                <w:sz w:val="20"/>
                <w:b/>
              </w:rPr>
              <w:t>图片等证明材料</w:t>
            </w:r>
            <w:r>
              <w:rPr>
                <w:sz w:val="20"/>
              </w:rPr>
              <w:t>；</w:t>
            </w:r>
          </w:p>
          <w:p>
            <w:pPr>
              <w:pStyle w:val="null3"/>
              <w:jc w:val="both"/>
            </w:pPr>
            <w:r>
              <w:rPr>
                <w:sz w:val="20"/>
              </w:rPr>
              <w:t>2.5.6</w:t>
            </w:r>
            <w:r>
              <w:rPr>
                <w:sz w:val="21"/>
              </w:rPr>
              <w:t xml:space="preserve"> </w:t>
            </w:r>
            <w:r>
              <w:rPr>
                <w:sz w:val="20"/>
              </w:rPr>
              <w:t>▲可准确检测</w:t>
            </w:r>
            <w:r>
              <w:rPr>
                <w:sz w:val="20"/>
              </w:rPr>
              <w:t>PKD1</w:t>
            </w:r>
            <w:r>
              <w:rPr>
                <w:sz w:val="20"/>
              </w:rPr>
              <w:t>假基因区域的变异，</w:t>
            </w:r>
            <w:r>
              <w:rPr>
                <w:sz w:val="20"/>
                <w:b/>
              </w:rPr>
              <w:t>需提供至少</w:t>
            </w:r>
            <w:r>
              <w:rPr>
                <w:sz w:val="20"/>
                <w:b/>
              </w:rPr>
              <w:t>20</w:t>
            </w:r>
            <w:r>
              <w:rPr>
                <w:sz w:val="20"/>
                <w:b/>
              </w:rPr>
              <w:t>种</w:t>
            </w:r>
            <w:r>
              <w:rPr>
                <w:sz w:val="20"/>
                <w:b/>
              </w:rPr>
              <w:t>PKD1</w:t>
            </w:r>
            <w:r>
              <w:rPr>
                <w:sz w:val="20"/>
                <w:b/>
              </w:rPr>
              <w:t>阳性变异的</w:t>
            </w:r>
            <w:r>
              <w:rPr>
                <w:sz w:val="20"/>
                <w:b/>
              </w:rPr>
              <w:t>IGV</w:t>
            </w:r>
            <w:r>
              <w:rPr>
                <w:sz w:val="20"/>
                <w:b/>
              </w:rPr>
              <w:t>图和对应的</w:t>
            </w:r>
            <w:r>
              <w:rPr>
                <w:sz w:val="20"/>
                <w:b/>
              </w:rPr>
              <w:t>sanger</w:t>
            </w:r>
            <w:r>
              <w:rPr>
                <w:sz w:val="20"/>
                <w:b/>
              </w:rPr>
              <w:t>验证图等证明材料</w:t>
            </w:r>
            <w:r>
              <w:rPr>
                <w:sz w:val="20"/>
              </w:rPr>
              <w:t>；</w:t>
            </w:r>
          </w:p>
          <w:p>
            <w:pPr>
              <w:pStyle w:val="null3"/>
              <w:jc w:val="both"/>
            </w:pPr>
            <w:r>
              <w:rPr>
                <w:sz w:val="20"/>
              </w:rPr>
              <w:t>2.5.7</w:t>
            </w:r>
            <w:r>
              <w:rPr>
                <w:sz w:val="21"/>
              </w:rPr>
              <w:t xml:space="preserve"> </w:t>
            </w:r>
            <w:r>
              <w:rPr>
                <w:sz w:val="20"/>
              </w:rPr>
              <w:t>▲可对女性受检者进行卵巢早衰</w:t>
            </w:r>
            <w:r>
              <w:rPr>
                <w:sz w:val="20"/>
              </w:rPr>
              <w:t>/</w:t>
            </w:r>
            <w:r>
              <w:rPr>
                <w:sz w:val="20"/>
              </w:rPr>
              <w:t>早绝经风险预测，</w:t>
            </w:r>
            <w:r>
              <w:rPr>
                <w:sz w:val="20"/>
                <w:b/>
              </w:rPr>
              <w:t>需提供相关论文发表证明材料</w:t>
            </w:r>
            <w:r>
              <w:rPr>
                <w:sz w:val="20"/>
              </w:rPr>
              <w:t>。</w:t>
            </w:r>
          </w:p>
          <w:p>
            <w:pPr>
              <w:pStyle w:val="null3"/>
              <w:jc w:val="both"/>
            </w:pPr>
            <w:r>
              <w:rPr>
                <w:sz w:val="20"/>
              </w:rPr>
              <w:t>2.6</w:t>
            </w:r>
            <w:r>
              <w:rPr>
                <w:sz w:val="20"/>
              </w:rPr>
              <w:t>保险服务：针对携筛基因检测可以提供假阴性保险方案；</w:t>
            </w:r>
          </w:p>
          <w:p>
            <w:pPr>
              <w:pStyle w:val="null3"/>
              <w:jc w:val="both"/>
            </w:pPr>
            <w:r>
              <w:rPr>
                <w:sz w:val="21"/>
              </w:rPr>
              <w:t>3</w:t>
            </w:r>
            <w:r>
              <w:rPr>
                <w:sz w:val="20"/>
              </w:rPr>
              <w:t>.</w:t>
            </w:r>
            <w:r>
              <w:rPr>
                <w:sz w:val="20"/>
              </w:rPr>
              <w:t>遗传性罕见肿瘤基因检测</w:t>
            </w:r>
          </w:p>
          <w:p>
            <w:pPr>
              <w:pStyle w:val="null3"/>
              <w:jc w:val="both"/>
            </w:pPr>
            <w:r>
              <w:rPr>
                <w:sz w:val="20"/>
              </w:rPr>
              <w:t>3.1</w:t>
            </w:r>
            <w:r>
              <w:rPr>
                <w:sz w:val="20"/>
              </w:rPr>
              <w:t>▲检测内容：罕见遗传性肿瘤包括但不限于：遗传性乳腺癌卵巢癌综合征、林奇综合征、遗传性甲状腺癌、遗传性妇科肿瘤、遗传性消化道肿瘤、嗜铬细胞瘤副神经节瘤和遗传性肾肿瘤等相关基因全外显子及与疾病相关的内含子区域，检测基因的点突变和小片段插入缺失突变；</w:t>
            </w:r>
          </w:p>
          <w:p>
            <w:pPr>
              <w:pStyle w:val="null3"/>
              <w:jc w:val="both"/>
            </w:pPr>
            <w:r>
              <w:rPr>
                <w:sz w:val="20"/>
              </w:rPr>
              <w:t>3.2</w:t>
            </w:r>
            <w:r>
              <w:rPr>
                <w:sz w:val="20"/>
              </w:rPr>
              <w:t>样本类型：外周血或</w:t>
            </w:r>
            <w:r>
              <w:rPr>
                <w:sz w:val="20"/>
              </w:rPr>
              <w:t>gDNA</w:t>
            </w:r>
            <w:r>
              <w:rPr>
                <w:sz w:val="20"/>
              </w:rPr>
              <w:t>；</w:t>
            </w:r>
          </w:p>
          <w:p>
            <w:pPr>
              <w:pStyle w:val="null3"/>
              <w:jc w:val="both"/>
            </w:pPr>
            <w:r>
              <w:rPr>
                <w:sz w:val="20"/>
              </w:rPr>
              <w:t>3.3</w:t>
            </w:r>
            <w:r>
              <w:rPr>
                <w:sz w:val="20"/>
              </w:rPr>
              <w:t>检测技术：目标序列捕获</w:t>
            </w:r>
            <w:r>
              <w:rPr>
                <w:sz w:val="20"/>
              </w:rPr>
              <w:t>+</w:t>
            </w:r>
            <w:r>
              <w:rPr>
                <w:sz w:val="20"/>
              </w:rPr>
              <w:t>高通量测序技术；</w:t>
            </w:r>
          </w:p>
          <w:p>
            <w:pPr>
              <w:pStyle w:val="null3"/>
              <w:jc w:val="both"/>
            </w:pPr>
            <w:r>
              <w:rPr>
                <w:sz w:val="20"/>
              </w:rPr>
              <w:t>3.4</w:t>
            </w:r>
            <w:r>
              <w:rPr>
                <w:sz w:val="20"/>
              </w:rPr>
              <w:t>验证方案：针对检出致病性或疑似致病突变的受检者免费进行</w:t>
            </w:r>
            <w:r>
              <w:rPr>
                <w:sz w:val="20"/>
              </w:rPr>
              <w:t>sanger</w:t>
            </w:r>
            <w:r>
              <w:rPr>
                <w:sz w:val="20"/>
              </w:rPr>
              <w:t>验证；</w:t>
            </w:r>
          </w:p>
          <w:p>
            <w:pPr>
              <w:pStyle w:val="null3"/>
              <w:jc w:val="both"/>
            </w:pPr>
            <w:r>
              <w:rPr>
                <w:sz w:val="20"/>
              </w:rPr>
              <w:t>3.5</w:t>
            </w:r>
            <w:r>
              <w:rPr>
                <w:sz w:val="20"/>
              </w:rPr>
              <w:t>▲对检出的可疑变异位点提供成熟稳定的验证方法（包括但不限于</w:t>
            </w:r>
            <w:r>
              <w:rPr>
                <w:sz w:val="20"/>
              </w:rPr>
              <w:t>sanger</w:t>
            </w:r>
            <w:r>
              <w:rPr>
                <w:sz w:val="20"/>
              </w:rPr>
              <w:t>测序、</w:t>
            </w:r>
            <w:r>
              <w:rPr>
                <w:sz w:val="20"/>
              </w:rPr>
              <w:t>MLPA</w:t>
            </w:r>
            <w:r>
              <w:rPr>
                <w:sz w:val="20"/>
              </w:rPr>
              <w:t>、</w:t>
            </w:r>
            <w:r>
              <w:rPr>
                <w:sz w:val="20"/>
              </w:rPr>
              <w:t>qPCR</w:t>
            </w:r>
            <w:r>
              <w:rPr>
                <w:sz w:val="20"/>
              </w:rPr>
              <w:t>、</w:t>
            </w:r>
            <w:r>
              <w:rPr>
                <w:sz w:val="20"/>
              </w:rPr>
              <w:t>RT-PCR</w:t>
            </w:r>
            <w:r>
              <w:rPr>
                <w:sz w:val="20"/>
              </w:rPr>
              <w:t>检测方法）；</w:t>
            </w:r>
          </w:p>
          <w:p>
            <w:pPr>
              <w:pStyle w:val="null3"/>
              <w:jc w:val="both"/>
            </w:pPr>
            <w:r>
              <w:rPr>
                <w:sz w:val="20"/>
              </w:rPr>
              <w:t>3.6</w:t>
            </w:r>
            <w:r>
              <w:rPr>
                <w:sz w:val="20"/>
              </w:rPr>
              <w:t>检测结果与“金标准</w:t>
            </w:r>
            <w:r>
              <w:rPr>
                <w:sz w:val="20"/>
              </w:rPr>
              <w:t xml:space="preserve">"sanger </w:t>
            </w:r>
            <w:r>
              <w:rPr>
                <w:sz w:val="20"/>
              </w:rPr>
              <w:t xml:space="preserve">测序结果一致率 </w:t>
            </w:r>
            <w:r>
              <w:rPr>
                <w:sz w:val="20"/>
              </w:rPr>
              <w:t>100%</w:t>
            </w:r>
            <w:r>
              <w:rPr>
                <w:sz w:val="20"/>
              </w:rPr>
              <w:t>；</w:t>
            </w:r>
          </w:p>
          <w:p>
            <w:pPr>
              <w:pStyle w:val="null3"/>
              <w:jc w:val="both"/>
            </w:pPr>
            <w:r>
              <w:rPr>
                <w:sz w:val="20"/>
              </w:rPr>
              <w:t xml:space="preserve">3.7 </w:t>
            </w:r>
            <w:r>
              <w:rPr>
                <w:sz w:val="20"/>
              </w:rPr>
              <w:t>▲采用国产化基因测序仪且经国家药品监督管理局批准可用于临床检测。</w:t>
            </w:r>
            <w:r>
              <w:rPr>
                <w:sz w:val="20"/>
                <w:b/>
              </w:rPr>
              <w:t>(</w:t>
            </w:r>
            <w:r>
              <w:rPr>
                <w:sz w:val="20"/>
                <w:b/>
              </w:rPr>
              <w:t>提供医疗器械注册证复印件并加盖投标人公章</w:t>
            </w:r>
            <w:r>
              <w:rPr>
                <w:sz w:val="20"/>
                <w:b/>
              </w:rPr>
              <w:t>)</w:t>
            </w:r>
            <w:r>
              <w:rPr>
                <w:sz w:val="20"/>
              </w:rPr>
              <w:t>；</w:t>
            </w:r>
          </w:p>
          <w:p>
            <w:pPr>
              <w:pStyle w:val="null3"/>
              <w:jc w:val="both"/>
            </w:pPr>
            <w:r>
              <w:rPr>
                <w:sz w:val="20"/>
              </w:rPr>
              <w:t>3.8</w:t>
            </w:r>
            <w:r>
              <w:rPr>
                <w:sz w:val="20"/>
              </w:rPr>
              <w:t>▲投标人近三年每年均参与国家卫健委临检中心或省级临检中心组织的实体肿瘤室间质评，并合格通过。</w:t>
            </w:r>
            <w:r>
              <w:rPr>
                <w:sz w:val="20"/>
                <w:b/>
              </w:rPr>
              <w:t>(</w:t>
            </w:r>
            <w:r>
              <w:rPr>
                <w:sz w:val="20"/>
                <w:b/>
              </w:rPr>
              <w:t>提供室间质评合格证书，若投标人成立年限不足三年的，则提供证书时间为从成立起至投标截止时间</w:t>
            </w:r>
            <w:r>
              <w:rPr>
                <w:sz w:val="20"/>
                <w:b/>
              </w:rPr>
              <w:t>)</w:t>
            </w:r>
            <w:r>
              <w:rPr>
                <w:sz w:val="20"/>
              </w:rPr>
              <w:t>；</w:t>
            </w:r>
          </w:p>
          <w:p>
            <w:pPr>
              <w:pStyle w:val="null3"/>
              <w:jc w:val="both"/>
            </w:pPr>
            <w:r>
              <w:rPr>
                <w:sz w:val="20"/>
              </w:rPr>
              <w:t>3.9</w:t>
            </w:r>
            <w:r>
              <w:rPr>
                <w:sz w:val="20"/>
              </w:rPr>
              <w:t>▲根据不同系统的肿瘤可灵活设置不同的基因检测范围。</w:t>
            </w:r>
          </w:p>
          <w:p>
            <w:pPr>
              <w:pStyle w:val="null3"/>
              <w:jc w:val="both"/>
            </w:pPr>
            <w:r>
              <w:rPr/>
              <w:t xml:space="preserve"> </w:t>
            </w:r>
          </w:p>
        </w:tc>
      </w:tr>
      <w:tr>
        <w:tc>
          <w:tcPr>
            <w:tcW w:type="dxa" w:w="2076"/>
          </w:tcPr>
          <w:p/>
        </w:tc>
        <w:tc>
          <w:tcPr>
            <w:tcW w:type="dxa" w:w="415"/>
          </w:tcPr>
          <w:p>
            <w:pPr>
              <w:pStyle w:val="null3"/>
            </w:pPr>
            <w:r>
              <w:rPr/>
              <w:t>4</w:t>
            </w:r>
          </w:p>
        </w:tc>
        <w:tc>
          <w:tcPr>
            <w:tcW w:type="dxa" w:w="5814"/>
          </w:tcPr>
          <w:p>
            <w:pPr>
              <w:pStyle w:val="null3"/>
            </w:pPr>
            <w:r>
              <w:rPr>
                <w:b/>
              </w:rPr>
              <w:t>四、服务质量监督与考核</w:t>
            </w:r>
          </w:p>
          <w:p>
            <w:pPr>
              <w:pStyle w:val="null3"/>
            </w:pPr>
            <w:r>
              <w:rPr/>
              <w:t>1</w:t>
            </w:r>
            <w:r>
              <w:rPr/>
              <w:t>、中标供应商对采购人提出的问题须及时改进，处理率为</w:t>
            </w:r>
            <w:r>
              <w:rPr/>
              <w:t>100%</w:t>
            </w:r>
            <w:r>
              <w:rPr/>
              <w:t>。</w:t>
            </w:r>
          </w:p>
          <w:p>
            <w:pPr>
              <w:pStyle w:val="null3"/>
            </w:pPr>
            <w:r>
              <w:rPr/>
              <w:t>2</w:t>
            </w:r>
            <w:r>
              <w:rPr/>
              <w:t>、采购人将不定期对中标供应商服务质量进行量化考核，规范化管理。若服务考核低于</w:t>
            </w:r>
            <w:r>
              <w:rPr/>
              <w:t>90</w:t>
            </w:r>
            <w:r>
              <w:rPr/>
              <w:t>分的，采购人按该月度服务款项的</w:t>
            </w:r>
            <w:r>
              <w:rPr/>
              <w:t>5%</w:t>
            </w:r>
            <w:r>
              <w:rPr/>
              <w:t>对中标供应商进行扣罚；服务考核低于</w:t>
            </w:r>
            <w:r>
              <w:rPr/>
              <w:t>80</w:t>
            </w:r>
            <w:r>
              <w:rPr/>
              <w:t>分的，采购人按该月度服务款项的</w:t>
            </w:r>
            <w:r>
              <w:rPr/>
              <w:t>10%</w:t>
            </w:r>
            <w:r>
              <w:rPr/>
              <w:t>对中标供应商进行扣罚；如服务考核分数低于</w:t>
            </w:r>
            <w:r>
              <w:rPr/>
              <w:t>60</w:t>
            </w:r>
            <w:r>
              <w:rPr/>
              <w:t>分或若累计两次服务考核低于</w:t>
            </w:r>
            <w:r>
              <w:rPr/>
              <w:t>80</w:t>
            </w:r>
            <w:r>
              <w:rPr/>
              <w:t>分的，采购人提出在一个月内整改后仍不达标，采购人有权提前终止合同而不承担法律责任。</w:t>
            </w:r>
          </w:p>
          <w:p>
            <w:pPr>
              <w:pStyle w:val="null3"/>
            </w:pPr>
            <w:r>
              <w:rPr>
                <w:b/>
              </w:rPr>
              <w:t>中山市博爱医院外送基因测序项目服务考核表</w:t>
            </w:r>
          </w:p>
          <w:tbl>
            <w:tblPr>
              <w:tblBorders>
                <w:top w:val="none" w:color="000000" w:sz="4"/>
                <w:left w:val="none" w:color="000000" w:sz="4"/>
                <w:bottom w:val="none" w:color="000000" w:sz="4"/>
                <w:right w:val="none" w:color="000000" w:sz="4"/>
                <w:insideH w:val="none"/>
                <w:insideV w:val="none"/>
              </w:tblBorders>
            </w:tblPr>
            <w:tblGrid>
              <w:gridCol w:w="420"/>
              <w:gridCol w:w="2157"/>
              <w:gridCol w:w="613"/>
              <w:gridCol w:w="1226"/>
              <w:gridCol w:w="545"/>
              <w:gridCol w:w="636"/>
            </w:tblGrid>
            <w:tr>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服务质量标准</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未按采购人指定时间、地点等相关要求收检和运送标本，未能按时发送报告的</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r>
                    <w:rPr>
                      <w:sz w:val="21"/>
                    </w:rPr>
                    <w:t>/</w:t>
                  </w:r>
                  <w:r>
                    <w:rPr>
                      <w:sz w:val="21"/>
                    </w:rPr>
                    <w:t>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人员情况：须按院方要求</w:t>
                  </w:r>
                  <w:r>
                    <w:rPr>
                      <w:sz w:val="21"/>
                    </w:rPr>
                    <w:t>投入</w:t>
                  </w:r>
                  <w:r>
                    <w:rPr>
                      <w:sz w:val="21"/>
                    </w:rPr>
                    <w:t>专业人员，且服务小组成员应保持稳定，做到人员配比合理以保证服务工作的正常进行，</w:t>
                  </w:r>
                  <w:r>
                    <w:rPr>
                      <w:sz w:val="21"/>
                    </w:rPr>
                    <w:t>投入的</w:t>
                  </w:r>
                  <w:r>
                    <w:rPr>
                      <w:sz w:val="21"/>
                    </w:rPr>
                    <w:t>技术人员需要暂时离岗时，须与院方进行协商</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5</w:t>
                  </w:r>
                  <w:r>
                    <w:rPr>
                      <w:sz w:val="21"/>
                    </w:rPr>
                    <w:t>分</w:t>
                  </w:r>
                  <w:r>
                    <w:rPr>
                      <w:sz w:val="21"/>
                    </w:rPr>
                    <w:t>/</w:t>
                  </w:r>
                  <w:r>
                    <w:rPr>
                      <w:sz w:val="21"/>
                    </w:rPr>
                    <w:t>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保密情况：</w:t>
                  </w:r>
                  <w:r>
                    <w:rPr>
                      <w:sz w:val="21"/>
                    </w:rPr>
                    <w:t>①</w:t>
                  </w:r>
                  <w:r>
                    <w:rPr>
                      <w:sz w:val="21"/>
                    </w:rPr>
                    <w:t>不得向医院以外的任何单位或个人泄露院方委托检测的任何信息。</w:t>
                  </w:r>
                  <w:r>
                    <w:rPr>
                      <w:sz w:val="21"/>
                    </w:rPr>
                    <w:t>②</w:t>
                  </w:r>
                  <w:r>
                    <w:rPr>
                      <w:sz w:val="21"/>
                    </w:rPr>
                    <w:t>未经采购人书面同意，投标人不得单方面以任何名义使用采购人及关联方品牌开展任何形式的宣传活动。</w:t>
                  </w:r>
                  <w:r>
                    <w:rPr>
                      <w:sz w:val="21"/>
                    </w:rPr>
                    <w:t>③</w:t>
                  </w:r>
                  <w:r>
                    <w:rPr>
                      <w:sz w:val="21"/>
                    </w:rPr>
                    <w:t>未经过院方同意，投标人不能使用采购人提供的受检者标本发表科研成果。</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20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投标人不得把检测项目送至第三方检验公司或其他医疗机构检测</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20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投诉处理机制</w:t>
                  </w:r>
                  <w:r>
                    <w:rPr>
                      <w:sz w:val="21"/>
                    </w:rPr>
                    <w:t>:</w:t>
                  </w:r>
                  <w:r>
                    <w:rPr>
                      <w:sz w:val="21"/>
                    </w:rPr>
                    <w:t>建立快速的客户服务反应机制，如有投诉或需处理的情况，须按院方要求及时进行沟通处理；如因检测服务发生质量问题，投标人积极处理并承担相应责任</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提供检测结果咨询服务：如果院方对检测结果存在疑问，投标人应能立即响应，并提供院方需要的所有数据，包括原始数据、相关图谱等资料。</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未按要求执行的，扣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供应商服务质量不能满足采购人需求</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不能满足需求的，扣</w:t>
                  </w:r>
                  <w:r>
                    <w:rPr>
                      <w:sz w:val="21"/>
                    </w:rPr>
                    <w:t>10</w:t>
                  </w:r>
                  <w:r>
                    <w:rPr>
                      <w:sz w:val="21"/>
                    </w:rPr>
                    <w:t>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得分合计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- 36.5%</w:t>
            </w:r>
          </w:p>
          <w:p>
            <w:pPr>
              <w:pStyle w:val="null3"/>
            </w:pPr>
            <w:r>
              <w:rPr/>
              <w:t>采购包2：0% - 42.5%</w:t>
            </w:r>
          </w:p>
          <w:p>
            <w:pPr>
              <w:pStyle w:val="null3"/>
            </w:pPr>
            <w:r>
              <w:rPr/>
              <w:t>采购包3：0% - 42.5%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采购机构代理服务收费标准：(1)本项目以预算金额为基准价，按下列规定按差额定率累进法计算标准的80%收取: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采购包1(外送基因测序)：综合评分法,是指投标文件满足招标文件全部实质性要求，且按照评审因素的量化指标评审得分最高的投标人为中标候选人的评标方法。（最低报价不是中标的唯一依据。）</w:t>
      </w:r>
    </w:p>
    <w:p>
      <w:pPr>
        <w:pStyle w:val="null3"/>
      </w:pPr>
      <w:r>
        <w:rPr/>
        <w:t>采购包2(特殊单基因疾病整体解决方案)：综合评分法,是指投标文件满足招标文件全部实质性要求，且按照评审因素的量化指标评审得分最高的投标人为中标候选人的评标方法。（最低报价不是中标的唯一依据。）</w:t>
      </w:r>
    </w:p>
    <w:p>
      <w:pPr>
        <w:pStyle w:val="null3"/>
      </w:pPr>
      <w:r>
        <w:rPr/>
        <w:t>采购包3(辅助生殖人群相关基因检测)：综合评分法,是指投标文件满足招标文件全部实质性要求，且按照评审因素的量化指标评审得分最高的投标人为中标候选人的评标方法。（最低报价不是中标的唯一依据。）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采购包1（外送基因测序）：</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采购包2（特殊单基因疾病整体解决方案）：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采购包3（辅助生殖人群相关基因检测）：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采购包1（外送基因测序）：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供应商须具备卫生部门核发且在有效期内的《医疗机构执业许可证》，诊疗科目需包含医学检验科（提供有效的证书复印件加盖公章）。（如国家另有规定，则适用其规定）。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采购包2（特殊单基因疾病整体解决方案）：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供应商须具备卫生部门核发且在有效期内的《医疗机构执业许可证》，诊疗科目需包含医学检验科（提供有效的证书复印件加盖公章）。（如国家另有规定，则适用其规定）。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采购包3（辅助生殖人群相关基因检测）：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提供投标截止日前6个月内任意1个月依法缴纳税收和社会保障资金的相关（如依法免税或不需要缴纳社会保障资金的， 提供相应证明材料。）或提供《政府采购供应商资格信用承诺函》。若供应商同时提供资格信用承诺函和证明材料的，资格审查时以证明材料为准。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1月至今任意一个月份财务报表）关键页或由基本开户银行出具的资信证明或政府采购专业担保机构出具的投标担保函或提供《政府采购供应商资格信用承诺函》。）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供应商须具备卫生部门核发且在有效期内的《医疗机构执业许可证》，诊疗科目需包含医学检验科（提供有效的证书复印件加盖公章）。（如国家另有规定，则适用其规定）。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采购包1（外送基因测序）：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投标人的投标折扣率报价不高于投标折扣率报价上限，不为负数或零，不是区间报价，且无重大不合理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pPr>
      <w:r>
        <w:rPr/>
        <w:t>采购包2（特殊单基因疾病整体解决方案）：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投标人的投标折扣率报价不高于投标折扣率报价上限，不为负数或零，不是区间报价，且无重大不合理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pPr>
      <w:r>
        <w:rPr/>
        <w:t>采购包3（辅助生殖人群相关基因检测）：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投标人的投标折扣率报价不高于投标折扣率报价上限，不为负数或零，不是区间报价，且无重大不合理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采购包1(外送基因测序):</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(31.0分)</w:t>
            </w:r>
          </w:p>
        </w:tc>
        <w:tc>
          <w:tcPr>
            <w:tcW w:type="dxa" w:w="5076"/>
          </w:tcPr>
          <w:p>
            <w:pPr>
              <w:pStyle w:val="null3"/>
              <w:jc w:val="left"/>
            </w:pPr>
            <w:r>
              <w:rPr/>
              <w:t>根据投标文件中对采购需求“技术标准与要求”-“二、基因检测项目明细”和“三、重点基因检测项目参数”的条款响应程度进行评审： （1）重要条款（“▲”号条款）响应程度（本项最高得20分）：本项目重要条款共95条，评审分数按以下公式进行计算：优于或完全响应的参数数量/重要条款参数总数量*20=重要条款参数得分（按四舍五入保留两位）； （2）一般条款（非“★”、非“▲”号条款）响应程度（本项最高得11分）：本项目一般条款共260条，评审分数按以下公式进行计算：优于或完全响应的参数数量/一般条款参数总数量*11=一般条款参数得分（按四舍五入保留两位）。 【注：若有要求投标人提供相应佐证材料的，需在投标文件中提供佐证材料并加盖投标人公章。如投标人未提供相应佐证材料或者投标人的响应承诺与其佐证材料不一致的，按负偏离处理。】</w:t>
            </w:r>
          </w:p>
        </w:tc>
      </w:tr>
      <w:tr>
        <w:tc>
          <w:tcPr>
            <w:tcW w:type="dxa" w:w="922"/>
            <w:gridSpan w:val="2"/>
            <w:vMerge/>
          </w:tcPr>
          <w:p/>
        </w:tc>
        <w:tc>
          <w:tcPr>
            <w:tcW w:type="dxa" w:w="2307"/>
          </w:tcPr>
          <w:p>
            <w:pPr>
              <w:pStyle w:val="null3"/>
              <w:jc w:val="left"/>
            </w:pPr>
            <w:r>
              <w:rPr/>
              <w:t>项目实施方案 (8.0分)</w:t>
            </w:r>
            <w:r>
              <w:rPr/>
              <w:t>，（等次分值选择：</w:t>
            </w:r>
            <w:r>
              <w:rPr/>
              <w:t>0.0;</w:t>
            </w:r>
            <w:r>
              <w:rPr/>
              <w:t>1.0;</w:t>
            </w:r>
            <w:r>
              <w:rPr/>
              <w:t>4.0;</w:t>
            </w:r>
            <w:r>
              <w:rPr/>
              <w:t>6.0;</w:t>
            </w:r>
            <w:r>
              <w:rPr/>
              <w:t>8.0;</w:t>
            </w:r>
            <w:r>
              <w:rPr/>
              <w:t>）</w:t>
            </w:r>
          </w:p>
        </w:tc>
        <w:tc>
          <w:tcPr>
            <w:tcW w:type="dxa" w:w="5076"/>
          </w:tcPr>
          <w:p>
            <w:pPr>
              <w:pStyle w:val="null3"/>
              <w:jc w:val="left"/>
            </w:pPr>
            <w:r>
              <w:rPr/>
              <w:t>根据投标人提供的项目实施方案（进度安排、样本采集及运转方案、样本保存、团队配置、检测方案等）进行综合评审： （1）项目组织实施方案完善、进度安排合理、样本采集及运转方案、样本保存、团队配置、检测方案等内容完整、措施严谨完全满足需求，得8分； （2）项目组织实施方案较完善、进度安排交合理、样本采集及运转方案、样本保存、团队配置、检测方案等内容完整、措施较严谨，基本满足采购需求，得6分； （3）项目组织实施方案一般、进度安排合理性一般、样本采集及运转方案、样本保存、团队配置、检测方案等内容一般、措施严谨性一般，部分满足采购需求但不影响项目实施，得4分； （4）项目组织实施方案简单、进度安排合理性较差、样本采集及运转方案、样本保存、团队配置、检测方案等内容简单、措施不严谨，不能满足采购需求，得1分； （5）没有提供方案不得分。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1.0;</w:t>
            </w:r>
            <w:r>
              <w:rPr/>
              <w:t>2.0;</w:t>
            </w:r>
            <w:r>
              <w:rPr/>
              <w:t>4.0;</w:t>
            </w:r>
            <w:r>
              <w:rPr/>
              <w:t>6.0;</w:t>
            </w:r>
            <w:r>
              <w:rPr/>
              <w:t>）</w:t>
            </w:r>
          </w:p>
        </w:tc>
        <w:tc>
          <w:tcPr>
            <w:tcW w:type="dxa" w:w="5076"/>
          </w:tcPr>
          <w:p>
            <w:pPr>
              <w:pStyle w:val="null3"/>
              <w:jc w:val="left"/>
            </w:pPr>
            <w:r>
              <w:rPr/>
              <w:t>根据投标人提供的售后服务方案（针对项目制定完善的客服中心服务流程、培训方案和遗传咨询方案等）进行综合评审： （1）售后服务方案合理、针对项目制定完善的客服中心服务流程、培训方案和遗传咨询方案完全满足采购需求的，得6分； （2）售后服务方案较合理、针对项目制定较完善的客服中心服务流程、培训方案和遗传咨询方案基本满足采购需求的，得4分； （3）售后服务方案合理性一般、针对项目制定的客服中心服务流程一般、培训方案和遗传咨询方案满足采购需求的，得2分； （4）售后服务方案合理性较差、针对项目制定的客服中心服务流程较简单、培训方案和遗传咨询方案不能满足采购需求的，得1分； （5）没有提供方案不得分。</w:t>
            </w:r>
          </w:p>
        </w:tc>
      </w:tr>
      <w:tr>
        <w:tc>
          <w:tcPr>
            <w:tcW w:type="dxa" w:w="922"/>
            <w:gridSpan w:val="2"/>
            <w:vMerge/>
          </w:tcPr>
          <w:p/>
        </w:tc>
        <w:tc>
          <w:tcPr>
            <w:tcW w:type="dxa" w:w="2307"/>
          </w:tcPr>
          <w:p>
            <w:pPr>
              <w:pStyle w:val="null3"/>
              <w:jc w:val="left"/>
            </w:pPr>
            <w:r>
              <w:rPr/>
              <w:t>质量控制方案 (6.0分)</w:t>
            </w:r>
            <w:r>
              <w:rPr/>
              <w:t>，（等次分值选择：</w:t>
            </w:r>
            <w:r>
              <w:rPr/>
              <w:t>0.0;</w:t>
            </w:r>
            <w:r>
              <w:rPr/>
              <w:t>1.0;</w:t>
            </w:r>
            <w:r>
              <w:rPr/>
              <w:t>2.0;</w:t>
            </w:r>
            <w:r>
              <w:rPr/>
              <w:t>4.0;</w:t>
            </w:r>
            <w:r>
              <w:rPr/>
              <w:t>6.0;</w:t>
            </w:r>
            <w:r>
              <w:rPr/>
              <w:t>）</w:t>
            </w:r>
          </w:p>
        </w:tc>
        <w:tc>
          <w:tcPr>
            <w:tcW w:type="dxa" w:w="5076"/>
          </w:tcPr>
          <w:p>
            <w:pPr>
              <w:pStyle w:val="null3"/>
              <w:jc w:val="left"/>
            </w:pPr>
            <w:r>
              <w:rPr/>
              <w:t>根据投标供应商提供的质量控制措施方案进行综合评审： （1）质量控制措施方案内容详细，有针对性、科学合理、措施可行性高，完全满足采购需求的，得6分； （2）质量控制措施方案内容较详细，有针对性、较科学合理、措施可行性较高，基本满足采购需求的，得4分； （3）质量控制措施方案内容一般，针对性一般、合理性一般、措施可行性一般，基本满足采购需求的，得2分； （4）质量控制措施方案内容较简单，没有针对性、合理性较差、措施可行性较差，不能满足采购需求的，得1分； （5）没有提供方案不得分。</w:t>
            </w:r>
          </w:p>
        </w:tc>
      </w:tr>
      <w:tr>
        <w:tc>
          <w:tcPr>
            <w:tcW w:type="dxa" w:w="922"/>
            <w:gridSpan w:val="2"/>
            <w:vMerge/>
          </w:tcPr>
          <w:p/>
        </w:tc>
        <w:tc>
          <w:tcPr>
            <w:tcW w:type="dxa" w:w="2307"/>
          </w:tcPr>
          <w:p>
            <w:pPr>
              <w:pStyle w:val="null3"/>
              <w:jc w:val="left"/>
            </w:pPr>
            <w:r>
              <w:rPr/>
              <w:t>应急处理方案 (4.0分)</w:t>
            </w:r>
            <w:r>
              <w:rPr/>
              <w:t>，（等次分值选择：</w:t>
            </w:r>
            <w:r>
              <w:rPr/>
              <w:t>0.0;</w:t>
            </w:r>
            <w:r>
              <w:rPr/>
              <w:t>1.0;</w:t>
            </w:r>
            <w:r>
              <w:rPr/>
              <w:t>2.0;</w:t>
            </w:r>
            <w:r>
              <w:rPr/>
              <w:t>3.0;</w:t>
            </w:r>
            <w:r>
              <w:rPr/>
              <w:t>4.0;</w:t>
            </w:r>
            <w:r>
              <w:rPr/>
              <w:t>）</w:t>
            </w:r>
          </w:p>
        </w:tc>
        <w:tc>
          <w:tcPr>
            <w:tcW w:type="dxa" w:w="5076"/>
          </w:tcPr>
          <w:p>
            <w:pPr>
              <w:pStyle w:val="null3"/>
              <w:jc w:val="left"/>
            </w:pPr>
            <w:r>
              <w:rPr/>
              <w:t>根据投标供应商提供的应急处理方案（包含结果异议、质量事故、报告丢失、标本丢失、医院急诊项目或其他突发事件等相关内容）进行综合评审： （1）考虑的应急情况周全，且对应的应急预案详细合理、针对性强，针对不同应急情况投入的应急人员充足，应急响应及时，得4分； （2）考虑的应急情况较好，且有对应的应急预案，基本能针对不同应急情况投入一定的应急人员，应急响应较及时，得3分； （3）考虑的应急情况一般，应急预案内容较为简单或有缺失，投入的应急人员少，完成各种应急任务时间长，得2分； （4）应急处理方案简单或提供的内容不齐全的，得1分； （5）没有提供方案不得分。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综合实力（一） (3.0分)</w:t>
            </w:r>
          </w:p>
        </w:tc>
        <w:tc>
          <w:tcPr>
            <w:tcW w:type="dxa" w:w="5076"/>
          </w:tcPr>
          <w:p>
            <w:pPr>
              <w:pStyle w:val="null3"/>
              <w:jc w:val="left"/>
            </w:pPr>
            <w:r>
              <w:rPr/>
              <w:t>投标人具有由中国合格评定国家认可委员会颁发并在有效期内的ISO15189:2012实验室认可证书，且认证的检验方法含有高通量测序法，得3分。 【注：投标文件中需提供证书复印件或证书在中国合格评定国家认可委员会网站（https://www.cnas.org.cn/index.shtml）的查询截图，并加盖投标人公章，已失效或撤销的不得分。未按要求提供的不得分。】</w:t>
            </w:r>
          </w:p>
        </w:tc>
      </w:tr>
      <w:tr>
        <w:tc>
          <w:tcPr>
            <w:tcW w:type="dxa" w:w="922"/>
            <w:gridSpan w:val="2"/>
            <w:vMerge/>
          </w:tcPr>
          <w:p/>
        </w:tc>
        <w:tc>
          <w:tcPr>
            <w:tcW w:type="dxa" w:w="2307"/>
          </w:tcPr>
          <w:p>
            <w:pPr>
              <w:pStyle w:val="null3"/>
              <w:jc w:val="left"/>
            </w:pPr>
            <w:r>
              <w:rPr/>
              <w:t>综合实力（二） (6.0分)</w:t>
            </w:r>
          </w:p>
        </w:tc>
        <w:tc>
          <w:tcPr>
            <w:tcW w:type="dxa" w:w="5076"/>
          </w:tcPr>
          <w:p>
            <w:pPr>
              <w:pStyle w:val="null3"/>
              <w:jc w:val="left"/>
            </w:pPr>
            <w:r>
              <w:rPr/>
              <w:t>投标人具有有效的质量管理体系认证证书、环境管理体系认证证书、职业健康安全管理体系认证证书，且证书认证范围至少包含基因检测服务的，每提供一个得2分，满分6分。 【注：投标文件中需提供证书复印件或证书在全国认证认可信息公共服务平台（http://cx.cnca.cn/）的查询截图，并加盖投标人公章，已失效或撤销的不得分。未按要求提供的不得分。】</w:t>
            </w:r>
          </w:p>
        </w:tc>
      </w:tr>
      <w:tr>
        <w:tc>
          <w:tcPr>
            <w:tcW w:type="dxa" w:w="922"/>
            <w:gridSpan w:val="2"/>
            <w:vMerge/>
          </w:tcPr>
          <w:p/>
        </w:tc>
        <w:tc>
          <w:tcPr>
            <w:tcW w:type="dxa" w:w="2307"/>
          </w:tcPr>
          <w:p>
            <w:pPr>
              <w:pStyle w:val="null3"/>
              <w:jc w:val="left"/>
            </w:pPr>
            <w:r>
              <w:rPr/>
              <w:t>业绩 (8.0分)</w:t>
            </w:r>
          </w:p>
        </w:tc>
        <w:tc>
          <w:tcPr>
            <w:tcW w:type="dxa" w:w="5076"/>
          </w:tcPr>
          <w:p>
            <w:pPr>
              <w:pStyle w:val="null3"/>
              <w:jc w:val="left"/>
            </w:pPr>
            <w:r>
              <w:rPr/>
              <w:t>投标人2021年11月1日以来（以合同签订日期为准）具有同类型基因检测服务业绩情况，每提供一个业绩得1分，最高得8分。 【注：投标文件中提供合同或委托协议关键页（包括但不限于项目名称、合同清单或项目内容、合同签订时间、合同签订各方签字盖章页）复印件加盖投标人公章。】</w:t>
            </w:r>
          </w:p>
        </w:tc>
      </w:tr>
      <w:tr>
        <w:tc>
          <w:tcPr>
            <w:tcW w:type="dxa" w:w="922"/>
            <w:gridSpan w:val="2"/>
            <w:vMerge/>
          </w:tcPr>
          <w:p/>
        </w:tc>
        <w:tc>
          <w:tcPr>
            <w:tcW w:type="dxa" w:w="2307"/>
          </w:tcPr>
          <w:p>
            <w:pPr>
              <w:pStyle w:val="null3"/>
              <w:jc w:val="left"/>
            </w:pPr>
            <w:r>
              <w:rPr/>
              <w:t>专业技术服务团队 (8.0分)</w:t>
            </w:r>
          </w:p>
        </w:tc>
        <w:tc>
          <w:tcPr>
            <w:tcW w:type="dxa" w:w="5076"/>
          </w:tcPr>
          <w:p>
            <w:pPr>
              <w:pStyle w:val="null3"/>
              <w:jc w:val="left"/>
            </w:pPr>
            <w:r>
              <w:rPr/>
              <w:t>本项目拟投入人员： （1）实验人员需同时具有卫生专业技术中级或以上职称和临床基因扩增检验实验室技术人员培训合格证书，每提供一人得1分，最高得6分。 （2）遗传咨询人员需有遗传咨询培训证书，每提供一人得1分，最高得分2分。 【注：①（1）、（2）小项可重复得分； ②投标文件需同时提供拟投人员的相关证书及投标人为其购买的投标截止时间为止近1年内任意1个月的社保证明材料复印件并加盖公章； 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和劳务合同，否则视为我单位放弃中标资格。），视为满足社保评审要求。证明材料不完整的不予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折扣率报价得分按以下公式计算：【1、各检测项目投标折扣率报价得分=（各检测项目报价的评标基准折扣率/各检测项目的评标折扣率）×100×各检测项目所占评分权重；2、所有检测项目投标折扣率报价得分相加得出的分值即为各投标单位的投标折扣率报价汇总得分； 3、投标折扣率报价得分=投标折扣率报价汇总得分÷100×投标报价得分(20分)】 （注：满足招标文件要求且各检测项目投标折扣率报价最低的投标折扣率为评标基准折扣率，最低报价不是中标的唯一依据。各检测项目投标折扣率报价得分、投标折扣率报价汇总得分按四舍五入保留3位小数，投标报价得分按四舍五入保留2位小数）。 因落实政府采购政策进行价格调整的，以调整后的价格计算评标基准折扣率和投标折扣率报价。</w:t>
            </w:r>
          </w:p>
        </w:tc>
      </w:tr>
    </w:tbl>
    <w:p>
      <w:pPr>
        <w:pStyle w:val="null3"/>
      </w:pPr>
      <w:r>
        <w:rPr/>
        <w:t>采购包2(特殊单基因疾病整体解决方案):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技术部分61.0分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根据投标文件中对采购需求“技术标准与要求”-“二、项目明细”和“三、重点基因检测项目参数”的条款响应程度进行评审： （1）重要条款（“▲”号条款）响应程度（本项最高得15分）：本项目重要条款共47条，评审分数按以下公式进行计算：优于或完全响应的参数数量/重要条款参数总数量*15=重要条款参数得分（按四舍五入保留两位）； （2）一般条款（非“★”、非“▲”号条款）响应程度（本项最高得9分）：本项目一般条款共120条，评审分数按以下公式进行计算：优于或完全响应的参数数量/一般条款参数总数量*9=一般条款参数得分（按四舍五入保留两位）。 【注：若有要求投标人提供相应佐证材料的，需在投标文件中提供佐证材料并加盖投标人公章。如投标人未提供相应佐证材料或者投标人的响应承诺与其佐证材料不一致的，按负偏离处理。】</w:t>
            </w:r>
          </w:p>
        </w:tc>
      </w:tr>
      <w:tr>
        <w:tc>
          <w:tcPr>
            <w:tcW w:type="dxa" w:w="922"/>
            <w:gridSpan w:val="2"/>
            <w:vMerge/>
          </w:tcPr>
          <w:p/>
        </w:tc>
        <w:tc>
          <w:tcPr>
            <w:tcW w:type="dxa" w:w="2307"/>
          </w:tcPr>
          <w:p>
            <w:pPr>
              <w:pStyle w:val="null3"/>
              <w:jc w:val="left"/>
            </w:pPr>
            <w:r>
              <w:rPr/>
              <w:t>项目实施方案 (12.0分)</w:t>
            </w:r>
            <w:r>
              <w:rPr/>
              <w:t>，（等次分值选择：</w:t>
            </w:r>
            <w:r>
              <w:rPr/>
              <w:t>0.0;</w:t>
            </w:r>
            <w:r>
              <w:rPr/>
              <w:t>1.0;</w:t>
            </w:r>
            <w:r>
              <w:rPr/>
              <w:t>4.0;</w:t>
            </w:r>
            <w:r>
              <w:rPr/>
              <w:t>8.0;</w:t>
            </w:r>
            <w:r>
              <w:rPr/>
              <w:t>12.0;</w:t>
            </w:r>
            <w:r>
              <w:rPr/>
              <w:t>）</w:t>
            </w:r>
          </w:p>
        </w:tc>
        <w:tc>
          <w:tcPr>
            <w:tcW w:type="dxa" w:w="5076"/>
          </w:tcPr>
          <w:p>
            <w:pPr>
              <w:pStyle w:val="null3"/>
              <w:jc w:val="left"/>
            </w:pPr>
            <w:r>
              <w:rPr/>
              <w:t>根据投标人提供的项目实施方案（进度安排、样本采集及运转方案、样本保存、团队配置、检测方案等）进行综合评审： （1）项目组织实施方案完善、进度安排合理、样本采集及运转方案、样本保存、团队配置、检测方案等内容完整、措施严谨完全满足需求，得12分； （2）项目组织实施方案较完善、进度安排交合理、样本采集及运转方案、样本保存、团队配置、检测方案等内容完整、措施较严谨，基本满足采购需求，得8分； （3）项目组织实施方案一般、进度安排合理性一般、样本采集及运转方案、样本保存、团队配置、检测方案等内容一般、措施严谨性一般，部分满足采购需求但不影响项目实施，得4分； （4）项目组织实施方案简单、进度安排合理性较差、样本采集及运转方案、样本保存、团队配置、检测方案等内容简单、措施不严谨，不能满足采购需求，得1分； （5）没有提供方案不得分。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根据投标人提供的售后服务方案（针对项目制定完善的客服中心服务流程、培训方案和遗传咨询方案等）进行综合评审： （1）售后服务方案合理、针对项目制定完善的客服中心服务流程、培训方案和遗传咨询方案完全满足采购需求的，得10分； （2）售后服务方案较合理、针对项目制定较完善的客服中心服务流程、培训方案和遗传咨询方案基本满足采购需求的，得7分； （3）售后服务方案合理性一般、针对项目制定的客服中心服务流程一般、培训方案和遗传咨询方案满足采购需求的，得4分； （4）售后服务方案合理性较差、针对项目制定的客服中心服务流程较简单、培训方案和遗传咨询方案不能满足采购需求的，得1分； （5）没有提供方案不得分。</w:t>
            </w:r>
          </w:p>
        </w:tc>
      </w:tr>
      <w:tr>
        <w:tc>
          <w:tcPr>
            <w:tcW w:type="dxa" w:w="922"/>
            <w:gridSpan w:val="2"/>
            <w:vMerge/>
          </w:tcPr>
          <w:p/>
        </w:tc>
        <w:tc>
          <w:tcPr>
            <w:tcW w:type="dxa" w:w="2307"/>
          </w:tcPr>
          <w:p>
            <w:pPr>
              <w:pStyle w:val="null3"/>
              <w:jc w:val="left"/>
            </w:pPr>
            <w:r>
              <w:rPr/>
              <w:t>质量控制方案 (8.0分)</w:t>
            </w:r>
            <w:r>
              <w:rPr/>
              <w:t>，（等次分值选择：</w:t>
            </w:r>
            <w:r>
              <w:rPr/>
              <w:t>0.0;</w:t>
            </w:r>
            <w:r>
              <w:rPr/>
              <w:t>1.0;</w:t>
            </w:r>
            <w:r>
              <w:rPr/>
              <w:t>3.0;</w:t>
            </w:r>
            <w:r>
              <w:rPr/>
              <w:t>6.0;</w:t>
            </w:r>
            <w:r>
              <w:rPr/>
              <w:t>8.0;</w:t>
            </w:r>
            <w:r>
              <w:rPr/>
              <w:t>）</w:t>
            </w:r>
          </w:p>
        </w:tc>
        <w:tc>
          <w:tcPr>
            <w:tcW w:type="dxa" w:w="5076"/>
          </w:tcPr>
          <w:p>
            <w:pPr>
              <w:pStyle w:val="null3"/>
              <w:jc w:val="left"/>
            </w:pPr>
            <w:r>
              <w:rPr/>
              <w:t>根据投标供应商提供的质量控制措施方案进行综合评审： （1）质量控制措施方案内容详细，有针对性、科学合理、措施可行性高，完全满足采购需求的，得8分； （2）质量控制措施方案内容较详细，有针对性、较科学合理、措施可行性较高，基本满足采购需求的，得6分； （3）质量控制措施方案内容一般，针对性一般、合理性一般、措施可行性一般，基本满足采购需求的，得3分； （4）质量控制措施方案内容较简单，没有针对性、合理性较差、措施可行性较差，不能满足采购需求的，得1分； （5）没有提供方案不得分。</w:t>
            </w:r>
          </w:p>
        </w:tc>
      </w:tr>
      <w:tr>
        <w:tc>
          <w:tcPr>
            <w:tcW w:type="dxa" w:w="922"/>
            <w:gridSpan w:val="2"/>
            <w:vMerge/>
          </w:tcPr>
          <w:p/>
        </w:tc>
        <w:tc>
          <w:tcPr>
            <w:tcW w:type="dxa" w:w="2307"/>
          </w:tcPr>
          <w:p>
            <w:pPr>
              <w:pStyle w:val="null3"/>
              <w:jc w:val="left"/>
            </w:pPr>
            <w:r>
              <w:rPr/>
              <w:t>应急处理方案 (7.0分)</w:t>
            </w:r>
            <w:r>
              <w:rPr/>
              <w:t>，（等次分值选择：</w:t>
            </w:r>
            <w:r>
              <w:rPr/>
              <w:t>0.0;</w:t>
            </w:r>
            <w:r>
              <w:rPr/>
              <w:t>1.0;</w:t>
            </w:r>
            <w:r>
              <w:rPr/>
              <w:t>3.0;</w:t>
            </w:r>
            <w:r>
              <w:rPr/>
              <w:t>5.0;</w:t>
            </w:r>
            <w:r>
              <w:rPr/>
              <w:t>7.0;</w:t>
            </w:r>
            <w:r>
              <w:rPr/>
              <w:t>）</w:t>
            </w:r>
          </w:p>
        </w:tc>
        <w:tc>
          <w:tcPr>
            <w:tcW w:type="dxa" w:w="5076"/>
          </w:tcPr>
          <w:p>
            <w:pPr>
              <w:pStyle w:val="null3"/>
              <w:jc w:val="left"/>
            </w:pPr>
            <w:r>
              <w:rPr/>
              <w:t>根据投标供应商提供的应急处理方案（包含结果异议、质量事故、报告丢失、标本丢失、医院急诊项目或其他突发事件等相关内容）进行综合评审： （1）考虑的应急情况周全，且对应的应急预案详细合理、针对性强，针对不同应急情况投入的应急人员充足，应急响应及时，得7分； （2）考虑的应急情况较好，且有对应的应急预案，基本能针对不同应急情况投入一定的应急人员，应急响应较及时，得5分； （3）考虑的应急情况一般，应急预案内容较为简单或有缺失，投入的应急人员少，完成各种应急任务时间长，得3分； （4）应急处理方案简单或提供的内容不齐全的，得1分； （5）没有提供方案不得分。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综合实力（一） (3.0分)</w:t>
            </w:r>
          </w:p>
        </w:tc>
        <w:tc>
          <w:tcPr>
            <w:tcW w:type="dxa" w:w="5076"/>
          </w:tcPr>
          <w:p>
            <w:pPr>
              <w:pStyle w:val="null3"/>
              <w:jc w:val="left"/>
            </w:pPr>
            <w:r>
              <w:rPr/>
              <w:t>投标人具有由中国合格评定国家认可委员会颁发并在有效期内的ISO15189:2012实验室认可证书，且认证的检验方法含有高通量测序法，得3分。 【注：投标文件中需提供证书复印件或证书在中国合格评定国家认可委员会网站（https://www.cnas.org.cn/index.shtml）的查询截图，并加盖投标人公章，已失效或撤销的不得分。未按要求提供的不得分。】</w:t>
            </w:r>
          </w:p>
        </w:tc>
      </w:tr>
      <w:tr>
        <w:tc>
          <w:tcPr>
            <w:tcW w:type="dxa" w:w="922"/>
            <w:gridSpan w:val="2"/>
            <w:vMerge/>
          </w:tcPr>
          <w:p/>
        </w:tc>
        <w:tc>
          <w:tcPr>
            <w:tcW w:type="dxa" w:w="2307"/>
          </w:tcPr>
          <w:p>
            <w:pPr>
              <w:pStyle w:val="null3"/>
              <w:jc w:val="left"/>
            </w:pPr>
            <w:r>
              <w:rPr/>
              <w:t>综合实力（二） (6.0分)</w:t>
            </w:r>
          </w:p>
        </w:tc>
        <w:tc>
          <w:tcPr>
            <w:tcW w:type="dxa" w:w="5076"/>
          </w:tcPr>
          <w:p>
            <w:pPr>
              <w:pStyle w:val="null3"/>
              <w:jc w:val="left"/>
            </w:pPr>
            <w:r>
              <w:rPr/>
              <w:t>投标人具有有效的质量管理体系认证证书、环境管理体系认证证书、职业健康安全管理体系认证证书，且证书认证范围至少包含基因检测服务的，每提供一个得2分，满分6分。 【注：投标文件中需提供证书复印件或证书在全国认证认可信息公共服务平台（http://cx.cnca.cn/）的查询截图，并加盖投标人公章，已失效或撤销的不得分。未按要求提供的不得分。】</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投标人2021年11月1日以来（以合同签订日期为准）具有同类型基因检测服务业绩情况，每提供一个业绩得1分，最高得10分。 【注：投标文件中提供合同或委托协议关键页（包括但不限于项目名称、合同清单或项目内容、合同签订时间、合同签订各方签字盖章页）复印件加盖投标人公章。】</w:t>
            </w:r>
          </w:p>
        </w:tc>
      </w:tr>
      <w:tr>
        <w:tc>
          <w:tcPr>
            <w:tcW w:type="dxa" w:w="922"/>
            <w:gridSpan w:val="2"/>
            <w:vMerge/>
          </w:tcPr>
          <w:p/>
        </w:tc>
        <w:tc>
          <w:tcPr>
            <w:tcW w:type="dxa" w:w="2307"/>
          </w:tcPr>
          <w:p>
            <w:pPr>
              <w:pStyle w:val="null3"/>
              <w:jc w:val="left"/>
            </w:pPr>
            <w:r>
              <w:rPr/>
              <w:t>专业技术服务团队 (10.0分)</w:t>
            </w:r>
          </w:p>
        </w:tc>
        <w:tc>
          <w:tcPr>
            <w:tcW w:type="dxa" w:w="5076"/>
          </w:tcPr>
          <w:p>
            <w:pPr>
              <w:pStyle w:val="null3"/>
              <w:jc w:val="left"/>
            </w:pPr>
            <w:r>
              <w:rPr/>
              <w:t>本项目拟投入人员： （1）实验人员需同时具有卫生专业技术中级或以上职称和临床基因扩增检验实验室技术人员培训合格证书，每提供一人得1分，最高得8分。 （2）遗传咨询人员需有遗传咨询培训证书，每提供一人得1分，最高得分2分。 【注：①（1）、（2）小项可重复得分； ②投标文件需同时提供拟投人员的相关证书及投标人为其购买的投标截止时间为止近1年内任意1个月的社保证明材料复印件并加盖公章； 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和劳务合同，否则视为我单位放弃中标资格。），视为满足社保评审要求。证明材料不完整的不予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折扣率报价得分按以下公式计算：【1、各检测项目投标折扣率报价得分=（各检测项目报价的评标基准折扣率/各检测项目的评标折扣率）×100×各检测项目所占评分权重；2、所有检测项目投标折扣率报价得分相加得出的分值即为各投标单位的投标折扣率报价汇总得分； 3、投标折扣率报价得分=投标折扣率报价汇总得分÷100×投标报价得分(10分)】 （注：满足招标文件要求且各检测项目投标折扣率报价最低的投标折扣率为评标基准折扣率，最低报价不是中标的唯一依据。各检测项目投标折扣率报价得分、投标折扣率报价汇总得分按四舍五入保留3位小数，投标报价得分按四舍五入保留2位小数）。 因落实政府采购政策进行价格调整的，以调整后的价格计算评标基准折扣率和投标折扣率报价。</w:t>
            </w:r>
          </w:p>
        </w:tc>
      </w:tr>
    </w:tbl>
    <w:p>
      <w:pPr>
        <w:pStyle w:val="null3"/>
      </w:pPr>
      <w:r>
        <w:rPr/>
        <w:t>采购包3(辅助生殖人群相关基因检测):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技术部分61.0分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根据投标文件中对采购需求“技术标准与要求”-“二、项目明细”和“三、重点基因检测项目参数”的条款响应程度进行评审： （1）重要条款（“▲”号条款）响应程度（本项最高得15分）：本项目重要条款共10条，评审分数按以下公式进行计算：优于或完全响应的参数数量/重要条款参数总数量*15=重要条款参数得分（按四舍五入保留两位）； （2）一般条款（非“★”、非“▲”号条款）响应程度（本项最高得9分）：本项目一般条款共20条，评审分数按以下公式进行计算：优于或完全响应的参数数量/一般条款参数总数量*9=一般条款参数得分（按四舍五入保留两位）。 【注：若有要求投标人提供相应佐证材料的，需在投标文件中提供佐证材料并加盖投标人公章。如投标人未提供相应佐证材料或者投标人的响应承诺与其佐证材料不一致的，按负偏离处理。】</w:t>
            </w:r>
          </w:p>
        </w:tc>
      </w:tr>
      <w:tr>
        <w:tc>
          <w:tcPr>
            <w:tcW w:type="dxa" w:w="922"/>
            <w:gridSpan w:val="2"/>
            <w:vMerge/>
          </w:tcPr>
          <w:p/>
        </w:tc>
        <w:tc>
          <w:tcPr>
            <w:tcW w:type="dxa" w:w="2307"/>
          </w:tcPr>
          <w:p>
            <w:pPr>
              <w:pStyle w:val="null3"/>
              <w:jc w:val="left"/>
            </w:pPr>
            <w:r>
              <w:rPr/>
              <w:t>项目实施方案 (12.0分)</w:t>
            </w:r>
            <w:r>
              <w:rPr/>
              <w:t>，（等次分值选择：</w:t>
            </w:r>
            <w:r>
              <w:rPr/>
              <w:t>0.0;</w:t>
            </w:r>
            <w:r>
              <w:rPr/>
              <w:t>1.0;</w:t>
            </w:r>
            <w:r>
              <w:rPr/>
              <w:t>4.0;</w:t>
            </w:r>
            <w:r>
              <w:rPr/>
              <w:t>8.0;</w:t>
            </w:r>
            <w:r>
              <w:rPr/>
              <w:t>12.0;</w:t>
            </w:r>
            <w:r>
              <w:rPr/>
              <w:t>）</w:t>
            </w:r>
          </w:p>
        </w:tc>
        <w:tc>
          <w:tcPr>
            <w:tcW w:type="dxa" w:w="5076"/>
          </w:tcPr>
          <w:p>
            <w:pPr>
              <w:pStyle w:val="null3"/>
              <w:jc w:val="left"/>
            </w:pPr>
            <w:r>
              <w:rPr/>
              <w:t>根据投标人提供的项目实施方案（进度安排、样本采集及运转方案、样本保存、团队配置、检测方案等）进行综合评审： （1）项目组织实施方案完善、进度安排合理、样本采集及运转方案、样本保存、团队配置、检测方案等内容完整、措施严谨完全满足需求，得12分； （2）项目组织实施方案较完善、进度安排交合理、样本采集及运转方案、样本保存、团队配置、检测方案等内容完整、措施较严谨，基本满足采购需求，得8分； （3）项目组织实施方案一般、进度安排合理性一般、样本采集及运转方案、样本保存、团队配置、检测方案等内容一般、措施严谨性一般，部分满足采购需求但不影响项目实施，得4分； （4）项目组织实施方案简单、进度安排合理性较差、样本采集及运转方案、样本保存、团队配置、检测方案等内容简单、措施不严谨，不能满足采购需求，得1分； （5）没有提供方案不得分。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根据投标人提供的售后服务方案（针对项目制定完善的客服中心服务流程、培训方案和遗传咨询方案等）进行综合评审： （1）售后服务方案合理、针对项目制定完善的客服中心服务流程、培训方案和遗传咨询方案完全满足采购需求的，得10分； （2）售后服务方案较合理、针对项目制定较完善的客服中心服务流程、培训方案和遗传咨询方案基本满足采购需求的，得7分； （3）售后服务方案合理性一般、针对项目制定的客服中心服务流程一般、培训方案和遗传咨询方案满足采购需求的，得4分； （4）售后服务方案合理性较差、针对项目制定的客服中心服务流程较简单、培训方案和遗传咨询方案不能满足采购需求的，得1分； （5）没有提供方案不得分。</w:t>
            </w:r>
          </w:p>
        </w:tc>
      </w:tr>
      <w:tr>
        <w:tc>
          <w:tcPr>
            <w:tcW w:type="dxa" w:w="922"/>
            <w:gridSpan w:val="2"/>
            <w:vMerge/>
          </w:tcPr>
          <w:p/>
        </w:tc>
        <w:tc>
          <w:tcPr>
            <w:tcW w:type="dxa" w:w="2307"/>
          </w:tcPr>
          <w:p>
            <w:pPr>
              <w:pStyle w:val="null3"/>
              <w:jc w:val="left"/>
            </w:pPr>
            <w:r>
              <w:rPr/>
              <w:t>质量控制方案 (8.0分)</w:t>
            </w:r>
            <w:r>
              <w:rPr/>
              <w:t>，（等次分值选择：</w:t>
            </w:r>
            <w:r>
              <w:rPr/>
              <w:t>0.0;</w:t>
            </w:r>
            <w:r>
              <w:rPr/>
              <w:t>1.0;</w:t>
            </w:r>
            <w:r>
              <w:rPr/>
              <w:t>3.0;</w:t>
            </w:r>
            <w:r>
              <w:rPr/>
              <w:t>6.0;</w:t>
            </w:r>
            <w:r>
              <w:rPr/>
              <w:t>8.0;</w:t>
            </w:r>
            <w:r>
              <w:rPr/>
              <w:t>）</w:t>
            </w:r>
          </w:p>
        </w:tc>
        <w:tc>
          <w:tcPr>
            <w:tcW w:type="dxa" w:w="5076"/>
          </w:tcPr>
          <w:p>
            <w:pPr>
              <w:pStyle w:val="null3"/>
              <w:jc w:val="left"/>
            </w:pPr>
            <w:r>
              <w:rPr/>
              <w:t>根据投标供应商提供的质量控制措施方案进行综合评审： （1）质量控制措施方案内容详细，有针对性、科学合理、措施可行性高，完全满足采购需求的，得8分； （2）质量控制措施方案内容较详细，有针对性、较科学合理、措施可行性较高，基本满足采购需求的，得6分； （3）质量控制措施方案内容一般，针对性一般、合理性一般、措施可行性一般，基本满足采购需求的，得3分； （4）质量控制措施方案内容较简单，没有针对性、合理性较差、措施可行性较差，不能满足采购需求的，得1分； （5）没有提供方案不得分。</w:t>
            </w:r>
          </w:p>
        </w:tc>
      </w:tr>
      <w:tr>
        <w:tc>
          <w:tcPr>
            <w:tcW w:type="dxa" w:w="922"/>
            <w:gridSpan w:val="2"/>
            <w:vMerge/>
          </w:tcPr>
          <w:p/>
        </w:tc>
        <w:tc>
          <w:tcPr>
            <w:tcW w:type="dxa" w:w="2307"/>
          </w:tcPr>
          <w:p>
            <w:pPr>
              <w:pStyle w:val="null3"/>
              <w:jc w:val="left"/>
            </w:pPr>
            <w:r>
              <w:rPr/>
              <w:t>应急处理方案 (7.0分)</w:t>
            </w:r>
            <w:r>
              <w:rPr/>
              <w:t>，（等次分值选择：</w:t>
            </w:r>
            <w:r>
              <w:rPr/>
              <w:t>0.0;</w:t>
            </w:r>
            <w:r>
              <w:rPr/>
              <w:t>1.0;</w:t>
            </w:r>
            <w:r>
              <w:rPr/>
              <w:t>3.0;</w:t>
            </w:r>
            <w:r>
              <w:rPr/>
              <w:t>5.0;</w:t>
            </w:r>
            <w:r>
              <w:rPr/>
              <w:t>7.0;</w:t>
            </w:r>
            <w:r>
              <w:rPr/>
              <w:t>）</w:t>
            </w:r>
          </w:p>
        </w:tc>
        <w:tc>
          <w:tcPr>
            <w:tcW w:type="dxa" w:w="5076"/>
          </w:tcPr>
          <w:p>
            <w:pPr>
              <w:pStyle w:val="null3"/>
              <w:jc w:val="left"/>
            </w:pPr>
            <w:r>
              <w:rPr/>
              <w:t>根据投标供应商提供的应急处理方案（包含结果异议、质量事故、报告丢失、标本丢失、医院急诊项目或其他突发事件等相关内容）进行综合评审： （1）考虑的应急情况周全，且对应的应急预案详细合理、针对性强，针对不同应急情况投入的应急人员充足，应急响应及时，得7分； （2）考虑的应急情况较好，且有对应的应急预案，基本能针对不同应急情况投入一定的应急人员，应急响应较及时，得5分； （3）考虑的应急情况一般，应急预案内容较为简单或有缺失，投入的应急人员少，完成各种应急任务时间长，得3分； （4）应急处理方案简单或提供的内容不齐全的，得1分； （5）没有提供方案不得分。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综合实力（一） (3.0分)</w:t>
            </w:r>
          </w:p>
        </w:tc>
        <w:tc>
          <w:tcPr>
            <w:tcW w:type="dxa" w:w="5076"/>
          </w:tcPr>
          <w:p>
            <w:pPr>
              <w:pStyle w:val="null3"/>
              <w:jc w:val="left"/>
            </w:pPr>
            <w:r>
              <w:rPr/>
              <w:t>投标人具有由中国合格评定国家认可委员会颁发并在有效期内的ISO15189:2012实验室认可证书，且认证的检验方法含有高通量测序法，得3分。 【注：投标文件中需提供证书复印件或证书在中国合格评定国家认可委员会网站（https://www.cnas.org.cn/index.shtml）的查询截图，并加盖投标人公章，已失效或撤销的不得分。未按要求提供的不得分。】</w:t>
            </w:r>
          </w:p>
        </w:tc>
      </w:tr>
      <w:tr>
        <w:tc>
          <w:tcPr>
            <w:tcW w:type="dxa" w:w="922"/>
            <w:gridSpan w:val="2"/>
            <w:vMerge/>
          </w:tcPr>
          <w:p/>
        </w:tc>
        <w:tc>
          <w:tcPr>
            <w:tcW w:type="dxa" w:w="2307"/>
          </w:tcPr>
          <w:p>
            <w:pPr>
              <w:pStyle w:val="null3"/>
              <w:jc w:val="left"/>
            </w:pPr>
            <w:r>
              <w:rPr/>
              <w:t>综合实力（二） (6.0分)</w:t>
            </w:r>
          </w:p>
        </w:tc>
        <w:tc>
          <w:tcPr>
            <w:tcW w:type="dxa" w:w="5076"/>
          </w:tcPr>
          <w:p>
            <w:pPr>
              <w:pStyle w:val="null3"/>
              <w:jc w:val="left"/>
            </w:pPr>
            <w:r>
              <w:rPr/>
              <w:t>投标人具有有效的质量管理体系认证证书、环境管理体系认证证书、职业健康安全管理体系认证证书，且证书认证范围至少包含基因检测服务的，每提供一个得2分，满分6分。 【注：投标文件中需提供证书复印件或证书在全国认证认可信息公共服务平台（http://cx.cnca.cn/）的查询截图，并加盖投标人公章，已失效或撤销的不得分。未按要求提供的不得分。】</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投标人2021年11月1日以来（以合同签订日期为准）具有同类型基因检测服务业绩情况，每提供一个业绩得1分，最高得10分。 【注：投标文件中提供合同或委托协议关键页（包括但不限于项目名称、合同清单或项目内容、合同签订时间、合同签订各方签字盖章页）复印件加盖投标人公章。】</w:t>
            </w:r>
          </w:p>
        </w:tc>
      </w:tr>
      <w:tr>
        <w:tc>
          <w:tcPr>
            <w:tcW w:type="dxa" w:w="922"/>
            <w:gridSpan w:val="2"/>
            <w:vMerge/>
          </w:tcPr>
          <w:p/>
        </w:tc>
        <w:tc>
          <w:tcPr>
            <w:tcW w:type="dxa" w:w="2307"/>
          </w:tcPr>
          <w:p>
            <w:pPr>
              <w:pStyle w:val="null3"/>
              <w:jc w:val="left"/>
            </w:pPr>
            <w:r>
              <w:rPr/>
              <w:t>专业技术服务团队 (10.0分)</w:t>
            </w:r>
          </w:p>
        </w:tc>
        <w:tc>
          <w:tcPr>
            <w:tcW w:type="dxa" w:w="5076"/>
          </w:tcPr>
          <w:p>
            <w:pPr>
              <w:pStyle w:val="null3"/>
              <w:jc w:val="left"/>
            </w:pPr>
            <w:r>
              <w:rPr/>
              <w:t>本项目拟投入人员： （1）实验人员需同时具有卫生专业技术中级或以上职称和临床基因扩增检验实验室技术人员培训合格证书，每提供一人得1分，最高得8分。 （2）遗传咨询人员需有遗传咨询培训证书，每提供一人得1分，最高得分2分。 【注：①（1）、（2）小项可重复得分； ②投标文件需同时提供拟投人员的相关证书及投标人为其购买的投标截止时间为止近1年内任意1个月的社保证明材料复印件并加盖公章； ③若投标人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和劳务合同，否则视为我单位放弃中标资格。），视为满足社保评审要求。证明材料不完整的不予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折扣率报价得分按以下公式计算：【1、各检测项目投标折扣率报价得分=（各检测项目报价的评标基准折扣率/各检测项目的评标折扣率）×100×各检测项目所占评分权重；2、所有检测项目投标折扣率报价得分相加得出的分值即为各投标单位的投标折扣率报价汇总得分； 3、投标折扣率报价得分=投标折扣率报价汇总得分÷100×投标报价得分(10分)】 （注：满足招标文件要求且各检测项目投标折扣率报价最低的投标折扣率为评标基准折扣率，最低报价不是中标的唯一依据。各检测项目投标折扣率报价得分、投标折扣率报价汇总得分按四舍五入保留3位小数，投标报价得分按四舍五入保留2位小数）。 因落实政府采购政策进行价格调整的，以调整后的价格计算评标基准折扣率和投标折扣率报价。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rPr>
        <w:t>甲方：</w:t>
      </w:r>
      <w:r>
        <w:rPr>
          <w:sz w:val="21"/>
          <w:u w:val="single"/>
        </w:rPr>
        <w:t xml:space="preserve"> </w:t>
      </w:r>
    </w:p>
    <w:p>
      <w:pPr>
        <w:pStyle w:val="null3"/>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jc w:val="both"/>
      </w:pP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jc w:val="both"/>
      </w:pPr>
      <w:r>
        <w:rPr>
          <w:sz w:val="21"/>
          <w:b/>
        </w:rPr>
        <w:t xml:space="preserve">1 </w:t>
      </w:r>
      <w:r>
        <w:rPr>
          <w:sz w:val="21"/>
          <w:b/>
        </w:rPr>
        <w:t>定义</w:t>
      </w:r>
    </w:p>
    <w:p>
      <w:pPr>
        <w:pStyle w:val="null3"/>
        <w:jc w:val="both"/>
      </w:pPr>
      <w:r>
        <w:rPr>
          <w:sz w:val="21"/>
        </w:rPr>
        <w:t xml:space="preserve">1.1 </w:t>
      </w:r>
      <w:r>
        <w:rPr>
          <w:sz w:val="21"/>
        </w:rPr>
        <w:t>除非另有约定，本协议使用的下列术语应具有如下界定的含义</w:t>
      </w:r>
    </w:p>
    <w:p>
      <w:pPr>
        <w:pStyle w:val="null3"/>
        <w:jc w:val="both"/>
      </w:pPr>
      <w:r>
        <w:rPr>
          <w:sz w:val="21"/>
        </w:rPr>
        <w:t xml:space="preserve">1.1.1 </w:t>
      </w:r>
      <w:r>
        <w:rPr>
          <w:sz w:val="21"/>
        </w:rPr>
        <w:t>技术障碍</w:t>
      </w:r>
      <w:r>
        <w:rPr>
          <w:sz w:val="21"/>
        </w:rPr>
        <w:t>”</w:t>
      </w:r>
      <w:r>
        <w:rPr>
          <w:sz w:val="21"/>
        </w:rPr>
        <w:t>：指在乙方现有条件下无法克服的技术问题，包括但不限于因本协议约定的技术方法、技术路线、履行本协议所使用的设备、仪器、软件等本身的缺陷或局限性、生物特性、生物个体差异性等导致的无法克服的技术问题；</w:t>
      </w:r>
    </w:p>
    <w:p>
      <w:pPr>
        <w:pStyle w:val="null3"/>
        <w:jc w:val="both"/>
      </w:pPr>
      <w:r>
        <w:rPr>
          <w:sz w:val="21"/>
        </w:rPr>
        <w:t xml:space="preserve">1.1.2 </w:t>
      </w:r>
      <w:r>
        <w:rPr>
          <w:sz w:val="21"/>
        </w:rPr>
        <w:t>关联方</w:t>
      </w:r>
      <w:r>
        <w:rPr>
          <w:sz w:val="21"/>
        </w:rPr>
        <w:t>”</w:t>
      </w:r>
      <w:r>
        <w:rPr>
          <w:sz w:val="21"/>
        </w:rPr>
        <w:t>指在资金、经营、购销等方面，存在直接或者间接的拥有或者控制关系、直接或者间接地同为三者所拥有或者控制、其他在利益上具有相关联的关系。</w:t>
      </w:r>
    </w:p>
    <w:p>
      <w:pPr>
        <w:pStyle w:val="null3"/>
        <w:jc w:val="both"/>
      </w:pPr>
      <w:r>
        <w:rPr>
          <w:sz w:val="21"/>
          <w:b/>
        </w:rPr>
        <w:t xml:space="preserve">2 </w:t>
      </w:r>
      <w:r>
        <w:rPr>
          <w:sz w:val="21"/>
          <w:b/>
        </w:rPr>
        <w:t>工作安排</w:t>
      </w:r>
    </w:p>
    <w:p>
      <w:pPr>
        <w:pStyle w:val="null3"/>
        <w:jc w:val="both"/>
      </w:pPr>
      <w:r>
        <w:rPr>
          <w:sz w:val="21"/>
        </w:rPr>
        <w:t xml:space="preserve">2.1 </w:t>
      </w:r>
      <w:r>
        <w:rPr>
          <w:sz w:val="21"/>
        </w:rPr>
        <w:t>合作内容、技术方法及各方在协议执行中的工作内容及时间安排详见附件一《拟外送基因检测项目》。</w:t>
      </w:r>
    </w:p>
    <w:p>
      <w:pPr>
        <w:pStyle w:val="null3"/>
        <w:jc w:val="both"/>
      </w:pPr>
      <w:r>
        <w:rPr>
          <w:sz w:val="21"/>
          <w:b/>
        </w:rPr>
        <w:t xml:space="preserve">3 </w:t>
      </w:r>
      <w:r>
        <w:rPr>
          <w:sz w:val="21"/>
          <w:b/>
        </w:rPr>
        <w:t>各方权利义务</w:t>
      </w:r>
    </w:p>
    <w:p>
      <w:pPr>
        <w:pStyle w:val="null3"/>
        <w:jc w:val="both"/>
      </w:pPr>
      <w:r>
        <w:rPr>
          <w:sz w:val="21"/>
        </w:rPr>
        <w:t xml:space="preserve">3.1 </w:t>
      </w:r>
      <w:r>
        <w:rPr>
          <w:sz w:val="21"/>
        </w:rPr>
        <w:t>甲方权利义务</w:t>
      </w:r>
    </w:p>
    <w:p>
      <w:pPr>
        <w:pStyle w:val="null3"/>
        <w:jc w:val="both"/>
      </w:pPr>
      <w:r>
        <w:rPr>
          <w:sz w:val="21"/>
        </w:rPr>
        <w:t xml:space="preserve">3.1.1 </w:t>
      </w:r>
      <w:r>
        <w:rPr>
          <w:sz w:val="21"/>
        </w:rPr>
        <w:t>甲方保证其对样本的收集、进口、运输、保管、使用和处置均严格按照所有应使用的地方、国家和国际的法律、伦理规定进行。人源样本及附带个人信息的采集使用已获被采集者的知情同意（包括但不限于书面签字或其他伦理审查认可的形式）。</w:t>
      </w:r>
    </w:p>
    <w:p>
      <w:pPr>
        <w:pStyle w:val="null3"/>
        <w:jc w:val="both"/>
      </w:pPr>
      <w:r>
        <w:rPr>
          <w:sz w:val="21"/>
        </w:rPr>
        <w:t xml:space="preserve">3.1.2 </w:t>
      </w:r>
      <w:r>
        <w:rPr>
          <w:sz w:val="21"/>
        </w:rPr>
        <w:t>甲方负责定期提供合格的样本（数量不限）给乙方。如由于甲方的原因致使提供的样本不合格，甲方有义务再次提供样本，重新采样产生的服务费、耗材费及运输费用由甲方承担；如遇不可抗拒之因素所致的实验失败，甲方有义务再次提供样本，并及时与受检者沟通联系，另行重新采样产生的服务费、耗材费及运输费用由双方另行约定。</w:t>
      </w:r>
    </w:p>
    <w:p>
      <w:pPr>
        <w:pStyle w:val="null3"/>
        <w:jc w:val="both"/>
      </w:pPr>
      <w:r>
        <w:rPr>
          <w:sz w:val="21"/>
        </w:rPr>
        <w:t xml:space="preserve">3.1.3 </w:t>
      </w:r>
      <w:r>
        <w:rPr>
          <w:sz w:val="21"/>
        </w:rPr>
        <w:t>甲方负责进行本医学检测前的咨询解答工作，负责告知受检者及其家属关于本医学检测的预期目的、风险和必要性，指导受检者签署知情同意书和送检单，并负责向受检者解读报告内容，完成咨询及回访工作。甲方负责向受检者或其法定监护人出具检测报告并进行报告解释：乙方提供的检测报告结果仅供临床参考，不作为唯一的疾病诊断依据。</w:t>
      </w:r>
    </w:p>
    <w:p>
      <w:pPr>
        <w:pStyle w:val="null3"/>
        <w:jc w:val="both"/>
      </w:pPr>
      <w:r>
        <w:rPr>
          <w:sz w:val="21"/>
        </w:rPr>
        <w:t xml:space="preserve">3.1.4 </w:t>
      </w:r>
      <w:r>
        <w:rPr>
          <w:sz w:val="21"/>
        </w:rPr>
        <w:t>甲方应履行的其他应尽的告知义务。</w:t>
      </w:r>
    </w:p>
    <w:p>
      <w:pPr>
        <w:pStyle w:val="null3"/>
        <w:jc w:val="both"/>
      </w:pPr>
      <w:r>
        <w:rPr>
          <w:sz w:val="21"/>
        </w:rPr>
        <w:t xml:space="preserve">3.2 </w:t>
      </w:r>
      <w:r>
        <w:rPr>
          <w:sz w:val="21"/>
        </w:rPr>
        <w:t>乙方权利义务</w:t>
      </w:r>
    </w:p>
    <w:p>
      <w:pPr>
        <w:pStyle w:val="null3"/>
        <w:jc w:val="both"/>
      </w:pPr>
      <w:r>
        <w:rPr>
          <w:sz w:val="21"/>
        </w:rPr>
        <w:t xml:space="preserve">3.2.1 </w:t>
      </w:r>
      <w:r>
        <w:rPr>
          <w:sz w:val="21"/>
        </w:rPr>
        <w:t>乙方承担样品接收，实验进展跟进和检测结果反馈等具体工作。</w:t>
      </w:r>
    </w:p>
    <w:p>
      <w:pPr>
        <w:pStyle w:val="null3"/>
        <w:jc w:val="both"/>
      </w:pPr>
      <w:r>
        <w:rPr>
          <w:sz w:val="21"/>
        </w:rPr>
        <w:t xml:space="preserve">3.2.2 </w:t>
      </w:r>
      <w:r>
        <w:rPr>
          <w:sz w:val="21"/>
        </w:rPr>
        <w:t>乙方提供的检测报告结果仅供临床参考，不作为唯一的疾病诊断依据。乙方对检测结果具有最终解释权。</w:t>
      </w:r>
    </w:p>
    <w:p>
      <w:pPr>
        <w:pStyle w:val="null3"/>
        <w:jc w:val="both"/>
      </w:pPr>
      <w:r>
        <w:rPr>
          <w:sz w:val="21"/>
        </w:rPr>
        <w:t xml:space="preserve">3.2.3 </w:t>
      </w:r>
      <w:r>
        <w:rPr>
          <w:sz w:val="21"/>
        </w:rPr>
        <w:t>乙方负责本医学检测项目宣传材料和支撑文件材料（如送检单、知情同意书等）的设计、印刷等工作 。支撑文件材料可适当根据甲方的实际工作便利性做出调整，最终由双方负责人审批后正式发放。</w:t>
      </w:r>
    </w:p>
    <w:p>
      <w:pPr>
        <w:pStyle w:val="null3"/>
        <w:jc w:val="both"/>
      </w:pPr>
      <w:r>
        <w:rPr>
          <w:sz w:val="21"/>
        </w:rPr>
        <w:t xml:space="preserve">3.2.4 </w:t>
      </w:r>
      <w:r>
        <w:rPr>
          <w:sz w:val="21"/>
        </w:rPr>
        <w:t>乙方保证具备实施及完成本合同项下各检测项目及内容的资质及能力。</w:t>
      </w:r>
    </w:p>
    <w:p>
      <w:pPr>
        <w:pStyle w:val="null3"/>
        <w:jc w:val="both"/>
      </w:pPr>
      <w:r>
        <w:rPr>
          <w:sz w:val="21"/>
        </w:rPr>
        <w:t xml:space="preserve">3.3 </w:t>
      </w:r>
      <w:r>
        <w:rPr>
          <w:sz w:val="21"/>
        </w:rPr>
        <w:t>甲乙双方权利义务</w:t>
      </w:r>
    </w:p>
    <w:p>
      <w:pPr>
        <w:pStyle w:val="null3"/>
        <w:jc w:val="both"/>
      </w:pPr>
      <w:r>
        <w:rPr>
          <w:sz w:val="21"/>
        </w:rPr>
        <w:t xml:space="preserve">3.3.1 </w:t>
      </w:r>
      <w:r>
        <w:rPr>
          <w:sz w:val="21"/>
        </w:rPr>
        <w:t>甲方保证此项目不涉及人类遗传资源采集、收集、买卖、出口、出境等，若甲乙任何一方以本合同项目下产生或乙方向甲方交付的成果为基础而进行后续利用或开发，该等行为或活动均与对方无关。甲乙双方后续研究如涉及人类遗传资源采集、收集、买卖、出口、出境等，须遵照《人类遗传资源管理暂行办法》相关规定进行申报。</w:t>
      </w:r>
    </w:p>
    <w:p>
      <w:pPr>
        <w:pStyle w:val="null3"/>
        <w:jc w:val="both"/>
      </w:pPr>
      <w:r>
        <w:rPr>
          <w:sz w:val="21"/>
          <w:b/>
        </w:rPr>
        <w:t xml:space="preserve">4 </w:t>
      </w:r>
      <w:r>
        <w:rPr>
          <w:sz w:val="21"/>
          <w:b/>
        </w:rPr>
        <w:t>项目内容</w:t>
      </w:r>
    </w:p>
    <w:p>
      <w:pPr>
        <w:pStyle w:val="null3"/>
        <w:jc w:val="both"/>
      </w:pPr>
      <w:r>
        <w:rPr>
          <w:sz w:val="21"/>
        </w:rPr>
        <w:t>4.1</w:t>
      </w:r>
      <w:r>
        <w:rPr>
          <w:sz w:val="21"/>
        </w:rPr>
        <w:t>对基因筛查及诊断、个体化用药指导基因检测、单基因遗传病基因检测、病原微生物高通量基因检测和肿瘤基因检测等项目外送检测。</w:t>
      </w:r>
    </w:p>
    <w:p>
      <w:pPr>
        <w:pStyle w:val="null3"/>
        <w:jc w:val="both"/>
      </w:pPr>
      <w:r>
        <w:rPr>
          <w:sz w:val="21"/>
          <w:b/>
        </w:rPr>
        <w:t xml:space="preserve">5 </w:t>
      </w:r>
      <w:r>
        <w:rPr>
          <w:sz w:val="21"/>
          <w:b/>
        </w:rPr>
        <w:t>服务期限</w:t>
      </w:r>
    </w:p>
    <w:p>
      <w:pPr>
        <w:pStyle w:val="null3"/>
        <w:jc w:val="both"/>
      </w:pPr>
      <w:r>
        <w:rPr>
          <w:sz w:val="21"/>
        </w:rPr>
        <w:t xml:space="preserve">5.1 </w:t>
      </w:r>
      <w:r>
        <w:rPr>
          <w:sz w:val="21"/>
        </w:rPr>
        <w:t>合同期限：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日，当合同期结束或项目结算金额累计达到采购预算金额</w:t>
      </w:r>
      <w:r>
        <w:rPr>
          <w:sz w:val="21"/>
        </w:rPr>
        <w:t>（</w:t>
      </w:r>
      <w:r>
        <w:rPr>
          <w:sz w:val="21"/>
          <w:u w:val="single"/>
        </w:rPr>
        <w:t xml:space="preserve">   </w:t>
      </w:r>
      <w:r>
        <w:rPr>
          <w:sz w:val="21"/>
          <w:u w:val="single"/>
        </w:rPr>
        <w:t>元</w:t>
      </w:r>
      <w:r>
        <w:rPr>
          <w:sz w:val="21"/>
        </w:rPr>
        <w:t>）</w:t>
      </w:r>
      <w:r>
        <w:rPr>
          <w:sz w:val="21"/>
        </w:rPr>
        <w:t>时（以先到者为准），该合同自动终止。</w:t>
      </w:r>
    </w:p>
    <w:p>
      <w:pPr>
        <w:pStyle w:val="null3"/>
        <w:jc w:val="both"/>
      </w:pPr>
      <w:r>
        <w:rPr>
          <w:sz w:val="21"/>
        </w:rPr>
        <w:t>5.2</w:t>
      </w:r>
      <w:r>
        <w:rPr>
          <w:sz w:val="21"/>
        </w:rPr>
        <w:t>本项目服务期限为</w:t>
      </w:r>
      <w:r>
        <w:rPr>
          <w:sz w:val="21"/>
        </w:rPr>
        <w:t>3</w:t>
      </w:r>
      <w:r>
        <w:rPr>
          <w:sz w:val="21"/>
        </w:rPr>
        <w:t>年，合同一年一签，甲方将根据乙方上一年度的服务质量决定是否续签合同；若甲方使用科室核心小组有</w:t>
      </w:r>
      <w:r>
        <w:rPr>
          <w:sz w:val="21"/>
        </w:rPr>
        <w:t>2/3</w:t>
      </w:r>
      <w:r>
        <w:rPr>
          <w:sz w:val="21"/>
        </w:rPr>
        <w:t>或以上人数对乙方的服务质量不满意的，经院方领导同意，甲方有权不续签合同并重新组织采购。</w:t>
      </w:r>
    </w:p>
    <w:p>
      <w:pPr>
        <w:pStyle w:val="null3"/>
        <w:jc w:val="both"/>
      </w:pPr>
      <w:r>
        <w:rPr>
          <w:sz w:val="21"/>
          <w:b/>
        </w:rPr>
        <w:t>6</w:t>
      </w:r>
      <w:r>
        <w:rPr>
          <w:sz w:val="21"/>
          <w:b/>
        </w:rPr>
        <w:t>合同金额</w:t>
      </w:r>
    </w:p>
    <w:p>
      <w:pPr>
        <w:pStyle w:val="null3"/>
        <w:jc w:val="both"/>
      </w:pPr>
      <w:r>
        <w:rPr>
          <w:sz w:val="21"/>
        </w:rPr>
        <w:t>合同折扣率：</w:t>
      </w:r>
      <w:r>
        <w:rPr>
          <w:sz w:val="21"/>
          <w:u w:val="single"/>
        </w:rPr>
        <w:t xml:space="preserve">   </w:t>
      </w:r>
      <w:r>
        <w:rPr>
          <w:sz w:val="21"/>
          <w:u w:val="single"/>
        </w:rPr>
        <w:t>%</w:t>
      </w:r>
      <w:r>
        <w:rPr>
          <w:sz w:val="21"/>
        </w:rPr>
        <w:t xml:space="preserve">   </w:t>
      </w:r>
    </w:p>
    <w:p>
      <w:pPr>
        <w:pStyle w:val="null3"/>
        <w:jc w:val="both"/>
      </w:pPr>
      <w:r>
        <w:rPr>
          <w:sz w:val="21"/>
        </w:rPr>
        <w:t>注：</w:t>
      </w:r>
    </w:p>
    <w:p>
      <w:pPr>
        <w:pStyle w:val="null3"/>
        <w:jc w:val="both"/>
      </w:pPr>
      <w:r>
        <w:rPr>
          <w:sz w:val="21"/>
        </w:rPr>
        <w:t>（</w:t>
      </w:r>
      <w:r>
        <w:rPr>
          <w:sz w:val="21"/>
        </w:rPr>
        <w:t>1</w:t>
      </w:r>
      <w:r>
        <w:rPr>
          <w:sz w:val="21"/>
        </w:rPr>
        <w:t>）实际合同期内，以各检测项目对应的折扣率进行结算。</w:t>
      </w:r>
      <w:r>
        <w:rPr>
          <w:sz w:val="21"/>
        </w:rPr>
        <w:t>除非另有规定，各检测项目对应的折扣率在合同实施期间应保持不变，均不受市场价格及政策性价格的调整而增减。</w:t>
      </w:r>
    </w:p>
    <w:p>
      <w:pPr>
        <w:pStyle w:val="null3"/>
        <w:jc w:val="both"/>
      </w:pPr>
      <w:r>
        <w:rPr>
          <w:sz w:val="21"/>
        </w:rPr>
        <w:t>（</w:t>
      </w:r>
      <w:r>
        <w:rPr>
          <w:sz w:val="21"/>
        </w:rPr>
        <w:t>2</w:t>
      </w:r>
      <w:r>
        <w:rPr>
          <w:sz w:val="21"/>
        </w:rPr>
        <w:t>）结算的单价以</w:t>
      </w:r>
      <w:r>
        <w:rPr>
          <w:sz w:val="21"/>
        </w:rPr>
        <w:t>中山市医疗保障局公布的《基本医疗服务价格项目目录（</w:t>
      </w:r>
      <w:r>
        <w:rPr>
          <w:sz w:val="21"/>
        </w:rPr>
        <w:t>202</w:t>
      </w:r>
      <w:r>
        <w:rPr>
          <w:sz w:val="21"/>
        </w:rPr>
        <w:t>4</w:t>
      </w:r>
      <w:r>
        <w:rPr>
          <w:sz w:val="21"/>
        </w:rPr>
        <w:t>年版）》</w:t>
      </w:r>
      <w:r>
        <w:rPr>
          <w:sz w:val="21"/>
        </w:rPr>
        <w:t>为标准（服务期内如有最新物价标准修改的单价收费标准则按最新物价标准执行），如此价格标准以外的送检项目，由乙方提供收费依据，并与甲方协商确定后的价格作为收费标准。</w:t>
      </w:r>
    </w:p>
    <w:p>
      <w:pPr>
        <w:pStyle w:val="null3"/>
        <w:jc w:val="both"/>
      </w:pPr>
      <w:r>
        <w:rPr>
          <w:sz w:val="21"/>
        </w:rPr>
        <w:t>（</w:t>
      </w:r>
      <w:r>
        <w:rPr>
          <w:sz w:val="21"/>
        </w:rPr>
        <w:t>3</w:t>
      </w:r>
      <w:r>
        <w:rPr>
          <w:sz w:val="21"/>
        </w:rPr>
        <w:t>）合同金额包括但不限于检测项目的检测费用、检测标本接收保存运输费用、检测报告输出费用、试剂耗材费、人工费、材料费、设备使用费、各种税务费、必须的辅助材料费及合同实施过程中应预见和合同实施过程中不可预见费用等全部费用。</w:t>
      </w:r>
    </w:p>
    <w:p>
      <w:pPr>
        <w:pStyle w:val="null3"/>
        <w:jc w:val="both"/>
      </w:pPr>
      <w:r>
        <w:rPr>
          <w:sz w:val="21"/>
          <w:b/>
        </w:rPr>
        <w:t xml:space="preserve">7 </w:t>
      </w:r>
      <w:r>
        <w:rPr>
          <w:sz w:val="21"/>
          <w:b/>
        </w:rPr>
        <w:t>服务要求</w:t>
      </w:r>
    </w:p>
    <w:p>
      <w:pPr>
        <w:pStyle w:val="null3"/>
        <w:jc w:val="both"/>
      </w:pPr>
      <w:r>
        <w:rPr>
          <w:sz w:val="21"/>
          <w:b/>
        </w:rPr>
        <w:t>7.1</w:t>
      </w:r>
      <w:r>
        <w:rPr>
          <w:sz w:val="21"/>
          <w:b/>
        </w:rPr>
        <w:t>被委托实验室的要求：</w:t>
      </w:r>
    </w:p>
    <w:p>
      <w:pPr>
        <w:pStyle w:val="null3"/>
        <w:jc w:val="both"/>
      </w:pPr>
      <w:r>
        <w:rPr>
          <w:sz w:val="21"/>
        </w:rPr>
        <w:t>7.1.1</w:t>
      </w:r>
      <w:r>
        <w:rPr>
          <w:sz w:val="21"/>
        </w:rPr>
        <w:t>乙方实验室符合国家卫计委《医疗机构临床实验室管理办法》等法律法规要求。</w:t>
      </w:r>
    </w:p>
    <w:p>
      <w:pPr>
        <w:pStyle w:val="null3"/>
        <w:jc w:val="both"/>
      </w:pPr>
      <w:r>
        <w:rPr>
          <w:sz w:val="21"/>
        </w:rPr>
        <w:t>7.1.2</w:t>
      </w:r>
      <w:r>
        <w:rPr>
          <w:sz w:val="21"/>
        </w:rPr>
        <w:t>按甲方指定时间、地点等相关要求收检和运送标本，并及时发送报告。</w:t>
      </w:r>
    </w:p>
    <w:p>
      <w:pPr>
        <w:pStyle w:val="null3"/>
        <w:jc w:val="both"/>
      </w:pPr>
      <w:r>
        <w:rPr>
          <w:sz w:val="21"/>
        </w:rPr>
        <w:t>7.1.3</w:t>
      </w:r>
      <w:r>
        <w:rPr>
          <w:sz w:val="21"/>
        </w:rPr>
        <w:t>乙方负责免费提供标本采集试管、保存装置等。</w:t>
      </w:r>
    </w:p>
    <w:p>
      <w:pPr>
        <w:pStyle w:val="null3"/>
        <w:jc w:val="both"/>
      </w:pPr>
      <w:r>
        <w:rPr>
          <w:sz w:val="21"/>
        </w:rPr>
        <w:t>7.1.4</w:t>
      </w:r>
      <w:r>
        <w:rPr>
          <w:sz w:val="21"/>
        </w:rPr>
        <w:t>乙方保证按国家检验规范进行操作，并对标本的检验报告承担相应的责任。</w:t>
      </w:r>
    </w:p>
    <w:p>
      <w:pPr>
        <w:pStyle w:val="null3"/>
        <w:jc w:val="both"/>
      </w:pPr>
      <w:r>
        <w:rPr>
          <w:sz w:val="21"/>
        </w:rPr>
        <w:t>7.1.5</w:t>
      </w:r>
      <w:r>
        <w:rPr>
          <w:sz w:val="21"/>
        </w:rPr>
        <w:t>乙方有为甲方保密的义务，在未经甲方同意或授权下，乙方不得向甲方以外的任何单位或个人泄露甲方委托检测的任何信息。</w:t>
      </w:r>
    </w:p>
    <w:p>
      <w:pPr>
        <w:pStyle w:val="null3"/>
        <w:jc w:val="both"/>
      </w:pPr>
      <w:r>
        <w:rPr>
          <w:sz w:val="21"/>
        </w:rPr>
        <w:t>7.1.6</w:t>
      </w:r>
      <w:r>
        <w:rPr>
          <w:sz w:val="21"/>
        </w:rPr>
        <w:t>检测样本、检测数据的所有权、使用权为甲方所有，未经许可不得挪作它用。</w:t>
      </w:r>
    </w:p>
    <w:p>
      <w:pPr>
        <w:pStyle w:val="null3"/>
        <w:jc w:val="both"/>
      </w:pPr>
      <w:r>
        <w:rPr>
          <w:sz w:val="21"/>
        </w:rPr>
        <w:t>7.1.7</w:t>
      </w:r>
      <w:r>
        <w:rPr>
          <w:sz w:val="21"/>
        </w:rPr>
        <w:t>乙方检测后的剩余标本（如有），由乙方依法处置，乙方按照国家法律法规及相关行业规定的保存期限保存剩余标本（若有）。</w:t>
      </w:r>
    </w:p>
    <w:p>
      <w:pPr>
        <w:pStyle w:val="null3"/>
        <w:jc w:val="both"/>
      </w:pPr>
      <w:r>
        <w:rPr>
          <w:sz w:val="21"/>
        </w:rPr>
        <w:t>7.1.8</w:t>
      </w:r>
      <w:r>
        <w:rPr>
          <w:sz w:val="21"/>
        </w:rPr>
        <w:t>乙方保证检验结果的公正性，不受任何诱使或压力的干扰。</w:t>
      </w:r>
    </w:p>
    <w:p>
      <w:pPr>
        <w:pStyle w:val="null3"/>
        <w:jc w:val="both"/>
      </w:pPr>
      <w:r>
        <w:rPr>
          <w:sz w:val="21"/>
        </w:rPr>
        <w:t>7.1.9</w:t>
      </w:r>
      <w:r>
        <w:rPr>
          <w:sz w:val="21"/>
        </w:rPr>
        <w:t>乙方建立快速的客户服务反应机制，如有针对乙方或甲方与乙方双方的投诉或需处理的情况，乙方须在接到甲方通知后</w:t>
      </w:r>
      <w:r>
        <w:rPr>
          <w:sz w:val="21"/>
        </w:rPr>
        <w:t>4</w:t>
      </w:r>
      <w:r>
        <w:rPr>
          <w:sz w:val="21"/>
        </w:rPr>
        <w:t>小时内派代表到达医院及时沟通处理；若主要针对甲方的投诉或需处理的情况，乙方有义务协助甲方及时沟通处理。</w:t>
      </w:r>
    </w:p>
    <w:p>
      <w:pPr>
        <w:pStyle w:val="null3"/>
        <w:jc w:val="both"/>
      </w:pPr>
      <w:r>
        <w:rPr>
          <w:sz w:val="21"/>
        </w:rPr>
        <w:t>7.1.10</w:t>
      </w:r>
      <w:r>
        <w:rPr>
          <w:sz w:val="21"/>
        </w:rPr>
        <w:t>乙方每年定期安排相关的专家与甲方进行学术讲座、学术交流、培训等。</w:t>
      </w:r>
    </w:p>
    <w:p>
      <w:pPr>
        <w:pStyle w:val="null3"/>
        <w:jc w:val="both"/>
      </w:pPr>
      <w:r>
        <w:rPr>
          <w:sz w:val="21"/>
        </w:rPr>
        <w:t>7.1.11</w:t>
      </w:r>
      <w:r>
        <w:rPr>
          <w:sz w:val="21"/>
        </w:rPr>
        <w:t>乙方应保证其应用到本项目的专利、技术是归其持有的，且享有处分权。</w:t>
      </w:r>
    </w:p>
    <w:p>
      <w:pPr>
        <w:pStyle w:val="null3"/>
        <w:jc w:val="both"/>
      </w:pPr>
      <w:r>
        <w:rPr>
          <w:sz w:val="21"/>
        </w:rPr>
        <w:t>7.1.12</w:t>
      </w:r>
      <w:r>
        <w:rPr>
          <w:sz w:val="21"/>
        </w:rPr>
        <w:t>双方合作仅限于开展本基因检测服务类范畴的合作。未经对方书面同意，甲方不得单方面以任何名义使用乙方及关联方品牌开展任何形式的宣传活动；乙方亦不得单方面以任何名义使用甲方及关联方品牌开展任何形式的宣传活动。双方如有一方违反规定，守约方保留向违约方追究相应法律责任的权利。</w:t>
      </w:r>
    </w:p>
    <w:p>
      <w:pPr>
        <w:pStyle w:val="null3"/>
        <w:jc w:val="both"/>
      </w:pPr>
      <w:r>
        <w:rPr>
          <w:sz w:val="21"/>
        </w:rPr>
        <w:t>7.1.13</w:t>
      </w:r>
      <w:r>
        <w:rPr>
          <w:sz w:val="21"/>
        </w:rPr>
        <w:t>乙方如使用甲方提供的受检者标本发表科研成果，需经甲方同意，且甲方有署名权，署名排序按照文章发表时各方的贡献另行协商确定。</w:t>
      </w:r>
    </w:p>
    <w:p>
      <w:pPr>
        <w:pStyle w:val="null3"/>
        <w:jc w:val="both"/>
      </w:pPr>
      <w:r>
        <w:rPr>
          <w:sz w:val="21"/>
        </w:rPr>
        <w:t>7.1.14</w:t>
      </w:r>
      <w:r>
        <w:rPr>
          <w:sz w:val="21"/>
        </w:rPr>
        <w:t>检测报告须由副高级或以上职称人员审核签发。</w:t>
      </w:r>
    </w:p>
    <w:p>
      <w:pPr>
        <w:pStyle w:val="null3"/>
        <w:jc w:val="both"/>
      </w:pPr>
      <w:r>
        <w:rPr>
          <w:sz w:val="21"/>
        </w:rPr>
        <w:t>7.1.15</w:t>
      </w:r>
      <w:r>
        <w:rPr>
          <w:sz w:val="21"/>
        </w:rPr>
        <w:t>乙方具备一定的科研能力，主持或以合作单位参与过市级及以上级别科研项目，并能协助甲方进行科研及成果转化。</w:t>
      </w:r>
    </w:p>
    <w:p>
      <w:pPr>
        <w:pStyle w:val="null3"/>
        <w:jc w:val="both"/>
      </w:pPr>
      <w:r>
        <w:rPr>
          <w:sz w:val="21"/>
          <w:b/>
        </w:rPr>
        <w:t>7.2</w:t>
      </w:r>
      <w:r>
        <w:rPr>
          <w:sz w:val="21"/>
          <w:b/>
        </w:rPr>
        <w:t>被委托实验室的质量要求：</w:t>
      </w:r>
    </w:p>
    <w:p>
      <w:pPr>
        <w:pStyle w:val="null3"/>
        <w:jc w:val="both"/>
      </w:pPr>
      <w:r>
        <w:rPr>
          <w:sz w:val="21"/>
        </w:rPr>
        <w:t>7.2.1</w:t>
      </w:r>
      <w:r>
        <w:rPr>
          <w:sz w:val="21"/>
        </w:rPr>
        <w:t>乙方对甲方送检的合格样本结果进行负责，对于按照乙方取材要求进行取材的合格样本，若因乙方原因导致检测结果存在质量问题，由乙方承担相关责任。</w:t>
      </w:r>
    </w:p>
    <w:p>
      <w:pPr>
        <w:pStyle w:val="null3"/>
        <w:jc w:val="both"/>
      </w:pPr>
      <w:r>
        <w:rPr>
          <w:sz w:val="21"/>
        </w:rPr>
        <w:t>7.2.2</w:t>
      </w:r>
      <w:r>
        <w:rPr>
          <w:sz w:val="21"/>
        </w:rPr>
        <w:t>乙方均按日或检测批次对甲方委托项目进行室内质控，按季度提供室内质量控制报表，其内容包括质控检测数据、控制标准、质控分析、失控报告。</w:t>
      </w:r>
    </w:p>
    <w:p>
      <w:pPr>
        <w:pStyle w:val="null3"/>
        <w:jc w:val="both"/>
      </w:pPr>
      <w:r>
        <w:rPr>
          <w:sz w:val="21"/>
        </w:rPr>
        <w:t>7.2.3</w:t>
      </w:r>
      <w:r>
        <w:rPr>
          <w:sz w:val="21"/>
        </w:rPr>
        <w:t>乙方参加国家卫计委室间质评，每半年提供委托项目的能力验证活动报告，没有能力验证的检验项目应提供与委托方认可的实验室结果一致性的证据。</w:t>
      </w:r>
    </w:p>
    <w:p>
      <w:pPr>
        <w:pStyle w:val="null3"/>
        <w:jc w:val="both"/>
      </w:pPr>
      <w:r>
        <w:rPr>
          <w:sz w:val="21"/>
        </w:rPr>
        <w:t>7.2.4</w:t>
      </w:r>
      <w:r>
        <w:rPr>
          <w:sz w:val="21"/>
        </w:rPr>
        <w:t>按甲方要求，随时提供质量和技术资料，如更换试剂批号、仪器维修后、检验系统更换后的质控记录和性能验证报告。</w:t>
      </w:r>
    </w:p>
    <w:p>
      <w:pPr>
        <w:pStyle w:val="null3"/>
        <w:jc w:val="both"/>
      </w:pPr>
      <w:r>
        <w:rPr>
          <w:sz w:val="21"/>
        </w:rPr>
        <w:t>7.2.5</w:t>
      </w:r>
      <w:r>
        <w:rPr>
          <w:sz w:val="21"/>
        </w:rPr>
        <w:t>乙方有专人负责甲方业务及质量、技术、培训等工作。</w:t>
      </w:r>
    </w:p>
    <w:p>
      <w:pPr>
        <w:pStyle w:val="null3"/>
        <w:jc w:val="both"/>
      </w:pPr>
      <w:r>
        <w:rPr>
          <w:sz w:val="21"/>
        </w:rPr>
        <w:t>7.2.6</w:t>
      </w:r>
      <w:r>
        <w:rPr>
          <w:sz w:val="21"/>
        </w:rPr>
        <w:t>乙方随时接受并妥善安排甲方查阅项目检测、质量控制等情况。</w:t>
      </w:r>
    </w:p>
    <w:p>
      <w:pPr>
        <w:pStyle w:val="null3"/>
        <w:jc w:val="both"/>
      </w:pPr>
      <w:r>
        <w:rPr>
          <w:sz w:val="21"/>
        </w:rPr>
        <w:t>7.2.7</w:t>
      </w:r>
      <w:r>
        <w:rPr>
          <w:sz w:val="21"/>
        </w:rPr>
        <w:t>若甲方患者对乙方出具的检测结果存有异议，因患者有充足的证据证明乙方所提供的检测结果有误导致甲方赔偿的，经法定的医疗争议解决途径确认甲方损失后，乙方对甲方予以赔偿；或者乙方无法协助甲方证明所出具结果准确性如无法提供按照国家法律法规及相关行业规定的保存期限内留存的标本委托法定的第三方检验、检测机构再次检验等，导致通过法定的医疗争议解决途径，甲方需要向检测患者或近亲属承担赔付责任的，乙方需要全数承担甲方的经济损失。</w:t>
      </w:r>
    </w:p>
    <w:p>
      <w:pPr>
        <w:pStyle w:val="null3"/>
        <w:jc w:val="both"/>
      </w:pPr>
      <w:r>
        <w:rPr>
          <w:sz w:val="21"/>
        </w:rPr>
        <w:t>7.2.8</w:t>
      </w:r>
      <w:r>
        <w:rPr>
          <w:sz w:val="21"/>
        </w:rPr>
        <w:t>对样本运输的要求：</w:t>
      </w:r>
    </w:p>
    <w:p>
      <w:pPr>
        <w:pStyle w:val="null3"/>
        <w:jc w:val="both"/>
      </w:pPr>
      <w:r>
        <w:rPr>
          <w:sz w:val="21"/>
        </w:rPr>
        <w:t>（</w:t>
      </w:r>
      <w:r>
        <w:rPr>
          <w:sz w:val="21"/>
        </w:rPr>
        <w:t>1</w:t>
      </w:r>
      <w:r>
        <w:rPr>
          <w:sz w:val="21"/>
        </w:rPr>
        <w:t>）临床科室采集样本后，由委托检测机构派专人到甲方指定地点接收并保证物流运输。</w:t>
      </w:r>
    </w:p>
    <w:p>
      <w:pPr>
        <w:pStyle w:val="null3"/>
        <w:jc w:val="both"/>
      </w:pPr>
      <w:r>
        <w:rPr>
          <w:sz w:val="21"/>
        </w:rPr>
        <w:t>（</w:t>
      </w:r>
      <w:r>
        <w:rPr>
          <w:sz w:val="21"/>
        </w:rPr>
        <w:t>2</w:t>
      </w:r>
      <w:r>
        <w:rPr>
          <w:sz w:val="21"/>
        </w:rPr>
        <w:t>）一般标本自接收后</w:t>
      </w:r>
      <w:r>
        <w:rPr>
          <w:sz w:val="21"/>
        </w:rPr>
        <w:t>24</w:t>
      </w:r>
      <w:r>
        <w:rPr>
          <w:sz w:val="21"/>
        </w:rPr>
        <w:t>小时内送达委托检测机构，特殊项目具体按双方协商时间为准。</w:t>
      </w:r>
    </w:p>
    <w:p>
      <w:pPr>
        <w:pStyle w:val="null3"/>
        <w:jc w:val="both"/>
      </w:pPr>
      <w:r>
        <w:rPr>
          <w:sz w:val="21"/>
        </w:rPr>
        <w:t>（</w:t>
      </w:r>
      <w:r>
        <w:rPr>
          <w:sz w:val="21"/>
        </w:rPr>
        <w:t>3</w:t>
      </w:r>
      <w:r>
        <w:rPr>
          <w:sz w:val="21"/>
        </w:rPr>
        <w:t>）样本运输要求直立、冷藏、封闭，符合《</w:t>
      </w:r>
      <w:r>
        <w:rPr>
          <w:sz w:val="21"/>
        </w:rPr>
        <w:t xml:space="preserve">GBT28577-2012 </w:t>
      </w:r>
      <w:r>
        <w:rPr>
          <w:sz w:val="21"/>
        </w:rPr>
        <w:t>冷链物流分类与基本要求》与生物安全要求，确保运输过程的样品质量和环境安全。</w:t>
      </w:r>
    </w:p>
    <w:p>
      <w:pPr>
        <w:pStyle w:val="null3"/>
        <w:jc w:val="both"/>
      </w:pPr>
      <w:r>
        <w:rPr>
          <w:sz w:val="21"/>
        </w:rPr>
        <w:t>（</w:t>
      </w:r>
      <w:r>
        <w:rPr>
          <w:sz w:val="21"/>
        </w:rPr>
        <w:t>4</w:t>
      </w:r>
      <w:r>
        <w:rPr>
          <w:sz w:val="21"/>
        </w:rPr>
        <w:t>）乙方接收后不合格样本率</w:t>
      </w:r>
      <w:r>
        <w:rPr>
          <w:sz w:val="21"/>
        </w:rPr>
        <w:t>≤1/1000</w:t>
      </w:r>
      <w:r>
        <w:rPr>
          <w:sz w:val="21"/>
        </w:rPr>
        <w:t>。</w:t>
      </w:r>
    </w:p>
    <w:p>
      <w:pPr>
        <w:pStyle w:val="null3"/>
        <w:jc w:val="both"/>
      </w:pPr>
      <w:r>
        <w:rPr>
          <w:sz w:val="21"/>
          <w:b/>
        </w:rPr>
        <w:t>7.3</w:t>
      </w:r>
      <w:r>
        <w:rPr>
          <w:sz w:val="21"/>
          <w:b/>
        </w:rPr>
        <w:t>服务响应</w:t>
      </w:r>
    </w:p>
    <w:p>
      <w:pPr>
        <w:pStyle w:val="null3"/>
        <w:jc w:val="both"/>
      </w:pPr>
      <w:r>
        <w:rPr>
          <w:sz w:val="21"/>
        </w:rPr>
        <w:t>7.3.1</w:t>
      </w:r>
      <w:r>
        <w:rPr>
          <w:sz w:val="21"/>
        </w:rPr>
        <w:t>乙方建立完善的售后服务团队，可及时提供完善物流网络、技术支持、售后服务和遗传咨询等服务。</w:t>
      </w:r>
    </w:p>
    <w:p>
      <w:pPr>
        <w:pStyle w:val="null3"/>
        <w:jc w:val="both"/>
      </w:pPr>
      <w:r>
        <w:rPr>
          <w:sz w:val="21"/>
        </w:rPr>
        <w:t>7.3.2</w:t>
      </w:r>
      <w:r>
        <w:rPr>
          <w:sz w:val="21"/>
        </w:rPr>
        <w:t>有明确的样本送检和报告发布时间服务承诺。检测报告需按照乙方提供的《检测项目手册》规定的出报告时间出具。</w:t>
      </w:r>
    </w:p>
    <w:p>
      <w:pPr>
        <w:pStyle w:val="null3"/>
        <w:jc w:val="both"/>
      </w:pPr>
      <w:r>
        <w:rPr>
          <w:sz w:val="21"/>
        </w:rPr>
        <w:t>7.3.3</w:t>
      </w:r>
      <w:r>
        <w:rPr>
          <w:sz w:val="21"/>
        </w:rPr>
        <w:t>每周提供六次上门收取标本服务，</w:t>
      </w:r>
      <w:r>
        <w:rPr>
          <w:sz w:val="21"/>
        </w:rPr>
        <w:t>安排</w:t>
      </w:r>
      <w:r>
        <w:rPr>
          <w:sz w:val="21"/>
        </w:rPr>
        <w:t>专人驻点处理委托检验标本。</w:t>
      </w:r>
    </w:p>
    <w:p>
      <w:pPr>
        <w:pStyle w:val="null3"/>
        <w:jc w:val="both"/>
      </w:pPr>
      <w:r>
        <w:rPr>
          <w:sz w:val="21"/>
        </w:rPr>
        <w:t>7.3.4</w:t>
      </w:r>
      <w:r>
        <w:rPr>
          <w:sz w:val="21"/>
        </w:rPr>
        <w:t>如乙方检测报告超出约定时间而又未出具书面通知甲方造成恶劣影响的，包括造成医疗纠纷、有群众投诉造成严重后果等情况，乙方应承担相应的经济和法律责任。</w:t>
      </w:r>
    </w:p>
    <w:p>
      <w:pPr>
        <w:pStyle w:val="null3"/>
        <w:jc w:val="both"/>
      </w:pPr>
      <w:r>
        <w:rPr>
          <w:sz w:val="21"/>
        </w:rPr>
        <w:t>7.3.5</w:t>
      </w:r>
      <w:r>
        <w:rPr>
          <w:sz w:val="21"/>
        </w:rPr>
        <w:t>乙方需提供免费服务电话、网络査询、微信查询等多种渠道供甲方相关临床部门进行业务咨询、报告查询、账单查询统计功能。</w:t>
      </w:r>
    </w:p>
    <w:p>
      <w:pPr>
        <w:pStyle w:val="null3"/>
        <w:jc w:val="both"/>
      </w:pPr>
      <w:r>
        <w:rPr>
          <w:sz w:val="21"/>
        </w:rPr>
        <w:t>7.3.6</w:t>
      </w:r>
      <w:r>
        <w:rPr>
          <w:sz w:val="21"/>
        </w:rPr>
        <w:t>乙方指定日常联系人，提供专门服务，确保圆满落实各项承保、理赔、防灾防损和培训服务承诺。</w:t>
      </w:r>
    </w:p>
    <w:p>
      <w:pPr>
        <w:pStyle w:val="null3"/>
        <w:jc w:val="both"/>
      </w:pPr>
      <w:r>
        <w:rPr>
          <w:sz w:val="21"/>
        </w:rPr>
        <w:t>7.3.7</w:t>
      </w:r>
      <w:r>
        <w:rPr>
          <w:sz w:val="21"/>
        </w:rPr>
        <w:t>乙方有客服中心，能满足在线客服及电话客服，满足受检者的业务咨询、投诉处理等需求。</w:t>
      </w:r>
    </w:p>
    <w:p>
      <w:pPr>
        <w:pStyle w:val="null3"/>
        <w:jc w:val="both"/>
      </w:pPr>
      <w:r>
        <w:rPr>
          <w:sz w:val="21"/>
        </w:rPr>
        <w:t>7.3.8</w:t>
      </w:r>
      <w:r>
        <w:rPr>
          <w:sz w:val="21"/>
        </w:rPr>
        <w:t>乙方需安排两人负责与医院对接详细工作，其中一人需常驻医院负责采集样本、随访登记、发放报告等工作；另外一人需定期协助配合相关工作。</w:t>
      </w:r>
    </w:p>
    <w:p>
      <w:pPr>
        <w:pStyle w:val="null3"/>
        <w:jc w:val="both"/>
      </w:pPr>
      <w:r>
        <w:rPr>
          <w:sz w:val="21"/>
          <w:b/>
        </w:rPr>
        <w:t>7.4</w:t>
      </w:r>
      <w:r>
        <w:rPr>
          <w:sz w:val="21"/>
          <w:b/>
        </w:rPr>
        <w:t>其他要求：</w:t>
      </w:r>
    </w:p>
    <w:p>
      <w:pPr>
        <w:pStyle w:val="null3"/>
        <w:jc w:val="both"/>
      </w:pPr>
      <w:r>
        <w:rPr>
          <w:sz w:val="21"/>
        </w:rPr>
        <w:t>7.4.1</w:t>
      </w:r>
      <w:r>
        <w:rPr>
          <w:sz w:val="21"/>
        </w:rPr>
        <w:t>合作期限内，甲方的检测实验室能够在院内开展招标的检测项目时，该测序项目可提前终止，甲方不承担任何的违约责任。</w:t>
      </w:r>
    </w:p>
    <w:p>
      <w:pPr>
        <w:pStyle w:val="null3"/>
        <w:jc w:val="both"/>
      </w:pPr>
      <w:r>
        <w:rPr>
          <w:sz w:val="21"/>
        </w:rPr>
        <w:t>7.4.2</w:t>
      </w:r>
      <w:r>
        <w:rPr>
          <w:sz w:val="21"/>
        </w:rPr>
        <w:t>被委托实验室按甲方要求进行检测，在标本结果出具时限内出具检验报告。</w:t>
      </w:r>
    </w:p>
    <w:p>
      <w:pPr>
        <w:pStyle w:val="null3"/>
        <w:jc w:val="both"/>
      </w:pPr>
      <w:r>
        <w:rPr>
          <w:sz w:val="21"/>
        </w:rPr>
        <w:t>7.4.3</w:t>
      </w:r>
      <w:r>
        <w:rPr>
          <w:sz w:val="21"/>
        </w:rPr>
        <w:t>乙方所有开展的检测项目必须能自主开展，不得送至第三方检验公司或其他医疗机构检测。</w:t>
      </w:r>
    </w:p>
    <w:p>
      <w:pPr>
        <w:pStyle w:val="null3"/>
        <w:jc w:val="both"/>
      </w:pPr>
      <w:r>
        <w:rPr>
          <w:sz w:val="21"/>
        </w:rPr>
        <w:t>7.4.4</w:t>
      </w:r>
      <w:r>
        <w:rPr>
          <w:sz w:val="21"/>
        </w:rPr>
        <w:t>乙方发生事业单位改革或者公司合并、分立等情况，不能以原机构名义履行合同的，拟继续履约的检验机构应及时以书面方式报告甲方、提供相关证明材料，经甲方审查并报有关部门同意后再决定是否继续履约。</w:t>
      </w:r>
    </w:p>
    <w:p>
      <w:pPr>
        <w:pStyle w:val="null3"/>
        <w:jc w:val="both"/>
      </w:pPr>
      <w:r>
        <w:rPr>
          <w:sz w:val="21"/>
        </w:rPr>
        <w:t>7.4.5</w:t>
      </w:r>
      <w:r>
        <w:rPr>
          <w:sz w:val="21"/>
        </w:rPr>
        <w:t>根据工作需要，甲方对乙方的承检任务可以适当调整，乙方应当予以支持。</w:t>
      </w:r>
    </w:p>
    <w:p>
      <w:pPr>
        <w:pStyle w:val="null3"/>
        <w:jc w:val="both"/>
      </w:pPr>
      <w:r>
        <w:rPr>
          <w:sz w:val="21"/>
        </w:rPr>
        <w:t>7.4.6</w:t>
      </w:r>
      <w:r>
        <w:rPr>
          <w:sz w:val="21"/>
        </w:rPr>
        <w:t>本项目需求中未作细化详尽的地方，甲方将在送检开始前制定具体的要求，乙方应遵守执行；当政策法规发生调整或者工作形势发生变更，甲方可以调整有关送检操作要求，乙方应按甲方要求实施。</w:t>
      </w:r>
    </w:p>
    <w:p>
      <w:pPr>
        <w:pStyle w:val="null3"/>
        <w:jc w:val="both"/>
      </w:pPr>
      <w:r>
        <w:rPr>
          <w:sz w:val="21"/>
        </w:rPr>
        <w:t>7.4.7</w:t>
      </w:r>
      <w:r>
        <w:rPr>
          <w:sz w:val="21"/>
        </w:rPr>
        <w:t>服务期间，当送检项目市场单价远低于送检结算单价，经双方协商同意，可调整结算单价。</w:t>
      </w:r>
    </w:p>
    <w:p>
      <w:pPr>
        <w:pStyle w:val="null3"/>
        <w:jc w:val="both"/>
      </w:pPr>
      <w:r>
        <w:rPr>
          <w:sz w:val="21"/>
        </w:rPr>
        <w:t>7.4.8</w:t>
      </w:r>
      <w:r>
        <w:rPr>
          <w:sz w:val="21"/>
        </w:rPr>
        <w:t>在服务采购期限内，若甲方增加本项目清单外的检验项目，乙方应尽量配合开展，若经双方同意送检的检验项目，按本采购同类项目的中标折扣率结算。</w:t>
      </w:r>
    </w:p>
    <w:p>
      <w:pPr>
        <w:pStyle w:val="null3"/>
        <w:jc w:val="both"/>
      </w:pPr>
      <w:r>
        <w:rPr>
          <w:sz w:val="21"/>
        </w:rPr>
        <w:t>7.4.9</w:t>
      </w:r>
      <w:r>
        <w:rPr>
          <w:sz w:val="21"/>
        </w:rPr>
        <w:t>甲方有权根据业务需求情况调减上述外送检验项目服务或调增项目。</w:t>
      </w:r>
    </w:p>
    <w:p>
      <w:pPr>
        <w:pStyle w:val="null3"/>
        <w:jc w:val="both"/>
      </w:pPr>
      <w:r>
        <w:rPr>
          <w:sz w:val="21"/>
          <w:b/>
        </w:rPr>
        <w:t>8</w:t>
      </w:r>
      <w:r>
        <w:rPr>
          <w:sz w:val="21"/>
          <w:b/>
        </w:rPr>
        <w:t>付款方式</w:t>
      </w:r>
    </w:p>
    <w:p>
      <w:pPr>
        <w:pStyle w:val="null3"/>
        <w:jc w:val="both"/>
      </w:pPr>
      <w:r>
        <w:rPr>
          <w:sz w:val="21"/>
        </w:rPr>
        <w:t>8.1</w:t>
      </w:r>
      <w:r>
        <w:rPr>
          <w:sz w:val="21"/>
        </w:rPr>
        <w:t>甲方按照当地物价部门公布的标准，以实际检验报告发生数和甲方当地物价收费的标准计算所得的检验业务收入（实际检验业务收入</w:t>
      </w:r>
      <w:r>
        <w:rPr>
          <w:sz w:val="21"/>
        </w:rPr>
        <w:t>=</w:t>
      </w:r>
      <w:r>
        <w:rPr>
          <w:sz w:val="21"/>
        </w:rPr>
        <w:t>实际检验报告发生数</w:t>
      </w:r>
      <w:r>
        <w:rPr>
          <w:sz w:val="21"/>
        </w:rPr>
        <w:t>×</w:t>
      </w:r>
      <w:r>
        <w:rPr>
          <w:sz w:val="21"/>
        </w:rPr>
        <w:t>甲方当地物价收费标准）作为费用结算基数，再以双方约定的结算规则按月计算服务费用，然后进行结算操作。其中未经乙方同意而甲方单方面减免的（甲方漏收、病人逃费等情况）应由甲方负责承担相关的检验费用。结算规则如下：</w:t>
      </w:r>
    </w:p>
    <w:p>
      <w:pPr>
        <w:pStyle w:val="null3"/>
        <w:jc w:val="both"/>
      </w:pPr>
      <w:r>
        <w:rPr>
          <w:sz w:val="21"/>
        </w:rPr>
        <w:t>①</w:t>
      </w:r>
      <w:r>
        <w:rPr>
          <w:sz w:val="21"/>
        </w:rPr>
        <w:t>各检测项目实际服务费用</w:t>
      </w:r>
      <w:r>
        <w:rPr>
          <w:sz w:val="21"/>
        </w:rPr>
        <w:t>=</w:t>
      </w:r>
      <w:r>
        <w:rPr>
          <w:sz w:val="21"/>
        </w:rPr>
        <w:t>各检测项目实际检验业务收入</w:t>
      </w:r>
      <w:r>
        <w:rPr>
          <w:sz w:val="21"/>
        </w:rPr>
        <w:t>×</w:t>
      </w:r>
      <w:r>
        <w:rPr>
          <w:sz w:val="21"/>
        </w:rPr>
        <w:t>各检测项目对应的中标折扣率；</w:t>
      </w:r>
    </w:p>
    <w:p>
      <w:pPr>
        <w:pStyle w:val="null3"/>
        <w:jc w:val="both"/>
      </w:pPr>
      <w:r>
        <w:rPr>
          <w:sz w:val="21"/>
        </w:rPr>
        <w:t>②</w:t>
      </w:r>
      <w:r>
        <w:rPr>
          <w:sz w:val="21"/>
        </w:rPr>
        <w:t>所有检测项目实际服务费用相加所得的金额即为结算金额。</w:t>
      </w:r>
    </w:p>
    <w:p>
      <w:pPr>
        <w:pStyle w:val="null3"/>
        <w:jc w:val="both"/>
      </w:pPr>
      <w:r>
        <w:rPr>
          <w:sz w:val="21"/>
        </w:rPr>
        <w:t>8.2</w:t>
      </w:r>
      <w:r>
        <w:rPr>
          <w:sz w:val="21"/>
        </w:rPr>
        <w:t>乙方于每月</w:t>
      </w:r>
      <w:r>
        <w:rPr>
          <w:sz w:val="21"/>
        </w:rPr>
        <w:t>5</w:t>
      </w:r>
      <w:r>
        <w:rPr>
          <w:sz w:val="21"/>
        </w:rPr>
        <w:t>日前提供上月数量和价格，甲方进行核实。如出现差异，应于五个工作日内双方共同复核并确定结算数据，经双方认可和确认数据后方可进行费用结算。</w:t>
      </w:r>
    </w:p>
    <w:p>
      <w:pPr>
        <w:pStyle w:val="null3"/>
        <w:jc w:val="both"/>
      </w:pPr>
      <w:r>
        <w:rPr>
          <w:sz w:val="21"/>
        </w:rPr>
        <w:t>8.3</w:t>
      </w:r>
      <w:r>
        <w:rPr>
          <w:sz w:val="21"/>
        </w:rPr>
        <w:t>根据双方协商，双方按上述统一收费标准进行统计，结算按照标本的产生日期为准。双方每月结算一次，甲方自收到乙方发票起</w:t>
      </w:r>
      <w:r>
        <w:rPr>
          <w:sz w:val="21"/>
        </w:rPr>
        <w:t>30</w:t>
      </w:r>
      <w:r>
        <w:rPr>
          <w:sz w:val="21"/>
        </w:rPr>
        <w:t>个工作日内向乙方付款。</w:t>
      </w:r>
    </w:p>
    <w:p>
      <w:pPr>
        <w:pStyle w:val="null3"/>
        <w:jc w:val="both"/>
      </w:pPr>
      <w:r>
        <w:rPr>
          <w:sz w:val="21"/>
        </w:rPr>
        <w:t>8.4</w:t>
      </w:r>
      <w:r>
        <w:rPr>
          <w:sz w:val="21"/>
        </w:rPr>
        <w:t>因甲方使用资金需要经过财务审批程序，甲方在前款规定的付款时间为向财务部门提出办理支付申请手续的时间（不含账务部门、支付部门审核的时间） ，在规定时间内提出支付申请手续后即视为甲方已经按期支付。</w:t>
      </w:r>
    </w:p>
    <w:p>
      <w:pPr>
        <w:pStyle w:val="null3"/>
        <w:jc w:val="both"/>
      </w:pPr>
      <w:r>
        <w:rPr>
          <w:sz w:val="21"/>
        </w:rPr>
        <w:t>8.5</w:t>
      </w:r>
      <w:r>
        <w:rPr>
          <w:sz w:val="21"/>
        </w:rPr>
        <w:t>本项目将对乙方进行不定期考核，并根据考核情况对乙方进行扣罚，具体扣罚如下：</w:t>
      </w:r>
    </w:p>
    <w:p>
      <w:pPr>
        <w:pStyle w:val="null3"/>
        <w:jc w:val="both"/>
      </w:pPr>
      <w:r>
        <w:rPr>
          <w:sz w:val="21"/>
        </w:rPr>
        <w:t>（</w:t>
      </w:r>
      <w:r>
        <w:rPr>
          <w:sz w:val="21"/>
        </w:rPr>
        <w:t>1</w:t>
      </w:r>
      <w:r>
        <w:rPr>
          <w:sz w:val="21"/>
        </w:rPr>
        <w:t>）若服务考核低于</w:t>
      </w:r>
      <w:r>
        <w:rPr>
          <w:sz w:val="21"/>
        </w:rPr>
        <w:t>90</w:t>
      </w:r>
      <w:r>
        <w:rPr>
          <w:sz w:val="21"/>
        </w:rPr>
        <w:t>分的，甲方按该月度服务款项的</w:t>
      </w:r>
      <w:r>
        <w:rPr>
          <w:sz w:val="21"/>
        </w:rPr>
        <w:t>5%</w:t>
      </w:r>
      <w:r>
        <w:rPr>
          <w:sz w:val="21"/>
        </w:rPr>
        <w:t>对乙方进行扣罚，即该月的服务费结算金额</w:t>
      </w:r>
      <w:r>
        <w:rPr>
          <w:sz w:val="21"/>
        </w:rPr>
        <w:t>=</w:t>
      </w:r>
      <w:r>
        <w:rPr>
          <w:sz w:val="21"/>
        </w:rPr>
        <w:t>该月度服务费用</w:t>
      </w:r>
      <w:r>
        <w:rPr>
          <w:sz w:val="21"/>
        </w:rPr>
        <w:t>-</w:t>
      </w:r>
      <w:r>
        <w:rPr>
          <w:sz w:val="21"/>
        </w:rPr>
        <w:t>该月度服务费用</w:t>
      </w:r>
      <w:r>
        <w:rPr>
          <w:sz w:val="21"/>
        </w:rPr>
        <w:t>×5%</w:t>
      </w:r>
      <w:r>
        <w:rPr>
          <w:sz w:val="21"/>
        </w:rPr>
        <w:t>；</w:t>
      </w:r>
    </w:p>
    <w:p>
      <w:pPr>
        <w:pStyle w:val="null3"/>
        <w:jc w:val="both"/>
      </w:pPr>
      <w:r>
        <w:rPr>
          <w:sz w:val="21"/>
        </w:rPr>
        <w:t>（</w:t>
      </w:r>
      <w:r>
        <w:rPr>
          <w:sz w:val="21"/>
        </w:rPr>
        <w:t>2</w:t>
      </w:r>
      <w:r>
        <w:rPr>
          <w:sz w:val="21"/>
        </w:rPr>
        <w:t>）若服务考核低于</w:t>
      </w:r>
      <w:r>
        <w:rPr>
          <w:sz w:val="21"/>
        </w:rPr>
        <w:t>80</w:t>
      </w:r>
      <w:r>
        <w:rPr>
          <w:sz w:val="21"/>
        </w:rPr>
        <w:t>分的，甲方按该月度服务款项的</w:t>
      </w:r>
      <w:r>
        <w:rPr>
          <w:sz w:val="21"/>
        </w:rPr>
        <w:t>10%</w:t>
      </w:r>
      <w:r>
        <w:rPr>
          <w:sz w:val="21"/>
        </w:rPr>
        <w:t>对乙方进行扣罚，即该月的服务费结算金额</w:t>
      </w:r>
      <w:r>
        <w:rPr>
          <w:sz w:val="21"/>
        </w:rPr>
        <w:t>=</w:t>
      </w:r>
      <w:r>
        <w:rPr>
          <w:sz w:val="21"/>
        </w:rPr>
        <w:t>该月度服务费用</w:t>
      </w:r>
      <w:r>
        <w:rPr>
          <w:sz w:val="21"/>
        </w:rPr>
        <w:t>-</w:t>
      </w:r>
      <w:r>
        <w:rPr>
          <w:sz w:val="21"/>
        </w:rPr>
        <w:t>该月度服务费用</w:t>
      </w:r>
      <w:r>
        <w:rPr>
          <w:sz w:val="21"/>
        </w:rPr>
        <w:t>×10%</w:t>
      </w:r>
      <w:r>
        <w:rPr>
          <w:sz w:val="21"/>
        </w:rPr>
        <w:t>。</w:t>
      </w:r>
    </w:p>
    <w:p>
      <w:pPr>
        <w:pStyle w:val="null3"/>
        <w:jc w:val="both"/>
      </w:pPr>
      <w:r>
        <w:rPr>
          <w:sz w:val="21"/>
        </w:rPr>
        <w:t>8.6</w:t>
      </w:r>
      <w:r>
        <w:rPr>
          <w:sz w:val="21"/>
        </w:rPr>
        <w:t>如因政策影响使拨款未能及时到位的，乙方不得以此为由而不履行</w:t>
      </w:r>
      <w:r>
        <w:rPr>
          <w:sz w:val="21"/>
        </w:rPr>
        <w:t>(</w:t>
      </w:r>
      <w:r>
        <w:rPr>
          <w:sz w:val="21"/>
        </w:rPr>
        <w:t>或不完全履行</w:t>
      </w:r>
      <w:r>
        <w:rPr>
          <w:sz w:val="21"/>
        </w:rPr>
        <w:t>)</w:t>
      </w:r>
      <w:r>
        <w:rPr>
          <w:sz w:val="21"/>
        </w:rPr>
        <w:t>合同规定的义务。</w:t>
      </w:r>
    </w:p>
    <w:p>
      <w:pPr>
        <w:pStyle w:val="null3"/>
        <w:jc w:val="both"/>
      </w:pPr>
      <w:r>
        <w:rPr>
          <w:sz w:val="21"/>
          <w:b/>
        </w:rPr>
        <w:t xml:space="preserve">9 </w:t>
      </w:r>
      <w:r>
        <w:rPr>
          <w:sz w:val="21"/>
          <w:b/>
        </w:rPr>
        <w:t>违约责任</w:t>
      </w:r>
    </w:p>
    <w:p>
      <w:pPr>
        <w:pStyle w:val="null3"/>
        <w:jc w:val="both"/>
      </w:pPr>
      <w:r>
        <w:rPr>
          <w:sz w:val="21"/>
        </w:rPr>
        <w:t xml:space="preserve">9.1 </w:t>
      </w:r>
      <w:r>
        <w:rPr>
          <w:sz w:val="21"/>
        </w:rPr>
        <w:t>甲方责任</w:t>
      </w:r>
    </w:p>
    <w:p>
      <w:pPr>
        <w:pStyle w:val="null3"/>
        <w:jc w:val="both"/>
      </w:pPr>
      <w:r>
        <w:rPr>
          <w:sz w:val="21"/>
        </w:rPr>
        <w:t xml:space="preserve">9.1.1 </w:t>
      </w:r>
      <w:r>
        <w:rPr>
          <w:sz w:val="21"/>
        </w:rPr>
        <w:t>甲方提供样品不合格的（包括但不限于样品制备不符合本协议要求、达不到信息采集标准、样品污染 、样品损坏等），甲方有义务重新提供。如甲方无法重新提供合格样品而导致终止的，甲方具体应按检测价格的</w:t>
      </w:r>
      <w:r>
        <w:rPr>
          <w:sz w:val="21"/>
        </w:rPr>
        <w:t>20%</w:t>
      </w:r>
      <w:r>
        <w:rPr>
          <w:sz w:val="21"/>
        </w:rPr>
        <w:t>支付乙方该样品的检测费用 。</w:t>
      </w:r>
    </w:p>
    <w:p>
      <w:pPr>
        <w:pStyle w:val="null3"/>
        <w:jc w:val="both"/>
      </w:pPr>
      <w:r>
        <w:rPr>
          <w:sz w:val="21"/>
        </w:rPr>
        <w:t xml:space="preserve">9.1.2 </w:t>
      </w:r>
      <w:r>
        <w:rPr>
          <w:sz w:val="21"/>
        </w:rPr>
        <w:t>甲方迟延提供、不能或不提供本协议中约定的技术资料、样品材料等，导致项目或协议中止或终止时 ，甲方应支付乙方实际产生的费用，给乙方造成其他损失的，还应赔偿乙方其他损失。</w:t>
      </w:r>
    </w:p>
    <w:p>
      <w:pPr>
        <w:pStyle w:val="null3"/>
        <w:jc w:val="both"/>
      </w:pPr>
      <w:r>
        <w:rPr>
          <w:sz w:val="21"/>
        </w:rPr>
        <w:t xml:space="preserve">9.1.3 </w:t>
      </w:r>
      <w:r>
        <w:rPr>
          <w:sz w:val="21"/>
        </w:rPr>
        <w:t>甲方无正当理由拒绝验收的，甲方向乙方支付该例标本检验费用的</w:t>
      </w:r>
      <w:r>
        <w:rPr>
          <w:sz w:val="21"/>
        </w:rPr>
        <w:t>5%</w:t>
      </w:r>
      <w:r>
        <w:rPr>
          <w:sz w:val="21"/>
        </w:rPr>
        <w:t>的违约金。</w:t>
      </w:r>
    </w:p>
    <w:p>
      <w:pPr>
        <w:pStyle w:val="null3"/>
        <w:jc w:val="both"/>
      </w:pPr>
      <w:r>
        <w:rPr>
          <w:sz w:val="21"/>
        </w:rPr>
        <w:t>9.1.4</w:t>
      </w:r>
      <w:r>
        <w:rPr>
          <w:sz w:val="21"/>
        </w:rPr>
        <w:t>如因甲方提供的材料及样品等导致乙方面对任何索赔、指控时，甲方应承担相应法律责任，并使乙方免于承担任何责任。</w:t>
      </w:r>
    </w:p>
    <w:p>
      <w:pPr>
        <w:pStyle w:val="null3"/>
        <w:jc w:val="both"/>
      </w:pPr>
      <w:r>
        <w:rPr>
          <w:sz w:val="21"/>
        </w:rPr>
        <w:t xml:space="preserve">9.1.5 </w:t>
      </w:r>
      <w:r>
        <w:rPr>
          <w:sz w:val="21"/>
        </w:rPr>
        <w:t>如因非乙方原因导致协议执行中止时，甲方应按照乙方实际执行的工作量支付费用。</w:t>
      </w:r>
    </w:p>
    <w:p>
      <w:pPr>
        <w:pStyle w:val="null3"/>
        <w:jc w:val="both"/>
      </w:pPr>
      <w:r>
        <w:rPr>
          <w:sz w:val="21"/>
        </w:rPr>
        <w:t>9.1.6</w:t>
      </w:r>
      <w:r>
        <w:rPr>
          <w:sz w:val="21"/>
        </w:rPr>
        <w:t>如因甲方违反</w:t>
      </w:r>
      <w:r>
        <w:rPr>
          <w:sz w:val="21"/>
        </w:rPr>
        <w:t>3.1.1</w:t>
      </w:r>
      <w:r>
        <w:rPr>
          <w:sz w:val="21"/>
        </w:rPr>
        <w:t>及</w:t>
      </w:r>
      <w:r>
        <w:rPr>
          <w:sz w:val="21"/>
        </w:rPr>
        <w:t>3.3.1</w:t>
      </w:r>
      <w:r>
        <w:rPr>
          <w:sz w:val="21"/>
        </w:rPr>
        <w:t>条款，甲方应使乙方免受任何损失，该损失包括但不限于实际损失、 预期利益损失、商誉损失、诉讼费、律师费、调查取证费等。</w:t>
      </w:r>
    </w:p>
    <w:p>
      <w:pPr>
        <w:pStyle w:val="null3"/>
        <w:jc w:val="both"/>
      </w:pPr>
      <w:r>
        <w:rPr>
          <w:sz w:val="21"/>
        </w:rPr>
        <w:t>9.1.7</w:t>
      </w:r>
      <w:r>
        <w:rPr>
          <w:sz w:val="21"/>
        </w:rPr>
        <w:t>若甲方未经同意而修改报告模板、知情同意书及送检单等相关材料，造成纠纷等风险由甲方自行承担。</w:t>
      </w:r>
    </w:p>
    <w:p>
      <w:pPr>
        <w:pStyle w:val="null3"/>
        <w:jc w:val="both"/>
      </w:pPr>
      <w:r>
        <w:rPr>
          <w:sz w:val="21"/>
        </w:rPr>
        <w:t>9.1.8</w:t>
      </w:r>
      <w:r>
        <w:rPr>
          <w:sz w:val="21"/>
        </w:rPr>
        <w:t>甲方承诺提供给乙方的样本的采集、收集、研究、开发、买卖、出口、出境等活动均严格按照所有应适用的地方、国家和国际关于人类遗传资源保护与管理的法律、规定进行；甲方若以本合同项下产生或乙方向甲方交付的成果为基础而进行后续利用或开发，该等行为或活动均与乙方无关。</w:t>
      </w:r>
    </w:p>
    <w:p>
      <w:pPr>
        <w:pStyle w:val="null3"/>
        <w:jc w:val="both"/>
      </w:pPr>
      <w:r>
        <w:rPr>
          <w:sz w:val="21"/>
        </w:rPr>
        <w:t>9.1.9</w:t>
      </w:r>
      <w:r>
        <w:rPr>
          <w:sz w:val="21"/>
        </w:rPr>
        <w:t>甲方承诺已经依法向相关主管部门申报审批备案；如甲方未办理审批备案或主管部门审批未通过，乙方有权单方终止本合同。甲方提供给乙方的样本及有关信息、资料属于国家科学技术秘密的，完全符合地方、国家与科学技术保密有关的法律、规定。</w:t>
      </w:r>
    </w:p>
    <w:p>
      <w:pPr>
        <w:pStyle w:val="null3"/>
        <w:jc w:val="both"/>
      </w:pPr>
      <w:r>
        <w:rPr>
          <w:sz w:val="21"/>
        </w:rPr>
        <w:t xml:space="preserve">9.2 </w:t>
      </w:r>
      <w:r>
        <w:rPr>
          <w:sz w:val="21"/>
        </w:rPr>
        <w:t>乙方责任</w:t>
      </w:r>
    </w:p>
    <w:p>
      <w:pPr>
        <w:pStyle w:val="null3"/>
        <w:jc w:val="both"/>
      </w:pPr>
      <w:r>
        <w:rPr>
          <w:sz w:val="21"/>
        </w:rPr>
        <w:t xml:space="preserve">9.2.1 </w:t>
      </w:r>
      <w:r>
        <w:rPr>
          <w:sz w:val="21"/>
        </w:rPr>
        <w:t>由于受检者个体差异原因，仍需重新提供样品检测的，甲方应负责联系受检者重新采样检测，乙方不重复收取检测费用。乙方在检测或数据处理过程中因受检者个体差异而导致检测结果出具时间将相应延长，乙方应与甲方及时沟通解决，由此造成的延期，不属于乙方的违约情况。</w:t>
      </w:r>
    </w:p>
    <w:p>
      <w:pPr>
        <w:pStyle w:val="null3"/>
        <w:jc w:val="both"/>
      </w:pPr>
      <w:r>
        <w:rPr>
          <w:sz w:val="21"/>
        </w:rPr>
        <w:t xml:space="preserve">9.2.2 </w:t>
      </w:r>
      <w:r>
        <w:rPr>
          <w:sz w:val="21"/>
        </w:rPr>
        <w:t>乙方在检测或数据处理过程中遇到技术障碍、疑难、数据波动、胎儿浓度低、基因型、新突变类型、复杂区域或重复区域的</w:t>
      </w:r>
      <w:r>
        <w:rPr>
          <w:sz w:val="21"/>
        </w:rPr>
        <w:t>Sanger/qPCR</w:t>
      </w:r>
      <w:r>
        <w:rPr>
          <w:sz w:val="21"/>
        </w:rPr>
        <w:t>位点验证等，导致检测结果迟延或无法检测，不视为乙方违约，但乙方应及时通知甲方协商解决。</w:t>
      </w:r>
    </w:p>
    <w:p>
      <w:pPr>
        <w:pStyle w:val="null3"/>
        <w:jc w:val="both"/>
      </w:pPr>
      <w:r>
        <w:rPr>
          <w:sz w:val="21"/>
        </w:rPr>
        <w:t xml:space="preserve">9.2.3 </w:t>
      </w:r>
      <w:r>
        <w:rPr>
          <w:sz w:val="21"/>
        </w:rPr>
        <w:t>因乙方违反本合同第</w:t>
      </w:r>
      <w:r>
        <w:rPr>
          <w:sz w:val="21"/>
        </w:rPr>
        <w:t>3.2.4</w:t>
      </w:r>
      <w:r>
        <w:rPr>
          <w:sz w:val="21"/>
        </w:rPr>
        <w:t>条、第</w:t>
      </w:r>
      <w:r>
        <w:rPr>
          <w:sz w:val="21"/>
        </w:rPr>
        <w:t>6.2</w:t>
      </w:r>
      <w:r>
        <w:rPr>
          <w:sz w:val="21"/>
        </w:rPr>
        <w:t>条之保证及保密条款约定，造成甲方损失的，甲方有权单方解除本合同，乙方应赔偿甲方由此遭受的一切损失以及主张损失产生的一切费用（包括不限于律师费、诉讼费、公证费、鉴定费等）。</w:t>
      </w:r>
    </w:p>
    <w:p>
      <w:pPr>
        <w:pStyle w:val="null3"/>
        <w:jc w:val="both"/>
      </w:pPr>
      <w:r>
        <w:rPr>
          <w:sz w:val="21"/>
        </w:rPr>
        <w:t xml:space="preserve">9.2.4 </w:t>
      </w:r>
      <w:r>
        <w:rPr>
          <w:sz w:val="21"/>
        </w:rPr>
        <w:t>由于乙方故意或重大过失原因，导致甲方因乙方提供的服务遭受损失的，乙方应当赔偿甲方一切损失以及主张损失产生的一切费用（包括不限于律师费、诉讼费、公证费、鉴定费等）。</w:t>
      </w:r>
    </w:p>
    <w:p>
      <w:pPr>
        <w:pStyle w:val="null3"/>
        <w:jc w:val="both"/>
      </w:pPr>
      <w:r>
        <w:rPr>
          <w:sz w:val="21"/>
        </w:rPr>
        <w:t>9.2.5</w:t>
      </w:r>
      <w:r>
        <w:rPr>
          <w:sz w:val="21"/>
        </w:rPr>
        <w:t>乙方的服务项目不符合合同规定的，甲方有权拒绝验收，乙方向甲方支付该例标本检验费用的</w:t>
      </w:r>
      <w:r>
        <w:rPr>
          <w:sz w:val="21"/>
        </w:rPr>
        <w:t>5%</w:t>
      </w:r>
      <w:r>
        <w:rPr>
          <w:sz w:val="21"/>
        </w:rPr>
        <w:t>的违约金。</w:t>
      </w:r>
    </w:p>
    <w:p>
      <w:pPr>
        <w:pStyle w:val="null3"/>
        <w:jc w:val="both"/>
      </w:pPr>
      <w:r>
        <w:rPr>
          <w:sz w:val="21"/>
        </w:rPr>
        <w:t>9.2.6</w:t>
      </w:r>
      <w:r>
        <w:rPr>
          <w:sz w:val="21"/>
        </w:rPr>
        <w:t>乙方未能完成服务项目，提出终止合同的，则向甲方支付合同期内已发生的平均每月的检验费的</w:t>
      </w:r>
      <w:r>
        <w:rPr>
          <w:sz w:val="21"/>
        </w:rPr>
        <w:t>8%</w:t>
      </w:r>
      <w:r>
        <w:rPr>
          <w:sz w:val="21"/>
        </w:rPr>
        <w:t>的违约金。</w:t>
      </w:r>
    </w:p>
    <w:p>
      <w:pPr>
        <w:pStyle w:val="null3"/>
        <w:jc w:val="both"/>
      </w:pPr>
      <w:r>
        <w:rPr>
          <w:sz w:val="21"/>
        </w:rPr>
        <w:t>9.2.7</w:t>
      </w:r>
      <w:r>
        <w:rPr>
          <w:sz w:val="21"/>
        </w:rPr>
        <w:t>在服务期间，服务人员因为调走、辞职或被乙方辞退等原因导致服务人员不足的，而乙方在</w:t>
      </w:r>
      <w:r>
        <w:rPr>
          <w:sz w:val="21"/>
        </w:rPr>
        <w:t>30</w:t>
      </w:r>
      <w:r>
        <w:rPr>
          <w:sz w:val="21"/>
        </w:rPr>
        <w:t>天内未能及时补齐符合项目要求的服务人员时，则视为乙方违约，甲方有权终止合同，并有权拒绝支付因此而产生的项目服务费。</w:t>
      </w:r>
    </w:p>
    <w:p>
      <w:pPr>
        <w:pStyle w:val="null3"/>
        <w:jc w:val="both"/>
      </w:pPr>
      <w:r>
        <w:rPr>
          <w:sz w:val="21"/>
        </w:rPr>
        <w:t>9.2.8</w:t>
      </w:r>
      <w:r>
        <w:rPr>
          <w:sz w:val="21"/>
        </w:rPr>
        <w:t>因乙方安排的服务人员违反甲方内部管理制度、蓄意破坏设备设施、违反工作规程造成重大事故的，一经查实，则视为乙方严重违约，甲方有权终止合同，责令乙方赔偿损失，情节严重的依法追究乙方法律责任。</w:t>
      </w:r>
    </w:p>
    <w:p>
      <w:pPr>
        <w:pStyle w:val="null3"/>
        <w:jc w:val="both"/>
      </w:pPr>
      <w:r>
        <w:rPr>
          <w:sz w:val="21"/>
        </w:rPr>
        <w:t>9.2.9</w:t>
      </w:r>
      <w:r>
        <w:rPr>
          <w:sz w:val="21"/>
        </w:rPr>
        <w:t>若乙方在合同期内违反其服务承诺或本项目合同（包括合同附件）的要求</w:t>
      </w:r>
      <w:r>
        <w:rPr>
          <w:sz w:val="21"/>
        </w:rPr>
        <w:t>2</w:t>
      </w:r>
      <w:r>
        <w:rPr>
          <w:sz w:val="21"/>
        </w:rPr>
        <w:t>次或以上的，则视为乙方人违约，甲方有权单方解除合同并拒绝支付本期项目服务费。</w:t>
      </w:r>
    </w:p>
    <w:p>
      <w:pPr>
        <w:pStyle w:val="null3"/>
        <w:jc w:val="both"/>
      </w:pPr>
      <w:r>
        <w:rPr>
          <w:sz w:val="21"/>
        </w:rPr>
        <w:t>9.2.10</w:t>
      </w:r>
      <w:r>
        <w:rPr>
          <w:sz w:val="21"/>
        </w:rPr>
        <w:t>服务人员有以下情况之一的，造成甲方安全责任事故的，乙方除承担事故处理费用外，视情节还须按中标价支付</w:t>
      </w:r>
      <w:r>
        <w:rPr>
          <w:sz w:val="21"/>
        </w:rPr>
        <w:t>0.5%-1%</w:t>
      </w:r>
      <w:r>
        <w:rPr>
          <w:sz w:val="21"/>
        </w:rPr>
        <w:t>的违约金：</w:t>
      </w:r>
    </w:p>
    <w:p>
      <w:pPr>
        <w:pStyle w:val="null3"/>
        <w:jc w:val="both"/>
      </w:pPr>
      <w:r>
        <w:rPr>
          <w:sz w:val="21"/>
        </w:rPr>
        <w:t>①</w:t>
      </w:r>
      <w:r>
        <w:rPr>
          <w:sz w:val="21"/>
        </w:rPr>
        <w:t>违反甲方单位规章制度、业务规程或工作纪律的；</w:t>
      </w:r>
    </w:p>
    <w:p>
      <w:pPr>
        <w:pStyle w:val="null3"/>
        <w:jc w:val="both"/>
      </w:pPr>
      <w:r>
        <w:rPr>
          <w:sz w:val="21"/>
        </w:rPr>
        <w:t>②</w:t>
      </w:r>
      <w:r>
        <w:rPr>
          <w:sz w:val="21"/>
        </w:rPr>
        <w:t>严重失职，造成重大安全事故的；</w:t>
      </w:r>
    </w:p>
    <w:p>
      <w:pPr>
        <w:pStyle w:val="null3"/>
        <w:jc w:val="both"/>
      </w:pPr>
      <w:r>
        <w:rPr>
          <w:sz w:val="21"/>
        </w:rPr>
        <w:t>③</w:t>
      </w:r>
      <w:r>
        <w:rPr>
          <w:sz w:val="21"/>
        </w:rPr>
        <w:t>工作不服从指挥和安排的；</w:t>
      </w:r>
    </w:p>
    <w:p>
      <w:pPr>
        <w:pStyle w:val="null3"/>
        <w:jc w:val="both"/>
      </w:pPr>
      <w:r>
        <w:rPr>
          <w:sz w:val="21"/>
        </w:rPr>
        <w:t>④</w:t>
      </w:r>
      <w:r>
        <w:rPr>
          <w:sz w:val="21"/>
        </w:rPr>
        <w:t>其他违反法律法规规定情形的。</w:t>
      </w:r>
    </w:p>
    <w:p>
      <w:pPr>
        <w:pStyle w:val="null3"/>
        <w:jc w:val="both"/>
      </w:pPr>
      <w:r>
        <w:rPr>
          <w:sz w:val="21"/>
        </w:rPr>
        <w:t>9.2.11</w:t>
      </w:r>
      <w:r>
        <w:rPr>
          <w:sz w:val="21"/>
        </w:rPr>
        <w:t>若甲方使用科室核心小组有</w:t>
      </w:r>
      <w:r>
        <w:rPr>
          <w:sz w:val="21"/>
        </w:rPr>
        <w:t>2/3</w:t>
      </w:r>
      <w:r>
        <w:rPr>
          <w:sz w:val="21"/>
        </w:rPr>
        <w:t>或以上人数对乙方的服务质量不满意的，且使用科室核心小组已对其发出书面通报两次或以上的，经院方领导同意，甲方有权终止合同，并有权拒绝支付剩余未支付的服务费。</w:t>
      </w:r>
    </w:p>
    <w:p>
      <w:pPr>
        <w:pStyle w:val="null3"/>
        <w:jc w:val="both"/>
      </w:pPr>
      <w:r>
        <w:rPr>
          <w:sz w:val="21"/>
        </w:rPr>
        <w:t>9.2.12</w:t>
      </w:r>
      <w:r>
        <w:rPr>
          <w:sz w:val="21"/>
        </w:rPr>
        <w:t>乙方在投标文件中已对本采购文件需求等条款进行响应的，在合同执行过程中，如出现违反其响应文件内容或执行不到位，且甲方已对其发出书面通报两次或以上的，甲方有权终止合同，并有权拒绝支付剩余未支付的服务费。</w:t>
      </w:r>
    </w:p>
    <w:p>
      <w:pPr>
        <w:pStyle w:val="null3"/>
        <w:jc w:val="both"/>
      </w:pPr>
      <w:r>
        <w:rPr>
          <w:sz w:val="21"/>
        </w:rPr>
        <w:t>9.2.13</w:t>
      </w:r>
      <w:r>
        <w:rPr>
          <w:sz w:val="21"/>
        </w:rPr>
        <w:t>甲方使用科室对乙方进行考核，考核标准详见《中山市博爱医院外送基因测序项目考核表》，如考核分数低于</w:t>
      </w:r>
      <w:r>
        <w:rPr>
          <w:sz w:val="21"/>
        </w:rPr>
        <w:t>60</w:t>
      </w:r>
      <w:r>
        <w:rPr>
          <w:sz w:val="21"/>
        </w:rPr>
        <w:t>分，或累计两次服务考核低于</w:t>
      </w:r>
      <w:r>
        <w:rPr>
          <w:sz w:val="21"/>
        </w:rPr>
        <w:t>80</w:t>
      </w:r>
      <w:r>
        <w:rPr>
          <w:sz w:val="21"/>
        </w:rPr>
        <w:t>分的，甲方提出在一个月内整改后仍不达标，甲方有权提前终止合同而不承担法律责任，未支付的服务费无需支付。</w:t>
      </w:r>
    </w:p>
    <w:p>
      <w:pPr>
        <w:pStyle w:val="null3"/>
        <w:jc w:val="both"/>
      </w:pPr>
      <w:r>
        <w:rPr>
          <w:sz w:val="21"/>
        </w:rPr>
        <w:t>如因乙方违约导致甲方循法律途径主张权利，由此产生的诉讼费、律师费、差旅费等合理费用均由乙方承担。</w:t>
      </w:r>
    </w:p>
    <w:p>
      <w:pPr>
        <w:pStyle w:val="null3"/>
        <w:jc w:val="both"/>
      </w:pPr>
      <w:r>
        <w:rPr>
          <w:sz w:val="21"/>
        </w:rPr>
        <w:t xml:space="preserve">9.3 </w:t>
      </w:r>
      <w:r>
        <w:rPr>
          <w:sz w:val="21"/>
        </w:rPr>
        <w:t>不可抗力条款</w:t>
      </w:r>
    </w:p>
    <w:p>
      <w:pPr>
        <w:pStyle w:val="null3"/>
        <w:jc w:val="both"/>
      </w:pPr>
      <w:r>
        <w:rPr>
          <w:sz w:val="21"/>
        </w:rPr>
        <w:t xml:space="preserve">9.3.1 </w:t>
      </w:r>
      <w:r>
        <w:rPr>
          <w:sz w:val="21"/>
        </w:rPr>
        <w:t>如因不可抗力导致的项目延误或不能继续履行时，双方均不承担责任，但各方应尽最大努力将不可抗力造成的损失减到最低。不可抗力是指无法预见、无法避免、无法克服的客观情况，包括自然灾害、 军事行动、工人罢工、暴乱、法律法规强制规定、政府政策限制等。</w:t>
      </w:r>
    </w:p>
    <w:p>
      <w:pPr>
        <w:pStyle w:val="null3"/>
        <w:jc w:val="both"/>
      </w:pPr>
      <w:r>
        <w:rPr>
          <w:sz w:val="21"/>
          <w:b/>
        </w:rPr>
        <w:t xml:space="preserve">10 </w:t>
      </w:r>
      <w:r>
        <w:rPr>
          <w:sz w:val="21"/>
          <w:b/>
        </w:rPr>
        <w:t>验收</w:t>
      </w:r>
    </w:p>
    <w:p>
      <w:pPr>
        <w:pStyle w:val="null3"/>
        <w:jc w:val="both"/>
      </w:pPr>
      <w:r>
        <w:rPr>
          <w:sz w:val="21"/>
        </w:rPr>
        <w:t>10.1</w:t>
      </w:r>
      <w:r>
        <w:rPr>
          <w:sz w:val="21"/>
        </w:rPr>
        <w:t>验收工作由甲方（或甲方指定的单位）和乙方共同进行。</w:t>
      </w:r>
    </w:p>
    <w:p>
      <w:pPr>
        <w:pStyle w:val="null3"/>
        <w:jc w:val="both"/>
      </w:pPr>
      <w:r>
        <w:rPr>
          <w:sz w:val="21"/>
        </w:rPr>
        <w:t>10.2</w:t>
      </w:r>
      <w:r>
        <w:rPr>
          <w:sz w:val="21"/>
        </w:rPr>
        <w:t>验收标准：按招标文件技术要求和合同条款、国家以及甲方有关医疗标本送检规定执行进行验收，在验收时，乙方向甲方提供本项目服务过程资料及总结资料 。</w:t>
      </w:r>
    </w:p>
    <w:p>
      <w:pPr>
        <w:pStyle w:val="null3"/>
        <w:jc w:val="both"/>
      </w:pPr>
      <w:r>
        <w:rPr>
          <w:sz w:val="21"/>
        </w:rPr>
        <w:t>10.3</w:t>
      </w:r>
      <w:r>
        <w:rPr>
          <w:sz w:val="21"/>
        </w:rPr>
        <w:t>甲方可以邀请参加本项目的其他供应商或者第三方专业机构及专家参与验收，相关验收意见作为验收的参考资料。</w:t>
      </w:r>
    </w:p>
    <w:p>
      <w:pPr>
        <w:pStyle w:val="null3"/>
        <w:jc w:val="both"/>
      </w:pPr>
      <w:r>
        <w:rPr>
          <w:sz w:val="21"/>
        </w:rPr>
        <w:t>10.4</w:t>
      </w:r>
      <w:r>
        <w:rPr>
          <w:sz w:val="21"/>
        </w:rPr>
        <w:t>如发现效果与相关要求规定不符，甲方有权拒绝接受。</w:t>
      </w:r>
    </w:p>
    <w:p>
      <w:pPr>
        <w:pStyle w:val="null3"/>
        <w:jc w:val="both"/>
      </w:pPr>
      <w:r>
        <w:rPr>
          <w:sz w:val="21"/>
          <w:b/>
        </w:rPr>
        <w:t xml:space="preserve">11 </w:t>
      </w:r>
      <w:r>
        <w:rPr>
          <w:sz w:val="21"/>
          <w:b/>
        </w:rPr>
        <w:t>一般条款</w:t>
      </w:r>
    </w:p>
    <w:p>
      <w:pPr>
        <w:pStyle w:val="null3"/>
        <w:jc w:val="both"/>
      </w:pPr>
      <w:r>
        <w:rPr>
          <w:sz w:val="21"/>
        </w:rPr>
        <w:t xml:space="preserve">11.1 </w:t>
      </w:r>
      <w:r>
        <w:rPr>
          <w:sz w:val="21"/>
        </w:rPr>
        <w:t>知识产权条款</w:t>
      </w:r>
    </w:p>
    <w:p>
      <w:pPr>
        <w:pStyle w:val="null3"/>
        <w:jc w:val="both"/>
      </w:pPr>
      <w:r>
        <w:rPr>
          <w:sz w:val="21"/>
        </w:rPr>
        <w:t xml:space="preserve">11.1.1 </w:t>
      </w:r>
      <w:r>
        <w:rPr>
          <w:sz w:val="21"/>
        </w:rPr>
        <w:t>双方确定，在本协议有效期内：双方合作仅限于开展本医学检测服务类范畴的合作。甲方不得单方面以任何名义使用乙方及关联方品牌开展任何形式的宣传活动，乙方亦不得单方面以甲方品牌开展任何形式的宣传活动，如有违反，守约方保留向违约方追究相应法律责任的权利。</w:t>
      </w:r>
    </w:p>
    <w:p>
      <w:pPr>
        <w:pStyle w:val="null3"/>
        <w:jc w:val="both"/>
      </w:pPr>
      <w:r>
        <w:rPr>
          <w:sz w:val="21"/>
        </w:rPr>
        <w:t xml:space="preserve">11.1.2 </w:t>
      </w:r>
      <w:r>
        <w:rPr>
          <w:sz w:val="21"/>
        </w:rPr>
        <w:t>乙方须配合甲方进行科研项目，并提供科研项目必要的实验数据等。</w:t>
      </w:r>
    </w:p>
    <w:p>
      <w:pPr>
        <w:pStyle w:val="null3"/>
        <w:jc w:val="both"/>
      </w:pPr>
      <w:r>
        <w:rPr>
          <w:sz w:val="21"/>
        </w:rPr>
        <w:t xml:space="preserve">11.2 </w:t>
      </w:r>
      <w:r>
        <w:rPr>
          <w:sz w:val="21"/>
        </w:rPr>
        <w:t>保密责任条款</w:t>
      </w:r>
    </w:p>
    <w:p>
      <w:pPr>
        <w:pStyle w:val="null3"/>
        <w:jc w:val="both"/>
      </w:pPr>
      <w:r>
        <w:rPr>
          <w:sz w:val="21"/>
        </w:rPr>
        <w:t xml:space="preserve">11.2.1 </w:t>
      </w:r>
      <w:r>
        <w:rPr>
          <w:sz w:val="21"/>
        </w:rPr>
        <w:t>在合作期内及以后，协议内容及双方相关资料（包括但不限于各类数据、检测报告、价格、商业信息 ）皆为保密资料，除非保密资料已通过正当途径为公众所知，或除非由拥有资料一方事先书面授权透露，双方均应各自对保密资料保密，不得向除两方以外的任何其他方透露，也不得将保密资料用于与本协议条款和条件不相符合的任何目的，但依照适用法律规定或司法机关要求而必须公开的除外。</w:t>
      </w:r>
    </w:p>
    <w:p>
      <w:pPr>
        <w:pStyle w:val="null3"/>
        <w:jc w:val="both"/>
      </w:pPr>
      <w:r>
        <w:rPr>
          <w:sz w:val="21"/>
        </w:rPr>
        <w:t xml:space="preserve">11.2.2 </w:t>
      </w:r>
      <w:r>
        <w:rPr>
          <w:sz w:val="21"/>
        </w:rPr>
        <w:t>双方只能向因职责所需而需要了解上述保密资料的工作人员透露保密资料，且该工作人员经双方协商授权确定，并应采取所有合理的防范措施防止不经授权的披露。</w:t>
      </w:r>
    </w:p>
    <w:p>
      <w:pPr>
        <w:pStyle w:val="null3"/>
        <w:jc w:val="both"/>
      </w:pPr>
      <w:r>
        <w:rPr>
          <w:sz w:val="21"/>
        </w:rPr>
        <w:t xml:space="preserve">11.2.3 </w:t>
      </w:r>
      <w:r>
        <w:rPr>
          <w:sz w:val="21"/>
        </w:rPr>
        <w:t>双方保证，对于受检者所有信息保密，除非该信息已经由受检者主动公开，或依照适用法律规定或司法机关要求而必须公开的除外。</w:t>
      </w:r>
    </w:p>
    <w:p>
      <w:pPr>
        <w:pStyle w:val="null3"/>
        <w:jc w:val="both"/>
      </w:pPr>
      <w:r>
        <w:rPr>
          <w:sz w:val="21"/>
        </w:rPr>
        <w:t xml:space="preserve">11.2.4 </w:t>
      </w:r>
      <w:r>
        <w:rPr>
          <w:sz w:val="21"/>
        </w:rPr>
        <w:t>本协议规定的保密义务应在协议终止后，直至相关资料依法成为公知信息之前一直持续有效。</w:t>
      </w:r>
    </w:p>
    <w:p>
      <w:pPr>
        <w:pStyle w:val="null3"/>
        <w:jc w:val="both"/>
      </w:pPr>
      <w:r>
        <w:rPr>
          <w:sz w:val="21"/>
        </w:rPr>
        <w:t xml:space="preserve">11.3 </w:t>
      </w:r>
      <w:r>
        <w:rPr>
          <w:sz w:val="21"/>
        </w:rPr>
        <w:t>转让</w:t>
      </w:r>
    </w:p>
    <w:p>
      <w:pPr>
        <w:pStyle w:val="null3"/>
        <w:jc w:val="both"/>
      </w:pPr>
      <w:r>
        <w:rPr>
          <w:sz w:val="21"/>
        </w:rPr>
        <w:t xml:space="preserve">11.3.1 </w:t>
      </w:r>
      <w:r>
        <w:rPr>
          <w:sz w:val="21"/>
        </w:rPr>
        <w:t>未经他方事先书面同意，一方不得将本协议项下之任何权利义务转让给任何第三方。</w:t>
      </w:r>
    </w:p>
    <w:p>
      <w:pPr>
        <w:pStyle w:val="null3"/>
        <w:jc w:val="both"/>
      </w:pPr>
      <w:r>
        <w:rPr>
          <w:sz w:val="21"/>
        </w:rPr>
        <w:t xml:space="preserve">11.4 </w:t>
      </w:r>
      <w:r>
        <w:rPr>
          <w:sz w:val="21"/>
        </w:rPr>
        <w:t>延期</w:t>
      </w:r>
    </w:p>
    <w:p>
      <w:pPr>
        <w:pStyle w:val="null3"/>
        <w:jc w:val="both"/>
      </w:pPr>
      <w:r>
        <w:rPr>
          <w:sz w:val="21"/>
        </w:rPr>
        <w:t xml:space="preserve">11.4.1 </w:t>
      </w:r>
      <w:r>
        <w:rPr>
          <w:sz w:val="21"/>
        </w:rPr>
        <w:t>如需延长协议期限，双方应在协议期满前三个月签订延期合同。</w:t>
      </w:r>
    </w:p>
    <w:p>
      <w:pPr>
        <w:pStyle w:val="null3"/>
        <w:jc w:val="both"/>
      </w:pPr>
      <w:r>
        <w:rPr>
          <w:sz w:val="21"/>
        </w:rPr>
        <w:t xml:space="preserve">11.5 </w:t>
      </w:r>
      <w:r>
        <w:rPr>
          <w:sz w:val="21"/>
        </w:rPr>
        <w:t>协议解除</w:t>
      </w:r>
    </w:p>
    <w:p>
      <w:pPr>
        <w:pStyle w:val="null3"/>
        <w:jc w:val="both"/>
      </w:pPr>
      <w:r>
        <w:rPr>
          <w:sz w:val="21"/>
        </w:rPr>
        <w:t xml:space="preserve">11.5.1 </w:t>
      </w:r>
      <w:r>
        <w:rPr>
          <w:sz w:val="21"/>
        </w:rPr>
        <w:t>协议解除，是指依法提前终止合同关系。经一方提前书面通知，甲乙双方可以协商一致解除协议。</w:t>
      </w:r>
    </w:p>
    <w:p>
      <w:pPr>
        <w:pStyle w:val="null3"/>
        <w:jc w:val="both"/>
      </w:pPr>
      <w:r>
        <w:rPr>
          <w:sz w:val="21"/>
        </w:rPr>
        <w:t xml:space="preserve">11.5.2 </w:t>
      </w:r>
      <w:r>
        <w:rPr>
          <w:sz w:val="21"/>
        </w:rPr>
        <w:t>双方确认，出现下列情形，致使本协议的履行成为不必要或不可能的，一方可以书面通知另一方解除本协议：</w:t>
      </w:r>
    </w:p>
    <w:p>
      <w:pPr>
        <w:pStyle w:val="null3"/>
        <w:jc w:val="both"/>
      </w:pPr>
      <w:r>
        <w:rPr>
          <w:sz w:val="21"/>
        </w:rPr>
        <w:t xml:space="preserve">1) </w:t>
      </w:r>
      <w:r>
        <w:rPr>
          <w:sz w:val="21"/>
        </w:rPr>
        <w:t>因发生不可抗力或技术障碍；</w:t>
      </w:r>
    </w:p>
    <w:p>
      <w:pPr>
        <w:pStyle w:val="null3"/>
        <w:jc w:val="both"/>
      </w:pPr>
      <w:r>
        <w:rPr>
          <w:sz w:val="21"/>
        </w:rPr>
        <w:t xml:space="preserve">2) </w:t>
      </w:r>
      <w:r>
        <w:rPr>
          <w:sz w:val="21"/>
        </w:rPr>
        <w:t>因对方违约使协议履行不能继续或没有必要继续履行。</w:t>
      </w:r>
    </w:p>
    <w:p>
      <w:pPr>
        <w:pStyle w:val="null3"/>
        <w:jc w:val="both"/>
      </w:pPr>
      <w:r>
        <w:rPr>
          <w:sz w:val="21"/>
        </w:rPr>
        <w:t xml:space="preserve">11.5.3 </w:t>
      </w:r>
      <w:r>
        <w:rPr>
          <w:sz w:val="21"/>
        </w:rPr>
        <w:t>甲方提供的工作条件、样品等材料不符合乙方要求，经乙方提示后仍不能提供的，乙方有权单方解除协议。</w:t>
      </w:r>
    </w:p>
    <w:p>
      <w:pPr>
        <w:pStyle w:val="null3"/>
        <w:jc w:val="both"/>
      </w:pPr>
      <w:r>
        <w:rPr>
          <w:sz w:val="21"/>
        </w:rPr>
        <w:t xml:space="preserve">11.5.4 </w:t>
      </w:r>
      <w:r>
        <w:rPr>
          <w:sz w:val="21"/>
        </w:rPr>
        <w:t>除本协议另有约定外，协议解除后，甲方需按照乙方实际完成的工作量支付费用。但因乙方违反本合同约定导致本合同解除的除外。</w:t>
      </w:r>
    </w:p>
    <w:p>
      <w:pPr>
        <w:pStyle w:val="null3"/>
        <w:jc w:val="both"/>
      </w:pPr>
      <w:r>
        <w:rPr>
          <w:sz w:val="21"/>
        </w:rPr>
        <w:t xml:space="preserve">11.6 </w:t>
      </w:r>
      <w:r>
        <w:rPr>
          <w:sz w:val="21"/>
        </w:rPr>
        <w:t>适用法律和纠纷解决条款</w:t>
      </w:r>
    </w:p>
    <w:p>
      <w:pPr>
        <w:pStyle w:val="null3"/>
        <w:jc w:val="both"/>
      </w:pPr>
      <w:r>
        <w:rPr>
          <w:sz w:val="21"/>
        </w:rPr>
        <w:t xml:space="preserve">11.6.1 </w:t>
      </w:r>
      <w:r>
        <w:rPr>
          <w:sz w:val="21"/>
        </w:rPr>
        <w:t>本合同的生效、解释和履行，适用中华人民共和国（不含港澳台地区）法律。</w:t>
      </w:r>
    </w:p>
    <w:p>
      <w:pPr>
        <w:pStyle w:val="null3"/>
        <w:jc w:val="both"/>
      </w:pPr>
      <w:r>
        <w:rPr>
          <w:sz w:val="21"/>
        </w:rPr>
        <w:t xml:space="preserve">11.6.2 </w:t>
      </w:r>
      <w:r>
        <w:rPr>
          <w:sz w:val="21"/>
        </w:rPr>
        <w:t>合作双方因履行本协议而发生的争议，应协商、调解解决。协商、调解不成的，确定按以下第</w:t>
      </w:r>
      <w:r>
        <w:rPr>
          <w:sz w:val="21"/>
        </w:rPr>
        <w:t>2</w:t>
      </w:r>
      <w:r>
        <w:rPr>
          <w:sz w:val="21"/>
        </w:rPr>
        <w:t>种方式处理：</w:t>
      </w:r>
    </w:p>
    <w:p>
      <w:pPr>
        <w:pStyle w:val="null3"/>
        <w:jc w:val="both"/>
      </w:pPr>
      <w:r>
        <w:rPr>
          <w:sz w:val="21"/>
        </w:rPr>
        <w:t>1</w:t>
      </w:r>
      <w:r>
        <w:rPr>
          <w:sz w:val="21"/>
        </w:rPr>
        <w:t>）提交广州仲裁委员会中山分会仲裁。</w:t>
      </w:r>
    </w:p>
    <w:p>
      <w:pPr>
        <w:pStyle w:val="null3"/>
        <w:jc w:val="both"/>
      </w:pPr>
      <w:r>
        <w:rPr>
          <w:sz w:val="21"/>
        </w:rPr>
        <w:t>2</w:t>
      </w:r>
      <w:r>
        <w:rPr>
          <w:sz w:val="21"/>
        </w:rPr>
        <w:t>）依法向甲方所在地人民法院起诉。</w:t>
      </w:r>
    </w:p>
    <w:p>
      <w:pPr>
        <w:pStyle w:val="null3"/>
        <w:jc w:val="both"/>
      </w:pPr>
      <w:r>
        <w:rPr>
          <w:sz w:val="21"/>
          <w:b/>
        </w:rPr>
        <w:t xml:space="preserve">12 </w:t>
      </w:r>
      <w:r>
        <w:rPr>
          <w:sz w:val="21"/>
          <w:b/>
        </w:rPr>
        <w:t>其他事项</w:t>
      </w:r>
    </w:p>
    <w:p>
      <w:pPr>
        <w:pStyle w:val="null3"/>
        <w:jc w:val="both"/>
      </w:pPr>
      <w:r>
        <w:rPr>
          <w:sz w:val="21"/>
        </w:rPr>
        <w:t xml:space="preserve">12.1 </w:t>
      </w:r>
      <w:r>
        <w:rPr>
          <w:sz w:val="21"/>
        </w:rPr>
        <w:t>替代</w:t>
      </w:r>
    </w:p>
    <w:p>
      <w:pPr>
        <w:pStyle w:val="null3"/>
        <w:jc w:val="both"/>
      </w:pPr>
      <w:r>
        <w:rPr>
          <w:sz w:val="21"/>
        </w:rPr>
        <w:t xml:space="preserve">12.1.1 </w:t>
      </w:r>
      <w:r>
        <w:rPr>
          <w:sz w:val="21"/>
        </w:rPr>
        <w:t>本协议取代此前可能存在的双方之间的有关本次服务的任何书面或口头的约定。经签署本协议，双方确认将仅以本协议的明确约定为调整双方合同关系的陈述、承诺或保证。</w:t>
      </w:r>
    </w:p>
    <w:p>
      <w:pPr>
        <w:pStyle w:val="null3"/>
        <w:jc w:val="both"/>
      </w:pPr>
      <w:r>
        <w:rPr>
          <w:sz w:val="21"/>
        </w:rPr>
        <w:t xml:space="preserve">12.2 </w:t>
      </w:r>
      <w:r>
        <w:rPr>
          <w:sz w:val="21"/>
        </w:rPr>
        <w:t>完整</w:t>
      </w:r>
    </w:p>
    <w:p>
      <w:pPr>
        <w:pStyle w:val="null3"/>
        <w:jc w:val="both"/>
      </w:pPr>
      <w:r>
        <w:rPr>
          <w:sz w:val="21"/>
        </w:rPr>
        <w:t xml:space="preserve">12.2.1 </w:t>
      </w:r>
      <w:r>
        <w:rPr>
          <w:sz w:val="21"/>
        </w:rPr>
        <w:t>与履行本协议有关的下列技术文件，经合作双方协商确认，为本协议的组成部分：</w:t>
      </w:r>
    </w:p>
    <w:p>
      <w:pPr>
        <w:pStyle w:val="null3"/>
        <w:jc w:val="both"/>
      </w:pPr>
      <w:r>
        <w:rPr>
          <w:sz w:val="21"/>
        </w:rPr>
        <w:t>附件一《拟外送基因检测项目》</w:t>
      </w:r>
    </w:p>
    <w:p>
      <w:pPr>
        <w:pStyle w:val="null3"/>
        <w:jc w:val="both"/>
      </w:pPr>
      <w:r>
        <w:rPr>
          <w:sz w:val="21"/>
        </w:rPr>
        <w:t xml:space="preserve">12.3 </w:t>
      </w:r>
      <w:r>
        <w:rPr>
          <w:sz w:val="21"/>
        </w:rPr>
        <w:t>生效</w:t>
      </w:r>
    </w:p>
    <w:p>
      <w:pPr>
        <w:pStyle w:val="null3"/>
        <w:jc w:val="both"/>
      </w:pPr>
      <w:r>
        <w:rPr>
          <w:sz w:val="21"/>
        </w:rPr>
        <w:t xml:space="preserve">12.3.1 </w:t>
      </w:r>
      <w:r>
        <w:rPr>
          <w:sz w:val="21"/>
        </w:rPr>
        <w:t>本协议一式</w:t>
      </w:r>
      <w:r>
        <w:rPr>
          <w:sz w:val="21"/>
          <w:u w:val="single"/>
        </w:rPr>
        <w:t xml:space="preserve">   </w:t>
      </w:r>
      <w:r>
        <w:rPr>
          <w:sz w:val="21"/>
        </w:rPr>
        <w:t>份，经合同各方签字盖章后生效，甲执</w:t>
      </w:r>
      <w:r>
        <w:rPr>
          <w:sz w:val="21"/>
          <w:u w:val="single"/>
        </w:rPr>
        <w:t xml:space="preserve">  </w:t>
      </w:r>
      <w:r>
        <w:rPr>
          <w:sz w:val="21"/>
        </w:rPr>
        <w:t>份，乙方执</w:t>
      </w:r>
      <w:r>
        <w:rPr>
          <w:sz w:val="21"/>
        </w:rPr>
        <w:t xml:space="preserve">  </w:t>
      </w:r>
      <w:r>
        <w:rPr>
          <w:sz w:val="21"/>
        </w:rPr>
        <w:t>份，采购代理机构执一份，具有同等法律效力。</w:t>
      </w:r>
    </w:p>
    <w:p>
      <w:pPr>
        <w:pStyle w:val="null3"/>
        <w:jc w:val="both"/>
      </w:pPr>
      <w:r>
        <w:rPr>
          <w:sz w:val="21"/>
        </w:rPr>
        <w:t>甲方：中山市博爱医院</w:t>
      </w:r>
      <w:r>
        <w:rPr>
          <w:sz w:val="21"/>
        </w:rPr>
        <w:t xml:space="preserve">                            </w:t>
      </w:r>
      <w:r>
        <w:rPr>
          <w:sz w:val="21"/>
        </w:rPr>
        <w:t>乙方：</w:t>
      </w:r>
      <w:r>
        <w:rPr>
          <w:sz w:val="21"/>
        </w:rPr>
        <w:t xml:space="preserve">               </w:t>
      </w:r>
    </w:p>
    <w:p>
      <w:pPr>
        <w:pStyle w:val="null3"/>
        <w:jc w:val="both"/>
      </w:pPr>
      <w:r>
        <w:rPr>
          <w:sz w:val="21"/>
        </w:rPr>
        <w:t>签约代表：</w:t>
      </w:r>
      <w:r>
        <w:rPr>
          <w:sz w:val="21"/>
        </w:rPr>
        <w:t xml:space="preserve">                                             </w:t>
      </w:r>
      <w:r>
        <w:rPr>
          <w:sz w:val="21"/>
        </w:rPr>
        <w:t>签约代表：</w:t>
      </w:r>
    </w:p>
    <w:p>
      <w:pPr>
        <w:pStyle w:val="null3"/>
        <w:jc w:val="both"/>
      </w:pPr>
      <w:r>
        <w:rPr>
          <w:sz w:val="21"/>
        </w:rPr>
        <w:t>经办人：</w:t>
      </w:r>
      <w:r>
        <w:rPr>
          <w:sz w:val="21"/>
        </w:rPr>
        <w:t xml:space="preserve">                                                 </w:t>
      </w:r>
      <w:r>
        <w:rPr>
          <w:sz w:val="21"/>
        </w:rPr>
        <w:t>经办人：</w:t>
      </w:r>
    </w:p>
    <w:p>
      <w:pPr>
        <w:pStyle w:val="null3"/>
        <w:jc w:val="both"/>
      </w:pPr>
      <w:r>
        <w:rPr>
          <w:sz w:val="21"/>
        </w:rPr>
        <w:t>地址：</w:t>
      </w:r>
      <w:r>
        <w:rPr>
          <w:sz w:val="21"/>
        </w:rPr>
        <w:t xml:space="preserve">                                                    </w:t>
      </w:r>
      <w:r>
        <w:rPr>
          <w:sz w:val="21"/>
        </w:rPr>
        <w:t>地址：</w:t>
      </w:r>
    </w:p>
    <w:p>
      <w:pPr>
        <w:pStyle w:val="null3"/>
        <w:jc w:val="both"/>
      </w:pPr>
      <w:r>
        <w:rPr>
          <w:sz w:val="21"/>
        </w:rPr>
        <w:t>纳税人识别号（信用代码）：</w:t>
      </w:r>
      <w:r>
        <w:rPr>
          <w:sz w:val="21"/>
        </w:rPr>
        <w:t xml:space="preserve">                  </w:t>
      </w:r>
      <w:r>
        <w:rPr>
          <w:sz w:val="21"/>
        </w:rPr>
        <w:t>纳税人识别号（信用代码）：</w:t>
      </w:r>
    </w:p>
    <w:p>
      <w:pPr>
        <w:pStyle w:val="null3"/>
        <w:jc w:val="both"/>
      </w:pPr>
      <w:r>
        <w:rPr>
          <w:sz w:val="21"/>
        </w:rPr>
        <w:t>开户银行：</w:t>
      </w:r>
      <w:r>
        <w:rPr>
          <w:sz w:val="21"/>
        </w:rPr>
        <w:t xml:space="preserve">                                             </w:t>
      </w:r>
      <w:r>
        <w:rPr>
          <w:sz w:val="21"/>
        </w:rPr>
        <w:t>开户银行：</w:t>
      </w:r>
    </w:p>
    <w:p>
      <w:pPr>
        <w:pStyle w:val="null3"/>
        <w:jc w:val="both"/>
      </w:pPr>
      <w:r>
        <w:rPr>
          <w:sz w:val="21"/>
        </w:rPr>
        <w:t>帐号：</w:t>
      </w:r>
      <w:r>
        <w:rPr>
          <w:sz w:val="21"/>
        </w:rPr>
        <w:t xml:space="preserve">                                                    </w:t>
      </w:r>
      <w:r>
        <w:rPr>
          <w:sz w:val="21"/>
        </w:rPr>
        <w:t>账号：</w:t>
      </w:r>
    </w:p>
    <w:p>
      <w:pPr>
        <w:pStyle w:val="null3"/>
        <w:jc w:val="both"/>
      </w:pPr>
      <w:r>
        <w:rPr>
          <w:sz w:val="21"/>
        </w:rPr>
        <w:t>电话：</w:t>
      </w:r>
      <w:r>
        <w:rPr>
          <w:sz w:val="21"/>
        </w:rPr>
        <w:t xml:space="preserve">                                                    </w:t>
      </w: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40"/>
        <w:jc w:val="both"/>
      </w:pPr>
      <w:r>
        <w:rPr>
          <w:sz w:val="21"/>
        </w:rPr>
        <w:t>附件</w:t>
      </w:r>
      <w:r>
        <w:rPr>
          <w:sz w:val="21"/>
        </w:rPr>
        <w:t>1</w:t>
      </w:r>
      <w:r>
        <w:rPr>
          <w:sz w:val="21"/>
        </w:rPr>
        <w:t>：拟外送基因检测项目</w:t>
      </w:r>
    </w:p>
    <w:tbl>
      <w:tblPr>
        <w:tblW w:w="0" w:type="auto"/>
        <w:tblBorders>
          <w:top w:val="none" w:color="000000" w:sz="4"/>
          <w:left w:val="none" w:color="000000" w:sz="4"/>
          <w:bottom w:val="none" w:color="000000" w:sz="4"/>
          <w:right w:val="none" w:color="000000" w:sz="4"/>
          <w:insideH w:val="none"/>
          <w:insideV w:val="none"/>
        </w:tblBorders>
      </w:tblPr>
      <w:tblGrid>
        <w:gridCol w:w="849"/>
        <w:gridCol w:w="1895"/>
        <w:gridCol w:w="1364"/>
        <w:gridCol w:w="1470"/>
        <w:gridCol w:w="1364"/>
        <w:gridCol w:w="1364"/>
      </w:tblGrid>
      <w:tr>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1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项目代码</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物价核准收费</w:t>
            </w:r>
          </w:p>
          <w:p>
            <w:pPr>
              <w:pStyle w:val="null3"/>
              <w:jc w:val="center"/>
            </w:pPr>
            <w:r>
              <w:rPr>
                <w:sz w:val="21"/>
              </w:rPr>
              <w:t>（单位：元）</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标本要求</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报告时间</w:t>
            </w:r>
          </w:p>
        </w:tc>
      </w:tr>
      <w:tr>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附件</w:t>
      </w:r>
      <w:r>
        <w:rPr>
          <w:sz w:val="21"/>
        </w:rPr>
        <w:t>2</w:t>
      </w:r>
      <w:r>
        <w:rPr>
          <w:sz w:val="21"/>
        </w:rPr>
        <w:t>：中山市博爱医院外送基因测序项目服务考核表</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442000-2025-00382</w:t>
      </w:r>
    </w:p>
    <w:p>
      <w:pPr>
        <w:pStyle w:val="null3"/>
        <w:jc w:val="center"/>
        <w:outlineLvl w:val="3"/>
      </w:pPr>
      <w:r>
        <w:rPr>
          <w:sz w:val="24"/>
          <w:b/>
        </w:rPr>
        <w:t>采购项目编号：</w:t>
      </w:r>
      <w:r>
        <w:rPr>
          <w:sz w:val="24"/>
          <w:b/>
        </w:rPr>
        <w:t>ZZ22413538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中山市博爱医院外送基因测序项目（2025年至2027年）</w:t>
      </w:r>
      <w:r>
        <w:rPr>
          <w:u w:val="single"/>
        </w:rPr>
        <w:t>”</w:t>
      </w:r>
      <w:r>
        <w:rPr/>
        <w:t>项目的招标[采购项目编号为：</w:t>
      </w:r>
      <w:r>
        <w:rPr>
          <w:u w:val="single"/>
        </w:rPr>
        <w:t>ZZ22413538</w:t>
      </w:r>
      <w:r>
        <w:rPr/>
        <w:t>]，我方愿参与投标。</w:t>
      </w:r>
    </w:p>
    <w:p>
      <w:pPr>
        <w:pStyle w:val="null3"/>
        <w:ind w:firstLine="480"/>
      </w:pPr>
      <w:r>
        <w:rPr/>
        <w:t>我方确认收到贵方提供的</w:t>
      </w:r>
      <w:r>
        <w:rPr>
          <w:u w:val="single"/>
        </w:rPr>
        <w:t>“</w:t>
      </w:r>
      <w:r>
        <w:rPr>
          <w:u w:val="single"/>
        </w:rPr>
        <w:t>中山市博爱医院外送基因测序项目（2025年至2027年）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中山市博爱医院外送基因测序项目（2025年至2027年）</w:t>
      </w:r>
      <w:r>
        <w:rPr/>
        <w:t>”项目采购[采购项目编号为</w:t>
      </w:r>
      <w:r>
        <w:rPr/>
        <w:t>ZZ22413538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中山市博爱医院外送基因测序项目（2025年至2027年）</w:t>
      </w:r>
      <w:r>
        <w:rPr/>
        <w:t>招标中获中标（采购项目编号：</w:t>
      </w:r>
      <w:r>
        <w:rPr/>
        <w:t>ZZ22413538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中山市博爱医院外送基因测序项目（2025年至2027年）</w:t>
      </w:r>
      <w:r>
        <w:rPr/>
        <w:t>”项目（采购项目编号：</w:t>
      </w:r>
      <w:r>
        <w:rPr/>
        <w:t>ZZ22413538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