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粗仿宋" w:eastAsia="彩虹粗仿宋"/>
          <w:b/>
          <w:bCs/>
          <w:sz w:val="32"/>
          <w:szCs w:val="24"/>
        </w:rPr>
      </w:pPr>
      <w:r>
        <w:rPr>
          <w:rFonts w:hint="eastAsia" w:ascii="彩虹粗仿宋" w:eastAsia="彩虹粗仿宋"/>
          <w:b/>
          <w:bCs/>
          <w:sz w:val="32"/>
          <w:szCs w:val="24"/>
        </w:rPr>
        <w:t>省分行机房环境设备维保服务项目采购需求</w:t>
      </w:r>
    </w:p>
    <w:p>
      <w:pPr>
        <w:jc w:val="center"/>
        <w:rPr>
          <w:rFonts w:ascii="彩虹粗仿宋" w:eastAsia="彩虹粗仿宋"/>
          <w:b/>
          <w:bCs/>
          <w:sz w:val="28"/>
        </w:rPr>
      </w:pP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项目内容</w:t>
      </w:r>
    </w:p>
    <w:p>
      <w:pPr>
        <w:tabs>
          <w:tab w:val="left" w:pos="540"/>
        </w:tabs>
        <w:adjustRightInd w:val="0"/>
        <w:snapToGrid w:val="0"/>
        <w:spacing w:line="360" w:lineRule="auto"/>
        <w:ind w:firstLine="540"/>
        <w:rPr>
          <w:rFonts w:hint="eastAsia" w:ascii="宋体" w:hAnsi="宋体"/>
          <w:sz w:val="24"/>
          <w:lang w:eastAsia="zh-CN"/>
        </w:rPr>
      </w:pPr>
      <w:r>
        <w:rPr>
          <w:rFonts w:hint="eastAsia" w:ascii="宋体" w:hAnsi="宋体"/>
          <w:sz w:val="24"/>
        </w:rPr>
        <w:t>中国建设银行广东省分行机房环境设备（以下简称为设备）维保服务。维保</w:t>
      </w:r>
      <w:r>
        <w:rPr>
          <w:rFonts w:ascii="宋体" w:hAnsi="宋体"/>
          <w:sz w:val="24"/>
        </w:rPr>
        <w:t>设备包括</w:t>
      </w:r>
      <w:r>
        <w:rPr>
          <w:rFonts w:hint="eastAsia" w:ascii="宋体" w:hAnsi="宋体"/>
          <w:sz w:val="24"/>
        </w:rPr>
        <w:t>：</w:t>
      </w:r>
      <w:r>
        <w:rPr>
          <w:rFonts w:ascii="宋体" w:hAnsi="宋体"/>
          <w:sz w:val="24"/>
        </w:rPr>
        <w:t>精密空调</w:t>
      </w:r>
      <w:r>
        <w:rPr>
          <w:rFonts w:hint="eastAsia" w:ascii="宋体" w:hAnsi="宋体"/>
          <w:sz w:val="24"/>
          <w:lang w:val="en-US" w:eastAsia="zh-CN"/>
        </w:rPr>
        <w:t>40</w:t>
      </w:r>
      <w:r>
        <w:rPr>
          <w:rFonts w:hint="eastAsia" w:ascii="宋体" w:hAnsi="宋体"/>
          <w:sz w:val="24"/>
        </w:rPr>
        <w:t>台</w:t>
      </w:r>
      <w:r>
        <w:rPr>
          <w:rFonts w:ascii="宋体" w:hAnsi="宋体"/>
          <w:sz w:val="24"/>
        </w:rPr>
        <w:t>、</w:t>
      </w:r>
      <w:r>
        <w:rPr>
          <w:rFonts w:hint="eastAsia" w:ascii="宋体" w:hAnsi="宋体"/>
          <w:sz w:val="24"/>
        </w:rPr>
        <w:t>不间断</w:t>
      </w:r>
      <w:r>
        <w:rPr>
          <w:rFonts w:ascii="宋体" w:hAnsi="宋体"/>
          <w:sz w:val="24"/>
        </w:rPr>
        <w:t>电源（</w:t>
      </w:r>
      <w:r>
        <w:rPr>
          <w:rFonts w:hint="eastAsia" w:ascii="宋体" w:hAnsi="宋体"/>
          <w:sz w:val="24"/>
        </w:rPr>
        <w:t>UPS）</w:t>
      </w:r>
      <w:r>
        <w:rPr>
          <w:rFonts w:hint="eastAsia" w:ascii="宋体" w:hAnsi="宋体"/>
          <w:sz w:val="24"/>
          <w:lang w:val="en-US" w:eastAsia="zh-CN"/>
        </w:rPr>
        <w:t>12</w:t>
      </w:r>
      <w:r>
        <w:rPr>
          <w:rFonts w:hint="eastAsia" w:ascii="宋体" w:hAnsi="宋体"/>
          <w:sz w:val="24"/>
        </w:rPr>
        <w:t>台</w:t>
      </w:r>
      <w:r>
        <w:rPr>
          <w:rFonts w:ascii="宋体" w:hAnsi="宋体"/>
          <w:sz w:val="24"/>
        </w:rPr>
        <w:t>、精密配电柜</w:t>
      </w:r>
      <w:r>
        <w:rPr>
          <w:rFonts w:hint="eastAsia" w:ascii="宋体" w:hAnsi="宋体"/>
          <w:sz w:val="24"/>
        </w:rPr>
        <w:t>4</w:t>
      </w:r>
      <w:r>
        <w:rPr>
          <w:rFonts w:hint="eastAsia" w:ascii="宋体" w:hAnsi="宋体"/>
          <w:sz w:val="24"/>
          <w:lang w:val="en-US" w:eastAsia="zh-CN"/>
        </w:rPr>
        <w:t>6</w:t>
      </w:r>
      <w:r>
        <w:rPr>
          <w:rFonts w:hint="eastAsia" w:ascii="宋体" w:hAnsi="宋体"/>
          <w:sz w:val="24"/>
        </w:rPr>
        <w:t>台</w:t>
      </w:r>
      <w:r>
        <w:rPr>
          <w:rFonts w:ascii="宋体" w:hAnsi="宋体"/>
          <w:sz w:val="24"/>
        </w:rPr>
        <w:t>、动环设备</w:t>
      </w:r>
      <w:r>
        <w:rPr>
          <w:rFonts w:hint="eastAsia" w:ascii="宋体" w:hAnsi="宋体"/>
          <w:sz w:val="24"/>
        </w:rPr>
        <w:t>19套、</w:t>
      </w:r>
      <w:r>
        <w:rPr>
          <w:rFonts w:ascii="宋体" w:hAnsi="宋体"/>
          <w:sz w:val="24"/>
        </w:rPr>
        <w:t>其它设备</w:t>
      </w:r>
      <w:r>
        <w:rPr>
          <w:rFonts w:hint="eastAsia" w:ascii="宋体" w:hAnsi="宋体"/>
          <w:sz w:val="24"/>
        </w:rPr>
        <w:t>17台</w:t>
      </w:r>
      <w:r>
        <w:rPr>
          <w:rFonts w:hint="eastAsia" w:ascii="宋体" w:hAnsi="宋体"/>
          <w:sz w:val="24"/>
          <w:lang w:eastAsia="zh-CN"/>
        </w:rPr>
        <w:t>等</w:t>
      </w:r>
      <w:r>
        <w:rPr>
          <w:rFonts w:ascii="宋体" w:hAnsi="宋体"/>
          <w:sz w:val="24"/>
        </w:rPr>
        <w:t>。</w:t>
      </w:r>
    </w:p>
    <w:p>
      <w:pPr>
        <w:tabs>
          <w:tab w:val="left" w:pos="540"/>
        </w:tabs>
        <w:adjustRightInd w:val="0"/>
        <w:snapToGrid w:val="0"/>
        <w:spacing w:line="360" w:lineRule="auto"/>
        <w:ind w:firstLine="540"/>
        <w:rPr>
          <w:rFonts w:ascii="宋体" w:hAnsi="宋体"/>
          <w:sz w:val="24"/>
        </w:rPr>
      </w:pPr>
      <w:r>
        <w:rPr>
          <w:rFonts w:ascii="宋体" w:hAnsi="宋体"/>
          <w:sz w:val="24"/>
        </w:rPr>
        <w:t>维保</w:t>
      </w:r>
      <w:r>
        <w:rPr>
          <w:rFonts w:hint="eastAsia" w:ascii="宋体" w:hAnsi="宋体"/>
          <w:sz w:val="24"/>
        </w:rPr>
        <w:t>服务地址</w:t>
      </w:r>
      <w:r>
        <w:rPr>
          <w:rFonts w:ascii="宋体" w:hAnsi="宋体"/>
          <w:sz w:val="24"/>
        </w:rPr>
        <w:t>：</w:t>
      </w:r>
      <w:r>
        <w:rPr>
          <w:rFonts w:hint="eastAsia" w:ascii="宋体" w:hAnsi="宋体"/>
          <w:sz w:val="24"/>
        </w:rPr>
        <w:t>科韵路22号</w:t>
      </w:r>
      <w:r>
        <w:rPr>
          <w:rFonts w:ascii="宋体" w:hAnsi="宋体"/>
          <w:sz w:val="24"/>
        </w:rPr>
        <w:t>、</w:t>
      </w:r>
      <w:r>
        <w:rPr>
          <w:rFonts w:hint="eastAsia" w:ascii="宋体" w:hAnsi="宋体"/>
          <w:sz w:val="24"/>
        </w:rPr>
        <w:t>东风路</w:t>
      </w:r>
      <w:r>
        <w:rPr>
          <w:rFonts w:ascii="宋体" w:hAnsi="宋体"/>
          <w:sz w:val="24"/>
        </w:rPr>
        <w:t>建银大厦。</w:t>
      </w: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设备的概况（共</w:t>
      </w:r>
      <w:r>
        <w:rPr>
          <w:rFonts w:ascii="宋体" w:hAnsi="宋体"/>
          <w:b/>
          <w:sz w:val="24"/>
        </w:rPr>
        <w:t>1</w:t>
      </w:r>
      <w:r>
        <w:rPr>
          <w:rFonts w:hint="eastAsia" w:ascii="宋体" w:hAnsi="宋体"/>
          <w:b/>
          <w:sz w:val="24"/>
          <w:lang w:val="en-US" w:eastAsia="zh-CN"/>
        </w:rPr>
        <w:t>34</w:t>
      </w:r>
      <w:r>
        <w:rPr>
          <w:rFonts w:hint="eastAsia" w:ascii="宋体" w:hAnsi="宋体"/>
          <w:b/>
          <w:sz w:val="24"/>
        </w:rPr>
        <w:t>台、套）</w:t>
      </w:r>
    </w:p>
    <w:tbl>
      <w:tblPr>
        <w:tblStyle w:val="7"/>
        <w:tblW w:w="89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1"/>
        <w:gridCol w:w="1125"/>
        <w:gridCol w:w="3030"/>
        <w:gridCol w:w="990"/>
        <w:gridCol w:w="675"/>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5"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分类</w:t>
            </w:r>
          </w:p>
        </w:tc>
        <w:tc>
          <w:tcPr>
            <w:tcW w:w="3030"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设备名称(编号）</w:t>
            </w:r>
          </w:p>
        </w:tc>
        <w:tc>
          <w:tcPr>
            <w:tcW w:w="990"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使用地点</w:t>
            </w:r>
          </w:p>
        </w:tc>
        <w:tc>
          <w:tcPr>
            <w:tcW w:w="675"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使用年限</w:t>
            </w:r>
          </w:p>
        </w:tc>
        <w:tc>
          <w:tcPr>
            <w:tcW w:w="2520" w:type="dxa"/>
            <w:tcBorders>
              <w:top w:val="single" w:color="000000" w:sz="4" w:space="0"/>
              <w:left w:val="single" w:color="000000" w:sz="4" w:space="0"/>
              <w:bottom w:val="single" w:color="000000" w:sz="4" w:space="0"/>
              <w:right w:val="single" w:color="000000" w:sz="4" w:space="0"/>
            </w:tcBorders>
            <w:shd w:val="clear" w:color="auto" w:fill="93CDDD"/>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(负4-1）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(负4-2）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(负4-3）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(负3-1）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(负3-2）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（11-1）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（11-2）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（11-3）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（11-4）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（11-5）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RC 精密空调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RC 精密空调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RC 精密空调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科华UPS</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梅兰日兰电柜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梅兰日兰电柜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施耐德配电柜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施耐德配电柜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配电柜（AL-1)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配电柜（AL-1-1)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配电柜（AL-3)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配电柜（AL-4)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EMERSON精密配电柜（负3楼UPS 总柜）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列头柜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麦克维尔(新风机)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智能机柜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智能机柜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智能机柜（带微型空调）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智能机柜（带微型空调）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梅兰日兰UPS（编号：3-5）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梅兰日兰UPS（编号：3-6）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梅兰日兰UPS（编号：3-7）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施耐德UPS（编号：2-3）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施耐德UPS（编号：2-4）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施耐德UPS（编号：4-8）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UPS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施耐德UPS（编号：4-9）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 精密空调（编号：4-3）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 精密空调（编号：4-4）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 精密空调（编号：4-5）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 精密空调（编号：4-6）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 精密空调（编号：4-7）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精密空调（编号：4-14）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 （编号：1-1）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59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STULZ 精密空调 （编号：1-3）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大金柜式空调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（编号：1-10）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精密空调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EMERSON精密空调 （编号：1-13）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Avocent 设备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施耐德电柜（三回路总柜）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施耐德电柜（UPA）</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施耐德电柜（UPB）</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 (GD1-A-1)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 (GD1-B-2)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 (GD1-C-4)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 (GD1-D-1)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EMERSON精密配电柜(GD1-E-2)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79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EMERSON精密配电柜(GD1-F-4)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(GD1-J-1)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(GD1-K-2)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(GD1-L-4)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(GD1-M-1)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(GD1-N-2)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 (GD1-P-4)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海德森配电柜（二回路总柜G）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海德森配电柜（二回路总柜H）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丰兰配电柜（四回路总柜）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HEADSUN精密配电柜(GD2-B-1)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HEADSUN精密配电柜(GD2-A-1)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HEADSUN精密配电柜(GD2-D-2)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HEADSUN精密配电柜(GD2-F-4)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HEADSUN精密配电柜(GD2-C-2)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电柜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HEADSUN精密配电柜(GD2-E-4)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EMERSON通讯直流电源(10台）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麦克维尔(新风机)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麦克维尔(新风机)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麦克维尔(新风机)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麦克维尔(新风机)</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大屏（2*3）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工业显示屏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工业显示屏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工业显示屏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 xml:space="preserve">其他 </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工业显示屏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8</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华文宋体" w:hAnsi="华文宋体" w:eastAsia="华文宋体" w:cs="华文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1楼电池监控主机+2个温湿度传感器+1个漏水监测+2个温感+2台空调监控模块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GD2区1台监控主机+13个温湿度传感器+3条漏水监测+7台空调监控模块+8台电柜监控模块+环境安全监控模块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GD2区的粉尘4+CO2_SO2+光照度+正压差（含主机）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东风路11楼1台监控主机+24个温湿度传感器+4个漏水监测+5台空调监控模块+6台配电柜监控模块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1台东莞分行监控主机+7个温湿度传感器+2个漏水监测+2台空调监控模块+2台UPS监控模块+环境安全监控模块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GD1区的粉尘6+CO2_SO2+光照度+正压差（含主机）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6台电池监控主机+812节单体电池监控模块+20个电流监控模块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10</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GD1区2台监控主机+42个温湿度传感器+1个漏水监测+用水流量计+7台空调监控模块+18个配电柜监控模块+环境安全监控模块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机房环境集中监控平台-GD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UPS室和配电室的2台监控主机+5个温室传感器+2个漏水监测+22个配电监控模块+5台空调监控模块+旧发电机监控模块+变压器监控模块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动力环境监控-GD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6</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东风路负3楼和负4楼2台监控主机+4个温湿度传感器+2个漏水监测+5台空调监控模块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信息采集设备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1台监控主机+新购置UPS主机监控模块+新购置配电柜监控模块+高压监控模块+20个低压配电防雷监控模块+新发电机监控模块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119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动环监控</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监控数据采集器-GD</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包含1台监控采集器，72个机柜内温湿度传感器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UPS</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科华UPS-KR33200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新增2027年1月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UPS</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科华UPS-KR33200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东风路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新增2027年1月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UPS</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科华UPS-KR33300（一回路1-2）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UPS</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科华UPS-KR33300（一回路1-1）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电柜-番开GCK</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129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电柜-广信LM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科华电柜（一回路1-2）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科华电柜（一回路1-1）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维谛-精密空调(1-6）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精密空调</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维谛-精密空调(1-7）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134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电柜</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施耐德电柜（Q-1、R-1）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科韵路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华文宋体" w:hAnsi="华文宋体" w:eastAsia="华文宋体" w:cs="华文宋体"/>
                <w:i w:val="0"/>
                <w:iCs w:val="0"/>
                <w:color w:val="000000"/>
                <w:sz w:val="22"/>
                <w:szCs w:val="22"/>
                <w:u w:val="none"/>
              </w:rPr>
            </w:pPr>
            <w:r>
              <w:rPr>
                <w:rFonts w:hint="eastAsia" w:ascii="华文宋体" w:hAnsi="华文宋体" w:eastAsia="华文宋体" w:cs="华文宋体"/>
                <w:i w:val="0"/>
                <w:iCs w:val="0"/>
                <w:color w:val="000000"/>
                <w:kern w:val="0"/>
                <w:sz w:val="22"/>
                <w:szCs w:val="22"/>
                <w:u w:val="none"/>
                <w:lang w:val="en-US" w:eastAsia="zh-CN" w:bidi="ar"/>
              </w:rPr>
              <w:t>新增</w:t>
            </w:r>
          </w:p>
        </w:tc>
      </w:tr>
    </w:tbl>
    <w:p>
      <w:pPr>
        <w:tabs>
          <w:tab w:val="left" w:pos="540"/>
        </w:tabs>
        <w:adjustRightInd w:val="0"/>
        <w:snapToGrid w:val="0"/>
        <w:spacing w:line="360" w:lineRule="auto"/>
        <w:rPr>
          <w:rFonts w:ascii="宋体" w:hAnsi="宋体"/>
          <w:b/>
          <w:sz w:val="24"/>
        </w:rPr>
      </w:pPr>
    </w:p>
    <w:p>
      <w:pPr>
        <w:numPr>
          <w:ilvl w:val="0"/>
          <w:numId w:val="1"/>
        </w:numPr>
        <w:tabs>
          <w:tab w:val="left" w:pos="540"/>
        </w:tabs>
        <w:adjustRightInd w:val="0"/>
        <w:snapToGrid w:val="0"/>
        <w:spacing w:line="360" w:lineRule="auto"/>
        <w:rPr>
          <w:rFonts w:hint="eastAsia" w:ascii="宋体" w:hAnsi="宋体"/>
          <w:b/>
          <w:sz w:val="24"/>
        </w:rPr>
      </w:pPr>
      <w:r>
        <w:rPr>
          <w:rFonts w:hint="eastAsia" w:ascii="宋体" w:hAnsi="宋体"/>
          <w:b/>
          <w:sz w:val="24"/>
        </w:rPr>
        <w:t>项目实施时间</w:t>
      </w:r>
    </w:p>
    <w:p>
      <w:pPr>
        <w:adjustRightInd w:val="0"/>
        <w:snapToGrid w:val="0"/>
        <w:spacing w:line="360" w:lineRule="auto"/>
        <w:ind w:firstLine="480" w:firstLineChars="200"/>
        <w:rPr>
          <w:rFonts w:ascii="宋体" w:hAnsi="宋体"/>
          <w:sz w:val="24"/>
          <w:highlight w:val="yellow"/>
        </w:rPr>
      </w:pPr>
      <w:r>
        <w:rPr>
          <w:rFonts w:hint="eastAsia" w:ascii="宋体" w:hAnsi="宋体"/>
          <w:sz w:val="24"/>
          <w:highlight w:val="yellow"/>
        </w:rPr>
        <w:t>机房环境设备维保服务：本项目维保服务周期为</w:t>
      </w:r>
      <w:r>
        <w:rPr>
          <w:rFonts w:ascii="宋体" w:hAnsi="宋体"/>
          <w:sz w:val="24"/>
          <w:highlight w:val="yellow"/>
        </w:rPr>
        <w:t>2</w:t>
      </w:r>
      <w:r>
        <w:rPr>
          <w:rFonts w:hint="eastAsia" w:ascii="宋体" w:hAnsi="宋体"/>
          <w:sz w:val="24"/>
          <w:highlight w:val="yellow"/>
        </w:rPr>
        <w:t>年。</w:t>
      </w: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服务内容</w:t>
      </w:r>
    </w:p>
    <w:p>
      <w:pPr>
        <w:numPr>
          <w:ilvl w:val="1"/>
          <w:numId w:val="2"/>
        </w:numPr>
        <w:tabs>
          <w:tab w:val="left" w:pos="540"/>
        </w:tabs>
        <w:adjustRightInd w:val="0"/>
        <w:snapToGrid w:val="0"/>
        <w:spacing w:line="360" w:lineRule="auto"/>
        <w:ind w:left="0" w:firstLine="180"/>
        <w:rPr>
          <w:rFonts w:ascii="宋体" w:hAnsi="宋体"/>
          <w:sz w:val="24"/>
        </w:rPr>
      </w:pPr>
      <w:r>
        <w:rPr>
          <w:rFonts w:hint="eastAsia" w:ascii="宋体" w:hAnsi="宋体"/>
          <w:sz w:val="24"/>
        </w:rPr>
        <w:t>硬件故障处理和修复</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工作</w:t>
      </w:r>
      <w:r>
        <w:rPr>
          <w:rFonts w:ascii="宋体" w:hAnsi="宋体"/>
          <w:sz w:val="24"/>
        </w:rPr>
        <w:t>日内，</w:t>
      </w:r>
      <w:r>
        <w:rPr>
          <w:rFonts w:hint="eastAsia" w:ascii="宋体" w:hAnsi="宋体"/>
          <w:sz w:val="24"/>
        </w:rPr>
        <w:t>服务商工程师需完成每日的设备</w:t>
      </w:r>
      <w:r>
        <w:rPr>
          <w:rFonts w:ascii="宋体" w:hAnsi="宋体"/>
          <w:sz w:val="24"/>
        </w:rPr>
        <w:t>巡检工作</w:t>
      </w:r>
      <w:r>
        <w:rPr>
          <w:rFonts w:hint="eastAsia" w:ascii="宋体" w:hAnsi="宋体"/>
          <w:sz w:val="24"/>
        </w:rPr>
        <w:t>，并</w:t>
      </w:r>
      <w:r>
        <w:rPr>
          <w:rFonts w:ascii="宋体" w:hAnsi="宋体"/>
          <w:sz w:val="24"/>
        </w:rPr>
        <w:t>做好设备清洁工作，</w:t>
      </w:r>
      <w:r>
        <w:rPr>
          <w:rFonts w:hint="eastAsia" w:ascii="宋体" w:hAnsi="宋体"/>
          <w:sz w:val="24"/>
        </w:rPr>
        <w:t>协助管理我分行机房环境设备的运行维护。</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机房环境设备出现故障、错误等非正常情况时，服务商派遣专业人员进行故障、错误等的排除和修复，使设备恢复正常运行状态。</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服务商在现场用最短的时间更换模块的方式进行维修。</w:t>
      </w:r>
    </w:p>
    <w:p>
      <w:pPr>
        <w:numPr>
          <w:ilvl w:val="2"/>
          <w:numId w:val="2"/>
        </w:numPr>
        <w:tabs>
          <w:tab w:val="left" w:pos="540"/>
        </w:tabs>
        <w:adjustRightInd w:val="0"/>
        <w:snapToGrid w:val="0"/>
        <w:spacing w:before="120" w:line="360" w:lineRule="auto"/>
        <w:ind w:left="0" w:firstLine="496"/>
        <w:rPr>
          <w:rFonts w:ascii="宋体" w:hAnsi="宋体"/>
          <w:snapToGrid w:val="0"/>
          <w:color w:val="000000"/>
          <w:sz w:val="24"/>
        </w:rPr>
      </w:pPr>
      <w:r>
        <w:rPr>
          <w:rFonts w:hint="eastAsia" w:ascii="宋体" w:hAnsi="宋体"/>
          <w:sz w:val="24"/>
        </w:rPr>
        <w:t>在硬件故障处理和修复中必须使用合格的、符合厂商产品技术标准的备品、备件；其中主控板、逆变器等关键部件必须使用原厂备件。</w:t>
      </w:r>
    </w:p>
    <w:p>
      <w:pPr>
        <w:numPr>
          <w:ilvl w:val="1"/>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定期巡检维护服务</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服务商对</w:t>
      </w:r>
      <w:r>
        <w:rPr>
          <w:rFonts w:hint="eastAsia" w:ascii="宋体" w:hAnsi="宋体"/>
          <w:sz w:val="24"/>
          <w:lang w:eastAsia="zh-CN"/>
        </w:rPr>
        <w:t>精密空调</w:t>
      </w:r>
      <w:r>
        <w:rPr>
          <w:rFonts w:hint="eastAsia" w:ascii="宋体" w:hAnsi="宋体"/>
          <w:sz w:val="24"/>
        </w:rPr>
        <w:t>至少每周提供1次的预防性巡检维护服务，对UPS每月提供1次的预防性巡检维护服务，对其它设备每季提供1次的预防性巡检维护服务，并向我分行提供巡检报告。</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服务商对</w:t>
      </w:r>
      <w:r>
        <w:rPr>
          <w:rFonts w:hint="eastAsia" w:ascii="宋体" w:hAnsi="宋体"/>
          <w:sz w:val="24"/>
          <w:lang w:eastAsia="zh-CN"/>
        </w:rPr>
        <w:t>精密空调</w:t>
      </w:r>
      <w:r>
        <w:rPr>
          <w:rFonts w:hint="eastAsia" w:ascii="宋体" w:hAnsi="宋体"/>
          <w:sz w:val="24"/>
        </w:rPr>
        <w:t>每月提供1次保养维护服务；UPS每季度提供1次保养维护服务</w:t>
      </w:r>
      <w:r>
        <w:rPr>
          <w:rFonts w:hint="eastAsia" w:ascii="宋体" w:hAnsi="宋体"/>
          <w:sz w:val="24"/>
          <w:lang w:eastAsia="zh-CN"/>
        </w:rPr>
        <w:t>，并记录在服务报告（半年）中</w:t>
      </w:r>
      <w:r>
        <w:rPr>
          <w:rFonts w:hint="eastAsia" w:ascii="宋体" w:hAnsi="宋体"/>
          <w:sz w:val="24"/>
        </w:rPr>
        <w:t>。</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每年对机房进行一次整体清洁、除尘，确保机房洁净度符合在运行机房标准。</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服务商在重大节假日前须进行预防性巡检维护服务。</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服务商定期对运行维护工作做出总结和改进措施。</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服务商按照我行的要求定期更换易损件（如空调虑网等）。</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定期更换易损件的标准由我分行制定。</w:t>
      </w:r>
    </w:p>
    <w:p>
      <w:pPr>
        <w:numPr>
          <w:ilvl w:val="2"/>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每半年对省分行机房环境设备（空调、UPS、直流电源、配电柜、蓄电池等）进行一次风险评估，并出具报告。</w:t>
      </w:r>
    </w:p>
    <w:p>
      <w:pPr>
        <w:numPr>
          <w:ilvl w:val="1"/>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技术咨询服务</w:t>
      </w:r>
    </w:p>
    <w:p>
      <w:pPr>
        <w:tabs>
          <w:tab w:val="left" w:pos="540"/>
        </w:tabs>
        <w:adjustRightInd w:val="0"/>
        <w:snapToGrid w:val="0"/>
        <w:spacing w:line="360" w:lineRule="auto"/>
        <w:ind w:firstLine="540"/>
        <w:rPr>
          <w:rFonts w:ascii="宋体" w:hAnsi="宋体"/>
          <w:sz w:val="24"/>
        </w:rPr>
      </w:pPr>
      <w:r>
        <w:rPr>
          <w:rFonts w:hint="eastAsia" w:ascii="宋体" w:hAnsi="宋体"/>
          <w:sz w:val="24"/>
        </w:rPr>
        <w:t>服务商提供24小时服务热线，为我行提供报故障和技术咨询。</w:t>
      </w:r>
    </w:p>
    <w:p>
      <w:pPr>
        <w:numPr>
          <w:ilvl w:val="1"/>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培训服务</w:t>
      </w:r>
    </w:p>
    <w:p>
      <w:pPr>
        <w:tabs>
          <w:tab w:val="left" w:pos="540"/>
        </w:tabs>
        <w:adjustRightInd w:val="0"/>
        <w:snapToGrid w:val="0"/>
        <w:spacing w:line="360" w:lineRule="auto"/>
        <w:ind w:firstLine="540"/>
        <w:rPr>
          <w:rFonts w:ascii="宋体" w:hAnsi="宋体"/>
          <w:sz w:val="24"/>
        </w:rPr>
      </w:pPr>
      <w:r>
        <w:rPr>
          <w:rFonts w:hint="eastAsia" w:ascii="宋体" w:hAnsi="宋体"/>
          <w:sz w:val="24"/>
        </w:rPr>
        <w:t>服务商为我分行的设备操作人员和技术管理人员提供培训。</w:t>
      </w:r>
    </w:p>
    <w:p>
      <w:pPr>
        <w:numPr>
          <w:ilvl w:val="1"/>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汇报</w:t>
      </w:r>
    </w:p>
    <w:p>
      <w:pPr>
        <w:tabs>
          <w:tab w:val="left" w:pos="540"/>
        </w:tabs>
        <w:adjustRightInd w:val="0"/>
        <w:snapToGrid w:val="0"/>
        <w:spacing w:line="360" w:lineRule="auto"/>
        <w:ind w:firstLine="540"/>
        <w:rPr>
          <w:rFonts w:hint="eastAsia" w:ascii="宋体" w:hAnsi="宋体"/>
          <w:sz w:val="24"/>
        </w:rPr>
      </w:pPr>
      <w:r>
        <w:rPr>
          <w:rFonts w:hint="eastAsia" w:ascii="宋体" w:hAnsi="宋体"/>
          <w:sz w:val="24"/>
        </w:rPr>
        <w:t>每半年向我分行提交设备维护服务报告（包括电子版和纸质）</w:t>
      </w:r>
      <w:r>
        <w:rPr>
          <w:rFonts w:hint="eastAsia" w:ascii="宋体" w:hAnsi="宋体"/>
          <w:sz w:val="24"/>
          <w:lang w:eastAsia="zh-CN"/>
        </w:rPr>
        <w:t>。</w:t>
      </w:r>
      <w:r>
        <w:rPr>
          <w:rFonts w:hint="eastAsia" w:ascii="宋体" w:hAnsi="宋体"/>
          <w:sz w:val="24"/>
        </w:rPr>
        <w:t>服务报告</w:t>
      </w:r>
      <w:r>
        <w:rPr>
          <w:rFonts w:hint="eastAsia" w:ascii="宋体" w:hAnsi="宋体"/>
          <w:sz w:val="24"/>
          <w:lang w:eastAsia="zh-CN"/>
        </w:rPr>
        <w:t>内容包括：</w:t>
      </w:r>
      <w:r>
        <w:rPr>
          <w:rFonts w:hint="eastAsia" w:ascii="宋体" w:hAnsi="宋体"/>
          <w:sz w:val="24"/>
        </w:rPr>
        <w:t>硬件故障处理和修复</w:t>
      </w:r>
      <w:r>
        <w:rPr>
          <w:rFonts w:hint="eastAsia" w:ascii="宋体" w:hAnsi="宋体"/>
          <w:sz w:val="24"/>
          <w:lang w:eastAsia="zh-CN"/>
        </w:rPr>
        <w:t>、</w:t>
      </w:r>
      <w:r>
        <w:rPr>
          <w:rFonts w:hint="eastAsia" w:ascii="宋体" w:hAnsi="宋体"/>
          <w:sz w:val="24"/>
        </w:rPr>
        <w:t>定期巡检维护服务</w:t>
      </w:r>
      <w:r>
        <w:rPr>
          <w:rFonts w:hint="eastAsia" w:ascii="宋体" w:hAnsi="宋体"/>
          <w:sz w:val="24"/>
          <w:lang w:eastAsia="zh-CN"/>
        </w:rPr>
        <w:t>、</w:t>
      </w:r>
      <w:r>
        <w:rPr>
          <w:rFonts w:hint="eastAsia" w:ascii="宋体" w:hAnsi="宋体"/>
          <w:sz w:val="24"/>
        </w:rPr>
        <w:t>技术咨询服务</w:t>
      </w:r>
      <w:r>
        <w:rPr>
          <w:rFonts w:hint="eastAsia" w:ascii="宋体" w:hAnsi="宋体"/>
          <w:sz w:val="24"/>
          <w:lang w:eastAsia="zh-CN"/>
        </w:rPr>
        <w:t>、</w:t>
      </w:r>
      <w:r>
        <w:rPr>
          <w:rFonts w:hint="eastAsia" w:ascii="宋体" w:hAnsi="宋体"/>
          <w:sz w:val="24"/>
        </w:rPr>
        <w:t>培训服务</w:t>
      </w:r>
      <w:r>
        <w:rPr>
          <w:rFonts w:hint="eastAsia" w:ascii="宋体" w:hAnsi="宋体"/>
          <w:sz w:val="24"/>
          <w:lang w:eastAsia="zh-CN"/>
        </w:rPr>
        <w:t>等，</w:t>
      </w:r>
      <w:r>
        <w:rPr>
          <w:rFonts w:hint="eastAsia" w:ascii="宋体" w:hAnsi="宋体"/>
          <w:sz w:val="24"/>
        </w:rPr>
        <w:t>以便我行对设备维护进行客观评估并及时掌握设备状态。</w:t>
      </w:r>
    </w:p>
    <w:p>
      <w:pPr>
        <w:numPr>
          <w:ilvl w:val="1"/>
          <w:numId w:val="2"/>
        </w:numPr>
        <w:tabs>
          <w:tab w:val="left" w:pos="540"/>
        </w:tabs>
        <w:adjustRightInd w:val="0"/>
        <w:snapToGrid w:val="0"/>
        <w:spacing w:line="360" w:lineRule="auto"/>
        <w:ind w:left="0" w:firstLine="540"/>
        <w:rPr>
          <w:rFonts w:ascii="宋体" w:hAnsi="宋体"/>
          <w:sz w:val="24"/>
        </w:rPr>
      </w:pPr>
      <w:r>
        <w:rPr>
          <w:rFonts w:hint="eastAsia" w:ascii="宋体" w:hAnsi="宋体"/>
          <w:sz w:val="24"/>
        </w:rPr>
        <w:t>其他</w:t>
      </w:r>
      <w:r>
        <w:rPr>
          <w:rFonts w:ascii="宋体" w:hAnsi="宋体"/>
          <w:sz w:val="24"/>
        </w:rPr>
        <w:t>工作要求</w:t>
      </w:r>
    </w:p>
    <w:p>
      <w:pPr>
        <w:tabs>
          <w:tab w:val="left" w:pos="540"/>
        </w:tabs>
        <w:adjustRightInd w:val="0"/>
        <w:snapToGrid w:val="0"/>
        <w:spacing w:line="360" w:lineRule="auto"/>
        <w:ind w:firstLine="540"/>
        <w:rPr>
          <w:rFonts w:hint="eastAsia" w:ascii="宋体" w:hAnsi="宋体"/>
          <w:sz w:val="24"/>
          <w:highlight w:val="none"/>
        </w:rPr>
      </w:pPr>
      <w:r>
        <w:rPr>
          <w:rFonts w:hint="eastAsia" w:ascii="宋体" w:hAnsi="宋体"/>
          <w:sz w:val="24"/>
        </w:rPr>
        <w:t>对</w:t>
      </w:r>
      <w:r>
        <w:rPr>
          <w:rFonts w:ascii="宋体" w:hAnsi="宋体"/>
          <w:sz w:val="24"/>
        </w:rPr>
        <w:t>维保的设备张贴</w:t>
      </w:r>
      <w:r>
        <w:rPr>
          <w:rFonts w:hint="eastAsia" w:ascii="宋体" w:hAnsi="宋体"/>
          <w:sz w:val="24"/>
        </w:rPr>
        <w:t>不粘胶打印</w:t>
      </w:r>
      <w:r>
        <w:rPr>
          <w:rFonts w:ascii="宋体" w:hAnsi="宋体"/>
          <w:sz w:val="24"/>
        </w:rPr>
        <w:t>标签</w:t>
      </w:r>
      <w:r>
        <w:rPr>
          <w:rFonts w:hint="eastAsia" w:ascii="宋体" w:hAnsi="宋体"/>
          <w:sz w:val="24"/>
        </w:rPr>
        <w:t>，</w:t>
      </w:r>
      <w:r>
        <w:rPr>
          <w:rFonts w:ascii="宋体" w:hAnsi="宋体"/>
          <w:sz w:val="24"/>
        </w:rPr>
        <w:t>标签内容包括：序号、分类、</w:t>
      </w:r>
      <w:r>
        <w:rPr>
          <w:rFonts w:hint="eastAsia" w:ascii="宋体" w:hAnsi="宋体"/>
          <w:sz w:val="24"/>
        </w:rPr>
        <w:t>设备</w:t>
      </w:r>
      <w:r>
        <w:rPr>
          <w:rFonts w:ascii="宋体" w:hAnsi="宋体"/>
          <w:sz w:val="24"/>
        </w:rPr>
        <w:t>名称、型号、维保公司名称、开始时间</w:t>
      </w:r>
      <w:r>
        <w:rPr>
          <w:rFonts w:hint="eastAsia" w:ascii="宋体" w:hAnsi="宋体"/>
          <w:sz w:val="24"/>
        </w:rPr>
        <w:t>等</w:t>
      </w:r>
      <w:r>
        <w:rPr>
          <w:rFonts w:ascii="宋体" w:hAnsi="宋体"/>
          <w:sz w:val="24"/>
        </w:rPr>
        <w:t>；</w:t>
      </w:r>
      <w:r>
        <w:rPr>
          <w:rFonts w:hint="eastAsia" w:ascii="宋体" w:hAnsi="宋体"/>
          <w:sz w:val="24"/>
        </w:rPr>
        <w:t>配合我行</w:t>
      </w:r>
      <w:r>
        <w:rPr>
          <w:rFonts w:hint="eastAsia" w:ascii="宋体" w:hAnsi="宋体"/>
          <w:sz w:val="24"/>
          <w:lang w:eastAsia="zh-CN"/>
        </w:rPr>
        <w:t>申请</w:t>
      </w:r>
      <w:r>
        <w:rPr>
          <w:rFonts w:hint="eastAsia" w:ascii="宋体" w:hAnsi="宋体"/>
          <w:sz w:val="24"/>
        </w:rPr>
        <w:t>各项检测报告（包括机房气流组织、机房电磁干扰、机房静电、机房空气洁净度等），配合我行收集、编制、整理设备资料（包括：包括每台设备的序列号、型号、数量、运行状况、维护维修统计等）</w:t>
      </w:r>
      <w:r>
        <w:rPr>
          <w:rFonts w:hint="eastAsia" w:ascii="宋体" w:hAnsi="宋体"/>
          <w:sz w:val="24"/>
          <w:lang w:eastAsia="zh-CN"/>
        </w:rPr>
        <w:t>；做好机房冷通道、地板的维护工作</w:t>
      </w:r>
      <w:r>
        <w:rPr>
          <w:rFonts w:hint="eastAsia" w:ascii="宋体" w:hAnsi="宋体"/>
          <w:sz w:val="24"/>
          <w:highlight w:val="none"/>
          <w:lang w:eastAsia="zh-CN"/>
        </w:rPr>
        <w:t>；维保期间遇</w:t>
      </w:r>
      <w:r>
        <w:rPr>
          <w:rFonts w:hint="eastAsia" w:ascii="宋体" w:hAnsi="宋体"/>
          <w:sz w:val="24"/>
          <w:highlight w:val="none"/>
          <w:lang w:val="en-US" w:eastAsia="zh-CN"/>
        </w:rPr>
        <w:t>UPS电池故障，需维保商免费更换新电池5块</w:t>
      </w:r>
      <w:r>
        <w:rPr>
          <w:rFonts w:hint="eastAsia" w:ascii="宋体" w:hAnsi="宋体"/>
          <w:sz w:val="24"/>
          <w:highlight w:val="none"/>
        </w:rPr>
        <w:t>。</w:t>
      </w:r>
    </w:p>
    <w:p>
      <w:pPr>
        <w:tabs>
          <w:tab w:val="left" w:pos="540"/>
        </w:tabs>
        <w:adjustRightInd w:val="0"/>
        <w:snapToGrid w:val="0"/>
        <w:spacing w:line="360" w:lineRule="auto"/>
        <w:ind w:firstLine="540"/>
        <w:rPr>
          <w:rFonts w:ascii="宋体" w:hAnsi="宋体"/>
          <w:sz w:val="24"/>
        </w:rPr>
      </w:pP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服务质量要求</w:t>
      </w:r>
    </w:p>
    <w:tbl>
      <w:tblPr>
        <w:tblStyle w:val="7"/>
        <w:tblW w:w="7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0"/>
        <w:gridCol w:w="2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设备可用率</w:t>
            </w:r>
          </w:p>
        </w:tc>
        <w:tc>
          <w:tcPr>
            <w:tcW w:w="293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报障电话服务时间</w:t>
            </w:r>
          </w:p>
        </w:tc>
        <w:tc>
          <w:tcPr>
            <w:tcW w:w="293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24小时X 365天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现场服务支持时间</w:t>
            </w:r>
          </w:p>
        </w:tc>
        <w:tc>
          <w:tcPr>
            <w:tcW w:w="2930" w:type="dxa"/>
            <w:vAlign w:val="center"/>
          </w:tcPr>
          <w:p>
            <w:pPr>
              <w:tabs>
                <w:tab w:val="left" w:pos="1140"/>
              </w:tabs>
              <w:adjustRightInd w:val="0"/>
              <w:snapToGrid w:val="0"/>
              <w:spacing w:line="276"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24小时X 365天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接报障后到达现场时间</w:t>
            </w:r>
          </w:p>
        </w:tc>
        <w:tc>
          <w:tcPr>
            <w:tcW w:w="293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 2小时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平均故障恢复时间（到达现场后开始计算）</w:t>
            </w:r>
          </w:p>
        </w:tc>
        <w:tc>
          <w:tcPr>
            <w:tcW w:w="293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 2小时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76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为本项目服务工程师人数</w:t>
            </w:r>
          </w:p>
        </w:tc>
        <w:tc>
          <w:tcPr>
            <w:tcW w:w="2930" w:type="dxa"/>
            <w:vAlign w:val="center"/>
          </w:tcPr>
          <w:p>
            <w:pPr>
              <w:tabs>
                <w:tab w:val="left" w:pos="1140"/>
              </w:tabs>
              <w:adjustRightInd w:val="0"/>
              <w:snapToGrid w:val="0"/>
              <w:spacing w:line="276" w:lineRule="auto"/>
              <w:rPr>
                <w:rFonts w:ascii="宋体" w:hAnsi="宋体"/>
                <w:sz w:val="24"/>
              </w:rPr>
            </w:pPr>
            <w:r>
              <w:rPr>
                <w:rFonts w:hint="eastAsia" w:ascii="宋体" w:hAnsi="宋体"/>
                <w:sz w:val="24"/>
              </w:rPr>
              <w:t>≥ 5人</w:t>
            </w:r>
          </w:p>
        </w:tc>
      </w:tr>
    </w:tbl>
    <w:p>
      <w:pPr>
        <w:numPr>
          <w:ilvl w:val="0"/>
          <w:numId w:val="3"/>
        </w:numPr>
        <w:adjustRightInd w:val="0"/>
        <w:snapToGrid w:val="0"/>
        <w:spacing w:line="360" w:lineRule="auto"/>
        <w:ind w:left="4" w:leftChars="0" w:firstLine="636" w:firstLineChars="265"/>
        <w:rPr>
          <w:rFonts w:ascii="宋体" w:hAnsi="宋体"/>
          <w:sz w:val="24"/>
        </w:rPr>
      </w:pPr>
      <w:r>
        <w:rPr>
          <w:rFonts w:hint="eastAsia" w:ascii="宋体" w:hAnsi="宋体"/>
          <w:sz w:val="24"/>
        </w:rPr>
        <w:t>服务商提供全年（包括节假日）每天24小时的热线电话服务和工作日每天不小于8小时的现场维护服务。</w:t>
      </w:r>
    </w:p>
    <w:p>
      <w:pPr>
        <w:numPr>
          <w:ilvl w:val="0"/>
          <w:numId w:val="3"/>
        </w:numPr>
        <w:adjustRightInd w:val="0"/>
        <w:snapToGrid w:val="0"/>
        <w:spacing w:line="360" w:lineRule="auto"/>
        <w:ind w:left="4" w:leftChars="0" w:firstLine="636" w:firstLineChars="265"/>
        <w:rPr>
          <w:rFonts w:hint="eastAsia" w:ascii="宋体" w:hAnsi="宋体"/>
          <w:sz w:val="24"/>
        </w:rPr>
      </w:pPr>
      <w:r>
        <w:rPr>
          <w:rFonts w:hint="eastAsia" w:ascii="宋体" w:hAnsi="宋体"/>
          <w:sz w:val="24"/>
        </w:rPr>
        <w:t>接到报障通知后服务商的工程师到达现场的时间。</w:t>
      </w:r>
    </w:p>
    <w:tbl>
      <w:tblPr>
        <w:tblStyle w:val="7"/>
        <w:tblW w:w="8925" w:type="dxa"/>
        <w:tblInd w:w="108" w:type="dxa"/>
        <w:tblLayout w:type="fixed"/>
        <w:tblCellMar>
          <w:top w:w="0" w:type="dxa"/>
          <w:left w:w="108" w:type="dxa"/>
          <w:bottom w:w="0" w:type="dxa"/>
          <w:right w:w="108" w:type="dxa"/>
        </w:tblCellMar>
      </w:tblPr>
      <w:tblGrid>
        <w:gridCol w:w="714"/>
        <w:gridCol w:w="1701"/>
        <w:gridCol w:w="6510"/>
      </w:tblGrid>
      <w:tr>
        <w:tblPrEx>
          <w:tblCellMar>
            <w:top w:w="0" w:type="dxa"/>
            <w:left w:w="108" w:type="dxa"/>
            <w:bottom w:w="0" w:type="dxa"/>
            <w:right w:w="108" w:type="dxa"/>
          </w:tblCellMar>
        </w:tblPrEx>
        <w:trPr>
          <w:trHeight w:val="447" w:hRule="atLeast"/>
        </w:trPr>
        <w:tc>
          <w:tcPr>
            <w:tcW w:w="714" w:type="dxa"/>
            <w:tcBorders>
              <w:top w:val="single" w:color="auto" w:sz="6" w:space="0"/>
              <w:left w:val="single" w:color="auto" w:sz="6" w:space="0"/>
              <w:bottom w:val="single" w:color="auto" w:sz="6" w:space="0"/>
              <w:right w:val="single" w:color="auto" w:sz="6" w:space="0"/>
            </w:tcBorders>
            <w:shd w:val="clear" w:color="auto" w:fill="FFFFFF"/>
            <w:vAlign w:val="center"/>
          </w:tcPr>
          <w:p>
            <w:pPr>
              <w:tabs>
                <w:tab w:val="left" w:pos="1080"/>
              </w:tabs>
              <w:adjustRightInd w:val="0"/>
              <w:snapToGrid w:val="0"/>
              <w:spacing w:before="120" w:line="180" w:lineRule="auto"/>
              <w:jc w:val="center"/>
              <w:rPr>
                <w:rFonts w:ascii="宋体" w:hAnsi="宋体"/>
                <w:szCs w:val="21"/>
              </w:rPr>
            </w:pPr>
            <w:r>
              <w:rPr>
                <w:rFonts w:hint="eastAsia" w:ascii="宋体" w:hAnsi="宋体"/>
                <w:szCs w:val="21"/>
              </w:rPr>
              <w:t>重大故障</w:t>
            </w:r>
          </w:p>
        </w:tc>
        <w:tc>
          <w:tcPr>
            <w:tcW w:w="1701" w:type="dxa"/>
            <w:tcBorders>
              <w:top w:val="single" w:color="auto" w:sz="6" w:space="0"/>
              <w:left w:val="single" w:color="auto" w:sz="6" w:space="0"/>
              <w:bottom w:val="single" w:color="auto" w:sz="6" w:space="0"/>
              <w:right w:val="single" w:color="auto" w:sz="6" w:space="0"/>
            </w:tcBorders>
            <w:shd w:val="clear" w:color="auto" w:fill="FFFFFF"/>
            <w:vAlign w:val="center"/>
          </w:tcPr>
          <w:p>
            <w:pPr>
              <w:tabs>
                <w:tab w:val="left" w:pos="1080"/>
              </w:tabs>
              <w:adjustRightInd w:val="0"/>
              <w:snapToGrid w:val="0"/>
              <w:spacing w:before="120" w:line="180" w:lineRule="auto"/>
              <w:jc w:val="left"/>
              <w:rPr>
                <w:rFonts w:ascii="宋体" w:hAnsi="宋体"/>
                <w:szCs w:val="21"/>
              </w:rPr>
            </w:pPr>
            <w:r>
              <w:rPr>
                <w:rFonts w:hint="eastAsia" w:ascii="宋体" w:hAnsi="宋体"/>
                <w:szCs w:val="21"/>
              </w:rPr>
              <w:t>影响正常供电</w:t>
            </w:r>
          </w:p>
        </w:tc>
        <w:tc>
          <w:tcPr>
            <w:tcW w:w="6510" w:type="dxa"/>
            <w:tcBorders>
              <w:top w:val="single" w:color="auto" w:sz="6" w:space="0"/>
              <w:left w:val="single" w:color="auto" w:sz="6" w:space="0"/>
              <w:bottom w:val="single" w:color="auto" w:sz="6" w:space="0"/>
              <w:right w:val="single" w:color="auto" w:sz="6" w:space="0"/>
            </w:tcBorders>
            <w:shd w:val="clear" w:color="auto" w:fill="FFFFFF"/>
            <w:vAlign w:val="center"/>
          </w:tcPr>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响应时间：10分钟</w:t>
            </w:r>
          </w:p>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到达现场时间：1小时内到场或在</w:t>
            </w:r>
            <w:r>
              <w:rPr>
                <w:rFonts w:hint="eastAsia" w:ascii="宋体" w:hAnsi="宋体"/>
                <w:szCs w:val="21"/>
                <w:lang w:eastAsia="zh-CN"/>
              </w:rPr>
              <w:t>我行</w:t>
            </w:r>
            <w:r>
              <w:rPr>
                <w:rFonts w:hint="eastAsia" w:ascii="宋体" w:hAnsi="宋体"/>
                <w:szCs w:val="21"/>
              </w:rPr>
              <w:t>要求的时间内到场</w:t>
            </w:r>
          </w:p>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恢复时间：到达现场后1小时或在</w:t>
            </w:r>
            <w:r>
              <w:rPr>
                <w:rFonts w:hint="eastAsia" w:ascii="宋体" w:hAnsi="宋体"/>
                <w:szCs w:val="21"/>
                <w:lang w:eastAsia="zh-CN"/>
              </w:rPr>
              <w:t>我行</w:t>
            </w:r>
            <w:r>
              <w:rPr>
                <w:rFonts w:hint="eastAsia" w:ascii="宋体" w:hAnsi="宋体"/>
                <w:szCs w:val="21"/>
              </w:rPr>
              <w:t>要求的时间内</w:t>
            </w:r>
          </w:p>
          <w:p>
            <w:pPr>
              <w:tabs>
                <w:tab w:val="left" w:pos="1080"/>
              </w:tabs>
              <w:adjustRightInd w:val="0"/>
              <w:snapToGrid w:val="0"/>
              <w:spacing w:before="120" w:line="180" w:lineRule="auto"/>
              <w:rPr>
                <w:rFonts w:ascii="宋体" w:hAnsi="宋体"/>
                <w:szCs w:val="21"/>
              </w:rPr>
            </w:pPr>
          </w:p>
        </w:tc>
      </w:tr>
      <w:tr>
        <w:tblPrEx>
          <w:tblCellMar>
            <w:top w:w="0" w:type="dxa"/>
            <w:left w:w="108" w:type="dxa"/>
            <w:bottom w:w="0" w:type="dxa"/>
            <w:right w:w="108" w:type="dxa"/>
          </w:tblCellMar>
        </w:tblPrEx>
        <w:trPr>
          <w:trHeight w:val="1207" w:hRule="atLeast"/>
        </w:trPr>
        <w:tc>
          <w:tcPr>
            <w:tcW w:w="714" w:type="dxa"/>
            <w:tcBorders>
              <w:top w:val="single" w:color="auto" w:sz="6" w:space="0"/>
              <w:left w:val="single" w:color="auto" w:sz="6" w:space="0"/>
              <w:bottom w:val="single" w:color="auto" w:sz="6" w:space="0"/>
              <w:right w:val="single" w:color="auto" w:sz="6" w:space="0"/>
            </w:tcBorders>
            <w:vAlign w:val="center"/>
          </w:tcPr>
          <w:p>
            <w:pPr>
              <w:tabs>
                <w:tab w:val="left" w:pos="1080"/>
              </w:tabs>
              <w:adjustRightInd w:val="0"/>
              <w:snapToGrid w:val="0"/>
              <w:spacing w:before="120" w:line="180" w:lineRule="auto"/>
              <w:jc w:val="center"/>
              <w:rPr>
                <w:rFonts w:ascii="宋体" w:hAnsi="宋体"/>
                <w:szCs w:val="21"/>
              </w:rPr>
            </w:pPr>
            <w:r>
              <w:rPr>
                <w:rFonts w:hint="eastAsia" w:ascii="宋体" w:hAnsi="宋体"/>
                <w:szCs w:val="21"/>
              </w:rPr>
              <w:t>一般故障</w:t>
            </w:r>
          </w:p>
        </w:tc>
        <w:tc>
          <w:tcPr>
            <w:tcW w:w="1701" w:type="dxa"/>
            <w:tcBorders>
              <w:top w:val="single" w:color="auto" w:sz="6" w:space="0"/>
              <w:left w:val="single" w:color="auto" w:sz="6" w:space="0"/>
              <w:bottom w:val="single" w:color="auto" w:sz="6" w:space="0"/>
              <w:right w:val="single" w:color="auto" w:sz="6" w:space="0"/>
            </w:tcBorders>
            <w:vAlign w:val="center"/>
          </w:tcPr>
          <w:p>
            <w:pPr>
              <w:tabs>
                <w:tab w:val="left" w:pos="1080"/>
              </w:tabs>
              <w:adjustRightInd w:val="0"/>
              <w:snapToGrid w:val="0"/>
              <w:spacing w:before="120" w:line="180" w:lineRule="auto"/>
              <w:jc w:val="left"/>
              <w:rPr>
                <w:rFonts w:ascii="宋体" w:hAnsi="宋体"/>
                <w:szCs w:val="21"/>
              </w:rPr>
            </w:pPr>
            <w:r>
              <w:rPr>
                <w:rFonts w:hint="eastAsia" w:ascii="宋体" w:hAnsi="宋体"/>
                <w:szCs w:val="21"/>
              </w:rPr>
              <w:t>暂时不影响正常运作的故障。</w:t>
            </w:r>
          </w:p>
        </w:tc>
        <w:tc>
          <w:tcPr>
            <w:tcW w:w="6510" w:type="dxa"/>
            <w:tcBorders>
              <w:top w:val="single" w:color="auto" w:sz="6" w:space="0"/>
              <w:left w:val="single" w:color="auto" w:sz="6" w:space="0"/>
              <w:bottom w:val="single" w:color="auto" w:sz="6" w:space="0"/>
              <w:right w:val="single" w:color="auto" w:sz="6" w:space="0"/>
            </w:tcBorders>
            <w:vAlign w:val="center"/>
          </w:tcPr>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响应时间：30分钟</w:t>
            </w:r>
          </w:p>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到达现场时间：2小时内或在</w:t>
            </w:r>
            <w:r>
              <w:rPr>
                <w:rFonts w:hint="eastAsia" w:ascii="宋体" w:hAnsi="宋体"/>
                <w:szCs w:val="21"/>
                <w:lang w:eastAsia="zh-CN"/>
              </w:rPr>
              <w:t>我行</w:t>
            </w:r>
            <w:r>
              <w:rPr>
                <w:rFonts w:hint="eastAsia" w:ascii="宋体" w:hAnsi="宋体"/>
                <w:szCs w:val="21"/>
              </w:rPr>
              <w:t>要求的时间内到场</w:t>
            </w:r>
          </w:p>
          <w:p>
            <w:pPr>
              <w:tabs>
                <w:tab w:val="left" w:pos="1080"/>
              </w:tabs>
              <w:adjustRightInd w:val="0"/>
              <w:snapToGrid w:val="0"/>
              <w:spacing w:before="120" w:line="180" w:lineRule="auto"/>
              <w:ind w:firstLine="420" w:firstLineChars="200"/>
              <w:rPr>
                <w:rFonts w:ascii="宋体" w:hAnsi="宋体"/>
                <w:szCs w:val="21"/>
              </w:rPr>
            </w:pPr>
            <w:r>
              <w:rPr>
                <w:rFonts w:hint="eastAsia" w:ascii="宋体" w:hAnsi="宋体"/>
                <w:szCs w:val="21"/>
              </w:rPr>
              <w:t>恢复时间：到达现场后2小时</w:t>
            </w:r>
          </w:p>
          <w:p>
            <w:pPr>
              <w:tabs>
                <w:tab w:val="left" w:pos="1080"/>
              </w:tabs>
              <w:adjustRightInd w:val="0"/>
              <w:snapToGrid w:val="0"/>
              <w:spacing w:before="120" w:line="180" w:lineRule="auto"/>
              <w:rPr>
                <w:rFonts w:ascii="宋体" w:hAnsi="宋体"/>
                <w:szCs w:val="21"/>
              </w:rPr>
            </w:pPr>
          </w:p>
        </w:tc>
      </w:tr>
    </w:tbl>
    <w:p>
      <w:pPr>
        <w:numPr>
          <w:ilvl w:val="0"/>
          <w:numId w:val="3"/>
        </w:numPr>
        <w:adjustRightInd w:val="0"/>
        <w:snapToGrid w:val="0"/>
        <w:spacing w:line="360" w:lineRule="auto"/>
        <w:ind w:left="4" w:leftChars="0" w:firstLine="636" w:firstLineChars="265"/>
        <w:rPr>
          <w:rFonts w:hint="eastAsia" w:ascii="宋体" w:hAnsi="宋体"/>
          <w:sz w:val="24"/>
        </w:rPr>
      </w:pPr>
      <w:r>
        <w:rPr>
          <w:rFonts w:hint="eastAsia" w:ascii="宋体" w:hAnsi="宋体"/>
          <w:sz w:val="24"/>
        </w:rPr>
        <w:t>故障修复时间</w:t>
      </w:r>
    </w:p>
    <w:p>
      <w:pPr>
        <w:tabs>
          <w:tab w:val="left" w:pos="540"/>
        </w:tabs>
        <w:adjustRightInd w:val="0"/>
        <w:snapToGrid w:val="0"/>
        <w:spacing w:line="360" w:lineRule="auto"/>
        <w:ind w:firstLine="540"/>
        <w:rPr>
          <w:rFonts w:hint="eastAsia" w:ascii="宋体" w:hAnsi="宋体"/>
          <w:sz w:val="24"/>
        </w:rPr>
      </w:pPr>
      <w:r>
        <w:rPr>
          <w:rFonts w:hint="eastAsia" w:ascii="宋体" w:hAnsi="宋体"/>
          <w:sz w:val="24"/>
        </w:rPr>
        <w:t>要求按每月计算，服务商工程师到达现场后平均故障修复时间小于2小时，单次最长时间少于3小时。</w:t>
      </w:r>
    </w:p>
    <w:p>
      <w:pPr>
        <w:numPr>
          <w:ilvl w:val="0"/>
          <w:numId w:val="3"/>
        </w:numPr>
        <w:adjustRightInd w:val="0"/>
        <w:snapToGrid w:val="0"/>
        <w:spacing w:line="360" w:lineRule="auto"/>
        <w:ind w:left="4" w:leftChars="0" w:firstLine="636" w:firstLineChars="265"/>
        <w:rPr>
          <w:rFonts w:hint="eastAsia" w:ascii="宋体" w:hAnsi="宋体"/>
          <w:sz w:val="24"/>
        </w:rPr>
      </w:pPr>
      <w:r>
        <w:rPr>
          <w:rFonts w:hint="eastAsia" w:ascii="宋体" w:hAnsi="宋体"/>
          <w:sz w:val="24"/>
        </w:rPr>
        <w:t>为本项目服务的专业工程师人数</w:t>
      </w:r>
    </w:p>
    <w:p>
      <w:pPr>
        <w:tabs>
          <w:tab w:val="left" w:pos="540"/>
        </w:tabs>
        <w:adjustRightInd w:val="0"/>
        <w:snapToGrid w:val="0"/>
        <w:spacing w:line="360" w:lineRule="auto"/>
        <w:ind w:firstLine="540"/>
        <w:rPr>
          <w:rFonts w:hint="eastAsia" w:ascii="宋体" w:hAnsi="宋体"/>
          <w:sz w:val="24"/>
        </w:rPr>
      </w:pPr>
      <w:r>
        <w:rPr>
          <w:rFonts w:hint="eastAsia" w:ascii="宋体" w:hAnsi="宋体"/>
          <w:sz w:val="24"/>
        </w:rPr>
        <w:t>服务商全职为本项目服务的工程师配备不少于</w:t>
      </w:r>
      <w:r>
        <w:rPr>
          <w:rFonts w:hint="eastAsia" w:ascii="宋体" w:hAnsi="宋体"/>
          <w:sz w:val="24"/>
          <w:lang w:val="en-US" w:eastAsia="zh-CN"/>
        </w:rPr>
        <w:t>5</w:t>
      </w:r>
      <w:r>
        <w:rPr>
          <w:rFonts w:hint="eastAsia" w:ascii="宋体" w:hAnsi="宋体"/>
          <w:sz w:val="24"/>
        </w:rPr>
        <w:t>人</w:t>
      </w:r>
      <w:r>
        <w:rPr>
          <w:rFonts w:hint="eastAsia" w:ascii="宋体" w:hAnsi="宋体"/>
          <w:sz w:val="24"/>
          <w:lang w:eastAsia="zh-CN"/>
        </w:rPr>
        <w:t>，</w:t>
      </w:r>
      <w:r>
        <w:rPr>
          <w:rFonts w:hint="eastAsia" w:ascii="宋体" w:hAnsi="宋体"/>
          <w:sz w:val="24"/>
        </w:rPr>
        <w:t>现场维保服务人员必须具备</w:t>
      </w:r>
      <w:r>
        <w:rPr>
          <w:rFonts w:hint="eastAsia" w:ascii="宋体" w:hAnsi="宋体"/>
          <w:sz w:val="24"/>
          <w:lang w:eastAsia="zh-CN"/>
        </w:rPr>
        <w:t>相关</w:t>
      </w:r>
      <w:r>
        <w:rPr>
          <w:rFonts w:hint="eastAsia" w:ascii="宋体" w:hAnsi="宋体"/>
          <w:sz w:val="24"/>
        </w:rPr>
        <w:t>资质。</w:t>
      </w:r>
    </w:p>
    <w:p>
      <w:pPr>
        <w:numPr>
          <w:ilvl w:val="0"/>
          <w:numId w:val="3"/>
        </w:numPr>
        <w:adjustRightInd w:val="0"/>
        <w:snapToGrid w:val="0"/>
        <w:spacing w:line="360" w:lineRule="auto"/>
        <w:ind w:left="4" w:leftChars="0" w:firstLine="636" w:firstLineChars="265"/>
        <w:rPr>
          <w:rFonts w:hint="eastAsia" w:ascii="宋体" w:hAnsi="宋体"/>
          <w:sz w:val="24"/>
        </w:rPr>
      </w:pPr>
      <w:r>
        <w:rPr>
          <w:rFonts w:hint="eastAsia" w:ascii="宋体" w:hAnsi="宋体"/>
          <w:sz w:val="24"/>
        </w:rPr>
        <w:t>根据我行机房停电、系统上线、系统切换、网络切换、线路割接等特殊时期，提供24小时现场驻守服务。</w:t>
      </w:r>
    </w:p>
    <w:p>
      <w:pPr>
        <w:numPr>
          <w:ilvl w:val="0"/>
          <w:numId w:val="1"/>
        </w:numPr>
        <w:adjustRightInd w:val="0"/>
        <w:snapToGrid w:val="0"/>
        <w:spacing w:line="360" w:lineRule="auto"/>
        <w:rPr>
          <w:rFonts w:ascii="宋体" w:hAnsi="宋体"/>
          <w:b/>
          <w:sz w:val="24"/>
        </w:rPr>
      </w:pPr>
      <w:r>
        <w:rPr>
          <w:rFonts w:hint="eastAsia" w:ascii="宋体" w:hAnsi="宋体"/>
          <w:b/>
          <w:kern w:val="0"/>
          <w:sz w:val="24"/>
        </w:rPr>
        <w:t>UPS保养维护工作内容</w:t>
      </w:r>
    </w:p>
    <w:p>
      <w:pPr>
        <w:numPr>
          <w:ilvl w:val="0"/>
          <w:numId w:val="4"/>
        </w:numPr>
        <w:snapToGrid w:val="0"/>
        <w:spacing w:line="360" w:lineRule="auto"/>
        <w:rPr>
          <w:rFonts w:ascii="宋体" w:hAnsi="宋体"/>
          <w:sz w:val="24"/>
        </w:rPr>
      </w:pPr>
      <w:r>
        <w:rPr>
          <w:rFonts w:hint="eastAsia" w:ascii="宋体" w:hAnsi="宋体"/>
          <w:sz w:val="24"/>
        </w:rPr>
        <w:t>步骤一：UPS巡检前的准备工作</w:t>
      </w:r>
    </w:p>
    <w:p>
      <w:pPr>
        <w:numPr>
          <w:ilvl w:val="0"/>
          <w:numId w:val="5"/>
        </w:numPr>
        <w:tabs>
          <w:tab w:val="left" w:pos="993"/>
          <w:tab w:val="clear" w:pos="360"/>
        </w:tabs>
        <w:snapToGrid w:val="0"/>
        <w:spacing w:line="349" w:lineRule="auto"/>
        <w:ind w:left="0" w:firstLine="480" w:firstLineChars="200"/>
        <w:rPr>
          <w:rFonts w:ascii="宋体" w:hAnsi="宋体"/>
          <w:sz w:val="24"/>
        </w:rPr>
      </w:pPr>
      <w:r>
        <w:rPr>
          <w:rFonts w:hint="eastAsia" w:ascii="宋体" w:hAnsi="宋体"/>
          <w:sz w:val="24"/>
        </w:rPr>
        <w:t>电话联系用户，确定维护时间、维护周期以及用户需提供哪方面的配合；</w:t>
      </w:r>
    </w:p>
    <w:p>
      <w:pPr>
        <w:numPr>
          <w:ilvl w:val="0"/>
          <w:numId w:val="5"/>
        </w:numPr>
        <w:tabs>
          <w:tab w:val="left" w:pos="993"/>
          <w:tab w:val="clear" w:pos="360"/>
        </w:tabs>
        <w:snapToGrid w:val="0"/>
        <w:spacing w:line="349" w:lineRule="auto"/>
        <w:ind w:left="0" w:firstLine="480" w:firstLineChars="200"/>
        <w:rPr>
          <w:rFonts w:ascii="宋体" w:hAnsi="宋体"/>
          <w:sz w:val="24"/>
          <w:highlight w:val="none"/>
        </w:rPr>
      </w:pPr>
      <w:r>
        <w:rPr>
          <w:rFonts w:hint="eastAsia" w:ascii="宋体" w:hAnsi="宋体"/>
          <w:sz w:val="24"/>
          <w:highlight w:val="none"/>
        </w:rPr>
        <w:t>翻查以前的工作记录，综合了解所作维护设备以往的工作情况，然后进行系统分析，需要了解和分析的大致有以下内容：</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机型、机身编号、调试日期；</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查阅历史记录的故障问题和解决办法、关注与本次维护相关内容。</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w:t>
      </w:r>
      <w:r>
        <w:rPr>
          <w:rFonts w:hint="eastAsia" w:ascii="宋体" w:hAnsi="宋体"/>
          <w:sz w:val="24"/>
        </w:rPr>
        <w:t>预测本次维护需做什么准备（如：携带备件、检测工具或其它）；</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电池型号、数量、品牌；</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5</w:t>
      </w:r>
      <w:r>
        <w:rPr>
          <w:rFonts w:hint="eastAsia" w:ascii="宋体" w:hAnsi="宋体"/>
          <w:sz w:val="24"/>
          <w:lang w:eastAsia="zh-CN"/>
        </w:rPr>
        <w:t>）</w:t>
      </w:r>
      <w:r>
        <w:rPr>
          <w:rFonts w:hint="eastAsia" w:ascii="宋体" w:hAnsi="宋体"/>
          <w:sz w:val="24"/>
        </w:rPr>
        <w:t>电池的寿命与已使用的年限相比较，从中分析预测将会存在什么隐患需注意或及早处理的；</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val="en-US" w:eastAsia="zh-CN"/>
        </w:rPr>
        <w:t>（6）</w:t>
      </w:r>
      <w:r>
        <w:rPr>
          <w:rFonts w:hint="eastAsia" w:ascii="宋体" w:hAnsi="宋体"/>
          <w:sz w:val="24"/>
        </w:rPr>
        <w:t>用户对设备的日常维护情况；</w:t>
      </w:r>
    </w:p>
    <w:p>
      <w:pPr>
        <w:numPr>
          <w:ilvl w:val="0"/>
          <w:numId w:val="0"/>
        </w:numPr>
        <w:tabs>
          <w:tab w:val="left" w:pos="993"/>
        </w:tabs>
        <w:snapToGrid w:val="0"/>
        <w:spacing w:line="349" w:lineRule="auto"/>
        <w:ind w:left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7</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根据合同及我行不定期的任务等约定的要求和维护内容开展工作；</w:t>
      </w:r>
    </w:p>
    <w:p>
      <w:pPr>
        <w:numPr>
          <w:ilvl w:val="0"/>
          <w:numId w:val="0"/>
        </w:numPr>
        <w:tabs>
          <w:tab w:val="left" w:pos="993"/>
        </w:tabs>
        <w:snapToGrid w:val="0"/>
        <w:spacing w:line="349" w:lineRule="auto"/>
        <w:ind w:leftChars="200"/>
        <w:rPr>
          <w:rFonts w:ascii="宋体" w:hAnsi="宋体"/>
          <w:sz w:val="24"/>
        </w:rPr>
      </w:pPr>
      <w:r>
        <w:rPr>
          <w:rFonts w:hint="eastAsia" w:ascii="宋体" w:hAnsi="宋体"/>
          <w:sz w:val="24"/>
          <w:lang w:eastAsia="zh-CN"/>
        </w:rPr>
        <w:t>（</w:t>
      </w:r>
      <w:r>
        <w:rPr>
          <w:rFonts w:hint="eastAsia" w:ascii="宋体" w:hAnsi="宋体"/>
          <w:sz w:val="24"/>
          <w:lang w:val="en-US" w:eastAsia="zh-CN"/>
        </w:rPr>
        <w:t>8</w:t>
      </w:r>
      <w:r>
        <w:rPr>
          <w:rFonts w:hint="eastAsia" w:ascii="宋体" w:hAnsi="宋体"/>
          <w:sz w:val="24"/>
          <w:lang w:eastAsia="zh-CN"/>
        </w:rPr>
        <w:t>）</w:t>
      </w:r>
      <w:r>
        <w:rPr>
          <w:rFonts w:hint="eastAsia" w:ascii="宋体" w:hAnsi="宋体"/>
          <w:sz w:val="24"/>
        </w:rPr>
        <w:t>出发前检查工具、手提电脑和相关的仪表是否齐备、可用。</w:t>
      </w:r>
    </w:p>
    <w:p>
      <w:pPr>
        <w:numPr>
          <w:ilvl w:val="0"/>
          <w:numId w:val="4"/>
        </w:numPr>
        <w:snapToGrid w:val="0"/>
        <w:spacing w:line="360" w:lineRule="auto"/>
        <w:rPr>
          <w:rFonts w:ascii="宋体" w:hAnsi="宋体"/>
          <w:sz w:val="24"/>
        </w:rPr>
      </w:pPr>
      <w:r>
        <w:rPr>
          <w:rFonts w:hint="eastAsia" w:ascii="宋体" w:hAnsi="宋体"/>
          <w:sz w:val="24"/>
        </w:rPr>
        <w:t>步骤二：UPS系统维护工作</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UPS系统若是并联系统，完成一台UPS再开始另一台UPS或UPS系统的维护工作；</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现场环境检查，如：供配电情况、房间的洁净情况、温湿度、机器周围的通风散热情况；</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通过UPS的显示屏检查运行数据和报警信息，记录运行数据（输入电压、电流、频率；输出电压、电流、频率；电池电压、电流等）填写维护报告单；</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电池目测（有无漏液，腐蚀），检查UPS散热风扇、保险丝、显示灯等的工作情况；</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用电脑读取UPS内部板件参数和报警信息，检查参数有否缺失和错误，</w:t>
      </w:r>
      <w:r>
        <w:rPr>
          <w:rFonts w:hint="eastAsia" w:ascii="宋体" w:hAnsi="宋体"/>
          <w:sz w:val="24"/>
          <w:highlight w:val="none"/>
        </w:rPr>
        <w:t>若出现参数缺失或错误，进行参数校正，如果无法校正，为避免影响UPS系统</w:t>
      </w:r>
      <w:r>
        <w:rPr>
          <w:rFonts w:hint="eastAsia" w:ascii="宋体" w:hAnsi="宋体"/>
          <w:sz w:val="24"/>
        </w:rPr>
        <w:t xml:space="preserve">的运行，必须对该电路板进行更换； </w:t>
      </w:r>
    </w:p>
    <w:p>
      <w:pPr>
        <w:numPr>
          <w:ilvl w:val="0"/>
          <w:numId w:val="6"/>
        </w:numPr>
        <w:tabs>
          <w:tab w:val="left" w:pos="993"/>
          <w:tab w:val="clear" w:pos="360"/>
        </w:tabs>
        <w:snapToGrid w:val="0"/>
        <w:spacing w:line="348" w:lineRule="auto"/>
        <w:ind w:left="0" w:firstLine="484" w:firstLineChars="202"/>
        <w:rPr>
          <w:rFonts w:ascii="宋体" w:hAnsi="宋体"/>
          <w:sz w:val="24"/>
          <w:highlight w:val="none"/>
        </w:rPr>
      </w:pPr>
      <w:r>
        <w:rPr>
          <w:rFonts w:hint="eastAsia" w:ascii="宋体" w:hAnsi="宋体"/>
          <w:sz w:val="24"/>
        </w:rPr>
        <w:t>检查并确认旁路电压没超限后，关闭逆变器，转到旁路供电；若是旁</w:t>
      </w:r>
      <w:r>
        <w:rPr>
          <w:rFonts w:hint="eastAsia" w:ascii="宋体" w:hAnsi="宋体"/>
          <w:sz w:val="24"/>
          <w:highlight w:val="none"/>
        </w:rPr>
        <w:t>路电压超限，与用户商量，为避免影响用户的负载正常运行，暂停维护检查；</w:t>
      </w:r>
    </w:p>
    <w:p>
      <w:pPr>
        <w:numPr>
          <w:ilvl w:val="0"/>
          <w:numId w:val="6"/>
        </w:numPr>
        <w:tabs>
          <w:tab w:val="left" w:pos="993"/>
          <w:tab w:val="clear" w:pos="360"/>
        </w:tabs>
        <w:snapToGrid w:val="0"/>
        <w:spacing w:line="348" w:lineRule="auto"/>
        <w:ind w:left="0" w:firstLine="484" w:firstLineChars="202"/>
        <w:rPr>
          <w:rFonts w:ascii="宋体" w:hAnsi="宋体"/>
          <w:sz w:val="24"/>
          <w:highlight w:val="none"/>
        </w:rPr>
      </w:pPr>
      <w:r>
        <w:rPr>
          <w:rFonts w:hint="eastAsia" w:ascii="宋体" w:hAnsi="宋体"/>
          <w:sz w:val="24"/>
          <w:highlight w:val="none"/>
          <w:lang w:eastAsia="zh-CN"/>
        </w:rPr>
        <w:t>涉及</w:t>
      </w:r>
      <w:r>
        <w:rPr>
          <w:rFonts w:hint="eastAsia" w:ascii="宋体" w:hAnsi="宋体"/>
          <w:sz w:val="24"/>
          <w:highlight w:val="none"/>
          <w:lang w:val="en-US" w:eastAsia="zh-CN"/>
        </w:rPr>
        <w:t>UPS运行，或有可能影响UPS运行的重要操作</w:t>
      </w:r>
      <w:r>
        <w:rPr>
          <w:rFonts w:hint="eastAsia" w:ascii="宋体" w:hAnsi="宋体"/>
          <w:sz w:val="24"/>
          <w:highlight w:val="none"/>
        </w:rPr>
        <w:t>（以下步骤需要我行同意）</w:t>
      </w:r>
      <w:r>
        <w:rPr>
          <w:rFonts w:hint="eastAsia" w:ascii="宋体" w:hAnsi="宋体"/>
          <w:sz w:val="24"/>
          <w:highlight w:val="none"/>
          <w:lang w:eastAsia="zh-CN"/>
        </w:rPr>
        <w:t>：</w:t>
      </w:r>
    </w:p>
    <w:p>
      <w:pPr>
        <w:numPr>
          <w:ilvl w:val="0"/>
          <w:numId w:val="0"/>
        </w:numPr>
        <w:tabs>
          <w:tab w:val="left" w:pos="993"/>
        </w:tabs>
        <w:snapToGrid w:val="0"/>
        <w:spacing w:line="348" w:lineRule="auto"/>
        <w:ind w:left="4" w:leftChars="0" w:firstLine="420" w:firstLineChars="175"/>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特别提醒：UPS系统是单机，转换到维修状态；若是并机，即关闭UPS，禁止转换到维修状态；</w:t>
      </w:r>
    </w:p>
    <w:p>
      <w:pPr>
        <w:numPr>
          <w:ilvl w:val="0"/>
          <w:numId w:val="0"/>
        </w:numPr>
        <w:tabs>
          <w:tab w:val="left" w:pos="993"/>
        </w:tabs>
        <w:snapToGrid w:val="0"/>
        <w:spacing w:line="348"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）打开盖板，检查所有信号线接口，电路板件接口、电缆接口螺丝紧固情况，直流电容的防爆保护有否弹出，电气元件的老化程度；油扫除尘，灰尘较多的情况下要使用吸尘器；</w:t>
      </w:r>
    </w:p>
    <w:p>
      <w:pPr>
        <w:numPr>
          <w:ilvl w:val="0"/>
          <w:numId w:val="0"/>
        </w:numPr>
        <w:tabs>
          <w:tab w:val="left" w:pos="993"/>
        </w:tabs>
        <w:snapToGrid w:val="0"/>
        <w:spacing w:line="348"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）按照拆开顺序倒序装回相关板件、盖板，清洁设备外表，在清洁过程中严禁有水气进入UPS内部；</w:t>
      </w:r>
    </w:p>
    <w:p>
      <w:pPr>
        <w:numPr>
          <w:ilvl w:val="0"/>
          <w:numId w:val="0"/>
        </w:numPr>
        <w:tabs>
          <w:tab w:val="left" w:pos="993"/>
        </w:tabs>
        <w:snapToGrid w:val="0"/>
        <w:spacing w:line="348"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使用电池测试仪检查电池容量；若是使用内阻仪检查电池内阻，记录相关数据；在检查过程中发现电池存在问题马上告知用户，并根据电池损坏程度和用户协商是否需要卸下；用干布和吸尘器清洁电池表面的灰尘，小心触电，清洁电池柜外壳；</w:t>
      </w:r>
    </w:p>
    <w:p>
      <w:pPr>
        <w:numPr>
          <w:ilvl w:val="0"/>
          <w:numId w:val="0"/>
        </w:numPr>
        <w:tabs>
          <w:tab w:val="left" w:pos="993"/>
        </w:tabs>
        <w:snapToGrid w:val="0"/>
        <w:spacing w:line="348"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5</w:t>
      </w:r>
      <w:r>
        <w:rPr>
          <w:rFonts w:hint="eastAsia" w:ascii="宋体" w:hAnsi="宋体"/>
          <w:sz w:val="24"/>
          <w:lang w:eastAsia="zh-CN"/>
        </w:rPr>
        <w:t xml:space="preserve">）按操作步骤逐步启动UPS，用电脑读取各板件的检测值与万用表实际测量值进行比较，若相差较大，则需对相关的板件进行校验； </w:t>
      </w:r>
    </w:p>
    <w:p>
      <w:pPr>
        <w:numPr>
          <w:ilvl w:val="0"/>
          <w:numId w:val="0"/>
        </w:numPr>
        <w:tabs>
          <w:tab w:val="left" w:pos="993"/>
        </w:tabs>
        <w:snapToGrid w:val="0"/>
        <w:spacing w:line="348"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系统恢复正常运行后，断开UPS主电源输入开关，进行带载放电测试，使用电脑读取相关参数，填写放电运行记录；根据负载量和后备时间决定放电时间的长短，由于电池回充需要48小时，为避免影响UPS系统的运行，单机放电时间一般在10分钟以上，30分钟以下，如果负载量较低而且后备时间长，可以相应延长放电时间；</w:t>
      </w:r>
    </w:p>
    <w:p>
      <w:pPr>
        <w:numPr>
          <w:ilvl w:val="0"/>
          <w:numId w:val="6"/>
        </w:numPr>
        <w:tabs>
          <w:tab w:val="left" w:pos="993"/>
          <w:tab w:val="clear" w:pos="360"/>
        </w:tabs>
        <w:snapToGrid w:val="0"/>
        <w:spacing w:line="348" w:lineRule="auto"/>
        <w:ind w:left="0" w:firstLine="484" w:firstLineChars="202"/>
        <w:rPr>
          <w:rFonts w:hint="eastAsia" w:ascii="宋体" w:hAnsi="宋体"/>
          <w:sz w:val="24"/>
          <w:lang w:eastAsia="zh-CN"/>
        </w:rPr>
      </w:pPr>
      <w:r>
        <w:rPr>
          <w:rFonts w:hint="eastAsia" w:ascii="宋体" w:hAnsi="宋体"/>
          <w:sz w:val="24"/>
          <w:lang w:eastAsia="zh-CN"/>
        </w:rPr>
        <w:t>电池组电压巡测并记录异常值；</w:t>
      </w:r>
    </w:p>
    <w:p>
      <w:pPr>
        <w:numPr>
          <w:ilvl w:val="0"/>
          <w:numId w:val="6"/>
        </w:numPr>
        <w:tabs>
          <w:tab w:val="left" w:pos="993"/>
          <w:tab w:val="clear" w:pos="360"/>
        </w:tabs>
        <w:snapToGrid w:val="0"/>
        <w:spacing w:line="348" w:lineRule="auto"/>
        <w:ind w:left="0" w:firstLine="484" w:firstLineChars="202"/>
        <w:rPr>
          <w:rFonts w:hint="eastAsia" w:ascii="宋体" w:hAnsi="宋体"/>
          <w:sz w:val="24"/>
          <w:lang w:eastAsia="zh-CN"/>
        </w:rPr>
      </w:pPr>
      <w:r>
        <w:rPr>
          <w:rFonts w:hint="eastAsia" w:ascii="宋体" w:hAnsi="宋体"/>
          <w:sz w:val="24"/>
          <w:lang w:eastAsia="zh-CN"/>
        </w:rPr>
        <w:t>放电测试完成后，闭合UPS主电源输入开关，恢复UPS正常工作；填写工作单和保养报告单（其中包括运行数据、放电测试情况、电池变化状态、注意事项、隐患情况等），签字确认，一份我行留底一份服务商保存；</w:t>
      </w:r>
    </w:p>
    <w:p>
      <w:pPr>
        <w:numPr>
          <w:ilvl w:val="0"/>
          <w:numId w:val="6"/>
        </w:numPr>
        <w:tabs>
          <w:tab w:val="left" w:pos="993"/>
          <w:tab w:val="clear" w:pos="360"/>
        </w:tabs>
        <w:snapToGrid w:val="0"/>
        <w:spacing w:line="348" w:lineRule="auto"/>
        <w:ind w:left="0" w:firstLine="484" w:firstLineChars="202"/>
        <w:rPr>
          <w:rFonts w:ascii="宋体" w:hAnsi="宋体"/>
          <w:sz w:val="24"/>
        </w:rPr>
      </w:pPr>
      <w:r>
        <w:rPr>
          <w:rFonts w:hint="eastAsia" w:ascii="宋体" w:hAnsi="宋体"/>
          <w:sz w:val="24"/>
        </w:rPr>
        <w:t>用干布再次清洁设备和电池柜的外壳，对用户进行操作培训，预约下次检测时间；UPS系统恢复生产30分钟后，检查确认UPS正常运行才能离开现场。</w:t>
      </w:r>
    </w:p>
    <w:p>
      <w:pPr>
        <w:numPr>
          <w:ilvl w:val="0"/>
          <w:numId w:val="4"/>
        </w:numPr>
        <w:snapToGrid w:val="0"/>
        <w:spacing w:line="360" w:lineRule="auto"/>
        <w:rPr>
          <w:rFonts w:ascii="宋体" w:hAnsi="宋体"/>
          <w:sz w:val="24"/>
        </w:rPr>
      </w:pPr>
      <w:r>
        <w:rPr>
          <w:rFonts w:hint="eastAsia" w:ascii="宋体" w:hAnsi="宋体"/>
          <w:sz w:val="24"/>
        </w:rPr>
        <w:t>步骤三：维护工作的跟进</w:t>
      </w:r>
    </w:p>
    <w:p>
      <w:pPr>
        <w:numPr>
          <w:ilvl w:val="0"/>
          <w:numId w:val="7"/>
        </w:numPr>
        <w:tabs>
          <w:tab w:val="left" w:pos="993"/>
          <w:tab w:val="clear" w:pos="360"/>
        </w:tabs>
        <w:snapToGrid w:val="0"/>
        <w:spacing w:line="324" w:lineRule="auto"/>
        <w:ind w:left="0" w:firstLine="484" w:firstLineChars="202"/>
        <w:rPr>
          <w:rFonts w:ascii="宋体" w:hAnsi="宋体"/>
          <w:sz w:val="24"/>
        </w:rPr>
      </w:pPr>
      <w:r>
        <w:rPr>
          <w:rFonts w:hint="eastAsia" w:ascii="宋体" w:hAnsi="宋体"/>
          <w:sz w:val="24"/>
        </w:rPr>
        <w:t>把资料存档，填写保养检查、分析报告，尤其需预测下次维护需注意的事项；</w:t>
      </w:r>
    </w:p>
    <w:p>
      <w:pPr>
        <w:numPr>
          <w:ilvl w:val="0"/>
          <w:numId w:val="7"/>
        </w:numPr>
        <w:tabs>
          <w:tab w:val="left" w:pos="993"/>
          <w:tab w:val="clear" w:pos="360"/>
        </w:tabs>
        <w:snapToGrid w:val="0"/>
        <w:spacing w:line="324" w:lineRule="auto"/>
        <w:ind w:left="0" w:firstLine="484" w:firstLineChars="202"/>
        <w:rPr>
          <w:rFonts w:ascii="宋体" w:hAnsi="宋体"/>
          <w:sz w:val="24"/>
        </w:rPr>
      </w:pPr>
      <w:r>
        <w:rPr>
          <w:rFonts w:hint="eastAsia" w:ascii="宋体" w:hAnsi="宋体"/>
          <w:sz w:val="24"/>
        </w:rPr>
        <w:t>如果维护过程中发现有电路板、电池等需原厂支持解决的故障，出具检查报给我行，待我行确认后，由服务商与原厂预约更换时间，由服务商跟进结果，不得拖延；</w:t>
      </w:r>
    </w:p>
    <w:p>
      <w:pPr>
        <w:numPr>
          <w:ilvl w:val="0"/>
          <w:numId w:val="1"/>
        </w:numPr>
        <w:snapToGrid w:val="0"/>
        <w:spacing w:line="300" w:lineRule="auto"/>
        <w:rPr>
          <w:rFonts w:ascii="宋体" w:hAnsi="宋体"/>
          <w:b/>
          <w:kern w:val="0"/>
          <w:sz w:val="24"/>
        </w:rPr>
      </w:pPr>
      <w:r>
        <w:rPr>
          <w:rFonts w:hint="eastAsia" w:ascii="宋体" w:hAnsi="宋体"/>
          <w:b/>
          <w:kern w:val="0"/>
          <w:sz w:val="24"/>
        </w:rPr>
        <w:t>机房精密空调保养维护工作内容</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到达现场先了解涉及到本次任务所需的情况；</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检查设备外观有否受损或其它在外观上属不正常的情况，检查周边环境情况；</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记录设备当前实际的工作情况，如回风温、湿度值，工作图表数据、设定的温、湿度值及其他设定参数值（预防控制板电池损坏，以至数据丢失）；</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关停系统检查空气过滤网的洁净度情况，若有需要应即时清理，清理可用水洗、吸净、更换等方法，主要视具体情况而定；</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关停系统检查电机传动皮带，并调整松紧度至适当的状态，一般情况松紧度在1</w:t>
      </w:r>
      <w:r>
        <w:rPr>
          <w:rFonts w:ascii="宋体" w:hAnsi="宋体"/>
          <w:sz w:val="24"/>
        </w:rPr>
        <w:t>cm</w:t>
      </w:r>
      <w:r>
        <w:rPr>
          <w:rFonts w:hint="eastAsia" w:ascii="宋体" w:hAnsi="宋体"/>
          <w:sz w:val="24"/>
        </w:rPr>
        <w:t>左右较适宜；</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用湿布对系统进行初步清洁；</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紧固一遍系统的所有螺丝及电子原气件的接线端子，以防存有松脱隐患；</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检查一遍系统所有电子板件，以防存有接触不良的隐患；</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清扫室外散热系统,有条件时可进行清洗；</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清洗加湿罐，在确认加湿罐已失去继续使用的作用，应建议用户进行更换；</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认真检查、清理蒸发器、散热器表面，以使用其能在洁净度较高的状态下工作；</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认真检查散热器所有进线端密闭性是否良好，散热风扇有否受损，散热器周边有否遮蔽物阻挡，以至影响通风散热；</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认真检查蒸发器、散热器的进、出毛细管有否碰损、漏油现象；</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认真检查加热器的电热丝的松紧状态是否适当，绝缘情况是否良好，接触点是否正常；</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认真检查系统内有否存在泄漏的隐患及现象；</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认真检查干燥过滤器、气液镜、安全保护阀、止回阀等是否处于正常状态；</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清洁温、湿传感器，使其表面不留灰尘；</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用水冲洗排水管，直至不存积水排水畅顺为止；</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认真检查进水管、排水管等接口是否紧固；</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认真检查所有进出管线有否受到破坏，以至存在影响系统正常运行的隐患；</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认真检查系统的密封度（如门缝等），有否出现密封不严现象，若有应加以调整；</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认真检查配合该系统正常运作的一些附助设备（如漏水报警、温湿报警、鲜风系统等）是否处于正常状态，对应的也应作适当的清洁工作。</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重新启动系统，留意风机的转向是否正常，然后，将系统温度设定在16℃，湿度设定在40%H</w:t>
      </w:r>
      <w:r>
        <w:rPr>
          <w:rFonts w:ascii="宋体" w:hAnsi="宋体"/>
          <w:sz w:val="24"/>
        </w:rPr>
        <w:t>r</w:t>
      </w:r>
      <w:r>
        <w:rPr>
          <w:rFonts w:hint="eastAsia" w:ascii="宋体" w:hAnsi="宋体"/>
          <w:sz w:val="24"/>
        </w:rPr>
        <w:t>，以便进行以下的测试；</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等系统运行30分钟左右，开始利用测量仪器对温、湿度传感器进行校正；</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手动将设定湿度设高，进行人为加湿观察加湿进水情况，测量相关的工作电流及工作状态，并做好记录；</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按照工作规范和步骤接上压力表，测量制冷系统的高、低压的压力，测试系统的高、低压保护功能并记录相关参数，并对系统运行的各状态进行观察，利用所观察到的工作状况与测试的数据相比较，联系起来进行有效的判断，以确保所作判断的准确性；</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测量系统的总主电源工作电压、电流、变压器的输出电压等；</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测量风机运行电流、压缩机运行电流、冷凝器风扇运行电流；</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检查室外冷凝器风扇的压力开关动作是否正常；</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认真倾听和观察系统工作时有否产生一些不正常的噪声和振动；</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将设定温度调至高于现场的温度，然后，对加热功能进行电压、电流测试；</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手动停总电源开关，测试停电后来电再启动功能；</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完成测试工作后，应将设定温湿度设回机房所要求设定的温湿度；</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检查控制面板上的所有参数设置，保证所有功能均处于正常设置状态（正常设置应符合使用方的需要）；</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进行简单的现场培训，主要是日常的维护以及操作时需注意的要点，应急处理的步骤等；</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现场设备外观的最后清洁；</w:t>
      </w:r>
    </w:p>
    <w:p>
      <w:pPr>
        <w:numPr>
          <w:ilvl w:val="0"/>
          <w:numId w:val="8"/>
        </w:numPr>
        <w:tabs>
          <w:tab w:val="left" w:pos="993"/>
        </w:tabs>
        <w:snapToGrid w:val="0"/>
        <w:spacing w:line="324" w:lineRule="auto"/>
        <w:ind w:left="0" w:firstLine="484" w:firstLineChars="202"/>
        <w:rPr>
          <w:rFonts w:ascii="宋体" w:hAnsi="宋体"/>
          <w:sz w:val="24"/>
        </w:rPr>
      </w:pPr>
      <w:r>
        <w:rPr>
          <w:rFonts w:hint="eastAsia" w:ascii="宋体" w:hAnsi="宋体"/>
          <w:sz w:val="24"/>
        </w:rPr>
        <w:t>将本次的测试记录和保养报告交用户签署意见和签名，对存在的问题不能在本次工作中解决的，应在呈交书面报告时注明跟进处理的措施，处理的周期（必要时还需注明需用户给予什么的配合，和需要准备什么防范的措施来防止处理过程的意外事故的发生）；</w:t>
      </w:r>
    </w:p>
    <w:p>
      <w:pPr>
        <w:numPr>
          <w:ilvl w:val="0"/>
          <w:numId w:val="1"/>
        </w:numPr>
        <w:tabs>
          <w:tab w:val="left" w:pos="540"/>
        </w:tabs>
        <w:adjustRightInd w:val="0"/>
        <w:snapToGrid w:val="0"/>
        <w:spacing w:line="360" w:lineRule="auto"/>
        <w:rPr>
          <w:rFonts w:ascii="宋体" w:hAnsi="宋体"/>
          <w:b/>
          <w:snapToGrid w:val="0"/>
          <w:color w:val="000000"/>
          <w:sz w:val="24"/>
        </w:rPr>
      </w:pPr>
      <w:r>
        <w:rPr>
          <w:rFonts w:hint="eastAsia" w:ascii="宋体" w:hAnsi="宋体"/>
          <w:b/>
          <w:snapToGrid w:val="0"/>
          <w:color w:val="000000"/>
          <w:sz w:val="24"/>
        </w:rPr>
        <w:t>机房配电柜保养维护工作内容</w:t>
      </w:r>
    </w:p>
    <w:p>
      <w:pPr>
        <w:numPr>
          <w:ilvl w:val="0"/>
          <w:numId w:val="9"/>
        </w:numPr>
        <w:tabs>
          <w:tab w:val="left" w:pos="709"/>
          <w:tab w:val="left" w:pos="851"/>
          <w:tab w:val="clear" w:pos="780"/>
        </w:tabs>
        <w:snapToGrid w:val="0"/>
        <w:spacing w:line="360" w:lineRule="auto"/>
        <w:ind w:left="0" w:firstLine="484" w:firstLineChars="202"/>
        <w:rPr>
          <w:rFonts w:ascii="宋体" w:hAnsi="宋体"/>
          <w:sz w:val="24"/>
        </w:rPr>
      </w:pPr>
      <w:r>
        <w:rPr>
          <w:rFonts w:hint="eastAsia" w:ascii="宋体" w:hAnsi="宋体"/>
          <w:sz w:val="24"/>
        </w:rPr>
        <w:t>到达现场先了解涉及到本次任务所需的情况；</w:t>
      </w:r>
    </w:p>
    <w:p>
      <w:pPr>
        <w:numPr>
          <w:ilvl w:val="0"/>
          <w:numId w:val="9"/>
        </w:numPr>
        <w:tabs>
          <w:tab w:val="left" w:pos="851"/>
        </w:tabs>
        <w:snapToGrid w:val="0"/>
        <w:spacing w:line="360" w:lineRule="auto"/>
        <w:ind w:left="0" w:firstLine="484" w:firstLineChars="202"/>
        <w:rPr>
          <w:rFonts w:ascii="宋体" w:hAnsi="宋体"/>
          <w:sz w:val="24"/>
        </w:rPr>
      </w:pPr>
      <w:r>
        <w:rPr>
          <w:rFonts w:hint="eastAsia" w:ascii="宋体" w:hAnsi="宋体"/>
          <w:sz w:val="24"/>
        </w:rPr>
        <w:t>检查设备外观有否受损或其它在外观上属不正常的情况，检查周边环境情况，记录异常情况；</w:t>
      </w:r>
    </w:p>
    <w:p>
      <w:pPr>
        <w:numPr>
          <w:ilvl w:val="0"/>
          <w:numId w:val="9"/>
        </w:numPr>
        <w:tabs>
          <w:tab w:val="left" w:pos="851"/>
        </w:tabs>
        <w:snapToGrid w:val="0"/>
        <w:spacing w:line="360" w:lineRule="auto"/>
        <w:ind w:left="0" w:firstLine="484" w:firstLineChars="202"/>
        <w:rPr>
          <w:rFonts w:ascii="宋体" w:hAnsi="宋体"/>
          <w:sz w:val="24"/>
        </w:rPr>
      </w:pPr>
      <w:r>
        <w:rPr>
          <w:rFonts w:hint="eastAsia" w:ascii="宋体" w:hAnsi="宋体"/>
          <w:sz w:val="24"/>
        </w:rPr>
        <w:t>通过显示屏检查运行数据和报警信息，记录运行数据（总回路电压、总回路电流、频率；分支路电压、分支路电流、频率等），填写维护报告单；</w:t>
      </w:r>
    </w:p>
    <w:p>
      <w:pPr>
        <w:numPr>
          <w:ilvl w:val="0"/>
          <w:numId w:val="9"/>
        </w:numPr>
        <w:tabs>
          <w:tab w:val="left" w:pos="851"/>
        </w:tabs>
        <w:snapToGrid w:val="0"/>
        <w:spacing w:line="360" w:lineRule="auto"/>
        <w:ind w:left="0" w:firstLine="484" w:firstLineChars="202"/>
        <w:rPr>
          <w:rFonts w:ascii="宋体" w:hAnsi="宋体"/>
          <w:sz w:val="24"/>
        </w:rPr>
      </w:pPr>
      <w:r>
        <w:rPr>
          <w:rFonts w:hint="eastAsia" w:ascii="宋体" w:hAnsi="宋体"/>
          <w:sz w:val="24"/>
        </w:rPr>
        <w:t>检查各开关触点温度情况，记录异常情况；</w:t>
      </w:r>
    </w:p>
    <w:p>
      <w:pPr>
        <w:numPr>
          <w:ilvl w:val="0"/>
          <w:numId w:val="1"/>
        </w:numPr>
        <w:tabs>
          <w:tab w:val="left" w:pos="540"/>
        </w:tabs>
        <w:adjustRightInd w:val="0"/>
        <w:snapToGrid w:val="0"/>
        <w:spacing w:line="360" w:lineRule="auto"/>
        <w:rPr>
          <w:rFonts w:ascii="宋体" w:hAnsi="宋体"/>
          <w:b/>
          <w:snapToGrid w:val="0"/>
          <w:color w:val="000000"/>
          <w:sz w:val="24"/>
        </w:rPr>
      </w:pPr>
      <w:r>
        <w:rPr>
          <w:rFonts w:hint="eastAsia" w:ascii="宋体" w:hAnsi="宋体"/>
          <w:b/>
          <w:snapToGrid w:val="0"/>
          <w:color w:val="000000"/>
          <w:sz w:val="24"/>
        </w:rPr>
        <w:t>机房环境集中监控系统</w:t>
      </w:r>
      <w:r>
        <w:rPr>
          <w:rFonts w:ascii="宋体" w:hAnsi="宋体"/>
          <w:b/>
          <w:snapToGrid w:val="0"/>
          <w:color w:val="000000"/>
          <w:sz w:val="24"/>
        </w:rPr>
        <w:t>的</w:t>
      </w:r>
      <w:r>
        <w:rPr>
          <w:rFonts w:hint="eastAsia" w:ascii="宋体" w:hAnsi="宋体"/>
          <w:b/>
          <w:snapToGrid w:val="0"/>
          <w:color w:val="000000"/>
          <w:sz w:val="24"/>
        </w:rPr>
        <w:t>维保需求</w:t>
      </w:r>
    </w:p>
    <w:p>
      <w:pPr>
        <w:numPr>
          <w:ilvl w:val="0"/>
          <w:numId w:val="10"/>
        </w:numPr>
        <w:tabs>
          <w:tab w:val="left" w:pos="709"/>
          <w:tab w:val="left" w:pos="851"/>
          <w:tab w:val="clear" w:pos="780"/>
        </w:tabs>
        <w:snapToGrid w:val="0"/>
        <w:spacing w:line="360" w:lineRule="auto"/>
        <w:ind w:left="0" w:firstLine="484" w:firstLineChars="202"/>
        <w:rPr>
          <w:rFonts w:hint="eastAsia" w:ascii="宋体" w:hAnsi="宋体"/>
          <w:sz w:val="24"/>
        </w:rPr>
      </w:pPr>
      <w:r>
        <w:rPr>
          <w:rFonts w:hint="eastAsia" w:ascii="宋体" w:hAnsi="宋体"/>
          <w:sz w:val="24"/>
        </w:rPr>
        <w:t>服务清单</w:t>
      </w:r>
    </w:p>
    <w:tbl>
      <w:tblPr>
        <w:tblStyle w:val="7"/>
        <w:tblW w:w="9209" w:type="dxa"/>
        <w:tblInd w:w="113" w:type="dxa"/>
        <w:tblLayout w:type="autofit"/>
        <w:tblCellMar>
          <w:top w:w="0" w:type="dxa"/>
          <w:left w:w="108" w:type="dxa"/>
          <w:bottom w:w="0" w:type="dxa"/>
          <w:right w:w="108" w:type="dxa"/>
        </w:tblCellMar>
      </w:tblPr>
      <w:tblGrid>
        <w:gridCol w:w="2405"/>
        <w:gridCol w:w="1515"/>
        <w:gridCol w:w="5289"/>
      </w:tblGrid>
      <w:tr>
        <w:tblPrEx>
          <w:tblCellMar>
            <w:top w:w="0" w:type="dxa"/>
            <w:left w:w="108" w:type="dxa"/>
            <w:bottom w:w="0" w:type="dxa"/>
            <w:right w:w="108" w:type="dxa"/>
          </w:tblCellMar>
        </w:tblPrEx>
        <w:trPr>
          <w:trHeight w:val="405" w:hRule="atLeast"/>
        </w:trPr>
        <w:tc>
          <w:tcPr>
            <w:tcW w:w="2405" w:type="dxa"/>
            <w:tcBorders>
              <w:top w:val="single" w:color="auto" w:sz="4" w:space="0"/>
              <w:left w:val="single" w:color="auto" w:sz="4" w:space="0"/>
              <w:bottom w:val="single" w:color="auto" w:sz="4" w:space="0"/>
              <w:right w:val="single" w:color="auto" w:sz="4" w:space="0"/>
            </w:tcBorders>
            <w:shd w:val="clear" w:color="000000" w:fill="538DD5"/>
            <w:noWrap/>
            <w:vAlign w:val="center"/>
          </w:tcPr>
          <w:p>
            <w:pPr>
              <w:widowControl/>
              <w:jc w:val="center"/>
              <w:rPr>
                <w:rFonts w:ascii="宋体" w:hAnsi="宋体" w:eastAsia="宋体" w:cs="宋体"/>
                <w:color w:val="000000"/>
                <w:kern w:val="0"/>
                <w:sz w:val="32"/>
                <w:szCs w:val="32"/>
              </w:rPr>
            </w:pPr>
            <w:r>
              <w:rPr>
                <w:rFonts w:hint="eastAsia" w:ascii="宋体" w:hAnsi="宋体" w:eastAsia="宋体" w:cs="宋体"/>
                <w:color w:val="000000"/>
                <w:kern w:val="0"/>
                <w:sz w:val="32"/>
                <w:szCs w:val="32"/>
              </w:rPr>
              <w:t>机房名称</w:t>
            </w:r>
          </w:p>
        </w:tc>
        <w:tc>
          <w:tcPr>
            <w:tcW w:w="1515" w:type="dxa"/>
            <w:tcBorders>
              <w:top w:val="single" w:color="auto" w:sz="4" w:space="0"/>
              <w:left w:val="nil"/>
              <w:bottom w:val="single" w:color="auto" w:sz="4" w:space="0"/>
              <w:right w:val="single" w:color="auto" w:sz="4" w:space="0"/>
            </w:tcBorders>
            <w:shd w:val="clear" w:color="000000" w:fill="538DD5"/>
            <w:noWrap/>
            <w:vAlign w:val="center"/>
          </w:tcPr>
          <w:p>
            <w:pPr>
              <w:widowControl/>
              <w:jc w:val="center"/>
              <w:rPr>
                <w:rFonts w:ascii="宋体" w:hAnsi="宋体" w:eastAsia="宋体" w:cs="宋体"/>
                <w:color w:val="000000"/>
                <w:kern w:val="0"/>
                <w:sz w:val="32"/>
                <w:szCs w:val="32"/>
              </w:rPr>
            </w:pPr>
            <w:r>
              <w:rPr>
                <w:rFonts w:hint="eastAsia" w:ascii="宋体" w:hAnsi="宋体" w:eastAsia="宋体" w:cs="宋体"/>
                <w:color w:val="000000"/>
                <w:kern w:val="0"/>
                <w:sz w:val="32"/>
                <w:szCs w:val="32"/>
              </w:rPr>
              <w:t>物理位置</w:t>
            </w:r>
          </w:p>
        </w:tc>
        <w:tc>
          <w:tcPr>
            <w:tcW w:w="5289" w:type="dxa"/>
            <w:tcBorders>
              <w:top w:val="single" w:color="auto" w:sz="4" w:space="0"/>
              <w:left w:val="nil"/>
              <w:bottom w:val="single" w:color="auto" w:sz="4" w:space="0"/>
              <w:right w:val="single" w:color="auto" w:sz="4" w:space="0"/>
            </w:tcBorders>
            <w:shd w:val="clear" w:color="000000" w:fill="538DD5"/>
            <w:noWrap/>
            <w:vAlign w:val="center"/>
          </w:tcPr>
          <w:p>
            <w:pPr>
              <w:widowControl/>
              <w:jc w:val="center"/>
              <w:rPr>
                <w:rFonts w:ascii="宋体" w:hAnsi="宋体" w:eastAsia="宋体" w:cs="宋体"/>
                <w:color w:val="000000"/>
                <w:kern w:val="0"/>
                <w:sz w:val="32"/>
                <w:szCs w:val="32"/>
              </w:rPr>
            </w:pPr>
            <w:r>
              <w:rPr>
                <w:rFonts w:hint="eastAsia" w:ascii="宋体" w:hAnsi="宋体" w:eastAsia="宋体" w:cs="宋体"/>
                <w:color w:val="000000"/>
                <w:kern w:val="0"/>
                <w:sz w:val="32"/>
                <w:szCs w:val="32"/>
              </w:rPr>
              <w:t>机房环境集中监控系统维护的内容</w:t>
            </w:r>
          </w:p>
        </w:tc>
      </w:tr>
      <w:tr>
        <w:tblPrEx>
          <w:tblCellMar>
            <w:top w:w="0" w:type="dxa"/>
            <w:left w:w="108" w:type="dxa"/>
            <w:bottom w:w="0" w:type="dxa"/>
            <w:right w:w="108" w:type="dxa"/>
          </w:tblCellMar>
        </w:tblPrEx>
        <w:trPr>
          <w:trHeight w:val="1275" w:hRule="atLeast"/>
        </w:trPr>
        <w:tc>
          <w:tcPr>
            <w:tcW w:w="2405"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中心机房</w:t>
            </w:r>
            <w:r>
              <w:rPr>
                <w:rFonts w:ascii="Calibri" w:hAnsi="Calibri" w:eastAsia="宋体" w:cs="Calibri"/>
                <w:color w:val="000000"/>
                <w:kern w:val="0"/>
                <w:szCs w:val="21"/>
              </w:rPr>
              <w:t>GD1</w:t>
            </w:r>
            <w:r>
              <w:rPr>
                <w:rFonts w:hint="eastAsia" w:ascii="宋体" w:hAnsi="宋体" w:eastAsia="宋体" w:cs="宋体"/>
                <w:color w:val="000000"/>
                <w:kern w:val="0"/>
                <w:szCs w:val="21"/>
              </w:rPr>
              <w:t>区、</w:t>
            </w:r>
            <w:r>
              <w:rPr>
                <w:rFonts w:ascii="Calibri" w:hAnsi="Calibri" w:eastAsia="宋体" w:cs="Calibri"/>
                <w:color w:val="000000"/>
                <w:kern w:val="0"/>
                <w:szCs w:val="21"/>
              </w:rPr>
              <w:t>GD2</w:t>
            </w:r>
            <w:r>
              <w:rPr>
                <w:rFonts w:hint="eastAsia" w:ascii="宋体" w:hAnsi="宋体" w:eastAsia="宋体" w:cs="宋体"/>
                <w:color w:val="000000"/>
                <w:kern w:val="0"/>
                <w:szCs w:val="21"/>
              </w:rPr>
              <w:t>区</w:t>
            </w:r>
          </w:p>
        </w:tc>
        <w:tc>
          <w:tcPr>
            <w:tcW w:w="151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科韵路四楼</w:t>
            </w:r>
          </w:p>
        </w:tc>
        <w:tc>
          <w:tcPr>
            <w:tcW w:w="5289" w:type="dxa"/>
            <w:tcBorders>
              <w:top w:val="nil"/>
              <w:left w:val="nil"/>
              <w:bottom w:val="single" w:color="auto" w:sz="4" w:space="0"/>
              <w:right w:val="single" w:color="auto" w:sz="4" w:space="0"/>
            </w:tcBorders>
            <w:shd w:val="clear" w:color="000000" w:fill="FFFFFF"/>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含以下监控覆盖范围涉及所有硬件设备：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基础环境：温湿度、漏水检测、有毒有害气体检测、灰尘颗粒度检测、正负压检测、新风机；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动力环境：市电、精密空调、配电柜；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消防安全：门磁红外、视频、烟雾检测</w:t>
            </w:r>
          </w:p>
        </w:tc>
      </w:tr>
      <w:tr>
        <w:tblPrEx>
          <w:tblCellMar>
            <w:top w:w="0" w:type="dxa"/>
            <w:left w:w="108" w:type="dxa"/>
            <w:bottom w:w="0" w:type="dxa"/>
            <w:right w:w="108" w:type="dxa"/>
          </w:tblCellMar>
        </w:tblPrEx>
        <w:trPr>
          <w:trHeight w:val="765" w:hRule="atLeast"/>
        </w:trPr>
        <w:tc>
          <w:tcPr>
            <w:tcW w:w="2405"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中心机房</w:t>
            </w:r>
            <w:r>
              <w:rPr>
                <w:rFonts w:ascii="Calibri" w:hAnsi="Calibri" w:eastAsia="宋体" w:cs="Calibri"/>
                <w:color w:val="000000"/>
                <w:kern w:val="0"/>
                <w:szCs w:val="21"/>
              </w:rPr>
              <w:t>GD3</w:t>
            </w:r>
            <w:r>
              <w:rPr>
                <w:rFonts w:hint="eastAsia" w:ascii="宋体" w:hAnsi="宋体" w:eastAsia="宋体" w:cs="宋体"/>
                <w:color w:val="000000"/>
                <w:kern w:val="0"/>
                <w:szCs w:val="21"/>
              </w:rPr>
              <w:t>区</w:t>
            </w:r>
          </w:p>
        </w:tc>
        <w:tc>
          <w:tcPr>
            <w:tcW w:w="151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东风路机房</w:t>
            </w:r>
          </w:p>
        </w:tc>
        <w:tc>
          <w:tcPr>
            <w:tcW w:w="5289" w:type="dxa"/>
            <w:tcBorders>
              <w:top w:val="nil"/>
              <w:left w:val="nil"/>
              <w:bottom w:val="single" w:color="auto" w:sz="4" w:space="0"/>
              <w:right w:val="single" w:color="auto" w:sz="4" w:space="0"/>
            </w:tcBorders>
            <w:shd w:val="clear" w:color="000000" w:fill="FFFFFF"/>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含以下监控覆盖范围涉及所有硬件设备：基础环境：温湿度、UPS、漏水检测；动力环境：市电、配电柜、精密空调、电池组；消防安全：门禁、视频、烟雾检测</w:t>
            </w:r>
          </w:p>
        </w:tc>
      </w:tr>
      <w:tr>
        <w:tblPrEx>
          <w:tblCellMar>
            <w:top w:w="0" w:type="dxa"/>
            <w:left w:w="108" w:type="dxa"/>
            <w:bottom w:w="0" w:type="dxa"/>
            <w:right w:w="108" w:type="dxa"/>
          </w:tblCellMar>
        </w:tblPrEx>
        <w:trPr>
          <w:trHeight w:val="540" w:hRule="atLeast"/>
        </w:trPr>
        <w:tc>
          <w:tcPr>
            <w:tcW w:w="2405"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配电房（含电池室）</w:t>
            </w:r>
          </w:p>
        </w:tc>
        <w:tc>
          <w:tcPr>
            <w:tcW w:w="1515"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科韵路</w:t>
            </w:r>
            <w:r>
              <w:rPr>
                <w:rFonts w:ascii="Calibri" w:hAnsi="Calibri" w:eastAsia="宋体" w:cs="Calibri"/>
                <w:color w:val="000000"/>
                <w:kern w:val="0"/>
                <w:szCs w:val="21"/>
              </w:rPr>
              <w:t>1</w:t>
            </w:r>
            <w:r>
              <w:rPr>
                <w:rFonts w:hint="eastAsia" w:ascii="宋体" w:hAnsi="宋体" w:eastAsia="宋体" w:cs="宋体"/>
                <w:color w:val="000000"/>
                <w:kern w:val="0"/>
                <w:szCs w:val="21"/>
              </w:rPr>
              <w:t>楼配电房，电池室</w:t>
            </w:r>
          </w:p>
        </w:tc>
        <w:tc>
          <w:tcPr>
            <w:tcW w:w="5289" w:type="dxa"/>
            <w:tcBorders>
              <w:top w:val="nil"/>
              <w:left w:val="nil"/>
              <w:bottom w:val="single" w:color="auto" w:sz="4" w:space="0"/>
              <w:right w:val="single" w:color="auto" w:sz="4" w:space="0"/>
            </w:tcBorders>
            <w:shd w:val="clear" w:color="000000" w:fill="FFFFFF"/>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含以下监控覆盖范围涉及所有硬件设备：基础环境：温湿度、漏水检测、UPS；消防安全：烟雾检测</w:t>
            </w:r>
          </w:p>
        </w:tc>
      </w:tr>
      <w:tr>
        <w:tblPrEx>
          <w:tblCellMar>
            <w:top w:w="0" w:type="dxa"/>
            <w:left w:w="108" w:type="dxa"/>
            <w:bottom w:w="0" w:type="dxa"/>
            <w:right w:w="108" w:type="dxa"/>
          </w:tblCellMar>
        </w:tblPrEx>
        <w:trPr>
          <w:trHeight w:val="270" w:hRule="atLeast"/>
        </w:trPr>
        <w:tc>
          <w:tcPr>
            <w:tcW w:w="9209" w:type="dxa"/>
            <w:gridSpan w:val="3"/>
            <w:tcBorders>
              <w:top w:val="single" w:color="auto" w:sz="4" w:space="0"/>
              <w:left w:val="single" w:color="auto" w:sz="4" w:space="0"/>
              <w:bottom w:val="single" w:color="auto" w:sz="4" w:space="0"/>
              <w:right w:val="single" w:color="000000" w:sz="4" w:space="0"/>
            </w:tcBorders>
            <w:shd w:val="clear" w:color="000000" w:fill="FFFFFF"/>
            <w:vAlign w:val="center"/>
          </w:tcPr>
          <w:p>
            <w:pPr>
              <w:widowControl/>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对二级分行设备间</w:t>
            </w:r>
            <w:r>
              <w:rPr>
                <w:rFonts w:ascii="宋体" w:hAnsi="宋体" w:eastAsia="宋体" w:cs="宋体"/>
                <w:b/>
                <w:bCs/>
                <w:color w:val="000000"/>
                <w:kern w:val="0"/>
                <w:szCs w:val="21"/>
              </w:rPr>
              <w:t>的监控</w:t>
            </w:r>
            <w:r>
              <w:rPr>
                <w:rFonts w:hint="eastAsia" w:ascii="宋体" w:hAnsi="宋体" w:eastAsia="宋体" w:cs="宋体"/>
                <w:b/>
                <w:bCs/>
                <w:color w:val="000000"/>
                <w:kern w:val="0"/>
                <w:szCs w:val="21"/>
              </w:rPr>
              <w:t>：</w:t>
            </w:r>
          </w:p>
        </w:tc>
      </w:tr>
      <w:tr>
        <w:tblPrEx>
          <w:tblCellMar>
            <w:top w:w="0" w:type="dxa"/>
            <w:left w:w="108" w:type="dxa"/>
            <w:bottom w:w="0" w:type="dxa"/>
            <w:right w:w="108" w:type="dxa"/>
          </w:tblCellMar>
        </w:tblPrEx>
        <w:trPr>
          <w:trHeight w:val="1072" w:hRule="atLeast"/>
        </w:trPr>
        <w:tc>
          <w:tcPr>
            <w:tcW w:w="2405" w:type="dxa"/>
            <w:tcBorders>
              <w:top w:val="nil"/>
              <w:left w:val="single" w:color="auto" w:sz="4" w:space="0"/>
              <w:bottom w:val="single" w:color="auto" w:sz="4" w:space="0"/>
              <w:right w:val="single" w:color="auto" w:sz="4" w:space="0"/>
            </w:tcBorders>
            <w:shd w:val="clear" w:color="000000" w:fill="FFFFFF"/>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各二级分行的设备间（模块化设备间）</w:t>
            </w:r>
          </w:p>
        </w:tc>
        <w:tc>
          <w:tcPr>
            <w:tcW w:w="1515" w:type="dxa"/>
            <w:tcBorders>
              <w:top w:val="nil"/>
              <w:left w:val="nil"/>
              <w:bottom w:val="single" w:color="auto" w:sz="4" w:space="0"/>
              <w:right w:val="single" w:color="auto" w:sz="4" w:space="0"/>
            </w:tcBorders>
            <w:shd w:val="clear" w:color="000000" w:fill="FFFFFF"/>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共</w:t>
            </w:r>
            <w:r>
              <w:rPr>
                <w:rFonts w:ascii="宋体" w:hAnsi="宋体" w:eastAsia="宋体" w:cs="宋体"/>
                <w:color w:val="000000"/>
                <w:kern w:val="0"/>
                <w:szCs w:val="21"/>
              </w:rPr>
              <w:t>20</w:t>
            </w:r>
            <w:r>
              <w:rPr>
                <w:rFonts w:hint="eastAsia" w:ascii="宋体" w:hAnsi="宋体" w:eastAsia="宋体" w:cs="宋体"/>
                <w:color w:val="000000"/>
                <w:kern w:val="0"/>
                <w:szCs w:val="21"/>
              </w:rPr>
              <w:t>家分行</w:t>
            </w:r>
          </w:p>
        </w:tc>
        <w:tc>
          <w:tcPr>
            <w:tcW w:w="52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与模块化设备间监控对接的接口协议</w:t>
            </w:r>
          </w:p>
        </w:tc>
      </w:tr>
    </w:tbl>
    <w:p>
      <w:pPr>
        <w:rPr>
          <w:b/>
        </w:rPr>
      </w:pPr>
    </w:p>
    <w:p>
      <w:pPr>
        <w:numPr>
          <w:ilvl w:val="0"/>
          <w:numId w:val="10"/>
        </w:numPr>
        <w:tabs>
          <w:tab w:val="left" w:pos="709"/>
          <w:tab w:val="left" w:pos="851"/>
          <w:tab w:val="clear" w:pos="780"/>
        </w:tabs>
        <w:snapToGrid w:val="0"/>
        <w:spacing w:line="360" w:lineRule="auto"/>
        <w:ind w:left="0" w:firstLine="484" w:firstLineChars="202"/>
        <w:rPr>
          <w:rFonts w:hint="eastAsia" w:ascii="宋体" w:hAnsi="宋体"/>
          <w:sz w:val="24"/>
        </w:rPr>
      </w:pPr>
      <w:r>
        <w:rPr>
          <w:rFonts w:hint="eastAsia" w:ascii="宋体" w:hAnsi="宋体"/>
          <w:sz w:val="24"/>
        </w:rPr>
        <w:t>服务内容</w:t>
      </w:r>
    </w:p>
    <w:p>
      <w:pPr>
        <w:numPr>
          <w:ilvl w:val="0"/>
          <w:numId w:val="0"/>
        </w:numPr>
        <w:tabs>
          <w:tab w:val="left" w:pos="709"/>
          <w:tab w:val="left" w:pos="851"/>
        </w:tabs>
        <w:snapToGrid w:val="0"/>
        <w:spacing w:line="360" w:lineRule="auto"/>
        <w:ind w:leftChars="202"/>
        <w:rPr>
          <w:rFonts w:hint="eastAsia"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响应需求</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24（小时）×7(天)响应服务，维保期内发生紧急故障，应在接到故障后立即派遣工程师进行现场支持，具体响应方式及响应时间根据故障级别而定，其具体内容如下：</w:t>
      </w:r>
    </w:p>
    <w:tbl>
      <w:tblPr>
        <w:tblStyle w:val="7"/>
        <w:tblW w:w="8080" w:type="dxa"/>
        <w:tblInd w:w="-8" w:type="dxa"/>
        <w:shd w:val="clear" w:color="auto" w:fill="FFFFFF"/>
        <w:tblLayout w:type="autofit"/>
        <w:tblCellMar>
          <w:top w:w="0" w:type="dxa"/>
          <w:left w:w="0" w:type="dxa"/>
          <w:bottom w:w="0" w:type="dxa"/>
          <w:right w:w="0" w:type="dxa"/>
        </w:tblCellMar>
      </w:tblPr>
      <w:tblGrid>
        <w:gridCol w:w="1275"/>
        <w:gridCol w:w="2127"/>
        <w:gridCol w:w="4678"/>
      </w:tblGrid>
      <w:tr>
        <w:tblPrEx>
          <w:tblCellMar>
            <w:top w:w="0" w:type="dxa"/>
            <w:left w:w="0" w:type="dxa"/>
            <w:bottom w:w="0" w:type="dxa"/>
            <w:right w:w="0" w:type="dxa"/>
          </w:tblCellMar>
        </w:tblPrEx>
        <w:trPr>
          <w:trHeight w:val="450" w:hRule="atLeast"/>
        </w:trPr>
        <w:tc>
          <w:tcPr>
            <w:tcW w:w="12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jc w:val="center"/>
              <w:rPr>
                <w:rFonts w:ascii="宋体" w:hAnsi="宋体"/>
                <w:b/>
                <w:szCs w:val="21"/>
              </w:rPr>
            </w:pPr>
            <w:r>
              <w:rPr>
                <w:rFonts w:hint="eastAsia" w:ascii="宋体" w:hAnsi="宋体"/>
                <w:b/>
                <w:szCs w:val="21"/>
              </w:rPr>
              <w:t>故障级别</w:t>
            </w:r>
          </w:p>
        </w:tc>
        <w:tc>
          <w:tcPr>
            <w:tcW w:w="212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ordWrap w:val="0"/>
              <w:jc w:val="center"/>
              <w:rPr>
                <w:rFonts w:ascii="宋体" w:hAnsi="宋体"/>
                <w:b/>
                <w:szCs w:val="21"/>
              </w:rPr>
            </w:pPr>
            <w:r>
              <w:rPr>
                <w:rFonts w:hint="eastAsia" w:ascii="宋体" w:hAnsi="宋体"/>
                <w:b/>
                <w:szCs w:val="21"/>
              </w:rPr>
              <w:t>故障内容</w:t>
            </w:r>
          </w:p>
        </w:tc>
        <w:tc>
          <w:tcPr>
            <w:tcW w:w="467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ordWrap w:val="0"/>
              <w:jc w:val="center"/>
              <w:rPr>
                <w:rFonts w:ascii="宋体" w:hAnsi="宋体"/>
                <w:b/>
                <w:szCs w:val="21"/>
              </w:rPr>
            </w:pPr>
            <w:r>
              <w:rPr>
                <w:rFonts w:hint="eastAsia" w:ascii="宋体" w:hAnsi="宋体"/>
                <w:b/>
                <w:szCs w:val="21"/>
              </w:rPr>
              <w:t>响应时间</w:t>
            </w:r>
          </w:p>
        </w:tc>
      </w:tr>
      <w:tr>
        <w:tblPrEx>
          <w:tblCellMar>
            <w:top w:w="0" w:type="dxa"/>
            <w:left w:w="0" w:type="dxa"/>
            <w:bottom w:w="0" w:type="dxa"/>
            <w:right w:w="0" w:type="dxa"/>
          </w:tblCellMar>
        </w:tblPrEx>
        <w:trPr>
          <w:trHeight w:val="300" w:hRule="atLeast"/>
        </w:trPr>
        <w:tc>
          <w:tcPr>
            <w:tcW w:w="12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line="408" w:lineRule="atLeast"/>
              <w:jc w:val="center"/>
              <w:rPr>
                <w:rFonts w:ascii="宋体" w:hAnsi="宋体"/>
                <w:szCs w:val="21"/>
              </w:rPr>
            </w:pPr>
            <w:r>
              <w:rPr>
                <w:rFonts w:hint="eastAsia" w:ascii="宋体" w:hAnsi="宋体"/>
                <w:szCs w:val="21"/>
              </w:rPr>
              <w:t>I</w:t>
            </w:r>
          </w:p>
        </w:tc>
        <w:tc>
          <w:tcPr>
            <w:tcW w:w="212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hint="eastAsia" w:ascii="宋体" w:hAnsi="宋体"/>
                <w:szCs w:val="21"/>
              </w:rPr>
              <w:t>系统出现警告，不影响系统运行</w:t>
            </w:r>
          </w:p>
        </w:tc>
        <w:tc>
          <w:tcPr>
            <w:tcW w:w="467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ascii="宋体" w:hAnsi="宋体"/>
                <w:szCs w:val="21"/>
              </w:rPr>
              <w:t>24</w:t>
            </w:r>
            <w:r>
              <w:rPr>
                <w:rFonts w:hint="eastAsia" w:ascii="宋体" w:hAnsi="宋体"/>
                <w:szCs w:val="21"/>
              </w:rPr>
              <w:t>（小时）</w:t>
            </w:r>
            <w:r>
              <w:rPr>
                <w:rFonts w:ascii="宋体" w:hAnsi="宋体"/>
                <w:szCs w:val="21"/>
              </w:rPr>
              <w:t>×</w:t>
            </w:r>
            <w:r>
              <w:rPr>
                <w:rFonts w:hint="eastAsia" w:ascii="宋体" w:hAnsi="宋体"/>
                <w:szCs w:val="21"/>
              </w:rPr>
              <w:t>7(天)电话咨询，</w:t>
            </w:r>
            <w:r>
              <w:rPr>
                <w:rFonts w:ascii="宋体" w:hAnsi="宋体"/>
                <w:szCs w:val="21"/>
              </w:rPr>
              <w:t>3</w:t>
            </w:r>
            <w:r>
              <w:rPr>
                <w:rFonts w:hint="eastAsia" w:ascii="宋体" w:hAnsi="宋体"/>
                <w:szCs w:val="21"/>
              </w:rPr>
              <w:t>小时内</w:t>
            </w:r>
          </w:p>
        </w:tc>
      </w:tr>
      <w:tr>
        <w:tblPrEx>
          <w:shd w:val="clear" w:color="auto" w:fill="FFFFFF"/>
          <w:tblCellMar>
            <w:top w:w="0" w:type="dxa"/>
            <w:left w:w="0" w:type="dxa"/>
            <w:bottom w:w="0" w:type="dxa"/>
            <w:right w:w="0" w:type="dxa"/>
          </w:tblCellMar>
        </w:tblPrEx>
        <w:trPr>
          <w:trHeight w:val="285" w:hRule="atLeast"/>
        </w:trPr>
        <w:tc>
          <w:tcPr>
            <w:tcW w:w="12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jc w:val="center"/>
              <w:rPr>
                <w:rFonts w:ascii="宋体" w:hAnsi="宋体"/>
                <w:szCs w:val="21"/>
              </w:rPr>
            </w:pPr>
            <w:r>
              <w:rPr>
                <w:rFonts w:hint="eastAsia" w:ascii="宋体" w:hAnsi="宋体"/>
                <w:szCs w:val="21"/>
              </w:rPr>
              <w:t>II</w:t>
            </w:r>
          </w:p>
        </w:tc>
        <w:tc>
          <w:tcPr>
            <w:tcW w:w="212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hint="eastAsia" w:ascii="宋体" w:hAnsi="宋体"/>
                <w:szCs w:val="21"/>
              </w:rPr>
              <w:t>出现部分设备坏，但系统正常运行</w:t>
            </w:r>
          </w:p>
        </w:tc>
        <w:tc>
          <w:tcPr>
            <w:tcW w:w="467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ascii="宋体" w:hAnsi="宋体"/>
                <w:szCs w:val="21"/>
              </w:rPr>
              <w:t>24</w:t>
            </w:r>
            <w:r>
              <w:rPr>
                <w:rFonts w:hint="eastAsia" w:ascii="宋体" w:hAnsi="宋体"/>
                <w:szCs w:val="21"/>
              </w:rPr>
              <w:t>（小时）</w:t>
            </w:r>
            <w:r>
              <w:rPr>
                <w:rFonts w:ascii="宋体" w:hAnsi="宋体"/>
                <w:szCs w:val="21"/>
              </w:rPr>
              <w:t>×</w:t>
            </w:r>
            <w:r>
              <w:rPr>
                <w:rFonts w:hint="eastAsia" w:ascii="宋体" w:hAnsi="宋体"/>
                <w:szCs w:val="21"/>
              </w:rPr>
              <w:t>7(天)电话咨询，</w:t>
            </w:r>
            <w:r>
              <w:rPr>
                <w:rFonts w:ascii="宋体" w:hAnsi="宋体"/>
                <w:szCs w:val="21"/>
              </w:rPr>
              <w:t>3</w:t>
            </w:r>
            <w:r>
              <w:rPr>
                <w:rFonts w:hint="eastAsia" w:ascii="宋体" w:hAnsi="宋体"/>
                <w:szCs w:val="21"/>
              </w:rPr>
              <w:t>小时内</w:t>
            </w:r>
          </w:p>
        </w:tc>
      </w:tr>
      <w:tr>
        <w:tblPrEx>
          <w:shd w:val="clear" w:color="auto" w:fill="FFFFFF"/>
          <w:tblCellMar>
            <w:top w:w="0" w:type="dxa"/>
            <w:left w:w="0" w:type="dxa"/>
            <w:bottom w:w="0" w:type="dxa"/>
            <w:right w:w="0" w:type="dxa"/>
          </w:tblCellMar>
        </w:tblPrEx>
        <w:trPr>
          <w:trHeight w:val="315" w:hRule="atLeast"/>
        </w:trPr>
        <w:tc>
          <w:tcPr>
            <w:tcW w:w="12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jc w:val="center"/>
              <w:rPr>
                <w:rFonts w:ascii="宋体" w:hAnsi="宋体"/>
                <w:szCs w:val="21"/>
              </w:rPr>
            </w:pPr>
            <w:r>
              <w:rPr>
                <w:rFonts w:hint="eastAsia" w:ascii="宋体" w:hAnsi="宋体"/>
                <w:szCs w:val="21"/>
              </w:rPr>
              <w:t>III</w:t>
            </w:r>
          </w:p>
        </w:tc>
        <w:tc>
          <w:tcPr>
            <w:tcW w:w="212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hint="eastAsia" w:ascii="宋体" w:hAnsi="宋体"/>
                <w:szCs w:val="21"/>
              </w:rPr>
              <w:t>系统故障</w:t>
            </w:r>
          </w:p>
        </w:tc>
        <w:tc>
          <w:tcPr>
            <w:tcW w:w="467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spacing w:line="408" w:lineRule="atLeast"/>
              <w:rPr>
                <w:rFonts w:ascii="宋体" w:hAnsi="宋体"/>
                <w:szCs w:val="21"/>
              </w:rPr>
            </w:pPr>
            <w:r>
              <w:rPr>
                <w:rFonts w:ascii="宋体" w:hAnsi="宋体"/>
                <w:szCs w:val="21"/>
              </w:rPr>
              <w:t>24</w:t>
            </w:r>
            <w:r>
              <w:rPr>
                <w:rFonts w:hint="eastAsia" w:ascii="宋体" w:hAnsi="宋体"/>
                <w:szCs w:val="21"/>
              </w:rPr>
              <w:t>（小时）</w:t>
            </w:r>
            <w:r>
              <w:rPr>
                <w:rFonts w:ascii="宋体" w:hAnsi="宋体"/>
                <w:szCs w:val="21"/>
              </w:rPr>
              <w:t>×</w:t>
            </w:r>
            <w:r>
              <w:rPr>
                <w:rFonts w:hint="eastAsia" w:ascii="宋体" w:hAnsi="宋体"/>
                <w:szCs w:val="21"/>
              </w:rPr>
              <w:t>7(天)电话咨询，2小时内</w:t>
            </w:r>
          </w:p>
        </w:tc>
      </w:tr>
    </w:tbl>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）响应方式</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包括：电话支持、远程指导、现场维护</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）故障处理</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1）机房环境监控出现异常时，应及时响应，派专业人士到现场进行故障排查与修复，若涉及需更换硬件设备的，需免费进行硬件设备备件更换，确保监控系统正常运行</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2）在硬件故障处理中必须使用合格、符合厂商产品要求、具备同等功能的备件</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3）针对机房环境监控维护建立备件库，每种设备类型需配备备件</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）定期巡检服务</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1）省分行区域的设备及机房环境监控平台应至少每两个月1次巡检，完成后需提交巡检报告。</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2）在重大节假日前须对机房环境监控平台进行预防性巡检维护服务</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5</w:t>
      </w:r>
      <w:r>
        <w:rPr>
          <w:rFonts w:hint="eastAsia" w:ascii="宋体" w:hAnsi="宋体"/>
          <w:sz w:val="24"/>
          <w:lang w:eastAsia="zh-CN"/>
        </w:rPr>
        <w:t>）其他</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1）本次维保服务费包含人员差旅费用、系统巡检费用、坏件更换费用等费用</w:t>
      </w:r>
    </w:p>
    <w:p>
      <w:pPr>
        <w:numPr>
          <w:ilvl w:val="0"/>
          <w:numId w:val="0"/>
        </w:numPr>
        <w:tabs>
          <w:tab w:val="left" w:pos="709"/>
          <w:tab w:val="left" w:pos="851"/>
        </w:tabs>
        <w:snapToGrid w:val="0"/>
        <w:spacing w:line="360" w:lineRule="auto"/>
        <w:ind w:left="4" w:leftChars="0" w:firstLine="420" w:firstLineChars="175"/>
        <w:rPr>
          <w:rFonts w:hint="eastAsia" w:ascii="宋体" w:hAnsi="宋体"/>
          <w:sz w:val="24"/>
          <w:lang w:eastAsia="zh-CN"/>
        </w:rPr>
      </w:pPr>
      <w:r>
        <w:rPr>
          <w:rFonts w:hint="eastAsia" w:ascii="宋体" w:hAnsi="宋体"/>
          <w:sz w:val="24"/>
          <w:lang w:eastAsia="zh-CN"/>
        </w:rPr>
        <w:t>2）配合进行机房环境监控系统定期重启操作</w:t>
      </w:r>
    </w:p>
    <w:p>
      <w:pPr>
        <w:rPr>
          <w:rFonts w:ascii="宋体" w:hAnsi="宋体"/>
          <w:szCs w:val="21"/>
        </w:rPr>
      </w:pP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napToGrid w:val="0"/>
          <w:color w:val="000000"/>
          <w:sz w:val="24"/>
        </w:rPr>
        <w:t>验收及违约处罚</w:t>
      </w:r>
    </w:p>
    <w:p>
      <w:pPr>
        <w:pStyle w:val="4"/>
        <w:snapToGrid w:val="0"/>
        <w:spacing w:line="360" w:lineRule="auto"/>
        <w:ind w:left="0" w:leftChars="0" w:firstLine="567"/>
        <w:rPr>
          <w:sz w:val="24"/>
        </w:rPr>
      </w:pPr>
      <w:r>
        <w:rPr>
          <w:rFonts w:hint="eastAsia"/>
          <w:sz w:val="24"/>
        </w:rPr>
        <w:t>每月</w:t>
      </w:r>
      <w:r>
        <w:rPr>
          <w:rFonts w:hint="eastAsia"/>
          <w:sz w:val="24"/>
          <w:lang w:eastAsia="zh-CN"/>
        </w:rPr>
        <w:t>根据机房环境监控系统确定</w:t>
      </w:r>
      <w:r>
        <w:rPr>
          <w:rFonts w:hint="eastAsia"/>
          <w:sz w:val="24"/>
        </w:rPr>
        <w:t>平均</w:t>
      </w:r>
      <w:r>
        <w:rPr>
          <w:rFonts w:hint="eastAsia"/>
          <w:sz w:val="24"/>
          <w:lang w:eastAsia="zh-CN"/>
        </w:rPr>
        <w:t>设备</w:t>
      </w:r>
      <w:r>
        <w:rPr>
          <w:rFonts w:hint="eastAsia"/>
          <w:sz w:val="24"/>
        </w:rPr>
        <w:t>可用率</w:t>
      </w:r>
      <w:r>
        <w:rPr>
          <w:rFonts w:hint="eastAsia"/>
          <w:sz w:val="24"/>
          <w:lang w:eastAsia="zh-CN"/>
        </w:rPr>
        <w:t>，根据服务工单统计</w:t>
      </w:r>
      <w:r>
        <w:rPr>
          <w:rFonts w:hint="eastAsia"/>
          <w:sz w:val="24"/>
        </w:rPr>
        <w:t>违反故障到达现场时间次数、违反平均故障修复时间等情况。</w:t>
      </w:r>
    </w:p>
    <w:p>
      <w:pPr>
        <w:numPr>
          <w:ilvl w:val="0"/>
          <w:numId w:val="11"/>
        </w:numPr>
        <w:adjustRightInd w:val="0"/>
        <w:snapToGrid w:val="0"/>
        <w:spacing w:line="360" w:lineRule="auto"/>
        <w:ind w:left="0" w:firstLine="426"/>
        <w:rPr>
          <w:rFonts w:ascii="宋体" w:hAnsi="宋体"/>
          <w:snapToGrid w:val="0"/>
          <w:sz w:val="24"/>
        </w:rPr>
      </w:pPr>
      <w:r>
        <w:rPr>
          <w:rFonts w:hint="eastAsia" w:ascii="宋体" w:hAnsi="宋体"/>
          <w:snapToGrid w:val="0"/>
          <w:sz w:val="24"/>
        </w:rPr>
        <w:t>实际平均设备</w:t>
      </w:r>
      <w:r>
        <w:rPr>
          <w:rFonts w:hint="eastAsia"/>
          <w:sz w:val="24"/>
        </w:rPr>
        <w:t>可用</w:t>
      </w:r>
      <w:r>
        <w:rPr>
          <w:rFonts w:hint="eastAsia" w:ascii="宋体" w:hAnsi="宋体"/>
          <w:snapToGrid w:val="0"/>
          <w:sz w:val="24"/>
        </w:rPr>
        <w:t>率比100％每低1%（不足1%，按1%计算），将按本单位当月保修费金额的5%扣罚违约金。若平均设备</w:t>
      </w:r>
      <w:r>
        <w:rPr>
          <w:rFonts w:hint="eastAsia"/>
          <w:sz w:val="24"/>
        </w:rPr>
        <w:t>可用</w:t>
      </w:r>
      <w:r>
        <w:rPr>
          <w:rFonts w:hint="eastAsia" w:ascii="宋体" w:hAnsi="宋体"/>
          <w:snapToGrid w:val="0"/>
          <w:sz w:val="24"/>
        </w:rPr>
        <w:t>率在合同期内有3个月低于100％，我分行有权终止已签定的合同并取消服务商的保修服务资格。</w:t>
      </w:r>
    </w:p>
    <w:p>
      <w:pPr>
        <w:numPr>
          <w:ilvl w:val="0"/>
          <w:numId w:val="11"/>
        </w:numPr>
        <w:adjustRightInd w:val="0"/>
        <w:snapToGrid w:val="0"/>
        <w:spacing w:line="360" w:lineRule="auto"/>
        <w:ind w:left="0" w:firstLine="426"/>
        <w:rPr>
          <w:rFonts w:ascii="宋体" w:hAnsi="宋体"/>
          <w:snapToGrid w:val="0"/>
          <w:sz w:val="24"/>
        </w:rPr>
      </w:pPr>
      <w:r>
        <w:rPr>
          <w:rFonts w:hint="eastAsia" w:ascii="宋体" w:hAnsi="宋体"/>
          <w:snapToGrid w:val="0"/>
          <w:sz w:val="24"/>
        </w:rPr>
        <w:t>服务商每违反承诺的到达现场时间规定一次，则扣罚300元违约金（如有特殊原因，必须征得我方同意），若一个月内违反到达现场时间超过2次，则我方有权终止已签定的合同并取消服务商的保修服务资格。</w:t>
      </w:r>
    </w:p>
    <w:p>
      <w:pPr>
        <w:numPr>
          <w:ilvl w:val="0"/>
          <w:numId w:val="11"/>
        </w:numPr>
        <w:adjustRightInd w:val="0"/>
        <w:snapToGrid w:val="0"/>
        <w:spacing w:line="360" w:lineRule="auto"/>
        <w:ind w:left="0" w:firstLine="426"/>
        <w:rPr>
          <w:rFonts w:ascii="宋体" w:hAnsi="宋体"/>
          <w:snapToGrid w:val="0"/>
          <w:sz w:val="24"/>
        </w:rPr>
      </w:pPr>
      <w:r>
        <w:rPr>
          <w:rFonts w:hint="eastAsia" w:ascii="宋体" w:hAnsi="宋体"/>
          <w:snapToGrid w:val="0"/>
          <w:sz w:val="24"/>
        </w:rPr>
        <w:t>服务商违反承诺的平均故障修复时间（每个月核算一次），则按当月保修费金额的5%扣罚违约金，若连续2个月违反平均故障修复时间，则我方有权终止已签定的合同并取消服务商的保修服务资格。</w:t>
      </w:r>
    </w:p>
    <w:p>
      <w:pPr>
        <w:numPr>
          <w:ilvl w:val="0"/>
          <w:numId w:val="0"/>
        </w:numPr>
        <w:adjustRightInd w:val="0"/>
        <w:snapToGrid w:val="0"/>
        <w:spacing w:line="360" w:lineRule="auto"/>
        <w:ind w:left="426" w:leftChars="0"/>
        <w:rPr>
          <w:rFonts w:ascii="宋体" w:hAnsi="宋体"/>
          <w:snapToGrid w:val="0"/>
          <w:sz w:val="24"/>
        </w:rPr>
      </w:pP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质量保证体系</w:t>
      </w:r>
    </w:p>
    <w:p>
      <w:pPr>
        <w:numPr>
          <w:ilvl w:val="1"/>
          <w:numId w:val="12"/>
        </w:numPr>
        <w:tabs>
          <w:tab w:val="left" w:pos="540"/>
          <w:tab w:val="left" w:pos="1140"/>
        </w:tabs>
        <w:adjustRightInd w:val="0"/>
        <w:snapToGrid w:val="0"/>
        <w:spacing w:line="360" w:lineRule="auto"/>
        <w:ind w:left="0" w:firstLine="540"/>
        <w:rPr>
          <w:rFonts w:ascii="宋体" w:hAnsi="宋体"/>
          <w:sz w:val="24"/>
        </w:rPr>
      </w:pPr>
      <w:r>
        <w:rPr>
          <w:rFonts w:hint="eastAsia" w:ascii="宋体" w:hAnsi="宋体"/>
          <w:sz w:val="24"/>
        </w:rPr>
        <w:t>服务商必须具备服务质量保障和质量控制的体系，以保障服务承诺得以实现。</w:t>
      </w:r>
    </w:p>
    <w:p>
      <w:pPr>
        <w:numPr>
          <w:ilvl w:val="1"/>
          <w:numId w:val="12"/>
        </w:numPr>
        <w:tabs>
          <w:tab w:val="left" w:pos="540"/>
          <w:tab w:val="left" w:pos="1140"/>
        </w:tabs>
        <w:adjustRightInd w:val="0"/>
        <w:snapToGrid w:val="0"/>
        <w:spacing w:line="360" w:lineRule="auto"/>
        <w:ind w:left="0" w:firstLine="540"/>
        <w:rPr>
          <w:rFonts w:ascii="宋体" w:hAnsi="宋体"/>
          <w:sz w:val="24"/>
          <w:highlight w:val="none"/>
        </w:rPr>
      </w:pPr>
      <w:r>
        <w:rPr>
          <w:rFonts w:hint="eastAsia" w:ascii="宋体" w:hAnsi="宋体"/>
          <w:sz w:val="24"/>
          <w:highlight w:val="none"/>
        </w:rPr>
        <w:t>服务商必须承诺为向我行提供的服务提供3个月的质量保证期</w:t>
      </w:r>
      <w:r>
        <w:rPr>
          <w:rFonts w:hint="eastAsia" w:ascii="宋体" w:hAnsi="宋体"/>
          <w:sz w:val="24"/>
          <w:highlight w:val="none"/>
          <w:lang w:eastAsia="zh-CN"/>
        </w:rPr>
        <w:t>（需提供承诺函）</w:t>
      </w:r>
      <w:r>
        <w:rPr>
          <w:rFonts w:hint="eastAsia" w:ascii="宋体" w:hAnsi="宋体"/>
          <w:sz w:val="24"/>
          <w:highlight w:val="none"/>
        </w:rPr>
        <w:t>。</w:t>
      </w:r>
    </w:p>
    <w:p>
      <w:pPr>
        <w:numPr>
          <w:ilvl w:val="1"/>
          <w:numId w:val="12"/>
        </w:numPr>
        <w:tabs>
          <w:tab w:val="left" w:pos="540"/>
          <w:tab w:val="left" w:pos="1140"/>
        </w:tabs>
        <w:adjustRightInd w:val="0"/>
        <w:snapToGrid w:val="0"/>
        <w:spacing w:line="360" w:lineRule="auto"/>
        <w:ind w:left="0" w:firstLine="540"/>
        <w:rPr>
          <w:rFonts w:ascii="宋体" w:hAnsi="宋体"/>
          <w:sz w:val="24"/>
          <w:highlight w:val="none"/>
        </w:rPr>
      </w:pPr>
      <w:r>
        <w:rPr>
          <w:rFonts w:hint="eastAsia" w:ascii="宋体" w:hAnsi="宋体"/>
          <w:sz w:val="24"/>
          <w:highlight w:val="none"/>
        </w:rPr>
        <w:t>服务商必须承诺与服务清单中的UPS厂商签订服务及备件供应协议</w:t>
      </w:r>
      <w:r>
        <w:rPr>
          <w:rFonts w:hint="eastAsia" w:ascii="宋体" w:hAnsi="宋体"/>
          <w:sz w:val="24"/>
          <w:highlight w:val="none"/>
          <w:lang w:eastAsia="zh-CN"/>
        </w:rPr>
        <w:t>（需提供承诺函）</w:t>
      </w:r>
      <w:r>
        <w:rPr>
          <w:rFonts w:hint="eastAsia" w:ascii="宋体" w:hAnsi="宋体"/>
          <w:sz w:val="24"/>
          <w:highlight w:val="none"/>
        </w:rPr>
        <w:t>。</w:t>
      </w:r>
    </w:p>
    <w:p>
      <w:pPr>
        <w:numPr>
          <w:ilvl w:val="1"/>
          <w:numId w:val="12"/>
        </w:numPr>
        <w:tabs>
          <w:tab w:val="left" w:pos="540"/>
          <w:tab w:val="left" w:pos="1140"/>
        </w:tabs>
        <w:adjustRightInd w:val="0"/>
        <w:snapToGrid w:val="0"/>
        <w:spacing w:line="360" w:lineRule="auto"/>
        <w:ind w:left="0" w:firstLine="540"/>
        <w:rPr>
          <w:rFonts w:ascii="宋体" w:hAnsi="宋体"/>
          <w:sz w:val="24"/>
        </w:rPr>
      </w:pPr>
      <w:r>
        <w:rPr>
          <w:rFonts w:hint="eastAsia" w:ascii="宋体" w:hAnsi="宋体"/>
          <w:sz w:val="24"/>
        </w:rPr>
        <w:t>服务商应提供本公司的信息安全管理体系认证文件及全面质量管理文件以及针对本项目的服务质量目标计划，以证明服务商具有实现服务承诺的能力。</w:t>
      </w:r>
    </w:p>
    <w:p>
      <w:pPr>
        <w:numPr>
          <w:ilvl w:val="1"/>
          <w:numId w:val="12"/>
        </w:numPr>
        <w:tabs>
          <w:tab w:val="left" w:pos="540"/>
          <w:tab w:val="left" w:pos="1140"/>
        </w:tabs>
        <w:adjustRightInd w:val="0"/>
        <w:snapToGrid w:val="0"/>
        <w:spacing w:line="360" w:lineRule="auto"/>
        <w:ind w:left="0" w:firstLine="540"/>
        <w:rPr>
          <w:rFonts w:ascii="宋体" w:hAnsi="宋体"/>
          <w:sz w:val="24"/>
        </w:rPr>
      </w:pPr>
      <w:r>
        <w:rPr>
          <w:rFonts w:hint="eastAsia" w:ascii="宋体" w:hAnsi="宋体"/>
          <w:sz w:val="24"/>
        </w:rPr>
        <w:t>本项目未经我行同意不得转包或分包。</w:t>
      </w: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签订合同和付款方式</w:t>
      </w:r>
    </w:p>
    <w:p>
      <w:pPr>
        <w:pStyle w:val="11"/>
        <w:numPr>
          <w:ilvl w:val="0"/>
          <w:numId w:val="13"/>
        </w:numPr>
        <w:tabs>
          <w:tab w:val="left" w:pos="0"/>
        </w:tabs>
        <w:adjustRightInd w:val="0"/>
        <w:snapToGrid w:val="0"/>
        <w:spacing w:line="360" w:lineRule="auto"/>
        <w:ind w:left="0" w:firstLine="567" w:firstLineChars="0"/>
        <w:rPr>
          <w:rFonts w:ascii="宋体" w:hAnsi="宋体"/>
          <w:sz w:val="24"/>
        </w:rPr>
      </w:pPr>
      <w:r>
        <w:rPr>
          <w:rFonts w:hint="eastAsia" w:ascii="宋体" w:hAnsi="宋体"/>
          <w:sz w:val="24"/>
        </w:rPr>
        <w:t>服务商如果入选，将由广东省分行按照集中采购结果与服务商签定维保合同。</w:t>
      </w:r>
    </w:p>
    <w:p>
      <w:pPr>
        <w:pStyle w:val="11"/>
        <w:numPr>
          <w:ilvl w:val="0"/>
          <w:numId w:val="13"/>
        </w:numPr>
        <w:tabs>
          <w:tab w:val="left" w:pos="0"/>
        </w:tabs>
        <w:adjustRightInd w:val="0"/>
        <w:snapToGrid w:val="0"/>
        <w:spacing w:line="360" w:lineRule="auto"/>
        <w:ind w:left="0" w:firstLine="567" w:firstLineChars="0"/>
        <w:rPr>
          <w:rFonts w:ascii="宋体" w:hAnsi="宋体"/>
          <w:sz w:val="24"/>
        </w:rPr>
      </w:pPr>
      <w:r>
        <w:rPr>
          <w:rFonts w:hint="eastAsia" w:ascii="宋体" w:hAnsi="宋体"/>
          <w:sz w:val="24"/>
        </w:rPr>
        <w:t>服务每满6个月</w:t>
      </w:r>
      <w:r>
        <w:rPr>
          <w:rFonts w:hint="eastAsia" w:ascii="宋体" w:hAnsi="宋体"/>
          <w:sz w:val="24"/>
          <w:lang w:eastAsia="zh-CN"/>
        </w:rPr>
        <w:t>支付</w:t>
      </w:r>
      <w:r>
        <w:rPr>
          <w:rFonts w:hint="eastAsia" w:ascii="宋体" w:hAnsi="宋体"/>
          <w:sz w:val="24"/>
          <w:lang w:val="en-US" w:eastAsia="zh-CN"/>
        </w:rPr>
        <w:t>1次服务费</w:t>
      </w:r>
      <w:r>
        <w:rPr>
          <w:rFonts w:hint="eastAsia" w:ascii="宋体" w:hAnsi="宋体"/>
          <w:sz w:val="24"/>
        </w:rPr>
        <w:t>，服务商必须提交</w:t>
      </w:r>
      <w:r>
        <w:rPr>
          <w:rFonts w:hint="eastAsia" w:ascii="宋体" w:hAnsi="宋体"/>
          <w:sz w:val="24"/>
          <w:lang w:eastAsia="zh-CN"/>
        </w:rPr>
        <w:t>服务报告，我行审核后，</w:t>
      </w:r>
      <w:r>
        <w:rPr>
          <w:rFonts w:hint="eastAsia" w:ascii="宋体" w:hAnsi="宋体"/>
          <w:sz w:val="24"/>
          <w:lang w:val="en-US" w:eastAsia="zh-CN"/>
        </w:rPr>
        <w:t>1周内</w:t>
      </w:r>
      <w:r>
        <w:rPr>
          <w:rFonts w:hint="eastAsia" w:ascii="宋体" w:hAnsi="宋体"/>
          <w:sz w:val="24"/>
        </w:rPr>
        <w:t>提交增值税专用发票。</w:t>
      </w:r>
    </w:p>
    <w:p>
      <w:pPr>
        <w:numPr>
          <w:ilvl w:val="0"/>
          <w:numId w:val="13"/>
        </w:numPr>
        <w:tabs>
          <w:tab w:val="left" w:pos="0"/>
        </w:tabs>
        <w:adjustRightInd w:val="0"/>
        <w:snapToGrid w:val="0"/>
        <w:spacing w:line="360" w:lineRule="auto"/>
        <w:ind w:left="0" w:firstLine="567"/>
        <w:rPr>
          <w:rFonts w:ascii="宋体" w:hAnsi="宋体"/>
          <w:sz w:val="24"/>
        </w:rPr>
      </w:pPr>
      <w:r>
        <w:rPr>
          <w:rFonts w:hint="eastAsia" w:ascii="宋体" w:hAnsi="宋体"/>
          <w:sz w:val="24"/>
          <w:lang w:eastAsia="zh-CN"/>
        </w:rPr>
        <w:t>我行在收到发票后，</w:t>
      </w:r>
      <w:r>
        <w:rPr>
          <w:rFonts w:hint="eastAsia" w:ascii="宋体" w:hAnsi="宋体"/>
          <w:sz w:val="24"/>
        </w:rPr>
        <w:t>1个月内支付前6个月实际保修费用。</w:t>
      </w:r>
    </w:p>
    <w:p>
      <w:pPr>
        <w:numPr>
          <w:ilvl w:val="0"/>
          <w:numId w:val="13"/>
        </w:numPr>
        <w:tabs>
          <w:tab w:val="left" w:pos="0"/>
        </w:tabs>
        <w:adjustRightInd w:val="0"/>
        <w:snapToGrid w:val="0"/>
        <w:spacing w:line="360" w:lineRule="auto"/>
        <w:ind w:left="0" w:firstLine="567"/>
        <w:rPr>
          <w:rFonts w:ascii="宋体" w:hAnsi="宋体"/>
          <w:sz w:val="24"/>
        </w:rPr>
      </w:pPr>
      <w:r>
        <w:rPr>
          <w:rFonts w:hint="eastAsia" w:ascii="宋体" w:hAnsi="宋体"/>
          <w:sz w:val="24"/>
        </w:rPr>
        <w:t>服务商承诺的各项质量指标由我行按期与入选单位分别核定，分别计算违约金额。</w:t>
      </w:r>
    </w:p>
    <w:p>
      <w:pPr>
        <w:numPr>
          <w:ilvl w:val="0"/>
          <w:numId w:val="13"/>
        </w:numPr>
        <w:tabs>
          <w:tab w:val="left" w:pos="0"/>
        </w:tabs>
        <w:adjustRightInd w:val="0"/>
        <w:snapToGrid w:val="0"/>
        <w:spacing w:line="360" w:lineRule="auto"/>
        <w:ind w:left="0" w:firstLine="567"/>
        <w:rPr>
          <w:rFonts w:hint="eastAsia" w:ascii="宋体" w:hAnsi="宋体"/>
          <w:sz w:val="24"/>
        </w:rPr>
      </w:pPr>
      <w:r>
        <w:rPr>
          <w:rFonts w:hint="eastAsia" w:ascii="宋体" w:hAnsi="宋体"/>
          <w:sz w:val="24"/>
        </w:rPr>
        <w:t>保修费用按照每月实际在用的设备数量计算。在保修期内，若在用设备数量发生变化，在结算时按照实际运行月份计算保修费用。运行时间不足1个月的，不计维保费。</w:t>
      </w:r>
    </w:p>
    <w:p>
      <w:pPr>
        <w:numPr>
          <w:ilvl w:val="0"/>
          <w:numId w:val="1"/>
        </w:numPr>
        <w:tabs>
          <w:tab w:val="left" w:pos="540"/>
        </w:tabs>
        <w:adjustRightInd w:val="0"/>
        <w:snapToGrid w:val="0"/>
        <w:spacing w:line="360" w:lineRule="auto"/>
        <w:rPr>
          <w:rFonts w:ascii="宋体" w:hAnsi="宋体"/>
          <w:b/>
          <w:sz w:val="24"/>
        </w:rPr>
      </w:pPr>
      <w:r>
        <w:rPr>
          <w:rFonts w:hint="eastAsia" w:ascii="宋体" w:hAnsi="宋体"/>
          <w:b/>
          <w:sz w:val="24"/>
        </w:rPr>
        <w:t>报价要求</w:t>
      </w:r>
    </w:p>
    <w:p>
      <w:pPr>
        <w:tabs>
          <w:tab w:val="left" w:pos="1140"/>
        </w:tabs>
        <w:adjustRightInd w:val="0"/>
        <w:snapToGrid w:val="0"/>
        <w:spacing w:line="360" w:lineRule="auto"/>
        <w:ind w:firstLine="360" w:firstLineChars="150"/>
        <w:rPr>
          <w:rFonts w:ascii="宋体" w:hAnsi="宋体"/>
          <w:sz w:val="24"/>
        </w:rPr>
      </w:pPr>
      <w:r>
        <w:rPr>
          <w:rFonts w:hint="eastAsia" w:ascii="宋体" w:hAnsi="宋体"/>
          <w:sz w:val="24"/>
        </w:rPr>
        <w:t>服务商应根据项目内容所述的设备数量，按照谈判文件的服务要求，报</w:t>
      </w:r>
      <w:r>
        <w:rPr>
          <w:rFonts w:hint="eastAsia" w:ascii="宋体" w:hAnsi="宋体"/>
          <w:bCs/>
          <w:sz w:val="24"/>
        </w:rPr>
        <w:t>单台</w:t>
      </w:r>
      <w:r>
        <w:rPr>
          <w:rFonts w:hint="eastAsia" w:ascii="宋体" w:hAnsi="宋体"/>
          <w:bCs/>
          <w:sz w:val="24"/>
          <w:highlight w:val="none"/>
        </w:rPr>
        <w:t>设备</w:t>
      </w:r>
      <w:r>
        <w:rPr>
          <w:rFonts w:hint="eastAsia" w:ascii="宋体" w:hAnsi="宋体"/>
          <w:bCs/>
          <w:sz w:val="24"/>
          <w:highlight w:val="none"/>
          <w:lang w:val="en-US" w:eastAsia="zh-CN"/>
        </w:rPr>
        <w:t>1个月的</w:t>
      </w:r>
      <w:r>
        <w:rPr>
          <w:rFonts w:hint="eastAsia" w:ascii="宋体" w:hAnsi="宋体"/>
          <w:bCs/>
          <w:sz w:val="24"/>
          <w:highlight w:val="none"/>
        </w:rPr>
        <w:t>服务价格</w:t>
      </w:r>
      <w:r>
        <w:rPr>
          <w:rFonts w:hint="eastAsia" w:ascii="宋体" w:hAnsi="宋体"/>
          <w:bCs/>
          <w:sz w:val="24"/>
          <w:highlight w:val="none"/>
          <w:lang w:eastAsia="zh-CN"/>
        </w:rPr>
        <w:t>：</w:t>
      </w:r>
      <w:r>
        <w:rPr>
          <w:rFonts w:hint="eastAsia" w:ascii="宋体" w:hAnsi="宋体"/>
          <w:bCs/>
          <w:sz w:val="24"/>
          <w:highlight w:val="none"/>
        </w:rPr>
        <w:t>含税单价、不含税单价</w:t>
      </w:r>
      <w:r>
        <w:rPr>
          <w:rFonts w:hint="eastAsia" w:ascii="宋体" w:hAnsi="宋体"/>
          <w:bCs/>
          <w:sz w:val="24"/>
          <w:highlight w:val="none"/>
          <w:lang w:eastAsia="zh-CN"/>
        </w:rPr>
        <w:t>，包括该项目</w:t>
      </w:r>
      <w:r>
        <w:rPr>
          <w:rFonts w:hint="eastAsia" w:ascii="宋体" w:hAnsi="宋体"/>
          <w:bCs/>
          <w:sz w:val="24"/>
          <w:highlight w:val="none"/>
          <w:lang w:val="en-US" w:eastAsia="zh-CN"/>
        </w:rPr>
        <w:t>2年的</w:t>
      </w:r>
      <w:r>
        <w:rPr>
          <w:rFonts w:hint="eastAsia" w:ascii="宋体" w:hAnsi="宋体"/>
          <w:bCs/>
          <w:sz w:val="24"/>
          <w:highlight w:val="none"/>
        </w:rPr>
        <w:t>服务价格</w:t>
      </w:r>
      <w:r>
        <w:rPr>
          <w:rFonts w:hint="eastAsia" w:ascii="宋体" w:hAnsi="宋体"/>
          <w:bCs/>
          <w:sz w:val="24"/>
          <w:highlight w:val="none"/>
          <w:lang w:eastAsia="zh-CN"/>
        </w:rPr>
        <w:t>：</w:t>
      </w:r>
      <w:r>
        <w:rPr>
          <w:rFonts w:hint="eastAsia" w:ascii="宋体" w:hAnsi="宋体"/>
          <w:bCs/>
          <w:sz w:val="24"/>
        </w:rPr>
        <w:t>含税总价、不含税总价和税率</w:t>
      </w:r>
      <w:r>
        <w:rPr>
          <w:rFonts w:hint="eastAsia" w:ascii="宋体" w:hAnsi="宋体"/>
          <w:sz w:val="24"/>
        </w:rPr>
        <w:t>。</w:t>
      </w:r>
    </w:p>
    <w:p>
      <w:pPr>
        <w:tabs>
          <w:tab w:val="left" w:pos="1200"/>
        </w:tabs>
        <w:adjustRightInd w:val="0"/>
        <w:snapToGrid w:val="0"/>
        <w:spacing w:line="360" w:lineRule="auto"/>
        <w:ind w:firstLine="360" w:firstLineChars="150"/>
        <w:rPr>
          <w:rFonts w:ascii="宋体" w:hAnsi="宋体"/>
          <w:sz w:val="24"/>
        </w:rPr>
      </w:pPr>
      <w:r>
        <w:rPr>
          <w:rFonts w:hint="eastAsia" w:ascii="宋体" w:hAnsi="宋体"/>
          <w:sz w:val="24"/>
        </w:rPr>
        <w:t>说明：服务商的报价为项目内容所述设备的全包服务价格，包括更换零备件在内的完成本项目谈判要求所涉及的所有费用</w:t>
      </w:r>
      <w:r>
        <w:rPr>
          <w:rFonts w:hint="eastAsia" w:ascii="宋体" w:hAnsi="宋体"/>
          <w:color w:val="000000" w:themeColor="text1"/>
          <w:sz w:val="24"/>
          <w14:textFill>
            <w14:solidFill>
              <w14:schemeClr w14:val="tx1"/>
            </w14:solidFill>
          </w14:textFill>
        </w:rPr>
        <w:t>（即更换的备品、备件不再另外收取费用</w:t>
      </w:r>
      <w:r>
        <w:rPr>
          <w:rFonts w:hint="eastAsia" w:ascii="宋体" w:hAnsi="宋体"/>
          <w:sz w:val="24"/>
        </w:rPr>
        <w:t>）。</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3F469"/>
    <w:multiLevelType w:val="multilevel"/>
    <w:tmpl w:val="D963F469"/>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FDFC3FC1"/>
    <w:multiLevelType w:val="multilevel"/>
    <w:tmpl w:val="FDFC3FC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FF96CB93"/>
    <w:multiLevelType w:val="multilevel"/>
    <w:tmpl w:val="FF96CB93"/>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D"/>
    <w:multiLevelType w:val="multilevel"/>
    <w:tmpl w:val="0000000D"/>
    <w:lvl w:ilvl="0" w:tentative="0">
      <w:start w:val="1"/>
      <w:numFmt w:val="japaneseCounting"/>
      <w:lvlText w:val="%1、"/>
      <w:lvlJc w:val="left"/>
      <w:pPr>
        <w:tabs>
          <w:tab w:val="left" w:pos="846"/>
        </w:tabs>
        <w:ind w:left="846" w:hanging="420"/>
      </w:pPr>
      <w:rPr>
        <w:rFonts w:hint="eastAsia"/>
      </w:rPr>
    </w:lvl>
    <w:lvl w:ilvl="1" w:tentative="0">
      <w:start w:val="1"/>
      <w:numFmt w:val="japaneseCounting"/>
      <w:lvlText w:val="（%2）"/>
      <w:lvlJc w:val="left"/>
      <w:pPr>
        <w:tabs>
          <w:tab w:val="left" w:pos="1140"/>
        </w:tabs>
        <w:ind w:left="1140" w:hanging="720"/>
      </w:pPr>
      <w:rPr>
        <w:rFonts w:hint="eastAsia"/>
        <w:lang w:val="en-US"/>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19B0195"/>
    <w:multiLevelType w:val="multilevel"/>
    <w:tmpl w:val="219B0195"/>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21AB482A"/>
    <w:multiLevelType w:val="multilevel"/>
    <w:tmpl w:val="21AB482A"/>
    <w:lvl w:ilvl="0" w:tentative="0">
      <w:start w:val="1"/>
      <w:numFmt w:val="chineseCountingThousand"/>
      <w:lvlText w:val="(%1)"/>
      <w:lvlJc w:val="left"/>
      <w:pPr>
        <w:ind w:left="1140" w:hanging="42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6">
    <w:nsid w:val="27DC5FD9"/>
    <w:multiLevelType w:val="multilevel"/>
    <w:tmpl w:val="27DC5FD9"/>
    <w:lvl w:ilvl="0" w:tentative="0">
      <w:start w:val="3"/>
      <w:numFmt w:val="japaneseCounting"/>
      <w:lvlText w:val="（%1）"/>
      <w:lvlJc w:val="left"/>
      <w:pPr>
        <w:ind w:left="2025" w:hanging="720"/>
      </w:pPr>
      <w:rPr>
        <w:rFonts w:hint="default"/>
      </w:rPr>
    </w:lvl>
    <w:lvl w:ilvl="1" w:tentative="0">
      <w:start w:val="1"/>
      <w:numFmt w:val="decimal"/>
      <w:lvlText w:val="%2."/>
      <w:lvlJc w:val="left"/>
      <w:pPr>
        <w:ind w:left="2145" w:hanging="420"/>
      </w:pPr>
    </w:lvl>
    <w:lvl w:ilvl="2" w:tentative="0">
      <w:start w:val="1"/>
      <w:numFmt w:val="lowerRoman"/>
      <w:lvlText w:val="%3."/>
      <w:lvlJc w:val="right"/>
      <w:pPr>
        <w:ind w:left="2565" w:hanging="420"/>
      </w:pPr>
    </w:lvl>
    <w:lvl w:ilvl="3" w:tentative="0">
      <w:start w:val="1"/>
      <w:numFmt w:val="decimal"/>
      <w:lvlText w:val="%4."/>
      <w:lvlJc w:val="left"/>
      <w:pPr>
        <w:ind w:left="2985" w:hanging="420"/>
      </w:pPr>
    </w:lvl>
    <w:lvl w:ilvl="4" w:tentative="0">
      <w:start w:val="1"/>
      <w:numFmt w:val="lowerLetter"/>
      <w:lvlText w:val="%5)"/>
      <w:lvlJc w:val="left"/>
      <w:pPr>
        <w:ind w:left="3405" w:hanging="420"/>
      </w:pPr>
    </w:lvl>
    <w:lvl w:ilvl="5" w:tentative="0">
      <w:start w:val="1"/>
      <w:numFmt w:val="lowerRoman"/>
      <w:lvlText w:val="%6."/>
      <w:lvlJc w:val="right"/>
      <w:pPr>
        <w:ind w:left="3825" w:hanging="420"/>
      </w:pPr>
    </w:lvl>
    <w:lvl w:ilvl="6" w:tentative="0">
      <w:start w:val="1"/>
      <w:numFmt w:val="decimal"/>
      <w:lvlText w:val="%7."/>
      <w:lvlJc w:val="left"/>
      <w:pPr>
        <w:ind w:left="4245" w:hanging="420"/>
      </w:pPr>
    </w:lvl>
    <w:lvl w:ilvl="7" w:tentative="0">
      <w:start w:val="1"/>
      <w:numFmt w:val="lowerLetter"/>
      <w:lvlText w:val="%8)"/>
      <w:lvlJc w:val="left"/>
      <w:pPr>
        <w:ind w:left="4665" w:hanging="420"/>
      </w:pPr>
    </w:lvl>
    <w:lvl w:ilvl="8" w:tentative="0">
      <w:start w:val="1"/>
      <w:numFmt w:val="lowerRoman"/>
      <w:lvlText w:val="%9."/>
      <w:lvlJc w:val="right"/>
      <w:pPr>
        <w:ind w:left="5085" w:hanging="420"/>
      </w:pPr>
    </w:lvl>
  </w:abstractNum>
  <w:abstractNum w:abstractNumId="7">
    <w:nsid w:val="280465B7"/>
    <w:multiLevelType w:val="multilevel"/>
    <w:tmpl w:val="280465B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98875F7"/>
    <w:multiLevelType w:val="multilevel"/>
    <w:tmpl w:val="298875F7"/>
    <w:lvl w:ilvl="0" w:tentative="0">
      <w:start w:val="1"/>
      <w:numFmt w:val="chineseCountingThousand"/>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C71344D"/>
    <w:multiLevelType w:val="multilevel"/>
    <w:tmpl w:val="2C71344D"/>
    <w:lvl w:ilvl="0" w:tentative="0">
      <w:start w:val="1"/>
      <w:numFmt w:val="decimal"/>
      <w:lvlText w:val="%1."/>
      <w:lvlJc w:val="left"/>
      <w:pPr>
        <w:ind w:left="960" w:hanging="420"/>
      </w:pPr>
    </w:lvl>
    <w:lvl w:ilvl="1" w:tentative="0">
      <w:start w:val="2"/>
      <w:numFmt w:val="decimal"/>
      <w:lvlText w:val="（%2）"/>
      <w:lvlJc w:val="left"/>
      <w:pPr>
        <w:ind w:left="1680" w:hanging="720"/>
      </w:pPr>
      <w:rPr>
        <w:rFonts w:hint="default"/>
      </w:r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abstractNum w:abstractNumId="10">
    <w:nsid w:val="3D1760E8"/>
    <w:multiLevelType w:val="multilevel"/>
    <w:tmpl w:val="3D1760E8"/>
    <w:lvl w:ilvl="0" w:tentative="0">
      <w:start w:val="1"/>
      <w:numFmt w:val="chineseCountingThousand"/>
      <w:lvlText w:val="(%1)"/>
      <w:lvlJc w:val="left"/>
      <w:pPr>
        <w:ind w:left="1140" w:hanging="42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1">
    <w:nsid w:val="5CD8134E"/>
    <w:multiLevelType w:val="multilevel"/>
    <w:tmpl w:val="5CD8134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7DA62A58"/>
    <w:multiLevelType w:val="multilevel"/>
    <w:tmpl w:val="7DA62A58"/>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8"/>
  </w:num>
  <w:num w:numId="2">
    <w:abstractNumId w:val="3"/>
  </w:num>
  <w:num w:numId="3">
    <w:abstractNumId w:val="10"/>
  </w:num>
  <w:num w:numId="4">
    <w:abstractNumId w:val="11"/>
  </w:num>
  <w:num w:numId="5">
    <w:abstractNumId w:val="7"/>
  </w:num>
  <w:num w:numId="6">
    <w:abstractNumId w:val="0"/>
  </w:num>
  <w:num w:numId="7">
    <w:abstractNumId w:val="1"/>
  </w:num>
  <w:num w:numId="8">
    <w:abstractNumId w:val="12"/>
  </w:num>
  <w:num w:numId="9">
    <w:abstractNumId w:val="4"/>
  </w:num>
  <w:num w:numId="10">
    <w:abstractNumId w:val="2"/>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024D1B"/>
    <w:rsid w:val="000645FA"/>
    <w:rsid w:val="00123FAE"/>
    <w:rsid w:val="00195E4F"/>
    <w:rsid w:val="003E471C"/>
    <w:rsid w:val="00412919"/>
    <w:rsid w:val="00535B12"/>
    <w:rsid w:val="00545514"/>
    <w:rsid w:val="00681DF8"/>
    <w:rsid w:val="00692048"/>
    <w:rsid w:val="008F41C2"/>
    <w:rsid w:val="0098551B"/>
    <w:rsid w:val="00A36B58"/>
    <w:rsid w:val="00AB58BF"/>
    <w:rsid w:val="00AD3039"/>
    <w:rsid w:val="00CF5225"/>
    <w:rsid w:val="00E52834"/>
    <w:rsid w:val="00E7626A"/>
    <w:rsid w:val="00E90FAA"/>
    <w:rsid w:val="00EB529C"/>
    <w:rsid w:val="03714542"/>
    <w:rsid w:val="11A11CCF"/>
    <w:rsid w:val="150B158A"/>
    <w:rsid w:val="153F16E0"/>
    <w:rsid w:val="1FFB4D5E"/>
    <w:rsid w:val="23B91B69"/>
    <w:rsid w:val="25611CB8"/>
    <w:rsid w:val="29D273F6"/>
    <w:rsid w:val="2BDDFEBF"/>
    <w:rsid w:val="2CEA19BD"/>
    <w:rsid w:val="2F9959A7"/>
    <w:rsid w:val="31AC630C"/>
    <w:rsid w:val="34FA1205"/>
    <w:rsid w:val="4260068E"/>
    <w:rsid w:val="476F4A44"/>
    <w:rsid w:val="4B342571"/>
    <w:rsid w:val="4D9B0761"/>
    <w:rsid w:val="4DB45069"/>
    <w:rsid w:val="4DCD6AB9"/>
    <w:rsid w:val="4FFFFAD2"/>
    <w:rsid w:val="528C7B6D"/>
    <w:rsid w:val="53A75348"/>
    <w:rsid w:val="54CD4D43"/>
    <w:rsid w:val="56461AEB"/>
    <w:rsid w:val="58086930"/>
    <w:rsid w:val="580A5502"/>
    <w:rsid w:val="5963368D"/>
    <w:rsid w:val="5BDF6048"/>
    <w:rsid w:val="61215C6A"/>
    <w:rsid w:val="6B0B1082"/>
    <w:rsid w:val="6B6F1DEE"/>
    <w:rsid w:val="6D1B5C49"/>
    <w:rsid w:val="6E7E7468"/>
    <w:rsid w:val="77FAAD0F"/>
    <w:rsid w:val="78936F61"/>
    <w:rsid w:val="7CFFC4DF"/>
    <w:rsid w:val="7E5E47BF"/>
    <w:rsid w:val="7F4F5954"/>
    <w:rsid w:val="7F7E33DE"/>
    <w:rsid w:val="7FF26A24"/>
    <w:rsid w:val="7FFD58E9"/>
    <w:rsid w:val="F7BFA4E5"/>
    <w:rsid w:val="F7FD3DB3"/>
    <w:rsid w:val="FEF69339"/>
    <w:rsid w:val="FEFF4BD7"/>
    <w:rsid w:val="FFEDE11E"/>
    <w:rsid w:val="FFEE7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before="260" w:after="260" w:line="412" w:lineRule="auto"/>
      <w:outlineLvl w:val="1"/>
    </w:pPr>
    <w:rPr>
      <w:rFonts w:ascii="Arial" w:hAnsi="Arial" w:eastAsia="黑体" w:cs="Times New Roman"/>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spacing w:line="360" w:lineRule="auto"/>
      <w:ind w:firstLine="480" w:firstLineChars="200"/>
    </w:pPr>
    <w:rPr>
      <w:rFonts w:ascii="Times New Roman" w:hAnsi="Times New Roman" w:eastAsia="宋体" w:cs="Times New Roman"/>
      <w:color w:val="000000"/>
      <w:sz w:val="24"/>
      <w:szCs w:val="24"/>
    </w:rPr>
  </w:style>
  <w:style w:type="paragraph" w:styleId="4">
    <w:name w:val="Body Text Indent"/>
    <w:basedOn w:val="1"/>
    <w:link w:val="12"/>
    <w:qFormat/>
    <w:uiPriority w:val="0"/>
    <w:pPr>
      <w:spacing w:after="120"/>
      <w:ind w:left="420" w:leftChars="200"/>
    </w:pPr>
    <w:rPr>
      <w:rFonts w:ascii="Times New Roman" w:hAnsi="Times New Roman" w:eastAsia="宋体" w:cs="Times New Roman"/>
      <w:szCs w:val="24"/>
    </w:rPr>
  </w:style>
  <w:style w:type="paragraph" w:styleId="5">
    <w:name w:val="footer"/>
    <w:basedOn w:val="1"/>
    <w:link w:val="9"/>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脚 字符"/>
    <w:basedOn w:val="8"/>
    <w:link w:val="5"/>
    <w:qFormat/>
    <w:uiPriority w:val="99"/>
    <w:rPr>
      <w:sz w:val="18"/>
      <w:szCs w:val="18"/>
    </w:rPr>
  </w:style>
  <w:style w:type="character" w:customStyle="1" w:styleId="10">
    <w:name w:val="页眉 字符"/>
    <w:basedOn w:val="8"/>
    <w:link w:val="6"/>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正文文本缩进 字符"/>
    <w:basedOn w:val="8"/>
    <w:link w:val="4"/>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1827</Words>
  <Characters>10418</Characters>
  <Lines>86</Lines>
  <Paragraphs>24</Paragraphs>
  <TotalTime>2</TotalTime>
  <ScaleCrop>false</ScaleCrop>
  <LinksUpToDate>false</LinksUpToDate>
  <CharactersWithSpaces>12221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2023-11-21T01:15:00Z</dcterms:created>
  <dc:creator>供应商管理科</dc:creator>
  <cp:lastModifiedBy>ccb</cp:lastModifiedBy>
  <dcterms:modified xsi:type="dcterms:W3CDTF">2026-08-28T14:06:37Z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F7E1DD167D7440F20A25916A1AFAD92C</vt:lpwstr>
  </property>
</Properties>
</file>