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442000-2026-00984</w:t>
      </w:r>
    </w:p>
    <w:p>
      <w:pPr>
        <w:pStyle w:val="null3"/>
        <w:jc w:val="center"/>
        <w:outlineLvl w:val="3"/>
      </w:pPr>
      <w:r>
        <w:rPr>
          <w:sz w:val="24"/>
          <w:b/>
        </w:rPr>
        <w:t>采购项目编号：</w:t>
      </w:r>
      <w:r>
        <w:rPr>
          <w:sz w:val="24"/>
          <w:b/>
        </w:rPr>
        <w:t>ZZ22603319</w:t>
      </w:r>
    </w:p>
    <w:p>
      <w:pPr>
        <w:pStyle w:val="null3"/>
        <w:jc w:val="center"/>
        <w:outlineLvl w:val="3"/>
      </w:pPr>
      <w:r>
        <w:rPr>
          <w:sz w:val="24"/>
          <w:b/>
        </w:rPr>
        <w:t>项目名称：</w:t>
      </w:r>
      <w:r>
        <w:rPr>
          <w:sz w:val="24"/>
          <w:b/>
        </w:rPr>
        <w:t>中山市中医院2026年窗帘、床帘采购项目</w:t>
      </w:r>
    </w:p>
    <w:p>
      <w:pPr>
        <w:pStyle w:val="null3"/>
        <w:jc w:val="center"/>
        <w:outlineLvl w:val="3"/>
      </w:pPr>
      <w:r>
        <w:rPr>
          <w:sz w:val="24"/>
          <w:b/>
        </w:rPr>
        <w:t>采购人：</w:t>
      </w:r>
      <w:r>
        <w:rPr>
          <w:sz w:val="24"/>
          <w:b/>
        </w:rPr>
        <w:t>中山市中医院</w:t>
      </w:r>
    </w:p>
    <w:p>
      <w:pPr>
        <w:pStyle w:val="null3"/>
        <w:jc w:val="center"/>
        <w:outlineLvl w:val="3"/>
      </w:pPr>
      <w:r>
        <w:rPr>
          <w:sz w:val="24"/>
          <w:b/>
        </w:rPr>
        <w:t>采购代理机构：</w:t>
      </w:r>
      <w:r>
        <w:rPr>
          <w:sz w:val="24"/>
          <w:b/>
        </w:rPr>
        <w:t>广东志正招标有限公司中山分公司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广东志正招标有限公司中山分公司</w:t>
      </w:r>
      <w:r>
        <w:rPr/>
        <w:t>受</w:t>
      </w:r>
      <w:r>
        <w:rPr/>
        <w:t>中山市中医院</w:t>
      </w:r>
      <w:r>
        <w:rPr/>
        <w:t>的委托，采用</w:t>
      </w:r>
      <w:r>
        <w:rPr/>
        <w:t>公开招标</w:t>
      </w:r>
      <w:r>
        <w:rPr/>
        <w:t>方式组织采购</w:t>
      </w:r>
      <w:r>
        <w:rPr/>
        <w:t>中山市中医院2026年窗帘、床帘采购项目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中山市中医院2026年窗帘、床帘采购项目</w:t>
      </w:r>
    </w:p>
    <w:p>
      <w:pPr>
        <w:pStyle w:val="null3"/>
        <w:ind w:firstLine="480"/>
      </w:pPr>
      <w:r>
        <w:rPr/>
        <w:t>采购计划编号：</w:t>
      </w:r>
      <w:r>
        <w:rPr/>
        <w:t>442000-2026-00984</w:t>
      </w:r>
    </w:p>
    <w:p>
      <w:pPr>
        <w:pStyle w:val="null3"/>
        <w:ind w:firstLine="480"/>
      </w:pPr>
      <w:r>
        <w:rPr/>
        <w:t>采购项目编号：</w:t>
      </w:r>
      <w:r>
        <w:rPr/>
        <w:t>ZZ22603319</w:t>
      </w:r>
    </w:p>
    <w:p>
      <w:pPr>
        <w:pStyle w:val="null3"/>
        <w:ind w:firstLine="480"/>
      </w:pPr>
      <w:r>
        <w:rPr/>
        <w:t>采购方式：</w:t>
      </w:r>
      <w:r>
        <w:rPr/>
        <w:t>公开招标</w:t>
      </w:r>
    </w:p>
    <w:p>
      <w:pPr>
        <w:pStyle w:val="null3"/>
        <w:ind w:firstLine="480"/>
      </w:pPr>
      <w:r>
        <w:rPr/>
        <w:t>预算金额：</w:t>
      </w:r>
      <w:r>
        <w:rPr/>
        <w:t>1,800,000.00</w:t>
      </w:r>
      <w:r>
        <w:rPr/>
        <w:t>元</w:t>
      </w:r>
    </w:p>
    <w:p>
      <w:pPr>
        <w:pStyle w:val="null3"/>
        <w:outlineLvl w:val="3"/>
      </w:pPr>
      <w:r>
        <w:rPr>
          <w:sz w:val="24"/>
          <w:b/>
        </w:rPr>
        <w:t>2.项目内容及需求情况（采购项目技术规格、参数及要求）</w:t>
      </w:r>
    </w:p>
    <w:p>
      <w:pPr>
        <w:pStyle w:val="null3"/>
      </w:pPr>
      <w:r>
        <w:rPr/>
        <w:t>采购包1(窗帘、床帘):</w:t>
      </w:r>
    </w:p>
    <w:p>
      <w:pPr>
        <w:pStyle w:val="null3"/>
      </w:pPr>
      <w:r>
        <w:rPr/>
        <w:t>采购包预算金额：1,800,000.00元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窗帘及类似品</w:t>
            </w:r>
          </w:p>
        </w:tc>
        <w:tc>
          <w:tcPr>
            <w:tcW w:type="dxa" w:w="2052"/>
          </w:tcPr>
          <w:p>
            <w:pPr>
              <w:pStyle w:val="null3"/>
            </w:pPr>
            <w:r>
              <w:rPr/>
              <w:t>窗帘、床帘</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1,800,000.00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合同履行期限：合同签订后60天内完成安装调试</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 提供相应证明材料）或提供《政府采购供应商资格信用承诺函》（格式详见招标公告附件）。若供应商同时提供资格信用承诺函和证明材料的，资格审查时以证明材料为准。</w:t>
      </w:r>
    </w:p>
    <w:p>
      <w:pPr>
        <w:pStyle w:val="null3"/>
      </w:pPr>
      <w:r>
        <w:rPr/>
        <w:t>3）具有良好的商业信誉和健全的财务会计制度：供应商必须具有良好的商业信誉和健全的财务会计制度（提供2024年财务报告或2025年财务报告（或2026年1月至今任意一个月份财务报表）关键页或由基本开户银行出具的资信证明或提供《政府采购供应商资格信用承诺函》（格式详见招标公告附件）） 。若供应商同时提供资格信用承诺函和证明材料的，资格审查时以证明材料为准。</w:t>
      </w:r>
    </w:p>
    <w:p>
      <w:pPr>
        <w:pStyle w:val="null3"/>
      </w:pPr>
      <w:r>
        <w:rPr/>
        <w:t>4）履行合同所必需的设备和专业技术能力：提供承诺函（格式自拟，承诺内容包括但不限于：“我方具有履行本项目合同所必需的设备及专业技术能力”）或提供《设备和专业技术能力情况表》（格式自拟，需同时提供设备和专业技术能力（人员）两类信息）。</w:t>
      </w:r>
    </w:p>
    <w:p>
      <w:pPr>
        <w:pStyle w:val="null3"/>
      </w:pPr>
      <w:r>
        <w:rPr/>
        <w:t>5）参加采购活动前3年内，在经营活动中没有重大违法记录：参照投标函相关承诺格式内容或提供《政府采购供应商资格信用承诺函》（格式详见招标公告附件）。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采购包1（窗帘、床帘）：</w:t>
      </w:r>
      <w:r>
        <w:rPr/>
        <w:t>采购包整体专门面向中小企业：所投货物制造商须为符合《政府采购促进中小企业发展管理办法》（财库〔2020〕46号）规定和《中小企业划型标准规定》（工信部联企业[2011]300号）的中型、小型、微型企业。（本项目采购标的对应行业：工业）注：中小企业以供应商填写的《中小企业声明函（货物）》（见招标文件格式）为判定标准；残疾人福利性单位以供应商填写的《残疾人福利性单位声明函》（见招标文件格式）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采购包1（窗帘、床帘）：</w:t>
      </w:r>
    </w:p>
    <w:p>
      <w:pPr>
        <w:pStyle w:val="null3"/>
      </w:pPr>
      <w:r>
        <w:rPr/>
        <w:t>1)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3)无围标、串标行为（出具《无围标、串标行为承诺书》（格式详见招标公告附件））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中山市中医院</w:t>
      </w:r>
    </w:p>
    <w:p>
      <w:pPr>
        <w:pStyle w:val="null3"/>
        <w:ind w:firstLine="480"/>
      </w:pPr>
      <w:r>
        <w:rPr/>
        <w:t xml:space="preserve"> 地址：</w:t>
      </w:r>
      <w:r>
        <w:rPr/>
        <w:t>中山市西区康欣路3号</w:t>
      </w:r>
    </w:p>
    <w:p>
      <w:pPr>
        <w:pStyle w:val="null3"/>
        <w:ind w:firstLine="480"/>
      </w:pPr>
      <w:r>
        <w:rPr/>
        <w:t xml:space="preserve"> 联系方式：</w:t>
      </w:r>
      <w:r>
        <w:rPr/>
        <w:t>0760-89989587</w:t>
      </w:r>
    </w:p>
    <w:p>
      <w:pPr>
        <w:pStyle w:val="null3"/>
        <w:outlineLvl w:val="3"/>
      </w:pPr>
      <w:r>
        <w:rPr>
          <w:sz w:val="24"/>
          <w:b/>
        </w:rPr>
        <w:t xml:space="preserve"> 2.采购代理机构信息</w:t>
      </w:r>
    </w:p>
    <w:p>
      <w:pPr>
        <w:pStyle w:val="null3"/>
        <w:ind w:firstLine="480"/>
      </w:pPr>
      <w:r>
        <w:rPr/>
        <w:t xml:space="preserve"> 名称：</w:t>
      </w:r>
      <w:r>
        <w:rPr/>
        <w:t>广东志正招标有限公司中山分公司</w:t>
      </w:r>
    </w:p>
    <w:p>
      <w:pPr>
        <w:pStyle w:val="null3"/>
        <w:ind w:firstLine="480"/>
      </w:pPr>
      <w:r>
        <w:rPr/>
        <w:t xml:space="preserve"> 地址：</w:t>
      </w:r>
      <w:r>
        <w:rPr/>
        <w:t>中山市东区中山四路亨尾大街3号软件园东园区2楼22室</w:t>
      </w:r>
    </w:p>
    <w:p>
      <w:pPr>
        <w:pStyle w:val="null3"/>
        <w:ind w:firstLine="480"/>
      </w:pPr>
      <w:r>
        <w:rPr/>
        <w:t xml:space="preserve"> 联系方式：</w:t>
      </w:r>
      <w:r>
        <w:rPr/>
        <w:t>0760-88808187、88811601</w:t>
      </w:r>
    </w:p>
    <w:p>
      <w:pPr>
        <w:pStyle w:val="null3"/>
        <w:outlineLvl w:val="3"/>
      </w:pPr>
      <w:r>
        <w:rPr>
          <w:sz w:val="24"/>
          <w:b/>
        </w:rPr>
        <w:t xml:space="preserve"> 3.项目联系方式</w:t>
      </w:r>
    </w:p>
    <w:p>
      <w:pPr>
        <w:pStyle w:val="null3"/>
        <w:ind w:firstLine="480"/>
      </w:pPr>
      <w:r>
        <w:rPr/>
        <w:t xml:space="preserve"> 项目联系人：</w:t>
      </w:r>
      <w:r>
        <w:rPr/>
        <w:t>李小姐</w:t>
      </w:r>
    </w:p>
    <w:p>
      <w:pPr>
        <w:pStyle w:val="null3"/>
        <w:ind w:firstLine="480"/>
      </w:pPr>
      <w:r>
        <w:rPr/>
        <w:t xml:space="preserve"> 电话：</w:t>
      </w:r>
      <w:r>
        <w:rPr/>
        <w:t>0760-88808187、88811601</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广东志正招标有限公司中山分公司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1、项目名称：中山市中医院2026年窗帘、床帘采购项目</w:t>
      </w:r>
    </w:p>
    <w:p>
      <w:pPr>
        <w:pStyle w:val="null3"/>
        <w:jc w:val="left"/>
      </w:pPr>
      <w:r>
        <w:rPr/>
        <w:t>2、项目内容：医院现有窗帘、床帘的燃烧性能达不到国家标准要求，需配套采购一批窗帘、床帘。</w:t>
      </w:r>
    </w:p>
    <w:p>
      <w:pPr>
        <w:pStyle w:val="null3"/>
        <w:jc w:val="left"/>
      </w:pPr>
      <w:r>
        <w:rPr/>
        <w:t>3、项目</w:t>
      </w:r>
      <w:r>
        <w:rPr/>
        <w:t>预算</w:t>
      </w:r>
      <w:r>
        <w:rPr/>
        <w:t>：￥</w:t>
      </w:r>
      <w:r>
        <w:rPr/>
        <w:t>180万元。</w:t>
      </w:r>
    </w:p>
    <w:p>
      <w:pPr>
        <w:pStyle w:val="null3"/>
        <w:jc w:val="left"/>
      </w:pPr>
      <w:r>
        <w:rPr/>
        <w:t>4、供货期：合同签订后60天</w:t>
      </w:r>
    </w:p>
    <w:p>
      <w:pPr>
        <w:pStyle w:val="null3"/>
        <w:jc w:val="left"/>
      </w:pPr>
      <w:r>
        <w:rPr/>
        <w:t>5、报价：应包括旧窗帘床帘拆除、</w:t>
      </w:r>
      <w:r>
        <w:rPr/>
        <w:t>轨道</w:t>
      </w:r>
      <w:r>
        <w:rPr/>
        <w:t>滑轮更换、新窗帘床帘采购制作、相关附件、安装调试、人工费、运输费、质保期、安全、各种税费及合同实施过程中不可预见的全部费用。</w:t>
      </w:r>
    </w:p>
    <w:p>
      <w:pPr>
        <w:pStyle w:val="null3"/>
        <w:jc w:val="left"/>
      </w:pPr>
      <w:r>
        <w:rPr/>
        <w:t>6、本项目核心产品：</w:t>
      </w:r>
      <w:r>
        <w:rPr>
          <w:b/>
        </w:rPr>
        <w:t>病床隔帘、遮光窗帘</w:t>
      </w:r>
    </w:p>
    <w:p>
      <w:pPr>
        <w:pStyle w:val="null3"/>
        <w:jc w:val="left"/>
      </w:pPr>
      <w:r>
        <w:rPr/>
        <w:t xml:space="preserve"> </w:t>
      </w:r>
    </w:p>
    <w:p>
      <w:pPr>
        <w:pStyle w:val="null3"/>
        <w:jc w:val="left"/>
      </w:pPr>
      <w:r>
        <w:rPr/>
        <w:t>采购包1（窗帘、床帘）</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合同签订后60天内完成安装调试</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1期：支付比例100%,1、项目验收合格，凭供应商开具的全额发票和验收资料，采购人于60个自然日内支付合同款项；如供应商为中小企业，按中小企业相关法律法规或政策执行。 2、结算原则：按实际安装量与合同单价进行结算。 2.1 窗帘高度不超过2.65米的，布料用量（米）=窗帘轨道宽度（米）*2； 2.2 窗帘高度超过2.65米的，布料用量（米）=（窗帘轨道宽度（米）*2）/2.8（门幅）*（实际窗帘成品高度+0.25m）； 2.3 病床隔帘用量（米）=隔帘轨道宽度（米）*1.8； 2.4 窗帘、床帘轨道按实际安装长度计算。 2.5 布带含钩=窗帘轨道宽度（米）*2。</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1期：供应商将货物送到采购人指定地点，安装调试后按国家相关标准、行业标准及项目要求进行验收。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投标人需按“一、采购清单”进行单价报价，单价报价不能超过单价限价，否则视为无效投标。投标人需根据采购清单内容另附一份《报价清单明细表》，同时按招标文件要求附在投标文件《开标一览表》后。《报价清单明细表》中应详细列明报价的具体构成（序号、货物名称、规格型号、品牌、产地、制造商名称、单价），且单价汇总合计金额须与《开标一览表》的“投标报价”金额一致。未填报的采购清单内容，视为此项费用已包含在采购报价清单的其他单价或总价中，任何与此有关的报价清单价款，采购人将不予支付。</w:t>
            </w:r>
          </w:p>
        </w:tc>
      </w:tr>
      <w:tr>
        <w:tc>
          <w:tcPr>
            <w:tcW w:type="dxa" w:w="2076"/>
          </w:tcPr>
          <w:p/>
        </w:tc>
        <w:tc>
          <w:tcPr>
            <w:tcW w:type="dxa" w:w="2076"/>
          </w:tcPr>
          <w:p>
            <w:pPr>
              <w:pStyle w:val="null3"/>
              <w:jc w:val="center"/>
            </w:pPr>
            <w:r>
              <w:rPr/>
              <w:t>2</w:t>
            </w:r>
          </w:p>
        </w:tc>
        <w:tc>
          <w:tcPr>
            <w:tcW w:type="dxa" w:w="2076"/>
          </w:tcPr>
          <w:p>
            <w:pPr>
              <w:pStyle w:val="null3"/>
              <w:jc w:val="left"/>
            </w:pPr>
            <w:r>
              <w:rPr/>
              <w:t>质量要求</w:t>
            </w:r>
          </w:p>
        </w:tc>
        <w:tc>
          <w:tcPr>
            <w:tcW w:type="dxa" w:w="2076"/>
          </w:tcPr>
          <w:p>
            <w:pPr>
              <w:pStyle w:val="null3"/>
              <w:jc w:val="left"/>
            </w:pPr>
            <w:r>
              <w:rPr/>
              <w:t>1、供应商提供的货物质量必须符合国家相关标准、行业标准及项目要求。 2、供应商提供的货物必须是无毒无害、全新的、表面无瑕疵，并且符合医院院内感染控制要求，必须易清洁，好打理，洗涤后不易缩水、变型，所有产品的安装符合医院规范、流程。 3、质保期不少于两年，质保期内供应商提供“包退、包换、包修”的质量“三包”服务，一切维修费用、备品备件费用均由供应商提供，相关费用包含在投标报价中。 4、货物生产前及生产期间，采购人有权对货物生产过程进行全程监造，并有权对供应商提供的备料单进行抽检，对所有材料（布料、辅料、轨道）的进货单进行审查，对于无法提供有效进货证明及检验不合格的材料，采购人有权拒绝该材料投入生产，若该材料已投入生产，采购人有权不接受由该材料所生产的货物。</w:t>
            </w:r>
          </w:p>
        </w:tc>
      </w:tr>
      <w:tr>
        <w:tc>
          <w:tcPr>
            <w:tcW w:type="dxa" w:w="2076"/>
          </w:tcPr>
          <w:p/>
        </w:tc>
        <w:tc>
          <w:tcPr>
            <w:tcW w:type="dxa" w:w="2076"/>
          </w:tcPr>
          <w:p>
            <w:pPr>
              <w:pStyle w:val="null3"/>
              <w:jc w:val="center"/>
            </w:pPr>
            <w:r>
              <w:rPr/>
              <w:t>3</w:t>
            </w:r>
          </w:p>
        </w:tc>
        <w:tc>
          <w:tcPr>
            <w:tcW w:type="dxa" w:w="2076"/>
          </w:tcPr>
          <w:p>
            <w:pPr>
              <w:pStyle w:val="null3"/>
              <w:jc w:val="left"/>
            </w:pPr>
            <w:r>
              <w:rPr/>
              <w:t>服务要求</w:t>
            </w:r>
          </w:p>
        </w:tc>
        <w:tc>
          <w:tcPr>
            <w:tcW w:type="dxa" w:w="2076"/>
          </w:tcPr>
          <w:p>
            <w:pPr>
              <w:pStyle w:val="null3"/>
              <w:jc w:val="left"/>
            </w:pPr>
            <w:r>
              <w:rPr/>
              <w:t>1、供应商负责拆除原有旧窗帘、床帘，并更换局部损坏的导轨滑轮。 2、安装现场有住院患者、医院工作人员，以及其他设备设施，供应商必须充分考虑现场安装难度及安全性，合理安排安装时间，做好现场解释工作，确保安全，安装过程中出现的人生伤害、物品结构损坏等一切大小事故均由供应商负责。 3、质保期内，供应商对所提供的货物实行包修、包换，非人为因素损坏的，一切维修换件费用和备品备件均由供应商提供，相关费用包含在投标报价中。 4、质保期内，接到报修通知后，必须2小时内回应，12小时内派员上门，48小时内解决问题，如需更换配件的，要求更换的配件和被更换的品牌、类型相一致或者是同类、同规格、同性能等的替代品，后者需征得采购人同意。</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窗帘及类似品</w:t>
            </w:r>
          </w:p>
        </w:tc>
        <w:tc>
          <w:tcPr>
            <w:tcW w:type="dxa" w:w="831"/>
          </w:tcPr>
          <w:p>
            <w:pPr>
              <w:pStyle w:val="null3"/>
              <w:jc w:val="left"/>
            </w:pPr>
            <w:r>
              <w:rPr/>
              <w:t>窗帘、床帘</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1,800,000.00</w:t>
            </w:r>
          </w:p>
        </w:tc>
        <w:tc>
          <w:tcPr>
            <w:tcW w:type="dxa" w:w="831"/>
          </w:tcPr>
          <w:p>
            <w:pPr>
              <w:pStyle w:val="null3"/>
              <w:jc w:val="right"/>
            </w:pPr>
            <w:r>
              <w:rPr/>
              <w:t>1,800,000.00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窗帘、床帘</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b/>
              </w:rPr>
              <w:t>一</w:t>
            </w:r>
            <w:r>
              <w:rPr>
                <w:b/>
              </w:rPr>
              <w:t>、采购清单</w:t>
            </w:r>
          </w:p>
          <w:tbl>
            <w:tblPr>
              <w:tblBorders>
                <w:top w:val="none" w:color="000000" w:sz="4"/>
                <w:left w:val="none" w:color="000000" w:sz="4"/>
                <w:bottom w:val="none" w:color="000000" w:sz="4"/>
                <w:right w:val="none" w:color="000000" w:sz="4"/>
                <w:insideH w:val="none"/>
                <w:insideV w:val="none"/>
              </w:tblBorders>
            </w:tblPr>
            <w:tblGrid>
              <w:gridCol w:w="597"/>
              <w:gridCol w:w="1264"/>
              <w:gridCol w:w="878"/>
              <w:gridCol w:w="702"/>
              <w:gridCol w:w="1065"/>
              <w:gridCol w:w="1065"/>
            </w:tblGrid>
            <w:tr>
              <w:tc>
                <w:tcPr>
                  <w:tcW w:type="dxa" w:w="597"/>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b/>
                    </w:rPr>
                    <w:t>序号</w:t>
                  </w:r>
                </w:p>
              </w:tc>
              <w:tc>
                <w:tcPr>
                  <w:tcW w:type="dxa" w:w="1264"/>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b/>
                    </w:rPr>
                    <w:t>名称</w:t>
                  </w:r>
                </w:p>
              </w:tc>
              <w:tc>
                <w:tcPr>
                  <w:tcW w:type="dxa" w:w="878"/>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b/>
                    </w:rPr>
                    <w:t>预估数量</w:t>
                  </w:r>
                </w:p>
              </w:tc>
              <w:tc>
                <w:tcPr>
                  <w:tcW w:type="dxa" w:w="702"/>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b/>
                    </w:rPr>
                    <w:t>单位</w:t>
                  </w:r>
                </w:p>
              </w:tc>
              <w:tc>
                <w:tcPr>
                  <w:tcW w:type="dxa" w:w="1065"/>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b/>
                    </w:rPr>
                    <w:t>防火等级</w:t>
                  </w:r>
                </w:p>
              </w:tc>
              <w:tc>
                <w:tcPr>
                  <w:tcW w:type="dxa" w:w="1065"/>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b/>
                    </w:rPr>
                    <w:t>单价限价（元</w:t>
                  </w:r>
                  <w:r>
                    <w:rPr>
                      <w:sz w:val="20"/>
                      <w:b/>
                    </w:rPr>
                    <w:t>/米）</w:t>
                  </w:r>
                </w:p>
              </w:tc>
            </w:tr>
            <w:tr>
              <w:tc>
                <w:tcPr>
                  <w:tcW w:type="dxa" w:w="59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1</w:t>
                  </w:r>
                </w:p>
              </w:tc>
              <w:tc>
                <w:tcPr>
                  <w:tcW w:type="dxa" w:w="126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遮光窗帘</w:t>
                  </w:r>
                </w:p>
              </w:tc>
              <w:tc>
                <w:tcPr>
                  <w:tcW w:type="dxa" w:w="87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9397</w:t>
                  </w:r>
                </w:p>
              </w:tc>
              <w:tc>
                <w:tcPr>
                  <w:tcW w:type="dxa" w:w="70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米</w:t>
                  </w:r>
                </w:p>
              </w:tc>
              <w:tc>
                <w:tcPr>
                  <w:tcW w:type="dxa" w:w="106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B1级</w:t>
                  </w:r>
                </w:p>
              </w:tc>
              <w:tc>
                <w:tcPr>
                  <w:tcW w:type="dxa" w:w="106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w:t>
                  </w:r>
                  <w:r>
                    <w:rPr>
                      <w:sz w:val="20"/>
                    </w:rPr>
                    <w:t>4</w:t>
                  </w:r>
                  <w:r>
                    <w:rPr>
                      <w:sz w:val="20"/>
                    </w:rPr>
                    <w:t>4</w:t>
                  </w:r>
                  <w:r>
                    <w:rPr>
                      <w:sz w:val="20"/>
                    </w:rPr>
                    <w:t>.00</w:t>
                  </w:r>
                </w:p>
              </w:tc>
            </w:tr>
            <w:tr>
              <w:tc>
                <w:tcPr>
                  <w:tcW w:type="dxa" w:w="59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2</w:t>
                  </w:r>
                </w:p>
              </w:tc>
              <w:tc>
                <w:tcPr>
                  <w:tcW w:type="dxa" w:w="126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病床隔帘</w:t>
                  </w:r>
                </w:p>
              </w:tc>
              <w:tc>
                <w:tcPr>
                  <w:tcW w:type="dxa" w:w="87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15832</w:t>
                  </w:r>
                </w:p>
              </w:tc>
              <w:tc>
                <w:tcPr>
                  <w:tcW w:type="dxa" w:w="70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米</w:t>
                  </w:r>
                </w:p>
              </w:tc>
              <w:tc>
                <w:tcPr>
                  <w:tcW w:type="dxa" w:w="106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B1级</w:t>
                  </w:r>
                </w:p>
              </w:tc>
              <w:tc>
                <w:tcPr>
                  <w:tcW w:type="dxa" w:w="106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w:t>
                  </w:r>
                  <w:r>
                    <w:rPr>
                      <w:sz w:val="20"/>
                    </w:rPr>
                    <w:t>39</w:t>
                  </w:r>
                  <w:r>
                    <w:rPr>
                      <w:sz w:val="20"/>
                    </w:rPr>
                    <w:t>.</w:t>
                  </w:r>
                  <w:r>
                    <w:rPr>
                      <w:sz w:val="20"/>
                    </w:rPr>
                    <w:t>33</w:t>
                  </w:r>
                  <w:r>
                    <w:rPr>
                      <w:sz w:val="21"/>
                    </w:rPr>
                    <w:t xml:space="preserve"> </w:t>
                  </w:r>
                </w:p>
              </w:tc>
            </w:tr>
            <w:tr>
              <w:tc>
                <w:tcPr>
                  <w:tcW w:type="dxa" w:w="59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3</w:t>
                  </w:r>
                </w:p>
              </w:tc>
              <w:tc>
                <w:tcPr>
                  <w:tcW w:type="dxa" w:w="126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隔帘轨道</w:t>
                  </w:r>
                </w:p>
              </w:tc>
              <w:tc>
                <w:tcPr>
                  <w:tcW w:type="dxa" w:w="87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650</w:t>
                  </w:r>
                </w:p>
              </w:tc>
              <w:tc>
                <w:tcPr>
                  <w:tcW w:type="dxa" w:w="70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米</w:t>
                  </w:r>
                </w:p>
              </w:tc>
              <w:tc>
                <w:tcPr>
                  <w:tcW w:type="dxa" w:w="106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w:t>
                  </w:r>
                </w:p>
              </w:tc>
              <w:tc>
                <w:tcPr>
                  <w:tcW w:type="dxa" w:w="106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w:t>
                  </w:r>
                  <w:r>
                    <w:rPr>
                      <w:sz w:val="20"/>
                    </w:rPr>
                    <w:t>29</w:t>
                  </w:r>
                  <w:r>
                    <w:rPr>
                      <w:sz w:val="20"/>
                    </w:rPr>
                    <w:t>.</w:t>
                  </w:r>
                  <w:r>
                    <w:rPr>
                      <w:sz w:val="20"/>
                    </w:rPr>
                    <w:t>67</w:t>
                  </w:r>
                  <w:r>
                    <w:rPr>
                      <w:sz w:val="21"/>
                    </w:rPr>
                    <w:t xml:space="preserve"> </w:t>
                  </w:r>
                </w:p>
              </w:tc>
            </w:tr>
            <w:tr>
              <w:tc>
                <w:tcPr>
                  <w:tcW w:type="dxa" w:w="59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4</w:t>
                  </w:r>
                </w:p>
              </w:tc>
              <w:tc>
                <w:tcPr>
                  <w:tcW w:type="dxa" w:w="126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窗帘轨道</w:t>
                  </w:r>
                </w:p>
              </w:tc>
              <w:tc>
                <w:tcPr>
                  <w:tcW w:type="dxa" w:w="87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500</w:t>
                  </w:r>
                </w:p>
              </w:tc>
              <w:tc>
                <w:tcPr>
                  <w:tcW w:type="dxa" w:w="70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米</w:t>
                  </w:r>
                </w:p>
              </w:tc>
              <w:tc>
                <w:tcPr>
                  <w:tcW w:type="dxa" w:w="106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w:t>
                  </w:r>
                </w:p>
              </w:tc>
              <w:tc>
                <w:tcPr>
                  <w:tcW w:type="dxa" w:w="106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w:t>
                  </w:r>
                  <w:r>
                    <w:rPr>
                      <w:sz w:val="20"/>
                    </w:rPr>
                    <w:t>28</w:t>
                  </w:r>
                  <w:r>
                    <w:rPr>
                      <w:sz w:val="20"/>
                    </w:rPr>
                    <w:t>.</w:t>
                  </w:r>
                  <w:r>
                    <w:rPr>
                      <w:sz w:val="20"/>
                    </w:rPr>
                    <w:t>67</w:t>
                  </w:r>
                  <w:r>
                    <w:rPr>
                      <w:sz w:val="21"/>
                    </w:rPr>
                    <w:t xml:space="preserve"> </w:t>
                  </w:r>
                </w:p>
              </w:tc>
            </w:tr>
            <w:tr>
              <w:tc>
                <w:tcPr>
                  <w:tcW w:type="dxa" w:w="59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5</w:t>
                  </w:r>
                </w:p>
              </w:tc>
              <w:tc>
                <w:tcPr>
                  <w:tcW w:type="dxa" w:w="126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布带含钩</w:t>
                  </w:r>
                </w:p>
              </w:tc>
              <w:tc>
                <w:tcPr>
                  <w:tcW w:type="dxa" w:w="87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25230</w:t>
                  </w:r>
                </w:p>
              </w:tc>
              <w:tc>
                <w:tcPr>
                  <w:tcW w:type="dxa" w:w="70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米</w:t>
                  </w:r>
                </w:p>
              </w:tc>
              <w:tc>
                <w:tcPr>
                  <w:tcW w:type="dxa" w:w="106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w:t>
                  </w:r>
                </w:p>
              </w:tc>
              <w:tc>
                <w:tcPr>
                  <w:tcW w:type="dxa" w:w="106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w:t>
                  </w:r>
                  <w:r>
                    <w:rPr>
                      <w:sz w:val="20"/>
                    </w:rPr>
                    <w:t>10.</w:t>
                  </w:r>
                  <w:r>
                    <w:rPr>
                      <w:sz w:val="20"/>
                    </w:rPr>
                    <w:t>67</w:t>
                  </w:r>
                  <w:r>
                    <w:rPr>
                      <w:sz w:val="21"/>
                    </w:rPr>
                    <w:t xml:space="preserve"> </w:t>
                  </w:r>
                </w:p>
              </w:tc>
            </w:tr>
          </w:tbl>
          <w:p>
            <w:pPr>
              <w:pStyle w:val="null3"/>
            </w:pPr>
            <w:r>
              <w:rPr/>
              <w:t>备注：</w:t>
            </w:r>
          </w:p>
          <w:p>
            <w:pPr>
              <w:pStyle w:val="null3"/>
            </w:pPr>
            <w:r>
              <w:rPr/>
              <w:t>1、采购清单中列明的物品数量为预估量，采购人将根据实际情况进行调整，并按实际需求量结算</w:t>
            </w:r>
            <w:r>
              <w:rPr/>
              <w:t>，</w:t>
            </w:r>
            <w:r>
              <w:rPr/>
              <w:t>结算上限不得超过合同金额</w:t>
            </w:r>
            <w:r>
              <w:rPr/>
              <w:t>。</w:t>
            </w:r>
          </w:p>
          <w:p>
            <w:pPr>
              <w:pStyle w:val="null3"/>
            </w:pPr>
            <w:r>
              <w:rPr/>
              <w:t>2、合同签订后，供应商须安装专人与采购人各使用科室对接，现场测量核对采购数量，经采购人确认后方能安排生产。</w:t>
            </w:r>
          </w:p>
          <w:p>
            <w:pPr>
              <w:pStyle w:val="null3"/>
            </w:pPr>
            <w:r>
              <w:rPr/>
              <w:t>3、供应商提供的货物颜色、纹理具有多样性可供选择，具体根据现场实际情况搭配。</w:t>
            </w:r>
          </w:p>
          <w:p>
            <w:pPr>
              <w:pStyle w:val="null3"/>
            </w:pPr>
            <w:r>
              <w:rPr>
                <w:sz w:val="21"/>
              </w:rPr>
              <w:t>4、所有相关配件及损耗的费用包含在各类产品的单价中，不再单独计费。</w:t>
            </w:r>
          </w:p>
          <w:p>
            <w:pPr>
              <w:pStyle w:val="null3"/>
            </w:pPr>
            <w:r>
              <w:rPr/>
              <w:t xml:space="preserve"> </w:t>
            </w:r>
          </w:p>
        </w:tc>
      </w:tr>
      <w:tr>
        <w:tc>
          <w:tcPr>
            <w:tcW w:type="dxa" w:w="2076"/>
          </w:tcPr>
          <w:p/>
        </w:tc>
        <w:tc>
          <w:tcPr>
            <w:tcW w:type="dxa" w:w="415"/>
          </w:tcPr>
          <w:p>
            <w:pPr>
              <w:pStyle w:val="null3"/>
            </w:pPr>
            <w:r>
              <w:rPr/>
              <w:t>2</w:t>
            </w:r>
          </w:p>
        </w:tc>
        <w:tc>
          <w:tcPr>
            <w:tcW w:type="dxa" w:w="5814"/>
          </w:tcPr>
          <w:p>
            <w:pPr>
              <w:pStyle w:val="null3"/>
            </w:pPr>
            <w:r>
              <w:rPr>
                <w:b/>
              </w:rPr>
              <w:t>二、技术参数</w:t>
            </w:r>
          </w:p>
          <w:p>
            <w:pPr>
              <w:pStyle w:val="null3"/>
            </w:pPr>
            <w:r>
              <w:rPr/>
              <w:t>（一）遮光窗帘</w:t>
            </w:r>
          </w:p>
          <w:p>
            <w:pPr>
              <w:pStyle w:val="null3"/>
            </w:pPr>
            <w:r>
              <w:rPr/>
              <w:t>1、面料环保遮光，不含有害物质，内含黑色消光网线，布料色泽鲜明，无毒，无异味，隔热，不褪色，不缩水，耐日晒抗老化，手感柔软，形状记忆工艺，水洗后仍能保持原有的美观形态。面料耐高温洗涤，不变色，垂感好，不易被风吹起，颜色根据现场实际情况搭配；</w:t>
            </w:r>
          </w:p>
          <w:p>
            <w:pPr>
              <w:pStyle w:val="null3"/>
            </w:pPr>
            <w:r>
              <w:rPr/>
              <w:t>2、面料要求：100%聚酯纤维</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sz w:val="20"/>
              </w:rPr>
              <w:t>▲</w:t>
            </w:r>
            <w:r>
              <w:rPr/>
              <w:t>3、质量要求：≥420 g/㎡，</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t>4、耐次氯酸盐漂白色牢度：4-5级</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sz w:val="20"/>
              </w:rPr>
              <w:t>▲</w:t>
            </w:r>
            <w:r>
              <w:rPr/>
              <w:t>5、燃烧性能：水洗50次后符合 GB 8624-2012（B1 级）标准（氧指数≥32、损毁长度≤150mm、续燃时间≤5S、阴燃时间≤5S、燃烧滴落物未引起脱脂棉燃烧或阴燃）</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sz w:val="20"/>
              </w:rPr>
              <w:t>▲</w:t>
            </w:r>
            <w:r>
              <w:rPr/>
              <w:t>6、厚度：≥1mm。</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t>7、织物密度：经向≥1400根/10cm±5%、纬向≥350根/10cm±5%</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t>8、洗涤干燥后外观平整度（级）：≥4</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t>9、纰裂程度（mm）：≤6</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sz w:val="20"/>
              </w:rPr>
              <w:t>▲</w:t>
            </w:r>
            <w:r>
              <w:rPr/>
              <w:t>10、甲醛含量≤20mg/kg，测定按GB/T 2912.1-2009(水萃取法)执行</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sz w:val="20"/>
              </w:rPr>
              <w:t>▲</w:t>
            </w:r>
            <w:r>
              <w:rPr/>
              <w:t>11、PH值：4.0-8.5，测定按 GB/T 7573执行</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t>12、耐水色牢度：4-5级</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t>13、耐汗渍色牢度（耐酸）：4-5级</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t>14、耐汗渍色牢度（耐碱）：4-5级</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t>15、耐摩擦色牢度：直向4-5级，横向4-5级</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t>16、耐唾液色牢度：4-5级</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sz w:val="20"/>
              </w:rPr>
              <w:t>▲</w:t>
            </w:r>
            <w:r>
              <w:rPr/>
              <w:t>17、致癌染料：不得检出，符合GB/T 18885-2020《生态纺织品技术要求》装饰用品标准</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t>18、消臭性能（%）：硫化氢≥5，甲硫醇≥3，氨气≥45，醋酸≥70</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r>
              <w:rPr/>
              <w:t xml:space="preserve">                           </w:t>
            </w:r>
          </w:p>
          <w:p>
            <w:pPr>
              <w:pStyle w:val="null3"/>
            </w:pPr>
            <w:r>
              <w:rPr>
                <w:sz w:val="20"/>
              </w:rPr>
              <w:t>▲</w:t>
            </w:r>
            <w:r>
              <w:rPr/>
              <w:t>19</w:t>
            </w:r>
            <w:r>
              <w:rPr/>
              <w:t>、抗菌性能：金黄色葡萄珠菌</w:t>
            </w:r>
            <w:r>
              <w:rPr/>
              <w:t>≥98%，大肠杆菌≥98%，白色念珠菌≥98%,肺炎克雷白氏菌≥98%；</w:t>
            </w:r>
            <w:r>
              <w:rPr>
                <w:sz w:val="20"/>
              </w:rPr>
              <w:t>检测标准</w:t>
            </w:r>
            <w:r>
              <w:rPr>
                <w:sz w:val="20"/>
              </w:rPr>
              <w:t>GB/T20944.3-2008；</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sz w:val="20"/>
              </w:rPr>
              <w:t>▲</w:t>
            </w:r>
            <w:r>
              <w:rPr/>
              <w:t>2</w:t>
            </w:r>
            <w:r>
              <w:rPr/>
              <w:t>0</w:t>
            </w:r>
            <w:r>
              <w:rPr/>
              <w:t>、防霉性能：</w:t>
            </w:r>
            <w:r>
              <w:rPr/>
              <w:t>0 级，</w:t>
            </w:r>
            <w:r>
              <w:rPr>
                <w:sz w:val="20"/>
              </w:rPr>
              <w:t>在放大镜下无明显长霉；检测标准</w:t>
            </w:r>
            <w:r>
              <w:rPr>
                <w:sz w:val="20"/>
              </w:rPr>
              <w:t xml:space="preserve">GB/T24346-2009； </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t>2</w:t>
            </w:r>
            <w:r>
              <w:rPr/>
              <w:t>1</w:t>
            </w:r>
            <w:r>
              <w:rPr/>
              <w:t>、耐沾污性、易去污性：</w:t>
            </w:r>
            <w:r>
              <w:rPr/>
              <w:t>3-4级</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t>2</w:t>
            </w:r>
            <w:r>
              <w:rPr/>
              <w:t>2</w:t>
            </w:r>
            <w:r>
              <w:rPr/>
              <w:t>、水洗尺寸变化率</w:t>
            </w:r>
            <w:r>
              <w:rPr/>
              <w:t>(%)：-1.0~+1.0</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t>2</w:t>
            </w:r>
            <w:r>
              <w:rPr/>
              <w:t>3</w:t>
            </w:r>
            <w:r>
              <w:rPr/>
              <w:t>、纬斜率：</w:t>
            </w:r>
            <w:r>
              <w:rPr/>
              <w:t>≤5%</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t>2</w:t>
            </w:r>
            <w:r>
              <w:rPr/>
              <w:t>4</w:t>
            </w:r>
            <w:r>
              <w:rPr/>
              <w:t>、制作要求：采用</w:t>
            </w:r>
            <w:r>
              <w:rPr/>
              <w:t>1:2倍韩式固定折工艺，针距均匀，无跳针、浮针、漏针、偏针、脱线、各部位缝纫轨迹线路横平竖直，均匀、整齐、顺直、牢固；</w:t>
            </w:r>
          </w:p>
          <w:p>
            <w:pPr>
              <w:pStyle w:val="null3"/>
            </w:pPr>
            <w:r>
              <w:rPr/>
              <w:t xml:space="preserve"> </w:t>
            </w:r>
          </w:p>
          <w:p>
            <w:pPr>
              <w:pStyle w:val="null3"/>
            </w:pPr>
            <w:r>
              <w:rPr/>
              <w:t>（二）病床隔帘</w:t>
            </w:r>
          </w:p>
          <w:p>
            <w:pPr>
              <w:pStyle w:val="null3"/>
            </w:pPr>
            <w:r>
              <w:rPr/>
              <w:t>1、选用2.8米幅宽隔帘布，面料色泽鲜明，无毒、无异味、不易褪色、不缩水，手感柔软形状记忆工艺，水洗后仍能保持原有的美观形态，高精密面料，耐高温洗涤，不变色，不起毛球，垂感好，不易被风吹起；</w:t>
            </w:r>
          </w:p>
          <w:p>
            <w:pPr>
              <w:pStyle w:val="null3"/>
            </w:pPr>
            <w:r>
              <w:rPr/>
              <w:t>2、面料要求：100%聚酯纤维</w:t>
            </w:r>
            <w:r>
              <w:rPr>
                <w:sz w:val="20"/>
                <w:b/>
              </w:rPr>
              <w:t>（投标文件中提供产品说明书相关页或技术白皮书相关页或产品彩页相关页或实物图片或检测报告相关页等证明资料，并加盖投标人单位公章）</w:t>
            </w:r>
            <w:r>
              <w:rPr/>
              <w:t>；</w:t>
            </w:r>
          </w:p>
          <w:p>
            <w:pPr>
              <w:pStyle w:val="null3"/>
            </w:pPr>
            <w:r>
              <w:rPr>
                <w:sz w:val="20"/>
              </w:rPr>
              <w:t>▲</w:t>
            </w:r>
            <w:r>
              <w:rPr/>
              <w:t>3、质量要求（无网孔部位）：≥290g/㎡</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t>4、耐次氯酸盐漂白色牢度：4-5级</w:t>
            </w:r>
            <w:r>
              <w:rPr>
                <w:sz w:val="20"/>
                <w:b/>
              </w:rPr>
              <w:t>（投标文件中提供产品说明书相关页或技术白皮书相关页或产品彩页相关页或实物图片或检测报告相关页等证明资料，并加盖投标人单位公章）</w:t>
            </w:r>
            <w:r>
              <w:rPr/>
              <w:t>；</w:t>
            </w:r>
          </w:p>
          <w:p>
            <w:pPr>
              <w:pStyle w:val="null3"/>
            </w:pPr>
            <w:r>
              <w:rPr>
                <w:sz w:val="20"/>
              </w:rPr>
              <w:t>▲</w:t>
            </w:r>
            <w:r>
              <w:rPr/>
              <w:t>5、燃烧性能：水洗50次后符合 GB 8624-2012 （B1 级）标准（氧指数≥32、损毁长度≤150mm、续燃时间≤5S、阴燃时间≤5S、燃烧滴落物未引起脱脂棉燃烧或阴燃）</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t>6、织物透气性：≥600mm/s</w:t>
            </w:r>
            <w:r>
              <w:rPr>
                <w:sz w:val="20"/>
                <w:b/>
              </w:rPr>
              <w:t>（投标文件中提供产品说明书相关页或技术白皮书相关页或产品彩页相关页或实物图片或检测报告相关页等证明资料，并加盖投标人单位公章）</w:t>
            </w:r>
            <w:r>
              <w:rPr/>
              <w:t>；</w:t>
            </w:r>
          </w:p>
          <w:p>
            <w:pPr>
              <w:pStyle w:val="null3"/>
            </w:pPr>
            <w:r>
              <w:rPr>
                <w:sz w:val="20"/>
              </w:rPr>
              <w:t>▲</w:t>
            </w:r>
            <w:r>
              <w:rPr/>
              <w:t>7、甲醛含量≤20mg/kg，测定按GB/T 2912.1-2009(水萃取法) 执行</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sz w:val="20"/>
              </w:rPr>
              <w:t>▲</w:t>
            </w:r>
            <w:r>
              <w:rPr/>
              <w:t>8、PH值：4.0-8.5，测定按 GB/T 7573执行</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t>9、耐水色牢度：4-5级</w:t>
            </w:r>
            <w:r>
              <w:rPr>
                <w:sz w:val="20"/>
                <w:b/>
              </w:rPr>
              <w:t>（投标文件中提供产品说明书相关页或技术白皮书相关页或产品彩页相关页或实物图片或检测报告相关页等证明资料，并加盖投标人单位公章）</w:t>
            </w:r>
            <w:r>
              <w:rPr/>
              <w:t>；</w:t>
            </w:r>
          </w:p>
          <w:p>
            <w:pPr>
              <w:pStyle w:val="null3"/>
            </w:pPr>
            <w:r>
              <w:rPr/>
              <w:t>10、耐汗渍色牢度（耐酸）：4-5级</w:t>
            </w:r>
            <w:r>
              <w:rPr>
                <w:sz w:val="20"/>
                <w:b/>
              </w:rPr>
              <w:t>（投标文件中提供产品说明书相关页或技术白皮书相关页或产品彩页相关页或实物图片或检测报告相关页等证明资料，并加盖投标人单位公章）</w:t>
            </w:r>
            <w:r>
              <w:rPr/>
              <w:t>；</w:t>
            </w:r>
          </w:p>
          <w:p>
            <w:pPr>
              <w:pStyle w:val="null3"/>
            </w:pPr>
            <w:r>
              <w:rPr/>
              <w:t>11、耐汗渍色牢度（耐碱）：4-5级</w:t>
            </w:r>
            <w:r>
              <w:rPr>
                <w:sz w:val="20"/>
                <w:b/>
              </w:rPr>
              <w:t>（投标文件中提供产品说明书相关页或技术白皮书相关页或产品彩页相关页或实物图片或检测报告相关页等证明资料，并加盖投标人单位公章）</w:t>
            </w:r>
            <w:r>
              <w:rPr/>
              <w:t>；</w:t>
            </w:r>
          </w:p>
          <w:p>
            <w:pPr>
              <w:pStyle w:val="null3"/>
            </w:pPr>
            <w:r>
              <w:rPr/>
              <w:t>12、耐唾液色牢度：4-5级</w:t>
            </w:r>
            <w:r>
              <w:rPr>
                <w:sz w:val="20"/>
                <w:b/>
              </w:rPr>
              <w:t>（投标文件中提供产品说明书相关页或技术白皮书相关页或产品彩页相关页或实物图片或检测报告相关页等证明资料，并加盖投标人单位公章）</w:t>
            </w:r>
            <w:r>
              <w:rPr/>
              <w:t>；</w:t>
            </w:r>
          </w:p>
          <w:p>
            <w:pPr>
              <w:pStyle w:val="null3"/>
            </w:pPr>
            <w:r>
              <w:rPr/>
              <w:t>13、耐摩擦色牢度：直向4-5级，横向4-5级</w:t>
            </w:r>
            <w:r>
              <w:rPr>
                <w:sz w:val="20"/>
                <w:b/>
              </w:rPr>
              <w:t>（投标文件中提供产品说明书相关页或技术白皮书相关页或产品彩页相关页或实物图片或检测报告相关页等证明资料，并加盖投标人单位公章）</w:t>
            </w:r>
            <w:r>
              <w:rPr/>
              <w:t>；</w:t>
            </w:r>
          </w:p>
          <w:p>
            <w:pPr>
              <w:pStyle w:val="null3"/>
            </w:pPr>
            <w:r>
              <w:rPr>
                <w:sz w:val="20"/>
              </w:rPr>
              <w:t>▲</w:t>
            </w:r>
            <w:r>
              <w:rPr/>
              <w:t>14、致癌染料：不得检出，符合GB/T 18885-2020《生态纺织品技术要求》装饰用品标准</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t>15、洗涤干燥后外观平整度（级）：≥4</w:t>
            </w:r>
            <w:r>
              <w:rPr>
                <w:sz w:val="20"/>
                <w:b/>
              </w:rPr>
              <w:t>（投标文件中提供产品说明书相关页或技术白皮书相关页或产品彩页相关页或实物图片或检测报告相关页等证明资料，并加盖投标人单位公章）</w:t>
            </w:r>
            <w:r>
              <w:rPr/>
              <w:t>；</w:t>
            </w:r>
          </w:p>
          <w:p>
            <w:pPr>
              <w:pStyle w:val="null3"/>
            </w:pPr>
            <w:r>
              <w:rPr/>
              <w:t>16、撕破强力：径向≥35N，纬向≥65N</w:t>
            </w:r>
            <w:r>
              <w:rPr>
                <w:sz w:val="20"/>
                <w:b/>
              </w:rPr>
              <w:t>（投标文件中提供产品说明书相关页或技术白皮书相关页或产品彩页相关页或实物图片或检测报告相关页等证明资料，并加盖投标人单位公章）</w:t>
            </w:r>
            <w:r>
              <w:rPr/>
              <w:t>；</w:t>
            </w:r>
          </w:p>
          <w:p>
            <w:pPr>
              <w:pStyle w:val="null3"/>
            </w:pPr>
            <w:r>
              <w:rPr/>
              <w:t>17、消臭性能：硫化氢≥5%，甲硫醇≥3%，氨气≥45%，醋酸≥70%</w:t>
            </w:r>
            <w:r>
              <w:rPr>
                <w:sz w:val="20"/>
                <w:b/>
              </w:rPr>
              <w:t>（投标文件中提供产品说明书相关页或技术白皮书相关页或产品彩页相关页或实物图片或检测报告相关页等证明资料，并加盖投标人单位公章）</w:t>
            </w:r>
            <w:r>
              <w:rPr/>
              <w:t>；</w:t>
            </w:r>
          </w:p>
          <w:p>
            <w:pPr>
              <w:pStyle w:val="null3"/>
            </w:pPr>
            <w:r>
              <w:rPr>
                <w:sz w:val="20"/>
              </w:rPr>
              <w:t>▲</w:t>
            </w:r>
            <w:r>
              <w:rPr/>
              <w:t>1</w:t>
            </w:r>
            <w:r>
              <w:rPr/>
              <w:t>8</w:t>
            </w:r>
            <w:r>
              <w:rPr/>
              <w:t>、抗菌性能：金黄色葡萄珠菌</w:t>
            </w:r>
            <w:r>
              <w:rPr/>
              <w:t>≥99%，大肠杆菌≥99%，白色念珠菌≥98%,肺炎克雷白氏菌≥99%</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sz w:val="20"/>
              </w:rPr>
              <w:t>▲</w:t>
            </w:r>
            <w:r>
              <w:rPr/>
              <w:t>19</w:t>
            </w:r>
            <w:r>
              <w:rPr/>
              <w:t>、防霉性能：</w:t>
            </w:r>
            <w:r>
              <w:rPr/>
              <w:t>0 级，在放大镜下无明显长霉</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t>2</w:t>
            </w:r>
            <w:r>
              <w:rPr/>
              <w:t>0</w:t>
            </w:r>
            <w:r>
              <w:rPr/>
              <w:t>、耐沾污性、易去污性：</w:t>
            </w:r>
            <w:r>
              <w:rPr/>
              <w:t>3-4级</w:t>
            </w:r>
            <w:r>
              <w:rPr>
                <w:sz w:val="20"/>
                <w:b/>
              </w:rPr>
              <w:t>（投标文件中提供产品说明书相关页或技术白皮书相关页或产品彩页相关页或实物图片或检测报告相关页等证明资料，并加盖投标人单位公章）</w:t>
            </w:r>
            <w:r>
              <w:rPr/>
              <w:t>；</w:t>
            </w:r>
          </w:p>
          <w:p>
            <w:pPr>
              <w:pStyle w:val="null3"/>
            </w:pPr>
            <w:r>
              <w:rPr/>
              <w:t>2</w:t>
            </w:r>
            <w:r>
              <w:rPr/>
              <w:t>1</w:t>
            </w:r>
            <w:r>
              <w:rPr/>
              <w:t>、抗病毒活性：抗病毒活性率</w:t>
            </w:r>
            <w:r>
              <w:rPr/>
              <w:t>≥80%</w:t>
            </w:r>
            <w:r>
              <w:rPr>
                <w:sz w:val="20"/>
                <w:b/>
              </w:rPr>
              <w:t>（投标文件中提供产品说明书相关页或技术白皮书相关页或产品彩页相关页或实物图片或检测报告相关页等证明资料，并加盖投标人单位公章）</w:t>
            </w:r>
            <w:r>
              <w:rPr/>
              <w:t>；</w:t>
            </w:r>
          </w:p>
          <w:p>
            <w:pPr>
              <w:pStyle w:val="null3"/>
            </w:pPr>
            <w:r>
              <w:rPr/>
              <w:t>2</w:t>
            </w:r>
            <w:r>
              <w:rPr/>
              <w:t>2</w:t>
            </w:r>
            <w:r>
              <w:rPr/>
              <w:t>、水洗尺寸变化率：</w:t>
            </w:r>
            <w:r>
              <w:rPr/>
              <w:t>-1.0～+1.0%</w:t>
            </w:r>
            <w:r>
              <w:rPr>
                <w:sz w:val="20"/>
                <w:b/>
              </w:rPr>
              <w:t>（投标文件中提供产品说明书相关页或技术白皮书相关页或产品彩页相关页或实物图片或检测报告相关页等证明资料，并加盖投标人单位公章）</w:t>
            </w:r>
            <w:r>
              <w:rPr/>
              <w:t>；</w:t>
            </w:r>
          </w:p>
          <w:p>
            <w:pPr>
              <w:pStyle w:val="null3"/>
            </w:pPr>
            <w:r>
              <w:rPr/>
              <w:t>2</w:t>
            </w:r>
            <w:r>
              <w:rPr/>
              <w:t>3</w:t>
            </w:r>
            <w:r>
              <w:rPr/>
              <w:t>、纬斜率：</w:t>
            </w:r>
            <w:r>
              <w:rPr/>
              <w:t>≤3%</w:t>
            </w:r>
            <w:r>
              <w:rPr>
                <w:sz w:val="20"/>
                <w:b/>
              </w:rPr>
              <w:t>（投标文件中提供产品说明书相关页或技术白皮书相关页或产品彩页相关页或实物图片或检测报告相关页等证明资料，并加盖投标人单位公章）</w:t>
            </w:r>
            <w:r>
              <w:rPr/>
              <w:t>；</w:t>
            </w:r>
          </w:p>
          <w:p>
            <w:pPr>
              <w:pStyle w:val="null3"/>
            </w:pPr>
            <w:r>
              <w:rPr/>
              <w:t>2</w:t>
            </w:r>
            <w:r>
              <w:rPr/>
              <w:t>4</w:t>
            </w:r>
            <w:r>
              <w:rPr/>
              <w:t>、制作要求：采用</w:t>
            </w:r>
            <w:r>
              <w:rPr/>
              <w:t>1:1.8倍韩式固定折工艺，针距均匀，无跳针、浮针、漏针、偏针、脱线、各部位缝纫轨迹线路横平竖直，均匀、整齐、顺直、牢固；</w:t>
            </w:r>
          </w:p>
          <w:p>
            <w:pPr>
              <w:pStyle w:val="null3"/>
            </w:pPr>
            <w:r>
              <w:rPr/>
              <w:t>2</w:t>
            </w:r>
            <w:r>
              <w:rPr/>
              <w:t>5</w:t>
            </w:r>
            <w:r>
              <w:rPr/>
              <w:t>、沾水等级（级）：</w:t>
            </w:r>
            <w:r>
              <w:rPr/>
              <w:t>≥3-4级</w:t>
            </w:r>
            <w:r>
              <w:rPr>
                <w:sz w:val="20"/>
                <w:b/>
              </w:rPr>
              <w:t>（投标文件中提供产品说明书相关页或技术白皮书相关页或产品彩页相关页或实物图片或检测报告相关页等证明资料，并加盖投标人单位公章）</w:t>
            </w:r>
            <w:r>
              <w:rPr/>
              <w:t>；</w:t>
            </w:r>
          </w:p>
          <w:p>
            <w:pPr>
              <w:pStyle w:val="null3"/>
            </w:pPr>
            <w:r>
              <w:rPr/>
              <w:t xml:space="preserve"> </w:t>
            </w:r>
          </w:p>
          <w:p>
            <w:pPr>
              <w:pStyle w:val="null3"/>
            </w:pPr>
            <w:r>
              <w:rPr/>
              <w:t>（三）隔帘轨道</w:t>
            </w:r>
          </w:p>
          <w:p>
            <w:pPr>
              <w:pStyle w:val="null3"/>
            </w:pPr>
            <w:r>
              <w:rPr/>
              <w:t>1、加厚铝合金工字型弯轨，顺滑静音不卡顿；</w:t>
            </w:r>
          </w:p>
          <w:p>
            <w:pPr>
              <w:pStyle w:val="null3"/>
            </w:pPr>
            <w:r>
              <w:rPr/>
              <w:t>2、规格：≥15mm*35mm、壁厚≥1.2mm，带帘拉启时噪音小</w:t>
            </w:r>
            <w:r>
              <w:rPr>
                <w:sz w:val="20"/>
                <w:b/>
              </w:rPr>
              <w:t>（投标文件中提供产品说明书相关页或技术白皮书相关页或产品彩页相关页或实物图片或检测报告相关页等证明资料，并加盖投标人单位公章）</w:t>
            </w:r>
            <w:r>
              <w:rPr/>
              <w:t>；</w:t>
            </w:r>
          </w:p>
          <w:p>
            <w:pPr>
              <w:pStyle w:val="null3"/>
            </w:pPr>
            <w:r>
              <w:rPr/>
              <w:t>3、外观质量：阳极氧化+电泳涂层 颜色和光泽应均匀一致，不允许有皱纹、裂纹、气泡、流痕、麻面、夹杂、发黏和膜漆脱落等缺陷；</w:t>
            </w:r>
          </w:p>
          <w:p>
            <w:pPr>
              <w:pStyle w:val="null3"/>
            </w:pPr>
            <w:r>
              <w:rPr/>
              <w:t>4、化学成分：Si（≥0.20～0.6%）、Fe（≤0.35%）、Cu（≤0.10%）、Mn（≤0.10%）、Mg（0.45～0.9%）、Cr（≤0.10%）、Zn（0.10%）、Ti（≤0.10%）</w:t>
            </w:r>
            <w:r>
              <w:rPr>
                <w:sz w:val="20"/>
                <w:b/>
              </w:rPr>
              <w:t>（投标文件中提供产品说明书相关页或技术白皮书相关页或产品彩页相关页或实物图片或检测报告相关页等证明资料，并加盖投标人单位公章）</w:t>
            </w:r>
            <w:r>
              <w:rPr/>
              <w:t>；</w:t>
            </w:r>
          </w:p>
          <w:p>
            <w:pPr>
              <w:pStyle w:val="null3"/>
            </w:pPr>
            <w:r>
              <w:rPr/>
              <w:t>5、膜层性能：膜厚≥7μm、漆膜干附着性 0 级、漆膜湿附着性 0 级、漆膜硬度≥3H、耐磨性≥3300g</w:t>
            </w:r>
            <w:r>
              <w:rPr>
                <w:sz w:val="20"/>
                <w:b/>
              </w:rPr>
              <w:t>（投标文件中提供产品说明书相关页或技术白皮书相关页或产品彩页相关页或实物图片或检测报告相关页等证明资料，并加盖投标人单位公章）</w:t>
            </w:r>
            <w:r>
              <w:rPr/>
              <w:t>；</w:t>
            </w:r>
          </w:p>
          <w:p>
            <w:pPr>
              <w:pStyle w:val="null3"/>
            </w:pPr>
            <w:r>
              <w:rPr/>
              <w:t>6、锌合金卡扣式封口、高光电泳、表面光滑；</w:t>
            </w:r>
          </w:p>
          <w:p>
            <w:pPr>
              <w:pStyle w:val="null3"/>
            </w:pPr>
            <w:r>
              <w:rPr/>
              <w:t>7、锌合金弹簧扣安装码，表面电泳喷涂颜色与轨道一致。每米轨道不少于2个安装码，每米轨道不少于10粒走珠；</w:t>
            </w:r>
          </w:p>
          <w:p>
            <w:pPr>
              <w:pStyle w:val="null3"/>
            </w:pPr>
            <w:r>
              <w:rPr/>
              <w:t xml:space="preserve"> </w:t>
            </w:r>
          </w:p>
          <w:p>
            <w:pPr>
              <w:pStyle w:val="null3"/>
            </w:pPr>
            <w:r>
              <w:rPr/>
              <w:t>（四）窗帘轨道</w:t>
            </w:r>
          </w:p>
          <w:p>
            <w:pPr>
              <w:pStyle w:val="null3"/>
            </w:pPr>
            <w:r>
              <w:rPr/>
              <w:t>1、材料：铝合金电泳涂漆型材</w:t>
            </w:r>
            <w:r>
              <w:rPr>
                <w:sz w:val="20"/>
                <w:b/>
              </w:rPr>
              <w:t>（投标文件中提供产品说明书相关页或技术白皮书相关页或产品彩页相关页或实物图片或检测报告相关页等证明资料，并加盖投标人单位公章）</w:t>
            </w:r>
            <w:r>
              <w:rPr/>
              <w:t>；</w:t>
            </w:r>
          </w:p>
          <w:p>
            <w:pPr>
              <w:pStyle w:val="null3"/>
            </w:pPr>
            <w:r>
              <w:rPr/>
              <w:t>2、规格：宽≥25mm、高≥25mm</w:t>
            </w:r>
            <w:r>
              <w:rPr>
                <w:sz w:val="20"/>
                <w:b/>
              </w:rPr>
              <w:t>（投标文件中提供产品说明书相关页或技术白皮书相关页或产品彩页相关页或实物图片或检测报告相关页等证明资料，并加盖投标人单位公章）</w:t>
            </w:r>
            <w:r>
              <w:rPr/>
              <w:t>；</w:t>
            </w:r>
          </w:p>
          <w:p>
            <w:pPr>
              <w:pStyle w:val="null3"/>
            </w:pPr>
            <w:r>
              <w:rPr/>
              <w:t>3、尺寸偏差：角度±1.0度、平面间隙≦0.15mm、端头切斜度≦2度、壁厚尺寸≥1.5mm</w:t>
            </w:r>
            <w:r>
              <w:rPr>
                <w:sz w:val="20"/>
                <w:b/>
              </w:rPr>
              <w:t>（投标文件中提供产品说明书相关页或技术白皮书相关页或产品彩页相关页或实物图片或检测报告相关页等证明资料，并加盖投标人单位公章）</w:t>
            </w:r>
            <w:r>
              <w:rPr/>
              <w:t>；</w:t>
            </w:r>
          </w:p>
          <w:p>
            <w:pPr>
              <w:pStyle w:val="null3"/>
            </w:pPr>
            <w:r>
              <w:rPr/>
              <w:t>4、力学性能：维氏硬度≥58HV、韦氏硬度≥8HW、抗拉强度≥160N/m ㎡、规定非比例延伸强度≥110N/m㎡、断后伸长率≥8%</w:t>
            </w:r>
            <w:r>
              <w:rPr>
                <w:sz w:val="20"/>
                <w:b/>
              </w:rPr>
              <w:t>（投标文件中提供产品说明书相关页或技术白皮书相关页或产品彩页相关页或实物图片或检测报告相关页等证明资料，并加盖投标人单位公章）</w:t>
            </w:r>
            <w:r>
              <w:rPr/>
              <w:t>；</w:t>
            </w:r>
          </w:p>
          <w:p>
            <w:pPr>
              <w:pStyle w:val="null3"/>
            </w:pPr>
            <w:r>
              <w:rPr/>
              <w:t>5、化学成分：Mg（0.45～0.9%）、Si（0.20～0.6%）、Fe≤0.35%、Cu≤0.10%、Zn≤0.10%、Mn≤0.10%、Cr≤0.10%、Ti≤0.10%</w:t>
            </w:r>
            <w:r>
              <w:rPr>
                <w:sz w:val="20"/>
                <w:b/>
              </w:rPr>
              <w:t>（投标文件中提供产品说明书相关页或技术白皮书相关页或产品彩页相关页或实物图片或检测报告相关页等证明资料，并加盖投标人单位公章）</w:t>
            </w:r>
            <w:r>
              <w:rPr/>
              <w:t>；</w:t>
            </w:r>
          </w:p>
          <w:p>
            <w:pPr>
              <w:pStyle w:val="null3"/>
            </w:pPr>
            <w:r>
              <w:rPr/>
              <w:t>6、膜层性能：膜厚≥7μm、漆膜干附着性 0 级、漆膜湿附着性 0 级、漆膜硬度≥3H，耐磨性≥3300g</w:t>
            </w:r>
            <w:r>
              <w:rPr>
                <w:sz w:val="20"/>
                <w:b/>
              </w:rPr>
              <w:t>（投标文件中提供产品说明书相关页或技术白皮书相关页或产品彩页相关页或实物图片或检测报告相关页等证明资料，并加盖投标人单位公章）</w:t>
            </w:r>
            <w:r>
              <w:rPr/>
              <w:t>；</w:t>
            </w:r>
          </w:p>
          <w:p>
            <w:pPr>
              <w:pStyle w:val="null3"/>
            </w:pPr>
            <w:r>
              <w:rPr/>
              <w:t>7、漆膜应均匀、整洁、不准许有皱纹、裂纹、气泡、流痕、夹杂物、发粘和漆膜脱落等影响使用的缺陷；</w:t>
            </w:r>
          </w:p>
          <w:p>
            <w:pPr>
              <w:pStyle w:val="null3"/>
            </w:pPr>
            <w:r>
              <w:rPr/>
              <w:t xml:space="preserve"> </w:t>
            </w:r>
          </w:p>
          <w:p>
            <w:pPr>
              <w:pStyle w:val="null3"/>
            </w:pPr>
            <w:r>
              <w:rPr/>
              <w:t>（五）布带（含钩）</w:t>
            </w:r>
          </w:p>
          <w:p>
            <w:pPr>
              <w:pStyle w:val="null3"/>
            </w:pPr>
            <w:r>
              <w:rPr/>
              <w:t>1、优质纯棉有纺布带，高度≥7.5cm</w:t>
            </w:r>
            <w:r>
              <w:rPr>
                <w:sz w:val="20"/>
                <w:b/>
              </w:rPr>
              <w:t>（投标文件中提供产品说明书相关页或技术白皮书相关页或产品彩页相关页或实物图片或检测报告相关页等证明资料，并加盖投标人单位公章）</w:t>
            </w:r>
            <w:r>
              <w:rPr/>
              <w:t>；</w:t>
            </w:r>
          </w:p>
          <w:p>
            <w:pPr>
              <w:pStyle w:val="null3"/>
            </w:pPr>
            <w:r>
              <w:rPr/>
              <w:t>2、甲醛含量≤20mg/kg，测定按GB/T 2912.1-2009(水萃取法) 执行</w:t>
            </w:r>
            <w:r>
              <w:rPr>
                <w:sz w:val="20"/>
                <w:b/>
              </w:rPr>
              <w:t>（投标文件中提供产品说明书相关页或技术白皮书相关页或产品彩页相关页或实物图片或检测报告相关页等证明资料，并加盖投标人单位公章）</w:t>
            </w:r>
            <w:r>
              <w:rPr/>
              <w:t>；</w:t>
            </w:r>
          </w:p>
          <w:p>
            <w:pPr>
              <w:pStyle w:val="null3"/>
            </w:pPr>
            <w:r>
              <w:rPr/>
              <w:t>3、耐水洗色牢度：4-5级</w:t>
            </w:r>
            <w:r>
              <w:rPr>
                <w:sz w:val="20"/>
                <w:b/>
              </w:rPr>
              <w:t>（投标文件中提供产品说明书相关页或技术白皮书相关页或产品彩页相关页或实物图片或检测报告相关页等证明资料，并加盖投标人单位公章）</w:t>
            </w:r>
            <w:r>
              <w:rPr/>
              <w:t>；</w:t>
            </w:r>
          </w:p>
          <w:p>
            <w:pPr>
              <w:pStyle w:val="null3"/>
            </w:pPr>
            <w:r>
              <w:rPr/>
              <w:t>4、纬向密度（纬/10cm）：100±3%</w:t>
            </w:r>
            <w:r>
              <w:rPr>
                <w:sz w:val="20"/>
                <w:b/>
              </w:rPr>
              <w:t>（投标文件中提供产品说明书相关页或技术白皮书相关页或产品彩页相关页或实物图片或检测报告相关页等证明资料，并加盖投标人单位公章）</w:t>
            </w:r>
            <w:r>
              <w:rPr/>
              <w:t>；</w:t>
            </w:r>
          </w:p>
          <w:p>
            <w:pPr>
              <w:pStyle w:val="null3"/>
            </w:pPr>
            <w:r>
              <w:rPr/>
              <w:t>5、耐光色牢度：≥4级</w:t>
            </w:r>
            <w:r>
              <w:rPr>
                <w:sz w:val="20"/>
                <w:b/>
              </w:rPr>
              <w:t>（投标文件中提供产品说明书相关页或技术白皮书相关页或产品彩页相关页或实物图片或检测报告相关页等证明资料，并加盖投标人单位公章）</w:t>
            </w:r>
            <w:r>
              <w:rPr/>
              <w:t>；</w:t>
            </w:r>
          </w:p>
          <w:p>
            <w:pPr>
              <w:pStyle w:val="null3"/>
            </w:pPr>
            <w:r>
              <w:rPr/>
              <w:t>6、布带用帘布包边，即帘布上下双包边，密度高、耐用、可反复清洗；</w:t>
            </w:r>
          </w:p>
          <w:p>
            <w:pPr>
              <w:pStyle w:val="null3"/>
            </w:pPr>
            <w:r>
              <w:rPr>
                <w:sz w:val="20"/>
              </w:rPr>
              <w:t>7、钩：选用优质POM材质可调节挂钩，耐高温、抗氧化；</w:t>
            </w:r>
          </w:p>
          <w:p>
            <w:pPr>
              <w:pStyle w:val="null3"/>
            </w:pPr>
            <w:r>
              <w:rPr>
                <w:sz w:val="21"/>
              </w:rPr>
              <w:t xml:space="preserve"> </w:t>
            </w:r>
          </w:p>
          <w:p>
            <w:pPr>
              <w:pStyle w:val="null3"/>
            </w:pPr>
            <w:r>
              <w:rPr/>
              <w:t xml:space="preserve"> </w:t>
            </w:r>
          </w:p>
        </w:tc>
      </w:tr>
      <w:tr>
        <w:tc>
          <w:tcPr>
            <w:tcW w:type="dxa" w:w="2076"/>
          </w:tcPr>
          <w:p/>
        </w:tc>
        <w:tc>
          <w:tcPr>
            <w:tcW w:type="dxa" w:w="415"/>
          </w:tcPr>
          <w:p>
            <w:pPr>
              <w:pStyle w:val="null3"/>
            </w:pPr>
            <w:r>
              <w:rPr/>
              <w:t>3</w:t>
            </w:r>
          </w:p>
        </w:tc>
        <w:tc>
          <w:tcPr>
            <w:tcW w:type="dxa" w:w="5814"/>
          </w:tcPr>
          <w:p>
            <w:pPr>
              <w:pStyle w:val="null3"/>
            </w:pPr>
            <w:r>
              <w:rPr>
                <w:b/>
              </w:rPr>
              <w:t>三、投标样品</w:t>
            </w:r>
          </w:p>
          <w:p>
            <w:pPr>
              <w:pStyle w:val="null3"/>
            </w:pPr>
            <w:r>
              <w:rPr/>
              <w:t>1、投标人需在开标当天投标截止时间前提交《样品目录》中的实物样品各2块作为评审，要求如下：</w:t>
            </w:r>
          </w:p>
          <w:p>
            <w:pPr>
              <w:pStyle w:val="null3"/>
              <w:jc w:val="center"/>
            </w:pPr>
            <w:r>
              <w:rPr>
                <w:b/>
              </w:rPr>
              <w:t>样品目录</w:t>
            </w:r>
          </w:p>
          <w:tbl>
            <w:tblPr>
              <w:tblBorders>
                <w:top w:val="none" w:color="000000" w:sz="4"/>
                <w:left w:val="none" w:color="000000" w:sz="4"/>
                <w:bottom w:val="none" w:color="000000" w:sz="4"/>
                <w:right w:val="none" w:color="000000" w:sz="4"/>
                <w:insideH w:val="none"/>
                <w:insideV w:val="none"/>
              </w:tblBorders>
            </w:tblPr>
            <w:tblGrid>
              <w:gridCol w:w="1032"/>
              <w:gridCol w:w="1481"/>
              <w:gridCol w:w="1543"/>
              <w:gridCol w:w="1543"/>
            </w:tblGrid>
            <w:tr>
              <w:tc>
                <w:tcPr>
                  <w:tcW w:type="dxa" w:w="10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4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名称</w:t>
                  </w:r>
                </w:p>
              </w:tc>
              <w:tc>
                <w:tcPr>
                  <w:tcW w:type="dxa" w:w="15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w:t>
                  </w:r>
                </w:p>
              </w:tc>
              <w:tc>
                <w:tcPr>
                  <w:tcW w:type="dxa" w:w="15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10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遮光窗帘</w:t>
                  </w:r>
                </w:p>
              </w:tc>
              <w:tc>
                <w:tcPr>
                  <w:tcW w:type="dxa" w:w="1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0.8m*1.2m</w:t>
                  </w:r>
                </w:p>
              </w:tc>
              <w:tc>
                <w:tcPr>
                  <w:tcW w:type="dxa" w:w="1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2块</w:t>
                  </w:r>
                </w:p>
              </w:tc>
            </w:tr>
            <w:tr>
              <w:tc>
                <w:tcPr>
                  <w:tcW w:type="dxa" w:w="10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病床隔帘</w:t>
                  </w:r>
                </w:p>
              </w:tc>
              <w:tc>
                <w:tcPr>
                  <w:tcW w:type="dxa" w:w="1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0.5m*1.0m</w:t>
                  </w:r>
                </w:p>
              </w:tc>
              <w:tc>
                <w:tcPr>
                  <w:tcW w:type="dxa" w:w="1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2块</w:t>
                  </w:r>
                </w:p>
              </w:tc>
            </w:tr>
          </w:tbl>
          <w:p>
            <w:pPr>
              <w:pStyle w:val="null3"/>
            </w:pPr>
            <w:r>
              <w:rPr>
                <w:b/>
              </w:rPr>
              <w:t>递交地点：中山市东区街道博爱六路</w:t>
            </w:r>
            <w:r>
              <w:rPr>
                <w:b/>
              </w:rPr>
              <w:t>22</w:t>
            </w:r>
            <w:r>
              <w:rPr>
                <w:b/>
              </w:rPr>
              <w:t>号中山市政务服务大厅二楼中山市公共资源交易中心开标室（详见开标当天开标室安排）。</w:t>
            </w:r>
          </w:p>
          <w:p>
            <w:pPr>
              <w:pStyle w:val="null3"/>
            </w:pPr>
            <w:r>
              <w:rPr>
                <w:sz w:val="21"/>
              </w:rPr>
              <w:t>2</w:t>
            </w:r>
            <w:r>
              <w:rPr>
                <w:sz w:val="21"/>
              </w:rPr>
              <w:t>、投标样品的提供是投标人对于投标文件中文字内容的补充，将作为评标委员会及采购人对采购项目的质量了解和评审的依据之一。投标人提供的样品品质不得低于采购需求要求品质。未提交或少提交样品或提交的样品不符合采购需求的要求均会影响技术得分。</w:t>
            </w:r>
            <w:r>
              <w:br/>
            </w:r>
            <w:r>
              <w:rPr>
                <w:sz w:val="21"/>
              </w:rPr>
              <w:t xml:space="preserve"> 3</w:t>
            </w:r>
            <w:r>
              <w:rPr>
                <w:sz w:val="21"/>
              </w:rPr>
              <w:t>、样品需密封包装提供。每个样品单独贴有标签，标签内容应包括但不限于</w:t>
            </w:r>
            <w:r>
              <w:rPr>
                <w:sz w:val="21"/>
              </w:rPr>
              <w:t>“</w:t>
            </w:r>
            <w:r>
              <w:rPr>
                <w:sz w:val="21"/>
              </w:rPr>
              <w:t>项目名称、项目编号、投标人名称、产品名称、产地、品牌、规格</w:t>
            </w:r>
            <w:r>
              <w:rPr>
                <w:sz w:val="21"/>
              </w:rPr>
              <w:t>”</w:t>
            </w:r>
            <w:r>
              <w:rPr>
                <w:sz w:val="21"/>
              </w:rPr>
              <w:t>。所有样品需放置在纸箱内并密封，包装封面贴有清单标签，箱外贴明投标人名称和项目名称。</w:t>
            </w:r>
            <w:r>
              <w:br/>
            </w:r>
            <w:r>
              <w:rPr>
                <w:sz w:val="21"/>
              </w:rPr>
              <w:t xml:space="preserve"> 4</w:t>
            </w:r>
            <w:r>
              <w:rPr>
                <w:sz w:val="21"/>
              </w:rPr>
              <w:t>、中标人的样品封存于采购人单位，作为中标后采购人履约验收依据之一。采购人及采购代理机构对投标人所递交样品的保管、包装污损等不负任何责任。未中标的投标人应在中标结果公告发布之日起</w:t>
            </w:r>
            <w:r>
              <w:rPr>
                <w:sz w:val="21"/>
              </w:rPr>
              <w:t>3</w:t>
            </w:r>
            <w:r>
              <w:rPr>
                <w:sz w:val="21"/>
              </w:rPr>
              <w:t>个工作日内自行取回投标样品，逾期未取回的则视为自动放弃样品的所有权，采购代理机构有权自行处置相关样品。</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1.采购代理机构：本项目是指广东志正招标有限公司中山分公司，负责整个采购活动的组织，依法负责编制和发布招标文件，对招标文件拥有最终的解释权，不以任何身份出任评标委员会成员。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中山市中医院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采购包1：单价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采购机构代理服务收费标准：(1)本项目以预算金额按下列规定按差额定率累进法计算标准的75%收取： 1.中标金额（100万元或以下），招标收费费率1.5%； 2.中标金额（100万元（不含）-500万元（含）），招标收费费率1.1%； 3.中标金额（500万元（不含）-1000万元（含）），招标收费费率0.8%；4.中标金额（1000万元（不含）-5000万元（含）），招标收费费率0.5%； (2)代理服务费的货币为人民币； (3)代理服务费支付方式：一次性以银行划帐、电汇、汇票或支票的形式支付； (4)代理服务费支付时间：代理服务费必须在中标人领取《中标通知书》时一次性付清，如果中标人未能按时交纳代理服务费，采购代理机构/采购人保留追究其法律责任的权利； (5)代理服务费不在报价中单列。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一、关于中山市政府采购支持中小微企业质押融资优惠政策，1.根据《中国人民银行中山市中心支行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内开展政府采购质押融资业务的银行机构申请办理融资业务。 截至当前，辖内开展政府采购质押融资业务的银行机构报备的联系方式如下： 银行名称 部门名称 联系人 联系电话 农业发展银行中山市分行 客户部 孙博 13824726333 信贷与风险管理部 徐健兴 13702797626 工商银行中山分行 普惠金融事业部 杨培鹏 15900085352 普惠金融事业部 陈韵诗 18928106880 农业银行中山分行 乡村振兴普惠部/普惠金融事业部 罗红艳 0760-22644680 中国银行中山分行 普惠金融事业部 朱博玮 0760-88116725 风险内控部 庞宇宁 0760-88116076 建设银行中山市分行 公司业务部 吴灵杰 13143108376 交通银行中山分行 普惠部 杨小勇 13424595554 中山农村商业银行 普惠金融部 杜保森 13528137939/0760-88884181 邮储银行中山市分行 普惠金融事业部 梁根元 15876006469 广发银行中山分行 交易银行部 庄焕杰 0760-88862577 平安银行中山分行 公司管理部 刘涛 15902062164 跨境业务部 张蕾 13802664960 政府业务一部 樊林 13631131569 中信银行中山分行 公司银行部（普惠金融部） 陈廷忠 15113386853 民生银行中山分行 小微金融部/普惠金融部 陈毅聪 0760-88799160 光大银行中山分行 公司金融部 邓敏 0760-88858067 招商银行中山分行 风险管理部 钟娟 0760-89981875 公司金融事业部 梁倩 0760-89981269 东莞银行中山分行 业务部 郑康辉 0760-86939959 广州银行中山分行 公司金融部 卢盈伶 0760-88776952 普惠业务部 王淼龙 13528240121 渤海银行中山分行 公司金融部 张砚珺 0760-87911816 公司金融部 蒋华玲 0760-87911803 华润银行中山分行 公司金融部 刘永智 0760-87500626 风险管理部 罗凯欣 0760-87500513 浦发银行中山分行 公司业务部 甘芷珺 13415312386 华兴银行中山分行 公司银行部 梁卫明 0760-88520074 公司银行部 邓松华 0760-88520072 大华银行（中国）有限公司中山分行 科技与营运部 黎骏业 0760-87707696 创兴银行中山支行 公司业务部 温世冠 13435737447 公司业务部 吕瑒 13928153346 2.中小微企业有融资需求的，可通过应收账款融资服务平台（网址：www.crcrfsp.com ）和广东省中小微企业信用信息和融资对接平台（网址：https://finance.gzebsc.cn）向辖内特定或非特定银行机构咨询并提出融资申请。 3.采购人应当及时在应收账款融资服务平台（网址：www.crcrfsp.com ）确认债权债务关系，支持中小微企业融资。 4.中小微企业与银行机构签订政府采购质押融资合同的，由采购人牵头与中小微企业和银行机构三方签署《政府采购合同项下政府采购资金唯一回款账户确认函》，确保合同款支付到中小微企业在融资银行机构开立的回款账号。 5.财政部门根据《政府采购法》等相关法规、规章规定，对参加政府采购活动的供应商的不良行为予以记录，并纳入中山市社会征信和金融服务一体化系统，供银行机构融资授信时审慎性参考。</w:t>
            </w:r>
          </w:p>
          <w:p>
            <w:pPr>
              <w:pStyle w:val="null3"/>
              <w:jc w:val="left"/>
            </w:pPr>
            <w:r>
              <w:rPr/>
              <w:t>二、异常低价投标（响应）审查，政府采购评审中出现下列情形之一的，评审委员会应当启动异常低价投标（响应）审查程序：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5.相关法律法规对供应商报价有规定的，从其规定。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投标（响应）供应商不能提供书面说明、证明材料，或者提供的书面说明、证明材料不能证明其报价合理性的，评审委员会应当将其作为无效投标（响应）处理。</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广东志正招标有限公司中山分公司</w:t>
      </w:r>
      <w:r>
        <w:rPr/>
        <w:t>代收。具体操作要求详见</w:t>
      </w:r>
      <w:r>
        <w:rPr/>
        <w:t>广东志正招标有限公司中山分公司</w:t>
      </w:r>
      <w:r>
        <w:rPr/>
        <w:t>有关指引，递交事宜请自行咨询</w:t>
      </w:r>
      <w:r>
        <w:rPr/>
        <w:t>广东志正招标有限公司中山分公司</w:t>
      </w:r>
      <w:r>
        <w:rPr/>
        <w:t>；请各投标人在投标文件递交截止时间前按须知前附表规定的金额递交至</w:t>
      </w:r>
      <w:r>
        <w:rPr/>
        <w:t>广东志正招标有限公司中山分公司</w:t>
      </w:r>
      <w:r>
        <w:rPr/>
        <w:t>，到账情况以开标时</w:t>
      </w:r>
      <w:r>
        <w:rPr/>
        <w:t>广东志正招标有限公司中山分公司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李小姐</w:t>
      </w:r>
    </w:p>
    <w:p>
      <w:pPr>
        <w:pStyle w:val="null3"/>
        <w:ind w:firstLine="480"/>
      </w:pPr>
      <w:r>
        <w:rPr/>
        <w:t>电话：</w:t>
      </w:r>
      <w:r>
        <w:rPr/>
        <w:t>0760-88808187、88811601</w:t>
      </w:r>
    </w:p>
    <w:p>
      <w:pPr>
        <w:pStyle w:val="null3"/>
        <w:ind w:firstLine="480"/>
      </w:pPr>
      <w:r>
        <w:rPr/>
        <w:t>传真：</w:t>
      </w:r>
      <w:r>
        <w:rPr/>
        <w:t>/</w:t>
      </w:r>
    </w:p>
    <w:p>
      <w:pPr>
        <w:pStyle w:val="null3"/>
        <w:ind w:firstLine="480"/>
      </w:pPr>
      <w:r>
        <w:rPr/>
        <w:t>邮箱：</w:t>
      </w:r>
      <w:r>
        <w:rPr/>
        <w:t>tenderzs@163.com</w:t>
      </w:r>
    </w:p>
    <w:p>
      <w:pPr>
        <w:pStyle w:val="null3"/>
        <w:ind w:firstLine="480"/>
      </w:pPr>
      <w:r>
        <w:rPr/>
        <w:t>地址：</w:t>
      </w:r>
      <w:r>
        <w:rPr/>
        <w:t>中山市东区中山四路亨尾大街3号软件园东园区2楼22室</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采购包1(窗帘、床帘)：综合评分法,是指投标文件满足招标文件全部实质性要求，且按照评审因素的量化指标评审得分最高的投标人为中标候选人的评标方法。（最低报价不是中标的唯一依据。）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广东志正招标有限公司中山分公司</w:t>
      </w:r>
      <w:r>
        <w:rPr/>
        <w:t>统一对外发布。</w:t>
      </w:r>
    </w:p>
    <w:p>
      <w:pPr>
        <w:pStyle w:val="null3"/>
        <w:ind w:firstLine="480"/>
      </w:pPr>
      <w:r>
        <w:rPr/>
        <w:t>（2）对</w:t>
      </w:r>
      <w:r>
        <w:rPr/>
        <w:t>广东志正招标有限公司中山分公司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采购包1（窗帘、床帘）：</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采购包1（窗帘、床帘）：</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 提供相应证明材料）或提供《政府采购供应商资格信用承诺函》（格式详见招标公告附件）。若供应商同时提供资格信用承诺函和证明材料的，资格审查时以证明材料为准。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2024年财务报告或2025年财务报告（或2026年1月至今任意一个月份财务报表）关键页或由基本开户银行出具的资信证明或提供《政府采购供应商资格信用承诺函》（格式详见招标公告附件）） 。若供应商同时提供资格信用承诺函和证明材料的，资格审查时以证明材料为准。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承诺内容包括但不限于：“我方具有履行本项目合同所必需的设备及专业技术能力”）或提供《设备和专业技术能力情况表》（格式自拟，需同时提供设备和专业技术能力（人员）两类信息）。</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参照投标函相关承诺格式内容或提供《政府采购供应商资格信用承诺函》（格式详见招标公告附件）。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无围标、串标行为</w:t>
            </w:r>
          </w:p>
        </w:tc>
        <w:tc>
          <w:tcPr>
            <w:tcW w:type="dxa" w:w="4238"/>
          </w:tcPr>
          <w:p>
            <w:pPr>
              <w:pStyle w:val="null3"/>
            </w:pPr>
            <w:r>
              <w:rPr/>
              <w:t>无围标、串标行为（出具《无围标、串标行为承诺书》（格式详见招标公告附件））</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采购包整体专门面向中小企业：所投货物制造商须为符合《政府采购促进中小企业发展管理办法》（财库〔2020〕46号）规定和《中小企业划型标准规定》（工信部联企业[2011]300号）的中型、小型、微型企业。（本项目采购标的对应行业：工业）注：中小企业以供应商填写的《中小企业声明函（货物）》（见招标文件格式）为判定标准；残疾人福利性单位以供应商填写的《残疾人福利性单位声明函》（见招标文件格式）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采购包1（窗帘、床帘）：</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w:t>
            </w:r>
          </w:p>
        </w:tc>
      </w:tr>
      <w:tr>
        <w:tc>
          <w:tcPr>
            <w:tcW w:type="dxa" w:w="890"/>
          </w:tcPr>
          <w:p>
            <w:pPr>
              <w:pStyle w:val="null3"/>
            </w:pPr>
            <w:r>
              <w:rPr/>
              <w:t>2</w:t>
            </w:r>
          </w:p>
        </w:tc>
        <w:tc>
          <w:tcPr>
            <w:tcW w:type="dxa" w:w="3178"/>
          </w:tcPr>
          <w:p>
            <w:pPr>
              <w:pStyle w:val="null3"/>
            </w:pPr>
            <w:r>
              <w:rPr/>
              <w:t>投标文件按照招标文件规定填写并按要求签署、盖章</w:t>
            </w:r>
          </w:p>
        </w:tc>
        <w:tc>
          <w:tcPr>
            <w:tcW w:type="dxa" w:w="4238"/>
          </w:tcPr>
          <w:p>
            <w:pPr>
              <w:pStyle w:val="null3"/>
            </w:pPr>
            <w:r>
              <w:rPr/>
              <w:t>投标文件按照招标文件规定填写并按要求签署、盖章，包括：①投标函；②法定代表人证明书或法定代表人授权书；③开标一览表；④分项报价表</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投标报价没有超出单价限价</w:t>
            </w:r>
          </w:p>
        </w:tc>
      </w:tr>
      <w:tr>
        <w:tc>
          <w:tcPr>
            <w:tcW w:type="dxa" w:w="890"/>
          </w:tcPr>
          <w:p>
            <w:pPr>
              <w:pStyle w:val="null3"/>
            </w:pPr>
            <w:r>
              <w:rPr/>
              <w:t>4</w:t>
            </w:r>
          </w:p>
        </w:tc>
        <w:tc>
          <w:tcPr>
            <w:tcW w:type="dxa" w:w="3178"/>
          </w:tcPr>
          <w:p>
            <w:pPr>
              <w:pStyle w:val="null3"/>
            </w:pPr>
            <w:r>
              <w:rPr/>
              <w:t>实质性条款响应情况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其他投标无效的情形</w:t>
            </w:r>
          </w:p>
        </w:tc>
        <w:tc>
          <w:tcPr>
            <w:tcW w:type="dxa" w:w="4238"/>
          </w:tcPr>
          <w:p>
            <w:pPr>
              <w:pStyle w:val="null3"/>
            </w:pPr>
            <w:r>
              <w:rPr/>
              <w:t>未出现有关法律、法规、规章或招标文件规定的属于投标无效的情形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采购包1(窗帘、床帘):</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技术部分50.0分</w:t>
            </w:r>
          </w:p>
          <w:p>
            <w:pPr>
              <w:pStyle w:val="null3"/>
            </w:pPr>
            <w:r>
              <w:rPr/>
              <w:t>报价得分40.0分</w:t>
            </w:r>
          </w:p>
        </w:tc>
      </w:tr>
      <w:tr>
        <w:tc>
          <w:tcPr>
            <w:tcW w:type="dxa" w:w="922"/>
            <w:gridSpan w:val="2"/>
            <w:vMerge w:val="restart"/>
          </w:tcPr>
          <w:p>
            <w:pPr>
              <w:pStyle w:val="null3"/>
              <w:jc w:val="center"/>
            </w:pPr>
            <w:r>
              <w:rPr/>
              <w:t>技术部分</w:t>
            </w:r>
          </w:p>
        </w:tc>
        <w:tc>
          <w:tcPr>
            <w:tcW w:type="dxa" w:w="2307"/>
          </w:tcPr>
          <w:p>
            <w:pPr>
              <w:pStyle w:val="null3"/>
              <w:jc w:val="left"/>
            </w:pPr>
            <w:r>
              <w:rPr/>
              <w:t>重要条款响应情况 (18.0分)</w:t>
            </w:r>
          </w:p>
        </w:tc>
        <w:tc>
          <w:tcPr>
            <w:tcW w:type="dxa" w:w="5076"/>
          </w:tcPr>
          <w:p>
            <w:pPr>
              <w:pStyle w:val="null3"/>
              <w:jc w:val="left"/>
            </w:pPr>
            <w:r>
              <w:rPr/>
              <w:t>根据投标文件对“第二章 采购需求”中“技术标准与要求”-“二、技术参数”的重要条款（“▲”号条款）响应程度进行评审（每条条款最小一级序号均以一项计算）：重要条款共15条，评审分数按以下公式进行计算：优于或完全响应的重要条款数量/重要条款总数量*18=重要条款响应情况得分（按四舍五入保留两位）。 注：以“技术和服务要求响应表”及应招标文件要求提供的相关证明材料作为评审依据。</w:t>
            </w:r>
          </w:p>
        </w:tc>
      </w:tr>
      <w:tr>
        <w:tc>
          <w:tcPr>
            <w:tcW w:type="dxa" w:w="922"/>
            <w:gridSpan w:val="2"/>
            <w:vMerge/>
          </w:tcPr>
          <w:p/>
        </w:tc>
        <w:tc>
          <w:tcPr>
            <w:tcW w:type="dxa" w:w="2307"/>
          </w:tcPr>
          <w:p>
            <w:pPr>
              <w:pStyle w:val="null3"/>
              <w:jc w:val="left"/>
            </w:pPr>
            <w:r>
              <w:rPr/>
              <w:t>一般条款响应情况 (8.0分)</w:t>
            </w:r>
          </w:p>
        </w:tc>
        <w:tc>
          <w:tcPr>
            <w:tcW w:type="dxa" w:w="5076"/>
          </w:tcPr>
          <w:p>
            <w:pPr>
              <w:pStyle w:val="null3"/>
              <w:jc w:val="left"/>
            </w:pPr>
            <w:r>
              <w:rPr/>
              <w:t>根据投标文件对“第二章 采购需求”中“技术标准与要求”-“二、技术参数”的一般条款（非“★”、非“▲”号条款）响应程度进行评审（每条条款最小一级序号均以一项计算）：一般条款共55条，评审分数按以下公式进行计算：优于或完全响应的一般条款数量/一般条款总数量*8=一般条款响应情况得分（按四舍五入保留两位）。 注：以“技术和服务要求响应表”及应招标文件要求提供的相关证明材料作为评审依据。</w:t>
            </w:r>
          </w:p>
        </w:tc>
      </w:tr>
      <w:tr>
        <w:tc>
          <w:tcPr>
            <w:tcW w:type="dxa" w:w="922"/>
            <w:gridSpan w:val="2"/>
            <w:vMerge/>
          </w:tcPr>
          <w:p/>
        </w:tc>
        <w:tc>
          <w:tcPr>
            <w:tcW w:type="dxa" w:w="2307"/>
          </w:tcPr>
          <w:p>
            <w:pPr>
              <w:pStyle w:val="null3"/>
              <w:jc w:val="left"/>
            </w:pPr>
            <w:r>
              <w:rPr/>
              <w:t>样品评价（遮光窗帘） (5.0分)</w:t>
            </w:r>
          </w:p>
        </w:tc>
        <w:tc>
          <w:tcPr>
            <w:tcW w:type="dxa" w:w="5076"/>
          </w:tcPr>
          <w:p>
            <w:pPr>
              <w:pStyle w:val="null3"/>
              <w:jc w:val="left"/>
            </w:pPr>
            <w:r>
              <w:rPr/>
              <w:t>根据投标人提供的样品进行评审： （1）所投的窗帘表面平整度非常高；窗帘的垂感效果抗拉伸性及抗破裂能力非常好；布料紧密厚实，手感细腻柔软，纹路清晰、车缝线条工整；褶皱设计非常合理，完全符合采购人需求，得5分； （2） 所投的窗帘表面基本平整；窗帘的垂感效果、抗拉伸性能及抗破裂能力好:布料不够紧密厚实，手感不够细腻柔软，纹路不够清晰、车缝线条不够工整；褶皱设计基本合理，基本符合采购人需求，得3分； （3）所投的窗帘表面基本平整；窗帘的垂感效果、抗拉伸性能及抗破裂能力差；布料不够紧密厚实，手感不够细腻柔软，纹路不清晰、车缝线条不够工整；褶皱设计不合理，不符合采购人需求，得1分； （4）没有提供样品，得0分。</w:t>
            </w:r>
          </w:p>
        </w:tc>
      </w:tr>
      <w:tr>
        <w:tc>
          <w:tcPr>
            <w:tcW w:type="dxa" w:w="922"/>
            <w:gridSpan w:val="2"/>
            <w:vMerge/>
          </w:tcPr>
          <w:p/>
        </w:tc>
        <w:tc>
          <w:tcPr>
            <w:tcW w:type="dxa" w:w="2307"/>
          </w:tcPr>
          <w:p>
            <w:pPr>
              <w:pStyle w:val="null3"/>
              <w:jc w:val="left"/>
            </w:pPr>
            <w:r>
              <w:rPr/>
              <w:t>样品评价（病床隔帘） (5.0分)</w:t>
            </w:r>
          </w:p>
        </w:tc>
        <w:tc>
          <w:tcPr>
            <w:tcW w:type="dxa" w:w="5076"/>
          </w:tcPr>
          <w:p>
            <w:pPr>
              <w:pStyle w:val="null3"/>
              <w:jc w:val="left"/>
            </w:pPr>
            <w:r>
              <w:rPr/>
              <w:t>根据投标人提供的样品进行评审： （1）所投的隔帘表面平整度非常高；隔帘的垂感效果抗拉伸性及抗破裂能力非常好；布料紧密厚实，手感细腻柔软，纹路清晰、车缝线条工整；褶皱设计非常合理，完全符合采购人需求，得5分； （2） 所投的隔帘表面基本平整；隔帘的垂感效果、抗拉伸性能及抗破裂能力好:布料不够紧密厚实，手感不够细腻柔软，纹路不够清晰、车缝线条不够工整；褶皱设计基本合理，基本符合采购人需求，得3分； （3）所投的隔帘表面基本平整；隔帘的垂感效果、抗拉伸性能及抗破裂能力差；布料不够紧密厚实，手感不够细腻柔软，纹路不清晰、车缝线条不够工整；褶皱设计不合理，不符合采购人需求，得1分； （4）没有提供样品，得0分。</w:t>
            </w:r>
          </w:p>
        </w:tc>
      </w:tr>
      <w:tr>
        <w:tc>
          <w:tcPr>
            <w:tcW w:type="dxa" w:w="922"/>
            <w:gridSpan w:val="2"/>
            <w:vMerge/>
          </w:tcPr>
          <w:p/>
        </w:tc>
        <w:tc>
          <w:tcPr>
            <w:tcW w:type="dxa" w:w="2307"/>
          </w:tcPr>
          <w:p>
            <w:pPr>
              <w:pStyle w:val="null3"/>
              <w:jc w:val="left"/>
            </w:pPr>
            <w:r>
              <w:rPr/>
              <w:t>总体实施方案 (8.0分)</w:t>
            </w:r>
          </w:p>
        </w:tc>
        <w:tc>
          <w:tcPr>
            <w:tcW w:type="dxa" w:w="5076"/>
          </w:tcPr>
          <w:p>
            <w:pPr>
              <w:pStyle w:val="null3"/>
              <w:jc w:val="left"/>
            </w:pPr>
            <w:r>
              <w:rPr/>
              <w:t>根据投标人提供的总体实施方案（包括但不限于拆除旧窗帘床帘、更换局部滑轮、供货方案、进度计划、安装调试等）进行评审： （1）方案内容详细，拆除旧窗帘床帘、更换局部滑轮、货物运输、安装、调试方案有明确详细的计划和步骤，有合理可行的进度计划安排，得8分； （2）方案内容较详细，拆除旧窗帘床帘、更换局部滑轮、货物运输、安装、调试方案有较详细的计划和步骤，有较合理可行的进度计划安排，得5分； （3）方案内容基本详细，拆除旧窗帘床帘、更换局部滑轮、货物运输、安装、调试方案有简单的计划和步骤和进度计划安排，得2分； （4）未提供相应方案的，不得分。</w:t>
            </w:r>
          </w:p>
        </w:tc>
      </w:tr>
      <w:tr>
        <w:tc>
          <w:tcPr>
            <w:tcW w:type="dxa" w:w="922"/>
            <w:gridSpan w:val="2"/>
            <w:vMerge/>
          </w:tcPr>
          <w:p/>
        </w:tc>
        <w:tc>
          <w:tcPr>
            <w:tcW w:type="dxa" w:w="2307"/>
          </w:tcPr>
          <w:p>
            <w:pPr>
              <w:pStyle w:val="null3"/>
              <w:jc w:val="left"/>
            </w:pPr>
            <w:r>
              <w:rPr/>
              <w:t>售后服务方案 (6.0分)</w:t>
            </w:r>
          </w:p>
        </w:tc>
        <w:tc>
          <w:tcPr>
            <w:tcW w:type="dxa" w:w="5076"/>
          </w:tcPr>
          <w:p>
            <w:pPr>
              <w:pStyle w:val="null3"/>
              <w:jc w:val="left"/>
            </w:pPr>
            <w:r>
              <w:rPr/>
              <w:t>根据投标人提供的服务响应、售后及应急措施方案（含服务响应时间，保修、维护、服务、技术支持措施计划和承诺，应急方案等）进行评审： （1）方案内容无缺漏，维保服务和响应时间优于采购需求且有详细具体可行的保修、维护、服务、技术支持措施计划和承诺，处理问题能力强；应急措施方案非常周全、详尽、可行的，得6分； （2）方案内容无缺漏，维保服务和响应时间满足采购需求且有比较详细具体可行的保修、维护、服务、技术支持措施计划和承诺，处理问题能力较强，应急措施方案比较周全、详尽、可行的，得4分； （3）方案内容无缺漏，维保服务和响应时间满足采购需求，保修、维护、服务、技术支持措施计划和承诺可行性一般；应急措施方案可行性一般的，得2分； （4）未提供相应方案的，不得分。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商务响应情况 (5.0分)</w:t>
            </w:r>
          </w:p>
        </w:tc>
        <w:tc>
          <w:tcPr>
            <w:tcW w:type="dxa" w:w="5076"/>
          </w:tcPr>
          <w:p>
            <w:pPr>
              <w:pStyle w:val="null3"/>
              <w:jc w:val="left"/>
            </w:pPr>
            <w:r>
              <w:rPr/>
              <w:t>根据投标人对“第二章 采购需求”中“主要商务要求（标的提供的时间、标的提供的地点、其他商务需求）”条款的响应程度进行评审（每条条款最小一级序号均以一项计算）：商务条款（非“★”条款）共11条，评审分数按以下公式进行计算： 优于或完全响应的条款数量/商务条款总数量*5=商务条款响应程度得分（按四舍五入保留两位）。 注：以“商务条件响应表”及应招标文件要求提供的相关证明材料作为评审依据。</w:t>
            </w:r>
          </w:p>
        </w:tc>
      </w:tr>
      <w:tr>
        <w:tc>
          <w:tcPr>
            <w:tcW w:type="dxa" w:w="922"/>
            <w:gridSpan w:val="2"/>
            <w:vMerge/>
          </w:tcPr>
          <w:p/>
        </w:tc>
        <w:tc>
          <w:tcPr>
            <w:tcW w:type="dxa" w:w="2307"/>
          </w:tcPr>
          <w:p>
            <w:pPr>
              <w:pStyle w:val="null3"/>
              <w:jc w:val="left"/>
            </w:pPr>
            <w:r>
              <w:rPr/>
              <w:t>同类项目业绩 (5.0分)</w:t>
            </w:r>
          </w:p>
        </w:tc>
        <w:tc>
          <w:tcPr>
            <w:tcW w:type="dxa" w:w="5076"/>
          </w:tcPr>
          <w:p>
            <w:pPr>
              <w:pStyle w:val="null3"/>
              <w:jc w:val="left"/>
            </w:pPr>
            <w:r>
              <w:rPr/>
              <w:t>根据投标人提供的同类项目业绩情况进行评审： 2023年1月1日以来（以合同签订时间或合同约定生效日期或合同履约期限为准）投标人承接的同类项目业绩（包含窗帘或病床隔帘（床帘）），每提供一个项目业绩得1分，最高得5分。 注：（1）投标文件中提供相应的业绩证明材料复印件或扫描件，业绩证明材料须清晰体现与本项目用户需求采购标的内容同类业绩要求，如评标委员会无法从所提供的材料中判断是否符合要求的，视为不符合； （2）同一个项目提供多份合同的不重复计分；（3）未提供或未按要求提供的，不得分。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(40.0分)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jc w:val="center"/>
      </w:pPr>
      <w:r>
        <w:rPr>
          <w:sz w:val="52"/>
          <w:b/>
        </w:rPr>
        <w:t>中山市中医院</w:t>
      </w:r>
      <w:r>
        <w:rPr>
          <w:sz w:val="52"/>
          <w:b/>
        </w:rPr>
        <w:t>2026年窗帘、床帘采购项目</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84"/>
          <w:b/>
        </w:rPr>
        <w:t>合同书</w:t>
      </w:r>
    </w:p>
    <w:p>
      <w:pPr>
        <w:pStyle w:val="null3"/>
        <w:ind w:firstLine="1506"/>
        <w:jc w:val="center"/>
      </w:pPr>
      <w:r>
        <w:rPr/>
        <w:t xml:space="preserve"> </w:t>
      </w:r>
    </w:p>
    <w:p>
      <w:pPr>
        <w:pStyle w:val="null3"/>
        <w:spacing w:before="135" w:after="135"/>
        <w:jc w:val="both"/>
      </w:pPr>
      <w:r>
        <w:rPr/>
        <w:t xml:space="preserve"> </w:t>
      </w:r>
    </w:p>
    <w:p>
      <w:pPr>
        <w:pStyle w:val="null3"/>
        <w:spacing w:before="135" w:after="135"/>
        <w:jc w:val="center"/>
      </w:pPr>
      <w:r>
        <w:rPr>
          <w:sz w:val="21"/>
          <w:b/>
        </w:rPr>
        <w:t>(</w:t>
      </w:r>
      <w:r>
        <w:rPr>
          <w:sz w:val="21"/>
          <w:b/>
        </w:rPr>
        <w:t>此合同为参考合同，以本招标文件的《用户需求书》的要求为基础，以</w:t>
      </w:r>
      <w:r>
        <w:rPr>
          <w:sz w:val="21"/>
          <w:b/>
        </w:rPr>
        <w:t>采购</w:t>
      </w:r>
      <w:r>
        <w:rPr>
          <w:sz w:val="21"/>
          <w:b/>
        </w:rPr>
        <w:t>人与中标人签订中标合同为准，但不得超出招标文件约定的实质性条款</w:t>
      </w:r>
      <w:r>
        <w:rPr>
          <w:sz w:val="21"/>
          <w:b/>
        </w:rPr>
        <w:t>)</w:t>
      </w:r>
    </w:p>
    <w:p>
      <w:pPr>
        <w:pStyle w:val="null3"/>
        <w:ind w:firstLine="1506"/>
        <w:jc w:val="center"/>
      </w:pPr>
      <w:r>
        <w:rPr/>
        <w:t xml:space="preserve"> </w:t>
      </w:r>
    </w:p>
    <w:p>
      <w:pPr>
        <w:pStyle w:val="null3"/>
        <w:ind w:firstLine="1506"/>
        <w:jc w:val="center"/>
      </w:pPr>
      <w:r>
        <w:rPr/>
        <w:t xml:space="preserve"> </w:t>
      </w:r>
    </w:p>
    <w:p>
      <w:pPr>
        <w:pStyle w:val="null3"/>
        <w:ind w:firstLine="1506"/>
        <w:jc w:val="center"/>
      </w:pPr>
      <w:r>
        <w:rPr>
          <w:sz w:val="28"/>
          <w:b/>
        </w:rPr>
        <w:t>项目名称：</w:t>
      </w:r>
      <w:r>
        <w:rPr>
          <w:sz w:val="28"/>
          <w:b/>
        </w:rPr>
        <w:t>__________________________</w:t>
      </w:r>
    </w:p>
    <w:p>
      <w:pPr>
        <w:pStyle w:val="null3"/>
        <w:spacing w:before="135" w:after="135"/>
        <w:ind w:firstLine="1681"/>
        <w:jc w:val="center"/>
      </w:pPr>
      <w:r>
        <w:rPr>
          <w:sz w:val="28"/>
          <w:b/>
        </w:rPr>
        <w:t>采购计划编号：</w:t>
      </w:r>
      <w:r>
        <w:rPr>
          <w:sz w:val="28"/>
          <w:b/>
        </w:rPr>
        <w:t>__________________________</w:t>
      </w:r>
    </w:p>
    <w:p>
      <w:pPr>
        <w:pStyle w:val="null3"/>
        <w:spacing w:before="135" w:after="135"/>
        <w:ind w:firstLine="1681"/>
        <w:jc w:val="center"/>
      </w:pPr>
      <w:r>
        <w:rPr>
          <w:sz w:val="28"/>
          <w:b/>
        </w:rPr>
        <w:t>采购项目编号：</w:t>
      </w:r>
      <w:r>
        <w:rPr>
          <w:sz w:val="28"/>
          <w:b/>
        </w:rPr>
        <w:t>__________________________</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24"/>
          <w:b/>
        </w:rPr>
        <w:t>中山市中医院</w:t>
      </w:r>
      <w:r>
        <w:rPr>
          <w:sz w:val="24"/>
          <w:b/>
        </w:rPr>
        <w:t>2026年窗帘、床帘采购项目</w:t>
      </w:r>
      <w:r>
        <w:rPr>
          <w:sz w:val="24"/>
          <w:b/>
        </w:rPr>
        <w:t>合同书</w:t>
      </w:r>
    </w:p>
    <w:p>
      <w:pPr>
        <w:pStyle w:val="null3"/>
        <w:jc w:val="center"/>
      </w:pPr>
      <w:r>
        <w:rPr/>
        <w:t xml:space="preserve">                                                      </w:t>
      </w:r>
    </w:p>
    <w:p>
      <w:pPr>
        <w:pStyle w:val="null3"/>
        <w:jc w:val="right"/>
      </w:pPr>
      <w:r>
        <w:rPr>
          <w:sz w:val="24"/>
          <w:b/>
        </w:rPr>
        <w:t>合同编号：</w:t>
      </w:r>
    </w:p>
    <w:p>
      <w:pPr>
        <w:pStyle w:val="null3"/>
        <w:jc w:val="both"/>
      </w:pPr>
      <w:r>
        <w:rPr>
          <w:sz w:val="24"/>
          <w:b/>
        </w:rPr>
        <w:t>甲方：中山市中医院</w:t>
      </w:r>
      <w:r>
        <w:rPr>
          <w:sz w:val="24"/>
          <w:b/>
        </w:rPr>
        <w:t xml:space="preserve">             </w:t>
      </w:r>
    </w:p>
    <w:p>
      <w:pPr>
        <w:pStyle w:val="null3"/>
        <w:jc w:val="both"/>
      </w:pPr>
      <w:r>
        <w:rPr>
          <w:sz w:val="24"/>
          <w:b/>
        </w:rPr>
        <w:t>乙方：</w:t>
      </w:r>
      <w:r>
        <w:rPr/>
        <w:t xml:space="preserve">                                 </w:t>
      </w:r>
    </w:p>
    <w:p>
      <w:pPr>
        <w:pStyle w:val="null3"/>
        <w:jc w:val="both"/>
      </w:pPr>
      <w:r>
        <w:rPr/>
        <w:t xml:space="preserve">  </w:t>
      </w:r>
    </w:p>
    <w:p>
      <w:pPr>
        <w:pStyle w:val="null3"/>
        <w:jc w:val="both"/>
      </w:pPr>
      <w:r>
        <w:rPr/>
        <w:t xml:space="preserve">  </w:t>
      </w:r>
      <w:r>
        <w:rPr>
          <w:sz w:val="24"/>
        </w:rPr>
        <w:t>按照《中华人民共和国政府采购法》、《中华人民共和国民法典》及</w:t>
      </w:r>
      <w:r>
        <w:rPr>
          <w:u w:val="single"/>
        </w:rPr>
        <w:t xml:space="preserve">          </w:t>
      </w:r>
      <w:r>
        <w:rPr>
          <w:sz w:val="24"/>
        </w:rPr>
        <w:t>项目招标结果和招投标文件（招标项目编号：</w:t>
      </w:r>
      <w:r>
        <w:rPr>
          <w:u w:val="single"/>
        </w:rPr>
        <w:t xml:space="preserve">     </w:t>
      </w:r>
      <w:r>
        <w:rPr>
          <w:sz w:val="24"/>
        </w:rPr>
        <w:t>）的要求，经双方协商一致，签订本合同。</w:t>
      </w:r>
    </w:p>
    <w:p>
      <w:pPr>
        <w:pStyle w:val="null3"/>
        <w:jc w:val="both"/>
      </w:pPr>
      <w:r>
        <w:rPr>
          <w:sz w:val="24"/>
          <w:b/>
        </w:rPr>
        <w:t>1.合同标的</w:t>
      </w:r>
    </w:p>
    <w:p>
      <w:pPr>
        <w:pStyle w:val="null3"/>
        <w:ind w:firstLine="240"/>
        <w:jc w:val="both"/>
      </w:pPr>
      <w:r>
        <w:rPr>
          <w:sz w:val="24"/>
        </w:rPr>
        <w:t>1.1乙方应当根据双方招投标的结果，并按照甲方需求提供下列货物。</w:t>
      </w:r>
    </w:p>
    <w:tbl>
      <w:tblPr>
        <w:tblW w:w="0" w:type="auto"/>
        <w:tblBorders>
          <w:top w:val="none" w:color="000000" w:sz="4"/>
          <w:left w:val="none" w:color="000000" w:sz="4"/>
          <w:bottom w:val="none" w:color="000000" w:sz="4"/>
          <w:right w:val="none" w:color="000000" w:sz="4"/>
          <w:insideH w:val="none"/>
          <w:insideV w:val="none"/>
        </w:tblBorders>
      </w:tblPr>
      <w:tblGrid>
        <w:gridCol w:w="1350"/>
        <w:gridCol w:w="1185"/>
        <w:gridCol w:w="1395"/>
        <w:gridCol w:w="930"/>
        <w:gridCol w:w="660"/>
        <w:gridCol w:w="1335"/>
        <w:gridCol w:w="1395"/>
      </w:tblGrid>
      <w:tr>
        <w:tc>
          <w:tcPr>
            <w:tcW w:type="dxa" w:w="1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设备名称</w:t>
            </w:r>
          </w:p>
        </w:tc>
        <w:tc>
          <w:tcPr>
            <w:tcW w:type="dxa" w:w="11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规格型号</w:t>
            </w:r>
          </w:p>
        </w:tc>
        <w:tc>
          <w:tcPr>
            <w:tcW w:type="dxa" w:w="13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产地厂家</w:t>
            </w:r>
          </w:p>
        </w:tc>
        <w:tc>
          <w:tcPr>
            <w:tcW w:type="dxa" w:w="9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单位</w:t>
            </w:r>
          </w:p>
        </w:tc>
        <w:tc>
          <w:tcPr>
            <w:tcW w:type="dxa" w:w="6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c>
          <w:tcPr>
            <w:tcW w:type="dxa" w:w="13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单价（元）</w:t>
            </w:r>
          </w:p>
        </w:tc>
        <w:tc>
          <w:tcPr>
            <w:tcW w:type="dxa" w:w="13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总价（元）</w:t>
            </w:r>
          </w:p>
        </w:tc>
      </w:tr>
      <w:tr>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1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250"/>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合计金额：</w:t>
            </w:r>
            <w:r>
              <w:rPr>
                <w:sz w:val="24"/>
              </w:rPr>
              <w:t>¥</w:t>
            </w:r>
            <w:r>
              <w:rPr>
                <w:sz w:val="19"/>
                <w:u w:val="single"/>
              </w:rPr>
              <w:t xml:space="preserve">   </w:t>
            </w:r>
            <w:r>
              <w:rPr>
                <w:sz w:val="24"/>
              </w:rPr>
              <w:t>元（人民币</w:t>
            </w:r>
            <w:r>
              <w:rPr>
                <w:sz w:val="19"/>
                <w:u w:val="single"/>
              </w:rPr>
              <w:t xml:space="preserve">   </w:t>
            </w:r>
            <w:r>
              <w:rPr>
                <w:sz w:val="24"/>
              </w:rPr>
              <w:t>元整）</w:t>
            </w:r>
          </w:p>
        </w:tc>
      </w:tr>
    </w:tbl>
    <w:p>
      <w:pPr>
        <w:pStyle w:val="null3"/>
        <w:ind w:firstLine="240"/>
        <w:jc w:val="both"/>
      </w:pPr>
      <w:r>
        <w:rPr>
          <w:sz w:val="24"/>
        </w:rPr>
        <w:t>注：本合同以人民币进行结算。</w:t>
      </w:r>
    </w:p>
    <w:p>
      <w:pPr>
        <w:pStyle w:val="null3"/>
        <w:ind w:firstLine="240"/>
        <w:jc w:val="both"/>
      </w:pPr>
      <w:r>
        <w:rPr>
          <w:sz w:val="24"/>
        </w:rPr>
        <w:t>1.2上表规定的详细配置内容详见招标结果和招投标文件及配置清单。</w:t>
      </w:r>
    </w:p>
    <w:p>
      <w:pPr>
        <w:pStyle w:val="null3"/>
        <w:ind w:firstLine="240"/>
        <w:jc w:val="both"/>
      </w:pPr>
      <w:r>
        <w:rPr>
          <w:sz w:val="24"/>
        </w:rPr>
        <w:t>1.3本合同金额系固定不变价格，已包含了购买设备的价格及安装、调试、保修、售后服务（备品备件）及将设备运至指定地点所发生的运费、装卸费等设备伴随服务的费用和所需缴纳的一切相关税费。</w:t>
      </w:r>
    </w:p>
    <w:p>
      <w:pPr>
        <w:pStyle w:val="null3"/>
        <w:jc w:val="both"/>
      </w:pPr>
      <w:r>
        <w:rPr>
          <w:sz w:val="24"/>
          <w:b/>
        </w:rPr>
        <w:t>2.质量和技术要求</w:t>
      </w:r>
    </w:p>
    <w:p>
      <w:pPr>
        <w:pStyle w:val="null3"/>
        <w:ind w:firstLine="240"/>
        <w:jc w:val="both"/>
      </w:pPr>
      <w:r>
        <w:rPr>
          <w:sz w:val="24"/>
        </w:rPr>
        <w:t>2.1乙方保证所提供的设备的技术规格符合招投标采购结果规定的技术规格，设备符合中华人民共和国的设计和制造生产标准或者行业标准，国内产品或合资厂的产品必须具备出厂合格证。进口产品必须具备省级（或相当于省级）商检部门的检验证明，及正常报关证明。并提供设备的出厂试测验报告。</w:t>
      </w:r>
    </w:p>
    <w:p>
      <w:pPr>
        <w:pStyle w:val="null3"/>
        <w:ind w:firstLine="240"/>
        <w:jc w:val="both"/>
      </w:pPr>
      <w:r>
        <w:rPr>
          <w:sz w:val="24"/>
        </w:rPr>
        <w:t>2.2乙方提供的设备必须是全新、未拆封且未使用过的原装合格正品（包括零部件），且进货渠道合法。如设备需安装或配置软件，乙方保证相关软件均为正版软件。</w:t>
      </w:r>
    </w:p>
    <w:p>
      <w:pPr>
        <w:pStyle w:val="null3"/>
        <w:ind w:firstLine="240"/>
        <w:jc w:val="both"/>
      </w:pPr>
      <w:r>
        <w:rPr>
          <w:sz w:val="24"/>
        </w:rPr>
        <w:t>2.3乙方提供的设备如有质量问题而发生争议，由甲方指定具备相应资质的权威机构进行质量鉴定。鉴定后设备符合质量标准的，鉴定费用由甲方承担。设备不符合质量标准的，鉴定费用由乙方承担。</w:t>
      </w:r>
    </w:p>
    <w:p>
      <w:pPr>
        <w:pStyle w:val="null3"/>
        <w:ind w:firstLine="240"/>
        <w:jc w:val="both"/>
      </w:pPr>
      <w:r>
        <w:rPr>
          <w:sz w:val="24"/>
        </w:rPr>
        <w:t>2.4设备不符合质量标准的，乙方必须按时负责调换至合格为止，不能按时调换至合格者，甲方可按《民法典》及本合同的相关规定要求乙方承担迟延交货的责任。</w:t>
      </w:r>
    </w:p>
    <w:p>
      <w:pPr>
        <w:pStyle w:val="null3"/>
        <w:jc w:val="both"/>
      </w:pPr>
      <w:r>
        <w:rPr>
          <w:sz w:val="24"/>
          <w:b/>
        </w:rPr>
        <w:t>3.交货期限：</w:t>
      </w:r>
      <w:r>
        <w:rPr>
          <w:sz w:val="24"/>
        </w:rPr>
        <w:t>合同签订后</w:t>
      </w:r>
      <w:r>
        <w:rPr>
          <w:u w:val="single"/>
        </w:rPr>
        <w:t xml:space="preserve">     </w:t>
      </w:r>
      <w:r>
        <w:rPr>
          <w:sz w:val="24"/>
        </w:rPr>
        <w:t>天内乙方完成交货。</w:t>
      </w:r>
    </w:p>
    <w:p>
      <w:pPr>
        <w:pStyle w:val="null3"/>
        <w:jc w:val="both"/>
      </w:pPr>
      <w:r>
        <w:rPr>
          <w:sz w:val="24"/>
          <w:b/>
        </w:rPr>
        <w:t>4.履行地点和方式</w:t>
      </w:r>
    </w:p>
    <w:p>
      <w:pPr>
        <w:pStyle w:val="null3"/>
        <w:ind w:firstLine="240"/>
        <w:jc w:val="both"/>
      </w:pPr>
      <w:r>
        <w:rPr>
          <w:sz w:val="24"/>
        </w:rPr>
        <w:t>4.1履行地点：中山市中医院使用科室。</w:t>
      </w:r>
    </w:p>
    <w:p>
      <w:pPr>
        <w:pStyle w:val="null3"/>
        <w:ind w:firstLine="240"/>
        <w:jc w:val="both"/>
      </w:pPr>
      <w:r>
        <w:rPr>
          <w:sz w:val="24"/>
        </w:rPr>
        <w:t>4.2乙方必须按甲方指定的交货地点，按时免费送货上门。</w:t>
      </w:r>
    </w:p>
    <w:p>
      <w:pPr>
        <w:pStyle w:val="null3"/>
        <w:jc w:val="both"/>
      </w:pPr>
      <w:r>
        <w:rPr>
          <w:sz w:val="24"/>
          <w:b/>
        </w:rPr>
        <w:t>5.运输方式、包装及费用</w:t>
      </w:r>
    </w:p>
    <w:p>
      <w:pPr>
        <w:pStyle w:val="null3"/>
        <w:ind w:firstLine="240"/>
        <w:jc w:val="both"/>
      </w:pPr>
      <w:r>
        <w:rPr>
          <w:sz w:val="24"/>
        </w:rPr>
        <w:t>5.1乙方应当保证其出售的全部设备都按照标准进行包装，以适应于远距离运输、防潮、防震、防锈等要求，确保货物安全无损地运抵交货地点，且所有费用由乙方负责。</w:t>
      </w:r>
    </w:p>
    <w:p>
      <w:pPr>
        <w:pStyle w:val="null3"/>
        <w:ind w:firstLine="240"/>
        <w:jc w:val="both"/>
      </w:pPr>
      <w:r>
        <w:rPr>
          <w:sz w:val="24"/>
        </w:rPr>
        <w:t>5.2凡由于包装不良造成的损失和由此产生的费用均由乙方承担。</w:t>
      </w:r>
    </w:p>
    <w:p>
      <w:pPr>
        <w:pStyle w:val="null3"/>
        <w:jc w:val="both"/>
      </w:pPr>
      <w:r>
        <w:rPr>
          <w:sz w:val="24"/>
          <w:b/>
        </w:rPr>
        <w:t>6.设备安装及验收标准、方法</w:t>
      </w:r>
    </w:p>
    <w:p>
      <w:pPr>
        <w:pStyle w:val="null3"/>
        <w:ind w:firstLine="240"/>
        <w:jc w:val="both"/>
      </w:pPr>
      <w:r>
        <w:rPr>
          <w:sz w:val="24"/>
        </w:rPr>
        <w:t>6.1乙方负责合同项下的设备安装调试，一切费用由乙方负责。</w:t>
      </w:r>
    </w:p>
    <w:p>
      <w:pPr>
        <w:pStyle w:val="null3"/>
        <w:ind w:firstLine="240"/>
        <w:jc w:val="both"/>
      </w:pPr>
      <w:r>
        <w:rPr>
          <w:sz w:val="24"/>
        </w:rPr>
        <w:t>6.2乙方安装时须对各安装场地内的其它设备、设施有良好保护措施。</w:t>
      </w:r>
    </w:p>
    <w:p>
      <w:pPr>
        <w:pStyle w:val="null3"/>
        <w:ind w:firstLine="240"/>
        <w:jc w:val="both"/>
      </w:pPr>
      <w:r>
        <w:rPr>
          <w:sz w:val="24"/>
        </w:rPr>
        <w:t>6.3乙方将所供设备运送至交货地点，甲乙双方共同拆箱，乙方合同设备安装调试完成并移交所有资料文档后进行验收，由甲方负责验收，乙方应向甲方提供全套的材料/设备配置清单及检验产品合格证、使用说明书及其它技术资料。设备验收合格后，甲乙双方共同签署《医疗设备验收登记表》。</w:t>
      </w:r>
    </w:p>
    <w:p>
      <w:pPr>
        <w:pStyle w:val="null3"/>
        <w:ind w:firstLine="240"/>
        <w:jc w:val="both"/>
      </w:pPr>
      <w:r>
        <w:rPr>
          <w:sz w:val="24"/>
        </w:rPr>
        <w:t>6.4验收按国家有关的标准规定、规范进行。验收时如发现所交付的设备有短装、次品、损坏或其它不符合本合同规定之情形者，甲方应做出详尽的现场记录，或由甲乙双方签署备忘录。此现场记录或备忘录可用作补充、缺失和更换损坏部件的有效证据。由此产生的有关费用由乙方承担，验收期限相应后延。</w:t>
      </w:r>
    </w:p>
    <w:p>
      <w:pPr>
        <w:pStyle w:val="null3"/>
        <w:ind w:firstLine="240"/>
        <w:jc w:val="both"/>
      </w:pPr>
      <w:r>
        <w:rPr>
          <w:sz w:val="24"/>
        </w:rPr>
        <w:t>6.5如在验收中发现设备达不到验收标准或合同及合同相关技术文件规定，乙方应及时安排更换，以保证合同设备安装调试的成功完成,使设备最终达到合同或合同相关技术文件中规定的性能和要求。更换的相关费用由乙方承担并承担由此造成的一切损失。</w:t>
      </w:r>
    </w:p>
    <w:p>
      <w:pPr>
        <w:pStyle w:val="null3"/>
        <w:ind w:firstLine="240"/>
        <w:jc w:val="both"/>
      </w:pPr>
      <w:r>
        <w:rPr>
          <w:sz w:val="24"/>
        </w:rPr>
        <w:t>6.6合同设备从验收合格次日起一个月内，出现非甲方人为因素造成的无法排除的故障，由乙方予以整机调换。</w:t>
      </w:r>
    </w:p>
    <w:p>
      <w:pPr>
        <w:pStyle w:val="null3"/>
        <w:ind w:firstLine="240"/>
        <w:jc w:val="both"/>
      </w:pPr>
      <w:r>
        <w:rPr>
          <w:sz w:val="24"/>
        </w:rPr>
        <w:t>6.7如乙方没有及时提供相关证件（如商检证等），有可能影响验收进程，所导致的经济损失，由乙方自行承担。</w:t>
      </w:r>
    </w:p>
    <w:p>
      <w:pPr>
        <w:pStyle w:val="null3"/>
        <w:jc w:val="both"/>
      </w:pPr>
      <w:r>
        <w:rPr>
          <w:sz w:val="24"/>
          <w:b/>
        </w:rPr>
        <w:t>7.培训</w:t>
      </w:r>
    </w:p>
    <w:p>
      <w:pPr>
        <w:pStyle w:val="null3"/>
        <w:ind w:firstLine="240"/>
        <w:jc w:val="both"/>
      </w:pPr>
      <w:r>
        <w:rPr>
          <w:sz w:val="24"/>
        </w:rPr>
        <w:t>7.1乙方为甲方提供操作及维护培训，主要内容为设备的基本结构、性能、主要部件的构造及原理，日常使用操作、保养与管理，常见故障的排除，紧急情况的处理等，培训地点主要在设备安装现场或按甲乙双方协商安排，直至甲方技术人员熟练操作为止。</w:t>
      </w:r>
    </w:p>
    <w:p>
      <w:pPr>
        <w:pStyle w:val="null3"/>
        <w:ind w:firstLine="240"/>
        <w:jc w:val="both"/>
      </w:pPr>
      <w:r>
        <w:rPr>
          <w:sz w:val="24"/>
        </w:rPr>
        <w:t>7.2乙方应提供相应的培训计划。</w:t>
      </w:r>
    </w:p>
    <w:p>
      <w:pPr>
        <w:pStyle w:val="null3"/>
        <w:ind w:firstLine="240"/>
        <w:jc w:val="both"/>
      </w:pPr>
      <w:r>
        <w:rPr>
          <w:sz w:val="24"/>
        </w:rPr>
        <w:t>7.3乙方承担所有培训费用。</w:t>
      </w:r>
    </w:p>
    <w:p>
      <w:pPr>
        <w:pStyle w:val="null3"/>
        <w:jc w:val="both"/>
      </w:pPr>
      <w:r>
        <w:rPr>
          <w:sz w:val="24"/>
          <w:b/>
        </w:rPr>
        <w:t>8.结算方式</w:t>
      </w:r>
    </w:p>
    <w:p>
      <w:pPr>
        <w:pStyle w:val="null3"/>
        <w:ind w:firstLine="240"/>
        <w:jc w:val="both"/>
      </w:pPr>
      <w:r>
        <w:rPr>
          <w:sz w:val="24"/>
        </w:rPr>
        <w:t>8.1结算方式：本合同的每笔款项以人民币电汇方式支付，合同设备到甲方指定地点交付并完成安装，验收合格后，乙方提交以下资料给甲方：（1）合同；（2）验收合格报告；（3）合同设备全额合规发票。甲方60天内支付给乙方合同总价：¥</w:t>
      </w:r>
      <w:r>
        <w:rPr>
          <w:u w:val="single"/>
        </w:rPr>
        <w:t xml:space="preserve">       </w:t>
      </w:r>
      <w:r>
        <w:rPr>
          <w:sz w:val="24"/>
        </w:rPr>
        <w:t>元（人民币</w:t>
      </w:r>
      <w:r>
        <w:rPr>
          <w:u w:val="single"/>
        </w:rPr>
        <w:t xml:space="preserve">    </w:t>
      </w:r>
      <w:r>
        <w:rPr>
          <w:sz w:val="24"/>
        </w:rPr>
        <w:t>元整）。</w:t>
      </w:r>
    </w:p>
    <w:p>
      <w:pPr>
        <w:pStyle w:val="null3"/>
        <w:ind w:firstLine="240"/>
        <w:jc w:val="both"/>
      </w:pPr>
      <w:r>
        <w:rPr>
          <w:sz w:val="24"/>
        </w:rPr>
        <w:t>8.2甲方银行账户信息</w:t>
      </w:r>
    </w:p>
    <w:p>
      <w:pPr>
        <w:pStyle w:val="null3"/>
        <w:ind w:firstLine="480"/>
        <w:jc w:val="both"/>
      </w:pPr>
      <w:r>
        <w:rPr>
          <w:sz w:val="24"/>
        </w:rPr>
        <w:t>单位名称：中山市中医院，</w:t>
      </w:r>
    </w:p>
    <w:p>
      <w:pPr>
        <w:pStyle w:val="null3"/>
        <w:ind w:firstLine="480"/>
        <w:jc w:val="both"/>
      </w:pPr>
      <w:r>
        <w:rPr>
          <w:sz w:val="24"/>
        </w:rPr>
        <w:t>纳税人识别号：</w:t>
      </w:r>
      <w:r>
        <w:rPr>
          <w:sz w:val="24"/>
        </w:rPr>
        <w:t>124420004572653322</w:t>
      </w:r>
    </w:p>
    <w:p>
      <w:pPr>
        <w:pStyle w:val="null3"/>
        <w:ind w:firstLine="480"/>
        <w:jc w:val="both"/>
      </w:pPr>
      <w:r>
        <w:rPr>
          <w:sz w:val="24"/>
        </w:rPr>
        <w:t>地址、电话：中山市西区康欣路</w:t>
      </w:r>
      <w:r>
        <w:rPr>
          <w:sz w:val="24"/>
        </w:rPr>
        <w:t>3号，0760-89980297</w:t>
      </w:r>
    </w:p>
    <w:p>
      <w:pPr>
        <w:pStyle w:val="null3"/>
        <w:ind w:firstLine="480"/>
        <w:jc w:val="both"/>
      </w:pPr>
      <w:r>
        <w:rPr>
          <w:sz w:val="24"/>
        </w:rPr>
        <w:t>开户行及账号：广发银行中山分行营业部，</w:t>
      </w:r>
      <w:r>
        <w:rPr>
          <w:sz w:val="24"/>
        </w:rPr>
        <w:t>138021516010003053</w:t>
      </w:r>
    </w:p>
    <w:p>
      <w:pPr>
        <w:pStyle w:val="null3"/>
        <w:ind w:firstLine="240"/>
        <w:jc w:val="both"/>
      </w:pPr>
      <w:r>
        <w:rPr>
          <w:sz w:val="24"/>
        </w:rPr>
        <w:t>8.3乙方银行账户信息</w:t>
      </w:r>
    </w:p>
    <w:p>
      <w:pPr>
        <w:pStyle w:val="null3"/>
        <w:ind w:firstLine="240"/>
        <w:jc w:val="both"/>
      </w:pPr>
      <w:r>
        <w:rPr>
          <w:sz w:val="24"/>
        </w:rPr>
        <w:t>账户名称：</w:t>
      </w:r>
    </w:p>
    <w:p>
      <w:pPr>
        <w:pStyle w:val="null3"/>
        <w:ind w:firstLine="240"/>
        <w:jc w:val="both"/>
      </w:pPr>
      <w:r>
        <w:rPr>
          <w:sz w:val="24"/>
        </w:rPr>
        <w:t>开户银行：</w:t>
      </w:r>
    </w:p>
    <w:p>
      <w:pPr>
        <w:pStyle w:val="null3"/>
        <w:ind w:firstLine="240"/>
        <w:jc w:val="both"/>
      </w:pPr>
      <w:r>
        <w:rPr>
          <w:sz w:val="24"/>
        </w:rPr>
        <w:t>开户账号：</w:t>
      </w:r>
    </w:p>
    <w:p>
      <w:pPr>
        <w:pStyle w:val="null3"/>
        <w:jc w:val="both"/>
      </w:pPr>
      <w:r>
        <w:rPr>
          <w:sz w:val="24"/>
          <w:b/>
        </w:rPr>
        <w:t>9.保修条款</w:t>
      </w:r>
    </w:p>
    <w:p>
      <w:pPr>
        <w:pStyle w:val="null3"/>
        <w:ind w:firstLine="240"/>
        <w:jc w:val="both"/>
      </w:pPr>
      <w:r>
        <w:rPr>
          <w:sz w:val="24"/>
        </w:rPr>
        <w:t>9.1乙方保证合同设备是全新、未曾使用过的，其质量、规格及技术特征符合合同规定的要求。</w:t>
      </w:r>
    </w:p>
    <w:p>
      <w:pPr>
        <w:pStyle w:val="null3"/>
        <w:ind w:firstLine="240"/>
        <w:jc w:val="both"/>
      </w:pPr>
      <w:r>
        <w:rPr>
          <w:sz w:val="24"/>
        </w:rPr>
        <w:t>9.2合同设备保修期为</w:t>
      </w:r>
      <w:r>
        <w:rPr>
          <w:u w:val="single"/>
        </w:rPr>
        <w:t xml:space="preserve">       </w:t>
      </w:r>
      <w:r>
        <w:rPr>
          <w:sz w:val="24"/>
        </w:rPr>
        <w:t>年，设备的保修定义为设备的整机全保，保修期起始时间自甲方验收合格之日起计算。保修期出现产品质量及安装问题，由乙方负责包修、包换或包退，并承担因此而产生的一切费用。保修期内每年至少巡检两次，最后一次安排在出保前两个月内完成。</w:t>
      </w:r>
    </w:p>
    <w:p>
      <w:pPr>
        <w:pStyle w:val="null3"/>
        <w:ind w:firstLine="240"/>
        <w:jc w:val="both"/>
      </w:pPr>
      <w:r>
        <w:rPr>
          <w:sz w:val="24"/>
        </w:rPr>
        <w:t>9.3所有保修服务方式均为乙方上门保修，即由乙方派员到甲方设备使用现场维修，由此产生的一切费用均由乙方承担。乙方接到通知后，</w:t>
      </w:r>
      <w:r>
        <w:rPr>
          <w:u w:val="single"/>
        </w:rPr>
        <w:t xml:space="preserve">  </w:t>
      </w:r>
      <w:r>
        <w:rPr>
          <w:sz w:val="24"/>
        </w:rPr>
        <w:t>小时内响应，</w:t>
      </w:r>
      <w:r>
        <w:rPr>
          <w:u w:val="single"/>
        </w:rPr>
        <w:t xml:space="preserve">  </w:t>
      </w:r>
      <w:r>
        <w:rPr>
          <w:sz w:val="24"/>
        </w:rPr>
        <w:t>小时内提供解决方案及远程指导，</w:t>
      </w:r>
      <w:r>
        <w:rPr>
          <w:u w:val="single"/>
        </w:rPr>
        <w:t xml:space="preserve">  </w:t>
      </w:r>
      <w:r>
        <w:rPr>
          <w:sz w:val="24"/>
        </w:rPr>
        <w:t>小时内到达现场服务。</w:t>
      </w:r>
    </w:p>
    <w:p>
      <w:pPr>
        <w:pStyle w:val="null3"/>
        <w:ind w:firstLine="240"/>
        <w:jc w:val="both"/>
      </w:pPr>
      <w:r>
        <w:rPr>
          <w:sz w:val="24"/>
        </w:rPr>
        <w:t>9.4乙方提供的保养维修服务标准或者质量不得低于国家有关法律法规规章、“三包”规定、招投标文件的要求以及乙方在应答文件的相关承诺。</w:t>
      </w:r>
    </w:p>
    <w:p>
      <w:pPr>
        <w:pStyle w:val="null3"/>
        <w:jc w:val="both"/>
      </w:pPr>
      <w:r>
        <w:rPr>
          <w:sz w:val="24"/>
          <w:b/>
        </w:rPr>
        <w:t>10.乙方保证</w:t>
      </w:r>
    </w:p>
    <w:p>
      <w:pPr>
        <w:pStyle w:val="null3"/>
        <w:ind w:firstLine="240"/>
        <w:jc w:val="both"/>
      </w:pPr>
      <w:r>
        <w:rPr>
          <w:sz w:val="24"/>
        </w:rPr>
        <w:t>10.1乙方应派员到甲方指定地点配合工作。</w:t>
      </w:r>
    </w:p>
    <w:p>
      <w:pPr>
        <w:pStyle w:val="null3"/>
        <w:ind w:firstLine="240"/>
        <w:jc w:val="both"/>
      </w:pPr>
      <w:r>
        <w:rPr>
          <w:sz w:val="24"/>
        </w:rPr>
        <w:t>10.2乙方按甲方的要求做好合同执行进度上的配合工作。</w:t>
      </w:r>
    </w:p>
    <w:p>
      <w:pPr>
        <w:pStyle w:val="null3"/>
        <w:ind w:firstLine="240"/>
        <w:jc w:val="both"/>
      </w:pPr>
      <w:r>
        <w:rPr>
          <w:sz w:val="24"/>
        </w:rPr>
        <w:t>10.3乙方保证对其出售的设备享有所有权或处分权，并且没有法律、法规禁止或限制出售的情形。同时，乙方出售的设备也没有侵犯第三人的知识产权和商业秘密等权利。如甲方使用该设备构成上述侵权，乙方承担全部相关责任。</w:t>
      </w:r>
    </w:p>
    <w:p>
      <w:pPr>
        <w:pStyle w:val="null3"/>
        <w:ind w:firstLine="240"/>
        <w:jc w:val="both"/>
      </w:pPr>
      <w:r>
        <w:rPr>
          <w:sz w:val="24"/>
        </w:rPr>
        <w:t>10.4乙方保证如合同设备需连接医院信息业务管理系统（如HIS系统等），乙方需免费提供接口，并协助甲方完成设备连接医院信息系统的工作，保证在正常使用设备情况下不影响医院信息系统运作，并且不得额外收取费用。</w:t>
      </w:r>
    </w:p>
    <w:p>
      <w:pPr>
        <w:pStyle w:val="null3"/>
        <w:ind w:firstLine="240"/>
        <w:jc w:val="both"/>
      </w:pPr>
      <w:r>
        <w:rPr>
          <w:sz w:val="24"/>
        </w:rPr>
        <w:t>10.5乙方保证如合同设备系统升级时，</w:t>
      </w:r>
      <w:r>
        <w:rPr>
          <w:sz w:val="24"/>
          <w:u w:val="single"/>
        </w:rPr>
        <w:t xml:space="preserve"> </w:t>
      </w:r>
      <w:r>
        <w:rPr>
          <w:sz w:val="24"/>
          <w:u w:val="single"/>
        </w:rPr>
        <w:t>（按投标文件等承诺填写）。</w:t>
      </w:r>
    </w:p>
    <w:p>
      <w:pPr>
        <w:pStyle w:val="null3"/>
        <w:jc w:val="both"/>
      </w:pPr>
      <w:r>
        <w:rPr>
          <w:sz w:val="24"/>
          <w:b/>
        </w:rPr>
        <w:t>11.违约责任</w:t>
      </w:r>
    </w:p>
    <w:p>
      <w:pPr>
        <w:pStyle w:val="null3"/>
        <w:ind w:firstLine="240"/>
        <w:jc w:val="both"/>
      </w:pPr>
      <w:r>
        <w:rPr>
          <w:sz w:val="24"/>
        </w:rPr>
        <w:t>11.1甲方应依合同约定时间内，向乙方支付款项，如甲方未按合同约定付款，经乙方书面催告，超过30日仍未付款的，每拖延一天，乙方可要求甲方以拖欠金额为基数，按全国银行间同业拆借中心公布的同期贷款市场报价利率（LPR）÷年自然日×1.3倍的标准支付违约金。</w:t>
      </w:r>
    </w:p>
    <w:p>
      <w:pPr>
        <w:pStyle w:val="null3"/>
        <w:ind w:firstLine="240"/>
        <w:jc w:val="both"/>
      </w:pPr>
      <w:r>
        <w:rPr>
          <w:sz w:val="24"/>
        </w:rPr>
        <w:t>11.2乙方未能按时交货，每拖延一天，须向甲方支付合同金额的0.05%的违约金。乙方超过合同约定的交付货物时间30天，则向甲方支付合同金额的5%的违约金。同时甲方有权单方面解除合同，由此造成的一切损失由乙方承担。</w:t>
      </w:r>
    </w:p>
    <w:p>
      <w:pPr>
        <w:pStyle w:val="null3"/>
        <w:ind w:firstLine="240"/>
        <w:jc w:val="both"/>
      </w:pPr>
      <w:r>
        <w:rPr>
          <w:sz w:val="24"/>
        </w:rPr>
        <w:t>11.3乙方交付的货物不符合合同规定的，甲方有权拒收货物，乙方向甲方支付合同金额10%的违约金。</w:t>
      </w:r>
    </w:p>
    <w:p>
      <w:pPr>
        <w:pStyle w:val="null3"/>
        <w:ind w:firstLine="240"/>
        <w:jc w:val="both"/>
      </w:pPr>
      <w:r>
        <w:rPr>
          <w:sz w:val="24"/>
        </w:rPr>
        <w:t>11.4甲方无正当理由拒收合同设备的，甲方向乙方支付合同金额的10%的违约金。</w:t>
      </w:r>
    </w:p>
    <w:p>
      <w:pPr>
        <w:pStyle w:val="null3"/>
        <w:jc w:val="both"/>
      </w:pPr>
      <w:r>
        <w:rPr>
          <w:sz w:val="24"/>
          <w:b/>
        </w:rPr>
        <w:t>12.索赔</w:t>
      </w:r>
    </w:p>
    <w:p>
      <w:pPr>
        <w:pStyle w:val="null3"/>
        <w:ind w:firstLine="240"/>
        <w:jc w:val="both"/>
      </w:pPr>
      <w:r>
        <w:rPr>
          <w:sz w:val="24"/>
        </w:rPr>
        <w:t>12.1如有异议，甲方有权根据有关政府部门的检验结果向乙方提出索赔。</w:t>
      </w:r>
    </w:p>
    <w:p>
      <w:pPr>
        <w:pStyle w:val="null3"/>
        <w:ind w:firstLine="240"/>
        <w:jc w:val="both"/>
      </w:pPr>
      <w:r>
        <w:rPr>
          <w:sz w:val="24"/>
        </w:rPr>
        <w:t>12.2在合同执行期间，乙方对甲方提出的索赔请求，乙方应按照甲方同意的下列一种或多种方式解决索赔事宜：</w:t>
      </w:r>
    </w:p>
    <w:p>
      <w:pPr>
        <w:pStyle w:val="null3"/>
        <w:ind w:firstLine="240"/>
        <w:jc w:val="both"/>
      </w:pPr>
      <w:r>
        <w:rPr>
          <w:sz w:val="24"/>
        </w:rPr>
        <w:t>12.2.1乙方同意退货，并按合同规定的同种货币将货款退还给甲方，并承担由此发生的一切损失和费用。</w:t>
      </w:r>
    </w:p>
    <w:p>
      <w:pPr>
        <w:pStyle w:val="null3"/>
        <w:ind w:firstLine="240"/>
        <w:jc w:val="both"/>
      </w:pPr>
      <w:r>
        <w:rPr>
          <w:sz w:val="24"/>
        </w:rPr>
        <w:t>12.2.2根据货物低劣程度、损坏程度以及甲方所遭受损失的数额甲乙双方商定降低货物的价格。</w:t>
      </w:r>
    </w:p>
    <w:p>
      <w:pPr>
        <w:pStyle w:val="null3"/>
        <w:ind w:firstLine="240"/>
        <w:jc w:val="both"/>
      </w:pPr>
      <w:r>
        <w:rPr>
          <w:sz w:val="24"/>
        </w:rPr>
        <w:t>12.2.3用符合规格、质量和性能要求的新零件、部件或货物来更换有缺陷的部分或修补缺陷的部分，乙方应承担一切费用和风险并负责甲方所发生的一切直接费用。同时，相应延长质量保证期。</w:t>
      </w:r>
    </w:p>
    <w:p>
      <w:pPr>
        <w:pStyle w:val="null3"/>
        <w:ind w:firstLine="240"/>
        <w:jc w:val="both"/>
      </w:pPr>
      <w:r>
        <w:rPr>
          <w:sz w:val="24"/>
        </w:rPr>
        <w:t>12.3如果在甲方发出索赔通知后30天内，乙方未作答复，上述索赔应视为已被乙方接受。甲方将从合同款项中扣回索赔金额。如果这些金额不足以补偿索赔金额，甲方有权向乙方提出不足部分的补偿。</w:t>
      </w:r>
    </w:p>
    <w:p>
      <w:pPr>
        <w:pStyle w:val="null3"/>
        <w:jc w:val="both"/>
      </w:pPr>
      <w:r>
        <w:rPr>
          <w:sz w:val="24"/>
          <w:b/>
        </w:rPr>
        <w:t>13.不可抗力</w:t>
      </w:r>
    </w:p>
    <w:p>
      <w:pPr>
        <w:pStyle w:val="null3"/>
        <w:ind w:firstLine="240"/>
        <w:jc w:val="both"/>
      </w:pPr>
      <w:r>
        <w:rPr>
          <w:sz w:val="24"/>
        </w:rPr>
        <w:t>13.1不可抗力指战争、严重火灾、洪水、台风、地震等或其它双方认定的不可抗力事件。</w:t>
      </w:r>
    </w:p>
    <w:p>
      <w:pPr>
        <w:pStyle w:val="null3"/>
        <w:ind w:firstLine="240"/>
        <w:jc w:val="both"/>
      </w:pPr>
      <w:r>
        <w:rPr>
          <w:sz w:val="24"/>
        </w:rPr>
        <w:t>13.2签约双方中任何一方由于不可抗力影响合同执行时，发生不可抗力一方应尽快将事故通知另一方。在此情况下，乙方仍然有责任采取必要的措施加速供货，双方应通过友好协商尽快解决本合同的执行问题。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jc w:val="both"/>
      </w:pPr>
      <w:r>
        <w:rPr>
          <w:sz w:val="24"/>
          <w:b/>
        </w:rPr>
        <w:t>14.合同终止</w:t>
      </w:r>
    </w:p>
    <w:p>
      <w:pPr>
        <w:pStyle w:val="null3"/>
        <w:ind w:firstLine="240"/>
        <w:jc w:val="both"/>
      </w:pPr>
      <w:r>
        <w:rPr>
          <w:sz w:val="24"/>
        </w:rPr>
        <w:t>如果一方严重违反合同，并在收到对方违约通知书后在</w:t>
      </w:r>
      <w:r>
        <w:rPr>
          <w:sz w:val="24"/>
        </w:rPr>
        <w:t>30天内仍未能改正违约的，另一方可立即终止本合同。</w:t>
      </w:r>
    </w:p>
    <w:p>
      <w:pPr>
        <w:pStyle w:val="null3"/>
        <w:jc w:val="both"/>
      </w:pPr>
      <w:r>
        <w:rPr>
          <w:sz w:val="24"/>
          <w:b/>
        </w:rPr>
        <w:t>15.争议解决的方法</w:t>
      </w:r>
    </w:p>
    <w:p>
      <w:pPr>
        <w:pStyle w:val="null3"/>
        <w:ind w:firstLine="240"/>
        <w:jc w:val="both"/>
      </w:pPr>
      <w:r>
        <w:rPr>
          <w:sz w:val="24"/>
        </w:rPr>
        <w:t>签约双方在履约中发生争执和分歧，双方应通过友好协商解决，若经协商不能达成协议时，则向甲方所在地人民法院提起诉讼。受理期间，双方应继续执行合同其余无争议部分。</w:t>
      </w:r>
    </w:p>
    <w:p>
      <w:pPr>
        <w:pStyle w:val="null3"/>
        <w:jc w:val="left"/>
      </w:pPr>
      <w:r>
        <w:rPr>
          <w:sz w:val="24"/>
          <w:b/>
        </w:rPr>
        <w:t>16.合同组成部分</w:t>
      </w:r>
    </w:p>
    <w:p>
      <w:pPr>
        <w:pStyle w:val="null3"/>
        <w:ind w:firstLine="240"/>
        <w:jc w:val="both"/>
      </w:pPr>
      <w:r>
        <w:rPr>
          <w:sz w:val="24"/>
        </w:rPr>
        <w:t>16.1合同附件、招标文件、投标文件、中标通知书均为合同的不可分割的组成部分，与合同具有同等法律效力。</w:t>
      </w:r>
    </w:p>
    <w:p>
      <w:pPr>
        <w:pStyle w:val="null3"/>
        <w:ind w:firstLine="240"/>
        <w:jc w:val="both"/>
      </w:pPr>
      <w:r>
        <w:rPr>
          <w:sz w:val="24"/>
        </w:rPr>
        <w:t>16.2在执行本合同的过程中，经双方签署的文件（包括会议纪要、补充协议等）即成为本合同的有效组成部分，其生效日期为双方签字盖章或确认之日期。</w:t>
      </w:r>
    </w:p>
    <w:p>
      <w:pPr>
        <w:pStyle w:val="null3"/>
        <w:ind w:firstLine="240"/>
        <w:jc w:val="both"/>
      </w:pPr>
      <w:r>
        <w:rPr>
          <w:sz w:val="24"/>
        </w:rPr>
        <w:t>16.3除甲方事先以书面形式确认同意外，乙方不得部分或全部转让其应履行的合同项下的义务。</w:t>
      </w:r>
    </w:p>
    <w:p>
      <w:pPr>
        <w:pStyle w:val="null3"/>
        <w:jc w:val="both"/>
      </w:pPr>
      <w:r>
        <w:rPr>
          <w:sz w:val="24"/>
          <w:b/>
        </w:rPr>
        <w:t>17.其他</w:t>
      </w:r>
    </w:p>
    <w:p>
      <w:pPr>
        <w:pStyle w:val="null3"/>
        <w:ind w:firstLine="240"/>
        <w:jc w:val="both"/>
      </w:pPr>
      <w:r>
        <w:rPr>
          <w:sz w:val="24"/>
        </w:rPr>
        <w:t>17.1本合同壹式肆份，具有同等法律效力，甲方执贰份、乙方执壹份，招标代理机构壹份。合同自签字之日起即时生效。</w:t>
      </w:r>
    </w:p>
    <w:p>
      <w:pPr>
        <w:pStyle w:val="null3"/>
        <w:ind w:firstLine="240"/>
        <w:jc w:val="both"/>
      </w:pPr>
      <w:r>
        <w:rPr>
          <w:sz w:val="24"/>
        </w:rPr>
        <w:t>17.2本合同未尽事宜，由双方协商处理。</w:t>
      </w:r>
    </w:p>
    <w:p>
      <w:pPr>
        <w:pStyle w:val="null3"/>
        <w:ind w:firstLine="1680"/>
        <w:jc w:val="both"/>
      </w:pPr>
      <w:r>
        <w:rPr>
          <w:sz w:val="24"/>
        </w:rPr>
        <w:t>（以下为签字页，无正文）</w:t>
      </w:r>
    </w:p>
    <w:p>
      <w:pPr>
        <w:pStyle w:val="null3"/>
        <w:ind w:firstLine="420"/>
        <w:jc w:val="both"/>
      </w:pPr>
      <w:r>
        <w:rPr>
          <w:sz w:val="24"/>
        </w:rPr>
        <w:t>甲方：中山市中医院</w:t>
      </w:r>
      <w:r>
        <w:rPr>
          <w:sz w:val="24"/>
        </w:rPr>
        <w:t xml:space="preserve">                         </w:t>
      </w:r>
      <w:r>
        <w:rPr/>
        <w:t xml:space="preserve"> </w:t>
      </w:r>
      <w:r>
        <w:rPr>
          <w:sz w:val="24"/>
        </w:rPr>
        <w:t>乙方：</w:t>
      </w:r>
    </w:p>
    <w:p>
      <w:pPr>
        <w:pStyle w:val="null3"/>
        <w:ind w:firstLine="420"/>
        <w:jc w:val="both"/>
      </w:pPr>
      <w:r>
        <w:rPr>
          <w:sz w:val="24"/>
        </w:rPr>
        <w:t>法定代表人：</w:t>
      </w:r>
      <w:r>
        <w:rPr>
          <w:sz w:val="24"/>
        </w:rPr>
        <w:t xml:space="preserve">                                    </w:t>
      </w:r>
      <w:r>
        <w:rPr>
          <w:sz w:val="24"/>
        </w:rPr>
        <w:t>法定代表人：</w:t>
      </w:r>
    </w:p>
    <w:p>
      <w:pPr>
        <w:pStyle w:val="null3"/>
        <w:ind w:firstLine="420"/>
        <w:jc w:val="both"/>
      </w:pPr>
      <w:r>
        <w:rPr>
          <w:sz w:val="24"/>
        </w:rPr>
        <w:t>地址：中山市西区康欣路</w:t>
      </w:r>
      <w:r>
        <w:rPr>
          <w:sz w:val="24"/>
        </w:rPr>
        <w:t>3号              地址：</w:t>
      </w:r>
    </w:p>
    <w:p>
      <w:pPr>
        <w:pStyle w:val="null3"/>
        <w:ind w:firstLine="420"/>
        <w:jc w:val="both"/>
      </w:pPr>
      <w:r>
        <w:rPr>
          <w:sz w:val="24"/>
        </w:rPr>
        <w:t>电话：</w:t>
      </w:r>
      <w:r>
        <w:rPr>
          <w:sz w:val="24"/>
        </w:rPr>
        <w:t>0760-89980318                     电话：</w:t>
      </w:r>
    </w:p>
    <w:p>
      <w:pPr>
        <w:pStyle w:val="null3"/>
        <w:ind w:firstLine="420"/>
        <w:jc w:val="both"/>
      </w:pPr>
      <w:r>
        <w:rPr>
          <w:sz w:val="24"/>
        </w:rPr>
        <w:t>传真：</w:t>
      </w:r>
      <w:r>
        <w:rPr>
          <w:sz w:val="24"/>
        </w:rPr>
        <w:t>0760-89980318                     传真：</w:t>
      </w:r>
    </w:p>
    <w:p>
      <w:pPr>
        <w:pStyle w:val="null3"/>
        <w:ind w:firstLine="420"/>
        <w:jc w:val="both"/>
      </w:pPr>
      <w:r>
        <w:rPr>
          <w:sz w:val="24"/>
        </w:rPr>
        <w:t>签约日期：</w:t>
      </w:r>
      <w:r>
        <w:rPr>
          <w:sz w:val="24"/>
        </w:rPr>
        <w:t xml:space="preserve">  </w:t>
      </w:r>
      <w:r>
        <w:rPr>
          <w:sz w:val="24"/>
        </w:rPr>
        <w:t>年月日</w:t>
      </w:r>
    </w:p>
    <w:p>
      <w:pPr>
        <w:pStyle w:val="null3"/>
        <w:ind w:firstLine="420"/>
        <w:jc w:val="both"/>
      </w:pPr>
      <w:r>
        <w:rPr>
          <w:sz w:val="24"/>
        </w:rPr>
        <w:t>附件：设备配置清单及耗材价格</w:t>
      </w:r>
    </w:p>
    <w:p>
      <w:pPr>
        <w:pStyle w:val="null3"/>
        <w:ind w:firstLine="420"/>
        <w:jc w:val="both"/>
      </w:pPr>
      <w:r>
        <w:rPr/>
        <w:t xml:space="preserve"> </w:t>
      </w:r>
    </w:p>
    <w:p>
      <w:pPr>
        <w:pStyle w:val="null3"/>
        <w:jc w:val="both"/>
      </w:pPr>
      <w:r>
        <w:rPr>
          <w:sz w:val="24"/>
          <w:b/>
        </w:rPr>
        <w:t>附件</w:t>
      </w:r>
      <w:r>
        <w:rPr>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2758"/>
        <w:gridCol w:w="2758"/>
        <w:gridCol w:w="2758"/>
      </w:tblGrid>
      <w:tr>
        <w:tc>
          <w:tcPr>
            <w:tcW w:type="dxa" w:w="27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货品名称</w:t>
            </w:r>
          </w:p>
        </w:tc>
        <w:tc>
          <w:tcPr>
            <w:tcW w:type="dxa" w:w="27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c>
          <w:tcPr>
            <w:tcW w:type="dxa" w:w="27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单位</w:t>
            </w:r>
          </w:p>
        </w:tc>
      </w:tr>
      <w:tr>
        <w:tc>
          <w:tcPr>
            <w:tcW w:type="dxa" w:w="2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p>
            <w:pPr>
              <w:pStyle w:val="null3"/>
              <w:jc w:val="both"/>
            </w:pPr>
            <w:r>
              <w:rPr>
                <w:sz w:val="19"/>
              </w:rPr>
              <w:t xml:space="preserve"> </w:t>
            </w:r>
          </w:p>
          <w:p>
            <w:pPr>
              <w:pStyle w:val="null3"/>
              <w:jc w:val="left"/>
            </w:pP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p>
            <w:pPr>
              <w:pStyle w:val="null3"/>
              <w:jc w:val="both"/>
            </w:pPr>
            <w:r>
              <w:rPr>
                <w:sz w:val="19"/>
              </w:rPr>
              <w:t xml:space="preserve"> </w:t>
            </w:r>
          </w:p>
          <w:p>
            <w:pPr>
              <w:pStyle w:val="null3"/>
              <w:jc w:val="left"/>
            </w:pP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p>
            <w:pPr>
              <w:pStyle w:val="null3"/>
              <w:jc w:val="both"/>
            </w:pPr>
            <w:r>
              <w:rPr>
                <w:sz w:val="19"/>
              </w:rPr>
              <w:t xml:space="preserve"> </w:t>
            </w:r>
          </w:p>
          <w:p>
            <w:pPr>
              <w:pStyle w:val="null3"/>
              <w:jc w:val="left"/>
            </w:pP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pPr>
      <w:r>
        <w:rPr/>
        <w:t xml:space="preserve">  </w:t>
      </w:r>
    </w:p>
    <w:p>
      <w:pPr>
        <w:pStyle w:val="null3"/>
        <w:jc w:val="both"/>
      </w:pPr>
      <w:r>
        <w:rPr/>
        <w:t xml:space="preserve"> </w:t>
      </w:r>
    </w:p>
    <w:p>
      <w:pPr>
        <w:pStyle w:val="null3"/>
        <w:spacing w:before="0" w:after="0" w:lineRule="auto" w:line="36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442000-2026-00984</w:t>
      </w:r>
    </w:p>
    <w:p>
      <w:pPr>
        <w:pStyle w:val="null3"/>
        <w:jc w:val="center"/>
        <w:outlineLvl w:val="3"/>
      </w:pPr>
      <w:r>
        <w:rPr>
          <w:sz w:val="24"/>
          <w:b/>
        </w:rPr>
        <w:t>采购项目编号：</w:t>
      </w:r>
      <w:r>
        <w:rPr>
          <w:sz w:val="24"/>
          <w:b/>
        </w:rPr>
        <w:t>ZZ22603319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广东志正招标有限公司中山分公司</w:t>
      </w:r>
    </w:p>
    <w:p>
      <w:pPr>
        <w:pStyle w:val="null3"/>
        <w:ind w:firstLine="480"/>
      </w:pPr>
      <w:r>
        <w:rPr/>
        <w:t xml:space="preserve"> 你方组织的</w:t>
      </w:r>
      <w:r>
        <w:rPr>
          <w:u w:val="single"/>
        </w:rPr>
        <w:t>“</w:t>
      </w:r>
      <w:r>
        <w:rPr>
          <w:u w:val="single"/>
        </w:rPr>
        <w:t>中山市中医院2026年窗帘、床帘采购项目</w:t>
      </w:r>
      <w:r>
        <w:rPr>
          <w:u w:val="single"/>
        </w:rPr>
        <w:t>”</w:t>
      </w:r>
      <w:r>
        <w:rPr/>
        <w:t>项目的招标[采购项目编号为：</w:t>
      </w:r>
      <w:r>
        <w:rPr>
          <w:u w:val="single"/>
        </w:rPr>
        <w:t>ZZ22603319</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中山市中医院2026年窗帘、床帘采购项目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广东志正招标有限公司中山分公司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中山市中医院2026年窗帘、床帘采购项目</w:t>
      </w:r>
      <w:r>
        <w:rPr/>
        <w:t>”项目采购[采购项目编号为</w:t>
      </w:r>
      <w:r>
        <w:rPr/>
        <w:t>ZZ22603319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中山市中医院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广东志正招标有限公司中山分公司</w:t>
      </w:r>
    </w:p>
    <w:p>
      <w:pPr>
        <w:pStyle w:val="null3"/>
        <w:ind w:firstLine="480"/>
      </w:pPr>
      <w:r>
        <w:rPr/>
        <w:t xml:space="preserve"> 如果我方在贵采购代理机构组织的</w:t>
      </w:r>
      <w:r>
        <w:rPr/>
        <w:t>中山市中医院2026年窗帘、床帘采购项目</w:t>
      </w:r>
      <w:r>
        <w:rPr/>
        <w:t>招标中获中标（采购项目编号：</w:t>
      </w:r>
      <w:r>
        <w:rPr/>
        <w:t>ZZ22603319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广东志正招标有限公司中山分公司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广东志正招标有限公司中山分公司</w:t>
      </w:r>
    </w:p>
    <w:p>
      <w:pPr>
        <w:pStyle w:val="null3"/>
        <w:ind w:firstLine="480"/>
      </w:pPr>
      <w:r>
        <w:rPr/>
        <w:t>我单位已登记并准备参与“</w:t>
      </w:r>
      <w:r>
        <w:rPr/>
        <w:t>中山市中医院2026年窗帘、床帘采购项目</w:t>
      </w:r>
      <w:r>
        <w:rPr/>
        <w:t>”项目（采购项目编号：</w:t>
      </w:r>
      <w:r>
        <w:rPr/>
        <w:t>ZZ22603319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