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黑体" w:eastAsia="黑体"/>
          <w:color w:val="auto"/>
          <w:szCs w:val="21"/>
          <w:highlight w:val="none"/>
        </w:rPr>
      </w:pPr>
    </w:p>
    <w:p>
      <w:pPr>
        <w:pStyle w:val="43"/>
        <w:ind w:firstLine="400"/>
        <w:rPr>
          <w:color w:val="auto"/>
          <w:highlight w:val="none"/>
        </w:rPr>
      </w:pPr>
    </w:p>
    <w:p>
      <w:pPr>
        <w:rPr>
          <w:color w:val="auto"/>
          <w:highlight w:val="none"/>
        </w:rPr>
      </w:pPr>
    </w:p>
    <w:p>
      <w:pPr>
        <w:rPr>
          <w:color w:val="auto"/>
          <w:highlight w:val="none"/>
        </w:rPr>
      </w:pPr>
    </w:p>
    <w:p>
      <w:pPr>
        <w:rPr>
          <w:color w:val="auto"/>
          <w:highlight w:val="none"/>
        </w:rPr>
      </w:pPr>
    </w:p>
    <w:p>
      <w:pPr>
        <w:ind w:right="-28"/>
        <w:jc w:val="center"/>
        <w:textAlignment w:val="bottom"/>
        <w:rPr>
          <w:rFonts w:ascii="黑体" w:hAnsi="黑体" w:eastAsia="黑体" w:cs="黑体"/>
          <w:bCs/>
          <w:color w:val="auto"/>
          <w:spacing w:val="57"/>
          <w:sz w:val="96"/>
          <w:szCs w:val="96"/>
          <w:highlight w:val="none"/>
        </w:rPr>
      </w:pPr>
      <w:r>
        <w:rPr>
          <w:rFonts w:hint="eastAsia" w:ascii="黑体" w:hAnsi="黑体" w:eastAsia="黑体" w:cs="黑体"/>
          <w:bCs/>
          <w:color w:val="auto"/>
          <w:spacing w:val="57"/>
          <w:sz w:val="96"/>
          <w:szCs w:val="96"/>
          <w:highlight w:val="none"/>
        </w:rPr>
        <w:t>公开采购文件</w:t>
      </w:r>
    </w:p>
    <w:p>
      <w:pPr>
        <w:rPr>
          <w:color w:val="auto"/>
          <w:highlight w:val="none"/>
        </w:rPr>
      </w:pPr>
    </w:p>
    <w:p>
      <w:pPr>
        <w:pStyle w:val="2"/>
        <w:rPr>
          <w:color w:val="auto"/>
          <w:highlight w:val="none"/>
        </w:rPr>
      </w:pPr>
    </w:p>
    <w:tbl>
      <w:tblPr>
        <w:tblStyle w:val="35"/>
        <w:tblW w:w="8816" w:type="dxa"/>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3"/>
        <w:gridCol w:w="6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7"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620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u w:val="single"/>
              </w:rPr>
              <w:t>东莞市寮步镇生活垃圾综合处理中心项目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5"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项目采购编号：</w:t>
            </w:r>
          </w:p>
        </w:tc>
        <w:tc>
          <w:tcPr>
            <w:tcW w:w="6203"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DSCF-LB-02-08-010(2023)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9"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p>
        </w:tc>
        <w:tc>
          <w:tcPr>
            <w:tcW w:w="6203"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东莞市东实城市环境服务有限公司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9"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采购代理：</w:t>
            </w:r>
          </w:p>
        </w:tc>
        <w:tc>
          <w:tcPr>
            <w:tcW w:w="6203"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广东志正招标有限公司东莞分公司</w:t>
            </w:r>
          </w:p>
        </w:tc>
      </w:tr>
    </w:tbl>
    <w:p>
      <w:pPr>
        <w:jc w:val="center"/>
        <w:rPr>
          <w:rFonts w:ascii="黑体" w:eastAsia="黑体"/>
          <w:color w:val="auto"/>
          <w:szCs w:val="21"/>
          <w:highlight w:val="none"/>
        </w:rPr>
      </w:pPr>
    </w:p>
    <w:p>
      <w:pPr>
        <w:jc w:val="center"/>
        <w:rPr>
          <w:rFonts w:ascii="黑体" w:eastAsia="黑体"/>
          <w:color w:val="auto"/>
          <w:szCs w:val="21"/>
          <w:highlight w:val="none"/>
        </w:rPr>
      </w:pPr>
    </w:p>
    <w:p>
      <w:pPr>
        <w:jc w:val="center"/>
        <w:rPr>
          <w:rFonts w:ascii="黑体" w:eastAsia="黑体"/>
          <w:color w:val="auto"/>
          <w:szCs w:val="21"/>
          <w:highlight w:val="none"/>
        </w:rPr>
      </w:pPr>
    </w:p>
    <w:p>
      <w:pPr>
        <w:pStyle w:val="43"/>
        <w:ind w:firstLine="400"/>
        <w:rPr>
          <w:color w:val="auto"/>
          <w:highlight w:val="none"/>
        </w:rPr>
      </w:pPr>
    </w:p>
    <w:p>
      <w:pPr>
        <w:jc w:val="center"/>
        <w:rPr>
          <w:rFonts w:ascii="黑体" w:eastAsia="黑体"/>
          <w:color w:val="auto"/>
          <w:szCs w:val="21"/>
          <w:highlight w:val="none"/>
        </w:rPr>
      </w:pPr>
    </w:p>
    <w:p>
      <w:pPr>
        <w:jc w:val="center"/>
        <w:rPr>
          <w:rFonts w:ascii="黑体" w:eastAsia="黑体"/>
          <w:color w:val="auto"/>
          <w:szCs w:val="21"/>
          <w:highlight w:val="none"/>
        </w:rPr>
      </w:pPr>
    </w:p>
    <w:p>
      <w:pPr>
        <w:spacing w:before="200"/>
        <w:jc w:val="center"/>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2023年</w:t>
      </w:r>
      <w:r>
        <w:rPr>
          <w:rFonts w:hint="eastAsia" w:ascii="黑体" w:hAnsi="黑体" w:eastAsia="黑体" w:cs="黑体"/>
          <w:bCs/>
          <w:color w:val="auto"/>
          <w:sz w:val="32"/>
          <w:szCs w:val="24"/>
          <w:highlight w:val="none"/>
          <w:lang w:val="en-US" w:eastAsia="zh-CN"/>
        </w:rPr>
        <w:t>12</w:t>
      </w:r>
      <w:r>
        <w:rPr>
          <w:rFonts w:hint="eastAsia" w:ascii="黑体" w:hAnsi="黑体" w:eastAsia="黑体" w:cs="黑体"/>
          <w:bCs/>
          <w:color w:val="auto"/>
          <w:sz w:val="32"/>
          <w:szCs w:val="24"/>
          <w:highlight w:val="none"/>
        </w:rPr>
        <w:t>月</w:t>
      </w:r>
    </w:p>
    <w:p>
      <w:pPr>
        <w:rPr>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pgNumType w:start="1"/>
          <w:cols w:space="708" w:num="1"/>
          <w:titlePg/>
          <w:docGrid w:type="lines" w:linePitch="360" w:charSpace="0"/>
        </w:sectPr>
      </w:pPr>
    </w:p>
    <w:p>
      <w:pPr>
        <w:pStyle w:val="26"/>
        <w:ind w:left="0" w:leftChars="0"/>
        <w:rPr>
          <w:color w:val="auto"/>
          <w:sz w:val="40"/>
          <w:szCs w:val="40"/>
          <w:highlight w:val="none"/>
        </w:rPr>
      </w:pPr>
      <w:r>
        <w:rPr>
          <w:rFonts w:hint="eastAsia"/>
          <w:color w:val="auto"/>
          <w:sz w:val="40"/>
          <w:szCs w:val="40"/>
          <w:highlight w:val="none"/>
        </w:rPr>
        <w:t>目录</w:t>
      </w:r>
    </w:p>
    <w:p>
      <w:pPr>
        <w:pStyle w:val="26"/>
        <w:tabs>
          <w:tab w:val="right" w:leader="dot" w:pos="8306"/>
          <w:tab w:val="clear" w:pos="8296"/>
        </w:tabs>
        <w:ind w:left="0" w:leftChars="0"/>
        <w:rPr>
          <w:rFonts w:cs="宋体"/>
          <w:color w:val="auto"/>
          <w:sz w:val="21"/>
          <w:szCs w:val="21"/>
          <w:highlight w:val="none"/>
        </w:rPr>
      </w:pPr>
      <w:r>
        <w:rPr>
          <w:rFonts w:hint="eastAsia" w:cs="宋体"/>
          <w:color w:val="auto"/>
          <w:sz w:val="21"/>
          <w:szCs w:val="21"/>
          <w:highlight w:val="none"/>
        </w:rPr>
        <w:fldChar w:fldCharType="begin"/>
      </w:r>
      <w:r>
        <w:rPr>
          <w:rFonts w:hint="eastAsia" w:cs="宋体"/>
          <w:color w:val="auto"/>
          <w:sz w:val="21"/>
          <w:szCs w:val="21"/>
          <w:highlight w:val="none"/>
        </w:rPr>
        <w:instrText xml:space="preserve"> TOC \o "1-4" \h \z \u </w:instrText>
      </w:r>
      <w:r>
        <w:rPr>
          <w:rFonts w:hint="eastAsia" w:cs="宋体"/>
          <w:color w:val="auto"/>
          <w:sz w:val="21"/>
          <w:szCs w:val="21"/>
          <w:highlight w:val="none"/>
        </w:rPr>
        <w:fldChar w:fldCharType="separate"/>
      </w:r>
      <w:r>
        <w:rPr>
          <w:color w:val="auto"/>
          <w:highlight w:val="none"/>
        </w:rPr>
        <w:fldChar w:fldCharType="begin"/>
      </w:r>
      <w:r>
        <w:rPr>
          <w:color w:val="auto"/>
          <w:highlight w:val="none"/>
        </w:rPr>
        <w:instrText xml:space="preserve"> HYPERLINK \l "_Toc27043" </w:instrText>
      </w:r>
      <w:r>
        <w:rPr>
          <w:color w:val="auto"/>
          <w:highlight w:val="none"/>
        </w:rPr>
        <w:fldChar w:fldCharType="separate"/>
      </w:r>
      <w:r>
        <w:rPr>
          <w:rFonts w:hint="eastAsia" w:cs="宋体"/>
          <w:color w:val="auto"/>
          <w:sz w:val="21"/>
          <w:szCs w:val="21"/>
          <w:highlight w:val="none"/>
        </w:rPr>
        <w:t>第一部分投标邀请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_Toc27043 \h </w:instrText>
      </w:r>
      <w:r>
        <w:rPr>
          <w:rFonts w:hint="eastAsia" w:cs="宋体"/>
          <w:color w:val="auto"/>
          <w:sz w:val="21"/>
          <w:szCs w:val="21"/>
          <w:highlight w:val="none"/>
        </w:rPr>
        <w:fldChar w:fldCharType="separate"/>
      </w:r>
      <w:r>
        <w:rPr>
          <w:rFonts w:hint="eastAsia" w:cs="宋体"/>
          <w:color w:val="auto"/>
          <w:sz w:val="21"/>
          <w:szCs w:val="21"/>
          <w:highlight w:val="none"/>
        </w:rPr>
        <w:t>- 5 -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"_Toc32058" </w:instrText>
      </w:r>
      <w:r>
        <w:rPr>
          <w:color w:val="auto"/>
          <w:highlight w:val="none"/>
        </w:rPr>
        <w:fldChar w:fldCharType="separate"/>
      </w:r>
      <w:r>
        <w:rPr>
          <w:rFonts w:hint="eastAsia" w:cs="宋体"/>
          <w:color w:val="auto"/>
          <w:sz w:val="21"/>
          <w:szCs w:val="21"/>
          <w:highlight w:val="none"/>
        </w:rPr>
        <w:t>投标邀请书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_Toc32058 \h </w:instrText>
      </w:r>
      <w:r>
        <w:rPr>
          <w:rFonts w:hint="eastAsia" w:cs="宋体"/>
          <w:color w:val="auto"/>
          <w:sz w:val="21"/>
          <w:szCs w:val="21"/>
          <w:highlight w:val="none"/>
        </w:rPr>
        <w:fldChar w:fldCharType="separate"/>
      </w:r>
      <w:r>
        <w:rPr>
          <w:rFonts w:hint="eastAsia" w:cs="宋体"/>
          <w:color w:val="auto"/>
          <w:sz w:val="21"/>
          <w:szCs w:val="21"/>
          <w:highlight w:val="none"/>
        </w:rPr>
        <w:t>- 5 -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"_Toc14223" </w:instrText>
      </w:r>
      <w:r>
        <w:rPr>
          <w:color w:val="auto"/>
          <w:highlight w:val="none"/>
        </w:rPr>
        <w:fldChar w:fldCharType="separate"/>
      </w:r>
      <w:r>
        <w:rPr>
          <w:rFonts w:hint="eastAsia" w:cs="宋体"/>
          <w:color w:val="auto"/>
          <w:sz w:val="21"/>
          <w:szCs w:val="21"/>
          <w:highlight w:val="none"/>
        </w:rPr>
        <w:t>第二部分相关资料表格</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_Toc14223 \h </w:instrText>
      </w:r>
      <w:r>
        <w:rPr>
          <w:rFonts w:hint="eastAsia" w:cs="宋体"/>
          <w:color w:val="auto"/>
          <w:sz w:val="21"/>
          <w:szCs w:val="21"/>
          <w:highlight w:val="none"/>
        </w:rPr>
        <w:fldChar w:fldCharType="separate"/>
      </w:r>
      <w:r>
        <w:rPr>
          <w:rFonts w:hint="eastAsia" w:cs="宋体"/>
          <w:color w:val="auto"/>
          <w:sz w:val="21"/>
          <w:szCs w:val="21"/>
          <w:highlight w:val="none"/>
        </w:rPr>
        <w:t>- 11 -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"_Toc6390" </w:instrText>
      </w:r>
      <w:r>
        <w:rPr>
          <w:color w:val="auto"/>
          <w:highlight w:val="none"/>
        </w:rPr>
        <w:fldChar w:fldCharType="separate"/>
      </w:r>
      <w:r>
        <w:rPr>
          <w:rFonts w:hint="eastAsia" w:cs="宋体"/>
          <w:color w:val="auto"/>
          <w:sz w:val="21"/>
          <w:szCs w:val="21"/>
          <w:highlight w:val="none"/>
        </w:rPr>
        <w:t>附表一：投标资料表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_Toc6390 \h </w:instrText>
      </w:r>
      <w:r>
        <w:rPr>
          <w:rFonts w:hint="eastAsia" w:cs="宋体"/>
          <w:color w:val="auto"/>
          <w:sz w:val="21"/>
          <w:szCs w:val="21"/>
          <w:highlight w:val="none"/>
        </w:rPr>
        <w:fldChar w:fldCharType="separate"/>
      </w:r>
      <w:r>
        <w:rPr>
          <w:rFonts w:hint="eastAsia" w:cs="宋体"/>
          <w:color w:val="auto"/>
          <w:sz w:val="21"/>
          <w:szCs w:val="21"/>
          <w:highlight w:val="none"/>
        </w:rPr>
        <w:t>- 11 -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"_Toc13435" </w:instrText>
      </w:r>
      <w:r>
        <w:rPr>
          <w:color w:val="auto"/>
          <w:highlight w:val="none"/>
        </w:rPr>
        <w:fldChar w:fldCharType="separate"/>
      </w:r>
      <w:r>
        <w:rPr>
          <w:rFonts w:hint="eastAsia" w:cs="宋体"/>
          <w:color w:val="auto"/>
          <w:sz w:val="21"/>
          <w:szCs w:val="21"/>
          <w:highlight w:val="none"/>
        </w:rPr>
        <w:t>附表二：商务技术评分及价格权重表（满分100分）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_Toc13435 \h </w:instrText>
      </w:r>
      <w:r>
        <w:rPr>
          <w:rFonts w:hint="eastAsia" w:cs="宋体"/>
          <w:color w:val="auto"/>
          <w:sz w:val="21"/>
          <w:szCs w:val="21"/>
          <w:highlight w:val="none"/>
        </w:rPr>
        <w:fldChar w:fldCharType="separate"/>
      </w:r>
      <w:r>
        <w:rPr>
          <w:rFonts w:hint="eastAsia" w:cs="宋体"/>
          <w:color w:val="auto"/>
          <w:sz w:val="21"/>
          <w:szCs w:val="21"/>
          <w:highlight w:val="none"/>
        </w:rPr>
        <w:t>- 18 -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"_Toc4078" </w:instrText>
      </w:r>
      <w:r>
        <w:rPr>
          <w:color w:val="auto"/>
          <w:highlight w:val="none"/>
        </w:rPr>
        <w:fldChar w:fldCharType="separate"/>
      </w:r>
      <w:r>
        <w:rPr>
          <w:rFonts w:hint="eastAsia" w:cs="宋体"/>
          <w:color w:val="auto"/>
          <w:sz w:val="21"/>
          <w:szCs w:val="21"/>
          <w:highlight w:val="none"/>
        </w:rPr>
        <w:t>第三部分用户需求书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_Toc4078 \h </w:instrText>
      </w:r>
      <w:r>
        <w:rPr>
          <w:rFonts w:hint="eastAsia" w:cs="宋体"/>
          <w:color w:val="auto"/>
          <w:sz w:val="21"/>
          <w:szCs w:val="21"/>
          <w:highlight w:val="none"/>
        </w:rPr>
        <w:fldChar w:fldCharType="separate"/>
      </w:r>
      <w:r>
        <w:rPr>
          <w:rFonts w:hint="eastAsia" w:cs="宋体"/>
          <w:color w:val="auto"/>
          <w:sz w:val="21"/>
          <w:szCs w:val="21"/>
          <w:highlight w:val="none"/>
        </w:rPr>
        <w:t>- 40 -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"_Toc27644" </w:instrText>
      </w:r>
      <w:r>
        <w:rPr>
          <w:color w:val="auto"/>
          <w:highlight w:val="none"/>
        </w:rPr>
        <w:fldChar w:fldCharType="separate"/>
      </w:r>
      <w:r>
        <w:rPr>
          <w:rFonts w:hint="eastAsia" w:cs="宋体"/>
          <w:color w:val="auto"/>
          <w:sz w:val="21"/>
          <w:szCs w:val="21"/>
          <w:highlight w:val="none"/>
        </w:rPr>
        <w:t>第一章 商务需求书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_Toc27644 \h </w:instrText>
      </w:r>
      <w:r>
        <w:rPr>
          <w:rFonts w:hint="eastAsia" w:cs="宋体"/>
          <w:color w:val="auto"/>
          <w:sz w:val="21"/>
          <w:szCs w:val="21"/>
          <w:highlight w:val="none"/>
        </w:rPr>
        <w:fldChar w:fldCharType="separate"/>
      </w:r>
      <w:r>
        <w:rPr>
          <w:rFonts w:hint="eastAsia" w:cs="宋体"/>
          <w:color w:val="auto"/>
          <w:sz w:val="21"/>
          <w:szCs w:val="21"/>
          <w:highlight w:val="none"/>
        </w:rPr>
        <w:t>- 40 -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"_Toc25424" </w:instrText>
      </w:r>
      <w:r>
        <w:rPr>
          <w:color w:val="auto"/>
          <w:highlight w:val="none"/>
        </w:rPr>
        <w:fldChar w:fldCharType="separate"/>
      </w:r>
      <w:r>
        <w:rPr>
          <w:rFonts w:hint="eastAsia" w:cs="宋体"/>
          <w:color w:val="auto"/>
          <w:sz w:val="21"/>
          <w:szCs w:val="21"/>
          <w:highlight w:val="none"/>
        </w:rPr>
        <w:t>第二章 技术需求书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_Toc25424 \h </w:instrText>
      </w:r>
      <w:r>
        <w:rPr>
          <w:rFonts w:hint="eastAsia" w:cs="宋体"/>
          <w:color w:val="auto"/>
          <w:sz w:val="21"/>
          <w:szCs w:val="21"/>
          <w:highlight w:val="none"/>
        </w:rPr>
        <w:fldChar w:fldCharType="separate"/>
      </w:r>
      <w:r>
        <w:rPr>
          <w:rFonts w:hint="eastAsia" w:cs="宋体"/>
          <w:color w:val="auto"/>
          <w:sz w:val="21"/>
          <w:szCs w:val="21"/>
          <w:highlight w:val="none"/>
        </w:rPr>
        <w:t>- 47 -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"_Toc5833" </w:instrText>
      </w:r>
      <w:r>
        <w:rPr>
          <w:color w:val="auto"/>
          <w:highlight w:val="none"/>
        </w:rPr>
        <w:fldChar w:fldCharType="separate"/>
      </w:r>
      <w:r>
        <w:rPr>
          <w:rFonts w:hint="eastAsia" w:cs="宋体"/>
          <w:color w:val="auto"/>
          <w:sz w:val="21"/>
          <w:szCs w:val="21"/>
          <w:highlight w:val="none"/>
        </w:rPr>
        <w:t>第四部分投标人须知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_Toc5833 \h </w:instrText>
      </w:r>
      <w:r>
        <w:rPr>
          <w:rFonts w:hint="eastAsia" w:cs="宋体"/>
          <w:color w:val="auto"/>
          <w:sz w:val="21"/>
          <w:szCs w:val="21"/>
          <w:highlight w:val="none"/>
        </w:rPr>
        <w:fldChar w:fldCharType="separate"/>
      </w:r>
      <w:r>
        <w:rPr>
          <w:rFonts w:hint="eastAsia" w:cs="宋体"/>
          <w:color w:val="auto"/>
          <w:sz w:val="21"/>
          <w:szCs w:val="21"/>
          <w:highlight w:val="none"/>
        </w:rPr>
        <w:t>- 254 -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"_Toc15408" </w:instrText>
      </w:r>
      <w:r>
        <w:rPr>
          <w:color w:val="auto"/>
          <w:highlight w:val="none"/>
        </w:rPr>
        <w:fldChar w:fldCharType="separate"/>
      </w:r>
      <w:r>
        <w:rPr>
          <w:rFonts w:cs="宋体"/>
          <w:color w:val="auto"/>
          <w:sz w:val="21"/>
          <w:szCs w:val="21"/>
          <w:highlight w:val="none"/>
        </w:rPr>
        <w:t xml:space="preserve">一、 </w:t>
      </w:r>
      <w:r>
        <w:rPr>
          <w:rFonts w:hint="eastAsia" w:cs="宋体"/>
          <w:color w:val="auto"/>
          <w:sz w:val="21"/>
          <w:szCs w:val="21"/>
          <w:highlight w:val="none"/>
        </w:rPr>
        <w:t>说明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_Toc15408 \h </w:instrText>
      </w:r>
      <w:r>
        <w:rPr>
          <w:rFonts w:hint="eastAsia" w:cs="宋体"/>
          <w:color w:val="auto"/>
          <w:sz w:val="21"/>
          <w:szCs w:val="21"/>
          <w:highlight w:val="none"/>
        </w:rPr>
        <w:fldChar w:fldCharType="separate"/>
      </w:r>
      <w:r>
        <w:rPr>
          <w:rFonts w:hint="eastAsia" w:cs="宋体"/>
          <w:color w:val="auto"/>
          <w:sz w:val="21"/>
          <w:szCs w:val="21"/>
          <w:highlight w:val="none"/>
        </w:rPr>
        <w:t>- 254 -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"_Toc10233" </w:instrText>
      </w:r>
      <w:r>
        <w:rPr>
          <w:color w:val="auto"/>
          <w:highlight w:val="none"/>
        </w:rPr>
        <w:fldChar w:fldCharType="separate"/>
      </w:r>
      <w:r>
        <w:rPr>
          <w:rFonts w:cs="宋体"/>
          <w:color w:val="auto"/>
          <w:sz w:val="21"/>
          <w:szCs w:val="21"/>
          <w:highlight w:val="none"/>
        </w:rPr>
        <w:t xml:space="preserve">1. </w:t>
      </w:r>
      <w:r>
        <w:rPr>
          <w:rFonts w:hint="eastAsia" w:cs="宋体"/>
          <w:color w:val="auto"/>
          <w:sz w:val="21"/>
          <w:szCs w:val="21"/>
          <w:highlight w:val="none"/>
        </w:rPr>
        <w:t>适用范围</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_Toc10233 \h </w:instrText>
      </w:r>
      <w:r>
        <w:rPr>
          <w:rFonts w:hint="eastAsia" w:cs="宋体"/>
          <w:color w:val="auto"/>
          <w:sz w:val="21"/>
          <w:szCs w:val="21"/>
          <w:highlight w:val="none"/>
        </w:rPr>
        <w:fldChar w:fldCharType="separate"/>
      </w:r>
      <w:r>
        <w:rPr>
          <w:rFonts w:hint="eastAsia" w:cs="宋体"/>
          <w:color w:val="auto"/>
          <w:sz w:val="21"/>
          <w:szCs w:val="21"/>
          <w:highlight w:val="none"/>
        </w:rPr>
        <w:t>- 254 -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"_Toc15953" </w:instrText>
      </w:r>
      <w:r>
        <w:rPr>
          <w:color w:val="auto"/>
          <w:highlight w:val="none"/>
        </w:rPr>
        <w:fldChar w:fldCharType="separate"/>
      </w:r>
      <w:r>
        <w:rPr>
          <w:rFonts w:cs="宋体"/>
          <w:color w:val="auto"/>
          <w:sz w:val="21"/>
          <w:szCs w:val="21"/>
          <w:highlight w:val="none"/>
        </w:rPr>
        <w:t xml:space="preserve">2. </w:t>
      </w:r>
      <w:r>
        <w:rPr>
          <w:rFonts w:hint="eastAsia" w:cs="宋体"/>
          <w:color w:val="auto"/>
          <w:sz w:val="21"/>
          <w:szCs w:val="21"/>
          <w:highlight w:val="none"/>
        </w:rPr>
        <w:t>定义</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_Toc15953 \h </w:instrText>
      </w:r>
      <w:r>
        <w:rPr>
          <w:rFonts w:hint="eastAsia" w:cs="宋体"/>
          <w:color w:val="auto"/>
          <w:sz w:val="21"/>
          <w:szCs w:val="21"/>
          <w:highlight w:val="none"/>
        </w:rPr>
        <w:fldChar w:fldCharType="separate"/>
      </w:r>
      <w:r>
        <w:rPr>
          <w:rFonts w:hint="eastAsia" w:cs="宋体"/>
          <w:color w:val="auto"/>
          <w:sz w:val="21"/>
          <w:szCs w:val="21"/>
          <w:highlight w:val="none"/>
        </w:rPr>
        <w:t>- 254 -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"_Toc25894" </w:instrText>
      </w:r>
      <w:r>
        <w:rPr>
          <w:color w:val="auto"/>
          <w:highlight w:val="none"/>
        </w:rPr>
        <w:fldChar w:fldCharType="separate"/>
      </w:r>
      <w:r>
        <w:rPr>
          <w:rFonts w:cs="宋体"/>
          <w:color w:val="auto"/>
          <w:sz w:val="21"/>
          <w:szCs w:val="21"/>
          <w:highlight w:val="none"/>
        </w:rPr>
        <w:t xml:space="preserve">3. </w:t>
      </w:r>
      <w:r>
        <w:rPr>
          <w:rFonts w:hint="eastAsia" w:cs="宋体"/>
          <w:color w:val="auto"/>
          <w:sz w:val="21"/>
          <w:szCs w:val="21"/>
          <w:highlight w:val="none"/>
        </w:rPr>
        <w:t>货物和服务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_Toc25894 \h </w:instrText>
      </w:r>
      <w:r>
        <w:rPr>
          <w:rFonts w:hint="eastAsia" w:cs="宋体"/>
          <w:color w:val="auto"/>
          <w:sz w:val="21"/>
          <w:szCs w:val="21"/>
          <w:highlight w:val="none"/>
        </w:rPr>
        <w:fldChar w:fldCharType="separate"/>
      </w:r>
      <w:r>
        <w:rPr>
          <w:rFonts w:hint="eastAsia" w:cs="宋体"/>
          <w:color w:val="auto"/>
          <w:sz w:val="21"/>
          <w:szCs w:val="21"/>
          <w:highlight w:val="none"/>
        </w:rPr>
        <w:t>- 254 -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"_Toc3646" </w:instrText>
      </w:r>
      <w:r>
        <w:rPr>
          <w:color w:val="auto"/>
          <w:highlight w:val="none"/>
        </w:rPr>
        <w:fldChar w:fldCharType="separate"/>
      </w:r>
      <w:r>
        <w:rPr>
          <w:rFonts w:cs="宋体"/>
          <w:color w:val="auto"/>
          <w:sz w:val="21"/>
          <w:szCs w:val="21"/>
          <w:highlight w:val="none"/>
        </w:rPr>
        <w:t xml:space="preserve">4. </w:t>
      </w:r>
      <w:r>
        <w:rPr>
          <w:rFonts w:hint="eastAsia" w:cs="宋体"/>
          <w:color w:val="auto"/>
          <w:sz w:val="21"/>
          <w:szCs w:val="21"/>
          <w:highlight w:val="none"/>
        </w:rPr>
        <w:t>投标费用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_Toc3646 \h </w:instrText>
      </w:r>
      <w:r>
        <w:rPr>
          <w:rFonts w:hint="eastAsia" w:cs="宋体"/>
          <w:color w:val="auto"/>
          <w:sz w:val="21"/>
          <w:szCs w:val="21"/>
          <w:highlight w:val="none"/>
        </w:rPr>
        <w:fldChar w:fldCharType="separate"/>
      </w:r>
      <w:r>
        <w:rPr>
          <w:rFonts w:hint="eastAsia" w:cs="宋体"/>
          <w:color w:val="auto"/>
          <w:sz w:val="21"/>
          <w:szCs w:val="21"/>
          <w:highlight w:val="none"/>
        </w:rPr>
        <w:t>- 254 -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"_Toc26779" </w:instrText>
      </w:r>
      <w:r>
        <w:rPr>
          <w:color w:val="auto"/>
          <w:highlight w:val="none"/>
        </w:rPr>
        <w:fldChar w:fldCharType="separate"/>
      </w:r>
      <w:r>
        <w:rPr>
          <w:rFonts w:cs="宋体"/>
          <w:color w:val="auto"/>
          <w:sz w:val="21"/>
          <w:szCs w:val="21"/>
          <w:highlight w:val="none"/>
        </w:rPr>
        <w:t xml:space="preserve">5. </w:t>
      </w:r>
      <w:r>
        <w:rPr>
          <w:rFonts w:hint="eastAsia" w:cs="宋体"/>
          <w:color w:val="auto"/>
          <w:sz w:val="21"/>
          <w:szCs w:val="21"/>
          <w:highlight w:val="none"/>
        </w:rPr>
        <w:t>知识产权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_Toc26779 \h </w:instrText>
      </w:r>
      <w:r>
        <w:rPr>
          <w:rFonts w:hint="eastAsia" w:cs="宋体"/>
          <w:color w:val="auto"/>
          <w:sz w:val="21"/>
          <w:szCs w:val="21"/>
          <w:highlight w:val="none"/>
        </w:rPr>
        <w:fldChar w:fldCharType="separate"/>
      </w:r>
      <w:r>
        <w:rPr>
          <w:rFonts w:hint="eastAsia" w:cs="宋体"/>
          <w:color w:val="auto"/>
          <w:sz w:val="21"/>
          <w:szCs w:val="21"/>
          <w:highlight w:val="none"/>
        </w:rPr>
        <w:t>- 255 -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"_Toc3398" </w:instrText>
      </w:r>
      <w:r>
        <w:rPr>
          <w:color w:val="auto"/>
          <w:highlight w:val="none"/>
        </w:rPr>
        <w:fldChar w:fldCharType="separate"/>
      </w:r>
      <w:r>
        <w:rPr>
          <w:rFonts w:cs="宋体"/>
          <w:color w:val="auto"/>
          <w:sz w:val="21"/>
          <w:szCs w:val="21"/>
          <w:highlight w:val="none"/>
        </w:rPr>
        <w:t xml:space="preserve">6. </w:t>
      </w:r>
      <w:r>
        <w:rPr>
          <w:rFonts w:hint="eastAsia" w:cs="宋体"/>
          <w:color w:val="auto"/>
          <w:sz w:val="21"/>
          <w:szCs w:val="21"/>
          <w:highlight w:val="none"/>
        </w:rPr>
        <w:t>关于联合体投标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_Toc3398 \h </w:instrText>
      </w:r>
      <w:r>
        <w:rPr>
          <w:rFonts w:hint="eastAsia" w:cs="宋体"/>
          <w:color w:val="auto"/>
          <w:sz w:val="21"/>
          <w:szCs w:val="21"/>
          <w:highlight w:val="none"/>
        </w:rPr>
        <w:fldChar w:fldCharType="separate"/>
      </w:r>
      <w:r>
        <w:rPr>
          <w:rFonts w:hint="eastAsia" w:cs="宋体"/>
          <w:color w:val="auto"/>
          <w:sz w:val="21"/>
          <w:szCs w:val="21"/>
          <w:highlight w:val="none"/>
        </w:rPr>
        <w:t>- 255 -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"_Toc9716" </w:instrText>
      </w:r>
      <w:r>
        <w:rPr>
          <w:color w:val="auto"/>
          <w:highlight w:val="none"/>
        </w:rPr>
        <w:fldChar w:fldCharType="separate"/>
      </w:r>
      <w:r>
        <w:rPr>
          <w:rFonts w:cs="宋体"/>
          <w:color w:val="auto"/>
          <w:sz w:val="21"/>
          <w:szCs w:val="21"/>
          <w:highlight w:val="none"/>
        </w:rPr>
        <w:t xml:space="preserve">7. </w:t>
      </w:r>
      <w:r>
        <w:rPr>
          <w:rFonts w:hint="eastAsia" w:cs="宋体"/>
          <w:color w:val="auto"/>
          <w:sz w:val="21"/>
          <w:szCs w:val="21"/>
          <w:highlight w:val="none"/>
        </w:rPr>
        <w:t>关于分支机构投标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_Toc9716 \h </w:instrText>
      </w:r>
      <w:r>
        <w:rPr>
          <w:rFonts w:hint="eastAsia" w:cs="宋体"/>
          <w:color w:val="auto"/>
          <w:sz w:val="21"/>
          <w:szCs w:val="21"/>
          <w:highlight w:val="none"/>
        </w:rPr>
        <w:fldChar w:fldCharType="separate"/>
      </w:r>
      <w:r>
        <w:rPr>
          <w:rFonts w:hint="eastAsia" w:cs="宋体"/>
          <w:color w:val="auto"/>
          <w:sz w:val="21"/>
          <w:szCs w:val="21"/>
          <w:highlight w:val="none"/>
        </w:rPr>
        <w:t>- 256 -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"_Toc8711" </w:instrText>
      </w:r>
      <w:r>
        <w:rPr>
          <w:color w:val="auto"/>
          <w:highlight w:val="none"/>
        </w:rPr>
        <w:fldChar w:fldCharType="separate"/>
      </w:r>
      <w:r>
        <w:rPr>
          <w:rFonts w:cs="宋体"/>
          <w:color w:val="auto"/>
          <w:sz w:val="21"/>
          <w:szCs w:val="21"/>
          <w:highlight w:val="none"/>
        </w:rPr>
        <w:t xml:space="preserve">8. </w:t>
      </w:r>
      <w:r>
        <w:rPr>
          <w:rFonts w:hint="eastAsia" w:cs="宋体"/>
          <w:color w:val="auto"/>
          <w:sz w:val="21"/>
          <w:szCs w:val="21"/>
          <w:highlight w:val="none"/>
        </w:rPr>
        <w:t>踏勘现场</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_Toc8711 \h </w:instrText>
      </w:r>
      <w:r>
        <w:rPr>
          <w:rFonts w:hint="eastAsia" w:cs="宋体"/>
          <w:color w:val="auto"/>
          <w:sz w:val="21"/>
          <w:szCs w:val="21"/>
          <w:highlight w:val="none"/>
        </w:rPr>
        <w:fldChar w:fldCharType="separate"/>
      </w:r>
      <w:r>
        <w:rPr>
          <w:rFonts w:hint="eastAsia" w:cs="宋体"/>
          <w:color w:val="auto"/>
          <w:sz w:val="21"/>
          <w:szCs w:val="21"/>
          <w:highlight w:val="none"/>
        </w:rPr>
        <w:t>- 256 -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"_Toc3302" </w:instrText>
      </w:r>
      <w:r>
        <w:rPr>
          <w:color w:val="auto"/>
          <w:highlight w:val="none"/>
        </w:rPr>
        <w:fldChar w:fldCharType="separate"/>
      </w:r>
      <w:r>
        <w:rPr>
          <w:rFonts w:cs="宋体"/>
          <w:color w:val="auto"/>
          <w:sz w:val="21"/>
          <w:szCs w:val="21"/>
          <w:highlight w:val="none"/>
        </w:rPr>
        <w:t xml:space="preserve">二、 </w:t>
      </w:r>
      <w:r>
        <w:rPr>
          <w:rFonts w:hint="eastAsia" w:cs="宋体"/>
          <w:color w:val="auto"/>
          <w:sz w:val="21"/>
          <w:szCs w:val="21"/>
          <w:highlight w:val="none"/>
        </w:rPr>
        <w:t>采购文件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_Toc3302 \h </w:instrText>
      </w:r>
      <w:r>
        <w:rPr>
          <w:rFonts w:hint="eastAsia" w:cs="宋体"/>
          <w:color w:val="auto"/>
          <w:sz w:val="21"/>
          <w:szCs w:val="21"/>
          <w:highlight w:val="none"/>
        </w:rPr>
        <w:fldChar w:fldCharType="separate"/>
      </w:r>
      <w:r>
        <w:rPr>
          <w:rFonts w:hint="eastAsia" w:cs="宋体"/>
          <w:color w:val="auto"/>
          <w:sz w:val="21"/>
          <w:szCs w:val="21"/>
          <w:highlight w:val="none"/>
        </w:rPr>
        <w:t>- 256 -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"_Toc23219" </w:instrText>
      </w:r>
      <w:r>
        <w:rPr>
          <w:color w:val="auto"/>
          <w:highlight w:val="none"/>
        </w:rPr>
        <w:fldChar w:fldCharType="separate"/>
      </w:r>
      <w:r>
        <w:rPr>
          <w:rFonts w:cs="宋体"/>
          <w:color w:val="auto"/>
          <w:sz w:val="21"/>
          <w:szCs w:val="21"/>
          <w:highlight w:val="none"/>
        </w:rPr>
        <w:t xml:space="preserve">9. </w:t>
      </w:r>
      <w:r>
        <w:rPr>
          <w:rFonts w:hint="eastAsia" w:cs="宋体"/>
          <w:color w:val="auto"/>
          <w:sz w:val="21"/>
          <w:szCs w:val="21"/>
          <w:highlight w:val="none"/>
        </w:rPr>
        <w:t>采购文件的组成</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_Toc23219 \h </w:instrText>
      </w:r>
      <w:r>
        <w:rPr>
          <w:rFonts w:hint="eastAsia" w:cs="宋体"/>
          <w:color w:val="auto"/>
          <w:sz w:val="21"/>
          <w:szCs w:val="21"/>
          <w:highlight w:val="none"/>
        </w:rPr>
        <w:fldChar w:fldCharType="separate"/>
      </w:r>
      <w:r>
        <w:rPr>
          <w:rFonts w:hint="eastAsia" w:cs="宋体"/>
          <w:color w:val="auto"/>
          <w:sz w:val="21"/>
          <w:szCs w:val="21"/>
          <w:highlight w:val="none"/>
        </w:rPr>
        <w:t>- 256 -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"_Toc765" </w:instrText>
      </w:r>
      <w:r>
        <w:rPr>
          <w:color w:val="auto"/>
          <w:highlight w:val="none"/>
        </w:rPr>
        <w:fldChar w:fldCharType="separate"/>
      </w:r>
      <w:r>
        <w:rPr>
          <w:rFonts w:cs="宋体"/>
          <w:color w:val="auto"/>
          <w:sz w:val="21"/>
          <w:szCs w:val="21"/>
          <w:highlight w:val="none"/>
        </w:rPr>
        <w:t xml:space="preserve">10. </w:t>
      </w:r>
      <w:r>
        <w:rPr>
          <w:rFonts w:hint="eastAsia" w:cs="宋体"/>
          <w:color w:val="auto"/>
          <w:sz w:val="21"/>
          <w:szCs w:val="21"/>
          <w:highlight w:val="none"/>
        </w:rPr>
        <w:t>采购文件的澄清或修改</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_Toc765 \h </w:instrText>
      </w:r>
      <w:r>
        <w:rPr>
          <w:rFonts w:hint="eastAsia" w:cs="宋体"/>
          <w:color w:val="auto"/>
          <w:sz w:val="21"/>
          <w:szCs w:val="21"/>
          <w:highlight w:val="none"/>
        </w:rPr>
        <w:fldChar w:fldCharType="separate"/>
      </w:r>
      <w:r>
        <w:rPr>
          <w:rFonts w:hint="eastAsia" w:cs="宋体"/>
          <w:color w:val="auto"/>
          <w:sz w:val="21"/>
          <w:szCs w:val="21"/>
          <w:highlight w:val="none"/>
        </w:rPr>
        <w:t>- 256 -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"_Toc24125" </w:instrText>
      </w:r>
      <w:r>
        <w:rPr>
          <w:color w:val="auto"/>
          <w:highlight w:val="none"/>
        </w:rPr>
        <w:fldChar w:fldCharType="separate"/>
      </w:r>
      <w:r>
        <w:rPr>
          <w:rFonts w:cs="宋体"/>
          <w:color w:val="auto"/>
          <w:sz w:val="21"/>
          <w:szCs w:val="21"/>
          <w:highlight w:val="none"/>
        </w:rPr>
        <w:t xml:space="preserve">三、 </w:t>
      </w:r>
      <w:r>
        <w:rPr>
          <w:rFonts w:hint="eastAsia" w:cs="宋体"/>
          <w:color w:val="auto"/>
          <w:sz w:val="21"/>
          <w:szCs w:val="21"/>
          <w:highlight w:val="none"/>
        </w:rPr>
        <w:t>投标文件的编制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_Toc24125 \h </w:instrText>
      </w:r>
      <w:r>
        <w:rPr>
          <w:rFonts w:hint="eastAsia" w:cs="宋体"/>
          <w:color w:val="auto"/>
          <w:sz w:val="21"/>
          <w:szCs w:val="21"/>
          <w:highlight w:val="none"/>
        </w:rPr>
        <w:fldChar w:fldCharType="separate"/>
      </w:r>
      <w:r>
        <w:rPr>
          <w:rFonts w:hint="eastAsia" w:cs="宋体"/>
          <w:color w:val="auto"/>
          <w:sz w:val="21"/>
          <w:szCs w:val="21"/>
          <w:highlight w:val="none"/>
        </w:rPr>
        <w:t>- 257 -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"_Toc29844" </w:instrText>
      </w:r>
      <w:r>
        <w:rPr>
          <w:color w:val="auto"/>
          <w:highlight w:val="none"/>
        </w:rPr>
        <w:fldChar w:fldCharType="separate"/>
      </w:r>
      <w:r>
        <w:rPr>
          <w:rFonts w:cs="宋体"/>
          <w:color w:val="auto"/>
          <w:sz w:val="21"/>
          <w:szCs w:val="21"/>
          <w:highlight w:val="none"/>
        </w:rPr>
        <w:t xml:space="preserve">11. </w:t>
      </w:r>
      <w:r>
        <w:rPr>
          <w:rFonts w:hint="eastAsia" w:cs="宋体"/>
          <w:color w:val="auto"/>
          <w:sz w:val="21"/>
          <w:szCs w:val="21"/>
          <w:highlight w:val="none"/>
        </w:rPr>
        <w:t>投标文件的语言及度量衡单位</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_Toc29844 \h </w:instrText>
      </w:r>
      <w:r>
        <w:rPr>
          <w:rFonts w:hint="eastAsia" w:cs="宋体"/>
          <w:color w:val="auto"/>
          <w:sz w:val="21"/>
          <w:szCs w:val="21"/>
          <w:highlight w:val="none"/>
        </w:rPr>
        <w:fldChar w:fldCharType="separate"/>
      </w:r>
      <w:r>
        <w:rPr>
          <w:rFonts w:hint="eastAsia" w:cs="宋体"/>
          <w:color w:val="auto"/>
          <w:sz w:val="21"/>
          <w:szCs w:val="21"/>
          <w:highlight w:val="none"/>
        </w:rPr>
        <w:t>- 257 -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"_Toc3072" </w:instrText>
      </w:r>
      <w:r>
        <w:rPr>
          <w:color w:val="auto"/>
          <w:highlight w:val="none"/>
        </w:rPr>
        <w:fldChar w:fldCharType="separate"/>
      </w:r>
      <w:r>
        <w:rPr>
          <w:rFonts w:cs="宋体"/>
          <w:color w:val="auto"/>
          <w:sz w:val="21"/>
          <w:szCs w:val="21"/>
          <w:highlight w:val="none"/>
        </w:rPr>
        <w:t xml:space="preserve">12. </w:t>
      </w:r>
      <w:r>
        <w:rPr>
          <w:rFonts w:hint="eastAsia" w:cs="宋体"/>
          <w:color w:val="auto"/>
          <w:sz w:val="21"/>
          <w:szCs w:val="21"/>
          <w:highlight w:val="none"/>
        </w:rPr>
        <w:t>投标文件的组成</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_Toc3072 \h </w:instrText>
      </w:r>
      <w:r>
        <w:rPr>
          <w:rFonts w:hint="eastAsia" w:cs="宋体"/>
          <w:color w:val="auto"/>
          <w:sz w:val="21"/>
          <w:szCs w:val="21"/>
          <w:highlight w:val="none"/>
        </w:rPr>
        <w:fldChar w:fldCharType="separate"/>
      </w:r>
      <w:r>
        <w:rPr>
          <w:rFonts w:hint="eastAsia" w:cs="宋体"/>
          <w:color w:val="auto"/>
          <w:sz w:val="21"/>
          <w:szCs w:val="21"/>
          <w:highlight w:val="none"/>
        </w:rPr>
        <w:t>- 257 -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"_Toc32344" </w:instrText>
      </w:r>
      <w:r>
        <w:rPr>
          <w:color w:val="auto"/>
          <w:highlight w:val="none"/>
        </w:rPr>
        <w:fldChar w:fldCharType="separate"/>
      </w:r>
      <w:r>
        <w:rPr>
          <w:rFonts w:cs="宋体"/>
          <w:color w:val="auto"/>
          <w:sz w:val="21"/>
          <w:szCs w:val="21"/>
          <w:highlight w:val="none"/>
        </w:rPr>
        <w:t xml:space="preserve">13. </w:t>
      </w:r>
      <w:r>
        <w:rPr>
          <w:rFonts w:hint="eastAsia" w:cs="宋体"/>
          <w:color w:val="auto"/>
          <w:sz w:val="21"/>
          <w:szCs w:val="21"/>
          <w:highlight w:val="none"/>
        </w:rPr>
        <w:t>投标文件编制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_Toc32344 \h </w:instrText>
      </w:r>
      <w:r>
        <w:rPr>
          <w:rFonts w:hint="eastAsia" w:cs="宋体"/>
          <w:color w:val="auto"/>
          <w:sz w:val="21"/>
          <w:szCs w:val="21"/>
          <w:highlight w:val="none"/>
        </w:rPr>
        <w:fldChar w:fldCharType="separate"/>
      </w:r>
      <w:r>
        <w:rPr>
          <w:rFonts w:hint="eastAsia" w:cs="宋体"/>
          <w:color w:val="auto"/>
          <w:sz w:val="21"/>
          <w:szCs w:val="21"/>
          <w:highlight w:val="none"/>
        </w:rPr>
        <w:t>- 257 -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"_Toc26026" </w:instrText>
      </w:r>
      <w:r>
        <w:rPr>
          <w:color w:val="auto"/>
          <w:highlight w:val="none"/>
        </w:rPr>
        <w:fldChar w:fldCharType="separate"/>
      </w:r>
      <w:r>
        <w:rPr>
          <w:rFonts w:cs="宋体"/>
          <w:color w:val="auto"/>
          <w:sz w:val="21"/>
          <w:szCs w:val="21"/>
          <w:highlight w:val="none"/>
        </w:rPr>
        <w:t xml:space="preserve">14. </w:t>
      </w:r>
      <w:r>
        <w:rPr>
          <w:rFonts w:hint="eastAsia" w:cs="宋体"/>
          <w:color w:val="auto"/>
          <w:sz w:val="21"/>
          <w:szCs w:val="21"/>
          <w:highlight w:val="none"/>
        </w:rPr>
        <w:t>投标报价说明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_Toc26026 \h </w:instrText>
      </w:r>
      <w:r>
        <w:rPr>
          <w:rFonts w:hint="eastAsia" w:cs="宋体"/>
          <w:color w:val="auto"/>
          <w:sz w:val="21"/>
          <w:szCs w:val="21"/>
          <w:highlight w:val="none"/>
        </w:rPr>
        <w:fldChar w:fldCharType="separate"/>
      </w:r>
      <w:r>
        <w:rPr>
          <w:rFonts w:hint="eastAsia" w:cs="宋体"/>
          <w:color w:val="auto"/>
          <w:sz w:val="21"/>
          <w:szCs w:val="21"/>
          <w:highlight w:val="none"/>
        </w:rPr>
        <w:t>- 258 -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"_Toc31762" </w:instrText>
      </w:r>
      <w:r>
        <w:rPr>
          <w:color w:val="auto"/>
          <w:highlight w:val="none"/>
        </w:rPr>
        <w:fldChar w:fldCharType="separate"/>
      </w:r>
      <w:r>
        <w:rPr>
          <w:rFonts w:cs="宋体"/>
          <w:color w:val="auto"/>
          <w:sz w:val="21"/>
          <w:szCs w:val="21"/>
          <w:highlight w:val="none"/>
        </w:rPr>
        <w:t xml:space="preserve">15. </w:t>
      </w:r>
      <w:r>
        <w:rPr>
          <w:rFonts w:hint="eastAsia" w:cs="宋体"/>
          <w:color w:val="auto"/>
          <w:sz w:val="21"/>
          <w:szCs w:val="21"/>
          <w:highlight w:val="none"/>
        </w:rPr>
        <w:t>投标人所提供的服务或货物的证明文件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_Toc31762 \h </w:instrText>
      </w:r>
      <w:r>
        <w:rPr>
          <w:rFonts w:hint="eastAsia" w:cs="宋体"/>
          <w:color w:val="auto"/>
          <w:sz w:val="21"/>
          <w:szCs w:val="21"/>
          <w:highlight w:val="none"/>
        </w:rPr>
        <w:fldChar w:fldCharType="separate"/>
      </w:r>
      <w:r>
        <w:rPr>
          <w:rFonts w:hint="eastAsia" w:cs="宋体"/>
          <w:color w:val="auto"/>
          <w:sz w:val="21"/>
          <w:szCs w:val="21"/>
          <w:highlight w:val="none"/>
        </w:rPr>
        <w:t>- 258 -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"_Toc32111" </w:instrText>
      </w:r>
      <w:r>
        <w:rPr>
          <w:color w:val="auto"/>
          <w:highlight w:val="none"/>
        </w:rPr>
        <w:fldChar w:fldCharType="separate"/>
      </w:r>
      <w:r>
        <w:rPr>
          <w:rFonts w:cs="宋体"/>
          <w:color w:val="auto"/>
          <w:sz w:val="21"/>
          <w:szCs w:val="21"/>
          <w:highlight w:val="none"/>
        </w:rPr>
        <w:t xml:space="preserve">16. </w:t>
      </w:r>
      <w:r>
        <w:rPr>
          <w:rFonts w:hint="eastAsia" w:cs="宋体"/>
          <w:color w:val="auto"/>
          <w:sz w:val="21"/>
          <w:szCs w:val="21"/>
          <w:highlight w:val="none"/>
        </w:rPr>
        <w:t>投标有效期</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_Toc32111 \h </w:instrText>
      </w:r>
      <w:r>
        <w:rPr>
          <w:rFonts w:hint="eastAsia" w:cs="宋体"/>
          <w:color w:val="auto"/>
          <w:sz w:val="21"/>
          <w:szCs w:val="21"/>
          <w:highlight w:val="none"/>
        </w:rPr>
        <w:fldChar w:fldCharType="separate"/>
      </w:r>
      <w:r>
        <w:rPr>
          <w:rFonts w:hint="eastAsia" w:cs="宋体"/>
          <w:color w:val="auto"/>
          <w:sz w:val="21"/>
          <w:szCs w:val="21"/>
          <w:highlight w:val="none"/>
        </w:rPr>
        <w:t>- 259 -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"_Toc28301" </w:instrText>
      </w:r>
      <w:r>
        <w:rPr>
          <w:color w:val="auto"/>
          <w:highlight w:val="none"/>
        </w:rPr>
        <w:fldChar w:fldCharType="separate"/>
      </w:r>
      <w:r>
        <w:rPr>
          <w:rFonts w:cs="宋体"/>
          <w:color w:val="auto"/>
          <w:sz w:val="21"/>
          <w:szCs w:val="21"/>
          <w:highlight w:val="none"/>
        </w:rPr>
        <w:t xml:space="preserve">17. </w:t>
      </w:r>
      <w:r>
        <w:rPr>
          <w:rFonts w:hint="eastAsia" w:cs="宋体"/>
          <w:color w:val="auto"/>
          <w:sz w:val="21"/>
          <w:szCs w:val="21"/>
          <w:highlight w:val="none"/>
        </w:rPr>
        <w:t>投标保证金</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_Toc28301 \h </w:instrText>
      </w:r>
      <w:r>
        <w:rPr>
          <w:rFonts w:hint="eastAsia" w:cs="宋体"/>
          <w:color w:val="auto"/>
          <w:sz w:val="21"/>
          <w:szCs w:val="21"/>
          <w:highlight w:val="none"/>
        </w:rPr>
        <w:fldChar w:fldCharType="separate"/>
      </w:r>
      <w:r>
        <w:rPr>
          <w:rFonts w:hint="eastAsia" w:cs="宋体"/>
          <w:color w:val="auto"/>
          <w:sz w:val="21"/>
          <w:szCs w:val="21"/>
          <w:highlight w:val="none"/>
        </w:rPr>
        <w:t>- 259 -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"_Toc12999" </w:instrText>
      </w:r>
      <w:r>
        <w:rPr>
          <w:color w:val="auto"/>
          <w:highlight w:val="none"/>
        </w:rPr>
        <w:fldChar w:fldCharType="separate"/>
      </w:r>
      <w:r>
        <w:rPr>
          <w:rFonts w:cs="宋体"/>
          <w:color w:val="auto"/>
          <w:sz w:val="21"/>
          <w:szCs w:val="21"/>
          <w:highlight w:val="none"/>
        </w:rPr>
        <w:t xml:space="preserve">四、 </w:t>
      </w:r>
      <w:r>
        <w:rPr>
          <w:rFonts w:hint="eastAsia" w:cs="宋体"/>
          <w:color w:val="auto"/>
          <w:sz w:val="21"/>
          <w:szCs w:val="21"/>
          <w:highlight w:val="none"/>
        </w:rPr>
        <w:t>投标文件的递交</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_Toc12999 \h </w:instrText>
      </w:r>
      <w:r>
        <w:rPr>
          <w:rFonts w:hint="eastAsia" w:cs="宋体"/>
          <w:color w:val="auto"/>
          <w:sz w:val="21"/>
          <w:szCs w:val="21"/>
          <w:highlight w:val="none"/>
        </w:rPr>
        <w:fldChar w:fldCharType="separate"/>
      </w:r>
      <w:r>
        <w:rPr>
          <w:rFonts w:hint="eastAsia" w:cs="宋体"/>
          <w:color w:val="auto"/>
          <w:sz w:val="21"/>
          <w:szCs w:val="21"/>
          <w:highlight w:val="none"/>
        </w:rPr>
        <w:t>- 260 -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"_Toc31180" </w:instrText>
      </w:r>
      <w:r>
        <w:rPr>
          <w:color w:val="auto"/>
          <w:highlight w:val="none"/>
        </w:rPr>
        <w:fldChar w:fldCharType="separate"/>
      </w:r>
      <w:r>
        <w:rPr>
          <w:rFonts w:cs="宋体"/>
          <w:color w:val="auto"/>
          <w:sz w:val="21"/>
          <w:szCs w:val="21"/>
          <w:highlight w:val="none"/>
        </w:rPr>
        <w:t xml:space="preserve">18. </w:t>
      </w:r>
      <w:r>
        <w:rPr>
          <w:rFonts w:hint="eastAsia" w:cs="宋体"/>
          <w:color w:val="auto"/>
          <w:sz w:val="21"/>
          <w:szCs w:val="21"/>
          <w:highlight w:val="none"/>
        </w:rPr>
        <w:t>投标文件的装订，签署，密封和标记</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_Toc31180 \h </w:instrText>
      </w:r>
      <w:r>
        <w:rPr>
          <w:rFonts w:hint="eastAsia" w:cs="宋体"/>
          <w:color w:val="auto"/>
          <w:sz w:val="21"/>
          <w:szCs w:val="21"/>
          <w:highlight w:val="none"/>
        </w:rPr>
        <w:fldChar w:fldCharType="separate"/>
      </w:r>
      <w:r>
        <w:rPr>
          <w:rFonts w:hint="eastAsia" w:cs="宋体"/>
          <w:color w:val="auto"/>
          <w:sz w:val="21"/>
          <w:szCs w:val="21"/>
          <w:highlight w:val="none"/>
        </w:rPr>
        <w:t>- 260 -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"_Toc6737" </w:instrText>
      </w:r>
      <w:r>
        <w:rPr>
          <w:color w:val="auto"/>
          <w:highlight w:val="none"/>
        </w:rPr>
        <w:fldChar w:fldCharType="separate"/>
      </w:r>
      <w:r>
        <w:rPr>
          <w:rFonts w:cs="宋体"/>
          <w:color w:val="auto"/>
          <w:sz w:val="21"/>
          <w:szCs w:val="21"/>
          <w:highlight w:val="none"/>
        </w:rPr>
        <w:t xml:space="preserve">19. </w:t>
      </w:r>
      <w:r>
        <w:rPr>
          <w:rFonts w:hint="eastAsia" w:cs="宋体"/>
          <w:color w:val="auto"/>
          <w:sz w:val="21"/>
          <w:szCs w:val="21"/>
          <w:highlight w:val="none"/>
        </w:rPr>
        <w:t>迟交的投标文件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_Toc6737 \h </w:instrText>
      </w:r>
      <w:r>
        <w:rPr>
          <w:rFonts w:hint="eastAsia" w:cs="宋体"/>
          <w:color w:val="auto"/>
          <w:sz w:val="21"/>
          <w:szCs w:val="21"/>
          <w:highlight w:val="none"/>
        </w:rPr>
        <w:fldChar w:fldCharType="separate"/>
      </w:r>
      <w:r>
        <w:rPr>
          <w:rFonts w:hint="eastAsia" w:cs="宋体"/>
          <w:color w:val="auto"/>
          <w:sz w:val="21"/>
          <w:szCs w:val="21"/>
          <w:highlight w:val="none"/>
        </w:rPr>
        <w:t>- 261 -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"_Toc1528" </w:instrText>
      </w:r>
      <w:r>
        <w:rPr>
          <w:color w:val="auto"/>
          <w:highlight w:val="none"/>
        </w:rPr>
        <w:fldChar w:fldCharType="separate"/>
      </w:r>
      <w:r>
        <w:rPr>
          <w:rFonts w:cs="宋体"/>
          <w:color w:val="auto"/>
          <w:sz w:val="21"/>
          <w:szCs w:val="21"/>
          <w:highlight w:val="none"/>
        </w:rPr>
        <w:t xml:space="preserve">20. </w:t>
      </w:r>
      <w:r>
        <w:rPr>
          <w:rFonts w:hint="eastAsia" w:cs="宋体"/>
          <w:color w:val="auto"/>
          <w:sz w:val="21"/>
          <w:szCs w:val="21"/>
          <w:highlight w:val="none"/>
        </w:rPr>
        <w:t>投标样品（如需提交）</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_Toc1528 \h </w:instrText>
      </w:r>
      <w:r>
        <w:rPr>
          <w:rFonts w:hint="eastAsia" w:cs="宋体"/>
          <w:color w:val="auto"/>
          <w:sz w:val="21"/>
          <w:szCs w:val="21"/>
          <w:highlight w:val="none"/>
        </w:rPr>
        <w:fldChar w:fldCharType="separate"/>
      </w:r>
      <w:r>
        <w:rPr>
          <w:rFonts w:hint="eastAsia" w:cs="宋体"/>
          <w:color w:val="auto"/>
          <w:sz w:val="21"/>
          <w:szCs w:val="21"/>
          <w:highlight w:val="none"/>
        </w:rPr>
        <w:t>- 261 -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"_Toc4491" </w:instrText>
      </w:r>
      <w:r>
        <w:rPr>
          <w:color w:val="auto"/>
          <w:highlight w:val="none"/>
        </w:rPr>
        <w:fldChar w:fldCharType="separate"/>
      </w:r>
      <w:r>
        <w:rPr>
          <w:rFonts w:cs="宋体"/>
          <w:color w:val="auto"/>
          <w:sz w:val="21"/>
          <w:szCs w:val="21"/>
          <w:highlight w:val="none"/>
        </w:rPr>
        <w:t xml:space="preserve">21. </w:t>
      </w:r>
      <w:r>
        <w:rPr>
          <w:rFonts w:hint="eastAsia" w:cs="宋体"/>
          <w:color w:val="auto"/>
          <w:sz w:val="21"/>
          <w:szCs w:val="21"/>
          <w:highlight w:val="none"/>
        </w:rPr>
        <w:t>投标截止期</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_Toc4491 \h </w:instrText>
      </w:r>
      <w:r>
        <w:rPr>
          <w:rFonts w:hint="eastAsia" w:cs="宋体"/>
          <w:color w:val="auto"/>
          <w:sz w:val="21"/>
          <w:szCs w:val="21"/>
          <w:highlight w:val="none"/>
        </w:rPr>
        <w:fldChar w:fldCharType="separate"/>
      </w:r>
      <w:r>
        <w:rPr>
          <w:rFonts w:hint="eastAsia" w:cs="宋体"/>
          <w:color w:val="auto"/>
          <w:sz w:val="21"/>
          <w:szCs w:val="21"/>
          <w:highlight w:val="none"/>
        </w:rPr>
        <w:t>- 261 -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"_Toc8362" </w:instrText>
      </w:r>
      <w:r>
        <w:rPr>
          <w:color w:val="auto"/>
          <w:highlight w:val="none"/>
        </w:rPr>
        <w:fldChar w:fldCharType="separate"/>
      </w:r>
      <w:r>
        <w:rPr>
          <w:rFonts w:cs="宋体"/>
          <w:color w:val="auto"/>
          <w:sz w:val="21"/>
          <w:szCs w:val="21"/>
          <w:highlight w:val="none"/>
        </w:rPr>
        <w:t xml:space="preserve">22. </w:t>
      </w:r>
      <w:r>
        <w:rPr>
          <w:rFonts w:hint="eastAsia" w:cs="宋体"/>
          <w:color w:val="auto"/>
          <w:sz w:val="21"/>
          <w:szCs w:val="21"/>
          <w:highlight w:val="none"/>
        </w:rPr>
        <w:t>投标文件的补充、修改与撤回</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_Toc8362 \h </w:instrText>
      </w:r>
      <w:r>
        <w:rPr>
          <w:rFonts w:hint="eastAsia" w:cs="宋体"/>
          <w:color w:val="auto"/>
          <w:sz w:val="21"/>
          <w:szCs w:val="21"/>
          <w:highlight w:val="none"/>
        </w:rPr>
        <w:fldChar w:fldCharType="separate"/>
      </w:r>
      <w:r>
        <w:rPr>
          <w:rFonts w:hint="eastAsia" w:cs="宋体"/>
          <w:color w:val="auto"/>
          <w:sz w:val="21"/>
          <w:szCs w:val="21"/>
          <w:highlight w:val="none"/>
        </w:rPr>
        <w:t>- 262 -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"_Toc17786" </w:instrText>
      </w:r>
      <w:r>
        <w:rPr>
          <w:color w:val="auto"/>
          <w:highlight w:val="none"/>
        </w:rPr>
        <w:fldChar w:fldCharType="separate"/>
      </w:r>
      <w:r>
        <w:rPr>
          <w:rFonts w:cs="宋体"/>
          <w:color w:val="auto"/>
          <w:sz w:val="21"/>
          <w:szCs w:val="21"/>
          <w:highlight w:val="none"/>
        </w:rPr>
        <w:t xml:space="preserve">五、 </w:t>
      </w:r>
      <w:r>
        <w:rPr>
          <w:rFonts w:hint="eastAsia" w:cs="宋体"/>
          <w:color w:val="auto"/>
          <w:sz w:val="21"/>
          <w:szCs w:val="21"/>
          <w:highlight w:val="none"/>
        </w:rPr>
        <w:t>开标与评标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_Toc17786 \h </w:instrText>
      </w:r>
      <w:r>
        <w:rPr>
          <w:rFonts w:hint="eastAsia" w:cs="宋体"/>
          <w:color w:val="auto"/>
          <w:sz w:val="21"/>
          <w:szCs w:val="21"/>
          <w:highlight w:val="none"/>
        </w:rPr>
        <w:fldChar w:fldCharType="separate"/>
      </w:r>
      <w:r>
        <w:rPr>
          <w:rFonts w:hint="eastAsia" w:cs="宋体"/>
          <w:color w:val="auto"/>
          <w:sz w:val="21"/>
          <w:szCs w:val="21"/>
          <w:highlight w:val="none"/>
        </w:rPr>
        <w:t>- 262 -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"_Toc26995" </w:instrText>
      </w:r>
      <w:r>
        <w:rPr>
          <w:color w:val="auto"/>
          <w:highlight w:val="none"/>
        </w:rPr>
        <w:fldChar w:fldCharType="separate"/>
      </w:r>
      <w:r>
        <w:rPr>
          <w:rFonts w:cs="宋体"/>
          <w:color w:val="auto"/>
          <w:sz w:val="21"/>
          <w:szCs w:val="21"/>
          <w:highlight w:val="none"/>
        </w:rPr>
        <w:t xml:space="preserve">23. </w:t>
      </w:r>
      <w:r>
        <w:rPr>
          <w:rFonts w:hint="eastAsia" w:cs="宋体"/>
          <w:color w:val="auto"/>
          <w:sz w:val="21"/>
          <w:szCs w:val="21"/>
          <w:highlight w:val="none"/>
        </w:rPr>
        <w:t>开标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_Toc26995 \h </w:instrText>
      </w:r>
      <w:r>
        <w:rPr>
          <w:rFonts w:hint="eastAsia" w:cs="宋体"/>
          <w:color w:val="auto"/>
          <w:sz w:val="21"/>
          <w:szCs w:val="21"/>
          <w:highlight w:val="none"/>
        </w:rPr>
        <w:fldChar w:fldCharType="separate"/>
      </w:r>
      <w:r>
        <w:rPr>
          <w:rFonts w:hint="eastAsia" w:cs="宋体"/>
          <w:color w:val="auto"/>
          <w:sz w:val="21"/>
          <w:szCs w:val="21"/>
          <w:highlight w:val="none"/>
        </w:rPr>
        <w:t>- 262 -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"_Toc27521" </w:instrText>
      </w:r>
      <w:r>
        <w:rPr>
          <w:color w:val="auto"/>
          <w:highlight w:val="none"/>
        </w:rPr>
        <w:fldChar w:fldCharType="separate"/>
      </w:r>
      <w:r>
        <w:rPr>
          <w:rFonts w:cs="宋体"/>
          <w:color w:val="auto"/>
          <w:sz w:val="21"/>
          <w:szCs w:val="21"/>
          <w:highlight w:val="none"/>
        </w:rPr>
        <w:t xml:space="preserve">24. </w:t>
      </w:r>
      <w:r>
        <w:rPr>
          <w:rFonts w:hint="eastAsia" w:cs="宋体"/>
          <w:color w:val="auto"/>
          <w:sz w:val="21"/>
          <w:szCs w:val="21"/>
          <w:highlight w:val="none"/>
        </w:rPr>
        <w:t>评标委员会及评标方法</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_Toc27521 \h </w:instrText>
      </w:r>
      <w:r>
        <w:rPr>
          <w:rFonts w:hint="eastAsia" w:cs="宋体"/>
          <w:color w:val="auto"/>
          <w:sz w:val="21"/>
          <w:szCs w:val="21"/>
          <w:highlight w:val="none"/>
        </w:rPr>
        <w:fldChar w:fldCharType="separate"/>
      </w:r>
      <w:r>
        <w:rPr>
          <w:rFonts w:hint="eastAsia" w:cs="宋体"/>
          <w:color w:val="auto"/>
          <w:sz w:val="21"/>
          <w:szCs w:val="21"/>
          <w:highlight w:val="none"/>
        </w:rPr>
        <w:t>- 263 -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"_Toc27610" </w:instrText>
      </w:r>
      <w:r>
        <w:rPr>
          <w:color w:val="auto"/>
          <w:highlight w:val="none"/>
        </w:rPr>
        <w:fldChar w:fldCharType="separate"/>
      </w:r>
      <w:r>
        <w:rPr>
          <w:rFonts w:cs="宋体"/>
          <w:color w:val="auto"/>
          <w:sz w:val="21"/>
          <w:szCs w:val="21"/>
          <w:highlight w:val="none"/>
        </w:rPr>
        <w:t xml:space="preserve">25. </w:t>
      </w:r>
      <w:r>
        <w:rPr>
          <w:rFonts w:hint="eastAsia" w:cs="宋体"/>
          <w:color w:val="auto"/>
          <w:sz w:val="21"/>
          <w:szCs w:val="21"/>
          <w:highlight w:val="none"/>
        </w:rPr>
        <w:t>评审原则及评标过程的保密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_Toc27610 \h </w:instrText>
      </w:r>
      <w:r>
        <w:rPr>
          <w:rFonts w:hint="eastAsia" w:cs="宋体"/>
          <w:color w:val="auto"/>
          <w:sz w:val="21"/>
          <w:szCs w:val="21"/>
          <w:highlight w:val="none"/>
        </w:rPr>
        <w:fldChar w:fldCharType="separate"/>
      </w:r>
      <w:r>
        <w:rPr>
          <w:rFonts w:hint="eastAsia" w:cs="宋体"/>
          <w:color w:val="auto"/>
          <w:sz w:val="21"/>
          <w:szCs w:val="21"/>
          <w:highlight w:val="none"/>
        </w:rPr>
        <w:t>- 263 -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"_Toc9714" </w:instrText>
      </w:r>
      <w:r>
        <w:rPr>
          <w:color w:val="auto"/>
          <w:highlight w:val="none"/>
        </w:rPr>
        <w:fldChar w:fldCharType="separate"/>
      </w:r>
      <w:r>
        <w:rPr>
          <w:rFonts w:cs="宋体"/>
          <w:color w:val="auto"/>
          <w:sz w:val="21"/>
          <w:szCs w:val="21"/>
          <w:highlight w:val="none"/>
        </w:rPr>
        <w:t xml:space="preserve">26. </w:t>
      </w:r>
      <w:r>
        <w:rPr>
          <w:rFonts w:hint="eastAsia" w:cs="宋体"/>
          <w:color w:val="auto"/>
          <w:sz w:val="21"/>
          <w:szCs w:val="21"/>
          <w:highlight w:val="none"/>
        </w:rPr>
        <w:t>评标程序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_Toc9714 \h </w:instrText>
      </w:r>
      <w:r>
        <w:rPr>
          <w:rFonts w:hint="eastAsia" w:cs="宋体"/>
          <w:color w:val="auto"/>
          <w:sz w:val="21"/>
          <w:szCs w:val="21"/>
          <w:highlight w:val="none"/>
        </w:rPr>
        <w:fldChar w:fldCharType="separate"/>
      </w:r>
      <w:r>
        <w:rPr>
          <w:rFonts w:hint="eastAsia" w:cs="宋体"/>
          <w:color w:val="auto"/>
          <w:sz w:val="21"/>
          <w:szCs w:val="21"/>
          <w:highlight w:val="none"/>
        </w:rPr>
        <w:t>- 263 -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"_Toc6703" </w:instrText>
      </w:r>
      <w:r>
        <w:rPr>
          <w:color w:val="auto"/>
          <w:highlight w:val="none"/>
        </w:rPr>
        <w:fldChar w:fldCharType="separate"/>
      </w:r>
      <w:r>
        <w:rPr>
          <w:rFonts w:cs="宋体"/>
          <w:color w:val="auto"/>
          <w:sz w:val="21"/>
          <w:szCs w:val="21"/>
          <w:highlight w:val="none"/>
        </w:rPr>
        <w:t xml:space="preserve">27. </w:t>
      </w:r>
      <w:r>
        <w:rPr>
          <w:rFonts w:hint="eastAsia" w:cs="宋体"/>
          <w:color w:val="auto"/>
          <w:sz w:val="21"/>
          <w:szCs w:val="21"/>
          <w:highlight w:val="none"/>
        </w:rPr>
        <w:t>商务、技术、价格评审（具体评审项目详见投标资料表）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_Toc6703 \h </w:instrText>
      </w:r>
      <w:r>
        <w:rPr>
          <w:rFonts w:hint="eastAsia" w:cs="宋体"/>
          <w:color w:val="auto"/>
          <w:sz w:val="21"/>
          <w:szCs w:val="21"/>
          <w:highlight w:val="none"/>
        </w:rPr>
        <w:fldChar w:fldCharType="separate"/>
      </w:r>
      <w:r>
        <w:rPr>
          <w:rFonts w:hint="eastAsia" w:cs="宋体"/>
          <w:color w:val="auto"/>
          <w:sz w:val="21"/>
          <w:szCs w:val="21"/>
          <w:highlight w:val="none"/>
        </w:rPr>
        <w:t>- 265 -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"_Toc6685" </w:instrText>
      </w:r>
      <w:r>
        <w:rPr>
          <w:color w:val="auto"/>
          <w:highlight w:val="none"/>
        </w:rPr>
        <w:fldChar w:fldCharType="separate"/>
      </w:r>
      <w:r>
        <w:rPr>
          <w:rFonts w:cs="宋体"/>
          <w:color w:val="auto"/>
          <w:sz w:val="21"/>
          <w:szCs w:val="21"/>
          <w:highlight w:val="none"/>
        </w:rPr>
        <w:t xml:space="preserve">28. </w:t>
      </w:r>
      <w:r>
        <w:rPr>
          <w:rFonts w:hint="eastAsia" w:cs="宋体"/>
          <w:color w:val="auto"/>
          <w:sz w:val="21"/>
          <w:szCs w:val="21"/>
          <w:highlight w:val="none"/>
        </w:rPr>
        <w:t>纪律和保密事项</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_Toc6685 \h </w:instrText>
      </w:r>
      <w:r>
        <w:rPr>
          <w:rFonts w:hint="eastAsia" w:cs="宋体"/>
          <w:color w:val="auto"/>
          <w:sz w:val="21"/>
          <w:szCs w:val="21"/>
          <w:highlight w:val="none"/>
        </w:rPr>
        <w:fldChar w:fldCharType="separate"/>
      </w:r>
      <w:r>
        <w:rPr>
          <w:rFonts w:hint="eastAsia" w:cs="宋体"/>
          <w:color w:val="auto"/>
          <w:sz w:val="21"/>
          <w:szCs w:val="21"/>
          <w:highlight w:val="none"/>
        </w:rPr>
        <w:t>- 265 -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"_Toc30673" </w:instrText>
      </w:r>
      <w:r>
        <w:rPr>
          <w:color w:val="auto"/>
          <w:highlight w:val="none"/>
        </w:rPr>
        <w:fldChar w:fldCharType="separate"/>
      </w:r>
      <w:r>
        <w:rPr>
          <w:rFonts w:cs="宋体"/>
          <w:color w:val="auto"/>
          <w:sz w:val="21"/>
          <w:szCs w:val="21"/>
          <w:highlight w:val="none"/>
        </w:rPr>
        <w:t xml:space="preserve">六、 </w:t>
      </w:r>
      <w:r>
        <w:rPr>
          <w:rFonts w:hint="eastAsia" w:cs="宋体"/>
          <w:color w:val="auto"/>
          <w:sz w:val="21"/>
          <w:szCs w:val="21"/>
          <w:highlight w:val="none"/>
        </w:rPr>
        <w:t>授予合同</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_Toc30673 \h </w:instrText>
      </w:r>
      <w:r>
        <w:rPr>
          <w:rFonts w:hint="eastAsia" w:cs="宋体"/>
          <w:color w:val="auto"/>
          <w:sz w:val="21"/>
          <w:szCs w:val="21"/>
          <w:highlight w:val="none"/>
        </w:rPr>
        <w:fldChar w:fldCharType="separate"/>
      </w:r>
      <w:r>
        <w:rPr>
          <w:rFonts w:hint="eastAsia" w:cs="宋体"/>
          <w:color w:val="auto"/>
          <w:sz w:val="21"/>
          <w:szCs w:val="21"/>
          <w:highlight w:val="none"/>
        </w:rPr>
        <w:t>- 266 -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"_Toc11245" </w:instrText>
      </w:r>
      <w:r>
        <w:rPr>
          <w:color w:val="auto"/>
          <w:highlight w:val="none"/>
        </w:rPr>
        <w:fldChar w:fldCharType="separate"/>
      </w:r>
      <w:r>
        <w:rPr>
          <w:rFonts w:cs="宋体"/>
          <w:color w:val="auto"/>
          <w:sz w:val="21"/>
          <w:szCs w:val="21"/>
          <w:highlight w:val="none"/>
        </w:rPr>
        <w:t xml:space="preserve">29. </w:t>
      </w:r>
      <w:r>
        <w:rPr>
          <w:rFonts w:hint="eastAsia" w:cs="宋体"/>
          <w:color w:val="auto"/>
          <w:sz w:val="21"/>
          <w:szCs w:val="21"/>
          <w:highlight w:val="none"/>
        </w:rPr>
        <w:t>合同授予标准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_Toc11245 \h </w:instrText>
      </w:r>
      <w:r>
        <w:rPr>
          <w:rFonts w:hint="eastAsia" w:cs="宋体"/>
          <w:color w:val="auto"/>
          <w:sz w:val="21"/>
          <w:szCs w:val="21"/>
          <w:highlight w:val="none"/>
        </w:rPr>
        <w:fldChar w:fldCharType="separate"/>
      </w:r>
      <w:r>
        <w:rPr>
          <w:rFonts w:hint="eastAsia" w:cs="宋体"/>
          <w:color w:val="auto"/>
          <w:sz w:val="21"/>
          <w:szCs w:val="21"/>
          <w:highlight w:val="none"/>
        </w:rPr>
        <w:t>- 266 -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"_Toc14051" </w:instrText>
      </w:r>
      <w:r>
        <w:rPr>
          <w:color w:val="auto"/>
          <w:highlight w:val="none"/>
        </w:rPr>
        <w:fldChar w:fldCharType="separate"/>
      </w:r>
      <w:r>
        <w:rPr>
          <w:rFonts w:cs="宋体"/>
          <w:color w:val="auto"/>
          <w:sz w:val="21"/>
          <w:szCs w:val="21"/>
          <w:highlight w:val="none"/>
        </w:rPr>
        <w:t xml:space="preserve">30. </w:t>
      </w:r>
      <w:r>
        <w:rPr>
          <w:rFonts w:hint="eastAsia" w:cs="宋体"/>
          <w:color w:val="auto"/>
          <w:sz w:val="21"/>
          <w:szCs w:val="21"/>
          <w:highlight w:val="none"/>
        </w:rPr>
        <w:t>发布中标结果</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_Toc14051 \h </w:instrText>
      </w:r>
      <w:r>
        <w:rPr>
          <w:rFonts w:hint="eastAsia" w:cs="宋体"/>
          <w:color w:val="auto"/>
          <w:sz w:val="21"/>
          <w:szCs w:val="21"/>
          <w:highlight w:val="none"/>
        </w:rPr>
        <w:fldChar w:fldCharType="separate"/>
      </w:r>
      <w:r>
        <w:rPr>
          <w:rFonts w:hint="eastAsia" w:cs="宋体"/>
          <w:color w:val="auto"/>
          <w:sz w:val="21"/>
          <w:szCs w:val="21"/>
          <w:highlight w:val="none"/>
        </w:rPr>
        <w:t>- 266 -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"_Toc13136" </w:instrText>
      </w:r>
      <w:r>
        <w:rPr>
          <w:color w:val="auto"/>
          <w:highlight w:val="none"/>
        </w:rPr>
        <w:fldChar w:fldCharType="separate"/>
      </w:r>
      <w:r>
        <w:rPr>
          <w:rFonts w:cs="宋体"/>
          <w:color w:val="auto"/>
          <w:sz w:val="21"/>
          <w:szCs w:val="21"/>
          <w:highlight w:val="none"/>
        </w:rPr>
        <w:t xml:space="preserve">31. </w:t>
      </w:r>
      <w:r>
        <w:rPr>
          <w:rFonts w:hint="eastAsia" w:cs="宋体"/>
          <w:color w:val="auto"/>
          <w:sz w:val="21"/>
          <w:szCs w:val="21"/>
          <w:highlight w:val="none"/>
        </w:rPr>
        <w:t>资格后审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_Toc13136 \h </w:instrText>
      </w:r>
      <w:r>
        <w:rPr>
          <w:rFonts w:hint="eastAsia" w:cs="宋体"/>
          <w:color w:val="auto"/>
          <w:sz w:val="21"/>
          <w:szCs w:val="21"/>
          <w:highlight w:val="none"/>
        </w:rPr>
        <w:fldChar w:fldCharType="separate"/>
      </w:r>
      <w:r>
        <w:rPr>
          <w:rFonts w:hint="eastAsia" w:cs="宋体"/>
          <w:color w:val="auto"/>
          <w:sz w:val="21"/>
          <w:szCs w:val="21"/>
          <w:highlight w:val="none"/>
        </w:rPr>
        <w:t>- 266 -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"_Toc27788" </w:instrText>
      </w:r>
      <w:r>
        <w:rPr>
          <w:color w:val="auto"/>
          <w:highlight w:val="none"/>
        </w:rPr>
        <w:fldChar w:fldCharType="separate"/>
      </w:r>
      <w:r>
        <w:rPr>
          <w:rFonts w:cs="宋体"/>
          <w:color w:val="auto"/>
          <w:sz w:val="21"/>
          <w:szCs w:val="21"/>
          <w:highlight w:val="none"/>
        </w:rPr>
        <w:t xml:space="preserve">32. </w:t>
      </w:r>
      <w:r>
        <w:rPr>
          <w:rFonts w:hint="eastAsia" w:cs="宋体"/>
          <w:color w:val="auto"/>
          <w:sz w:val="21"/>
          <w:szCs w:val="21"/>
          <w:highlight w:val="none"/>
        </w:rPr>
        <w:t>合同的签订与履行</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_Toc27788 \h </w:instrText>
      </w:r>
      <w:r>
        <w:rPr>
          <w:rFonts w:hint="eastAsia" w:cs="宋体"/>
          <w:color w:val="auto"/>
          <w:sz w:val="21"/>
          <w:szCs w:val="21"/>
          <w:highlight w:val="none"/>
        </w:rPr>
        <w:fldChar w:fldCharType="separate"/>
      </w:r>
      <w:r>
        <w:rPr>
          <w:rFonts w:hint="eastAsia" w:cs="宋体"/>
          <w:color w:val="auto"/>
          <w:sz w:val="21"/>
          <w:szCs w:val="21"/>
          <w:highlight w:val="none"/>
        </w:rPr>
        <w:t>- 266 -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"_Toc25085" </w:instrText>
      </w:r>
      <w:r>
        <w:rPr>
          <w:color w:val="auto"/>
          <w:highlight w:val="none"/>
        </w:rPr>
        <w:fldChar w:fldCharType="separate"/>
      </w:r>
      <w:r>
        <w:rPr>
          <w:rFonts w:cs="宋体"/>
          <w:color w:val="auto"/>
          <w:sz w:val="21"/>
          <w:szCs w:val="21"/>
          <w:highlight w:val="none"/>
        </w:rPr>
        <w:t xml:space="preserve">33. </w:t>
      </w:r>
      <w:r>
        <w:rPr>
          <w:rFonts w:hint="eastAsia" w:cs="宋体"/>
          <w:color w:val="auto"/>
          <w:sz w:val="21"/>
          <w:szCs w:val="21"/>
          <w:highlight w:val="none"/>
        </w:rPr>
        <w:t>履约担保</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_Toc25085 \h </w:instrText>
      </w:r>
      <w:r>
        <w:rPr>
          <w:rFonts w:hint="eastAsia" w:cs="宋体"/>
          <w:color w:val="auto"/>
          <w:sz w:val="21"/>
          <w:szCs w:val="21"/>
          <w:highlight w:val="none"/>
        </w:rPr>
        <w:fldChar w:fldCharType="separate"/>
      </w:r>
      <w:r>
        <w:rPr>
          <w:rFonts w:hint="eastAsia" w:cs="宋体"/>
          <w:color w:val="auto"/>
          <w:sz w:val="21"/>
          <w:szCs w:val="21"/>
          <w:highlight w:val="none"/>
        </w:rPr>
        <w:t>- 267 -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"_Toc22569" </w:instrText>
      </w:r>
      <w:r>
        <w:rPr>
          <w:color w:val="auto"/>
          <w:highlight w:val="none"/>
        </w:rPr>
        <w:fldChar w:fldCharType="separate"/>
      </w:r>
      <w:r>
        <w:rPr>
          <w:rFonts w:cs="宋体"/>
          <w:color w:val="auto"/>
          <w:sz w:val="21"/>
          <w:szCs w:val="21"/>
          <w:highlight w:val="none"/>
        </w:rPr>
        <w:t xml:space="preserve">34. </w:t>
      </w:r>
      <w:r>
        <w:rPr>
          <w:rFonts w:hint="eastAsia" w:cs="宋体"/>
          <w:color w:val="auto"/>
          <w:sz w:val="21"/>
          <w:szCs w:val="21"/>
          <w:highlight w:val="none"/>
        </w:rPr>
        <w:t>预付款保函（适用于预付款支付）</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_Toc22569 \h </w:instrText>
      </w:r>
      <w:r>
        <w:rPr>
          <w:rFonts w:hint="eastAsia" w:cs="宋体"/>
          <w:color w:val="auto"/>
          <w:sz w:val="21"/>
          <w:szCs w:val="21"/>
          <w:highlight w:val="none"/>
        </w:rPr>
        <w:fldChar w:fldCharType="separate"/>
      </w:r>
      <w:r>
        <w:rPr>
          <w:rFonts w:hint="eastAsia" w:cs="宋体"/>
          <w:color w:val="auto"/>
          <w:sz w:val="21"/>
          <w:szCs w:val="21"/>
          <w:highlight w:val="none"/>
        </w:rPr>
        <w:t>- 268 -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"_Toc1114" </w:instrText>
      </w:r>
      <w:r>
        <w:rPr>
          <w:color w:val="auto"/>
          <w:highlight w:val="none"/>
        </w:rPr>
        <w:fldChar w:fldCharType="separate"/>
      </w:r>
      <w:r>
        <w:rPr>
          <w:rFonts w:cs="宋体"/>
          <w:color w:val="auto"/>
          <w:sz w:val="21"/>
          <w:szCs w:val="21"/>
          <w:highlight w:val="none"/>
        </w:rPr>
        <w:t xml:space="preserve">七、 </w:t>
      </w:r>
      <w:r>
        <w:rPr>
          <w:rFonts w:hint="eastAsia" w:cs="宋体"/>
          <w:color w:val="auto"/>
          <w:sz w:val="21"/>
          <w:szCs w:val="21"/>
          <w:highlight w:val="none"/>
        </w:rPr>
        <w:t>异议</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_Toc1114 \h </w:instrText>
      </w:r>
      <w:r>
        <w:rPr>
          <w:rFonts w:hint="eastAsia" w:cs="宋体"/>
          <w:color w:val="auto"/>
          <w:sz w:val="21"/>
          <w:szCs w:val="21"/>
          <w:highlight w:val="none"/>
        </w:rPr>
        <w:fldChar w:fldCharType="separate"/>
      </w:r>
      <w:r>
        <w:rPr>
          <w:rFonts w:hint="eastAsia" w:cs="宋体"/>
          <w:color w:val="auto"/>
          <w:sz w:val="21"/>
          <w:szCs w:val="21"/>
          <w:highlight w:val="none"/>
        </w:rPr>
        <w:t>- 268 -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"_Toc23836" </w:instrText>
      </w:r>
      <w:r>
        <w:rPr>
          <w:color w:val="auto"/>
          <w:highlight w:val="none"/>
        </w:rPr>
        <w:fldChar w:fldCharType="separate"/>
      </w:r>
      <w:r>
        <w:rPr>
          <w:rFonts w:cs="宋体"/>
          <w:color w:val="auto"/>
          <w:sz w:val="21"/>
          <w:szCs w:val="21"/>
          <w:highlight w:val="none"/>
        </w:rPr>
        <w:t xml:space="preserve">35. </w:t>
      </w:r>
      <w:r>
        <w:rPr>
          <w:rFonts w:hint="eastAsia" w:cs="宋体"/>
          <w:color w:val="auto"/>
          <w:sz w:val="21"/>
          <w:szCs w:val="21"/>
          <w:highlight w:val="none"/>
        </w:rPr>
        <w:t>异议</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_Toc23836 \h </w:instrText>
      </w:r>
      <w:r>
        <w:rPr>
          <w:rFonts w:hint="eastAsia" w:cs="宋体"/>
          <w:color w:val="auto"/>
          <w:sz w:val="21"/>
          <w:szCs w:val="21"/>
          <w:highlight w:val="none"/>
        </w:rPr>
        <w:fldChar w:fldCharType="separate"/>
      </w:r>
      <w:r>
        <w:rPr>
          <w:rFonts w:hint="eastAsia" w:cs="宋体"/>
          <w:color w:val="auto"/>
          <w:sz w:val="21"/>
          <w:szCs w:val="21"/>
          <w:highlight w:val="none"/>
        </w:rPr>
        <w:t>- 268 -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"_Toc24199" </w:instrText>
      </w:r>
      <w:r>
        <w:rPr>
          <w:color w:val="auto"/>
          <w:highlight w:val="none"/>
        </w:rPr>
        <w:fldChar w:fldCharType="separate"/>
      </w:r>
      <w:r>
        <w:rPr>
          <w:rFonts w:cs="宋体"/>
          <w:color w:val="auto"/>
          <w:sz w:val="21"/>
          <w:szCs w:val="21"/>
          <w:highlight w:val="none"/>
        </w:rPr>
        <w:t xml:space="preserve">八、 </w:t>
      </w:r>
      <w:r>
        <w:rPr>
          <w:rFonts w:hint="eastAsia" w:cs="宋体"/>
          <w:color w:val="auto"/>
          <w:sz w:val="21"/>
          <w:szCs w:val="21"/>
          <w:highlight w:val="none"/>
        </w:rPr>
        <w:t>其他</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_Toc24199 \h </w:instrText>
      </w:r>
      <w:r>
        <w:rPr>
          <w:rFonts w:hint="eastAsia" w:cs="宋体"/>
          <w:color w:val="auto"/>
          <w:sz w:val="21"/>
          <w:szCs w:val="21"/>
          <w:highlight w:val="none"/>
        </w:rPr>
        <w:fldChar w:fldCharType="separate"/>
      </w:r>
      <w:r>
        <w:rPr>
          <w:rFonts w:hint="eastAsia" w:cs="宋体"/>
          <w:color w:val="auto"/>
          <w:sz w:val="21"/>
          <w:szCs w:val="21"/>
          <w:highlight w:val="none"/>
        </w:rPr>
        <w:t>- 269 -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"_Toc3108" </w:instrText>
      </w:r>
      <w:r>
        <w:rPr>
          <w:color w:val="auto"/>
          <w:highlight w:val="none"/>
        </w:rPr>
        <w:fldChar w:fldCharType="separate"/>
      </w:r>
      <w:r>
        <w:rPr>
          <w:rFonts w:cs="宋体"/>
          <w:color w:val="auto"/>
          <w:sz w:val="21"/>
          <w:szCs w:val="21"/>
          <w:highlight w:val="none"/>
        </w:rPr>
        <w:t xml:space="preserve">36. </w:t>
      </w:r>
      <w:r>
        <w:rPr>
          <w:rFonts w:hint="eastAsia" w:cs="宋体"/>
          <w:color w:val="auto"/>
          <w:sz w:val="21"/>
          <w:szCs w:val="21"/>
          <w:highlight w:val="none"/>
        </w:rPr>
        <w:t>采购文件的解释权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_Toc3108 \h </w:instrText>
      </w:r>
      <w:r>
        <w:rPr>
          <w:rFonts w:hint="eastAsia" w:cs="宋体"/>
          <w:color w:val="auto"/>
          <w:sz w:val="21"/>
          <w:szCs w:val="21"/>
          <w:highlight w:val="none"/>
        </w:rPr>
        <w:fldChar w:fldCharType="separate"/>
      </w:r>
      <w:r>
        <w:rPr>
          <w:rFonts w:hint="eastAsia" w:cs="宋体"/>
          <w:color w:val="auto"/>
          <w:sz w:val="21"/>
          <w:szCs w:val="21"/>
          <w:highlight w:val="none"/>
        </w:rPr>
        <w:t>- 269 -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"_Toc12000" </w:instrText>
      </w:r>
      <w:r>
        <w:rPr>
          <w:color w:val="auto"/>
          <w:highlight w:val="none"/>
        </w:rPr>
        <w:fldChar w:fldCharType="separate"/>
      </w:r>
      <w:r>
        <w:rPr>
          <w:rFonts w:hint="eastAsia" w:cs="宋体"/>
          <w:color w:val="auto"/>
          <w:sz w:val="21"/>
          <w:szCs w:val="21"/>
          <w:highlight w:val="none"/>
        </w:rPr>
        <w:t>第五部分  合同条款格式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_Toc12000 \h </w:instrText>
      </w:r>
      <w:r>
        <w:rPr>
          <w:rFonts w:hint="eastAsia" w:cs="宋体"/>
          <w:color w:val="auto"/>
          <w:sz w:val="21"/>
          <w:szCs w:val="21"/>
          <w:highlight w:val="none"/>
        </w:rPr>
        <w:fldChar w:fldCharType="separate"/>
      </w:r>
      <w:r>
        <w:rPr>
          <w:rFonts w:hint="eastAsia" w:cs="宋体"/>
          <w:color w:val="auto"/>
          <w:sz w:val="21"/>
          <w:szCs w:val="21"/>
          <w:highlight w:val="none"/>
        </w:rPr>
        <w:t>- 270 -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"_Toc16481" </w:instrText>
      </w:r>
      <w:r>
        <w:rPr>
          <w:color w:val="auto"/>
          <w:highlight w:val="none"/>
        </w:rPr>
        <w:fldChar w:fldCharType="separate"/>
      </w:r>
      <w:r>
        <w:rPr>
          <w:rFonts w:hint="eastAsia" w:cs="宋体"/>
          <w:color w:val="auto"/>
          <w:sz w:val="21"/>
          <w:szCs w:val="21"/>
          <w:highlight w:val="none"/>
        </w:rPr>
        <w:t>第六部分附件－投标文件格式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_Toc16481 \h </w:instrText>
      </w:r>
      <w:r>
        <w:rPr>
          <w:rFonts w:hint="eastAsia" w:cs="宋体"/>
          <w:color w:val="auto"/>
          <w:sz w:val="21"/>
          <w:szCs w:val="21"/>
          <w:highlight w:val="none"/>
        </w:rPr>
        <w:fldChar w:fldCharType="separate"/>
      </w:r>
      <w:r>
        <w:rPr>
          <w:rFonts w:hint="eastAsia" w:cs="宋体"/>
          <w:color w:val="auto"/>
          <w:sz w:val="21"/>
          <w:szCs w:val="21"/>
          <w:highlight w:val="none"/>
        </w:rPr>
        <w:t>- 270 -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"_Toc26996" </w:instrText>
      </w:r>
      <w:r>
        <w:rPr>
          <w:color w:val="auto"/>
          <w:highlight w:val="none"/>
        </w:rPr>
        <w:fldChar w:fldCharType="separate"/>
      </w:r>
      <w:r>
        <w:rPr>
          <w:rFonts w:hint="eastAsia" w:cs="宋体"/>
          <w:color w:val="auto"/>
          <w:sz w:val="21"/>
          <w:szCs w:val="21"/>
          <w:highlight w:val="none"/>
        </w:rPr>
        <w:t>投标文件目录</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_Toc26996 \h </w:instrText>
      </w:r>
      <w:r>
        <w:rPr>
          <w:rFonts w:hint="eastAsia" w:cs="宋体"/>
          <w:color w:val="auto"/>
          <w:sz w:val="21"/>
          <w:szCs w:val="21"/>
          <w:highlight w:val="none"/>
        </w:rPr>
        <w:fldChar w:fldCharType="separate"/>
      </w:r>
      <w:r>
        <w:rPr>
          <w:rFonts w:hint="eastAsia" w:cs="宋体"/>
          <w:color w:val="auto"/>
          <w:sz w:val="21"/>
          <w:szCs w:val="21"/>
          <w:highlight w:val="none"/>
        </w:rPr>
        <w:t>- 330 -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"_Toc13671" </w:instrText>
      </w:r>
      <w:r>
        <w:rPr>
          <w:color w:val="auto"/>
          <w:highlight w:val="none"/>
        </w:rPr>
        <w:fldChar w:fldCharType="separate"/>
      </w:r>
      <w:r>
        <w:rPr>
          <w:rFonts w:hint="eastAsia" w:cs="宋体"/>
          <w:color w:val="auto"/>
          <w:sz w:val="21"/>
          <w:szCs w:val="21"/>
          <w:highlight w:val="none"/>
        </w:rPr>
        <w:t>附件1.评分标准索引表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_Toc13671 \h </w:instrText>
      </w:r>
      <w:r>
        <w:rPr>
          <w:rFonts w:hint="eastAsia" w:cs="宋体"/>
          <w:color w:val="auto"/>
          <w:sz w:val="21"/>
          <w:szCs w:val="21"/>
          <w:highlight w:val="none"/>
        </w:rPr>
        <w:fldChar w:fldCharType="separate"/>
      </w:r>
      <w:r>
        <w:rPr>
          <w:rFonts w:hint="eastAsia" w:cs="宋体"/>
          <w:color w:val="auto"/>
          <w:sz w:val="21"/>
          <w:szCs w:val="21"/>
          <w:highlight w:val="none"/>
        </w:rPr>
        <w:t>- 331 -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"_Toc7230" </w:instrText>
      </w:r>
      <w:r>
        <w:rPr>
          <w:color w:val="auto"/>
          <w:highlight w:val="none"/>
        </w:rPr>
        <w:fldChar w:fldCharType="separate"/>
      </w:r>
      <w:r>
        <w:rPr>
          <w:rFonts w:hint="eastAsia" w:cs="宋体"/>
          <w:color w:val="auto"/>
          <w:sz w:val="21"/>
          <w:szCs w:val="21"/>
          <w:highlight w:val="none"/>
        </w:rPr>
        <w:t>价格文件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_Toc7230 \h </w:instrText>
      </w:r>
      <w:r>
        <w:rPr>
          <w:rFonts w:hint="eastAsia" w:cs="宋体"/>
          <w:color w:val="auto"/>
          <w:sz w:val="21"/>
          <w:szCs w:val="21"/>
          <w:highlight w:val="none"/>
        </w:rPr>
        <w:fldChar w:fldCharType="separate"/>
      </w:r>
      <w:r>
        <w:rPr>
          <w:rFonts w:hint="eastAsia" w:cs="宋体"/>
          <w:color w:val="auto"/>
          <w:sz w:val="21"/>
          <w:szCs w:val="21"/>
          <w:highlight w:val="none"/>
        </w:rPr>
        <w:t>- 332 -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"_Toc26390" </w:instrText>
      </w:r>
      <w:r>
        <w:rPr>
          <w:color w:val="auto"/>
          <w:highlight w:val="none"/>
        </w:rPr>
        <w:fldChar w:fldCharType="separate"/>
      </w:r>
      <w:r>
        <w:rPr>
          <w:rFonts w:hint="eastAsia" w:cs="宋体"/>
          <w:color w:val="auto"/>
          <w:sz w:val="21"/>
          <w:szCs w:val="21"/>
          <w:highlight w:val="none"/>
        </w:rPr>
        <w:t>附件2.开标一览表格式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_Toc26390 \h </w:instrText>
      </w:r>
      <w:r>
        <w:rPr>
          <w:rFonts w:hint="eastAsia" w:cs="宋体"/>
          <w:color w:val="auto"/>
          <w:sz w:val="21"/>
          <w:szCs w:val="21"/>
          <w:highlight w:val="none"/>
        </w:rPr>
        <w:fldChar w:fldCharType="separate"/>
      </w:r>
      <w:r>
        <w:rPr>
          <w:rFonts w:hint="eastAsia" w:cs="宋体"/>
          <w:color w:val="auto"/>
          <w:sz w:val="21"/>
          <w:szCs w:val="21"/>
          <w:highlight w:val="none"/>
        </w:rPr>
        <w:t>- 333 -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"_Toc10792" </w:instrText>
      </w:r>
      <w:r>
        <w:rPr>
          <w:color w:val="auto"/>
          <w:highlight w:val="none"/>
        </w:rPr>
        <w:fldChar w:fldCharType="separate"/>
      </w:r>
      <w:r>
        <w:rPr>
          <w:rFonts w:hint="eastAsia" w:cs="宋体"/>
          <w:color w:val="auto"/>
          <w:sz w:val="21"/>
          <w:szCs w:val="21"/>
          <w:highlight w:val="none"/>
        </w:rPr>
        <w:t>附件3.报价明细表格式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_Toc10792 \h </w:instrText>
      </w:r>
      <w:r>
        <w:rPr>
          <w:rFonts w:hint="eastAsia" w:cs="宋体"/>
          <w:color w:val="auto"/>
          <w:sz w:val="21"/>
          <w:szCs w:val="21"/>
          <w:highlight w:val="none"/>
        </w:rPr>
        <w:fldChar w:fldCharType="separate"/>
      </w:r>
      <w:r>
        <w:rPr>
          <w:rFonts w:hint="eastAsia" w:cs="宋体"/>
          <w:color w:val="auto"/>
          <w:sz w:val="21"/>
          <w:szCs w:val="21"/>
          <w:highlight w:val="none"/>
        </w:rPr>
        <w:t>- 336 -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"_Toc20754" </w:instrText>
      </w:r>
      <w:r>
        <w:rPr>
          <w:color w:val="auto"/>
          <w:highlight w:val="none"/>
        </w:rPr>
        <w:fldChar w:fldCharType="separate"/>
      </w:r>
      <w:r>
        <w:rPr>
          <w:rFonts w:hint="eastAsia" w:cs="宋体"/>
          <w:color w:val="auto"/>
          <w:sz w:val="21"/>
          <w:szCs w:val="21"/>
          <w:highlight w:val="none"/>
        </w:rPr>
        <w:t>商务文件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_Toc20754 \h </w:instrText>
      </w:r>
      <w:r>
        <w:rPr>
          <w:rFonts w:hint="eastAsia" w:cs="宋体"/>
          <w:color w:val="auto"/>
          <w:sz w:val="21"/>
          <w:szCs w:val="21"/>
          <w:highlight w:val="none"/>
        </w:rPr>
        <w:fldChar w:fldCharType="separate"/>
      </w:r>
      <w:r>
        <w:rPr>
          <w:rFonts w:hint="eastAsia" w:cs="宋体"/>
          <w:color w:val="auto"/>
          <w:sz w:val="21"/>
          <w:szCs w:val="21"/>
          <w:highlight w:val="none"/>
        </w:rPr>
        <w:t>- 362 -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"_Toc15134" </w:instrText>
      </w:r>
      <w:r>
        <w:rPr>
          <w:color w:val="auto"/>
          <w:highlight w:val="none"/>
        </w:rPr>
        <w:fldChar w:fldCharType="separate"/>
      </w:r>
      <w:r>
        <w:rPr>
          <w:rFonts w:hint="eastAsia" w:cs="宋体"/>
          <w:color w:val="auto"/>
          <w:sz w:val="21"/>
          <w:szCs w:val="21"/>
          <w:highlight w:val="none"/>
        </w:rPr>
        <w:t>附件4.投标书格式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_Toc15134 \h </w:instrText>
      </w:r>
      <w:r>
        <w:rPr>
          <w:rFonts w:hint="eastAsia" w:cs="宋体"/>
          <w:color w:val="auto"/>
          <w:sz w:val="21"/>
          <w:szCs w:val="21"/>
          <w:highlight w:val="none"/>
        </w:rPr>
        <w:fldChar w:fldCharType="separate"/>
      </w:r>
      <w:r>
        <w:rPr>
          <w:rFonts w:hint="eastAsia" w:cs="宋体"/>
          <w:color w:val="auto"/>
          <w:sz w:val="21"/>
          <w:szCs w:val="21"/>
          <w:highlight w:val="none"/>
        </w:rPr>
        <w:t>- 363 -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"_Toc4877" </w:instrText>
      </w:r>
      <w:r>
        <w:rPr>
          <w:color w:val="auto"/>
          <w:highlight w:val="none"/>
        </w:rPr>
        <w:fldChar w:fldCharType="separate"/>
      </w:r>
      <w:r>
        <w:rPr>
          <w:rFonts w:hint="eastAsia" w:cs="宋体"/>
          <w:color w:val="auto"/>
          <w:sz w:val="21"/>
          <w:szCs w:val="21"/>
          <w:highlight w:val="none"/>
        </w:rPr>
        <w:t>附件5. 法定代表人证明书格式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_Toc4877 \h </w:instrText>
      </w:r>
      <w:r>
        <w:rPr>
          <w:rFonts w:hint="eastAsia" w:cs="宋体"/>
          <w:color w:val="auto"/>
          <w:sz w:val="21"/>
          <w:szCs w:val="21"/>
          <w:highlight w:val="none"/>
        </w:rPr>
        <w:fldChar w:fldCharType="separate"/>
      </w:r>
      <w:r>
        <w:rPr>
          <w:rFonts w:hint="eastAsia" w:cs="宋体"/>
          <w:color w:val="auto"/>
          <w:sz w:val="21"/>
          <w:szCs w:val="21"/>
          <w:highlight w:val="none"/>
        </w:rPr>
        <w:t>- 364 -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"_Toc29112" </w:instrText>
      </w:r>
      <w:r>
        <w:rPr>
          <w:color w:val="auto"/>
          <w:highlight w:val="none"/>
        </w:rPr>
        <w:fldChar w:fldCharType="separate"/>
      </w:r>
      <w:r>
        <w:rPr>
          <w:rFonts w:hint="eastAsia" w:cs="宋体"/>
          <w:color w:val="auto"/>
          <w:sz w:val="21"/>
          <w:szCs w:val="21"/>
          <w:highlight w:val="none"/>
        </w:rPr>
        <w:t>附件6.法定代表人授权书格式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_Toc29112 \h </w:instrText>
      </w:r>
      <w:r>
        <w:rPr>
          <w:rFonts w:hint="eastAsia" w:cs="宋体"/>
          <w:color w:val="auto"/>
          <w:sz w:val="21"/>
          <w:szCs w:val="21"/>
          <w:highlight w:val="none"/>
        </w:rPr>
        <w:fldChar w:fldCharType="separate"/>
      </w:r>
      <w:r>
        <w:rPr>
          <w:rFonts w:hint="eastAsia" w:cs="宋体"/>
          <w:color w:val="auto"/>
          <w:sz w:val="21"/>
          <w:szCs w:val="21"/>
          <w:highlight w:val="none"/>
        </w:rPr>
        <w:t>- 365 -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"_Toc26686" </w:instrText>
      </w:r>
      <w:r>
        <w:rPr>
          <w:color w:val="auto"/>
          <w:highlight w:val="none"/>
        </w:rPr>
        <w:fldChar w:fldCharType="separate"/>
      </w:r>
      <w:r>
        <w:rPr>
          <w:rFonts w:hint="eastAsia" w:cs="宋体"/>
          <w:color w:val="auto"/>
          <w:sz w:val="21"/>
          <w:szCs w:val="21"/>
          <w:highlight w:val="none"/>
        </w:rPr>
        <w:t>附件7.资格申明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_Toc26686 \h </w:instrText>
      </w:r>
      <w:r>
        <w:rPr>
          <w:rFonts w:hint="eastAsia" w:cs="宋体"/>
          <w:color w:val="auto"/>
          <w:sz w:val="21"/>
          <w:szCs w:val="21"/>
          <w:highlight w:val="none"/>
        </w:rPr>
        <w:fldChar w:fldCharType="separate"/>
      </w:r>
      <w:r>
        <w:rPr>
          <w:rFonts w:hint="eastAsia" w:cs="宋体"/>
          <w:color w:val="auto"/>
          <w:sz w:val="21"/>
          <w:szCs w:val="21"/>
          <w:highlight w:val="none"/>
        </w:rPr>
        <w:t>- 366 -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"_Toc15178" </w:instrText>
      </w:r>
      <w:r>
        <w:rPr>
          <w:color w:val="auto"/>
          <w:highlight w:val="none"/>
        </w:rPr>
        <w:fldChar w:fldCharType="separate"/>
      </w:r>
      <w:r>
        <w:rPr>
          <w:rFonts w:hint="eastAsia" w:cs="宋体"/>
          <w:color w:val="auto"/>
          <w:sz w:val="21"/>
          <w:szCs w:val="21"/>
          <w:highlight w:val="none"/>
        </w:rPr>
        <w:t>附件8.营业执照</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_Toc15178 \h </w:instrText>
      </w:r>
      <w:r>
        <w:rPr>
          <w:rFonts w:hint="eastAsia" w:cs="宋体"/>
          <w:color w:val="auto"/>
          <w:sz w:val="21"/>
          <w:szCs w:val="21"/>
          <w:highlight w:val="none"/>
        </w:rPr>
        <w:fldChar w:fldCharType="separate"/>
      </w:r>
      <w:r>
        <w:rPr>
          <w:rFonts w:hint="eastAsia" w:cs="宋体"/>
          <w:color w:val="auto"/>
          <w:sz w:val="21"/>
          <w:szCs w:val="21"/>
          <w:highlight w:val="none"/>
        </w:rPr>
        <w:t>- 367 -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"_Toc5052" </w:instrText>
      </w:r>
      <w:r>
        <w:rPr>
          <w:color w:val="auto"/>
          <w:highlight w:val="none"/>
        </w:rPr>
        <w:fldChar w:fldCharType="separate"/>
      </w:r>
      <w:r>
        <w:rPr>
          <w:rFonts w:hint="eastAsia" w:cs="宋体"/>
          <w:color w:val="auto"/>
          <w:sz w:val="21"/>
          <w:szCs w:val="21"/>
          <w:highlight w:val="none"/>
        </w:rPr>
        <w:t>附件9.相关资质证明文件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_Toc5052 \h </w:instrText>
      </w:r>
      <w:r>
        <w:rPr>
          <w:rFonts w:hint="eastAsia" w:cs="宋体"/>
          <w:color w:val="auto"/>
          <w:sz w:val="21"/>
          <w:szCs w:val="21"/>
          <w:highlight w:val="none"/>
        </w:rPr>
        <w:fldChar w:fldCharType="separate"/>
      </w:r>
      <w:r>
        <w:rPr>
          <w:rFonts w:hint="eastAsia" w:cs="宋体"/>
          <w:color w:val="auto"/>
          <w:sz w:val="21"/>
          <w:szCs w:val="21"/>
          <w:highlight w:val="none"/>
        </w:rPr>
        <w:t>- 368 -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"_Toc30039" </w:instrText>
      </w:r>
      <w:r>
        <w:rPr>
          <w:color w:val="auto"/>
          <w:highlight w:val="none"/>
        </w:rPr>
        <w:fldChar w:fldCharType="separate"/>
      </w:r>
      <w:r>
        <w:rPr>
          <w:rFonts w:hint="eastAsia" w:cs="宋体"/>
          <w:color w:val="auto"/>
          <w:sz w:val="21"/>
          <w:szCs w:val="21"/>
          <w:highlight w:val="none"/>
        </w:rPr>
        <w:t>附件10.在经营活动中没有重大违法记录的书面声明格式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_Toc30039 \h </w:instrText>
      </w:r>
      <w:r>
        <w:rPr>
          <w:rFonts w:hint="eastAsia" w:cs="宋体"/>
          <w:color w:val="auto"/>
          <w:sz w:val="21"/>
          <w:szCs w:val="21"/>
          <w:highlight w:val="none"/>
        </w:rPr>
        <w:fldChar w:fldCharType="separate"/>
      </w:r>
      <w:r>
        <w:rPr>
          <w:rFonts w:hint="eastAsia" w:cs="宋体"/>
          <w:color w:val="auto"/>
          <w:sz w:val="21"/>
          <w:szCs w:val="21"/>
          <w:highlight w:val="none"/>
        </w:rPr>
        <w:t>- 369 -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"_Toc12444" </w:instrText>
      </w:r>
      <w:r>
        <w:rPr>
          <w:color w:val="auto"/>
          <w:highlight w:val="none"/>
        </w:rPr>
        <w:fldChar w:fldCharType="separate"/>
      </w:r>
      <w:r>
        <w:rPr>
          <w:rFonts w:hint="eastAsia" w:cs="宋体"/>
          <w:color w:val="auto"/>
          <w:sz w:val="21"/>
          <w:szCs w:val="21"/>
          <w:highlight w:val="none"/>
        </w:rPr>
        <w:t>附件11.承诺书格式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_Toc12444 \h </w:instrText>
      </w:r>
      <w:r>
        <w:rPr>
          <w:rFonts w:hint="eastAsia" w:cs="宋体"/>
          <w:color w:val="auto"/>
          <w:sz w:val="21"/>
          <w:szCs w:val="21"/>
          <w:highlight w:val="none"/>
        </w:rPr>
        <w:fldChar w:fldCharType="separate"/>
      </w:r>
      <w:r>
        <w:rPr>
          <w:rFonts w:hint="eastAsia" w:cs="宋体"/>
          <w:color w:val="auto"/>
          <w:sz w:val="21"/>
          <w:szCs w:val="21"/>
          <w:highlight w:val="none"/>
        </w:rPr>
        <w:t>- 370 -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"_Toc15294" </w:instrText>
      </w:r>
      <w:r>
        <w:rPr>
          <w:color w:val="auto"/>
          <w:highlight w:val="none"/>
        </w:rPr>
        <w:fldChar w:fldCharType="separate"/>
      </w:r>
      <w:r>
        <w:rPr>
          <w:rFonts w:hint="eastAsia" w:cs="宋体"/>
          <w:color w:val="auto"/>
          <w:sz w:val="21"/>
          <w:szCs w:val="21"/>
          <w:highlight w:val="none"/>
        </w:rPr>
        <w:t>附件12.商务需求条款偏离表格式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_Toc15294 \h </w:instrText>
      </w:r>
      <w:r>
        <w:rPr>
          <w:rFonts w:hint="eastAsia" w:cs="宋体"/>
          <w:color w:val="auto"/>
          <w:sz w:val="21"/>
          <w:szCs w:val="21"/>
          <w:highlight w:val="none"/>
        </w:rPr>
        <w:fldChar w:fldCharType="separate"/>
      </w:r>
      <w:r>
        <w:rPr>
          <w:rFonts w:hint="eastAsia" w:cs="宋体"/>
          <w:color w:val="auto"/>
          <w:sz w:val="21"/>
          <w:szCs w:val="21"/>
          <w:highlight w:val="none"/>
        </w:rPr>
        <w:t>- 377 -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"_Toc3065" </w:instrText>
      </w:r>
      <w:r>
        <w:rPr>
          <w:color w:val="auto"/>
          <w:highlight w:val="none"/>
        </w:rPr>
        <w:fldChar w:fldCharType="separate"/>
      </w:r>
      <w:r>
        <w:rPr>
          <w:rFonts w:hint="eastAsia" w:cs="宋体"/>
          <w:color w:val="auto"/>
          <w:sz w:val="21"/>
          <w:szCs w:val="21"/>
          <w:highlight w:val="none"/>
        </w:rPr>
        <w:t>附件13.业绩表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_Toc3065 \h </w:instrText>
      </w:r>
      <w:r>
        <w:rPr>
          <w:rFonts w:hint="eastAsia" w:cs="宋体"/>
          <w:color w:val="auto"/>
          <w:sz w:val="21"/>
          <w:szCs w:val="21"/>
          <w:highlight w:val="none"/>
        </w:rPr>
        <w:fldChar w:fldCharType="separate"/>
      </w:r>
      <w:r>
        <w:rPr>
          <w:rFonts w:hint="eastAsia" w:cs="宋体"/>
          <w:color w:val="auto"/>
          <w:sz w:val="21"/>
          <w:szCs w:val="21"/>
          <w:highlight w:val="none"/>
        </w:rPr>
        <w:t>- 378 -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"_Toc8280" </w:instrText>
      </w:r>
      <w:r>
        <w:rPr>
          <w:color w:val="auto"/>
          <w:highlight w:val="none"/>
        </w:rPr>
        <w:fldChar w:fldCharType="separate"/>
      </w:r>
      <w:r>
        <w:rPr>
          <w:rFonts w:hint="eastAsia" w:cs="宋体"/>
          <w:color w:val="auto"/>
          <w:sz w:val="21"/>
          <w:szCs w:val="21"/>
          <w:highlight w:val="none"/>
        </w:rPr>
        <w:t>技术文件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_Toc8280 \h </w:instrText>
      </w:r>
      <w:r>
        <w:rPr>
          <w:rFonts w:hint="eastAsia" w:cs="宋体"/>
          <w:color w:val="auto"/>
          <w:sz w:val="21"/>
          <w:szCs w:val="21"/>
          <w:highlight w:val="none"/>
        </w:rPr>
        <w:fldChar w:fldCharType="separate"/>
      </w:r>
      <w:r>
        <w:rPr>
          <w:rFonts w:hint="eastAsia" w:cs="宋体"/>
          <w:color w:val="auto"/>
          <w:sz w:val="21"/>
          <w:szCs w:val="21"/>
          <w:highlight w:val="none"/>
        </w:rPr>
        <w:t>- 380 -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"_Toc7938" </w:instrText>
      </w:r>
      <w:r>
        <w:rPr>
          <w:color w:val="auto"/>
          <w:highlight w:val="none"/>
        </w:rPr>
        <w:fldChar w:fldCharType="separate"/>
      </w:r>
      <w:r>
        <w:rPr>
          <w:rFonts w:hint="eastAsia" w:cs="宋体"/>
          <w:color w:val="auto"/>
          <w:sz w:val="21"/>
          <w:szCs w:val="21"/>
          <w:highlight w:val="none"/>
        </w:rPr>
        <w:t>附件14. 技术规格偏离表格式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_Toc7938 \h </w:instrText>
      </w:r>
      <w:r>
        <w:rPr>
          <w:rFonts w:hint="eastAsia" w:cs="宋体"/>
          <w:color w:val="auto"/>
          <w:sz w:val="21"/>
          <w:szCs w:val="21"/>
          <w:highlight w:val="none"/>
        </w:rPr>
        <w:fldChar w:fldCharType="separate"/>
      </w:r>
      <w:r>
        <w:rPr>
          <w:rFonts w:hint="eastAsia" w:cs="宋体"/>
          <w:color w:val="auto"/>
          <w:sz w:val="21"/>
          <w:szCs w:val="21"/>
          <w:highlight w:val="none"/>
        </w:rPr>
        <w:t>- 381 -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"_Toc17666" </w:instrText>
      </w:r>
      <w:r>
        <w:rPr>
          <w:color w:val="auto"/>
          <w:highlight w:val="none"/>
        </w:rPr>
        <w:fldChar w:fldCharType="separate"/>
      </w:r>
      <w:r>
        <w:rPr>
          <w:rFonts w:hint="eastAsia" w:cs="宋体"/>
          <w:color w:val="auto"/>
          <w:sz w:val="21"/>
          <w:szCs w:val="21"/>
          <w:highlight w:val="none"/>
        </w:rPr>
        <w:t>附件15.项目实施方案格式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_Toc17666 \h </w:instrText>
      </w:r>
      <w:r>
        <w:rPr>
          <w:rFonts w:hint="eastAsia" w:cs="宋体"/>
          <w:color w:val="auto"/>
          <w:sz w:val="21"/>
          <w:szCs w:val="21"/>
          <w:highlight w:val="none"/>
        </w:rPr>
        <w:fldChar w:fldCharType="separate"/>
      </w:r>
      <w:r>
        <w:rPr>
          <w:rFonts w:hint="eastAsia" w:cs="宋体"/>
          <w:color w:val="auto"/>
          <w:sz w:val="21"/>
          <w:szCs w:val="21"/>
          <w:highlight w:val="none"/>
        </w:rPr>
        <w:t>- 382 -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"_Toc19134" </w:instrText>
      </w:r>
      <w:r>
        <w:rPr>
          <w:color w:val="auto"/>
          <w:highlight w:val="none"/>
        </w:rPr>
        <w:fldChar w:fldCharType="separate"/>
      </w:r>
      <w:r>
        <w:rPr>
          <w:rFonts w:hint="eastAsia" w:cs="宋体"/>
          <w:color w:val="auto"/>
          <w:sz w:val="21"/>
          <w:szCs w:val="21"/>
          <w:highlight w:val="none"/>
        </w:rPr>
        <w:t>附件16.实施本项目的有关人员资料表格式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_Toc19134 \h </w:instrText>
      </w:r>
      <w:r>
        <w:rPr>
          <w:rFonts w:hint="eastAsia" w:cs="宋体"/>
          <w:color w:val="auto"/>
          <w:sz w:val="21"/>
          <w:szCs w:val="21"/>
          <w:highlight w:val="none"/>
        </w:rPr>
        <w:fldChar w:fldCharType="separate"/>
      </w:r>
      <w:r>
        <w:rPr>
          <w:rFonts w:hint="eastAsia" w:cs="宋体"/>
          <w:color w:val="auto"/>
          <w:sz w:val="21"/>
          <w:szCs w:val="21"/>
          <w:highlight w:val="none"/>
        </w:rPr>
        <w:t>- 383 -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"_Toc31044" </w:instrText>
      </w:r>
      <w:r>
        <w:rPr>
          <w:color w:val="auto"/>
          <w:highlight w:val="none"/>
        </w:rPr>
        <w:fldChar w:fldCharType="separate"/>
      </w:r>
      <w:r>
        <w:rPr>
          <w:rFonts w:hint="eastAsia" w:cs="宋体"/>
          <w:color w:val="auto"/>
          <w:sz w:val="21"/>
          <w:szCs w:val="21"/>
          <w:highlight w:val="none"/>
        </w:rPr>
        <w:t>附件17.投标保证金汇入情况说明格式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_Toc31044 \h </w:instrText>
      </w:r>
      <w:r>
        <w:rPr>
          <w:rFonts w:hint="eastAsia" w:cs="宋体"/>
          <w:color w:val="auto"/>
          <w:sz w:val="21"/>
          <w:szCs w:val="21"/>
          <w:highlight w:val="none"/>
        </w:rPr>
        <w:fldChar w:fldCharType="separate"/>
      </w:r>
      <w:r>
        <w:rPr>
          <w:rFonts w:hint="eastAsia" w:cs="宋体"/>
          <w:color w:val="auto"/>
          <w:sz w:val="21"/>
          <w:szCs w:val="21"/>
          <w:highlight w:val="none"/>
        </w:rPr>
        <w:t>- 384 -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"_Toc31158" </w:instrText>
      </w:r>
      <w:r>
        <w:rPr>
          <w:color w:val="auto"/>
          <w:highlight w:val="none"/>
        </w:rPr>
        <w:fldChar w:fldCharType="separate"/>
      </w:r>
      <w:r>
        <w:rPr>
          <w:rFonts w:hint="eastAsia" w:cs="宋体"/>
          <w:color w:val="auto"/>
          <w:sz w:val="21"/>
          <w:szCs w:val="21"/>
          <w:highlight w:val="none"/>
        </w:rPr>
        <w:t>附件18.不可撤销履约保函</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_Toc31158 \h </w:instrText>
      </w:r>
      <w:r>
        <w:rPr>
          <w:rFonts w:hint="eastAsia" w:cs="宋体"/>
          <w:color w:val="auto"/>
          <w:sz w:val="21"/>
          <w:szCs w:val="21"/>
          <w:highlight w:val="none"/>
        </w:rPr>
        <w:fldChar w:fldCharType="separate"/>
      </w:r>
      <w:r>
        <w:rPr>
          <w:rFonts w:hint="eastAsia" w:cs="宋体"/>
          <w:color w:val="auto"/>
          <w:sz w:val="21"/>
          <w:szCs w:val="21"/>
          <w:highlight w:val="none"/>
        </w:rPr>
        <w:t>- 386 -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"_Toc12992" </w:instrText>
      </w:r>
      <w:r>
        <w:rPr>
          <w:color w:val="auto"/>
          <w:highlight w:val="none"/>
        </w:rPr>
        <w:fldChar w:fldCharType="separate"/>
      </w:r>
      <w:r>
        <w:rPr>
          <w:rFonts w:hint="eastAsia" w:cs="宋体"/>
          <w:color w:val="auto"/>
          <w:sz w:val="21"/>
          <w:szCs w:val="21"/>
          <w:highlight w:val="none"/>
        </w:rPr>
        <w:t>附件19.预付款保函（适用于预付款支付）</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_Toc12992 \h </w:instrText>
      </w:r>
      <w:r>
        <w:rPr>
          <w:rFonts w:hint="eastAsia" w:cs="宋体"/>
          <w:color w:val="auto"/>
          <w:sz w:val="21"/>
          <w:szCs w:val="21"/>
          <w:highlight w:val="none"/>
        </w:rPr>
        <w:fldChar w:fldCharType="separate"/>
      </w:r>
      <w:r>
        <w:rPr>
          <w:rFonts w:hint="eastAsia" w:cs="宋体"/>
          <w:color w:val="auto"/>
          <w:sz w:val="21"/>
          <w:szCs w:val="21"/>
          <w:highlight w:val="none"/>
        </w:rPr>
        <w:t>- 387 -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"_Toc32046" </w:instrText>
      </w:r>
      <w:r>
        <w:rPr>
          <w:color w:val="auto"/>
          <w:highlight w:val="none"/>
        </w:rPr>
        <w:fldChar w:fldCharType="separate"/>
      </w:r>
      <w:r>
        <w:rPr>
          <w:rFonts w:hint="eastAsia" w:cs="宋体"/>
          <w:color w:val="auto"/>
          <w:sz w:val="21"/>
          <w:szCs w:val="21"/>
          <w:highlight w:val="none"/>
        </w:rPr>
        <w:t>唱标信封</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_Toc32046 \h </w:instrText>
      </w:r>
      <w:r>
        <w:rPr>
          <w:rFonts w:hint="eastAsia" w:cs="宋体"/>
          <w:color w:val="auto"/>
          <w:sz w:val="21"/>
          <w:szCs w:val="21"/>
          <w:highlight w:val="none"/>
        </w:rPr>
        <w:fldChar w:fldCharType="separate"/>
      </w:r>
      <w:r>
        <w:rPr>
          <w:rFonts w:hint="eastAsia" w:cs="宋体"/>
          <w:color w:val="auto"/>
          <w:sz w:val="21"/>
          <w:szCs w:val="21"/>
          <w:highlight w:val="none"/>
        </w:rPr>
        <w:t>- 388 -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"_Toc3890" </w:instrText>
      </w:r>
      <w:r>
        <w:rPr>
          <w:color w:val="auto"/>
          <w:highlight w:val="none"/>
        </w:rPr>
        <w:fldChar w:fldCharType="separate"/>
      </w:r>
      <w:r>
        <w:rPr>
          <w:rFonts w:hint="eastAsia" w:cs="宋体"/>
          <w:color w:val="auto"/>
          <w:sz w:val="21"/>
          <w:szCs w:val="21"/>
          <w:highlight w:val="none"/>
        </w:rPr>
        <w:t>附件20.唱标信封内装（内容务必与投标文件正本一致）</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_Toc3890 \h </w:instrText>
      </w:r>
      <w:r>
        <w:rPr>
          <w:rFonts w:hint="eastAsia" w:cs="宋体"/>
          <w:color w:val="auto"/>
          <w:sz w:val="21"/>
          <w:szCs w:val="21"/>
          <w:highlight w:val="none"/>
        </w:rPr>
        <w:fldChar w:fldCharType="separate"/>
      </w:r>
      <w:r>
        <w:rPr>
          <w:rFonts w:hint="eastAsia" w:cs="宋体"/>
          <w:color w:val="auto"/>
          <w:sz w:val="21"/>
          <w:szCs w:val="21"/>
          <w:highlight w:val="none"/>
        </w:rPr>
        <w:t>- 389 -</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rFonts w:hint="eastAsia" w:cs="宋体"/>
          <w:color w:val="auto"/>
          <w:sz w:val="21"/>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6"/>
        <w:spacing w:before="0" w:after="0" w:line="240" w:lineRule="auto"/>
        <w:jc w:val="center"/>
        <w:rPr>
          <w:color w:val="auto"/>
          <w:sz w:val="28"/>
          <w:szCs w:val="28"/>
          <w:highlight w:val="none"/>
        </w:rPr>
      </w:pPr>
      <w:bookmarkStart w:id="0" w:name="_Toc27043"/>
      <w:r>
        <w:rPr>
          <w:rFonts w:hint="eastAsia"/>
          <w:color w:val="auto"/>
          <w:sz w:val="28"/>
          <w:szCs w:val="28"/>
          <w:highlight w:val="none"/>
        </w:rPr>
        <w:t>第一部分投标邀请</w:t>
      </w:r>
      <w:bookmarkEnd w:id="0"/>
    </w:p>
    <w:p>
      <w:pPr>
        <w:pStyle w:val="7"/>
        <w:spacing w:before="0" w:after="0" w:line="360" w:lineRule="auto"/>
        <w:jc w:val="center"/>
        <w:rPr>
          <w:rFonts w:ascii="宋体" w:hAnsi="宋体" w:cs="宋体"/>
          <w:color w:val="auto"/>
          <w:highlight w:val="none"/>
        </w:rPr>
      </w:pPr>
      <w:bookmarkStart w:id="1" w:name="_Toc32058"/>
      <w:r>
        <w:rPr>
          <w:rFonts w:hint="eastAsia" w:ascii="宋体" w:hAnsi="宋体" w:cs="宋体"/>
          <w:color w:val="auto"/>
          <w:highlight w:val="none"/>
        </w:rPr>
        <w:t>投标邀请书</w:t>
      </w:r>
      <w:bookmarkEnd w:id="1"/>
    </w:p>
    <w:p>
      <w:pPr>
        <w:ind w:firstLine="422" w:firstLineChars="200"/>
        <w:rPr>
          <w:rFonts w:ascii="宋体" w:hAnsi="宋体"/>
          <w:color w:val="auto"/>
          <w:szCs w:val="21"/>
          <w:highlight w:val="none"/>
        </w:rPr>
      </w:pPr>
      <w:r>
        <w:rPr>
          <w:rFonts w:hint="eastAsia" w:ascii="宋体" w:hAnsi="宋体"/>
          <w:b/>
          <w:bCs/>
          <w:color w:val="auto"/>
          <w:szCs w:val="21"/>
          <w:highlight w:val="none"/>
          <w:u w:val="single"/>
          <w:lang w:eastAsia="zh-CN"/>
        </w:rPr>
        <w:t>广东志正招标有限公司东莞分公司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u w:val="single"/>
          <w:lang w:eastAsia="zh-CN"/>
        </w:rPr>
        <w:t>东莞市东实城市环境服务有限公司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rPr>
        <w:t>东莞市寮步镇生活垃圾综合处理中心项目</w:t>
      </w:r>
      <w:r>
        <w:rPr>
          <w:rFonts w:hint="eastAsia" w:ascii="宋体" w:hAnsi="宋体"/>
          <w:color w:val="auto"/>
          <w:szCs w:val="21"/>
          <w:highlight w:val="none"/>
        </w:rPr>
        <w:t>（项目编号：</w:t>
      </w:r>
      <w:r>
        <w:rPr>
          <w:rFonts w:hint="eastAsia" w:ascii="宋体" w:hAnsi="宋体"/>
          <w:color w:val="auto"/>
          <w:szCs w:val="21"/>
          <w:highlight w:val="none"/>
          <w:lang w:eastAsia="zh-CN"/>
        </w:rPr>
        <w:t>DSCF-LB-02-08-010(2023)</w:t>
      </w:r>
      <w:r>
        <w:rPr>
          <w:rFonts w:hint="eastAsia" w:ascii="宋体" w:hAnsi="宋体"/>
          <w:color w:val="auto"/>
          <w:szCs w:val="21"/>
          <w:highlight w:val="none"/>
        </w:rPr>
        <w:t>）</w:t>
      </w:r>
      <w:r>
        <w:rPr>
          <w:rFonts w:hint="eastAsia" w:ascii="宋体" w:hAnsi="宋体" w:cs="Times New Roman"/>
          <w:color w:val="auto"/>
          <w:szCs w:val="21"/>
          <w:highlight w:val="none"/>
        </w:rPr>
        <w:t>进行国内公开采购</w:t>
      </w:r>
      <w:r>
        <w:rPr>
          <w:rFonts w:hint="eastAsia" w:ascii="宋体" w:hAnsi="宋体"/>
          <w:color w:val="auto"/>
          <w:szCs w:val="21"/>
          <w:highlight w:val="none"/>
        </w:rPr>
        <w:t>，欢迎符合采购文件要求的国内投标人参加投标</w:t>
      </w:r>
      <w:r>
        <w:rPr>
          <w:rFonts w:ascii="宋体" w:hAnsi="宋体"/>
          <w:color w:val="auto"/>
          <w:szCs w:val="21"/>
          <w:highlight w:val="none"/>
        </w:rPr>
        <w:t>。有关事项如下：</w:t>
      </w:r>
    </w:p>
    <w:p>
      <w:pPr>
        <w:ind w:firstLine="413" w:firstLineChars="196"/>
        <w:rPr>
          <w:rFonts w:ascii="宋体" w:hAnsi="宋体"/>
          <w:b/>
          <w:color w:val="auto"/>
          <w:szCs w:val="21"/>
          <w:highlight w:val="none"/>
        </w:rPr>
      </w:pPr>
    </w:p>
    <w:p>
      <w:pPr>
        <w:ind w:firstLine="413"/>
        <w:rPr>
          <w:rFonts w:ascii="宋体" w:hAnsi="宋体"/>
          <w:b/>
          <w:color w:val="auto"/>
          <w:szCs w:val="21"/>
          <w:highlight w:val="none"/>
        </w:rPr>
      </w:pPr>
      <w:r>
        <w:rPr>
          <w:rFonts w:hint="eastAsia" w:ascii="宋体" w:hAnsi="宋体"/>
          <w:b/>
          <w:color w:val="auto"/>
          <w:szCs w:val="21"/>
          <w:highlight w:val="none"/>
        </w:rPr>
        <w:t>一、采购项目概况</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、采购</w:t>
      </w:r>
      <w:r>
        <w:rPr>
          <w:rFonts w:ascii="宋体" w:hAnsi="宋体"/>
          <w:color w:val="auto"/>
          <w:szCs w:val="21"/>
          <w:highlight w:val="none"/>
        </w:rPr>
        <w:t>项目名称</w:t>
      </w:r>
      <w:r>
        <w:rPr>
          <w:rFonts w:hint="eastAsia" w:ascii="宋体" w:hAnsi="宋体"/>
          <w:color w:val="auto"/>
          <w:szCs w:val="21"/>
          <w:highlight w:val="none"/>
        </w:rPr>
        <w:t>：</w:t>
      </w:r>
      <w:r>
        <w:rPr>
          <w:rFonts w:hint="eastAsia" w:ascii="宋体" w:hAnsi="宋体"/>
          <w:b/>
          <w:color w:val="auto"/>
          <w:szCs w:val="21"/>
          <w:highlight w:val="none"/>
          <w:u w:val="single"/>
        </w:rPr>
        <w:t>东莞市寮步镇生活垃圾综合处理中心项目</w:t>
      </w:r>
    </w:p>
    <w:p>
      <w:pPr>
        <w:ind w:left="420" w:leftChars="200"/>
        <w:rPr>
          <w:rFonts w:ascii="宋体" w:hAnsi="宋体"/>
          <w:color w:val="auto"/>
          <w:szCs w:val="21"/>
          <w:highlight w:val="none"/>
          <w:u w:val="single"/>
        </w:rPr>
      </w:pPr>
      <w:r>
        <w:rPr>
          <w:rFonts w:hint="eastAsia" w:ascii="宋体" w:hAnsi="宋体"/>
          <w:color w:val="auto"/>
          <w:szCs w:val="21"/>
          <w:highlight w:val="none"/>
        </w:rPr>
        <w:t>2、项目限价（</w:t>
      </w:r>
      <w:r>
        <w:rPr>
          <w:rFonts w:ascii="宋体" w:hAnsi="宋体"/>
          <w:color w:val="auto"/>
          <w:szCs w:val="21"/>
          <w:highlight w:val="none"/>
        </w:rPr>
        <w:t>预算</w:t>
      </w:r>
      <w:r>
        <w:rPr>
          <w:rFonts w:hint="eastAsia" w:ascii="宋体" w:hAnsi="宋体"/>
          <w:color w:val="auto"/>
          <w:szCs w:val="21"/>
          <w:highlight w:val="none"/>
        </w:rPr>
        <w:t>）</w:t>
      </w:r>
      <w:r>
        <w:rPr>
          <w:rFonts w:ascii="宋体" w:hAnsi="宋体"/>
          <w:color w:val="auto"/>
          <w:szCs w:val="21"/>
          <w:highlight w:val="none"/>
        </w:rPr>
        <w:t>金额（</w:t>
      </w:r>
      <w:r>
        <w:rPr>
          <w:rFonts w:hint="eastAsia" w:ascii="宋体" w:hAnsi="宋体"/>
          <w:color w:val="auto"/>
          <w:szCs w:val="21"/>
          <w:highlight w:val="none"/>
        </w:rPr>
        <w:t>元</w:t>
      </w:r>
      <w:r>
        <w:rPr>
          <w:rFonts w:ascii="宋体" w:hAnsi="宋体"/>
          <w:color w:val="auto"/>
          <w:szCs w:val="21"/>
          <w:highlight w:val="none"/>
        </w:rPr>
        <w:t>）</w:t>
      </w:r>
    </w:p>
    <w:tbl>
      <w:tblPr>
        <w:tblStyle w:val="34"/>
        <w:tblW w:w="8410"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8"/>
        <w:gridCol w:w="753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项目最高限价（预算）</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A包：</w:t>
            </w:r>
            <w:r>
              <w:rPr>
                <w:rFonts w:hint="eastAsia" w:ascii="宋体" w:hAnsi="宋体" w:cs="宋体"/>
                <w:color w:val="auto"/>
                <w:szCs w:val="21"/>
                <w:highlight w:val="none"/>
              </w:rPr>
              <w:t>污水处理系统</w:t>
            </w:r>
            <w:r>
              <w:rPr>
                <w:rFonts w:hint="eastAsia" w:ascii="宋体" w:hAnsi="宋体"/>
                <w:color w:val="auto"/>
                <w:szCs w:val="21"/>
                <w:highlight w:val="none"/>
              </w:rPr>
              <w:t>采购及安装</w:t>
            </w:r>
          </w:p>
          <w:p>
            <w:pPr>
              <w:rPr>
                <w:rFonts w:ascii="宋体" w:hAnsi="宋体"/>
                <w:b/>
                <w:bCs/>
                <w:color w:val="auto"/>
                <w:szCs w:val="21"/>
                <w:highlight w:val="none"/>
              </w:rPr>
            </w:pPr>
            <w:r>
              <w:rPr>
                <w:rFonts w:hint="eastAsia" w:ascii="宋体" w:hAnsi="宋体"/>
                <w:bCs/>
                <w:color w:val="auto"/>
                <w:szCs w:val="21"/>
                <w:highlight w:val="none"/>
                <w:u w:val="single"/>
              </w:rPr>
              <w:t>本项目最高限价为人民币</w:t>
            </w:r>
            <w:r>
              <w:rPr>
                <w:rFonts w:hint="eastAsia" w:ascii="宋体" w:hAnsi="宋体"/>
                <w:bCs/>
                <w:color w:val="auto"/>
                <w:szCs w:val="21"/>
                <w:highlight w:val="none"/>
                <w:u w:val="single"/>
                <w:lang w:eastAsia="zh-CN"/>
              </w:rPr>
              <w:t>叁佰叁拾壹万元整</w:t>
            </w:r>
            <w:r>
              <w:rPr>
                <w:rFonts w:hint="eastAsia" w:ascii="宋体" w:hAnsi="宋体"/>
                <w:bCs/>
                <w:color w:val="auto"/>
                <w:szCs w:val="21"/>
                <w:highlight w:val="none"/>
                <w:u w:val="single"/>
              </w:rPr>
              <w:t>（¥</w:t>
            </w:r>
            <w:r>
              <w:rPr>
                <w:rFonts w:hint="eastAsia" w:ascii="宋体" w:hAnsi="宋体"/>
                <w:bCs/>
                <w:color w:val="auto"/>
                <w:szCs w:val="21"/>
                <w:highlight w:val="none"/>
                <w:u w:val="single"/>
                <w:lang w:eastAsia="zh-CN"/>
              </w:rPr>
              <w:t>3,310,000.00</w:t>
            </w:r>
            <w:r>
              <w:rPr>
                <w:rFonts w:hint="eastAsia" w:ascii="宋体" w:hAnsi="宋体"/>
                <w:bCs/>
                <w:color w:val="auto"/>
                <w:szCs w:val="21"/>
                <w:highlight w:val="none"/>
                <w:u w:val="single"/>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B包：</w:t>
            </w:r>
            <w:r>
              <w:rPr>
                <w:rFonts w:hint="eastAsia" w:ascii="宋体" w:hAnsi="宋体" w:cs="宋体"/>
                <w:color w:val="auto"/>
                <w:szCs w:val="21"/>
                <w:highlight w:val="none"/>
              </w:rPr>
              <w:t>生活垃圾压缩系统和大件垃圾处理系统采购及安装</w:t>
            </w:r>
          </w:p>
          <w:p>
            <w:pPr>
              <w:rPr>
                <w:rFonts w:ascii="宋体" w:hAnsi="宋体"/>
                <w:b/>
                <w:bCs/>
                <w:color w:val="auto"/>
                <w:szCs w:val="21"/>
                <w:highlight w:val="none"/>
              </w:rPr>
            </w:pPr>
            <w:r>
              <w:rPr>
                <w:rFonts w:hint="eastAsia" w:ascii="宋体" w:hAnsi="宋体"/>
                <w:bCs/>
                <w:color w:val="auto"/>
                <w:szCs w:val="21"/>
                <w:highlight w:val="none"/>
                <w:u w:val="single"/>
              </w:rPr>
              <w:t>本项目最高限价为人民币</w:t>
            </w:r>
            <w:r>
              <w:rPr>
                <w:rFonts w:hint="eastAsia" w:ascii="宋体" w:hAnsi="宋体"/>
                <w:bCs/>
                <w:color w:val="auto"/>
                <w:szCs w:val="21"/>
                <w:highlight w:val="none"/>
                <w:u w:val="single"/>
                <w:lang w:eastAsia="zh-CN"/>
              </w:rPr>
              <w:t>柒佰</w:t>
            </w:r>
            <w:r>
              <w:rPr>
                <w:rFonts w:hint="eastAsia" w:ascii="宋体" w:hAnsi="宋体"/>
                <w:bCs/>
                <w:color w:val="auto"/>
                <w:szCs w:val="21"/>
                <w:highlight w:val="none"/>
                <w:u w:val="single"/>
                <w:lang w:val="en-US" w:eastAsia="zh-CN"/>
              </w:rPr>
              <w:t>肆</w:t>
            </w:r>
            <w:r>
              <w:rPr>
                <w:rFonts w:hint="eastAsia" w:ascii="宋体" w:hAnsi="宋体"/>
                <w:bCs/>
                <w:color w:val="auto"/>
                <w:szCs w:val="21"/>
                <w:highlight w:val="none"/>
                <w:u w:val="single"/>
                <w:lang w:eastAsia="zh-CN"/>
              </w:rPr>
              <w:t>拾</w:t>
            </w:r>
            <w:r>
              <w:rPr>
                <w:rFonts w:hint="eastAsia" w:ascii="宋体" w:hAnsi="宋体"/>
                <w:bCs/>
                <w:color w:val="auto"/>
                <w:szCs w:val="21"/>
                <w:highlight w:val="none"/>
                <w:u w:val="single"/>
                <w:lang w:val="en-US" w:eastAsia="zh-CN"/>
              </w:rPr>
              <w:t>壹</w:t>
            </w:r>
            <w:r>
              <w:rPr>
                <w:rFonts w:hint="eastAsia" w:ascii="宋体" w:hAnsi="宋体"/>
                <w:bCs/>
                <w:color w:val="auto"/>
                <w:szCs w:val="21"/>
                <w:highlight w:val="none"/>
                <w:u w:val="single"/>
                <w:lang w:eastAsia="zh-CN"/>
              </w:rPr>
              <w:t>万元整</w:t>
            </w:r>
            <w:r>
              <w:rPr>
                <w:rFonts w:hint="eastAsia" w:ascii="宋体" w:hAnsi="宋体"/>
                <w:bCs/>
                <w:color w:val="auto"/>
                <w:szCs w:val="21"/>
                <w:highlight w:val="none"/>
                <w:u w:val="single"/>
              </w:rPr>
              <w:t>（¥</w:t>
            </w:r>
            <w:r>
              <w:rPr>
                <w:rFonts w:hint="eastAsia" w:ascii="宋体" w:hAnsi="宋体"/>
                <w:bCs/>
                <w:color w:val="auto"/>
                <w:szCs w:val="21"/>
                <w:highlight w:val="none"/>
                <w:u w:val="single"/>
                <w:lang w:eastAsia="zh-CN"/>
              </w:rPr>
              <w:t>7,</w:t>
            </w:r>
            <w:r>
              <w:rPr>
                <w:rFonts w:hint="eastAsia" w:ascii="宋体" w:hAnsi="宋体"/>
                <w:bCs/>
                <w:color w:val="auto"/>
                <w:szCs w:val="21"/>
                <w:highlight w:val="none"/>
                <w:u w:val="single"/>
                <w:lang w:val="en-US" w:eastAsia="zh-CN"/>
              </w:rPr>
              <w:t>41</w:t>
            </w:r>
            <w:r>
              <w:rPr>
                <w:rFonts w:hint="eastAsia" w:ascii="宋体" w:hAnsi="宋体"/>
                <w:bCs/>
                <w:color w:val="auto"/>
                <w:szCs w:val="21"/>
                <w:highlight w:val="none"/>
                <w:u w:val="single"/>
                <w:lang w:eastAsia="zh-CN"/>
              </w:rPr>
              <w:t>0,000.00</w:t>
            </w:r>
            <w:r>
              <w:rPr>
                <w:rFonts w:hint="eastAsia" w:ascii="宋体" w:hAnsi="宋体"/>
                <w:bCs/>
                <w:color w:val="auto"/>
                <w:szCs w:val="21"/>
                <w:highlight w:val="none"/>
                <w:u w:val="single"/>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C包：</w:t>
            </w:r>
            <w:r>
              <w:rPr>
                <w:rFonts w:hint="eastAsia" w:ascii="宋体" w:hAnsi="宋体" w:cs="宋体"/>
                <w:color w:val="auto"/>
                <w:szCs w:val="21"/>
                <w:highlight w:val="none"/>
              </w:rPr>
              <w:t>除臭系统</w:t>
            </w:r>
            <w:r>
              <w:rPr>
                <w:rFonts w:hint="eastAsia" w:ascii="宋体" w:hAnsi="宋体"/>
                <w:color w:val="auto"/>
                <w:szCs w:val="21"/>
                <w:highlight w:val="none"/>
              </w:rPr>
              <w:t>采购及安装</w:t>
            </w:r>
          </w:p>
          <w:p>
            <w:pPr>
              <w:rPr>
                <w:rFonts w:ascii="宋体" w:hAnsi="宋体"/>
                <w:b/>
                <w:bCs/>
                <w:color w:val="auto"/>
                <w:szCs w:val="21"/>
                <w:highlight w:val="none"/>
              </w:rPr>
            </w:pPr>
            <w:r>
              <w:rPr>
                <w:rFonts w:hint="eastAsia" w:ascii="宋体" w:hAnsi="宋体"/>
                <w:bCs/>
                <w:color w:val="auto"/>
                <w:szCs w:val="21"/>
                <w:highlight w:val="none"/>
                <w:u w:val="single"/>
              </w:rPr>
              <w:t>本项目最高限价为人民币</w:t>
            </w:r>
            <w:r>
              <w:rPr>
                <w:rFonts w:hint="eastAsia" w:ascii="宋体" w:hAnsi="宋体"/>
                <w:bCs/>
                <w:color w:val="auto"/>
                <w:szCs w:val="21"/>
                <w:highlight w:val="none"/>
                <w:u w:val="single"/>
                <w:lang w:eastAsia="zh-CN"/>
              </w:rPr>
              <w:t>肆佰</w:t>
            </w:r>
            <w:r>
              <w:rPr>
                <w:rFonts w:hint="eastAsia" w:ascii="宋体" w:hAnsi="宋体"/>
                <w:bCs/>
                <w:color w:val="auto"/>
                <w:szCs w:val="21"/>
                <w:highlight w:val="none"/>
                <w:u w:val="single"/>
                <w:lang w:val="en-US" w:eastAsia="zh-CN"/>
              </w:rPr>
              <w:t>柒</w:t>
            </w:r>
            <w:r>
              <w:rPr>
                <w:rFonts w:hint="eastAsia" w:ascii="宋体" w:hAnsi="宋体"/>
                <w:bCs/>
                <w:color w:val="auto"/>
                <w:szCs w:val="21"/>
                <w:highlight w:val="none"/>
                <w:u w:val="single"/>
                <w:lang w:eastAsia="zh-CN"/>
              </w:rPr>
              <w:t>拾</w:t>
            </w:r>
            <w:r>
              <w:rPr>
                <w:rFonts w:hint="eastAsia" w:ascii="宋体" w:hAnsi="宋体"/>
                <w:bCs/>
                <w:color w:val="auto"/>
                <w:szCs w:val="21"/>
                <w:highlight w:val="none"/>
                <w:u w:val="single"/>
                <w:lang w:val="en-US" w:eastAsia="zh-CN"/>
              </w:rPr>
              <w:t>叁</w:t>
            </w:r>
            <w:r>
              <w:rPr>
                <w:rFonts w:hint="eastAsia" w:ascii="宋体" w:hAnsi="宋体"/>
                <w:bCs/>
                <w:color w:val="auto"/>
                <w:szCs w:val="21"/>
                <w:highlight w:val="none"/>
                <w:u w:val="single"/>
                <w:lang w:eastAsia="zh-CN"/>
              </w:rPr>
              <w:t>万元</w:t>
            </w:r>
            <w:r>
              <w:rPr>
                <w:rFonts w:hint="eastAsia" w:ascii="宋体" w:hAnsi="宋体"/>
                <w:bCs/>
                <w:color w:val="auto"/>
                <w:szCs w:val="21"/>
                <w:highlight w:val="none"/>
                <w:u w:val="single"/>
              </w:rPr>
              <w:t>整（¥</w:t>
            </w:r>
            <w:r>
              <w:rPr>
                <w:rFonts w:hint="eastAsia" w:ascii="宋体" w:hAnsi="宋体"/>
                <w:bCs/>
                <w:color w:val="auto"/>
                <w:szCs w:val="21"/>
                <w:highlight w:val="none"/>
                <w:u w:val="single"/>
                <w:lang w:eastAsia="zh-CN"/>
              </w:rPr>
              <w:t>4,</w:t>
            </w:r>
            <w:r>
              <w:rPr>
                <w:rFonts w:hint="eastAsia" w:ascii="宋体" w:hAnsi="宋体"/>
                <w:bCs/>
                <w:color w:val="auto"/>
                <w:szCs w:val="21"/>
                <w:highlight w:val="none"/>
                <w:u w:val="single"/>
                <w:lang w:val="en-US" w:eastAsia="zh-CN"/>
              </w:rPr>
              <w:t>73</w:t>
            </w:r>
            <w:r>
              <w:rPr>
                <w:rFonts w:hint="eastAsia" w:ascii="宋体" w:hAnsi="宋体"/>
                <w:bCs/>
                <w:color w:val="auto"/>
                <w:szCs w:val="21"/>
                <w:highlight w:val="none"/>
                <w:u w:val="single"/>
                <w:lang w:eastAsia="zh-CN"/>
              </w:rPr>
              <w:t>0,000.00</w:t>
            </w:r>
            <w:r>
              <w:rPr>
                <w:rFonts w:hint="eastAsia" w:ascii="宋体" w:hAnsi="宋体"/>
                <w:bCs/>
                <w:color w:val="auto"/>
                <w:szCs w:val="21"/>
                <w:highlight w:val="none"/>
                <w:u w:val="single"/>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D包：</w:t>
            </w:r>
            <w:r>
              <w:rPr>
                <w:rFonts w:hint="eastAsia" w:ascii="宋体" w:hAnsi="宋体" w:cs="宋体"/>
                <w:color w:val="auto"/>
                <w:szCs w:val="21"/>
                <w:highlight w:val="none"/>
              </w:rPr>
              <w:t>厨余处理系统</w:t>
            </w:r>
            <w:r>
              <w:rPr>
                <w:rFonts w:hint="eastAsia" w:ascii="宋体" w:hAnsi="宋体"/>
                <w:color w:val="auto"/>
                <w:szCs w:val="21"/>
                <w:highlight w:val="none"/>
              </w:rPr>
              <w:t>采购及安装</w:t>
            </w:r>
          </w:p>
          <w:p>
            <w:pPr>
              <w:rPr>
                <w:rFonts w:ascii="宋体" w:hAnsi="宋体"/>
                <w:b/>
                <w:bCs/>
                <w:color w:val="auto"/>
                <w:szCs w:val="21"/>
                <w:highlight w:val="none"/>
              </w:rPr>
            </w:pPr>
            <w:r>
              <w:rPr>
                <w:rFonts w:hint="eastAsia" w:ascii="宋体" w:hAnsi="宋体"/>
                <w:bCs/>
                <w:color w:val="auto"/>
                <w:szCs w:val="21"/>
                <w:highlight w:val="none"/>
                <w:u w:val="single"/>
              </w:rPr>
              <w:t>本项目最高限价为人民币</w:t>
            </w:r>
            <w:r>
              <w:rPr>
                <w:rFonts w:hint="eastAsia" w:ascii="宋体" w:hAnsi="宋体"/>
                <w:bCs/>
                <w:color w:val="auto"/>
                <w:szCs w:val="21"/>
                <w:highlight w:val="none"/>
                <w:u w:val="single"/>
                <w:lang w:eastAsia="zh-CN"/>
              </w:rPr>
              <w:t>伍佰叁拾贰万元整</w:t>
            </w:r>
            <w:r>
              <w:rPr>
                <w:rFonts w:hint="eastAsia" w:ascii="宋体" w:hAnsi="宋体"/>
                <w:bCs/>
                <w:color w:val="auto"/>
                <w:szCs w:val="21"/>
                <w:highlight w:val="none"/>
                <w:u w:val="single"/>
              </w:rPr>
              <w:t>（¥</w:t>
            </w:r>
            <w:r>
              <w:rPr>
                <w:rFonts w:hint="eastAsia" w:ascii="宋体" w:hAnsi="宋体"/>
                <w:bCs/>
                <w:color w:val="auto"/>
                <w:szCs w:val="21"/>
                <w:highlight w:val="none"/>
                <w:u w:val="single"/>
                <w:lang w:eastAsia="zh-CN"/>
              </w:rPr>
              <w:t>5,320,000.00</w:t>
            </w:r>
            <w:r>
              <w:rPr>
                <w:rFonts w:hint="eastAsia" w:ascii="宋体" w:hAnsi="宋体"/>
                <w:bCs/>
                <w:color w:val="auto"/>
                <w:szCs w:val="21"/>
                <w:highlight w:val="none"/>
                <w:u w:val="single"/>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tcBorders>
              <w:tl2br w:val="nil"/>
              <w:tr2bl w:val="nil"/>
            </w:tcBorders>
            <w:vAlign w:val="center"/>
          </w:tcPr>
          <w:p>
            <w:pPr>
              <w:rPr>
                <w:rFonts w:ascii="宋体" w:hAnsi="宋体"/>
                <w:bCs/>
                <w:color w:val="auto"/>
                <w:szCs w:val="21"/>
                <w:highlight w:val="none"/>
                <w:u w:val="single"/>
              </w:rPr>
            </w:pPr>
            <w:r>
              <w:rPr>
                <w:rFonts w:ascii="宋体" w:hAnsi="宋体"/>
                <w:b/>
                <w:bCs w:val="0"/>
                <w:color w:val="auto"/>
                <w:szCs w:val="21"/>
                <w:highlight w:val="none"/>
                <w:u w:val="none"/>
              </w:rPr>
              <w:t>E包</w:t>
            </w:r>
            <w:r>
              <w:rPr>
                <w:rFonts w:hint="eastAsia" w:ascii="宋体" w:hAnsi="宋体"/>
                <w:bCs/>
                <w:color w:val="auto"/>
                <w:szCs w:val="21"/>
                <w:highlight w:val="none"/>
                <w:u w:val="none"/>
              </w:rPr>
              <w:t>:</w:t>
            </w:r>
            <w:r>
              <w:rPr>
                <w:rFonts w:hint="eastAsia" w:ascii="宋体" w:hAnsi="宋体"/>
                <w:bCs w:val="0"/>
                <w:color w:val="auto"/>
                <w:szCs w:val="21"/>
                <w:highlight w:val="none"/>
                <w:u w:val="none"/>
              </w:rPr>
              <w:t>生活垃圾及厨余垃圾收集转运设备</w:t>
            </w:r>
            <w:r>
              <w:rPr>
                <w:rFonts w:hint="eastAsia" w:ascii="宋体" w:hAnsi="宋体"/>
                <w:color w:val="auto"/>
                <w:szCs w:val="21"/>
                <w:highlight w:val="none"/>
              </w:rPr>
              <w:t>采购及安装</w:t>
            </w:r>
          </w:p>
          <w:p>
            <w:pPr>
              <w:rPr>
                <w:color w:val="auto"/>
                <w:highlight w:val="none"/>
              </w:rPr>
            </w:pPr>
            <w:r>
              <w:rPr>
                <w:rFonts w:hint="eastAsia" w:ascii="宋体" w:hAnsi="宋体"/>
                <w:bCs/>
                <w:color w:val="auto"/>
                <w:szCs w:val="21"/>
                <w:highlight w:val="none"/>
                <w:u w:val="single"/>
              </w:rPr>
              <w:t>本项目最高限价为人民币</w:t>
            </w:r>
            <w:r>
              <w:rPr>
                <w:rFonts w:hint="eastAsia" w:ascii="宋体" w:hAnsi="宋体"/>
                <w:bCs/>
                <w:color w:val="auto"/>
                <w:szCs w:val="21"/>
                <w:highlight w:val="none"/>
                <w:u w:val="single"/>
                <w:lang w:eastAsia="zh-CN"/>
              </w:rPr>
              <w:t>玖佰贰拾贰万元整</w:t>
            </w:r>
            <w:r>
              <w:rPr>
                <w:rFonts w:hint="eastAsia" w:ascii="宋体" w:hAnsi="宋体"/>
                <w:bCs/>
                <w:color w:val="auto"/>
                <w:szCs w:val="21"/>
                <w:highlight w:val="none"/>
                <w:u w:val="single"/>
              </w:rPr>
              <w:t>（¥</w:t>
            </w:r>
            <w:r>
              <w:rPr>
                <w:rFonts w:hint="eastAsia" w:ascii="宋体" w:hAnsi="宋体"/>
                <w:bCs/>
                <w:color w:val="auto"/>
                <w:szCs w:val="21"/>
                <w:highlight w:val="none"/>
                <w:u w:val="single"/>
                <w:lang w:eastAsia="zh-CN"/>
              </w:rPr>
              <w:t>9,2</w:t>
            </w:r>
            <w:r>
              <w:rPr>
                <w:rFonts w:hint="eastAsia" w:ascii="宋体" w:hAnsi="宋体"/>
                <w:bCs/>
                <w:color w:val="auto"/>
                <w:szCs w:val="21"/>
                <w:highlight w:val="none"/>
                <w:u w:val="single"/>
                <w:lang w:val="en-US" w:eastAsia="zh-CN"/>
              </w:rPr>
              <w:t>2</w:t>
            </w:r>
            <w:r>
              <w:rPr>
                <w:rFonts w:hint="eastAsia" w:ascii="宋体" w:hAnsi="宋体"/>
                <w:bCs/>
                <w:color w:val="auto"/>
                <w:szCs w:val="21"/>
                <w:highlight w:val="none"/>
                <w:u w:val="single"/>
                <w:lang w:eastAsia="zh-CN"/>
              </w:rPr>
              <w:t>0,000.00</w:t>
            </w:r>
            <w:r>
              <w:rPr>
                <w:rFonts w:hint="eastAsia" w:ascii="宋体" w:hAnsi="宋体"/>
                <w:bCs/>
                <w:color w:val="auto"/>
                <w:szCs w:val="21"/>
                <w:highlight w:val="none"/>
                <w:u w:val="single"/>
              </w:rPr>
              <w:t>元）</w:t>
            </w:r>
          </w:p>
        </w:tc>
      </w:tr>
    </w:tbl>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34"/>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4257"/>
        <w:gridCol w:w="1090"/>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194" w:type="dxa"/>
            <w:vAlign w:val="center"/>
          </w:tcPr>
          <w:p>
            <w:pPr>
              <w:jc w:val="center"/>
              <w:rPr>
                <w:rFonts w:ascii="宋体" w:hAnsi="宋体" w:cs="宋体"/>
                <w:color w:val="auto"/>
                <w:kern w:val="28"/>
                <w:szCs w:val="21"/>
                <w:highlight w:val="none"/>
              </w:rPr>
            </w:pPr>
            <w:r>
              <w:rPr>
                <w:rFonts w:hint="eastAsia" w:ascii="宋体" w:hAnsi="宋体" w:cs="宋体"/>
                <w:color w:val="auto"/>
                <w:kern w:val="28"/>
                <w:szCs w:val="21"/>
                <w:highlight w:val="none"/>
              </w:rPr>
              <w:t>采购包号</w:t>
            </w:r>
          </w:p>
        </w:tc>
        <w:tc>
          <w:tcPr>
            <w:tcW w:w="4257" w:type="dxa"/>
            <w:vAlign w:val="center"/>
          </w:tcPr>
          <w:p>
            <w:pPr>
              <w:jc w:val="center"/>
              <w:rPr>
                <w:rFonts w:ascii="宋体" w:hAnsi="宋体" w:cs="宋体"/>
                <w:color w:val="auto"/>
                <w:kern w:val="28"/>
                <w:szCs w:val="21"/>
                <w:highlight w:val="none"/>
              </w:rPr>
            </w:pPr>
            <w:r>
              <w:rPr>
                <w:rFonts w:hint="eastAsia" w:ascii="宋体" w:hAnsi="宋体" w:cs="宋体"/>
                <w:color w:val="auto"/>
                <w:kern w:val="28"/>
                <w:szCs w:val="21"/>
                <w:highlight w:val="none"/>
              </w:rPr>
              <w:t>项目内容</w:t>
            </w:r>
          </w:p>
        </w:tc>
        <w:tc>
          <w:tcPr>
            <w:tcW w:w="1090" w:type="dxa"/>
            <w:vAlign w:val="center"/>
          </w:tcPr>
          <w:p>
            <w:pPr>
              <w:jc w:val="center"/>
              <w:rPr>
                <w:rFonts w:ascii="宋体" w:hAnsi="宋体" w:cs="宋体"/>
                <w:color w:val="auto"/>
                <w:kern w:val="28"/>
                <w:szCs w:val="21"/>
                <w:highlight w:val="none"/>
              </w:rPr>
            </w:pPr>
            <w:r>
              <w:rPr>
                <w:rFonts w:hint="eastAsia" w:ascii="宋体" w:hAnsi="宋体" w:cs="宋体"/>
                <w:color w:val="auto"/>
                <w:kern w:val="28"/>
                <w:szCs w:val="21"/>
                <w:highlight w:val="none"/>
              </w:rPr>
              <w:t>采购供货单位数量</w:t>
            </w:r>
          </w:p>
        </w:tc>
        <w:tc>
          <w:tcPr>
            <w:tcW w:w="1979" w:type="dxa"/>
            <w:vAlign w:val="center"/>
          </w:tcPr>
          <w:p>
            <w:pPr>
              <w:jc w:val="center"/>
              <w:rPr>
                <w:rFonts w:ascii="宋体" w:hAnsi="宋体" w:cs="宋体"/>
                <w:color w:val="auto"/>
                <w:kern w:val="28"/>
                <w:szCs w:val="21"/>
                <w:highlight w:val="none"/>
              </w:rPr>
            </w:pPr>
            <w:r>
              <w:rPr>
                <w:rFonts w:hint="eastAsia" w:ascii="宋体" w:hAnsi="宋体" w:cs="宋体"/>
                <w:color w:val="auto"/>
                <w:kern w:val="28"/>
                <w:szCs w:val="21"/>
                <w:highlight w:val="none"/>
              </w:rPr>
              <w:t>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4" w:hRule="atLeast"/>
          <w:jc w:val="center"/>
        </w:trPr>
        <w:tc>
          <w:tcPr>
            <w:tcW w:w="119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A</w:t>
            </w:r>
          </w:p>
        </w:tc>
        <w:tc>
          <w:tcPr>
            <w:tcW w:w="4257" w:type="dxa"/>
            <w:vAlign w:val="center"/>
          </w:tcPr>
          <w:p>
            <w:pPr>
              <w:rPr>
                <w:rFonts w:ascii="宋体" w:hAnsi="宋体" w:cs="宋体"/>
                <w:color w:val="auto"/>
                <w:szCs w:val="21"/>
                <w:highlight w:val="none"/>
              </w:rPr>
            </w:pPr>
            <w:r>
              <w:rPr>
                <w:rFonts w:hint="eastAsia" w:ascii="宋体" w:hAnsi="宋体" w:cs="宋体"/>
                <w:color w:val="auto"/>
                <w:szCs w:val="21"/>
                <w:highlight w:val="none"/>
              </w:rPr>
              <w:t>本次采购为东莞市寮步镇生活垃圾综合处理中心项目-污水处理系统</w:t>
            </w:r>
            <w:r>
              <w:rPr>
                <w:rFonts w:hint="eastAsia" w:ascii="宋体" w:hAnsi="宋体"/>
                <w:color w:val="auto"/>
                <w:szCs w:val="21"/>
                <w:highlight w:val="none"/>
              </w:rPr>
              <w:t>采购及安装</w:t>
            </w:r>
            <w:r>
              <w:rPr>
                <w:rFonts w:hint="eastAsia" w:ascii="宋体" w:hAnsi="宋体" w:cs="宋体"/>
                <w:color w:val="auto"/>
                <w:szCs w:val="21"/>
                <w:highlight w:val="none"/>
              </w:rPr>
              <w:t>。具体内容详见第三部分用户需求书部分。</w:t>
            </w:r>
          </w:p>
        </w:tc>
        <w:tc>
          <w:tcPr>
            <w:tcW w:w="109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1家</w:t>
            </w:r>
          </w:p>
        </w:tc>
        <w:tc>
          <w:tcPr>
            <w:tcW w:w="1979" w:type="dxa"/>
            <w:vAlign w:val="center"/>
          </w:tcPr>
          <w:p>
            <w:pPr>
              <w:rPr>
                <w:rFonts w:ascii="宋体" w:hAnsi="宋体" w:cs="宋体"/>
                <w:color w:val="auto"/>
                <w:szCs w:val="21"/>
                <w:highlight w:val="none"/>
              </w:rPr>
            </w:pPr>
            <w:r>
              <w:rPr>
                <w:rFonts w:hint="eastAsia" w:ascii="宋体" w:hAnsi="宋体" w:cs="宋体"/>
                <w:color w:val="auto"/>
                <w:szCs w:val="21"/>
                <w:highlight w:val="none"/>
              </w:rPr>
              <w:t>具体内容详见第三部分用户需求书部分，第一章，商务需求书。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19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B</w:t>
            </w:r>
          </w:p>
        </w:tc>
        <w:tc>
          <w:tcPr>
            <w:tcW w:w="4257" w:type="dxa"/>
            <w:vAlign w:val="center"/>
          </w:tcPr>
          <w:p>
            <w:pPr>
              <w:rPr>
                <w:rFonts w:ascii="宋体" w:hAnsi="宋体" w:cs="宋体"/>
                <w:color w:val="auto"/>
                <w:szCs w:val="21"/>
                <w:highlight w:val="none"/>
              </w:rPr>
            </w:pPr>
            <w:r>
              <w:rPr>
                <w:rFonts w:hint="eastAsia" w:ascii="宋体" w:hAnsi="宋体" w:cs="宋体"/>
                <w:color w:val="auto"/>
                <w:szCs w:val="21"/>
                <w:highlight w:val="none"/>
              </w:rPr>
              <w:t>本次采购为东莞市寮步镇生活垃圾综合处理中心项目-生活垃圾压缩系统和大件垃圾处理系统采购及安装。具体内容详见第三部分用户需求书部分。</w:t>
            </w:r>
          </w:p>
        </w:tc>
        <w:tc>
          <w:tcPr>
            <w:tcW w:w="109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1家</w:t>
            </w:r>
          </w:p>
        </w:tc>
        <w:tc>
          <w:tcPr>
            <w:tcW w:w="1979" w:type="dxa"/>
            <w:vAlign w:val="center"/>
          </w:tcPr>
          <w:p>
            <w:pPr>
              <w:rPr>
                <w:rFonts w:ascii="宋体" w:hAnsi="宋体" w:cs="宋体"/>
                <w:color w:val="auto"/>
                <w:szCs w:val="21"/>
                <w:highlight w:val="none"/>
              </w:rPr>
            </w:pPr>
            <w:r>
              <w:rPr>
                <w:rFonts w:hint="eastAsia" w:ascii="宋体" w:hAnsi="宋体" w:cs="宋体"/>
                <w:color w:val="auto"/>
                <w:szCs w:val="21"/>
                <w:highlight w:val="none"/>
              </w:rPr>
              <w:t>具体内容详见第三部分用户需求书部分，第一章，商务需求书。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19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C</w:t>
            </w:r>
          </w:p>
        </w:tc>
        <w:tc>
          <w:tcPr>
            <w:tcW w:w="4257" w:type="dxa"/>
            <w:vAlign w:val="center"/>
          </w:tcPr>
          <w:p>
            <w:pPr>
              <w:rPr>
                <w:rFonts w:ascii="宋体" w:hAnsi="宋体" w:cs="宋体"/>
                <w:color w:val="auto"/>
                <w:szCs w:val="21"/>
                <w:highlight w:val="none"/>
              </w:rPr>
            </w:pPr>
            <w:r>
              <w:rPr>
                <w:rFonts w:hint="eastAsia" w:ascii="宋体" w:hAnsi="宋体" w:cs="宋体"/>
                <w:color w:val="auto"/>
                <w:szCs w:val="21"/>
                <w:highlight w:val="none"/>
              </w:rPr>
              <w:t>本次采购为东莞市寮步镇生活垃圾综合处理中心项目-除臭系统</w:t>
            </w:r>
            <w:r>
              <w:rPr>
                <w:rFonts w:hint="eastAsia" w:ascii="宋体" w:hAnsi="宋体"/>
                <w:color w:val="auto"/>
                <w:szCs w:val="21"/>
                <w:highlight w:val="none"/>
              </w:rPr>
              <w:t>采购及安装</w:t>
            </w:r>
            <w:r>
              <w:rPr>
                <w:rFonts w:hint="eastAsia" w:ascii="宋体" w:hAnsi="宋体" w:cs="宋体"/>
                <w:color w:val="auto"/>
                <w:szCs w:val="21"/>
                <w:highlight w:val="none"/>
              </w:rPr>
              <w:t>。具体内容详见第三部分用户需求书部分。</w:t>
            </w:r>
          </w:p>
        </w:tc>
        <w:tc>
          <w:tcPr>
            <w:tcW w:w="109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1家</w:t>
            </w:r>
          </w:p>
        </w:tc>
        <w:tc>
          <w:tcPr>
            <w:tcW w:w="1979" w:type="dxa"/>
            <w:vAlign w:val="center"/>
          </w:tcPr>
          <w:p>
            <w:pPr>
              <w:rPr>
                <w:rFonts w:ascii="宋体" w:hAnsi="宋体" w:cs="宋体"/>
                <w:color w:val="auto"/>
                <w:szCs w:val="21"/>
                <w:highlight w:val="none"/>
              </w:rPr>
            </w:pPr>
            <w:r>
              <w:rPr>
                <w:rFonts w:hint="eastAsia" w:ascii="宋体" w:hAnsi="宋体" w:cs="宋体"/>
                <w:color w:val="auto"/>
                <w:szCs w:val="21"/>
                <w:highlight w:val="none"/>
              </w:rPr>
              <w:t>具体内容详见第三部分用户需求书部分，第一章，商务需求书。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19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D</w:t>
            </w:r>
          </w:p>
        </w:tc>
        <w:tc>
          <w:tcPr>
            <w:tcW w:w="4257" w:type="dxa"/>
            <w:vAlign w:val="center"/>
          </w:tcPr>
          <w:p>
            <w:pPr>
              <w:rPr>
                <w:rFonts w:ascii="宋体" w:hAnsi="宋体" w:cs="宋体"/>
                <w:color w:val="auto"/>
                <w:szCs w:val="21"/>
                <w:highlight w:val="none"/>
              </w:rPr>
            </w:pPr>
            <w:r>
              <w:rPr>
                <w:rFonts w:hint="eastAsia" w:ascii="宋体" w:hAnsi="宋体" w:cs="宋体"/>
                <w:color w:val="auto"/>
                <w:szCs w:val="21"/>
                <w:highlight w:val="none"/>
              </w:rPr>
              <w:t>本次采购为东莞市寮步镇生活垃圾综合处理中心项目-厨余处理系统</w:t>
            </w:r>
            <w:r>
              <w:rPr>
                <w:rFonts w:hint="eastAsia" w:ascii="宋体" w:hAnsi="宋体"/>
                <w:color w:val="auto"/>
                <w:szCs w:val="21"/>
                <w:highlight w:val="none"/>
              </w:rPr>
              <w:t>采购及安装</w:t>
            </w:r>
            <w:r>
              <w:rPr>
                <w:rFonts w:hint="eastAsia" w:ascii="宋体" w:hAnsi="宋体" w:cs="宋体"/>
                <w:color w:val="auto"/>
                <w:szCs w:val="21"/>
                <w:highlight w:val="none"/>
              </w:rPr>
              <w:t>。具体内容详见第三部分用户需求书部分。</w:t>
            </w:r>
          </w:p>
        </w:tc>
        <w:tc>
          <w:tcPr>
            <w:tcW w:w="1090" w:type="dxa"/>
            <w:vAlign w:val="center"/>
          </w:tcPr>
          <w:p>
            <w:pPr>
              <w:jc w:val="center"/>
              <w:rPr>
                <w:rFonts w:ascii="宋体" w:hAnsi="宋体" w:cs="宋体"/>
                <w:color w:val="auto"/>
                <w:szCs w:val="21"/>
                <w:highlight w:val="none"/>
              </w:rPr>
            </w:pPr>
            <w:r>
              <w:rPr>
                <w:rFonts w:hint="eastAsia"/>
                <w:color w:val="auto"/>
                <w:highlight w:val="none"/>
              </w:rPr>
              <w:t>1家</w:t>
            </w:r>
          </w:p>
        </w:tc>
        <w:tc>
          <w:tcPr>
            <w:tcW w:w="1979" w:type="dxa"/>
            <w:vAlign w:val="center"/>
          </w:tcPr>
          <w:p>
            <w:pPr>
              <w:rPr>
                <w:rFonts w:ascii="宋体" w:hAnsi="宋体" w:cs="宋体"/>
                <w:color w:val="auto"/>
                <w:szCs w:val="21"/>
                <w:highlight w:val="none"/>
              </w:rPr>
            </w:pPr>
            <w:r>
              <w:rPr>
                <w:rFonts w:hint="eastAsia"/>
                <w:color w:val="auto"/>
                <w:highlight w:val="none"/>
              </w:rPr>
              <w:t>具体内容详见第三部分用户需求书部分，第一章，商务需求书。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19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E</w:t>
            </w:r>
          </w:p>
        </w:tc>
        <w:tc>
          <w:tcPr>
            <w:tcW w:w="4257" w:type="dxa"/>
            <w:vAlign w:val="center"/>
          </w:tcPr>
          <w:p>
            <w:pPr>
              <w:rPr>
                <w:rFonts w:ascii="宋体" w:hAnsi="宋体" w:cs="宋体"/>
                <w:color w:val="auto"/>
                <w:szCs w:val="21"/>
                <w:highlight w:val="none"/>
              </w:rPr>
            </w:pPr>
            <w:r>
              <w:rPr>
                <w:rFonts w:hint="eastAsia" w:ascii="宋体" w:hAnsi="宋体" w:cs="宋体"/>
                <w:color w:val="auto"/>
                <w:szCs w:val="21"/>
                <w:highlight w:val="none"/>
              </w:rPr>
              <w:t>本次采购为东莞市寮步镇生活垃圾综合处理中心项目-</w:t>
            </w:r>
            <w:r>
              <w:rPr>
                <w:rFonts w:hint="eastAsia" w:ascii="宋体" w:hAnsi="宋体"/>
                <w:bCs/>
                <w:color w:val="auto"/>
                <w:szCs w:val="21"/>
                <w:highlight w:val="none"/>
                <w:u w:val="none"/>
              </w:rPr>
              <w:t>生活垃圾及厨余垃圾收集转运设备</w:t>
            </w:r>
            <w:r>
              <w:rPr>
                <w:rFonts w:hint="eastAsia" w:ascii="宋体" w:hAnsi="宋体"/>
                <w:color w:val="auto"/>
                <w:szCs w:val="21"/>
                <w:highlight w:val="none"/>
              </w:rPr>
              <w:t>采购及安装</w:t>
            </w:r>
            <w:r>
              <w:rPr>
                <w:rFonts w:hint="eastAsia" w:ascii="宋体" w:hAnsi="宋体" w:cs="宋体"/>
                <w:color w:val="auto"/>
                <w:szCs w:val="21"/>
                <w:highlight w:val="none"/>
              </w:rPr>
              <w:t>。具体内容详见第三部分用户需求书部分。</w:t>
            </w:r>
          </w:p>
        </w:tc>
        <w:tc>
          <w:tcPr>
            <w:tcW w:w="1090" w:type="dxa"/>
            <w:vAlign w:val="center"/>
          </w:tcPr>
          <w:p>
            <w:pPr>
              <w:jc w:val="center"/>
              <w:rPr>
                <w:color w:val="auto"/>
                <w:highlight w:val="none"/>
              </w:rPr>
            </w:pPr>
            <w:r>
              <w:rPr>
                <w:rFonts w:hint="eastAsia"/>
                <w:color w:val="auto"/>
                <w:highlight w:val="none"/>
              </w:rPr>
              <w:t>1家</w:t>
            </w:r>
          </w:p>
        </w:tc>
        <w:tc>
          <w:tcPr>
            <w:tcW w:w="1979" w:type="dxa"/>
            <w:vAlign w:val="center"/>
          </w:tcPr>
          <w:p>
            <w:pPr>
              <w:rPr>
                <w:color w:val="auto"/>
                <w:highlight w:val="none"/>
              </w:rPr>
            </w:pPr>
            <w:r>
              <w:rPr>
                <w:rFonts w:hint="eastAsia"/>
                <w:color w:val="auto"/>
                <w:highlight w:val="none"/>
              </w:rPr>
              <w:t>具体内容详见第三部分用户需求书部分，第一章，商务需求书。</w:t>
            </w:r>
          </w:p>
        </w:tc>
      </w:tr>
    </w:tbl>
    <w:p>
      <w:pPr>
        <w:ind w:firstLine="420" w:firstLineChars="200"/>
        <w:rPr>
          <w:rFonts w:ascii="宋体" w:hAnsi="宋体"/>
          <w:color w:val="auto"/>
          <w:szCs w:val="21"/>
          <w:highlight w:val="none"/>
        </w:rPr>
      </w:pPr>
      <w:r>
        <w:rPr>
          <w:rFonts w:hint="eastAsia" w:ascii="宋体" w:hAnsi="宋体"/>
          <w:color w:val="auto"/>
          <w:szCs w:val="21"/>
          <w:highlight w:val="none"/>
        </w:rPr>
        <w:t>（注：本表格根据项目实际情况补充修改）</w:t>
      </w:r>
    </w:p>
    <w:p>
      <w:pPr>
        <w:ind w:firstLine="420" w:firstLineChars="200"/>
        <w:rPr>
          <w:rFonts w:ascii="宋体" w:hAnsi="宋体"/>
          <w:color w:val="auto"/>
          <w:szCs w:val="21"/>
          <w:highlight w:val="none"/>
        </w:rPr>
      </w:pPr>
      <w:r>
        <w:rPr>
          <w:rFonts w:hint="eastAsia" w:ascii="宋体" w:hAnsi="宋体"/>
          <w:color w:val="auto"/>
          <w:szCs w:val="21"/>
          <w:highlight w:val="none"/>
        </w:rPr>
        <w:t>4、项目需求</w:t>
      </w:r>
    </w:p>
    <w:p>
      <w:pPr>
        <w:ind w:firstLine="420" w:firstLineChars="200"/>
        <w:rPr>
          <w:rFonts w:ascii="宋体" w:hAnsi="宋体"/>
          <w:color w:val="auto"/>
          <w:szCs w:val="21"/>
          <w:highlight w:val="none"/>
        </w:rPr>
      </w:pPr>
      <w:r>
        <w:rPr>
          <w:rFonts w:hint="eastAsia" w:ascii="宋体" w:hAnsi="宋体"/>
          <w:color w:val="auto"/>
          <w:szCs w:val="21"/>
          <w:highlight w:val="none"/>
        </w:rPr>
        <w:t>详细内容请参阅采购文件第三部分《用户需求书》。</w:t>
      </w:r>
    </w:p>
    <w:p>
      <w:pPr>
        <w:ind w:firstLine="413" w:firstLineChars="196"/>
        <w:rPr>
          <w:rFonts w:ascii="宋体" w:hAnsi="宋体"/>
          <w:b/>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A包：污水处理系统采购及安装</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提供《营业执照》复印件（加盖公章）或《事业单位法人证书》复印件（加盖公章）或其他主体证书复印件（加盖公章）】。</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须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pPr>
        <w:ind w:firstLine="420" w:firstLineChars="200"/>
        <w:rPr>
          <w:rFonts w:ascii="宋体" w:hAnsi="宋体"/>
          <w:color w:val="auto"/>
          <w:szCs w:val="21"/>
          <w:highlight w:val="none"/>
        </w:rPr>
      </w:pPr>
      <w:r>
        <w:rPr>
          <w:rFonts w:hint="eastAsia" w:ascii="宋体" w:hAnsi="宋体"/>
          <w:color w:val="auto"/>
          <w:szCs w:val="21"/>
          <w:highlight w:val="none"/>
        </w:rPr>
        <w:t>（3）投标人的单位负责人为同一人或者存在直接控股、管理关系的不同投标人，不得参加同一合同项下的采购活动。</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color w:val="auto"/>
          <w:highlight w:val="none"/>
        </w:rPr>
        <w:t>重大税收违法失信主体</w:t>
      </w:r>
      <w:r>
        <w:rPr>
          <w:rFonts w:hint="eastAsia" w:ascii="宋体" w:hAnsi="宋体"/>
          <w:color w:val="auto"/>
          <w:szCs w:val="21"/>
          <w:highlight w:val="none"/>
        </w:rPr>
        <w:t>或政府采购严重违法失信行为”记录名单。以代理机构于投标截止日当天在“信用中国”网站查询结果为准，如相关失信记录已失效，投标人需提供相关证明资料。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（5）投标人未被列入东实环境及下属企业相关领域黑名单。</w:t>
      </w:r>
    </w:p>
    <w:p>
      <w:pPr>
        <w:ind w:firstLine="420" w:firstLineChars="200"/>
        <w:rPr>
          <w:rFonts w:ascii="宋体" w:hAnsi="宋体"/>
          <w:color w:val="auto"/>
          <w:szCs w:val="21"/>
          <w:highlight w:val="none"/>
        </w:rPr>
      </w:pPr>
      <w:r>
        <w:rPr>
          <w:rFonts w:hint="eastAsia" w:ascii="宋体" w:hAnsi="宋体"/>
          <w:color w:val="auto"/>
          <w:szCs w:val="21"/>
          <w:highlight w:val="none"/>
        </w:rPr>
        <w:t>（6）本项目不接受联合体投标。</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B包：</w:t>
      </w:r>
      <w:r>
        <w:rPr>
          <w:rFonts w:hint="eastAsia" w:ascii="宋体" w:hAnsi="宋体" w:cs="宋体"/>
          <w:b/>
          <w:bCs/>
          <w:color w:val="auto"/>
          <w:szCs w:val="21"/>
          <w:highlight w:val="none"/>
        </w:rPr>
        <w:t>生活垃圾压缩系统和大件垃圾处理系统采购及安装</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提供《营业执照》复印件（加盖公章）或《事业单位法人证书》复印件（加盖公章）或其他主体证书复印件（加盖公章）】。</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须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pPr>
        <w:ind w:firstLine="420" w:firstLineChars="200"/>
        <w:rPr>
          <w:rFonts w:ascii="宋体" w:hAnsi="宋体"/>
          <w:color w:val="auto"/>
          <w:szCs w:val="21"/>
          <w:highlight w:val="none"/>
        </w:rPr>
      </w:pPr>
      <w:r>
        <w:rPr>
          <w:rFonts w:hint="eastAsia" w:ascii="宋体" w:hAnsi="宋体"/>
          <w:color w:val="auto"/>
          <w:szCs w:val="21"/>
          <w:highlight w:val="none"/>
        </w:rPr>
        <w:t>（3）投标人的单位负责人为同一人或者存在直接控股、管理关系的不同投标人，不得参加同一合同项下的采购活动。</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color w:val="auto"/>
          <w:highlight w:val="none"/>
        </w:rPr>
        <w:t>重大税收违法失信主体</w:t>
      </w:r>
      <w:r>
        <w:rPr>
          <w:rFonts w:hint="eastAsia" w:ascii="宋体" w:hAnsi="宋体"/>
          <w:color w:val="auto"/>
          <w:szCs w:val="21"/>
          <w:highlight w:val="none"/>
        </w:rPr>
        <w:t>或政府采购严重违法失信行为”记录名单。以代理机构于投标截止日当天在“信用中国”网站查询结果为准，如相关失信记录已失效，投标人需提供相关证明资料。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（5）投标人未被列入东实环境及下属企业相关领域黑名单。</w:t>
      </w:r>
    </w:p>
    <w:p>
      <w:pPr>
        <w:ind w:firstLine="420" w:firstLineChars="200"/>
        <w:rPr>
          <w:rFonts w:ascii="宋体" w:hAnsi="宋体"/>
          <w:color w:val="auto"/>
          <w:szCs w:val="21"/>
          <w:highlight w:val="none"/>
        </w:rPr>
      </w:pPr>
      <w:r>
        <w:rPr>
          <w:rFonts w:hint="eastAsia" w:ascii="宋体" w:hAnsi="宋体"/>
          <w:color w:val="auto"/>
          <w:szCs w:val="21"/>
          <w:highlight w:val="none"/>
        </w:rPr>
        <w:t>（6）本项目不接受联合体投标。</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C包：</w:t>
      </w:r>
      <w:r>
        <w:rPr>
          <w:rFonts w:hint="eastAsia" w:ascii="宋体" w:hAnsi="宋体" w:cs="宋体"/>
          <w:b/>
          <w:bCs/>
          <w:color w:val="auto"/>
          <w:szCs w:val="21"/>
          <w:highlight w:val="none"/>
        </w:rPr>
        <w:t>除臭系统</w:t>
      </w:r>
      <w:r>
        <w:rPr>
          <w:rFonts w:hint="eastAsia" w:ascii="宋体" w:hAnsi="宋体"/>
          <w:b/>
          <w:bCs/>
          <w:color w:val="auto"/>
          <w:szCs w:val="21"/>
          <w:highlight w:val="none"/>
        </w:rPr>
        <w:t>采购及安装</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提供《营业执照》复印件（加盖公章）或《事业单位法人证书》复印件（加盖公章）或其他主体证书复印件（加盖公章）】。</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须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pPr>
        <w:ind w:firstLine="420" w:firstLineChars="200"/>
        <w:rPr>
          <w:rFonts w:ascii="宋体" w:hAnsi="宋体"/>
          <w:color w:val="auto"/>
          <w:szCs w:val="21"/>
          <w:highlight w:val="none"/>
        </w:rPr>
      </w:pPr>
      <w:r>
        <w:rPr>
          <w:rFonts w:hint="eastAsia" w:ascii="宋体" w:hAnsi="宋体"/>
          <w:color w:val="auto"/>
          <w:szCs w:val="21"/>
          <w:highlight w:val="none"/>
        </w:rPr>
        <w:t>（3）投标人的单位负责人为同一人或者存在直接控股、管理关系的不同投标人，不得参加同一合同项下的采购活动。</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color w:val="auto"/>
          <w:highlight w:val="none"/>
        </w:rPr>
        <w:t>重大税收违法失信主体</w:t>
      </w:r>
      <w:r>
        <w:rPr>
          <w:rFonts w:hint="eastAsia" w:ascii="宋体" w:hAnsi="宋体"/>
          <w:color w:val="auto"/>
          <w:szCs w:val="21"/>
          <w:highlight w:val="none"/>
        </w:rPr>
        <w:t>或政府采购严重违法失信行为”记录名单。以代理机构于投标截止日当天在“信用中国”网站查询结果为准，如相关失信记录已失效，投标人需提供相关证明资料。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（5）投标人未被列入东实环境及下属企业相关领域黑名单。</w:t>
      </w:r>
    </w:p>
    <w:p>
      <w:pPr>
        <w:ind w:firstLine="420" w:firstLineChars="200"/>
        <w:rPr>
          <w:rFonts w:ascii="宋体" w:hAnsi="宋体"/>
          <w:color w:val="auto"/>
          <w:szCs w:val="21"/>
          <w:highlight w:val="none"/>
        </w:rPr>
      </w:pPr>
      <w:r>
        <w:rPr>
          <w:rFonts w:hint="eastAsia" w:ascii="宋体" w:hAnsi="宋体"/>
          <w:color w:val="auto"/>
          <w:szCs w:val="21"/>
          <w:highlight w:val="none"/>
        </w:rPr>
        <w:t>（6）本项目不接受联合体投标。</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D包：</w:t>
      </w:r>
      <w:r>
        <w:rPr>
          <w:rFonts w:hint="eastAsia" w:ascii="宋体" w:hAnsi="宋体" w:cs="宋体"/>
          <w:b/>
          <w:bCs/>
          <w:color w:val="auto"/>
          <w:szCs w:val="21"/>
          <w:highlight w:val="none"/>
        </w:rPr>
        <w:t>厨余处理系统</w:t>
      </w:r>
      <w:r>
        <w:rPr>
          <w:rFonts w:hint="eastAsia" w:ascii="宋体" w:hAnsi="宋体"/>
          <w:b/>
          <w:bCs/>
          <w:color w:val="auto"/>
          <w:szCs w:val="21"/>
          <w:highlight w:val="none"/>
        </w:rPr>
        <w:t>采购及安装</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提供《营业执照》复印件（加盖公章）或《事业单位法人证书》复印件（加盖公章）或其他主体证书复印件（加盖公章）】。</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须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pPr>
        <w:ind w:firstLine="420" w:firstLineChars="200"/>
        <w:rPr>
          <w:rFonts w:ascii="宋体" w:hAnsi="宋体"/>
          <w:color w:val="auto"/>
          <w:szCs w:val="21"/>
          <w:highlight w:val="none"/>
        </w:rPr>
      </w:pPr>
      <w:r>
        <w:rPr>
          <w:rFonts w:hint="eastAsia" w:ascii="宋体" w:hAnsi="宋体"/>
          <w:color w:val="auto"/>
          <w:szCs w:val="21"/>
          <w:highlight w:val="none"/>
        </w:rPr>
        <w:t>（3）投标人的单位负责人为同一人或者存在直接控股、管理关系的不同投标人，不得参加同一合同项下的采购活动。</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color w:val="auto"/>
          <w:highlight w:val="none"/>
        </w:rPr>
        <w:t>重大税收违法失信主体</w:t>
      </w:r>
      <w:r>
        <w:rPr>
          <w:rFonts w:hint="eastAsia" w:ascii="宋体" w:hAnsi="宋体"/>
          <w:color w:val="auto"/>
          <w:szCs w:val="21"/>
          <w:highlight w:val="none"/>
        </w:rPr>
        <w:t>或政府采购严重违法失信行为”记录名单。以代理机构于投标截止日当天在“信用中国”网站查询结果为准，如相关失信记录已失效，投标人需提供相关证明资料。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（5）投标人未被列入东实环境及下属企业相关领域黑名单。</w:t>
      </w:r>
    </w:p>
    <w:p>
      <w:pPr>
        <w:ind w:firstLine="420" w:firstLineChars="200"/>
        <w:rPr>
          <w:rFonts w:ascii="宋体" w:hAnsi="宋体"/>
          <w:color w:val="auto"/>
          <w:szCs w:val="21"/>
          <w:highlight w:val="none"/>
        </w:rPr>
      </w:pPr>
      <w:r>
        <w:rPr>
          <w:rFonts w:hint="eastAsia" w:ascii="宋体" w:hAnsi="宋体"/>
          <w:color w:val="auto"/>
          <w:szCs w:val="21"/>
          <w:highlight w:val="none"/>
        </w:rPr>
        <w:t>（6）本项目不接受联合体投标。</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E包：</w:t>
      </w:r>
      <w:r>
        <w:rPr>
          <w:rFonts w:hint="eastAsia" w:ascii="宋体" w:hAnsi="宋体" w:cs="宋体"/>
          <w:b/>
          <w:bCs/>
          <w:color w:val="auto"/>
          <w:szCs w:val="21"/>
          <w:highlight w:val="none"/>
        </w:rPr>
        <w:t>生活垃圾及厨余垃圾收集转运设备采购及安装</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提供《营业执照》复印件（加盖公章）或《事业单位法人证书》复印件（加盖公章）或其他主体证书复印件（加盖公章）】。</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须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pPr>
        <w:ind w:firstLine="420" w:firstLineChars="200"/>
        <w:rPr>
          <w:rFonts w:ascii="宋体" w:hAnsi="宋体"/>
          <w:color w:val="auto"/>
          <w:szCs w:val="21"/>
          <w:highlight w:val="none"/>
        </w:rPr>
      </w:pPr>
      <w:r>
        <w:rPr>
          <w:rFonts w:hint="eastAsia" w:ascii="宋体" w:hAnsi="宋体"/>
          <w:color w:val="auto"/>
          <w:szCs w:val="21"/>
          <w:highlight w:val="none"/>
        </w:rPr>
        <w:t>（3）投标人的单位负责人为同一人或者存在直接控股、管理关系的不同投标人，不得参加同一合同项下的采购活动。</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)“记录失信被执行人或重大税收违法失信主体或政府采购严重违法失信行为”记录名单。以代理机构于投标截止日当天在“信用中国”网站查询结果为准，如相关失信记录已失效，投标人需提供相关证明资料。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（5）投标人未被列入东实环境及下属企业相关领域黑名单。</w:t>
      </w:r>
    </w:p>
    <w:p>
      <w:pPr>
        <w:ind w:firstLine="420" w:firstLineChars="200"/>
        <w:rPr>
          <w:rFonts w:ascii="宋体" w:hAnsi="宋体"/>
          <w:color w:val="auto"/>
          <w:szCs w:val="21"/>
          <w:highlight w:val="none"/>
        </w:rPr>
      </w:pPr>
      <w:r>
        <w:rPr>
          <w:rFonts w:hint="eastAsia" w:ascii="宋体" w:hAnsi="宋体"/>
          <w:color w:val="auto"/>
          <w:szCs w:val="21"/>
          <w:highlight w:val="none"/>
        </w:rPr>
        <w:t>（6）本项目不接受联合体投标。</w:t>
      </w:r>
    </w:p>
    <w:p>
      <w:pPr>
        <w:ind w:firstLine="422" w:firstLineChars="200"/>
        <w:rPr>
          <w:rFonts w:ascii="宋体" w:hAnsi="宋体"/>
          <w:b/>
          <w:color w:val="auto"/>
          <w:szCs w:val="21"/>
          <w:highlight w:val="none"/>
        </w:rPr>
      </w:pPr>
      <w:r>
        <w:rPr>
          <w:rFonts w:hint="eastAsia" w:ascii="宋体" w:hAnsi="宋体"/>
          <w:b/>
          <w:color w:val="auto"/>
          <w:szCs w:val="21"/>
          <w:highlight w:val="none"/>
        </w:rPr>
        <w:t>三、获取采购文件方式及要求：</w:t>
      </w:r>
    </w:p>
    <w:p>
      <w:pPr>
        <w:wordWrap w:val="0"/>
        <w:ind w:firstLine="420" w:firstLineChars="200"/>
        <w:rPr>
          <w:rFonts w:ascii="宋体" w:hAnsi="宋体" w:cs="宋体"/>
          <w:color w:val="auto"/>
          <w:szCs w:val="21"/>
          <w:highlight w:val="none"/>
        </w:rPr>
      </w:pPr>
      <w:r>
        <w:rPr>
          <w:rFonts w:hint="eastAsia" w:cs="宋体" w:asciiTheme="minorEastAsia" w:hAnsiTheme="minorEastAsia" w:eastAsiaTheme="minorEastAsia"/>
          <w:color w:val="auto"/>
          <w:szCs w:val="21"/>
          <w:highlight w:val="none"/>
        </w:rPr>
        <w:t>本项目不进行实名登记报名，拟参加投标的投标人可于投标截止时间前自行网上下载采购文件。</w:t>
      </w:r>
      <w:r>
        <w:rPr>
          <w:rFonts w:cs="宋体" w:asciiTheme="minorEastAsia" w:hAnsiTheme="minorEastAsia" w:eastAsiaTheme="minorEastAsia"/>
          <w:color w:val="auto"/>
          <w:szCs w:val="21"/>
          <w:highlight w:val="none"/>
        </w:rPr>
        <w:t>采购文件下载地址：</w:t>
      </w:r>
      <w:r>
        <w:rPr>
          <w:rFonts w:hint="eastAsia" w:cs="宋体" w:asciiTheme="minorEastAsia" w:hAnsiTheme="minorEastAsia" w:eastAsiaTheme="minorEastAsia"/>
          <w:color w:val="auto"/>
          <w:szCs w:val="21"/>
          <w:highlight w:val="none"/>
          <w:u w:val="single"/>
        </w:rPr>
        <w:t>中国招标投标公共服务平台（http://www.cebpubservice.com/）、广东省公共资源交易平台（https://ygp.gdzwfw.gov.cn/#/44/index）、东莞实业投资控股集团有限公司-招标采购栏目（http://www.dgsy.com.cn/）、广东东实环境股份有限公司招采平台（https://pur.yonyou.com/DGDSXNY）、</w:t>
      </w:r>
      <w:r>
        <w:rPr>
          <w:rFonts w:hint="eastAsia" w:ascii="宋体" w:hAnsi="宋体" w:cs="宋体"/>
          <w:color w:val="auto"/>
          <w:szCs w:val="21"/>
          <w:highlight w:val="none"/>
          <w:u w:val="single"/>
        </w:rPr>
        <w:t>广东志正招标有限公司网站（http：//www.zztender.com）</w:t>
      </w:r>
      <w:r>
        <w:rPr>
          <w:rFonts w:hint="eastAsia" w:cs="宋体" w:asciiTheme="minorEastAsia" w:hAnsiTheme="minorEastAsia" w:eastAsiaTheme="minorEastAsia"/>
          <w:color w:val="auto"/>
          <w:szCs w:val="21"/>
          <w:highlight w:val="none"/>
        </w:rPr>
        <w:t>。</w:t>
      </w:r>
    </w:p>
    <w:p>
      <w:pPr>
        <w:ind w:firstLine="413" w:firstLineChars="196"/>
        <w:rPr>
          <w:rFonts w:ascii="宋体" w:hAnsi="宋体"/>
          <w:b/>
          <w:color w:val="auto"/>
          <w:szCs w:val="21"/>
          <w:highlight w:val="none"/>
        </w:rPr>
      </w:pPr>
      <w:r>
        <w:rPr>
          <w:rFonts w:hint="eastAsia" w:ascii="宋体" w:hAnsi="宋体"/>
          <w:b/>
          <w:color w:val="auto"/>
          <w:szCs w:val="21"/>
          <w:highlight w:val="none"/>
        </w:rPr>
        <w:t>四、投标文件的递交</w:t>
      </w:r>
    </w:p>
    <w:p>
      <w:pPr>
        <w:ind w:firstLine="420" w:firstLineChars="200"/>
        <w:rPr>
          <w:rFonts w:ascii="宋体" w:hAnsi="宋体"/>
          <w:color w:val="auto"/>
          <w:szCs w:val="21"/>
          <w:highlight w:val="none"/>
        </w:rPr>
      </w:pPr>
      <w:r>
        <w:rPr>
          <w:rFonts w:hint="eastAsia" w:ascii="宋体" w:hAnsi="宋体"/>
          <w:color w:val="auto"/>
          <w:szCs w:val="21"/>
          <w:highlight w:val="none"/>
        </w:rPr>
        <w:t>1、递交投标文件时间：</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01</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05</w:t>
      </w:r>
      <w:r>
        <w:rPr>
          <w:rFonts w:hint="eastAsia" w:ascii="宋体" w:hAnsi="宋体" w:cs="宋体"/>
          <w:color w:val="auto"/>
          <w:szCs w:val="21"/>
          <w:highlight w:val="none"/>
        </w:rPr>
        <w:t>日（</w:t>
      </w:r>
      <w:r>
        <w:rPr>
          <w:rFonts w:hint="eastAsia" w:ascii="宋体" w:hAnsi="宋体"/>
          <w:color w:val="auto"/>
          <w:szCs w:val="21"/>
          <w:highlight w:val="none"/>
        </w:rPr>
        <w:t>北京时间）</w:t>
      </w:r>
      <w:r>
        <w:rPr>
          <w:rFonts w:hint="eastAsia" w:ascii="宋体" w:hAnsi="宋体"/>
          <w:color w:val="auto"/>
          <w:szCs w:val="21"/>
          <w:highlight w:val="none"/>
          <w:u w:val="single"/>
          <w:lang w:val="en-US" w:eastAsia="zh-CN"/>
        </w:rPr>
        <w:t>8</w:t>
      </w:r>
      <w:r>
        <w:rPr>
          <w:rFonts w:hint="eastAsia" w:ascii="宋体" w:hAnsi="宋体"/>
          <w:color w:val="auto"/>
          <w:szCs w:val="21"/>
          <w:highlight w:val="none"/>
        </w:rPr>
        <w:t>:</w:t>
      </w:r>
      <w:r>
        <w:rPr>
          <w:rFonts w:ascii="宋体" w:hAnsi="宋体"/>
          <w:color w:val="auto"/>
          <w:szCs w:val="21"/>
          <w:highlight w:val="none"/>
          <w:u w:val="single"/>
        </w:rPr>
        <w:t>00</w:t>
      </w:r>
      <w:r>
        <w:rPr>
          <w:rFonts w:ascii="宋体" w:hAnsi="宋体"/>
          <w:color w:val="auto"/>
          <w:szCs w:val="21"/>
          <w:highlight w:val="none"/>
        </w:rPr>
        <w:t>-</w:t>
      </w:r>
      <w:r>
        <w:rPr>
          <w:rFonts w:hint="eastAsia" w:ascii="宋体" w:hAnsi="宋体"/>
          <w:color w:val="auto"/>
          <w:szCs w:val="21"/>
          <w:highlight w:val="none"/>
          <w:u w:val="single"/>
          <w:lang w:val="en-US" w:eastAsia="zh-CN"/>
        </w:rPr>
        <w:t>8</w:t>
      </w:r>
      <w:r>
        <w:rPr>
          <w:rFonts w:hint="eastAsia" w:ascii="宋体" w:hAnsi="宋体"/>
          <w:color w:val="auto"/>
          <w:szCs w:val="21"/>
          <w:highlight w:val="none"/>
        </w:rPr>
        <w:t>:</w:t>
      </w:r>
      <w:r>
        <w:rPr>
          <w:rFonts w:ascii="宋体" w:hAnsi="宋体"/>
          <w:color w:val="auto"/>
          <w:szCs w:val="21"/>
          <w:highlight w:val="none"/>
          <w:u w:val="single"/>
        </w:rPr>
        <w:t>30</w:t>
      </w:r>
      <w:r>
        <w:rPr>
          <w:rFonts w:hint="eastAsia" w:ascii="宋体" w:hAnsi="宋体"/>
          <w:color w:val="auto"/>
          <w:szCs w:val="21"/>
          <w:highlight w:val="none"/>
        </w:rPr>
        <w:t>。</w:t>
      </w:r>
    </w:p>
    <w:p>
      <w:pPr>
        <w:ind w:firstLine="420" w:firstLineChars="200"/>
        <w:rPr>
          <w:rFonts w:ascii="宋体" w:hAnsi="宋体"/>
          <w:b/>
          <w:color w:val="auto"/>
          <w:szCs w:val="21"/>
          <w:highlight w:val="none"/>
        </w:rPr>
      </w:pPr>
      <w:r>
        <w:rPr>
          <w:rFonts w:hint="eastAsia" w:ascii="宋体" w:hAnsi="宋体"/>
          <w:color w:val="auto"/>
          <w:szCs w:val="21"/>
          <w:highlight w:val="none"/>
        </w:rPr>
        <w:t>2、递交投标文件</w:t>
      </w:r>
      <w:r>
        <w:rPr>
          <w:rFonts w:ascii="宋体" w:hAnsi="宋体"/>
          <w:color w:val="auto"/>
          <w:szCs w:val="21"/>
          <w:highlight w:val="none"/>
        </w:rPr>
        <w:t>截止</w:t>
      </w:r>
      <w:r>
        <w:rPr>
          <w:rFonts w:hint="eastAsia" w:ascii="宋体" w:hAnsi="宋体"/>
          <w:color w:val="auto"/>
          <w:szCs w:val="21"/>
          <w:highlight w:val="none"/>
        </w:rPr>
        <w:t>及开标时间：</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01</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05</w:t>
      </w:r>
      <w:r>
        <w:rPr>
          <w:rFonts w:hint="eastAsia" w:ascii="宋体" w:hAnsi="宋体" w:cs="宋体"/>
          <w:color w:val="auto"/>
          <w:szCs w:val="21"/>
          <w:highlight w:val="none"/>
        </w:rPr>
        <w:t>日</w:t>
      </w:r>
      <w:r>
        <w:rPr>
          <w:rFonts w:hint="eastAsia" w:ascii="宋体" w:hAnsi="宋体"/>
          <w:color w:val="auto"/>
          <w:szCs w:val="21"/>
          <w:highlight w:val="none"/>
          <w:u w:val="single"/>
          <w:lang w:val="en-US" w:eastAsia="zh-CN"/>
        </w:rPr>
        <w:t>8</w:t>
      </w:r>
      <w:r>
        <w:rPr>
          <w:rFonts w:hint="eastAsia" w:ascii="宋体" w:hAnsi="宋体"/>
          <w:color w:val="auto"/>
          <w:szCs w:val="21"/>
          <w:highlight w:val="none"/>
        </w:rPr>
        <w:t>:</w:t>
      </w:r>
      <w:r>
        <w:rPr>
          <w:rFonts w:ascii="宋体" w:hAnsi="宋体"/>
          <w:color w:val="auto"/>
          <w:szCs w:val="21"/>
          <w:highlight w:val="none"/>
          <w:u w:val="single"/>
        </w:rPr>
        <w:t>30</w:t>
      </w:r>
      <w:r>
        <w:rPr>
          <w:rFonts w:hint="eastAsia" w:ascii="宋体" w:hAnsi="宋体"/>
          <w:color w:val="auto"/>
          <w:szCs w:val="21"/>
          <w:highlight w:val="none"/>
        </w:rPr>
        <w:t>（北京时间），所有投标文件应于截止时间之前递交，迟交或以电报、传真形式的投标文件将拒绝接收。</w:t>
      </w:r>
    </w:p>
    <w:p>
      <w:pPr>
        <w:ind w:firstLine="420" w:firstLineChars="200"/>
        <w:rPr>
          <w:rFonts w:hint="eastAsia" w:ascii="宋体" w:hAnsi="宋体" w:eastAsiaTheme="minorEastAsia"/>
          <w:color w:val="auto"/>
          <w:szCs w:val="21"/>
          <w:highlight w:val="none"/>
          <w:lang w:val="en-US" w:eastAsia="zh-CN"/>
        </w:rPr>
      </w:pPr>
      <w:r>
        <w:rPr>
          <w:rFonts w:hint="eastAsia" w:ascii="宋体" w:hAnsi="宋体"/>
          <w:color w:val="auto"/>
          <w:szCs w:val="21"/>
          <w:highlight w:val="none"/>
        </w:rPr>
        <w:t>3、</w:t>
      </w:r>
      <w:r>
        <w:rPr>
          <w:rFonts w:ascii="宋体" w:hAnsi="宋体"/>
          <w:color w:val="auto"/>
          <w:szCs w:val="21"/>
          <w:highlight w:val="none"/>
        </w:rPr>
        <w:t>开标地点</w:t>
      </w:r>
      <w:r>
        <w:rPr>
          <w:rFonts w:hint="eastAsia" w:ascii="宋体" w:hAnsi="宋体"/>
          <w:color w:val="auto"/>
          <w:szCs w:val="21"/>
          <w:highlight w:val="none"/>
        </w:rPr>
        <w:t>：</w:t>
      </w:r>
      <w:r>
        <w:rPr>
          <w:rFonts w:hint="eastAsia" w:asciiTheme="minorEastAsia" w:hAnsiTheme="minorEastAsia" w:eastAsiaTheme="minorEastAsia"/>
          <w:color w:val="auto"/>
          <w:szCs w:val="21"/>
          <w:highlight w:val="none"/>
          <w:u w:val="single"/>
        </w:rPr>
        <w:t>东莞市南城区西平社区宏伟三路45号东莞市公共资源交易中心开标</w:t>
      </w:r>
      <w:r>
        <w:rPr>
          <w:rFonts w:hint="eastAsia" w:asciiTheme="minorEastAsia" w:hAnsiTheme="minorEastAsia" w:eastAsiaTheme="minorEastAsia"/>
          <w:color w:val="auto"/>
          <w:szCs w:val="21"/>
          <w:highlight w:val="none"/>
          <w:u w:val="single"/>
          <w:lang w:eastAsia="zh-CN"/>
        </w:rPr>
        <w:t>（</w:t>
      </w:r>
      <w:r>
        <w:rPr>
          <w:rFonts w:hint="eastAsia" w:asciiTheme="minorEastAsia" w:hAnsiTheme="minorEastAsia"/>
          <w:color w:val="auto"/>
          <w:szCs w:val="21"/>
          <w:highlight w:val="none"/>
          <w:u w:val="single"/>
          <w:lang w:val="en-US" w:eastAsia="zh-CN"/>
        </w:rPr>
        <w:t>5</w:t>
      </w:r>
      <w:r>
        <w:rPr>
          <w:rFonts w:hint="eastAsia" w:asciiTheme="minorEastAsia" w:hAnsiTheme="minorEastAsia" w:eastAsiaTheme="minorEastAsia"/>
          <w:color w:val="auto"/>
          <w:szCs w:val="21"/>
          <w:highlight w:val="none"/>
          <w:u w:val="single"/>
          <w:lang w:val="en-US" w:eastAsia="zh-CN"/>
        </w:rPr>
        <w:t>）</w:t>
      </w:r>
      <w:r>
        <w:rPr>
          <w:rFonts w:hint="eastAsia" w:asciiTheme="minorEastAsia" w:hAnsiTheme="minorEastAsia" w:eastAsiaTheme="minorEastAsia"/>
          <w:color w:val="auto"/>
          <w:szCs w:val="21"/>
          <w:highlight w:val="none"/>
          <w:u w:val="single"/>
        </w:rPr>
        <w:t>室</w:t>
      </w:r>
      <w:r>
        <w:rPr>
          <w:rFonts w:hint="eastAsia" w:ascii="宋体" w:hAnsi="宋体"/>
          <w:color w:val="auto"/>
          <w:szCs w:val="21"/>
          <w:highlight w:val="none"/>
        </w:rPr>
        <w:t>。</w:t>
      </w:r>
      <w:bookmarkStart w:id="1002" w:name="_GoBack"/>
      <w:bookmarkEnd w:id="1002"/>
    </w:p>
    <w:p>
      <w:pPr>
        <w:ind w:firstLine="411" w:firstLineChars="196"/>
        <w:rPr>
          <w:rFonts w:ascii="宋体" w:hAnsi="宋体"/>
          <w:bCs/>
          <w:color w:val="auto"/>
          <w:szCs w:val="21"/>
          <w:highlight w:val="none"/>
        </w:rPr>
      </w:pPr>
      <w:r>
        <w:rPr>
          <w:rFonts w:hint="eastAsia" w:ascii="宋体" w:hAnsi="宋体"/>
          <w:bCs/>
          <w:color w:val="auto"/>
          <w:szCs w:val="21"/>
          <w:highlight w:val="none"/>
        </w:rPr>
        <w:t>4、开标事宜：</w:t>
      </w:r>
      <w:r>
        <w:rPr>
          <w:rFonts w:hint="eastAsia" w:ascii="宋体" w:hAnsi="宋体"/>
          <w:b/>
          <w:bCs/>
          <w:color w:val="auto"/>
          <w:szCs w:val="21"/>
          <w:highlight w:val="none"/>
        </w:rPr>
        <w:t>届时请投标人的法定代表人或其授权代表务必携带有效身份证明出席开标会</w:t>
      </w:r>
      <w:r>
        <w:rPr>
          <w:rFonts w:hint="eastAsia" w:ascii="宋体" w:hAnsi="宋体"/>
          <w:bCs/>
          <w:color w:val="auto"/>
          <w:szCs w:val="21"/>
          <w:highlight w:val="none"/>
        </w:rPr>
        <w:t>。</w:t>
      </w:r>
    </w:p>
    <w:p>
      <w:pPr>
        <w:pStyle w:val="43"/>
        <w:spacing w:line="360" w:lineRule="auto"/>
        <w:rPr>
          <w:color w:val="auto"/>
          <w:sz w:val="21"/>
          <w:szCs w:val="21"/>
          <w:highlight w:val="none"/>
        </w:rPr>
      </w:pPr>
      <w:r>
        <w:rPr>
          <w:rFonts w:hint="eastAsia"/>
          <w:color w:val="auto"/>
          <w:sz w:val="21"/>
          <w:szCs w:val="21"/>
          <w:highlight w:val="none"/>
        </w:rPr>
        <w:t>5、出现以下情形时，采购代理机构不予接收投标（响应）文件：</w:t>
      </w:r>
    </w:p>
    <w:p>
      <w:pPr>
        <w:pStyle w:val="43"/>
        <w:spacing w:line="360" w:lineRule="auto"/>
        <w:rPr>
          <w:color w:val="auto"/>
          <w:sz w:val="21"/>
          <w:szCs w:val="21"/>
          <w:highlight w:val="none"/>
        </w:rPr>
      </w:pPr>
      <w:r>
        <w:rPr>
          <w:color w:val="auto"/>
          <w:sz w:val="21"/>
          <w:szCs w:val="21"/>
          <w:highlight w:val="none"/>
        </w:rPr>
        <w:tab/>
      </w:r>
      <w:r>
        <w:rPr>
          <w:rFonts w:hint="eastAsia"/>
          <w:color w:val="auto"/>
          <w:sz w:val="21"/>
          <w:szCs w:val="21"/>
          <w:highlight w:val="none"/>
        </w:rPr>
        <w:t>（1）逾期送达或者未送达指定地点的；</w:t>
      </w:r>
    </w:p>
    <w:p>
      <w:pPr>
        <w:pStyle w:val="43"/>
        <w:spacing w:line="360" w:lineRule="auto"/>
        <w:rPr>
          <w:color w:val="auto"/>
          <w:sz w:val="21"/>
          <w:szCs w:val="21"/>
          <w:highlight w:val="none"/>
        </w:rPr>
      </w:pPr>
      <w:r>
        <w:rPr>
          <w:color w:val="auto"/>
          <w:sz w:val="21"/>
          <w:szCs w:val="21"/>
          <w:highlight w:val="none"/>
        </w:rPr>
        <w:tab/>
      </w:r>
      <w:r>
        <w:rPr>
          <w:rFonts w:hint="eastAsia"/>
          <w:color w:val="auto"/>
          <w:sz w:val="21"/>
          <w:szCs w:val="21"/>
          <w:highlight w:val="none"/>
        </w:rPr>
        <w:t>（2）未按采购文件要求密封的。</w:t>
      </w:r>
    </w:p>
    <w:p>
      <w:pPr>
        <w:pStyle w:val="43"/>
        <w:ind w:firstLine="400"/>
        <w:rPr>
          <w:color w:val="auto"/>
          <w:highlight w:val="none"/>
        </w:rPr>
      </w:pPr>
    </w:p>
    <w:p>
      <w:pPr>
        <w:pStyle w:val="43"/>
        <w:ind w:firstLine="422"/>
        <w:rPr>
          <w:rFonts w:ascii="宋体" w:hAnsi="宋体" w:eastAsia="宋体" w:cstheme="minorBidi"/>
          <w:b/>
          <w:color w:val="auto"/>
          <w:sz w:val="21"/>
          <w:szCs w:val="21"/>
          <w:highlight w:val="none"/>
        </w:rPr>
      </w:pPr>
      <w:r>
        <w:rPr>
          <w:rFonts w:hint="eastAsia" w:ascii="宋体" w:hAnsi="宋体" w:eastAsia="宋体" w:cstheme="minorBidi"/>
          <w:b/>
          <w:color w:val="auto"/>
          <w:sz w:val="21"/>
          <w:szCs w:val="21"/>
          <w:highlight w:val="none"/>
        </w:rPr>
        <w:t>五</w:t>
      </w:r>
      <w:r>
        <w:rPr>
          <w:rFonts w:ascii="宋体" w:hAnsi="宋体" w:eastAsia="宋体" w:cstheme="minorBidi"/>
          <w:b/>
          <w:color w:val="auto"/>
          <w:sz w:val="21"/>
          <w:szCs w:val="21"/>
          <w:highlight w:val="none"/>
        </w:rPr>
        <w:t>、发布公告的媒介</w:t>
      </w:r>
    </w:p>
    <w:p>
      <w:pPr>
        <w:pStyle w:val="43"/>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1、采购公告发布媒介：</w:t>
      </w:r>
    </w:p>
    <w:p>
      <w:pPr>
        <w:pStyle w:val="43"/>
        <w:spacing w:line="360" w:lineRule="auto"/>
        <w:rPr>
          <w:rFonts w:ascii="宋体" w:hAnsi="宋体" w:eastAsia="宋体" w:cs="宋体"/>
          <w:color w:val="auto"/>
          <w:sz w:val="21"/>
          <w:szCs w:val="21"/>
          <w:highlight w:val="none"/>
          <w:u w:val="single"/>
        </w:rPr>
      </w:pPr>
      <w:r>
        <w:rPr>
          <w:rFonts w:hint="eastAsia" w:cs="宋体" w:asciiTheme="minorEastAsia" w:hAnsiTheme="minorEastAsia" w:eastAsiaTheme="minorEastAsia"/>
          <w:color w:val="auto"/>
          <w:sz w:val="21"/>
          <w:szCs w:val="21"/>
          <w:highlight w:val="none"/>
          <w:u w:val="single"/>
        </w:rPr>
        <w:t>中国招标投标公共服务平台（http://www.cebpubservice.com/）、广东省公共资源交易平台（https://ygp.gdzwfw.gov.cn/#/44/index）、东莞实业投资控股集团有限公司-招标采购栏目（http://www.dgsy.com.cn/）、广东东实环境股份有限公司招采平台（https://pur.yonyou.com/DGDSXNY）、广东志正招标有限公司网站（http：//www.zztender.com）。</w:t>
      </w:r>
    </w:p>
    <w:p>
      <w:pPr>
        <w:pStyle w:val="43"/>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2、结果公告发布媒介：</w:t>
      </w:r>
    </w:p>
    <w:p>
      <w:pPr>
        <w:pStyle w:val="43"/>
        <w:spacing w:line="360" w:lineRule="auto"/>
        <w:rPr>
          <w:rFonts w:ascii="宋体" w:hAnsi="宋体" w:eastAsia="宋体" w:cs="宋体"/>
          <w:bCs/>
          <w:color w:val="auto"/>
          <w:sz w:val="21"/>
          <w:szCs w:val="21"/>
          <w:highlight w:val="none"/>
        </w:rPr>
      </w:pPr>
      <w:r>
        <w:rPr>
          <w:rFonts w:hint="eastAsia" w:ascii="宋体" w:hAnsi="宋体" w:eastAsia="宋体" w:cs="宋体"/>
          <w:color w:val="auto"/>
          <w:sz w:val="21"/>
          <w:szCs w:val="21"/>
          <w:highlight w:val="none"/>
        </w:rPr>
        <w:t>东莞实业投资控股集团网站（</w:t>
      </w:r>
      <w:r>
        <w:rPr>
          <w:rFonts w:hint="eastAsia" w:cs="宋体" w:asciiTheme="minorEastAsia" w:hAnsiTheme="minorEastAsia" w:eastAsiaTheme="minorEastAsia"/>
          <w:color w:val="auto"/>
          <w:sz w:val="21"/>
          <w:szCs w:val="21"/>
          <w:highlight w:val="none"/>
        </w:rPr>
        <w:t>http://www.dgsy.com.cn/</w:t>
      </w:r>
      <w:r>
        <w:rPr>
          <w:rFonts w:hint="eastAsia" w:ascii="宋体" w:hAnsi="宋体" w:eastAsia="宋体" w:cs="宋体"/>
          <w:color w:val="auto"/>
          <w:sz w:val="21"/>
          <w:szCs w:val="21"/>
          <w:highlight w:val="none"/>
        </w:rPr>
        <w:t>）。</w:t>
      </w: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ind w:firstLine="420" w:firstLineChars="200"/>
        <w:rPr>
          <w:rFonts w:hint="eastAsia" w:asciiTheme="minorEastAsia" w:hAnsiTheme="minorEastAsia" w:eastAsiaTheme="minorEastAsia"/>
          <w:bCs/>
          <w:color w:val="auto"/>
          <w:szCs w:val="21"/>
          <w:highlight w:val="none"/>
          <w:lang w:eastAsia="zh-CN"/>
        </w:rPr>
      </w:pPr>
      <w:r>
        <w:rPr>
          <w:rFonts w:hint="eastAsia" w:asciiTheme="minorEastAsia" w:hAnsiTheme="minorEastAsia" w:eastAsiaTheme="minorEastAsia"/>
          <w:bCs/>
          <w:color w:val="auto"/>
          <w:szCs w:val="21"/>
          <w:highlight w:val="none"/>
        </w:rPr>
        <w:t>采购人</w:t>
      </w:r>
      <w:r>
        <w:rPr>
          <w:rFonts w:asciiTheme="minorEastAsia" w:hAnsiTheme="minorEastAsia" w:eastAsiaTheme="minorEastAsia"/>
          <w:bCs/>
          <w:color w:val="auto"/>
          <w:szCs w:val="21"/>
          <w:highlight w:val="none"/>
        </w:rPr>
        <w:t>名称</w:t>
      </w:r>
      <w:r>
        <w:rPr>
          <w:rFonts w:hint="eastAsia" w:asciiTheme="minorEastAsia" w:hAnsiTheme="minorEastAsia" w:eastAsiaTheme="minorEastAsia"/>
          <w:bCs/>
          <w:color w:val="auto"/>
          <w:szCs w:val="21"/>
          <w:highlight w:val="none"/>
        </w:rPr>
        <w:t>：</w:t>
      </w:r>
      <w:r>
        <w:rPr>
          <w:rFonts w:hint="eastAsia" w:asciiTheme="minorEastAsia" w:hAnsiTheme="minorEastAsia" w:eastAsiaTheme="minorEastAsia"/>
          <w:bCs/>
          <w:color w:val="auto"/>
          <w:szCs w:val="21"/>
          <w:highlight w:val="none"/>
          <w:lang w:eastAsia="zh-CN"/>
        </w:rPr>
        <w:t>东莞市东实城市环境服务有限公司</w:t>
      </w:r>
    </w:p>
    <w:p>
      <w:pPr>
        <w:ind w:firstLine="420" w:firstLineChars="200"/>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采购人联系人：曾工、李工</w:t>
      </w:r>
    </w:p>
    <w:p>
      <w:pPr>
        <w:ind w:firstLine="420" w:firstLineChars="200"/>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采购人地址：广东省东莞市洪梅镇海心沙路9号</w:t>
      </w:r>
    </w:p>
    <w:p>
      <w:pPr>
        <w:ind w:firstLine="420" w:firstLineChars="200"/>
        <w:rPr>
          <w:rFonts w:ascii="宋体" w:hAnsi="宋体"/>
          <w:bCs/>
          <w:color w:val="auto"/>
          <w:szCs w:val="21"/>
          <w:highlight w:val="none"/>
        </w:rPr>
      </w:pPr>
      <w:r>
        <w:rPr>
          <w:rFonts w:hint="eastAsia" w:asciiTheme="minorEastAsia" w:hAnsiTheme="minorEastAsia" w:eastAsiaTheme="minorEastAsia"/>
          <w:bCs/>
          <w:color w:val="auto"/>
          <w:szCs w:val="21"/>
          <w:highlight w:val="none"/>
        </w:rPr>
        <w:t>采购人联系电话：</w:t>
      </w:r>
      <w:r>
        <w:rPr>
          <w:rFonts w:cs="宋体" w:asciiTheme="minorEastAsia" w:hAnsiTheme="minorEastAsia" w:eastAsiaTheme="minorEastAsia"/>
          <w:color w:val="auto"/>
          <w:sz w:val="22"/>
          <w:highlight w:val="none"/>
        </w:rPr>
        <w:t>0769-39028727</w:t>
      </w:r>
      <w:r>
        <w:rPr>
          <w:rFonts w:hint="eastAsia" w:ascii="宋体" w:hAnsi="宋体" w:cs="宋体"/>
          <w:color w:val="auto"/>
          <w:sz w:val="22"/>
          <w:highlight w:val="none"/>
        </w:rPr>
        <w:t xml:space="preserve"> </w:t>
      </w:r>
    </w:p>
    <w:p>
      <w:pPr>
        <w:ind w:firstLine="420" w:firstLineChars="200"/>
        <w:rPr>
          <w:rFonts w:ascii="宋体" w:hAnsi="宋体"/>
          <w:color w:val="auto"/>
          <w:szCs w:val="21"/>
          <w:highlight w:val="none"/>
        </w:rPr>
      </w:pP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采购代理机构名称：</w:t>
      </w:r>
      <w:r>
        <w:rPr>
          <w:rFonts w:hint="eastAsia" w:ascii="宋体" w:hAnsi="宋体"/>
          <w:color w:val="auto"/>
          <w:szCs w:val="21"/>
          <w:highlight w:val="none"/>
          <w:lang w:eastAsia="zh-CN"/>
        </w:rPr>
        <w:t>广东志正招标有限公司东莞分公司</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采购代理机构地址：广东省东莞市旗峰路190号城市花园商贸中心903室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采购代理机构联系人：唐小姐</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采购代理机构联系电话：0769-22306832，22306833</w:t>
      </w:r>
    </w:p>
    <w:p>
      <w:pPr>
        <w:ind w:firstLine="420" w:firstLineChars="200"/>
        <w:rPr>
          <w:color w:val="auto"/>
          <w:highlight w:val="none"/>
        </w:rPr>
      </w:pPr>
      <w:r>
        <w:rPr>
          <w:rFonts w:hint="eastAsia" w:ascii="宋体" w:hAnsi="宋体"/>
          <w:color w:val="auto"/>
          <w:szCs w:val="21"/>
          <w:highlight w:val="none"/>
        </w:rPr>
        <w:t>采购代理机构邮箱： 546797358@qq.com</w:t>
      </w:r>
    </w:p>
    <w:p>
      <w:pPr>
        <w:ind w:firstLine="420" w:firstLineChars="200"/>
        <w:rPr>
          <w:color w:val="auto"/>
          <w:highlight w:val="none"/>
        </w:rPr>
      </w:pPr>
    </w:p>
    <w:p>
      <w:pPr>
        <w:ind w:right="752" w:rightChars="358"/>
        <w:jc w:val="right"/>
        <w:rPr>
          <w:color w:val="auto"/>
          <w:highlight w:val="none"/>
        </w:rPr>
      </w:pPr>
    </w:p>
    <w:p>
      <w:pPr>
        <w:ind w:right="752" w:rightChars="358"/>
        <w:jc w:val="righ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广东志正招标有限公司东莞分公司</w:t>
      </w:r>
    </w:p>
    <w:p>
      <w:pPr>
        <w:wordWrap w:val="0"/>
        <w:ind w:right="752" w:rightChars="358"/>
        <w:jc w:val="right"/>
        <w:rPr>
          <w:rFonts w:ascii="宋体" w:hAnsi="宋体" w:cs="宋体"/>
          <w:color w:val="auto"/>
          <w:szCs w:val="21"/>
          <w:highlight w:val="none"/>
        </w:rPr>
      </w:pPr>
      <w:r>
        <w:rPr>
          <w:rFonts w:hint="eastAsia" w:ascii="宋体" w:hAnsi="宋体" w:cs="宋体"/>
          <w:color w:val="auto"/>
          <w:szCs w:val="21"/>
          <w:highlight w:val="none"/>
        </w:rPr>
        <w:t>2023年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日</w:t>
      </w:r>
    </w:p>
    <w:p>
      <w:pPr>
        <w:ind w:left="6205" w:leftChars="2755" w:hanging="420" w:hangingChars="200"/>
        <w:rPr>
          <w:rFonts w:ascii="黑体" w:hAnsi="宋体" w:eastAsia="黑体"/>
          <w:color w:val="auto"/>
          <w:highlight w:val="none"/>
        </w:rPr>
      </w:pPr>
      <w:r>
        <w:rPr>
          <w:rFonts w:hint="eastAsia" w:ascii="宋体" w:hAnsi="宋体" w:cs="宋体"/>
          <w:color w:val="auto"/>
          <w:szCs w:val="21"/>
          <w:highlight w:val="none"/>
        </w:rPr>
        <w:br w:type="page"/>
      </w:r>
    </w:p>
    <w:p>
      <w:pPr>
        <w:pStyle w:val="6"/>
        <w:spacing w:before="0" w:after="0" w:line="240" w:lineRule="auto"/>
        <w:rPr>
          <w:color w:val="auto"/>
          <w:sz w:val="28"/>
          <w:szCs w:val="28"/>
          <w:highlight w:val="none"/>
        </w:rPr>
      </w:pPr>
      <w:bookmarkStart w:id="2" w:name="_Toc14223"/>
      <w:r>
        <w:rPr>
          <w:rFonts w:hint="eastAsia"/>
          <w:color w:val="auto"/>
          <w:sz w:val="28"/>
          <w:szCs w:val="28"/>
          <w:highlight w:val="none"/>
        </w:rPr>
        <w:t>第二部分相关资料表格</w:t>
      </w:r>
      <w:bookmarkEnd w:id="2"/>
    </w:p>
    <w:p>
      <w:pPr>
        <w:pStyle w:val="7"/>
        <w:spacing w:before="0" w:after="0" w:line="240" w:lineRule="auto"/>
        <w:jc w:val="center"/>
        <w:rPr>
          <w:rFonts w:ascii="宋体" w:hAnsi="宋体" w:cs="宋体"/>
          <w:color w:val="auto"/>
          <w:sz w:val="24"/>
          <w:szCs w:val="24"/>
          <w:highlight w:val="none"/>
        </w:rPr>
      </w:pPr>
      <w:bookmarkStart w:id="3" w:name="_Toc6390"/>
      <w:r>
        <w:rPr>
          <w:rFonts w:hint="eastAsia" w:ascii="宋体" w:hAnsi="宋体" w:cs="宋体"/>
          <w:color w:val="auto"/>
          <w:sz w:val="24"/>
          <w:szCs w:val="24"/>
          <w:highlight w:val="none"/>
        </w:rPr>
        <w:t>附表一：投标资料表</w:t>
      </w:r>
      <w:bookmarkEnd w:id="3"/>
    </w:p>
    <w:tbl>
      <w:tblPr>
        <w:tblStyle w:val="34"/>
        <w:tblW w:w="8410"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69"/>
        <w:gridCol w:w="2017"/>
        <w:gridCol w:w="492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00" w:hRule="atLeast"/>
          <w:jc w:val="center"/>
        </w:trPr>
        <w:tc>
          <w:tcPr>
            <w:tcW w:w="1469"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6941" w:type="dxa"/>
            <w:gridSpan w:val="2"/>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51" w:hRule="atLeast"/>
          <w:jc w:val="center"/>
        </w:trPr>
        <w:tc>
          <w:tcPr>
            <w:tcW w:w="8410" w:type="dxa"/>
            <w:gridSpan w:val="3"/>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6941"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项目最高限价（预算）（</w:t>
            </w:r>
            <w:r>
              <w:rPr>
                <w:rFonts w:hint="eastAsia" w:ascii="宋体" w:hAnsi="宋体"/>
                <w:b/>
                <w:bCs/>
                <w:color w:val="auto"/>
                <w:szCs w:val="21"/>
                <w:highlight w:val="none"/>
                <w:u w:val="single"/>
              </w:rPr>
              <w:t>单位：元</w:t>
            </w:r>
            <w:r>
              <w:rPr>
                <w:rFonts w:hint="eastAsia" w:ascii="宋体" w:hAnsi="宋体"/>
                <w:b/>
                <w:bCs/>
                <w:color w:val="auto"/>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A包：</w:t>
            </w:r>
            <w:r>
              <w:rPr>
                <w:rFonts w:hint="eastAsia" w:ascii="宋体" w:hAnsi="宋体" w:cs="宋体"/>
                <w:color w:val="auto"/>
                <w:szCs w:val="21"/>
                <w:highlight w:val="none"/>
              </w:rPr>
              <w:t>污水处理系统</w:t>
            </w:r>
            <w:r>
              <w:rPr>
                <w:rFonts w:hint="eastAsia" w:ascii="宋体" w:hAnsi="宋体"/>
                <w:color w:val="auto"/>
                <w:szCs w:val="21"/>
                <w:highlight w:val="none"/>
              </w:rPr>
              <w:t>采购及安装</w:t>
            </w:r>
          </w:p>
          <w:p>
            <w:pPr>
              <w:rPr>
                <w:rFonts w:ascii="宋体" w:hAnsi="宋体"/>
                <w:b/>
                <w:bCs/>
                <w:color w:val="auto"/>
                <w:szCs w:val="21"/>
                <w:highlight w:val="none"/>
              </w:rPr>
            </w:pPr>
            <w:r>
              <w:rPr>
                <w:rFonts w:hint="eastAsia" w:ascii="宋体" w:hAnsi="宋体"/>
                <w:bCs/>
                <w:color w:val="auto"/>
                <w:szCs w:val="21"/>
                <w:highlight w:val="none"/>
                <w:u w:val="single"/>
              </w:rPr>
              <w:t>本项目最高限价为人民币</w:t>
            </w:r>
            <w:r>
              <w:rPr>
                <w:rFonts w:hint="eastAsia" w:ascii="宋体" w:hAnsi="宋体"/>
                <w:bCs/>
                <w:color w:val="auto"/>
                <w:szCs w:val="21"/>
                <w:highlight w:val="none"/>
                <w:u w:val="single"/>
                <w:lang w:eastAsia="zh-CN"/>
              </w:rPr>
              <w:t>叁佰叁拾壹万元整</w:t>
            </w:r>
            <w:r>
              <w:rPr>
                <w:rFonts w:hint="eastAsia" w:ascii="宋体" w:hAnsi="宋体"/>
                <w:bCs/>
                <w:color w:val="auto"/>
                <w:szCs w:val="21"/>
                <w:highlight w:val="none"/>
                <w:u w:val="single"/>
              </w:rPr>
              <w:t>（¥</w:t>
            </w:r>
            <w:r>
              <w:rPr>
                <w:rFonts w:hint="eastAsia" w:ascii="宋体" w:hAnsi="宋体"/>
                <w:bCs/>
                <w:color w:val="auto"/>
                <w:szCs w:val="21"/>
                <w:highlight w:val="none"/>
                <w:u w:val="single"/>
                <w:lang w:eastAsia="zh-CN"/>
              </w:rPr>
              <w:t>3,310,000.00</w:t>
            </w:r>
            <w:r>
              <w:rPr>
                <w:rFonts w:hint="eastAsia" w:ascii="宋体" w:hAnsi="宋体"/>
                <w:bCs/>
                <w:color w:val="auto"/>
                <w:szCs w:val="21"/>
                <w:highlight w:val="none"/>
                <w:u w:val="single"/>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B包：</w:t>
            </w:r>
            <w:r>
              <w:rPr>
                <w:rFonts w:hint="eastAsia" w:ascii="宋体" w:hAnsi="宋体" w:cs="宋体"/>
                <w:color w:val="auto"/>
                <w:szCs w:val="21"/>
                <w:highlight w:val="none"/>
              </w:rPr>
              <w:t>生活垃圾压缩系统和大件垃圾处理系统采购及安装</w:t>
            </w:r>
          </w:p>
          <w:p>
            <w:pPr>
              <w:rPr>
                <w:rFonts w:ascii="宋体" w:hAnsi="宋体"/>
                <w:b/>
                <w:bCs/>
                <w:color w:val="auto"/>
                <w:szCs w:val="21"/>
                <w:highlight w:val="none"/>
              </w:rPr>
            </w:pPr>
            <w:r>
              <w:rPr>
                <w:rFonts w:hint="eastAsia" w:ascii="宋体" w:hAnsi="宋体"/>
                <w:bCs/>
                <w:color w:val="auto"/>
                <w:szCs w:val="21"/>
                <w:highlight w:val="none"/>
                <w:u w:val="single"/>
              </w:rPr>
              <w:t>本项目最高限价为人民币</w:t>
            </w:r>
            <w:r>
              <w:rPr>
                <w:rFonts w:hint="eastAsia" w:ascii="宋体" w:hAnsi="宋体"/>
                <w:bCs/>
                <w:color w:val="auto"/>
                <w:szCs w:val="21"/>
                <w:highlight w:val="none"/>
                <w:u w:val="single"/>
                <w:lang w:eastAsia="zh-CN"/>
              </w:rPr>
              <w:t>柒佰</w:t>
            </w:r>
            <w:r>
              <w:rPr>
                <w:rFonts w:hint="eastAsia" w:ascii="宋体" w:hAnsi="宋体"/>
                <w:bCs/>
                <w:color w:val="auto"/>
                <w:szCs w:val="21"/>
                <w:highlight w:val="none"/>
                <w:u w:val="single"/>
                <w:lang w:val="en-US" w:eastAsia="zh-CN"/>
              </w:rPr>
              <w:t>肆</w:t>
            </w:r>
            <w:r>
              <w:rPr>
                <w:rFonts w:hint="eastAsia" w:ascii="宋体" w:hAnsi="宋体"/>
                <w:bCs/>
                <w:color w:val="auto"/>
                <w:szCs w:val="21"/>
                <w:highlight w:val="none"/>
                <w:u w:val="single"/>
                <w:lang w:eastAsia="zh-CN"/>
              </w:rPr>
              <w:t>拾</w:t>
            </w:r>
            <w:r>
              <w:rPr>
                <w:rFonts w:hint="eastAsia" w:ascii="宋体" w:hAnsi="宋体"/>
                <w:bCs/>
                <w:color w:val="auto"/>
                <w:szCs w:val="21"/>
                <w:highlight w:val="none"/>
                <w:u w:val="single"/>
                <w:lang w:val="en-US" w:eastAsia="zh-CN"/>
              </w:rPr>
              <w:t>壹</w:t>
            </w:r>
            <w:r>
              <w:rPr>
                <w:rFonts w:hint="eastAsia" w:ascii="宋体" w:hAnsi="宋体"/>
                <w:bCs/>
                <w:color w:val="auto"/>
                <w:szCs w:val="21"/>
                <w:highlight w:val="none"/>
                <w:u w:val="single"/>
                <w:lang w:eastAsia="zh-CN"/>
              </w:rPr>
              <w:t>万元整</w:t>
            </w:r>
            <w:r>
              <w:rPr>
                <w:rFonts w:hint="eastAsia" w:ascii="宋体" w:hAnsi="宋体"/>
                <w:bCs/>
                <w:color w:val="auto"/>
                <w:szCs w:val="21"/>
                <w:highlight w:val="none"/>
                <w:u w:val="single"/>
              </w:rPr>
              <w:t>（¥</w:t>
            </w:r>
            <w:r>
              <w:rPr>
                <w:rFonts w:hint="eastAsia" w:ascii="宋体" w:hAnsi="宋体"/>
                <w:bCs/>
                <w:color w:val="auto"/>
                <w:szCs w:val="21"/>
                <w:highlight w:val="none"/>
                <w:u w:val="single"/>
                <w:lang w:eastAsia="zh-CN"/>
              </w:rPr>
              <w:t>7,</w:t>
            </w:r>
            <w:r>
              <w:rPr>
                <w:rFonts w:hint="eastAsia" w:ascii="宋体" w:hAnsi="宋体"/>
                <w:bCs/>
                <w:color w:val="auto"/>
                <w:szCs w:val="21"/>
                <w:highlight w:val="none"/>
                <w:u w:val="single"/>
                <w:lang w:val="en-US" w:eastAsia="zh-CN"/>
              </w:rPr>
              <w:t>41</w:t>
            </w:r>
            <w:r>
              <w:rPr>
                <w:rFonts w:hint="eastAsia" w:ascii="宋体" w:hAnsi="宋体"/>
                <w:bCs/>
                <w:color w:val="auto"/>
                <w:szCs w:val="21"/>
                <w:highlight w:val="none"/>
                <w:u w:val="single"/>
                <w:lang w:eastAsia="zh-CN"/>
              </w:rPr>
              <w:t>0,000.00</w:t>
            </w:r>
            <w:r>
              <w:rPr>
                <w:rFonts w:hint="eastAsia" w:ascii="宋体" w:hAnsi="宋体"/>
                <w:bCs/>
                <w:color w:val="auto"/>
                <w:szCs w:val="21"/>
                <w:highlight w:val="none"/>
                <w:u w:val="single"/>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C包：</w:t>
            </w:r>
            <w:r>
              <w:rPr>
                <w:rFonts w:hint="eastAsia" w:ascii="宋体" w:hAnsi="宋体" w:cs="宋体"/>
                <w:color w:val="auto"/>
                <w:szCs w:val="21"/>
                <w:highlight w:val="none"/>
              </w:rPr>
              <w:t>除臭系统</w:t>
            </w:r>
            <w:r>
              <w:rPr>
                <w:rFonts w:hint="eastAsia" w:ascii="宋体" w:hAnsi="宋体"/>
                <w:color w:val="auto"/>
                <w:szCs w:val="21"/>
                <w:highlight w:val="none"/>
              </w:rPr>
              <w:t>采购及安装</w:t>
            </w:r>
          </w:p>
          <w:p>
            <w:pPr>
              <w:rPr>
                <w:rFonts w:ascii="宋体" w:hAnsi="宋体"/>
                <w:b/>
                <w:bCs/>
                <w:color w:val="auto"/>
                <w:szCs w:val="21"/>
                <w:highlight w:val="none"/>
              </w:rPr>
            </w:pPr>
            <w:r>
              <w:rPr>
                <w:rFonts w:hint="eastAsia" w:ascii="宋体" w:hAnsi="宋体"/>
                <w:bCs/>
                <w:color w:val="auto"/>
                <w:szCs w:val="21"/>
                <w:highlight w:val="none"/>
                <w:u w:val="single"/>
              </w:rPr>
              <w:t>本项目最高限价为人民币</w:t>
            </w:r>
            <w:r>
              <w:rPr>
                <w:rFonts w:hint="eastAsia" w:ascii="宋体" w:hAnsi="宋体"/>
                <w:bCs/>
                <w:color w:val="auto"/>
                <w:szCs w:val="21"/>
                <w:highlight w:val="none"/>
                <w:u w:val="single"/>
                <w:lang w:eastAsia="zh-CN"/>
              </w:rPr>
              <w:t>肆佰</w:t>
            </w:r>
            <w:r>
              <w:rPr>
                <w:rFonts w:hint="eastAsia" w:ascii="宋体" w:hAnsi="宋体"/>
                <w:bCs/>
                <w:color w:val="auto"/>
                <w:szCs w:val="21"/>
                <w:highlight w:val="none"/>
                <w:u w:val="single"/>
                <w:lang w:val="en-US" w:eastAsia="zh-CN"/>
              </w:rPr>
              <w:t>柒</w:t>
            </w:r>
            <w:r>
              <w:rPr>
                <w:rFonts w:hint="eastAsia" w:ascii="宋体" w:hAnsi="宋体"/>
                <w:bCs/>
                <w:color w:val="auto"/>
                <w:szCs w:val="21"/>
                <w:highlight w:val="none"/>
                <w:u w:val="single"/>
                <w:lang w:eastAsia="zh-CN"/>
              </w:rPr>
              <w:t>拾</w:t>
            </w:r>
            <w:r>
              <w:rPr>
                <w:rFonts w:hint="eastAsia" w:ascii="宋体" w:hAnsi="宋体"/>
                <w:bCs/>
                <w:color w:val="auto"/>
                <w:szCs w:val="21"/>
                <w:highlight w:val="none"/>
                <w:u w:val="single"/>
                <w:lang w:val="en-US" w:eastAsia="zh-CN"/>
              </w:rPr>
              <w:t>叁</w:t>
            </w:r>
            <w:r>
              <w:rPr>
                <w:rFonts w:hint="eastAsia" w:ascii="宋体" w:hAnsi="宋体"/>
                <w:bCs/>
                <w:color w:val="auto"/>
                <w:szCs w:val="21"/>
                <w:highlight w:val="none"/>
                <w:u w:val="single"/>
                <w:lang w:eastAsia="zh-CN"/>
              </w:rPr>
              <w:t>万元</w:t>
            </w:r>
            <w:r>
              <w:rPr>
                <w:rFonts w:hint="eastAsia" w:ascii="宋体" w:hAnsi="宋体"/>
                <w:bCs/>
                <w:color w:val="auto"/>
                <w:szCs w:val="21"/>
                <w:highlight w:val="none"/>
                <w:u w:val="single"/>
              </w:rPr>
              <w:t>整（¥</w:t>
            </w:r>
            <w:r>
              <w:rPr>
                <w:rFonts w:hint="eastAsia" w:ascii="宋体" w:hAnsi="宋体"/>
                <w:bCs/>
                <w:color w:val="auto"/>
                <w:szCs w:val="21"/>
                <w:highlight w:val="none"/>
                <w:u w:val="single"/>
                <w:lang w:eastAsia="zh-CN"/>
              </w:rPr>
              <w:t>4,</w:t>
            </w:r>
            <w:r>
              <w:rPr>
                <w:rFonts w:hint="eastAsia" w:ascii="宋体" w:hAnsi="宋体"/>
                <w:bCs/>
                <w:color w:val="auto"/>
                <w:szCs w:val="21"/>
                <w:highlight w:val="none"/>
                <w:u w:val="single"/>
                <w:lang w:val="en-US" w:eastAsia="zh-CN"/>
              </w:rPr>
              <w:t>73</w:t>
            </w:r>
            <w:r>
              <w:rPr>
                <w:rFonts w:hint="eastAsia" w:ascii="宋体" w:hAnsi="宋体"/>
                <w:bCs/>
                <w:color w:val="auto"/>
                <w:szCs w:val="21"/>
                <w:highlight w:val="none"/>
                <w:u w:val="single"/>
                <w:lang w:eastAsia="zh-CN"/>
              </w:rPr>
              <w:t>0,000.00</w:t>
            </w:r>
            <w:r>
              <w:rPr>
                <w:rFonts w:hint="eastAsia" w:ascii="宋体" w:hAnsi="宋体"/>
                <w:bCs/>
                <w:color w:val="auto"/>
                <w:szCs w:val="21"/>
                <w:highlight w:val="none"/>
                <w:u w:val="single"/>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D包：</w:t>
            </w:r>
            <w:r>
              <w:rPr>
                <w:rFonts w:hint="eastAsia" w:ascii="宋体" w:hAnsi="宋体" w:cs="宋体"/>
                <w:color w:val="auto"/>
                <w:szCs w:val="21"/>
                <w:highlight w:val="none"/>
              </w:rPr>
              <w:t>厨余处理系统</w:t>
            </w:r>
            <w:r>
              <w:rPr>
                <w:rFonts w:hint="eastAsia" w:ascii="宋体" w:hAnsi="宋体"/>
                <w:color w:val="auto"/>
                <w:szCs w:val="21"/>
                <w:highlight w:val="none"/>
              </w:rPr>
              <w:t>采购及安装</w:t>
            </w:r>
          </w:p>
          <w:p>
            <w:pPr>
              <w:rPr>
                <w:rFonts w:ascii="宋体" w:hAnsi="宋体"/>
                <w:b/>
                <w:bCs/>
                <w:color w:val="auto"/>
                <w:szCs w:val="21"/>
                <w:highlight w:val="none"/>
              </w:rPr>
            </w:pPr>
            <w:r>
              <w:rPr>
                <w:rFonts w:hint="eastAsia" w:ascii="宋体" w:hAnsi="宋体"/>
                <w:bCs/>
                <w:color w:val="auto"/>
                <w:szCs w:val="21"/>
                <w:highlight w:val="none"/>
                <w:u w:val="single"/>
              </w:rPr>
              <w:t>本项目最高限价为人民币</w:t>
            </w:r>
            <w:r>
              <w:rPr>
                <w:rFonts w:hint="eastAsia" w:ascii="宋体" w:hAnsi="宋体"/>
                <w:bCs/>
                <w:color w:val="auto"/>
                <w:szCs w:val="21"/>
                <w:highlight w:val="none"/>
                <w:u w:val="single"/>
                <w:lang w:eastAsia="zh-CN"/>
              </w:rPr>
              <w:t>伍佰叁拾贰万元整</w:t>
            </w:r>
            <w:r>
              <w:rPr>
                <w:rFonts w:hint="eastAsia" w:ascii="宋体" w:hAnsi="宋体"/>
                <w:bCs/>
                <w:color w:val="auto"/>
                <w:szCs w:val="21"/>
                <w:highlight w:val="none"/>
                <w:u w:val="single"/>
              </w:rPr>
              <w:t>（¥</w:t>
            </w:r>
            <w:r>
              <w:rPr>
                <w:rFonts w:hint="eastAsia" w:ascii="宋体" w:hAnsi="宋体"/>
                <w:bCs/>
                <w:color w:val="auto"/>
                <w:szCs w:val="21"/>
                <w:highlight w:val="none"/>
                <w:u w:val="single"/>
                <w:lang w:eastAsia="zh-CN"/>
              </w:rPr>
              <w:t>5,320,000.00</w:t>
            </w:r>
            <w:r>
              <w:rPr>
                <w:rFonts w:hint="eastAsia" w:ascii="宋体" w:hAnsi="宋体"/>
                <w:bCs/>
                <w:color w:val="auto"/>
                <w:szCs w:val="21"/>
                <w:highlight w:val="none"/>
                <w:u w:val="single"/>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rPr>
                <w:rFonts w:ascii="宋体" w:hAnsi="宋体"/>
                <w:bCs/>
                <w:color w:val="auto"/>
                <w:szCs w:val="21"/>
                <w:highlight w:val="none"/>
                <w:u w:val="single"/>
              </w:rPr>
            </w:pPr>
            <w:r>
              <w:rPr>
                <w:rFonts w:ascii="宋体" w:hAnsi="宋体"/>
                <w:b/>
                <w:bCs w:val="0"/>
                <w:color w:val="auto"/>
                <w:szCs w:val="21"/>
                <w:highlight w:val="none"/>
                <w:u w:val="none"/>
              </w:rPr>
              <w:t>E包</w:t>
            </w:r>
            <w:r>
              <w:rPr>
                <w:rFonts w:hint="eastAsia" w:ascii="宋体" w:hAnsi="宋体"/>
                <w:bCs/>
                <w:color w:val="auto"/>
                <w:szCs w:val="21"/>
                <w:highlight w:val="none"/>
                <w:u w:val="none"/>
              </w:rPr>
              <w:t>:</w:t>
            </w:r>
            <w:r>
              <w:rPr>
                <w:rFonts w:hint="eastAsia" w:ascii="宋体" w:hAnsi="宋体"/>
                <w:bCs w:val="0"/>
                <w:color w:val="auto"/>
                <w:szCs w:val="21"/>
                <w:highlight w:val="none"/>
                <w:u w:val="none"/>
              </w:rPr>
              <w:t>生活垃圾及厨余垃圾收集转运设备</w:t>
            </w:r>
            <w:r>
              <w:rPr>
                <w:rFonts w:hint="eastAsia" w:ascii="宋体" w:hAnsi="宋体"/>
                <w:color w:val="auto"/>
                <w:szCs w:val="21"/>
                <w:highlight w:val="none"/>
              </w:rPr>
              <w:t>采购及安装</w:t>
            </w:r>
          </w:p>
          <w:p>
            <w:pPr>
              <w:rPr>
                <w:rFonts w:ascii="宋体" w:hAnsi="宋体"/>
                <w:bCs/>
                <w:color w:val="auto"/>
                <w:szCs w:val="21"/>
                <w:highlight w:val="none"/>
                <w:u w:val="single"/>
              </w:rPr>
            </w:pPr>
            <w:r>
              <w:rPr>
                <w:rFonts w:hint="eastAsia" w:ascii="宋体" w:hAnsi="宋体"/>
                <w:bCs/>
                <w:color w:val="auto"/>
                <w:szCs w:val="21"/>
                <w:highlight w:val="none"/>
                <w:u w:val="single"/>
              </w:rPr>
              <w:t>本项目最高限价为人民币</w:t>
            </w:r>
            <w:r>
              <w:rPr>
                <w:rFonts w:hint="eastAsia" w:ascii="宋体" w:hAnsi="宋体"/>
                <w:bCs/>
                <w:color w:val="auto"/>
                <w:szCs w:val="21"/>
                <w:highlight w:val="none"/>
                <w:u w:val="single"/>
                <w:lang w:eastAsia="zh-CN"/>
              </w:rPr>
              <w:t>玖佰贰拾贰万元整</w:t>
            </w:r>
            <w:r>
              <w:rPr>
                <w:rFonts w:hint="eastAsia" w:ascii="宋体" w:hAnsi="宋体"/>
                <w:bCs/>
                <w:color w:val="auto"/>
                <w:szCs w:val="21"/>
                <w:highlight w:val="none"/>
                <w:u w:val="single"/>
              </w:rPr>
              <w:t>（¥</w:t>
            </w:r>
            <w:r>
              <w:rPr>
                <w:rFonts w:hint="eastAsia" w:ascii="宋体" w:hAnsi="宋体"/>
                <w:bCs/>
                <w:color w:val="auto"/>
                <w:szCs w:val="21"/>
                <w:highlight w:val="none"/>
                <w:u w:val="single"/>
                <w:lang w:eastAsia="zh-CN"/>
              </w:rPr>
              <w:t>9,2</w:t>
            </w:r>
            <w:r>
              <w:rPr>
                <w:rFonts w:hint="eastAsia" w:ascii="宋体" w:hAnsi="宋体"/>
                <w:bCs/>
                <w:color w:val="auto"/>
                <w:szCs w:val="21"/>
                <w:highlight w:val="none"/>
                <w:u w:val="single"/>
                <w:lang w:val="en-US" w:eastAsia="zh-CN"/>
              </w:rPr>
              <w:t>2</w:t>
            </w:r>
            <w:r>
              <w:rPr>
                <w:rFonts w:hint="eastAsia" w:ascii="宋体" w:hAnsi="宋体"/>
                <w:bCs/>
                <w:color w:val="auto"/>
                <w:szCs w:val="21"/>
                <w:highlight w:val="none"/>
                <w:u w:val="single"/>
                <w:lang w:eastAsia="zh-CN"/>
              </w:rPr>
              <w:t>0,000.00</w:t>
            </w:r>
            <w:r>
              <w:rPr>
                <w:rFonts w:hint="eastAsia" w:ascii="宋体" w:hAnsi="宋体"/>
                <w:bCs/>
                <w:color w:val="auto"/>
                <w:szCs w:val="21"/>
                <w:highlight w:val="none"/>
                <w:u w:val="single"/>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6941"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发包方式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rPr>
                <w:rFonts w:ascii="宋体" w:hAnsi="宋体"/>
                <w:b/>
                <w:bCs/>
                <w:color w:val="auto"/>
                <w:szCs w:val="21"/>
                <w:highlight w:val="none"/>
              </w:rPr>
            </w:pPr>
            <w:r>
              <w:rPr>
                <w:rFonts w:hint="eastAsia" w:ascii="宋体" w:hAnsi="宋体"/>
                <w:color w:val="auto"/>
                <w:szCs w:val="21"/>
                <w:highlight w:val="none"/>
              </w:rPr>
              <w:sym w:font="Wingdings 2" w:char="0052"/>
            </w:r>
            <w:r>
              <w:rPr>
                <w:rFonts w:hint="eastAsia" w:ascii="宋体" w:hAnsi="宋体"/>
                <w:b/>
                <w:bCs/>
                <w:color w:val="auto"/>
                <w:szCs w:val="21"/>
                <w:highlight w:val="none"/>
              </w:rPr>
              <w:t>固定总价包干；</w:t>
            </w:r>
          </w:p>
          <w:p>
            <w:pPr>
              <w:rPr>
                <w:rFonts w:ascii="宋体" w:hAnsi="宋体"/>
                <w:b/>
                <w:bCs/>
                <w:color w:val="auto"/>
                <w:szCs w:val="21"/>
                <w:highlight w:val="none"/>
              </w:rPr>
            </w:pPr>
            <w:r>
              <w:rPr>
                <w:rFonts w:hint="eastAsia" w:ascii="宋体" w:hAnsi="宋体"/>
                <w:color w:val="auto"/>
                <w:szCs w:val="21"/>
                <w:highlight w:val="none"/>
              </w:rPr>
              <w:sym w:font="Wingdings 2" w:char="00A3"/>
            </w:r>
            <w:r>
              <w:rPr>
                <w:rFonts w:hint="eastAsia" w:ascii="宋体" w:hAnsi="宋体"/>
                <w:b/>
                <w:bCs/>
                <w:color w:val="auto"/>
                <w:szCs w:val="21"/>
                <w:highlight w:val="none"/>
              </w:rPr>
              <w:t>固定单价暂定总价包干；</w:t>
            </w:r>
          </w:p>
          <w:p>
            <w:pPr>
              <w:rPr>
                <w:rFonts w:ascii="宋体" w:hAnsi="宋体"/>
                <w:b/>
                <w:bCs/>
                <w:color w:val="auto"/>
                <w:szCs w:val="21"/>
                <w:highlight w:val="none"/>
                <w:u w:val="single"/>
              </w:rPr>
            </w:pPr>
            <w:r>
              <w:rPr>
                <w:rFonts w:hint="eastAsia" w:ascii="宋体" w:hAnsi="宋体"/>
                <w:color w:val="auto"/>
                <w:szCs w:val="21"/>
                <w:highlight w:val="none"/>
              </w:rPr>
              <w:sym w:font="Wingdings 2" w:char="00A3"/>
            </w:r>
            <w:r>
              <w:rPr>
                <w:rFonts w:hint="eastAsia" w:ascii="宋体" w:hAnsi="宋体"/>
                <w:b/>
                <w:bCs/>
                <w:color w:val="auto"/>
                <w:szCs w:val="21"/>
                <w:highlight w:val="none"/>
              </w:rPr>
              <w:t>费率</w:t>
            </w:r>
            <w:r>
              <w:rPr>
                <w:rFonts w:hint="eastAsia" w:ascii="宋体" w:hAnsi="宋体"/>
                <w:b/>
                <w:bCs/>
                <w:color w:val="auto"/>
                <w:szCs w:val="21"/>
                <w:highlight w:val="none"/>
                <w:u w:val="single"/>
              </w:rPr>
              <w:t xml:space="preserve">         ；</w:t>
            </w:r>
          </w:p>
          <w:p>
            <w:pPr>
              <w:rPr>
                <w:rFonts w:ascii="宋体" w:hAnsi="宋体"/>
                <w:b/>
                <w:bCs/>
                <w:color w:val="auto"/>
                <w:szCs w:val="21"/>
                <w:highlight w:val="none"/>
              </w:rPr>
            </w:pPr>
            <w:r>
              <w:rPr>
                <w:rFonts w:hint="eastAsia" w:ascii="宋体" w:hAnsi="宋体"/>
                <w:color w:val="auto"/>
                <w:szCs w:val="21"/>
                <w:highlight w:val="none"/>
              </w:rPr>
              <w:sym w:font="Wingdings 2" w:char="00A3"/>
            </w:r>
            <w:r>
              <w:rPr>
                <w:rFonts w:hint="eastAsia" w:ascii="宋体" w:hAnsi="宋体"/>
                <w:b/>
                <w:bCs/>
                <w:color w:val="auto"/>
                <w:szCs w:val="21"/>
                <w:highlight w:val="none"/>
              </w:rPr>
              <w:t>其他</w:t>
            </w:r>
            <w:r>
              <w:rPr>
                <w:rFonts w:hint="eastAsia" w:ascii="宋体" w:hAnsi="宋体"/>
                <w:b/>
                <w:bCs/>
                <w:color w:val="auto"/>
                <w:szCs w:val="21"/>
                <w:highlight w:val="none"/>
                <w:u w:val="single"/>
              </w:rPr>
              <w:t xml:space="preserve">           </w:t>
            </w:r>
            <w:r>
              <w:rPr>
                <w:rFonts w:hint="eastAsia" w:ascii="宋体" w:hAnsi="宋体"/>
                <w:b/>
                <w:bCs/>
                <w:color w:val="auto"/>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6941"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是否接受联合体投标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pStyle w:val="46"/>
              <w:ind w:firstLine="0" w:firstLineChars="0"/>
              <w:rPr>
                <w:rFonts w:ascii="宋体" w:hAnsi="宋体" w:cs="宋体"/>
                <w:color w:val="auto"/>
                <w:szCs w:val="21"/>
                <w:highlight w:val="none"/>
              </w:rPr>
            </w:pPr>
            <w:r>
              <w:rPr>
                <w:rFonts w:hint="eastAsia" w:ascii="宋体" w:hAnsi="宋体"/>
                <w:color w:val="auto"/>
                <w:szCs w:val="21"/>
                <w:highlight w:val="none"/>
              </w:rPr>
              <w:sym w:font="Wingdings 2" w:char="00A3"/>
            </w:r>
            <w:r>
              <w:rPr>
                <w:rFonts w:hint="eastAsia" w:ascii="宋体" w:hAnsi="宋体" w:cs="宋体"/>
                <w:color w:val="auto"/>
                <w:szCs w:val="21"/>
                <w:highlight w:val="none"/>
              </w:rPr>
              <w:t>是，</w:t>
            </w:r>
            <w:r>
              <w:rPr>
                <w:rFonts w:hint="eastAsia" w:ascii="宋体" w:hAnsi="宋体"/>
                <w:color w:val="auto"/>
                <w:szCs w:val="21"/>
                <w:highlight w:val="none"/>
              </w:rPr>
              <w:t>联合体投标的，应满足下列要求：</w:t>
            </w:r>
            <w:r>
              <w:rPr>
                <w:rFonts w:ascii="宋体" w:hAnsi="宋体"/>
                <w:color w:val="auto"/>
                <w:szCs w:val="21"/>
                <w:highlight w:val="none"/>
                <w:u w:val="single"/>
              </w:rPr>
              <w:t xml:space="preserve">         </w:t>
            </w:r>
            <w:r>
              <w:rPr>
                <w:rFonts w:hint="eastAsia" w:ascii="宋体" w:hAnsi="宋体" w:cs="宋体"/>
                <w:color w:val="auto"/>
                <w:szCs w:val="21"/>
                <w:highlight w:val="none"/>
              </w:rPr>
              <w:t>；</w:t>
            </w:r>
          </w:p>
          <w:p>
            <w:pPr>
              <w:rPr>
                <w:rFonts w:ascii="宋体" w:hAnsi="宋体"/>
                <w:b/>
                <w:bCs/>
                <w:color w:val="auto"/>
                <w:szCs w:val="21"/>
                <w:highlight w:val="none"/>
              </w:rPr>
            </w:pPr>
            <w:r>
              <w:rPr>
                <w:rFonts w:hint="eastAsia" w:ascii="宋体" w:hAnsi="宋体"/>
                <w:color w:val="auto"/>
                <w:szCs w:val="21"/>
                <w:highlight w:val="none"/>
              </w:rPr>
              <w:sym w:font="Wingdings 2" w:char="0052"/>
            </w:r>
            <w:r>
              <w:rPr>
                <w:rFonts w:hint="eastAsia" w:ascii="宋体" w:hAnsi="宋体" w:cs="宋体"/>
                <w:color w:val="auto"/>
                <w:szCs w:val="21"/>
                <w:highlight w:val="none"/>
              </w:rPr>
              <w:t>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6941"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资金来源</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rPr>
                <w:rFonts w:ascii="宋体" w:hAnsi="宋体"/>
                <w:b/>
                <w:bCs/>
                <w:color w:val="auto"/>
                <w:szCs w:val="21"/>
                <w:highlight w:val="none"/>
              </w:rPr>
            </w:pPr>
            <w:r>
              <w:rPr>
                <w:rFonts w:hint="eastAsia" w:ascii="宋体" w:hAnsi="宋体"/>
                <w:color w:val="auto"/>
                <w:szCs w:val="21"/>
                <w:highlight w:val="none"/>
                <w:u w:val="single"/>
              </w:rPr>
              <w:t>自筹资金。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6941" w:type="dxa"/>
            <w:gridSpan w:val="2"/>
            <w:tcBorders>
              <w:tl2br w:val="nil"/>
              <w:tr2bl w:val="nil"/>
            </w:tcBorders>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rPr>
                <w:rFonts w:ascii="宋体" w:hAnsi="宋体"/>
                <w:bCs/>
                <w:color w:val="auto"/>
                <w:szCs w:val="21"/>
                <w:highlight w:val="none"/>
              </w:rPr>
            </w:pPr>
            <w:r>
              <w:rPr>
                <w:rFonts w:hint="eastAsia" w:ascii="宋体" w:hAnsi="宋体"/>
                <w:bCs/>
                <w:color w:val="auto"/>
                <w:szCs w:val="21"/>
                <w:highlight w:val="none"/>
              </w:rPr>
              <w:sym w:font="Wingdings 2" w:char="0052"/>
            </w:r>
            <w:r>
              <w:rPr>
                <w:rFonts w:hint="eastAsia" w:ascii="宋体" w:hAnsi="宋体"/>
                <w:bCs/>
                <w:color w:val="auto"/>
                <w:szCs w:val="21"/>
                <w:highlight w:val="none"/>
              </w:rPr>
              <w:t>不组织 。</w:t>
            </w:r>
          </w:p>
          <w:p>
            <w:pPr>
              <w:rPr>
                <w:rFonts w:ascii="宋体" w:hAnsi="宋体"/>
                <w:bCs/>
                <w:color w:val="auto"/>
                <w:szCs w:val="21"/>
                <w:highlight w:val="none"/>
              </w:rPr>
            </w:pPr>
            <w:r>
              <w:rPr>
                <w:rFonts w:hint="eastAsia" w:ascii="宋体" w:hAnsi="宋体"/>
                <w:bCs/>
                <w:color w:val="auto"/>
                <w:szCs w:val="21"/>
                <w:highlight w:val="none"/>
              </w:rPr>
              <w:t>□组织，踏勘现场时间、地点：</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629" w:hRule="atLeast"/>
          <w:jc w:val="center"/>
        </w:trPr>
        <w:tc>
          <w:tcPr>
            <w:tcW w:w="8410" w:type="dxa"/>
            <w:gridSpan w:val="3"/>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6941" w:type="dxa"/>
            <w:gridSpan w:val="2"/>
            <w:tcBorders>
              <w:tl2br w:val="nil"/>
              <w:tr2bl w:val="nil"/>
            </w:tcBorders>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6941"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jc w:val="both"/>
              <w:rPr>
                <w:rFonts w:ascii="宋体" w:hAnsi="宋体"/>
                <w:color w:val="auto"/>
                <w:szCs w:val="21"/>
                <w:highlight w:val="none"/>
              </w:rPr>
            </w:pPr>
            <w:r>
              <w:rPr>
                <w:rFonts w:hint="eastAsia" w:ascii="宋体" w:hAnsi="宋体"/>
                <w:color w:val="auto"/>
                <w:szCs w:val="21"/>
                <w:highlight w:val="none"/>
              </w:rPr>
              <w:t>详见投标人须知。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0"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6941"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投标保证金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0"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jc w:val="both"/>
              <w:rPr>
                <w:rFonts w:ascii="宋体" w:hAnsi="宋体" w:cs="宋体"/>
                <w:color w:val="auto"/>
                <w:highlight w:val="none"/>
              </w:rPr>
            </w:pPr>
            <w:r>
              <w:rPr>
                <w:color w:val="auto"/>
                <w:highlight w:val="none"/>
              </w:rPr>
              <w:t>A</w:t>
            </w:r>
            <w:r>
              <w:rPr>
                <w:rFonts w:hint="eastAsia"/>
                <w:b/>
                <w:bCs/>
                <w:color w:val="auto"/>
                <w:highlight w:val="none"/>
              </w:rPr>
              <w:t>包</w:t>
            </w:r>
            <w:r>
              <w:rPr>
                <w:color w:val="auto"/>
                <w:highlight w:val="none"/>
              </w:rPr>
              <w:t>：投标保证金金额：人民币大写</w:t>
            </w:r>
            <w:r>
              <w:rPr>
                <w:rFonts w:hint="eastAsia"/>
                <w:color w:val="auto"/>
                <w:highlight w:val="none"/>
                <w:lang w:eastAsia="zh-CN"/>
              </w:rPr>
              <w:t>陆万陆仟元整</w:t>
            </w:r>
            <w:r>
              <w:rPr>
                <w:color w:val="auto"/>
                <w:highlight w:val="none"/>
              </w:rPr>
              <w:t>（</w:t>
            </w:r>
            <w:r>
              <w:rPr>
                <w:rFonts w:hint="eastAsia" w:ascii="宋体" w:hAnsi="宋体" w:cs="宋体"/>
                <w:color w:val="auto"/>
                <w:highlight w:val="none"/>
              </w:rPr>
              <w:t>¥</w:t>
            </w:r>
            <w:r>
              <w:rPr>
                <w:rFonts w:hint="eastAsia" w:ascii="宋体" w:hAnsi="宋体" w:cs="宋体"/>
                <w:color w:val="auto"/>
                <w:highlight w:val="none"/>
                <w:lang w:eastAsia="zh-CN"/>
              </w:rPr>
              <w:t>66,000.00</w:t>
            </w:r>
            <w:r>
              <w:rPr>
                <w:rFonts w:hint="eastAsia" w:ascii="宋体" w:hAnsi="宋体" w:cs="宋体"/>
                <w:color w:val="auto"/>
                <w:highlight w:val="none"/>
              </w:rPr>
              <w:t>元）</w:t>
            </w:r>
          </w:p>
          <w:p>
            <w:pPr>
              <w:rPr>
                <w:rFonts w:ascii="宋体" w:hAnsi="宋体" w:cs="宋体"/>
                <w:color w:val="auto"/>
                <w:highlight w:val="none"/>
              </w:rPr>
            </w:pPr>
            <w:r>
              <w:rPr>
                <w:rFonts w:ascii="宋体" w:hAnsi="宋体" w:cs="宋体"/>
                <w:b/>
                <w:bCs/>
                <w:color w:val="auto"/>
                <w:highlight w:val="none"/>
              </w:rPr>
              <w:t>B</w:t>
            </w:r>
            <w:r>
              <w:rPr>
                <w:rFonts w:hint="eastAsia" w:ascii="宋体" w:hAnsi="宋体" w:cs="宋体"/>
                <w:b/>
                <w:bCs/>
                <w:color w:val="auto"/>
                <w:highlight w:val="none"/>
              </w:rPr>
              <w:t>包</w:t>
            </w:r>
            <w:r>
              <w:rPr>
                <w:rFonts w:hint="eastAsia" w:ascii="宋体" w:hAnsi="宋体" w:cs="宋体"/>
                <w:color w:val="auto"/>
                <w:highlight w:val="none"/>
              </w:rPr>
              <w:t>：投标保证金金额：人民币大写壹拾</w:t>
            </w:r>
            <w:r>
              <w:rPr>
                <w:rFonts w:hint="eastAsia" w:ascii="宋体" w:hAnsi="宋体" w:cs="宋体"/>
                <w:color w:val="auto"/>
                <w:highlight w:val="none"/>
                <w:lang w:val="en-US" w:eastAsia="zh-CN"/>
              </w:rPr>
              <w:t>肆</w:t>
            </w:r>
            <w:r>
              <w:rPr>
                <w:rFonts w:hint="eastAsia" w:ascii="宋体" w:hAnsi="宋体" w:cs="宋体"/>
                <w:color w:val="auto"/>
                <w:highlight w:val="none"/>
              </w:rPr>
              <w:t>万</w:t>
            </w:r>
            <w:r>
              <w:rPr>
                <w:rFonts w:hint="eastAsia" w:ascii="宋体" w:hAnsi="宋体" w:cs="宋体"/>
                <w:color w:val="auto"/>
                <w:highlight w:val="none"/>
                <w:lang w:val="en-US" w:eastAsia="zh-CN"/>
              </w:rPr>
              <w:t>捌仟</w:t>
            </w:r>
            <w:r>
              <w:rPr>
                <w:rFonts w:hint="eastAsia" w:ascii="宋体" w:hAnsi="宋体" w:cs="宋体"/>
                <w:color w:val="auto"/>
                <w:highlight w:val="none"/>
              </w:rPr>
              <w:t>元整（¥1</w:t>
            </w:r>
            <w:r>
              <w:rPr>
                <w:rFonts w:hint="eastAsia" w:ascii="宋体" w:hAnsi="宋体" w:cs="宋体"/>
                <w:color w:val="auto"/>
                <w:highlight w:val="none"/>
                <w:lang w:val="en-US" w:eastAsia="zh-CN"/>
              </w:rPr>
              <w:t>48</w:t>
            </w:r>
            <w:r>
              <w:rPr>
                <w:rFonts w:hint="eastAsia" w:ascii="宋体" w:hAnsi="宋体" w:cs="宋体"/>
                <w:color w:val="auto"/>
                <w:highlight w:val="none"/>
              </w:rPr>
              <w:t>,000.00元）</w:t>
            </w:r>
          </w:p>
          <w:p>
            <w:pPr>
              <w:jc w:val="both"/>
              <w:rPr>
                <w:rFonts w:ascii="宋体" w:hAnsi="宋体" w:cs="宋体"/>
                <w:color w:val="auto"/>
                <w:highlight w:val="none"/>
              </w:rPr>
            </w:pPr>
            <w:r>
              <w:rPr>
                <w:rFonts w:ascii="宋体" w:hAnsi="宋体" w:cs="宋体"/>
                <w:b/>
                <w:bCs/>
                <w:color w:val="auto"/>
                <w:highlight w:val="none"/>
              </w:rPr>
              <w:t>C</w:t>
            </w:r>
            <w:r>
              <w:rPr>
                <w:rFonts w:hint="eastAsia" w:ascii="宋体" w:hAnsi="宋体" w:cs="宋体"/>
                <w:b/>
                <w:bCs/>
                <w:color w:val="auto"/>
                <w:highlight w:val="none"/>
              </w:rPr>
              <w:t>包</w:t>
            </w:r>
            <w:r>
              <w:rPr>
                <w:rFonts w:hint="eastAsia" w:ascii="宋体" w:hAnsi="宋体" w:cs="宋体"/>
                <w:color w:val="auto"/>
                <w:highlight w:val="none"/>
              </w:rPr>
              <w:t>：投标保证金金额：人民币大写玖万</w:t>
            </w:r>
            <w:r>
              <w:rPr>
                <w:rFonts w:hint="eastAsia" w:ascii="宋体" w:hAnsi="宋体" w:cs="宋体"/>
                <w:color w:val="auto"/>
                <w:highlight w:val="none"/>
                <w:lang w:val="en-US" w:eastAsia="zh-CN"/>
              </w:rPr>
              <w:t>肆</w:t>
            </w:r>
            <w:r>
              <w:rPr>
                <w:rFonts w:hint="eastAsia" w:ascii="宋体" w:hAnsi="宋体" w:cs="宋体"/>
                <w:color w:val="auto"/>
                <w:highlight w:val="none"/>
              </w:rPr>
              <w:t>仟元整（¥</w:t>
            </w:r>
            <w:r>
              <w:rPr>
                <w:rFonts w:hint="eastAsia" w:ascii="宋体" w:hAnsi="宋体" w:cs="宋体"/>
                <w:color w:val="auto"/>
                <w:highlight w:val="none"/>
                <w:lang w:eastAsia="zh-CN"/>
              </w:rPr>
              <w:t>9</w:t>
            </w:r>
            <w:r>
              <w:rPr>
                <w:rFonts w:hint="eastAsia" w:ascii="宋体" w:hAnsi="宋体" w:cs="宋体"/>
                <w:color w:val="auto"/>
                <w:highlight w:val="none"/>
                <w:lang w:val="en-US" w:eastAsia="zh-CN"/>
              </w:rPr>
              <w:t>4</w:t>
            </w:r>
            <w:r>
              <w:rPr>
                <w:rFonts w:hint="eastAsia" w:ascii="宋体" w:hAnsi="宋体" w:cs="宋体"/>
                <w:color w:val="auto"/>
                <w:highlight w:val="none"/>
                <w:lang w:eastAsia="zh-CN"/>
              </w:rPr>
              <w:t>,000.00</w:t>
            </w:r>
            <w:r>
              <w:rPr>
                <w:rFonts w:hint="eastAsia" w:ascii="宋体" w:hAnsi="宋体" w:cs="宋体"/>
                <w:color w:val="auto"/>
                <w:highlight w:val="none"/>
              </w:rPr>
              <w:t>元）</w:t>
            </w:r>
          </w:p>
          <w:p>
            <w:pPr>
              <w:rPr>
                <w:color w:val="auto"/>
                <w:highlight w:val="none"/>
              </w:rPr>
            </w:pPr>
            <w:r>
              <w:rPr>
                <w:rFonts w:ascii="宋体" w:hAnsi="宋体" w:cs="宋体"/>
                <w:b/>
                <w:bCs/>
                <w:color w:val="auto"/>
                <w:highlight w:val="none"/>
              </w:rPr>
              <w:t>D</w:t>
            </w:r>
            <w:r>
              <w:rPr>
                <w:rFonts w:hint="eastAsia" w:ascii="宋体" w:hAnsi="宋体" w:cs="宋体"/>
                <w:b/>
                <w:bCs/>
                <w:color w:val="auto"/>
                <w:highlight w:val="none"/>
              </w:rPr>
              <w:t>包</w:t>
            </w:r>
            <w:r>
              <w:rPr>
                <w:rFonts w:hint="eastAsia" w:ascii="宋体" w:hAnsi="宋体" w:cs="宋体"/>
                <w:color w:val="auto"/>
                <w:highlight w:val="none"/>
              </w:rPr>
              <w:t>：投标保证金金额：人民币大写壹拾</w:t>
            </w:r>
            <w:r>
              <w:rPr>
                <w:rFonts w:hint="eastAsia" w:ascii="宋体" w:hAnsi="宋体" w:cs="宋体"/>
                <w:color w:val="auto"/>
                <w:highlight w:val="none"/>
                <w:lang w:val="en-US" w:eastAsia="zh-CN"/>
              </w:rPr>
              <w:t>万零陆仟</w:t>
            </w:r>
            <w:r>
              <w:rPr>
                <w:rFonts w:hint="eastAsia" w:ascii="宋体" w:hAnsi="宋体" w:cs="宋体"/>
                <w:color w:val="auto"/>
                <w:highlight w:val="none"/>
              </w:rPr>
              <w:t>元整（¥</w:t>
            </w:r>
            <w:r>
              <w:rPr>
                <w:rFonts w:hint="eastAsia" w:ascii="宋体" w:hAnsi="宋体" w:cs="宋体"/>
                <w:color w:val="auto"/>
                <w:highlight w:val="none"/>
                <w:lang w:eastAsia="zh-CN"/>
              </w:rPr>
              <w:t>106,000.00</w:t>
            </w:r>
            <w:r>
              <w:rPr>
                <w:rFonts w:hint="eastAsia" w:ascii="宋体" w:hAnsi="宋体" w:cs="宋体"/>
                <w:color w:val="auto"/>
                <w:highlight w:val="none"/>
              </w:rPr>
              <w:t>元</w:t>
            </w:r>
            <w:r>
              <w:rPr>
                <w:color w:val="auto"/>
                <w:highlight w:val="none"/>
              </w:rPr>
              <w:t>）</w:t>
            </w:r>
          </w:p>
          <w:p>
            <w:pPr>
              <w:jc w:val="both"/>
              <w:rPr>
                <w:color w:val="auto"/>
                <w:highlight w:val="none"/>
              </w:rPr>
            </w:pPr>
            <w:r>
              <w:rPr>
                <w:rFonts w:ascii="宋体" w:hAnsi="宋体" w:cs="宋体"/>
                <w:b/>
                <w:bCs/>
                <w:color w:val="auto"/>
                <w:highlight w:val="none"/>
              </w:rPr>
              <w:t>E</w:t>
            </w:r>
            <w:r>
              <w:rPr>
                <w:rFonts w:hint="eastAsia" w:ascii="宋体" w:hAnsi="宋体" w:cs="宋体"/>
                <w:b/>
                <w:bCs/>
                <w:color w:val="auto"/>
                <w:highlight w:val="none"/>
              </w:rPr>
              <w:t>包：</w:t>
            </w:r>
            <w:r>
              <w:rPr>
                <w:rFonts w:hint="eastAsia" w:ascii="宋体" w:hAnsi="宋体" w:cs="宋体"/>
                <w:color w:val="auto"/>
                <w:highlight w:val="none"/>
              </w:rPr>
              <w:t>投标保证金金额：人民币大写壹拾捌万元整（</w:t>
            </w:r>
            <w:r>
              <w:rPr>
                <w:rFonts w:ascii="宋体" w:hAnsi="宋体" w:cs="宋体"/>
                <w:color w:val="auto"/>
                <w:highlight w:val="none"/>
              </w:rPr>
              <w:t>¥180,000.00</w:t>
            </w:r>
            <w:r>
              <w:rPr>
                <w:rFonts w:hint="eastAsia" w:ascii="宋体" w:hAnsi="宋体" w:cs="宋体"/>
                <w:color w:val="auto"/>
                <w:highlight w:val="none"/>
              </w:rPr>
              <w:t>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3"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tabs>
                <w:tab w:val="left" w:pos="567"/>
              </w:tabs>
              <w:jc w:val="both"/>
              <w:rPr>
                <w:rFonts w:hAnsi="宋体"/>
                <w:color w:val="auto"/>
                <w:kern w:val="2"/>
                <w:szCs w:val="21"/>
                <w:highlight w:val="none"/>
                <w:lang w:val="zh-CN"/>
              </w:rPr>
            </w:pPr>
            <w:r>
              <w:rPr>
                <w:rFonts w:hint="eastAsia" w:ascii="宋体" w:hAnsi="宋体"/>
                <w:color w:val="auto"/>
                <w:szCs w:val="21"/>
                <w:highlight w:val="none"/>
              </w:rPr>
              <w:t>（</w:t>
            </w:r>
            <w:r>
              <w:rPr>
                <w:rFonts w:hint="eastAsia" w:ascii="宋体" w:hAnsi="宋体"/>
                <w:color w:val="auto"/>
                <w:szCs w:val="21"/>
                <w:highlight w:val="none"/>
                <w:lang w:val="en-US" w:eastAsia="zh-CN"/>
              </w:rPr>
              <w:t>1</w:t>
            </w:r>
            <w:r>
              <w:rPr>
                <w:rFonts w:hint="eastAsia" w:ascii="宋体" w:hAnsi="宋体"/>
                <w:color w:val="auto"/>
                <w:szCs w:val="21"/>
                <w:highlight w:val="none"/>
              </w:rPr>
              <w:t>）</w:t>
            </w:r>
            <w:r>
              <w:rPr>
                <w:rFonts w:hint="eastAsia" w:hAnsi="宋体"/>
                <w:color w:val="auto"/>
                <w:kern w:val="2"/>
                <w:szCs w:val="21"/>
                <w:highlight w:val="none"/>
                <w:lang w:val="zh-CN"/>
              </w:rPr>
              <w:t>投标保证金采用转</w:t>
            </w:r>
            <w:r>
              <w:rPr>
                <w:rFonts w:hint="eastAsia" w:hAnsi="宋体"/>
                <w:color w:val="auto"/>
                <w:kern w:val="2"/>
                <w:szCs w:val="21"/>
                <w:highlight w:val="none"/>
              </w:rPr>
              <w:t>账</w:t>
            </w:r>
            <w:r>
              <w:rPr>
                <w:rFonts w:hint="eastAsia" w:hAnsi="宋体"/>
                <w:color w:val="auto"/>
                <w:kern w:val="2"/>
                <w:szCs w:val="21"/>
                <w:highlight w:val="none"/>
                <w:lang w:val="zh-CN"/>
              </w:rPr>
              <w:t>、电汇方式提交，应符合以下要求：采用银行转账、电汇方式提交的，保证金汇入以下投标保证金专用账户，不接收由以投标人分支机构、私人帐户和其他单位转入的保证金。投标保证金必须在投标文件递交截止前到账，投标保证金未按规定时间到达指定账户或提交金额不足的，将被视为无效投标。且在备注或用途中注明本项目的项目编号。</w:t>
            </w:r>
          </w:p>
          <w:p>
            <w:pPr>
              <w:tabs>
                <w:tab w:val="left" w:pos="567"/>
              </w:tabs>
              <w:ind w:left="567" w:hanging="567"/>
              <w:jc w:val="both"/>
              <w:rPr>
                <w:rFonts w:hAnsi="宋体"/>
                <w:color w:val="auto"/>
                <w:kern w:val="2"/>
                <w:szCs w:val="21"/>
                <w:highlight w:val="none"/>
                <w:lang w:val="zh-CN"/>
              </w:rPr>
            </w:pPr>
            <w:r>
              <w:rPr>
                <w:rFonts w:hint="eastAsia" w:hAnsi="宋体"/>
                <w:color w:val="auto"/>
                <w:kern w:val="2"/>
                <w:szCs w:val="21"/>
                <w:highlight w:val="none"/>
                <w:lang w:val="zh-CN"/>
              </w:rPr>
              <w:t>投标保证金专用账户如下：</w:t>
            </w:r>
          </w:p>
          <w:p>
            <w:pPr>
              <w:tabs>
                <w:tab w:val="left" w:pos="567"/>
              </w:tabs>
              <w:ind w:firstLine="420" w:firstLineChars="200"/>
              <w:jc w:val="both"/>
              <w:rPr>
                <w:rFonts w:cs="宋体" w:asciiTheme="minorEastAsia" w:hAnsiTheme="minorEastAsia" w:eastAsiaTheme="minorEastAsia"/>
                <w:color w:val="auto"/>
                <w:kern w:val="2"/>
                <w:szCs w:val="21"/>
                <w:highlight w:val="none"/>
                <w:lang w:val="zh-CN"/>
              </w:rPr>
            </w:pPr>
            <w:r>
              <w:rPr>
                <w:rFonts w:hint="eastAsia" w:cs="宋体" w:asciiTheme="minorEastAsia" w:hAnsiTheme="minorEastAsia" w:eastAsiaTheme="minorEastAsia"/>
                <w:color w:val="auto"/>
                <w:kern w:val="2"/>
                <w:szCs w:val="21"/>
                <w:highlight w:val="none"/>
              </w:rPr>
              <w:t>账</w:t>
            </w:r>
            <w:r>
              <w:rPr>
                <w:rFonts w:hint="eastAsia" w:cs="宋体" w:asciiTheme="minorEastAsia" w:hAnsiTheme="minorEastAsia" w:eastAsiaTheme="minorEastAsia"/>
                <w:color w:val="auto"/>
                <w:kern w:val="2"/>
                <w:szCs w:val="21"/>
                <w:highlight w:val="none"/>
                <w:lang w:val="zh-CN"/>
              </w:rPr>
              <w:t>户名称：</w:t>
            </w:r>
            <w:r>
              <w:rPr>
                <w:rFonts w:hint="eastAsia" w:cs="宋体" w:asciiTheme="minorEastAsia" w:hAnsiTheme="minorEastAsia" w:eastAsiaTheme="minorEastAsia"/>
                <w:color w:val="auto"/>
                <w:kern w:val="2"/>
                <w:szCs w:val="21"/>
                <w:highlight w:val="none"/>
                <w:u w:val="single"/>
              </w:rPr>
              <w:t>广东东实环境股份有限公司</w:t>
            </w:r>
            <w:r>
              <w:rPr>
                <w:rFonts w:hint="eastAsia" w:cs="宋体" w:asciiTheme="minorEastAsia" w:hAnsiTheme="minorEastAsia" w:eastAsiaTheme="minorEastAsia"/>
                <w:color w:val="auto"/>
                <w:kern w:val="2"/>
                <w:szCs w:val="21"/>
                <w:highlight w:val="none"/>
                <w:lang w:val="zh-CN"/>
              </w:rPr>
              <w:t>；</w:t>
            </w:r>
          </w:p>
          <w:p>
            <w:pPr>
              <w:tabs>
                <w:tab w:val="left" w:pos="567"/>
              </w:tabs>
              <w:ind w:firstLine="420" w:firstLineChars="200"/>
              <w:jc w:val="both"/>
              <w:rPr>
                <w:rFonts w:cs="宋体" w:asciiTheme="minorEastAsia" w:hAnsiTheme="minorEastAsia" w:eastAsiaTheme="minorEastAsia"/>
                <w:color w:val="auto"/>
                <w:kern w:val="2"/>
                <w:szCs w:val="21"/>
                <w:highlight w:val="none"/>
                <w:lang w:val="zh-CN"/>
              </w:rPr>
            </w:pPr>
            <w:r>
              <w:rPr>
                <w:rFonts w:hint="eastAsia" w:cs="宋体" w:asciiTheme="minorEastAsia" w:hAnsiTheme="minorEastAsia" w:eastAsiaTheme="minorEastAsia"/>
                <w:color w:val="auto"/>
                <w:kern w:val="2"/>
                <w:szCs w:val="21"/>
                <w:highlight w:val="none"/>
                <w:lang w:val="zh-CN"/>
              </w:rPr>
              <w:t>开户银行：</w:t>
            </w:r>
            <w:r>
              <w:rPr>
                <w:rFonts w:hint="eastAsia" w:cs="宋体" w:asciiTheme="minorEastAsia" w:hAnsiTheme="minorEastAsia" w:eastAsiaTheme="minorEastAsia"/>
                <w:color w:val="auto"/>
                <w:kern w:val="2"/>
                <w:szCs w:val="21"/>
                <w:highlight w:val="none"/>
                <w:u w:val="single"/>
              </w:rPr>
              <w:t>东莞农村商业银行中心支行</w:t>
            </w:r>
            <w:r>
              <w:rPr>
                <w:rFonts w:hint="eastAsia" w:cs="宋体" w:asciiTheme="minorEastAsia" w:hAnsiTheme="minorEastAsia" w:eastAsiaTheme="minorEastAsia"/>
                <w:color w:val="auto"/>
                <w:kern w:val="2"/>
                <w:szCs w:val="21"/>
                <w:highlight w:val="none"/>
                <w:lang w:val="zh-CN"/>
              </w:rPr>
              <w:t>；</w:t>
            </w:r>
          </w:p>
          <w:p>
            <w:pPr>
              <w:tabs>
                <w:tab w:val="left" w:pos="567"/>
              </w:tabs>
              <w:ind w:firstLine="420" w:firstLineChars="200"/>
              <w:jc w:val="both"/>
              <w:rPr>
                <w:rFonts w:hAnsi="宋体" w:cs="宋体"/>
                <w:color w:val="auto"/>
                <w:kern w:val="2"/>
                <w:szCs w:val="21"/>
                <w:highlight w:val="none"/>
                <w:lang w:val="zh-CN"/>
              </w:rPr>
            </w:pPr>
            <w:r>
              <w:rPr>
                <w:rFonts w:hint="eastAsia" w:cs="宋体" w:asciiTheme="minorEastAsia" w:hAnsiTheme="minorEastAsia" w:eastAsiaTheme="minorEastAsia"/>
                <w:color w:val="auto"/>
                <w:kern w:val="2"/>
                <w:szCs w:val="21"/>
                <w:highlight w:val="none"/>
                <w:lang w:val="zh-CN"/>
              </w:rPr>
              <w:t>银行帐号：</w:t>
            </w:r>
            <w:r>
              <w:rPr>
                <w:rFonts w:cs="宋体" w:asciiTheme="minorEastAsia" w:hAnsiTheme="minorEastAsia" w:eastAsiaTheme="minorEastAsia"/>
                <w:color w:val="auto"/>
                <w:kern w:val="2"/>
                <w:szCs w:val="21"/>
                <w:highlight w:val="none"/>
                <w:u w:val="single"/>
              </w:rPr>
              <w:t>380010190010009298</w:t>
            </w:r>
            <w:r>
              <w:rPr>
                <w:rFonts w:hint="eastAsia" w:hAnsi="宋体" w:cs="宋体"/>
                <w:color w:val="auto"/>
                <w:kern w:val="2"/>
                <w:szCs w:val="21"/>
                <w:highlight w:val="none"/>
                <w:lang w:val="zh-CN"/>
              </w:rPr>
              <w:t xml:space="preserve">  </w:t>
            </w:r>
          </w:p>
          <w:p>
            <w:pPr>
              <w:tabs>
                <w:tab w:val="left" w:pos="567"/>
              </w:tabs>
              <w:ind w:firstLine="420" w:firstLineChars="200"/>
              <w:jc w:val="both"/>
              <w:rPr>
                <w:rFonts w:asciiTheme="minorEastAsia" w:hAnsiTheme="minorEastAsia" w:eastAsiaTheme="minorEastAsia"/>
                <w:color w:val="auto"/>
                <w:kern w:val="2"/>
                <w:szCs w:val="21"/>
                <w:highlight w:val="none"/>
                <w:lang w:val="zh-CN"/>
              </w:rPr>
            </w:pPr>
            <w:r>
              <w:rPr>
                <w:rFonts w:hint="eastAsia" w:cs="宋体" w:asciiTheme="minorEastAsia" w:hAnsiTheme="minorEastAsia" w:eastAsiaTheme="minorEastAsia"/>
                <w:color w:val="auto"/>
                <w:kern w:val="2"/>
                <w:szCs w:val="21"/>
                <w:highlight w:val="none"/>
                <w:lang w:val="zh-CN"/>
              </w:rPr>
              <w:t>行号：</w:t>
            </w:r>
            <w:r>
              <w:rPr>
                <w:rFonts w:cs="宋体" w:asciiTheme="minorEastAsia" w:hAnsiTheme="minorEastAsia" w:eastAsiaTheme="minorEastAsia"/>
                <w:color w:val="auto"/>
                <w:kern w:val="2"/>
                <w:szCs w:val="21"/>
                <w:highlight w:val="none"/>
                <w:lang w:val="zh-CN"/>
              </w:rPr>
              <w:t>402602000018</w:t>
            </w:r>
          </w:p>
          <w:p>
            <w:pPr>
              <w:tabs>
                <w:tab w:val="left" w:pos="567"/>
              </w:tabs>
              <w:ind w:firstLine="422" w:firstLineChars="200"/>
              <w:jc w:val="both"/>
              <w:rPr>
                <w:rFonts w:ascii="宋体" w:hAnsi="宋体"/>
                <w:b/>
                <w:color w:val="auto"/>
                <w:szCs w:val="21"/>
                <w:highlight w:val="none"/>
              </w:rPr>
            </w:pPr>
            <w:r>
              <w:rPr>
                <w:rFonts w:hint="eastAsia" w:hAnsi="宋体" w:cs="宋体"/>
                <w:b/>
                <w:color w:val="auto"/>
                <w:szCs w:val="21"/>
                <w:highlight w:val="none"/>
              </w:rPr>
              <w:t>（注：各投标人在转</w:t>
            </w:r>
            <w:r>
              <w:rPr>
                <w:rFonts w:hint="eastAsia" w:hAnsi="宋体"/>
                <w:b/>
                <w:bCs/>
                <w:color w:val="auto"/>
                <w:kern w:val="2"/>
                <w:szCs w:val="21"/>
                <w:highlight w:val="none"/>
                <w:lang w:val="zh-CN"/>
              </w:rPr>
              <w:t>账</w:t>
            </w:r>
            <w:r>
              <w:rPr>
                <w:rFonts w:hint="eastAsia" w:hAnsi="宋体" w:cs="宋体"/>
                <w:b/>
                <w:color w:val="auto"/>
                <w:szCs w:val="21"/>
                <w:highlight w:val="none"/>
              </w:rPr>
              <w:t>或电汇时须在用途栏上备注项目编号，及项目名称，如有字数限制项目名称可简写。）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20"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6941" w:type="dxa"/>
            <w:gridSpan w:val="2"/>
            <w:tcBorders>
              <w:tl2br w:val="nil"/>
              <w:tr2bl w:val="nil"/>
            </w:tcBorders>
            <w:vAlign w:val="center"/>
          </w:tcPr>
          <w:p>
            <w:pPr>
              <w:jc w:val="both"/>
              <w:rPr>
                <w:rFonts w:ascii="宋体" w:hAnsi="宋体"/>
                <w:b/>
                <w:bCs/>
                <w:color w:val="auto"/>
                <w:szCs w:val="21"/>
                <w:highlight w:val="none"/>
                <w:lang w:val="zh-CN"/>
              </w:rPr>
            </w:pPr>
            <w:r>
              <w:rPr>
                <w:rFonts w:hint="eastAsia" w:ascii="宋体" w:hAnsi="宋体"/>
                <w:b/>
                <w:bCs/>
                <w:color w:val="auto"/>
                <w:szCs w:val="21"/>
                <w:highlight w:val="none"/>
                <w:lang w:val="zh-CN"/>
              </w:rPr>
              <w:t>投标保证金退还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704"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1</w:t>
            </w:r>
            <w:r>
              <w:rPr>
                <w:rFonts w:hint="eastAsia" w:ascii="宋体" w:hAnsi="宋体"/>
                <w:color w:val="auto"/>
                <w:szCs w:val="21"/>
                <w:highlight w:val="none"/>
                <w:lang w:val="zh-CN"/>
              </w:rPr>
              <w:t>）未中标的投标人的保证金应当在中标通知书发出后退还，中标</w:t>
            </w:r>
            <w:r>
              <w:rPr>
                <w:rFonts w:hint="eastAsia" w:ascii="宋体" w:hAnsi="宋体"/>
                <w:color w:val="auto"/>
                <w:szCs w:val="21"/>
                <w:highlight w:val="none"/>
              </w:rPr>
              <w:t>的</w:t>
            </w:r>
            <w:r>
              <w:rPr>
                <w:rFonts w:hint="eastAsia" w:ascii="宋体" w:hAnsi="宋体"/>
                <w:color w:val="auto"/>
                <w:szCs w:val="21"/>
                <w:highlight w:val="none"/>
                <w:lang w:val="zh-CN"/>
              </w:rPr>
              <w:t>投标人的保证金应当在采购合同签订</w:t>
            </w:r>
            <w:r>
              <w:rPr>
                <w:rFonts w:hint="eastAsia" w:ascii="宋体" w:hAnsi="宋体"/>
                <w:color w:val="auto"/>
                <w:szCs w:val="21"/>
                <w:highlight w:val="none"/>
              </w:rPr>
              <w:t>并缴纳履约保证金</w:t>
            </w:r>
            <w:r>
              <w:rPr>
                <w:rFonts w:hint="eastAsia" w:ascii="宋体" w:hAnsi="宋体"/>
                <w:color w:val="auto"/>
                <w:szCs w:val="21"/>
                <w:highlight w:val="none"/>
                <w:lang w:val="zh-CN"/>
              </w:rPr>
              <w:t>后退还。</w:t>
            </w:r>
          </w:p>
          <w:p>
            <w:pPr>
              <w:jc w:val="both"/>
              <w:rPr>
                <w:color w:val="auto"/>
                <w:highlight w:val="none"/>
              </w:rPr>
            </w:pPr>
            <w:r>
              <w:rPr>
                <w:rFonts w:hint="eastAsia" w:ascii="宋体" w:hAnsi="宋体"/>
                <w:color w:val="auto"/>
                <w:szCs w:val="21"/>
                <w:highlight w:val="none"/>
                <w:lang w:val="zh-CN"/>
              </w:rPr>
              <w:t>（</w:t>
            </w:r>
            <w:r>
              <w:rPr>
                <w:rFonts w:hint="eastAsia" w:ascii="宋体" w:hAnsi="宋体"/>
                <w:color w:val="auto"/>
                <w:szCs w:val="21"/>
                <w:highlight w:val="none"/>
              </w:rPr>
              <w:t>2</w:t>
            </w:r>
            <w:r>
              <w:rPr>
                <w:rFonts w:hint="eastAsia" w:ascii="宋体" w:hAnsi="宋体"/>
                <w:color w:val="auto"/>
                <w:szCs w:val="21"/>
                <w:highlight w:val="none"/>
                <w:lang w:val="zh-CN"/>
              </w:rPr>
              <w:t>）为方便退还未中标的投标人的保证金，投标人应制作《投标保证金汇入情况说明》随唱标信封一并递交。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6941"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投标有效期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6941" w:type="dxa"/>
            <w:gridSpan w:val="2"/>
            <w:tcBorders>
              <w:tl2br w:val="nil"/>
              <w:tr2bl w:val="nil"/>
            </w:tcBorders>
            <w:vAlign w:val="center"/>
          </w:tcPr>
          <w:p>
            <w:pPr>
              <w:rPr>
                <w:rFonts w:ascii="宋体" w:hAnsi="宋体"/>
                <w:b/>
                <w:color w:val="auto"/>
                <w:szCs w:val="21"/>
                <w:highlight w:val="none"/>
              </w:rPr>
            </w:pPr>
            <w:r>
              <w:rPr>
                <w:rFonts w:hint="eastAsia" w:ascii="宋体" w:hAnsi="宋体"/>
                <w:b/>
                <w:color w:val="auto"/>
                <w:szCs w:val="21"/>
                <w:highlight w:val="none"/>
              </w:rPr>
              <w:t>投标人应提交以下投标文件（投标文件由唱标信封、价格文件、商务文件、技术文件、电子文档五部分组成；价格文件、商务文件、技术文件分别单独装订成册，电子文档装入唱标信封一同封装；具体编制和封装要求详见第四部分投标人须知）</w:t>
            </w:r>
          </w:p>
          <w:p>
            <w:pPr>
              <w:rPr>
                <w:rFonts w:ascii="宋体" w:hAnsi="宋体"/>
                <w:b/>
                <w:color w:val="auto"/>
                <w:szCs w:val="21"/>
                <w:highlight w:val="none"/>
              </w:rPr>
            </w:pPr>
            <w:r>
              <w:rPr>
                <w:rFonts w:hint="eastAsia" w:ascii="宋体" w:hAnsi="宋体"/>
                <w:b/>
                <w:color w:val="auto"/>
                <w:szCs w:val="21"/>
                <w:highlight w:val="none"/>
                <w:u w:val="single"/>
              </w:rPr>
              <w:t>注：包号：A包、B包、C包、D包、E包投标文件须分别单独装订成册。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2017"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2017"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唱标信封</w:t>
            </w:r>
          </w:p>
        </w:tc>
        <w:tc>
          <w:tcPr>
            <w:tcW w:w="4924"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2017"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37"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2017"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 xml:space="preserve">□5  </w:t>
            </w:r>
            <w:r>
              <w:rPr>
                <w:rFonts w:hint="eastAsia" w:ascii="宋体" w:hAnsi="宋体"/>
                <w:color w:val="auto"/>
                <w:szCs w:val="21"/>
                <w:highlight w:val="none"/>
              </w:rPr>
              <w:t>■</w:t>
            </w:r>
            <w:r>
              <w:rPr>
                <w:rFonts w:hint="eastAsia" w:ascii="宋体" w:hAnsi="宋体"/>
                <w:b/>
                <w:color w:val="auto"/>
                <w:szCs w:val="21"/>
                <w:highlight w:val="none"/>
              </w:rPr>
              <w:t>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2017" w:type="dxa"/>
            <w:vMerge w:val="restart"/>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2017" w:type="dxa"/>
            <w:vMerge w:val="continue"/>
            <w:tcBorders>
              <w:tl2br w:val="nil"/>
              <w:tr2bl w:val="nil"/>
            </w:tcBorders>
            <w:vAlign w:val="center"/>
          </w:tcPr>
          <w:p>
            <w:pPr>
              <w:jc w:val="center"/>
              <w:rPr>
                <w:rFonts w:ascii="宋体" w:hAnsi="宋体"/>
                <w:b/>
                <w:color w:val="auto"/>
                <w:szCs w:val="21"/>
                <w:highlight w:val="none"/>
              </w:rPr>
            </w:pPr>
          </w:p>
        </w:tc>
        <w:tc>
          <w:tcPr>
            <w:tcW w:w="4924" w:type="dxa"/>
            <w:tcBorders>
              <w:tl2br w:val="nil"/>
              <w:tr2bl w:val="nil"/>
            </w:tcBorders>
            <w:vAlign w:val="center"/>
          </w:tcPr>
          <w:p>
            <w:pPr>
              <w:rPr>
                <w:rFonts w:ascii="宋体" w:hAnsi="宋体"/>
                <w:b/>
                <w:color w:val="auto"/>
                <w:szCs w:val="21"/>
                <w:highlight w:val="none"/>
              </w:rPr>
            </w:pPr>
            <w:r>
              <w:rPr>
                <w:rFonts w:hint="eastAsia" w:ascii="宋体" w:hAnsi="宋体" w:cs="Times New Roman"/>
                <w:b/>
                <w:color w:val="auto"/>
                <w:szCs w:val="21"/>
                <w:highlight w:val="none"/>
              </w:rPr>
              <w:t>U盘，须含盖章版PDF投标文件和WORD版投标文件各一版，文字采用WORD文档，计算表格采用 EXCEL文档。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7" w:hRule="atLeast"/>
          <w:jc w:val="center"/>
        </w:trPr>
        <w:tc>
          <w:tcPr>
            <w:tcW w:w="8410" w:type="dxa"/>
            <w:gridSpan w:val="3"/>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6941" w:type="dxa"/>
            <w:gridSpan w:val="2"/>
            <w:tcBorders>
              <w:tl2br w:val="nil"/>
              <w:tr2bl w:val="nil"/>
            </w:tcBorders>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3"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6941"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综合评分法评分因素和权重分值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color w:val="auto"/>
                <w:szCs w:val="21"/>
                <w:highlight w:val="none"/>
              </w:rPr>
              <w:t>见附表二。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6941" w:type="dxa"/>
            <w:gridSpan w:val="2"/>
            <w:tcBorders>
              <w:tl2br w:val="nil"/>
              <w:tr2bl w:val="nil"/>
            </w:tcBorders>
            <w:vAlign w:val="center"/>
          </w:tcPr>
          <w:p>
            <w:pPr>
              <w:jc w:val="both"/>
              <w:rPr>
                <w:rFonts w:ascii="宋体" w:hAnsi="宋体"/>
                <w:color w:val="auto"/>
                <w:szCs w:val="21"/>
                <w:highlight w:val="none"/>
              </w:rPr>
            </w:pPr>
            <w:r>
              <w:rPr>
                <w:rFonts w:hint="eastAsia" w:ascii="宋体" w:hAnsi="宋体"/>
                <w:b/>
                <w:color w:val="auto"/>
                <w:szCs w:val="21"/>
                <w:highlight w:val="none"/>
              </w:rPr>
              <w:t>评标委员会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jc w:val="both"/>
              <w:rPr>
                <w:rFonts w:ascii="宋体" w:hAnsi="宋体"/>
                <w:color w:val="auto"/>
                <w:szCs w:val="21"/>
                <w:highlight w:val="none"/>
              </w:rPr>
            </w:pPr>
            <w:r>
              <w:rPr>
                <w:rFonts w:hint="eastAsia" w:ascii="宋体" w:hAnsi="宋体"/>
                <w:color w:val="auto"/>
                <w:szCs w:val="21"/>
                <w:highlight w:val="none"/>
              </w:rPr>
              <w:t>评标委员会成员共</w:t>
            </w:r>
            <w:r>
              <w:rPr>
                <w:rFonts w:hint="eastAsia" w:ascii="宋体" w:hAnsi="宋体"/>
                <w:color w:val="auto"/>
                <w:szCs w:val="21"/>
                <w:highlight w:val="none"/>
                <w:u w:val="single"/>
              </w:rPr>
              <w:t>7</w:t>
            </w:r>
            <w:r>
              <w:rPr>
                <w:rFonts w:hint="eastAsia" w:ascii="宋体" w:hAnsi="宋体"/>
                <w:color w:val="auto"/>
                <w:szCs w:val="21"/>
                <w:highlight w:val="none"/>
              </w:rPr>
              <w:t>人：</w:t>
            </w:r>
            <w:r>
              <w:rPr>
                <w:rFonts w:hint="eastAsia" w:ascii="宋体" w:hAnsi="宋体"/>
                <w:color w:val="auto"/>
                <w:szCs w:val="21"/>
                <w:highlight w:val="none"/>
                <w:lang w:val="zh-CN"/>
              </w:rPr>
              <w:t>评标委员会由采购人</w:t>
            </w:r>
            <w:r>
              <w:rPr>
                <w:rFonts w:hint="eastAsia" w:ascii="宋体" w:hAnsi="宋体"/>
                <w:color w:val="auto"/>
                <w:szCs w:val="21"/>
                <w:highlight w:val="none"/>
              </w:rPr>
              <w:t>的</w:t>
            </w:r>
            <w:r>
              <w:rPr>
                <w:rFonts w:hint="eastAsia" w:ascii="宋体" w:hAnsi="宋体"/>
                <w:color w:val="auto"/>
                <w:szCs w:val="21"/>
                <w:highlight w:val="none"/>
                <w:lang w:val="zh-CN"/>
              </w:rPr>
              <w:t>代表和</w:t>
            </w:r>
            <w:r>
              <w:rPr>
                <w:rFonts w:hint="eastAsia" w:ascii="宋体" w:hAnsi="宋体"/>
                <w:color w:val="auto"/>
                <w:szCs w:val="21"/>
                <w:highlight w:val="none"/>
              </w:rPr>
              <w:t>有关方面的</w:t>
            </w:r>
            <w:r>
              <w:rPr>
                <w:rFonts w:hint="eastAsia" w:ascii="宋体" w:hAnsi="宋体"/>
                <w:color w:val="auto"/>
                <w:szCs w:val="21"/>
                <w:highlight w:val="none"/>
                <w:lang w:val="zh-CN"/>
              </w:rPr>
              <w:t>专家组成，</w:t>
            </w:r>
            <w:r>
              <w:rPr>
                <w:rFonts w:hint="eastAsia" w:ascii="宋体" w:hAnsi="宋体"/>
                <w:color w:val="auto"/>
                <w:szCs w:val="21"/>
                <w:highlight w:val="none"/>
              </w:rPr>
              <w:t>成员人数为五人或五人以上单数</w:t>
            </w:r>
            <w:r>
              <w:rPr>
                <w:rFonts w:hint="eastAsia" w:ascii="宋体" w:hAnsi="宋体"/>
                <w:color w:val="auto"/>
                <w:szCs w:val="21"/>
                <w:highlight w:val="none"/>
                <w:lang w:val="zh-CN"/>
              </w:rPr>
              <w:t>，其中专家不得少于成员总数的三分之二。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748" w:hRule="atLeast"/>
          <w:jc w:val="center"/>
        </w:trPr>
        <w:tc>
          <w:tcPr>
            <w:tcW w:w="8410" w:type="dxa"/>
            <w:gridSpan w:val="3"/>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39"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6941" w:type="dxa"/>
            <w:gridSpan w:val="2"/>
            <w:tcBorders>
              <w:tl2br w:val="nil"/>
              <w:tr2bl w:val="nil"/>
            </w:tcBorders>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履约担保</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40"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shd w:val="clear" w:color="auto" w:fill="auto"/>
            <w:vAlign w:val="center"/>
          </w:tcPr>
          <w:p>
            <w:pPr>
              <w:numPr>
                <w:ilvl w:val="0"/>
                <w:numId w:val="3"/>
              </w:numPr>
              <w:jc w:val="both"/>
              <w:rPr>
                <w:rFonts w:hint="eastAsia" w:ascii="宋体" w:hAnsi="宋体"/>
                <w:color w:val="auto"/>
                <w:szCs w:val="21"/>
                <w:highlight w:val="none"/>
              </w:rPr>
            </w:pPr>
            <w:r>
              <w:rPr>
                <w:rFonts w:hint="eastAsia" w:ascii="宋体" w:hAnsi="宋体"/>
                <w:color w:val="auto"/>
                <w:szCs w:val="21"/>
                <w:highlight w:val="none"/>
              </w:rPr>
              <w:t>履约担保金额为：</w:t>
            </w:r>
            <w:r>
              <w:rPr>
                <w:rFonts w:hint="eastAsia" w:ascii="宋体" w:hAnsi="宋体"/>
                <w:color w:val="auto"/>
                <w:szCs w:val="21"/>
                <w:highlight w:val="none"/>
                <w:u w:val="single"/>
              </w:rPr>
              <w:t xml:space="preserve"> 合同金额的10%  </w:t>
            </w:r>
            <w:r>
              <w:rPr>
                <w:rFonts w:hint="eastAsia" w:ascii="宋体" w:hAnsi="宋体"/>
                <w:color w:val="auto"/>
                <w:szCs w:val="21"/>
                <w:highlight w:val="none"/>
              </w:rPr>
              <w:t>。</w:t>
            </w:r>
          </w:p>
          <w:p>
            <w:pPr>
              <w:jc w:val="both"/>
              <w:rPr>
                <w:rFonts w:hint="default" w:ascii="宋体" w:hAnsi="宋体"/>
                <w:color w:val="auto"/>
                <w:szCs w:val="21"/>
                <w:highlight w:val="none"/>
                <w:lang w:val="en-US"/>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履约保证金账户信息：</w:t>
            </w:r>
          </w:p>
          <w:p>
            <w:pPr>
              <w:ind w:firstLine="0" w:firstLineChars="0"/>
              <w:jc w:val="both"/>
              <w:rPr>
                <w:rFonts w:hint="eastAsia" w:ascii="宋体" w:hAnsi="宋体" w:eastAsia="宋体"/>
                <w:color w:val="auto"/>
                <w:szCs w:val="21"/>
                <w:highlight w:val="none"/>
                <w:lang w:val="en-US" w:eastAsia="zh-CN"/>
              </w:rPr>
            </w:pPr>
            <w:r>
              <w:rPr>
                <w:rFonts w:hint="default" w:ascii="宋体" w:hAnsi="宋体"/>
                <w:color w:val="auto"/>
                <w:szCs w:val="21"/>
                <w:highlight w:val="none"/>
                <w:lang w:val="en-US"/>
              </w:rPr>
              <w:t>账户名称：</w:t>
            </w:r>
            <w:r>
              <w:rPr>
                <w:rFonts w:hint="eastAsia" w:ascii="宋体" w:hAnsi="宋体"/>
                <w:color w:val="auto"/>
                <w:szCs w:val="21"/>
                <w:highlight w:val="none"/>
                <w:u w:val="single"/>
                <w:lang w:val="en-US" w:eastAsia="zh-CN"/>
              </w:rPr>
              <w:t>/</w:t>
            </w:r>
          </w:p>
          <w:p>
            <w:pPr>
              <w:ind w:firstLine="0" w:firstLineChars="0"/>
              <w:jc w:val="both"/>
              <w:rPr>
                <w:rFonts w:hint="eastAsia" w:ascii="宋体" w:hAnsi="宋体" w:eastAsia="宋体"/>
                <w:color w:val="auto"/>
                <w:szCs w:val="21"/>
                <w:highlight w:val="none"/>
                <w:lang w:val="en-US" w:eastAsia="zh-CN"/>
              </w:rPr>
            </w:pPr>
            <w:r>
              <w:rPr>
                <w:rFonts w:hint="default" w:ascii="宋体" w:hAnsi="宋体"/>
                <w:color w:val="auto"/>
                <w:szCs w:val="21"/>
                <w:highlight w:val="none"/>
                <w:lang w:val="en-US"/>
              </w:rPr>
              <w:t>开户银行：</w:t>
            </w:r>
            <w:r>
              <w:rPr>
                <w:rFonts w:hint="eastAsia" w:ascii="宋体" w:hAnsi="宋体"/>
                <w:color w:val="auto"/>
                <w:szCs w:val="21"/>
                <w:highlight w:val="none"/>
                <w:u w:val="single"/>
                <w:lang w:val="en-US" w:eastAsia="zh-CN"/>
              </w:rPr>
              <w:t>/</w:t>
            </w:r>
          </w:p>
          <w:p>
            <w:pPr>
              <w:ind w:firstLine="0" w:firstLineChars="0"/>
              <w:jc w:val="both"/>
              <w:rPr>
                <w:rFonts w:hint="eastAsia" w:ascii="宋体" w:hAnsi="宋体"/>
                <w:color w:val="auto"/>
                <w:szCs w:val="21"/>
                <w:highlight w:val="none"/>
                <w:u w:val="none"/>
                <w:lang w:val="en-US" w:eastAsia="zh-CN"/>
              </w:rPr>
            </w:pPr>
            <w:r>
              <w:rPr>
                <w:rFonts w:hint="eastAsia" w:ascii="宋体" w:hAnsi="宋体"/>
                <w:color w:val="auto"/>
                <w:szCs w:val="21"/>
                <w:highlight w:val="none"/>
                <w:lang w:val="en-US"/>
              </w:rPr>
              <w:t>银行账户：</w:t>
            </w:r>
            <w:r>
              <w:rPr>
                <w:rFonts w:hint="eastAsia" w:ascii="宋体" w:hAnsi="宋体"/>
                <w:color w:val="auto"/>
                <w:szCs w:val="21"/>
                <w:highlight w:val="none"/>
                <w:u w:val="none"/>
                <w:lang w:val="en-US" w:eastAsia="zh-CN"/>
              </w:rPr>
              <w:t>/</w:t>
            </w:r>
          </w:p>
          <w:p>
            <w:pPr>
              <w:jc w:val="both"/>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签订合同时，账户信息由采购人提供。</w:t>
            </w:r>
          </w:p>
          <w:p>
            <w:pPr>
              <w:jc w:val="both"/>
              <w:rPr>
                <w:rFonts w:ascii="宋体" w:hAnsi="宋体"/>
                <w:color w:val="auto"/>
                <w:szCs w:val="21"/>
                <w:highlight w:val="none"/>
              </w:rPr>
            </w:pPr>
            <w:r>
              <w:rPr>
                <w:rFonts w:hint="eastAsia" w:ascii="宋体" w:hAnsi="宋体"/>
                <w:color w:val="auto"/>
                <w:szCs w:val="21"/>
                <w:highlight w:val="none"/>
              </w:rPr>
              <w:t>3.中标人在采购（合同签署）时提交履约担保，履约担保金额不超过成交合同金额的10%，如果中标人提交的履约保函的有效期先于合同要求的履约保函有效期到达，中标人应在原提交的履约保函有效期满前15天，无条件办理保函延期手续。否则，视为中标人违约，采购人可在保函到期前将保函金额转为现金存入履约保证金账户。</w:t>
            </w:r>
          </w:p>
          <w:p>
            <w:pPr>
              <w:jc w:val="both"/>
              <w:rPr>
                <w:rFonts w:hint="eastAsia" w:cstheme="minorBidi"/>
                <w:color w:val="auto"/>
                <w:sz w:val="21"/>
                <w:szCs w:val="21"/>
                <w:highlight w:val="none"/>
                <w:lang w:val="en-US" w:bidi="ar-SA"/>
              </w:rPr>
            </w:pPr>
            <w:r>
              <w:rPr>
                <w:rFonts w:hint="eastAsia" w:ascii="宋体" w:hAnsi="宋体"/>
                <w:color w:val="auto"/>
                <w:szCs w:val="21"/>
                <w:highlight w:val="none"/>
              </w:rPr>
              <w:t>4.履约担保期限从合同签订之日起至项目完工验收合格并结算完毕后，经双方签字</w:t>
            </w:r>
            <w:r>
              <w:rPr>
                <w:rFonts w:hint="eastAsia" w:ascii="宋体" w:hAnsi="宋体"/>
                <w:color w:val="auto"/>
                <w:szCs w:val="21"/>
                <w:highlight w:val="none"/>
                <w:u w:val="single"/>
              </w:rPr>
              <w:t xml:space="preserve">  7  </w:t>
            </w:r>
            <w:r>
              <w:rPr>
                <w:rFonts w:hint="eastAsia" w:ascii="宋体" w:hAnsi="宋体"/>
                <w:color w:val="auto"/>
                <w:szCs w:val="21"/>
                <w:highlight w:val="none"/>
              </w:rPr>
              <w:t>天内保持有效。</w:t>
            </w:r>
          </w:p>
          <w:p>
            <w:pPr>
              <w:jc w:val="both"/>
              <w:rPr>
                <w:rFonts w:ascii="宋体" w:hAnsi="宋体"/>
                <w:color w:val="auto"/>
                <w:szCs w:val="21"/>
                <w:highlight w:val="none"/>
              </w:rPr>
            </w:pPr>
            <w:r>
              <w:rPr>
                <w:rFonts w:hint="eastAsia" w:ascii="宋体" w:hAnsi="宋体"/>
                <w:color w:val="auto"/>
                <w:szCs w:val="21"/>
                <w:highlight w:val="none"/>
              </w:rPr>
              <w:t>5、履约担保要求：</w:t>
            </w:r>
          </w:p>
          <w:p>
            <w:pPr>
              <w:jc w:val="both"/>
              <w:rPr>
                <w:rFonts w:ascii="宋体" w:hAnsi="宋体"/>
                <w:color w:val="auto"/>
                <w:szCs w:val="21"/>
                <w:highlight w:val="none"/>
              </w:rPr>
            </w:pPr>
            <w:r>
              <w:rPr>
                <w:rFonts w:hint="eastAsia" w:ascii="宋体" w:hAnsi="宋体"/>
                <w:color w:val="auto"/>
                <w:szCs w:val="21"/>
                <w:highlight w:val="none"/>
              </w:rPr>
              <w:t>（1）履约保函。如果中标人的履约担保是以银行保函形式提供的，则该银行保函应：</w:t>
            </w:r>
          </w:p>
          <w:p>
            <w:pPr>
              <w:jc w:val="both"/>
              <w:rPr>
                <w:rFonts w:ascii="宋体" w:hAnsi="宋体"/>
                <w:color w:val="auto"/>
                <w:szCs w:val="21"/>
                <w:highlight w:val="none"/>
              </w:rPr>
            </w:pPr>
            <w:r>
              <w:rPr>
                <w:rFonts w:hint="eastAsia" w:ascii="宋体" w:hAnsi="宋体"/>
                <w:color w:val="auto"/>
                <w:szCs w:val="21"/>
                <w:highlight w:val="none"/>
              </w:rPr>
              <w:t>①保函应由银行支行或以上银行机构开具。</w:t>
            </w:r>
          </w:p>
          <w:p>
            <w:pPr>
              <w:jc w:val="both"/>
              <w:rPr>
                <w:rFonts w:ascii="宋体" w:hAnsi="宋体"/>
                <w:color w:val="auto"/>
                <w:szCs w:val="21"/>
                <w:highlight w:val="none"/>
              </w:rPr>
            </w:pPr>
            <w:r>
              <w:rPr>
                <w:rFonts w:hint="eastAsia" w:ascii="宋体" w:hAnsi="宋体"/>
                <w:color w:val="auto"/>
                <w:szCs w:val="21"/>
                <w:highlight w:val="none"/>
              </w:rPr>
              <w:t>②保函的格式参考投标文件附件中提供的无条件不可撤销履约保函格式，保函担保期内若项目未能按期竣工，保函必须延期，办理延期手续时在银行方面所产生费用由中标人负责。</w:t>
            </w:r>
          </w:p>
          <w:p>
            <w:pPr>
              <w:jc w:val="both"/>
              <w:rPr>
                <w:rFonts w:ascii="宋体" w:hAnsi="宋体"/>
                <w:color w:val="auto"/>
                <w:szCs w:val="21"/>
                <w:highlight w:val="none"/>
              </w:rPr>
            </w:pPr>
            <w:r>
              <w:rPr>
                <w:rFonts w:hint="eastAsia" w:ascii="宋体" w:hAnsi="宋体"/>
                <w:color w:val="auto"/>
                <w:szCs w:val="21"/>
                <w:highlight w:val="none"/>
              </w:rPr>
              <w:t>③履约保函必须打印，手写、涂改无效。</w:t>
            </w:r>
          </w:p>
          <w:p>
            <w:pPr>
              <w:jc w:val="both"/>
              <w:rPr>
                <w:rFonts w:ascii="宋体" w:hAnsi="宋体"/>
                <w:color w:val="auto"/>
                <w:szCs w:val="21"/>
                <w:highlight w:val="none"/>
              </w:rPr>
            </w:pPr>
            <w:r>
              <w:rPr>
                <w:rFonts w:hint="eastAsia" w:ascii="宋体" w:hAnsi="宋体"/>
                <w:color w:val="auto"/>
                <w:szCs w:val="21"/>
                <w:highlight w:val="none"/>
              </w:rPr>
              <w:t>（2）履约保证金。可采用电汇、银行汇票等银行转帐方式提交，但不可以采用现金方式提交。中标人必须保证履约保证金以中标人名称在签订合同前提交至采购人指定账户。</w:t>
            </w:r>
          </w:p>
          <w:p>
            <w:pPr>
              <w:jc w:val="both"/>
              <w:rPr>
                <w:rFonts w:ascii="宋体" w:hAnsi="宋体"/>
                <w:color w:val="auto"/>
                <w:szCs w:val="21"/>
                <w:highlight w:val="none"/>
              </w:rPr>
            </w:pPr>
            <w:r>
              <w:rPr>
                <w:rFonts w:hint="eastAsia" w:ascii="宋体" w:hAnsi="宋体"/>
                <w:color w:val="auto"/>
                <w:szCs w:val="21"/>
                <w:highlight w:val="none"/>
              </w:rPr>
              <w:t>（3）若中标人不能按本采购文件的规定提交履约保证金的，采购人将有权取消中标人的中标资格（采购人可以按照评标委员会提出的中标候选人名单排序依次确定其他中标候选人为中标人，也可以重新采购），投标保证金不予退还，给采购人造成的损失如果超过投标保证金数额的，还应当对超过部分予以赔偿。</w:t>
            </w:r>
          </w:p>
          <w:p>
            <w:pPr>
              <w:jc w:val="both"/>
              <w:rPr>
                <w:rFonts w:ascii="宋体" w:hAnsi="宋体"/>
                <w:color w:val="auto"/>
                <w:szCs w:val="21"/>
                <w:highlight w:val="none"/>
              </w:rPr>
            </w:pPr>
            <w:r>
              <w:rPr>
                <w:rFonts w:hint="eastAsia" w:ascii="宋体" w:hAnsi="宋体"/>
                <w:color w:val="auto"/>
                <w:szCs w:val="21"/>
                <w:highlight w:val="none"/>
              </w:rPr>
              <w:t>（4）为取得履约担保所需的费用，由中标人承担；若工期延误，履约担保时间延长，延长费用由中标人承担。</w:t>
            </w:r>
          </w:p>
          <w:p>
            <w:pPr>
              <w:jc w:val="both"/>
              <w:rPr>
                <w:rFonts w:ascii="宋体" w:hAnsi="宋体"/>
                <w:color w:val="auto"/>
                <w:szCs w:val="21"/>
                <w:highlight w:val="none"/>
              </w:rPr>
            </w:pPr>
            <w:r>
              <w:rPr>
                <w:rFonts w:hint="eastAsia" w:ascii="宋体" w:hAnsi="宋体"/>
                <w:color w:val="auto"/>
                <w:szCs w:val="21"/>
                <w:highlight w:val="none"/>
              </w:rPr>
              <w:t>（5）若中标人在合同履行过程中出现项目质量事故、工期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pPr>
              <w:jc w:val="both"/>
              <w:rPr>
                <w:rFonts w:ascii="宋体" w:hAnsi="宋体"/>
                <w:color w:val="auto"/>
                <w:szCs w:val="21"/>
                <w:highlight w:val="none"/>
              </w:rPr>
            </w:pPr>
            <w:r>
              <w:rPr>
                <w:rFonts w:hint="eastAsia" w:ascii="宋体" w:hAnsi="宋体"/>
                <w:color w:val="auto"/>
                <w:szCs w:val="21"/>
                <w:highlight w:val="none"/>
              </w:rPr>
              <w:t>（6）下列任何情况发生时，采购人有权行使享有的担保权利：</w:t>
            </w:r>
          </w:p>
          <w:p>
            <w:pPr>
              <w:jc w:val="both"/>
              <w:rPr>
                <w:rFonts w:ascii="宋体" w:hAnsi="宋体"/>
                <w:color w:val="auto"/>
                <w:szCs w:val="21"/>
                <w:highlight w:val="none"/>
              </w:rPr>
            </w:pPr>
            <w:r>
              <w:rPr>
                <w:rFonts w:hint="eastAsia" w:ascii="宋体" w:hAnsi="宋体"/>
                <w:color w:val="auto"/>
                <w:szCs w:val="21"/>
                <w:highlight w:val="none"/>
              </w:rPr>
              <w:t>①中标人将本项目转让给他人，或者在投标文件中未说明，且未经采购人同意，将中标项目分包给他人的；</w:t>
            </w:r>
          </w:p>
          <w:p>
            <w:pPr>
              <w:jc w:val="both"/>
              <w:rPr>
                <w:rFonts w:ascii="宋体" w:hAnsi="宋体"/>
                <w:color w:val="auto"/>
                <w:szCs w:val="21"/>
                <w:highlight w:val="none"/>
              </w:rPr>
            </w:pPr>
            <w:r>
              <w:rPr>
                <w:rFonts w:hint="eastAsia" w:ascii="宋体" w:hAnsi="宋体"/>
                <w:color w:val="auto"/>
                <w:szCs w:val="21"/>
                <w:highlight w:val="none"/>
              </w:rPr>
              <w:t>②中标人在履行采购合同期间，违反有关法律法规的规定及合同约定的条款，损害了采购人的利益。</w:t>
            </w:r>
          </w:p>
          <w:p>
            <w:pPr>
              <w:jc w:val="both"/>
              <w:rPr>
                <w:rFonts w:ascii="宋体" w:hAnsi="宋体"/>
                <w:b/>
                <w:color w:val="auto"/>
                <w:szCs w:val="21"/>
                <w:highlight w:val="none"/>
              </w:rPr>
            </w:pPr>
            <w:r>
              <w:rPr>
                <w:rFonts w:hint="eastAsia" w:ascii="宋体" w:hAnsi="宋体"/>
                <w:color w:val="auto"/>
                <w:szCs w:val="21"/>
                <w:highlight w:val="none"/>
              </w:rPr>
              <w:t>（7）在整个项目验收合格后，中标人向采购人提交退回履约担保的申请，采购人办理履约担保退还手续。</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2"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16</w:t>
            </w:r>
          </w:p>
        </w:tc>
        <w:tc>
          <w:tcPr>
            <w:tcW w:w="6941"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本项目中标服务费由采购人支付。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4" w:hRule="atLeast"/>
          <w:jc w:val="center"/>
        </w:trPr>
        <w:tc>
          <w:tcPr>
            <w:tcW w:w="1469"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6941" w:type="dxa"/>
            <w:gridSpan w:val="2"/>
            <w:tcBorders>
              <w:tl2br w:val="nil"/>
              <w:tr2bl w:val="nil"/>
            </w:tcBorders>
            <w:vAlign w:val="center"/>
          </w:tcPr>
          <w:p>
            <w:pPr>
              <w:widowControl w:val="0"/>
              <w:tabs>
                <w:tab w:val="left" w:pos="907"/>
              </w:tabs>
              <w:adjustRightInd/>
              <w:snapToGrid/>
              <w:spacing w:line="360" w:lineRule="exact"/>
              <w:jc w:val="both"/>
              <w:rPr>
                <w:b/>
                <w:bCs/>
                <w:color w:val="auto"/>
                <w:szCs w:val="21"/>
                <w:highlight w:val="none"/>
              </w:rPr>
            </w:pPr>
            <w:r>
              <w:rPr>
                <w:rFonts w:hint="eastAsia"/>
                <w:b/>
                <w:bCs/>
                <w:color w:val="auto"/>
                <w:szCs w:val="21"/>
                <w:highlight w:val="none"/>
              </w:rPr>
              <w:t>技术需求★号条款汇总：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b/>
                <w:bCs/>
                <w:color w:val="auto"/>
                <w:szCs w:val="21"/>
                <w:highlight w:val="none"/>
              </w:rPr>
              <w:t>A包（污水处理系统采购及安装）：</w:t>
            </w:r>
            <w:r>
              <w:rPr>
                <w:rFonts w:hint="eastAsia" w:ascii="宋体" w:hAnsi="宋体"/>
                <w:b/>
                <w:bCs/>
                <w:color w:val="auto"/>
                <w:szCs w:val="21"/>
                <w:highlight w:val="none"/>
              </w:rPr>
              <w:t>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4"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widowControl w:val="0"/>
              <w:tabs>
                <w:tab w:val="left" w:pos="907"/>
              </w:tabs>
              <w:adjustRightInd/>
              <w:snapToGrid/>
              <w:spacing w:line="360" w:lineRule="exact"/>
              <w:jc w:val="both"/>
              <w:rPr>
                <w:rFonts w:ascii="宋体" w:hAnsi="宋体"/>
                <w:color w:val="auto"/>
                <w:szCs w:val="21"/>
                <w:highlight w:val="none"/>
              </w:rPr>
            </w:pPr>
            <w:r>
              <w:rPr>
                <w:b/>
                <w:bCs/>
                <w:color w:val="auto"/>
                <w:highlight w:val="none"/>
              </w:rPr>
              <w:t>B包</w:t>
            </w:r>
            <w:r>
              <w:rPr>
                <w:rFonts w:hint="eastAsia"/>
                <w:b/>
                <w:bCs/>
                <w:color w:val="auto"/>
                <w:highlight w:val="none"/>
              </w:rPr>
              <w:t>（生活垃圾压缩系统和大件垃圾处理系统采购及安装）：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4"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pStyle w:val="4"/>
              <w:ind w:firstLine="422" w:firstLineChars="200"/>
              <w:rPr>
                <w:rFonts w:ascii="宋体" w:hAnsi="宋体" w:cs="宋体"/>
                <w:color w:val="auto"/>
                <w:highlight w:val="none"/>
              </w:rPr>
            </w:pPr>
            <w:r>
              <w:rPr>
                <w:rFonts w:hint="eastAsia" w:ascii="宋体" w:hAnsi="宋体" w:cs="宋体"/>
                <w:b/>
                <w:bCs/>
                <w:color w:val="auto"/>
                <w:highlight w:val="none"/>
              </w:rPr>
              <w:t>1.水平直压压缩机（含卸料斗及链接机构）：</w:t>
            </w:r>
            <w:r>
              <w:rPr>
                <w:rFonts w:ascii="宋体" w:hAnsi="宋体" w:cs="宋体"/>
                <w:color w:val="auto"/>
                <w:highlight w:val="none"/>
              </w:rPr>
              <w:t>★</w:t>
            </w:r>
            <w:r>
              <w:rPr>
                <w:rFonts w:hint="eastAsia" w:ascii="宋体" w:hAnsi="宋体" w:cs="宋体"/>
                <w:color w:val="auto"/>
                <w:highlight w:val="none"/>
              </w:rPr>
              <w:t>单机每小时垃圾处理量</w:t>
            </w:r>
            <w:r>
              <w:rPr>
                <w:rFonts w:ascii="Times New Roman" w:hAnsi="Times New Roman"/>
                <w:color w:val="auto"/>
                <w:highlight w:val="none"/>
              </w:rPr>
              <w:t>≥40t/h</w:t>
            </w:r>
            <w:r>
              <w:rPr>
                <w:rFonts w:hint="eastAsia" w:ascii="Times New Roman" w:hAnsi="Times New Roman"/>
                <w:color w:val="auto"/>
                <w:highlight w:val="none"/>
              </w:rPr>
              <w:t>（</w:t>
            </w:r>
            <w:r>
              <w:rPr>
                <w:rFonts w:hint="eastAsia" w:ascii="宋体" w:hAnsi="宋体" w:cs="宋体"/>
                <w:color w:val="auto"/>
                <w:highlight w:val="none"/>
              </w:rPr>
              <w:t>需提供具有</w:t>
            </w:r>
            <w:r>
              <w:rPr>
                <w:rFonts w:ascii="Times New Roman" w:hAnsi="Times New Roman"/>
                <w:color w:val="auto"/>
                <w:highlight w:val="none"/>
              </w:rPr>
              <w:t>CNAS</w:t>
            </w:r>
            <w:r>
              <w:rPr>
                <w:rFonts w:hint="eastAsia" w:ascii="宋体" w:hAnsi="宋体" w:cs="宋体"/>
                <w:color w:val="auto"/>
                <w:highlight w:val="none"/>
              </w:rPr>
              <w:t>资质的质量监督检验中心出具的有效检验报告证明</w:t>
            </w:r>
            <w:r>
              <w:rPr>
                <w:rFonts w:hint="eastAsia" w:ascii="Times New Roman" w:hAnsi="Times New Roman"/>
                <w:color w:val="auto"/>
                <w:highlight w:val="none"/>
              </w:rPr>
              <w:t>）。</w:t>
            </w:r>
            <w:r>
              <w:rPr>
                <w:rFonts w:ascii="宋体" w:hAnsi="宋体" w:cs="宋体"/>
                <w:color w:val="auto"/>
                <w:highlight w:val="none"/>
              </w:rPr>
              <w:t>★</w:t>
            </w:r>
            <w:r>
              <w:rPr>
                <w:rFonts w:hint="eastAsia" w:ascii="宋体" w:hAnsi="宋体" w:cs="宋体"/>
                <w:color w:val="auto"/>
                <w:highlight w:val="none"/>
              </w:rPr>
              <w:t>装机平台高度</w:t>
            </w:r>
            <w:r>
              <w:rPr>
                <w:rFonts w:ascii="Times New Roman" w:hAnsi="Times New Roman"/>
                <w:color w:val="auto"/>
                <w:highlight w:val="none"/>
              </w:rPr>
              <w:t>4500mm</w:t>
            </w:r>
            <w:r>
              <w:rPr>
                <w:rFonts w:hint="eastAsia" w:ascii="Times New Roman" w:hAnsi="Times New Roman"/>
                <w:color w:val="auto"/>
                <w:highlight w:val="none"/>
              </w:rPr>
              <w:t>。技术要求：</w:t>
            </w:r>
            <w:r>
              <w:rPr>
                <w:rFonts w:ascii="宋体" w:hAnsi="宋体" w:cs="宋体"/>
                <w:color w:val="auto"/>
                <w:highlight w:val="none"/>
              </w:rPr>
              <w:t>★</w:t>
            </w:r>
            <w:r>
              <w:rPr>
                <w:rFonts w:hint="eastAsia" w:ascii="宋体" w:hAnsi="宋体" w:cs="宋体"/>
                <w:color w:val="auto"/>
                <w:highlight w:val="none"/>
              </w:rPr>
              <w:t>（</w:t>
            </w:r>
            <w:r>
              <w:rPr>
                <w:rFonts w:ascii="Times New Roman" w:hAnsi="Times New Roman"/>
                <w:color w:val="auto"/>
                <w:highlight w:val="none"/>
              </w:rPr>
              <w:t>1</w:t>
            </w:r>
            <w:r>
              <w:rPr>
                <w:rFonts w:hint="eastAsia" w:ascii="宋体" w:hAnsi="宋体" w:cs="宋体"/>
                <w:color w:val="auto"/>
                <w:highlight w:val="none"/>
              </w:rPr>
              <w:t>）压缩机必须与本次招标的垃圾箱、移箱平台及可卸式垃圾车必须完全匹配，且与现有土建房体及平台匹配。</w:t>
            </w:r>
          </w:p>
          <w:p>
            <w:pPr>
              <w:pStyle w:val="4"/>
              <w:ind w:firstLine="422" w:firstLineChars="200"/>
              <w:outlineLvl w:val="3"/>
              <w:rPr>
                <w:rFonts w:ascii="宋体" w:hAnsi="宋体" w:cs="宋体"/>
                <w:b/>
                <w:bCs/>
                <w:color w:val="auto"/>
                <w:highlight w:val="none"/>
              </w:rPr>
            </w:pPr>
            <w:r>
              <w:rPr>
                <w:rFonts w:hint="eastAsia" w:ascii="宋体" w:hAnsi="宋体" w:cs="宋体"/>
                <w:b/>
                <w:bCs/>
                <w:color w:val="auto"/>
                <w:szCs w:val="21"/>
                <w:highlight w:val="none"/>
              </w:rPr>
              <w:t>3.地磅（车辆称重系统）：</w:t>
            </w:r>
            <w:r>
              <w:rPr>
                <w:rFonts w:hint="eastAsia" w:ascii="宋体" w:hAnsi="宋体" w:cs="宋体"/>
                <w:color w:val="auto"/>
                <w:highlight w:val="none"/>
              </w:rPr>
              <w:t>★尺寸：地磅尺寸</w:t>
            </w:r>
            <w:r>
              <w:rPr>
                <w:rFonts w:ascii="Times New Roman" w:hAnsi="Times New Roman"/>
                <w:color w:val="auto"/>
                <w:highlight w:val="none"/>
              </w:rPr>
              <w:t>≤3x10m</w:t>
            </w:r>
            <w:r>
              <w:rPr>
                <w:rFonts w:hint="eastAsia" w:ascii="宋体" w:hAnsi="宋体" w:cs="宋体"/>
                <w:color w:val="auto"/>
                <w:highlight w:val="none"/>
              </w:rPr>
              <w:t>，能满足垃圾勾臂转运车过磅；★形式：双向双地磅；★量程：单台地磅</w:t>
            </w:r>
            <w:r>
              <w:rPr>
                <w:rFonts w:ascii="Times New Roman" w:hAnsi="Times New Roman"/>
                <w:color w:val="auto"/>
                <w:highlight w:val="none"/>
              </w:rPr>
              <w:t>≥50</w:t>
            </w:r>
            <w:r>
              <w:rPr>
                <w:rFonts w:hint="eastAsia" w:ascii="宋体" w:hAnsi="宋体" w:cs="宋体"/>
                <w:color w:val="auto"/>
                <w:highlight w:val="none"/>
              </w:rPr>
              <w:t>吨。</w:t>
            </w:r>
          </w:p>
          <w:p>
            <w:pPr>
              <w:pStyle w:val="4"/>
              <w:ind w:firstLine="211" w:firstLineChars="100"/>
              <w:outlineLvl w:val="3"/>
              <w:rPr>
                <w:rFonts w:ascii="宋体" w:hAnsi="宋体" w:cs="宋体"/>
                <w:b/>
                <w:bCs/>
                <w:color w:val="auto"/>
                <w:highlight w:val="none"/>
              </w:rPr>
            </w:pPr>
            <w:r>
              <w:rPr>
                <w:rFonts w:hint="eastAsia" w:ascii="宋体" w:hAnsi="宋体" w:cs="宋体"/>
                <w:b/>
                <w:bCs/>
                <w:color w:val="auto"/>
                <w:szCs w:val="21"/>
                <w:highlight w:val="none"/>
              </w:rPr>
              <w:t>1.双轴破碎机：</w:t>
            </w:r>
            <w:r>
              <w:rPr>
                <w:rFonts w:hint="eastAsia" w:ascii="宋体" w:hAnsi="宋体" w:cs="宋体"/>
                <w:bCs/>
                <w:color w:val="auto"/>
                <w:szCs w:val="21"/>
                <w:highlight w:val="none"/>
              </w:rPr>
              <w:t xml:space="preserve">双轴破碎机技术参数  ★处理量 ≥5t/h </w:t>
            </w:r>
          </w:p>
          <w:p>
            <w:pPr>
              <w:pStyle w:val="4"/>
              <w:ind w:firstLine="211" w:firstLineChars="100"/>
              <w:outlineLvl w:val="3"/>
              <w:rPr>
                <w:rFonts w:ascii="宋体" w:hAnsi="宋体"/>
                <w:color w:val="auto"/>
                <w:szCs w:val="21"/>
                <w:highlight w:val="none"/>
              </w:rPr>
            </w:pPr>
            <w:r>
              <w:rPr>
                <w:rFonts w:hint="eastAsia" w:ascii="宋体" w:hAnsi="宋体" w:cs="宋体"/>
                <w:b/>
                <w:bCs/>
                <w:color w:val="auto"/>
                <w:szCs w:val="21"/>
                <w:highlight w:val="none"/>
              </w:rPr>
              <w:t>1. 水平直压压缩机（含卸料斗及链接机构）：</w:t>
            </w:r>
            <w:r>
              <w:rPr>
                <w:rFonts w:hint="eastAsia" w:ascii="宋体" w:hAnsi="宋体" w:cs="宋体"/>
                <w:color w:val="auto"/>
                <w:highlight w:val="none"/>
              </w:rPr>
              <w:t>★单机每小时垃圾处理量 ≥40t/h（需提供具有CNAS资质的质量监督检验中心出具的有效检验报告证明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4"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b/>
                <w:bCs/>
                <w:color w:val="auto"/>
                <w:highlight w:val="none"/>
              </w:rPr>
              <w:t>C</w:t>
            </w:r>
            <w:r>
              <w:rPr>
                <w:b/>
                <w:bCs/>
                <w:color w:val="auto"/>
                <w:highlight w:val="none"/>
              </w:rPr>
              <w:t>包</w:t>
            </w:r>
            <w:r>
              <w:rPr>
                <w:rFonts w:hint="eastAsia"/>
                <w:b/>
                <w:bCs/>
                <w:color w:val="auto"/>
                <w:highlight w:val="none"/>
              </w:rPr>
              <w:t>（除臭系统采购及安装）：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pStyle w:val="4"/>
              <w:ind w:firstLine="210" w:firstLineChars="100"/>
              <w:outlineLvl w:val="3"/>
              <w:rPr>
                <w:rFonts w:ascii="宋体" w:hAnsi="宋体" w:eastAsia="宋体" w:cs="Times New Roman"/>
                <w:b w:val="0"/>
                <w:bCs w:val="0"/>
                <w:color w:val="auto"/>
                <w:sz w:val="21"/>
                <w:szCs w:val="21"/>
                <w:highlight w:val="none"/>
              </w:rPr>
            </w:pPr>
            <w:r>
              <w:rPr>
                <w:rFonts w:hint="eastAsia" w:ascii="宋体" w:hAnsi="宋体" w:eastAsia="宋体" w:cs="宋体"/>
                <w:b w:val="0"/>
                <w:bCs w:val="0"/>
                <w:color w:val="auto"/>
                <w:sz w:val="21"/>
                <w:szCs w:val="21"/>
                <w:highlight w:val="none"/>
              </w:rPr>
              <w:t>5.9.2 植物液喷淋除臭系统：</w:t>
            </w:r>
            <w:r>
              <w:rPr>
                <w:rFonts w:hint="eastAsia" w:ascii="宋体" w:hAnsi="宋体"/>
                <w:color w:val="auto"/>
                <w:szCs w:val="21"/>
                <w:highlight w:val="none"/>
              </w:rPr>
              <w:t>★垃圾压缩转运站首层至少配置1套高压雾化喷洒除臭系统，喷嘴数量≥90套；垃圾压缩转运站二层至少配置1套高压雾化喷洒除臭系统，喷嘴数量≥120套。厨余垃圾处理车间至少配置1套高压雾化喷洒除臭系统，喷嘴数量≥30套</w:t>
            </w:r>
            <w:r>
              <w:rPr>
                <w:rFonts w:hint="eastAsia" w:cs="宋体" w:asciiTheme="minorEastAsia" w:hAnsiTheme="minorEastAsia" w:eastAsiaTheme="minorEastAsia"/>
                <w:b/>
                <w:color w:val="auto"/>
                <w:highlight w:val="none"/>
                <w:lang w:eastAsia="zh-CN"/>
              </w:rPr>
              <w:t>。</w:t>
            </w:r>
          </w:p>
          <w:p>
            <w:pPr>
              <w:pStyle w:val="4"/>
              <w:ind w:firstLine="210" w:firstLineChars="100"/>
              <w:outlineLvl w:val="3"/>
              <w:rPr>
                <w:rFonts w:ascii="宋体" w:hAnsi="宋体" w:eastAsia="宋体" w:cs="Times New Roman"/>
                <w:b w:val="0"/>
                <w:bCs w:val="0"/>
                <w:color w:val="auto"/>
                <w:sz w:val="21"/>
                <w:szCs w:val="21"/>
                <w:highlight w:val="none"/>
              </w:rPr>
            </w:pPr>
            <w:r>
              <w:rPr>
                <w:rFonts w:hint="default" w:ascii="宋体" w:hAnsi="宋体" w:eastAsia="宋体" w:cs="Times New Roman"/>
                <w:b w:val="0"/>
                <w:bCs w:val="0"/>
                <w:color w:val="auto"/>
                <w:sz w:val="21"/>
                <w:szCs w:val="21"/>
                <w:highlight w:val="none"/>
              </w:rPr>
              <w:t>5.10.1化学除臭系统：★9）</w:t>
            </w:r>
            <w:r>
              <w:rPr>
                <w:rFonts w:hint="default" w:ascii="宋体" w:hAnsi="宋体"/>
                <w:color w:val="auto"/>
                <w:szCs w:val="21"/>
                <w:highlight w:val="none"/>
              </w:rPr>
              <w:t>除臭设备应满足以下工艺参数：除臭设备内的总停留时间（填料和臭气的接触时间）≥1s</w:t>
            </w:r>
            <w:r>
              <w:rPr>
                <w:rFonts w:hint="default" w:ascii="宋体" w:hAnsi="宋体" w:eastAsia="宋体" w:cs="Times New Roman"/>
                <w:b w:val="0"/>
                <w:bCs w:val="0"/>
                <w:color w:val="auto"/>
                <w:sz w:val="21"/>
                <w:szCs w:val="21"/>
                <w:highlight w:val="none"/>
              </w:rPr>
              <w:t>。</w:t>
            </w:r>
          </w:p>
          <w:p>
            <w:pPr>
              <w:pStyle w:val="4"/>
              <w:ind w:firstLine="210" w:firstLineChars="100"/>
              <w:outlineLvl w:val="3"/>
              <w:rPr>
                <w:rFonts w:ascii="宋体" w:hAnsi="宋体" w:eastAsia="宋体" w:cs="Times New Roman"/>
                <w:b w:val="0"/>
                <w:bCs w:val="0"/>
                <w:color w:val="auto"/>
                <w:sz w:val="21"/>
                <w:szCs w:val="21"/>
                <w:highlight w:val="none"/>
              </w:rPr>
            </w:pPr>
            <w:r>
              <w:rPr>
                <w:rFonts w:hint="default" w:ascii="宋体" w:hAnsi="宋体" w:eastAsia="宋体" w:cs="Times New Roman"/>
                <w:b w:val="0"/>
                <w:bCs w:val="0"/>
                <w:color w:val="auto"/>
                <w:sz w:val="21"/>
                <w:szCs w:val="21"/>
                <w:highlight w:val="none"/>
              </w:rPr>
              <w:t>5.10.2高效生物滤池：</w:t>
            </w:r>
            <w:r>
              <w:rPr>
                <w:rFonts w:hint="default" w:ascii="宋体" w:hAnsi="宋体"/>
                <w:color w:val="auto"/>
                <w:szCs w:val="21"/>
                <w:highlight w:val="none"/>
              </w:rPr>
              <w:t>除臭设备应满足以下工艺参数：除臭设备空塔流速（即臭气经生物滤床的流速）＜0.1m/s，臭气在除臭设备内的总停留时间（填料和臭气的接触时间）≥20s</w:t>
            </w:r>
            <w:r>
              <w:rPr>
                <w:rFonts w:hint="default" w:ascii="宋体" w:hAnsi="宋体"/>
                <w:b w:val="0"/>
                <w:bCs w:val="0"/>
                <w:color w:val="auto"/>
                <w:sz w:val="21"/>
                <w:szCs w:val="21"/>
                <w:highlight w:val="none"/>
              </w:rPr>
              <w:t>。</w:t>
            </w:r>
          </w:p>
          <w:p>
            <w:pPr>
              <w:pStyle w:val="6"/>
              <w:spacing w:before="0" w:after="0" w:line="360" w:lineRule="auto"/>
              <w:jc w:val="both"/>
              <w:rPr>
                <w:rFonts w:ascii="宋体" w:hAnsi="宋体"/>
                <w:color w:val="auto"/>
                <w:szCs w:val="21"/>
                <w:highlight w:val="none"/>
              </w:rPr>
            </w:pPr>
            <w:r>
              <w:rPr>
                <w:rFonts w:hint="eastAsia" w:ascii="宋体" w:hAnsi="宋体" w:eastAsia="宋体" w:cs="宋体"/>
                <w:color w:val="auto"/>
                <w:sz w:val="21"/>
                <w:szCs w:val="21"/>
                <w:highlight w:val="none"/>
              </w:rPr>
              <w:t>5.11喷淋除臭系统设备参数及要求：</w:t>
            </w:r>
            <w:r>
              <w:rPr>
                <w:rFonts w:hint="eastAsia" w:ascii="宋体" w:hAnsi="宋体" w:eastAsia="宋体"/>
                <w:color w:val="auto"/>
                <w:highlight w:val="none"/>
              </w:rPr>
              <w:t xml:space="preserve"> </w:t>
            </w:r>
            <w:r>
              <w:rPr>
                <w:rFonts w:hint="eastAsia" w:ascii="宋体" w:hAnsi="宋体"/>
                <w:b w:val="0"/>
                <w:bCs w:val="0"/>
                <w:color w:val="auto"/>
                <w:sz w:val="21"/>
                <w:szCs w:val="21"/>
                <w:highlight w:val="none"/>
              </w:rPr>
              <w:t>★12）垃圾压缩转运站首层至少配置1套高压雾化喷洒除臭系统，喷嘴数量≥90套；垃圾压缩转运站二层至少配置1套高压雾化喷洒除臭系统，喷嘴数量≥120套。厨余垃圾处理车间至少配置1套高压雾化喷洒除臭系统，喷嘴数量≥30套。实现上述系统的连锁控制，如：快关门打开联动喷淋除臭系统开启，卸料平台无车辆、快关门关闭后联控喷淋除臭系统停止。所有的联控布线和功能实现由中标单位实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8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widowControl w:val="0"/>
              <w:tabs>
                <w:tab w:val="left" w:pos="907"/>
              </w:tabs>
              <w:adjustRightInd/>
              <w:snapToGrid/>
              <w:spacing w:line="360" w:lineRule="exact"/>
              <w:jc w:val="both"/>
              <w:rPr>
                <w:b/>
                <w:bCs/>
                <w:color w:val="auto"/>
                <w:highlight w:val="none"/>
              </w:rPr>
            </w:pPr>
            <w:r>
              <w:rPr>
                <w:rFonts w:hint="eastAsia"/>
                <w:b/>
                <w:bCs/>
                <w:color w:val="auto"/>
                <w:highlight w:val="none"/>
              </w:rPr>
              <w:t>D包（厨余处理系统采购及安装）：无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82"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widowControl w:val="0"/>
              <w:tabs>
                <w:tab w:val="left" w:pos="907"/>
              </w:tabs>
              <w:adjustRightInd/>
              <w:snapToGrid/>
              <w:spacing w:line="360" w:lineRule="exact"/>
              <w:jc w:val="both"/>
              <w:rPr>
                <w:b/>
                <w:bCs/>
                <w:color w:val="auto"/>
                <w:highlight w:val="none"/>
              </w:rPr>
            </w:pPr>
            <w:r>
              <w:rPr>
                <w:rFonts w:hint="eastAsia"/>
                <w:b/>
                <w:bCs/>
                <w:color w:val="auto"/>
                <w:highlight w:val="none"/>
              </w:rPr>
              <w:t>E包（生活垃圾及厨余垃圾收集转运设备采购及安装）：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469" w:type="dxa"/>
            <w:vMerge w:val="continue"/>
            <w:tcBorders>
              <w:tl2br w:val="nil"/>
              <w:tr2bl w:val="nil"/>
            </w:tcBorders>
            <w:vAlign w:val="center"/>
          </w:tcPr>
          <w:p>
            <w:pPr>
              <w:jc w:val="center"/>
              <w:rPr>
                <w:rFonts w:ascii="宋体" w:hAnsi="宋体"/>
                <w:color w:val="auto"/>
                <w:szCs w:val="21"/>
                <w:highlight w:val="none"/>
              </w:rPr>
            </w:pPr>
          </w:p>
        </w:tc>
        <w:tc>
          <w:tcPr>
            <w:tcW w:w="6941" w:type="dxa"/>
            <w:gridSpan w:val="2"/>
            <w:tcBorders>
              <w:tl2br w:val="nil"/>
              <w:tr2bl w:val="nil"/>
            </w:tcBorders>
            <w:vAlign w:val="center"/>
          </w:tcPr>
          <w:p>
            <w:pPr>
              <w:adjustRightInd/>
              <w:snapToGrid/>
              <w:spacing w:line="240" w:lineRule="auto"/>
              <w:outlineLvl w:val="2"/>
              <w:rPr>
                <w:color w:val="auto"/>
                <w:highlight w:val="none"/>
              </w:rPr>
            </w:pPr>
            <w:r>
              <w:rPr>
                <w:rFonts w:hint="eastAsia"/>
                <w:color w:val="auto"/>
                <w:highlight w:val="none"/>
              </w:rPr>
              <w:t>★本次采购生活垃圾箱以及生活垃圾转运车（车厢可卸式垃圾车），必须和中转站压缩设备相匹配并安全、正常运行。</w:t>
            </w:r>
          </w:p>
          <w:p>
            <w:pPr>
              <w:outlineLvl w:val="2"/>
              <w:rPr>
                <w:rFonts w:ascii="Times New Roman" w:hAnsi="Times New Roman" w:cs="Times New Roman"/>
                <w:color w:val="auto"/>
                <w:highlight w:val="none"/>
              </w:rPr>
            </w:pPr>
            <w:bookmarkStart w:id="4" w:name="_Toc4523"/>
            <w:bookmarkStart w:id="5" w:name="_Toc19803"/>
            <w:bookmarkStart w:id="6" w:name="_Toc7156"/>
            <w:r>
              <w:rPr>
                <w:rFonts w:ascii="Times New Roman" w:hAnsi="Times New Roman" w:cs="Times New Roman"/>
                <w:color w:val="auto"/>
                <w:highlight w:val="none"/>
              </w:rPr>
              <w:t>2.1</w:t>
            </w:r>
            <w:r>
              <w:rPr>
                <w:rFonts w:hint="eastAsia" w:ascii="Times New Roman" w:hAnsi="Times New Roman" w:cs="Times New Roman"/>
                <w:color w:val="auto"/>
                <w:highlight w:val="none"/>
              </w:rPr>
              <w:t>生活垃圾箱</w:t>
            </w:r>
            <w:bookmarkEnd w:id="4"/>
            <w:bookmarkEnd w:id="5"/>
            <w:bookmarkEnd w:id="6"/>
            <w:r>
              <w:rPr>
                <w:rFonts w:hint="eastAsia" w:ascii="Times New Roman" w:hAnsi="Times New Roman" w:cs="Times New Roman"/>
                <w:color w:val="auto"/>
                <w:highlight w:val="none"/>
              </w:rPr>
              <w:t xml:space="preserve"> ★箱体容积 ≥28m³</w:t>
            </w:r>
          </w:p>
          <w:p>
            <w:pPr>
              <w:outlineLvl w:val="2"/>
              <w:rPr>
                <w:rFonts w:ascii="Times New Roman" w:hAnsi="Times New Roman" w:cs="Times New Roman"/>
                <w:color w:val="auto"/>
                <w:highlight w:val="none"/>
              </w:rPr>
            </w:pPr>
            <w:bookmarkStart w:id="7" w:name="_Toc31031"/>
            <w:bookmarkStart w:id="8" w:name="_Toc3054"/>
            <w:bookmarkStart w:id="9" w:name="_Toc26884"/>
            <w:r>
              <w:rPr>
                <w:rFonts w:ascii="Times New Roman" w:hAnsi="Times New Roman" w:cs="Times New Roman"/>
                <w:color w:val="auto"/>
                <w:highlight w:val="none"/>
              </w:rPr>
              <w:t>2.2</w:t>
            </w:r>
            <w:r>
              <w:rPr>
                <w:rFonts w:hint="eastAsia" w:ascii="Times New Roman" w:hAnsi="Times New Roman" w:cs="Times New Roman"/>
                <w:color w:val="auto"/>
                <w:highlight w:val="none"/>
              </w:rPr>
              <w:t>生活垃圾转运车</w:t>
            </w:r>
            <w:bookmarkEnd w:id="7"/>
            <w:bookmarkEnd w:id="8"/>
            <w:bookmarkEnd w:id="9"/>
            <w:r>
              <w:rPr>
                <w:rFonts w:hint="eastAsia" w:ascii="Times New Roman" w:hAnsi="Times New Roman" w:cs="Times New Roman"/>
                <w:color w:val="auto"/>
                <w:highlight w:val="none"/>
              </w:rPr>
              <w:t>（车厢可卸式垃圾车） ★最大总质量≥31000kg（须提供道路机动车辆生产企业及产品信息查询系统（http://app.miit-eidc.org.cn/miitxxgk/gonggao/xxgk/index）查询截图或须提供中国汽车网-汽车公告（http://www.chinacar.com.cn/search.html）查询截图。</w:t>
            </w:r>
          </w:p>
          <w:p>
            <w:pPr>
              <w:outlineLvl w:val="2"/>
              <w:rPr>
                <w:rFonts w:ascii="Times New Roman" w:hAnsi="Times New Roman" w:cs="Times New Roman"/>
                <w:color w:val="auto"/>
                <w:highlight w:val="none"/>
              </w:rPr>
            </w:pPr>
            <w:r>
              <w:rPr>
                <w:rFonts w:hint="eastAsia" w:ascii="Times New Roman" w:hAnsi="Times New Roman" w:cs="Times New Roman"/>
                <w:color w:val="auto"/>
                <w:highlight w:val="none"/>
              </w:rPr>
              <w:t>2.3后置压缩式垃圾车 ★总质量（kg）</w:t>
            </w:r>
            <w:r>
              <w:rPr>
                <w:rFonts w:hint="eastAsia" w:ascii="Times New Roman" w:hAnsi="Times New Roman" w:cs="Times New Roman"/>
                <w:color w:val="auto"/>
                <w:highlight w:val="none"/>
              </w:rPr>
              <w:tab/>
            </w:r>
            <w:r>
              <w:rPr>
                <w:rFonts w:hint="eastAsia" w:ascii="Times New Roman" w:hAnsi="Times New Roman" w:cs="Times New Roman"/>
                <w:color w:val="auto"/>
                <w:highlight w:val="none"/>
              </w:rPr>
              <w:t>≥8200kg（须提供道路机动车辆生产企业及产品信息查询系统（http://app.miit-eidc.org.cn/miitxxgk/gonggao/xxgk/index）查询截图或须提供中国汽车网-汽车公告（http://www.chinacar.com.cn/search.html）查询截图。</w:t>
            </w:r>
          </w:p>
          <w:p>
            <w:pPr>
              <w:outlineLvl w:val="2"/>
              <w:rPr>
                <w:rFonts w:ascii="Times New Roman" w:hAnsi="Times New Roman" w:cs="Times New Roman"/>
                <w:color w:val="auto"/>
                <w:highlight w:val="none"/>
              </w:rPr>
            </w:pPr>
            <w:bookmarkStart w:id="10" w:name="_Toc8617"/>
            <w:bookmarkStart w:id="11" w:name="_Toc15705"/>
            <w:bookmarkStart w:id="12" w:name="_Toc20696"/>
            <w:r>
              <w:rPr>
                <w:rFonts w:ascii="Times New Roman" w:hAnsi="Times New Roman" w:cs="Times New Roman"/>
                <w:color w:val="auto"/>
                <w:highlight w:val="none"/>
              </w:rPr>
              <w:t>2.</w:t>
            </w:r>
            <w:r>
              <w:rPr>
                <w:rFonts w:hint="eastAsia" w:ascii="Times New Roman" w:hAnsi="Times New Roman" w:cs="Times New Roman"/>
                <w:color w:val="auto"/>
                <w:highlight w:val="none"/>
              </w:rPr>
              <w:t>4大件垃圾车间转运车</w:t>
            </w:r>
            <w:bookmarkEnd w:id="10"/>
            <w:bookmarkEnd w:id="11"/>
            <w:bookmarkEnd w:id="12"/>
            <w:r>
              <w:rPr>
                <w:rFonts w:hint="eastAsia" w:ascii="Times New Roman" w:hAnsi="Times New Roman" w:cs="Times New Roman"/>
                <w:color w:val="auto"/>
                <w:highlight w:val="none"/>
              </w:rPr>
              <w:t xml:space="preserve"> ★总质量≥7300kg（须提供道路机动车辆生产企业及产品信息查询系统（http://app.miit-eidc.org.cn/miitxxgk/gonggao/xxgk/index）查询截图或须提供中国汽车网-汽车公告（http://www.chinacar.com.cn/search.html）查询截图。</w:t>
            </w:r>
          </w:p>
          <w:p>
            <w:pPr>
              <w:outlineLvl w:val="2"/>
              <w:rPr>
                <w:rFonts w:ascii="Times New Roman" w:hAnsi="Times New Roman"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5厨余收集车★总质量≥8000kg（须提供道路机动车辆生产企业及产品信息查询系统（http://app.miit-eidc.org.cn/miitxxgk/gonggao/xxgk/index）查询截图或须提供中国汽车网-汽车公告（http://www.chinacar.com.cn/search.html）查询截图。</w:t>
            </w:r>
          </w:p>
          <w:p>
            <w:pPr>
              <w:outlineLvl w:val="2"/>
              <w:rPr>
                <w:rFonts w:ascii="Times New Roman" w:hAnsi="Times New Roman" w:cs="Times New Roman"/>
                <w:color w:val="auto"/>
                <w:highlight w:val="none"/>
              </w:rPr>
            </w:pPr>
            <w:r>
              <w:rPr>
                <w:rFonts w:hint="eastAsia"/>
                <w:color w:val="auto"/>
                <w:highlight w:val="none"/>
              </w:rPr>
              <w:t xml:space="preserve"> </w:t>
            </w:r>
            <w:r>
              <w:rPr>
                <w:rFonts w:ascii="Times New Roman" w:hAnsi="Times New Roman" w:cs="Times New Roman"/>
                <w:color w:val="auto"/>
                <w:highlight w:val="none"/>
              </w:rPr>
              <w:t>2.</w:t>
            </w:r>
            <w:r>
              <w:rPr>
                <w:rFonts w:hint="eastAsia" w:ascii="Times New Roman" w:hAnsi="Times New Roman" w:cs="Times New Roman"/>
                <w:color w:val="auto"/>
                <w:highlight w:val="none"/>
              </w:rPr>
              <w:t>6吸污车★总质量18000kg（须提供道路机动车辆生产企业及产品信息查询系统（http://app.miit-eidc.org.cn/miitxxgk/gonggao/xxgk/index）查询截图或须提供中国汽车网-汽车公告（http://www.chinacar.com.cn/search.html）查询截图。</w:t>
            </w:r>
          </w:p>
          <w:p>
            <w:pPr>
              <w:outlineLvl w:val="2"/>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w:t>
            </w:r>
            <w:r>
              <w:rPr>
                <w:rFonts w:hint="eastAsia" w:ascii="Times New Roman" w:hAnsi="Times New Roman" w:cs="Times New Roman"/>
                <w:color w:val="auto"/>
                <w:highlight w:val="none"/>
              </w:rPr>
              <w:t>7车载视频终端（集成标准型GPS） ★1.支持以下全部标准要求：GB/T 19056-2012、JT/T 794-2019、JT/T 808-2019、JT/T 1076-2016、JT/T 1078-2016、JT/T883-2014、T/JSATL13-2017、T/GDRTA 001-2020、T/GDRTA 002-2020标准要求。</w:t>
            </w:r>
          </w:p>
          <w:p>
            <w:pPr>
              <w:outlineLvl w:val="2"/>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w:t>
            </w:r>
            <w:r>
              <w:rPr>
                <w:rFonts w:hint="eastAsia" w:ascii="Times New Roman" w:hAnsi="Times New Roman" w:cs="Times New Roman"/>
                <w:color w:val="auto"/>
                <w:highlight w:val="none"/>
              </w:rPr>
              <w:t>8其他技术</w:t>
            </w:r>
            <w:r>
              <w:rPr>
                <w:rFonts w:ascii="Times New Roman" w:hAnsi="Times New Roman" w:cs="Times New Roman"/>
                <w:color w:val="auto"/>
                <w:highlight w:val="none"/>
              </w:rPr>
              <w:t>要求</w:t>
            </w:r>
            <w:r>
              <w:rPr>
                <w:rFonts w:hint="eastAsia" w:ascii="Times New Roman" w:hAnsi="Times New Roman" w:cs="Times New Roman"/>
                <w:color w:val="auto"/>
                <w:highlight w:val="none"/>
              </w:rPr>
              <w:t xml:space="preserve">  </w:t>
            </w:r>
          </w:p>
          <w:p>
            <w:pPr>
              <w:outlineLvl w:val="2"/>
              <w:rPr>
                <w:rFonts w:ascii="Times New Roman" w:hAnsi="Times New Roman" w:cs="Times New Roman"/>
                <w:color w:val="auto"/>
                <w:highlight w:val="none"/>
              </w:rPr>
            </w:pPr>
            <w:r>
              <w:rPr>
                <w:rFonts w:hint="eastAsia" w:ascii="Times New Roman" w:hAnsi="Times New Roman" w:cs="Times New Roman"/>
                <w:color w:val="auto"/>
                <w:highlight w:val="none"/>
              </w:rPr>
              <w:t>★投标人应在东莞市内有建立二类以上维修资质的售后服务点或中标后 30 天内须在东莞市内设立二类以上维修资质</w:t>
            </w:r>
            <w:r>
              <w:rPr>
                <w:rFonts w:hint="eastAsia" w:ascii="Times New Roman" w:hAnsi="Times New Roman" w:cs="Times New Roman"/>
                <w:color w:val="auto"/>
                <w:highlight w:val="none"/>
                <w:lang w:val="en-US" w:eastAsia="zh-CN"/>
              </w:rPr>
              <w:t>的</w:t>
            </w:r>
            <w:r>
              <w:rPr>
                <w:rFonts w:hint="eastAsia" w:ascii="Times New Roman" w:hAnsi="Times New Roman" w:cs="Times New Roman"/>
                <w:color w:val="auto"/>
                <w:highlight w:val="none"/>
              </w:rPr>
              <w:t>售后服务点。</w:t>
            </w:r>
          </w:p>
          <w:p>
            <w:pPr>
              <w:outlineLvl w:val="2"/>
              <w:rPr>
                <w:color w:val="auto"/>
                <w:highlight w:val="none"/>
              </w:rPr>
            </w:pPr>
            <w:r>
              <w:rPr>
                <w:rFonts w:hint="eastAsia" w:ascii="Times New Roman" w:hAnsi="Times New Roman" w:cs="Times New Roman"/>
                <w:color w:val="auto"/>
                <w:highlight w:val="none"/>
              </w:rPr>
              <w:t>★中标人提供的货物需开放接口，并由中标人接入采购人现有的智慧环卫系统及东莞市第三方平台，所产生的费用由中标人承担，设备完成接入且正常运行，方能开展验收工作。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20" w:hRule="atLeast"/>
          <w:jc w:val="center"/>
        </w:trPr>
        <w:tc>
          <w:tcPr>
            <w:tcW w:w="8410" w:type="dxa"/>
            <w:gridSpan w:val="3"/>
            <w:tcBorders>
              <w:tl2br w:val="nil"/>
              <w:tr2bl w:val="nil"/>
            </w:tcBorders>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注：本表关于要采购项目的具体资料，是对投标人须知的具体补充和修改，如有矛盾，应以本资料表为准。不满足采购文件中 “★”条款的投标文件将作无效投标处理。</w:t>
            </w:r>
          </w:p>
        </w:tc>
      </w:tr>
    </w:tbl>
    <w:p>
      <w:pPr>
        <w:jc w:val="center"/>
        <w:rPr>
          <w:color w:val="auto"/>
          <w:highlight w:val="none"/>
        </w:rPr>
      </w:pPr>
      <w:r>
        <w:rPr>
          <w:rFonts w:hint="eastAsia"/>
          <w:color w:val="auto"/>
          <w:highlight w:val="none"/>
        </w:rPr>
        <w:br w:type="page"/>
      </w:r>
    </w:p>
    <w:p>
      <w:pPr>
        <w:pStyle w:val="7"/>
        <w:spacing w:before="0" w:after="0" w:line="240" w:lineRule="auto"/>
        <w:jc w:val="center"/>
        <w:rPr>
          <w:rFonts w:ascii="宋体" w:hAnsi="宋体" w:cs="宋体"/>
          <w:color w:val="auto"/>
          <w:sz w:val="24"/>
          <w:szCs w:val="24"/>
          <w:highlight w:val="none"/>
        </w:rPr>
      </w:pPr>
      <w:bookmarkStart w:id="13" w:name="_Toc31223"/>
      <w:bookmarkStart w:id="14" w:name="_Toc13435"/>
      <w:r>
        <w:rPr>
          <w:rFonts w:hint="eastAsia" w:ascii="宋体" w:hAnsi="宋体" w:cs="宋体"/>
          <w:color w:val="auto"/>
          <w:sz w:val="24"/>
          <w:szCs w:val="24"/>
          <w:highlight w:val="none"/>
        </w:rPr>
        <w:t>附表二：商务技术评分及价格权重表（满分100分）</w:t>
      </w:r>
    </w:p>
    <w:p>
      <w:pPr>
        <w:jc w:val="center"/>
        <w:rPr>
          <w:rFonts w:ascii="宋体" w:hAnsi="宋体" w:cs="宋体"/>
          <w:b/>
          <w:bCs/>
          <w:color w:val="auto"/>
          <w:szCs w:val="21"/>
          <w:highlight w:val="none"/>
        </w:rPr>
      </w:pPr>
    </w:p>
    <w:p>
      <w:pPr>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A包：污水处理系统采购及安装</w:t>
      </w:r>
    </w:p>
    <w:bookmarkEnd w:id="13"/>
    <w:bookmarkEnd w:id="14"/>
    <w:p>
      <w:pPr>
        <w:jc w:val="center"/>
        <w:rPr>
          <w:rFonts w:hAnsi="宋体" w:cs="宋体"/>
          <w:b/>
          <w:bCs/>
          <w:color w:val="auto"/>
          <w:szCs w:val="21"/>
          <w:highlight w:val="none"/>
        </w:rPr>
      </w:pPr>
      <w:r>
        <w:rPr>
          <w:rFonts w:hint="eastAsia" w:ascii="宋体" w:hAnsi="宋体" w:cs="宋体"/>
          <w:b/>
          <w:bCs/>
          <w:color w:val="auto"/>
          <w:szCs w:val="21"/>
          <w:highlight w:val="none"/>
        </w:rPr>
        <w:t>满分100分，其中价格部分占</w:t>
      </w: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0分，商务部分占2</w:t>
      </w:r>
      <w:r>
        <w:rPr>
          <w:rFonts w:hint="eastAsia" w:ascii="宋体" w:hAnsi="宋体" w:cs="宋体"/>
          <w:b/>
          <w:bCs/>
          <w:color w:val="auto"/>
          <w:szCs w:val="21"/>
          <w:highlight w:val="none"/>
          <w:lang w:val="en-US" w:eastAsia="zh-CN"/>
        </w:rPr>
        <w:t>0</w:t>
      </w:r>
      <w:r>
        <w:rPr>
          <w:rFonts w:hint="eastAsia" w:ascii="宋体" w:hAnsi="宋体" w:cs="宋体"/>
          <w:b/>
          <w:bCs/>
          <w:color w:val="auto"/>
          <w:szCs w:val="21"/>
          <w:highlight w:val="none"/>
        </w:rPr>
        <w:t>分，技术部分占2</w:t>
      </w:r>
      <w:r>
        <w:rPr>
          <w:rFonts w:hint="eastAsia" w:ascii="宋体" w:hAnsi="宋体" w:cs="宋体"/>
          <w:b/>
          <w:bCs/>
          <w:color w:val="auto"/>
          <w:szCs w:val="21"/>
          <w:highlight w:val="none"/>
          <w:lang w:val="en-US" w:eastAsia="zh-CN"/>
        </w:rPr>
        <w:t>0</w:t>
      </w:r>
      <w:r>
        <w:rPr>
          <w:rFonts w:hint="eastAsia" w:ascii="宋体" w:hAnsi="宋体" w:cs="宋体"/>
          <w:b/>
          <w:bCs/>
          <w:color w:val="auto"/>
          <w:szCs w:val="21"/>
          <w:highlight w:val="none"/>
        </w:rPr>
        <w:t>分。</w:t>
      </w:r>
    </w:p>
    <w:tbl>
      <w:tblPr>
        <w:tblStyle w:val="34"/>
        <w:tblW w:w="86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9"/>
        <w:gridCol w:w="1217"/>
        <w:gridCol w:w="146"/>
        <w:gridCol w:w="812"/>
        <w:gridCol w:w="5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序号</w:t>
            </w:r>
          </w:p>
        </w:tc>
        <w:tc>
          <w:tcPr>
            <w:tcW w:w="1382" w:type="dxa"/>
            <w:gridSpan w:val="3"/>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评分内容</w:t>
            </w:r>
          </w:p>
        </w:tc>
        <w:tc>
          <w:tcPr>
            <w:tcW w:w="812"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分值</w:t>
            </w:r>
          </w:p>
        </w:tc>
        <w:tc>
          <w:tcPr>
            <w:tcW w:w="5743"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8677" w:type="dxa"/>
            <w:gridSpan w:val="6"/>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b/>
                <w:bCs/>
                <w:color w:val="auto"/>
                <w:kern w:val="2"/>
                <w:szCs w:val="21"/>
                <w:highlight w:val="none"/>
              </w:rPr>
              <w:t>商务评分细则（合计2</w:t>
            </w:r>
            <w:r>
              <w:rPr>
                <w:rFonts w:hint="eastAsia" w:asciiTheme="minorEastAsia" w:hAnsiTheme="minorEastAsia" w:eastAsiaTheme="minorEastAsia" w:cstheme="minorEastAsia"/>
                <w:b/>
                <w:bCs/>
                <w:color w:val="auto"/>
                <w:kern w:val="2"/>
                <w:szCs w:val="21"/>
                <w:highlight w:val="none"/>
                <w:lang w:val="en-US" w:eastAsia="zh-CN"/>
              </w:rPr>
              <w:t>0</w:t>
            </w:r>
            <w:r>
              <w:rPr>
                <w:rFonts w:hint="eastAsia" w:asciiTheme="minorEastAsia" w:hAnsiTheme="minorEastAsia" w:eastAsiaTheme="minorEastAsia" w:cstheme="minorEastAsia"/>
                <w:b/>
                <w:bCs/>
                <w:color w:val="auto"/>
                <w:kern w:val="2"/>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9"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1</w:t>
            </w:r>
          </w:p>
        </w:tc>
        <w:tc>
          <w:tcPr>
            <w:tcW w:w="1382" w:type="dxa"/>
            <w:gridSpan w:val="3"/>
            <w:tcBorders>
              <w:top w:val="single" w:color="auto" w:sz="4" w:space="0"/>
              <w:left w:val="single" w:color="auto" w:sz="4" w:space="0"/>
              <w:bottom w:val="single" w:color="auto" w:sz="4" w:space="0"/>
              <w:right w:val="single" w:color="auto" w:sz="4" w:space="0"/>
            </w:tcBorders>
            <w:noWrap/>
            <w:vAlign w:val="center"/>
          </w:tcPr>
          <w:p>
            <w:pPr>
              <w:widowControl w:val="0"/>
              <w:adjustRightIn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财务状况</w:t>
            </w:r>
          </w:p>
        </w:tc>
        <w:tc>
          <w:tcPr>
            <w:tcW w:w="812" w:type="dxa"/>
            <w:tcBorders>
              <w:top w:val="single" w:color="auto" w:sz="4" w:space="0"/>
              <w:left w:val="single" w:color="auto" w:sz="4" w:space="0"/>
              <w:bottom w:val="single" w:color="auto" w:sz="4" w:space="0"/>
              <w:right w:val="single" w:color="auto" w:sz="4" w:space="0"/>
            </w:tcBorders>
            <w:noWrap/>
            <w:vAlign w:val="center"/>
          </w:tcPr>
          <w:p>
            <w:pPr>
              <w:widowControl w:val="0"/>
              <w:adjustRightInd/>
              <w:jc w:val="center"/>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en-US" w:eastAsia="zh-CN"/>
              </w:rPr>
              <w:t>2</w:t>
            </w:r>
            <w:r>
              <w:rPr>
                <w:rFonts w:hint="eastAsia" w:asciiTheme="minorEastAsia" w:hAnsiTheme="minorEastAsia" w:eastAsiaTheme="minorEastAsia" w:cstheme="minorEastAsia"/>
                <w:color w:val="auto"/>
                <w:kern w:val="2"/>
                <w:szCs w:val="21"/>
                <w:highlight w:val="none"/>
                <w:lang w:val="zh-CN"/>
              </w:rPr>
              <w:t>分</w:t>
            </w:r>
          </w:p>
        </w:tc>
        <w:tc>
          <w:tcPr>
            <w:tcW w:w="5743" w:type="dxa"/>
            <w:tcBorders>
              <w:top w:val="single" w:color="auto" w:sz="4" w:space="0"/>
              <w:left w:val="single" w:color="auto" w:sz="4" w:space="0"/>
              <w:bottom w:val="single" w:color="auto" w:sz="4" w:space="0"/>
              <w:right w:val="single" w:color="auto" w:sz="4" w:space="0"/>
            </w:tcBorders>
            <w:noWrap/>
            <w:vAlign w:val="center"/>
          </w:tcPr>
          <w:p>
            <w:pPr>
              <w:widowControl w:val="0"/>
              <w:adjustRightIn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根据投标人2020年</w:t>
            </w:r>
            <w:r>
              <w:rPr>
                <w:rFonts w:hint="eastAsia" w:asciiTheme="minorEastAsia" w:hAnsiTheme="minorEastAsia" w:eastAsiaTheme="minorEastAsia" w:cstheme="minorEastAsia"/>
                <w:color w:val="auto"/>
                <w:kern w:val="2"/>
                <w:szCs w:val="21"/>
                <w:highlight w:val="none"/>
              </w:rPr>
              <w:t>1月1日</w:t>
            </w:r>
            <w:r>
              <w:rPr>
                <w:rFonts w:hint="eastAsia" w:asciiTheme="minorEastAsia" w:hAnsiTheme="minorEastAsia" w:eastAsiaTheme="minorEastAsia" w:cstheme="minorEastAsia"/>
                <w:color w:val="auto"/>
                <w:kern w:val="2"/>
                <w:szCs w:val="21"/>
                <w:highlight w:val="none"/>
                <w:lang w:val="zh-CN"/>
              </w:rPr>
              <w:t>至今的财务状况进行评价，连续3年盈利得</w:t>
            </w:r>
            <w:r>
              <w:rPr>
                <w:rFonts w:hint="eastAsia" w:asciiTheme="minorEastAsia" w:hAnsiTheme="minorEastAsia" w:eastAsiaTheme="minorEastAsia" w:cstheme="minorEastAsia"/>
                <w:color w:val="auto"/>
                <w:kern w:val="2"/>
                <w:szCs w:val="21"/>
                <w:highlight w:val="none"/>
                <w:lang w:val="en-US" w:eastAsia="zh-CN"/>
              </w:rPr>
              <w:t>2</w:t>
            </w:r>
            <w:r>
              <w:rPr>
                <w:rFonts w:hint="eastAsia" w:asciiTheme="minorEastAsia" w:hAnsiTheme="minorEastAsia" w:eastAsiaTheme="minorEastAsia" w:cstheme="minorEastAsia"/>
                <w:color w:val="auto"/>
                <w:kern w:val="2"/>
                <w:szCs w:val="21"/>
                <w:highlight w:val="none"/>
                <w:lang w:val="zh-CN"/>
              </w:rPr>
              <w:t xml:space="preserve">分，2年盈利得 </w:t>
            </w:r>
            <w:r>
              <w:rPr>
                <w:rFonts w:hint="eastAsia" w:asciiTheme="minorEastAsia" w:hAnsiTheme="minorEastAsia" w:eastAsiaTheme="minorEastAsia" w:cstheme="minorEastAsia"/>
                <w:color w:val="auto"/>
                <w:kern w:val="2"/>
                <w:szCs w:val="21"/>
                <w:highlight w:val="none"/>
                <w:lang w:val="en-US" w:eastAsia="zh-CN"/>
              </w:rPr>
              <w:t>1</w:t>
            </w:r>
            <w:r>
              <w:rPr>
                <w:rFonts w:hint="eastAsia" w:asciiTheme="minorEastAsia" w:hAnsiTheme="minorEastAsia" w:eastAsiaTheme="minorEastAsia" w:cstheme="minorEastAsia"/>
                <w:color w:val="auto"/>
                <w:kern w:val="2"/>
                <w:szCs w:val="21"/>
                <w:highlight w:val="none"/>
                <w:lang w:val="zh-CN"/>
              </w:rPr>
              <w:t>分，1年盈利得</w:t>
            </w:r>
            <w:r>
              <w:rPr>
                <w:rFonts w:hint="eastAsia" w:asciiTheme="minorEastAsia" w:hAnsiTheme="minorEastAsia" w:eastAsiaTheme="minorEastAsia" w:cstheme="minorEastAsia"/>
                <w:color w:val="auto"/>
                <w:kern w:val="2"/>
                <w:szCs w:val="21"/>
                <w:highlight w:val="none"/>
                <w:lang w:val="en-US" w:eastAsia="zh-CN"/>
              </w:rPr>
              <w:t>0.5</w:t>
            </w:r>
            <w:r>
              <w:rPr>
                <w:rFonts w:hint="eastAsia" w:asciiTheme="minorEastAsia" w:hAnsiTheme="minorEastAsia" w:eastAsiaTheme="minorEastAsia" w:cstheme="minorEastAsia"/>
                <w:color w:val="auto"/>
                <w:kern w:val="2"/>
                <w:szCs w:val="21"/>
                <w:highlight w:val="none"/>
                <w:lang w:val="zh-CN"/>
              </w:rPr>
              <w:t>分，无盈利不得分。</w:t>
            </w:r>
          </w:p>
          <w:p>
            <w:pPr>
              <w:widowControl w:val="0"/>
              <w:adjustRightIn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注：须提供会计师事务所审计的财务报表复印件加盖供应商公章。不提供不得分。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2"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2</w:t>
            </w:r>
          </w:p>
        </w:tc>
        <w:tc>
          <w:tcPr>
            <w:tcW w:w="1382" w:type="dxa"/>
            <w:gridSpan w:val="3"/>
            <w:tcBorders>
              <w:top w:val="single" w:color="auto" w:sz="4" w:space="0"/>
              <w:left w:val="single" w:color="auto" w:sz="4" w:space="0"/>
              <w:bottom w:val="single" w:color="auto" w:sz="4" w:space="0"/>
              <w:right w:val="single" w:color="auto" w:sz="4" w:space="0"/>
            </w:tcBorders>
            <w:noWrap/>
            <w:vAlign w:val="center"/>
          </w:tcPr>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产品先进性</w:t>
            </w:r>
          </w:p>
        </w:tc>
        <w:tc>
          <w:tcPr>
            <w:tcW w:w="812"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lang w:val="en-US" w:eastAsia="zh-CN"/>
              </w:rPr>
              <w:t>4</w:t>
            </w:r>
            <w:r>
              <w:rPr>
                <w:rFonts w:hint="eastAsia" w:asciiTheme="minorEastAsia" w:hAnsiTheme="minorEastAsia" w:eastAsiaTheme="minorEastAsia" w:cstheme="minorEastAsia"/>
                <w:bCs/>
                <w:color w:val="auto"/>
                <w:kern w:val="2"/>
                <w:szCs w:val="21"/>
                <w:highlight w:val="none"/>
              </w:rPr>
              <w:t>分</w:t>
            </w:r>
          </w:p>
        </w:tc>
        <w:tc>
          <w:tcPr>
            <w:tcW w:w="5743" w:type="dxa"/>
            <w:tcBorders>
              <w:top w:val="single" w:color="auto" w:sz="4" w:space="0"/>
              <w:left w:val="single" w:color="auto" w:sz="4" w:space="0"/>
              <w:bottom w:val="single" w:color="auto" w:sz="4" w:space="0"/>
              <w:right w:val="single" w:color="auto" w:sz="4" w:space="0"/>
            </w:tcBorders>
            <w:noWrap/>
            <w:vAlign w:val="center"/>
          </w:tcPr>
          <w:p>
            <w:pPr>
              <w:widowControl w:val="0"/>
              <w:adjustRightIn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投标人</w:t>
            </w:r>
            <w:r>
              <w:rPr>
                <w:rFonts w:hint="eastAsia" w:asciiTheme="minorEastAsia" w:hAnsiTheme="minorEastAsia" w:eastAsiaTheme="minorEastAsia" w:cstheme="minorEastAsia"/>
                <w:color w:val="auto"/>
                <w:kern w:val="2"/>
                <w:szCs w:val="21"/>
                <w:highlight w:val="none"/>
              </w:rPr>
              <w:t>获得</w:t>
            </w:r>
            <w:r>
              <w:rPr>
                <w:rFonts w:hint="eastAsia" w:asciiTheme="minorEastAsia" w:hAnsiTheme="minorEastAsia" w:eastAsiaTheme="minorEastAsia" w:cstheme="minorEastAsia"/>
                <w:color w:val="auto"/>
                <w:kern w:val="2"/>
                <w:szCs w:val="21"/>
                <w:highlight w:val="none"/>
                <w:lang w:val="zh-CN"/>
              </w:rPr>
              <w:t>国家知识产权局颁发的并在有效期内的</w:t>
            </w:r>
            <w:r>
              <w:rPr>
                <w:rFonts w:hint="eastAsia" w:asciiTheme="minorEastAsia" w:hAnsiTheme="minorEastAsia" w:eastAsiaTheme="minorEastAsia" w:cstheme="minorEastAsia"/>
                <w:color w:val="auto"/>
                <w:kern w:val="2"/>
                <w:szCs w:val="21"/>
                <w:highlight w:val="none"/>
              </w:rPr>
              <w:t>污水</w:t>
            </w:r>
            <w:r>
              <w:rPr>
                <w:rFonts w:hint="eastAsia" w:asciiTheme="minorEastAsia" w:hAnsiTheme="minorEastAsia" w:eastAsiaTheme="minorEastAsia" w:cstheme="minorEastAsia"/>
                <w:color w:val="auto"/>
                <w:kern w:val="2"/>
                <w:szCs w:val="21"/>
                <w:highlight w:val="none"/>
                <w:lang w:val="zh-CN"/>
              </w:rPr>
              <w:t>类相关专利证书的:</w:t>
            </w:r>
          </w:p>
          <w:p>
            <w:pPr>
              <w:widowControl w:val="0"/>
              <w:adjustRightIn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①获得一个发明专利证书得</w:t>
            </w:r>
            <w:r>
              <w:rPr>
                <w:rFonts w:hint="eastAsia" w:asciiTheme="minorEastAsia" w:hAnsiTheme="minorEastAsia" w:eastAsiaTheme="minorEastAsia" w:cstheme="minorEastAsia"/>
                <w:color w:val="auto"/>
                <w:kern w:val="2"/>
                <w:szCs w:val="21"/>
                <w:highlight w:val="none"/>
                <w:lang w:val="en-US" w:eastAsia="zh-CN"/>
              </w:rPr>
              <w:t>2</w:t>
            </w:r>
            <w:r>
              <w:rPr>
                <w:rFonts w:hint="eastAsia" w:asciiTheme="minorEastAsia" w:hAnsiTheme="minorEastAsia" w:eastAsiaTheme="minorEastAsia" w:cstheme="minorEastAsia"/>
                <w:color w:val="auto"/>
                <w:kern w:val="2"/>
                <w:szCs w:val="21"/>
                <w:highlight w:val="none"/>
                <w:lang w:val="zh-CN"/>
              </w:rPr>
              <w:t>分，本分项满分</w:t>
            </w:r>
            <w:r>
              <w:rPr>
                <w:rFonts w:hint="eastAsia" w:asciiTheme="minorEastAsia" w:hAnsiTheme="minorEastAsia" w:eastAsiaTheme="minorEastAsia" w:cstheme="minorEastAsia"/>
                <w:color w:val="auto"/>
                <w:kern w:val="2"/>
                <w:szCs w:val="21"/>
                <w:highlight w:val="none"/>
                <w:lang w:val="en-US" w:eastAsia="zh-CN"/>
              </w:rPr>
              <w:t>4</w:t>
            </w:r>
            <w:r>
              <w:rPr>
                <w:rFonts w:hint="eastAsia" w:asciiTheme="minorEastAsia" w:hAnsiTheme="minorEastAsia" w:eastAsiaTheme="minorEastAsia" w:cstheme="minorEastAsia"/>
                <w:color w:val="auto"/>
                <w:kern w:val="2"/>
                <w:szCs w:val="21"/>
                <w:highlight w:val="none"/>
                <w:lang w:val="zh-CN"/>
              </w:rPr>
              <w:t>分；</w:t>
            </w:r>
          </w:p>
          <w:p>
            <w:pPr>
              <w:widowControl w:val="0"/>
              <w:adjustRightIn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②获得一个实用新型专利证书得</w:t>
            </w:r>
            <w:r>
              <w:rPr>
                <w:rFonts w:hint="eastAsia" w:asciiTheme="minorEastAsia" w:hAnsiTheme="minorEastAsia" w:eastAsiaTheme="minorEastAsia" w:cstheme="minorEastAsia"/>
                <w:color w:val="auto"/>
                <w:kern w:val="2"/>
                <w:szCs w:val="21"/>
                <w:highlight w:val="none"/>
              </w:rPr>
              <w:t>1</w:t>
            </w:r>
            <w:r>
              <w:rPr>
                <w:rFonts w:hint="eastAsia" w:asciiTheme="minorEastAsia" w:hAnsiTheme="minorEastAsia" w:eastAsiaTheme="minorEastAsia" w:cstheme="minorEastAsia"/>
                <w:color w:val="auto"/>
                <w:kern w:val="2"/>
                <w:szCs w:val="21"/>
                <w:highlight w:val="none"/>
                <w:lang w:val="zh-CN"/>
              </w:rPr>
              <w:t>分，本分项满分</w:t>
            </w:r>
            <w:r>
              <w:rPr>
                <w:rFonts w:hint="eastAsia" w:asciiTheme="minorEastAsia" w:hAnsiTheme="minorEastAsia" w:eastAsiaTheme="minorEastAsia" w:cstheme="minorEastAsia"/>
                <w:color w:val="auto"/>
                <w:kern w:val="2"/>
                <w:szCs w:val="21"/>
                <w:highlight w:val="none"/>
                <w:lang w:val="en-US" w:eastAsia="zh-CN"/>
              </w:rPr>
              <w:t>2</w:t>
            </w:r>
            <w:r>
              <w:rPr>
                <w:rFonts w:hint="eastAsia" w:asciiTheme="minorEastAsia" w:hAnsiTheme="minorEastAsia" w:eastAsiaTheme="minorEastAsia" w:cstheme="minorEastAsia"/>
                <w:color w:val="auto"/>
                <w:kern w:val="2"/>
                <w:szCs w:val="21"/>
                <w:highlight w:val="none"/>
                <w:lang w:val="zh-CN"/>
              </w:rPr>
              <w:t>分。</w:t>
            </w:r>
          </w:p>
          <w:p>
            <w:pPr>
              <w:widowControl w:val="0"/>
              <w:adjustRightInd/>
              <w:spacing w:line="240" w:lineRule="auto"/>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本项最高得</w:t>
            </w:r>
            <w:r>
              <w:rPr>
                <w:rFonts w:hint="default" w:asciiTheme="minorEastAsia" w:hAnsiTheme="minorEastAsia" w:eastAsiaTheme="minorEastAsia" w:cstheme="minorEastAsia"/>
                <w:color w:val="auto"/>
                <w:kern w:val="2"/>
                <w:szCs w:val="21"/>
                <w:highlight w:val="none"/>
                <w:lang w:val="en-US"/>
              </w:rPr>
              <w:t>4</w:t>
            </w:r>
            <w:r>
              <w:rPr>
                <w:rFonts w:hint="eastAsia" w:asciiTheme="minorEastAsia" w:hAnsiTheme="minorEastAsia" w:eastAsiaTheme="minorEastAsia" w:cstheme="minorEastAsia"/>
                <w:color w:val="auto"/>
                <w:kern w:val="2"/>
                <w:szCs w:val="21"/>
                <w:highlight w:val="none"/>
                <w:lang w:val="zh-CN"/>
              </w:rPr>
              <w:t>分。</w:t>
            </w:r>
          </w:p>
          <w:p>
            <w:pPr>
              <w:widowControl w:val="0"/>
              <w:adjustRightInd/>
              <w:snapToGri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注：须提供投标人污水类的专利有效证明材料复印件并加盖投标人公章。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2"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3</w:t>
            </w:r>
          </w:p>
        </w:tc>
        <w:tc>
          <w:tcPr>
            <w:tcW w:w="1382" w:type="dxa"/>
            <w:gridSpan w:val="3"/>
            <w:tcBorders>
              <w:top w:val="single" w:color="auto" w:sz="4" w:space="0"/>
              <w:left w:val="single" w:color="auto" w:sz="4" w:space="0"/>
              <w:bottom w:val="single" w:color="auto" w:sz="4" w:space="0"/>
              <w:right w:val="single" w:color="auto" w:sz="4" w:space="0"/>
            </w:tcBorders>
            <w:noWrap/>
            <w:vAlign w:val="center"/>
          </w:tcPr>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管理体系认证情况</w:t>
            </w:r>
          </w:p>
        </w:tc>
        <w:tc>
          <w:tcPr>
            <w:tcW w:w="812"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2</w:t>
            </w:r>
            <w:r>
              <w:rPr>
                <w:rFonts w:hint="eastAsia" w:asciiTheme="minorEastAsia" w:hAnsiTheme="minorEastAsia" w:eastAsiaTheme="minorEastAsia" w:cstheme="minorEastAsia"/>
                <w:color w:val="auto"/>
                <w:szCs w:val="21"/>
                <w:highlight w:val="none"/>
              </w:rPr>
              <w:t>分</w:t>
            </w:r>
          </w:p>
        </w:tc>
        <w:tc>
          <w:tcPr>
            <w:tcW w:w="5743" w:type="dxa"/>
            <w:tcBorders>
              <w:top w:val="single" w:color="auto" w:sz="4" w:space="0"/>
              <w:left w:val="single" w:color="auto" w:sz="4" w:space="0"/>
              <w:bottom w:val="single" w:color="auto" w:sz="4" w:space="0"/>
              <w:right w:val="single" w:color="auto" w:sz="4" w:space="0"/>
            </w:tcBorders>
            <w:noWrap/>
            <w:vAlign w:val="center"/>
          </w:tcPr>
          <w:p>
            <w:pPr>
              <w:widowControl w:val="0"/>
              <w:adjustRightIn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 xml:space="preserve">投标人具有的由国家认证认可监督管理部门批准设立的认证机构颁发并在有效期内的证书： </w:t>
            </w:r>
          </w:p>
          <w:p>
            <w:pPr>
              <w:widowControl w:val="0"/>
              <w:adjustRightIn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①质量管理体系认证证书；②环境管理体系认证证书；③职业健康安全管理体系认证证书。具有三项得2分，两项得1分，只有一项得0.5分，没有不得分，本项最高得2分。</w:t>
            </w:r>
          </w:p>
          <w:p>
            <w:pPr>
              <w:widowControl w:val="0"/>
              <w:adjustRightInd/>
              <w:rPr>
                <w:rFonts w:asciiTheme="minorEastAsia" w:hAnsiTheme="minorEastAsia" w:eastAsiaTheme="minorEastAsia" w:cstheme="minorEastAsia"/>
                <w:bCs/>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注：须提供有效证书复印件及中国国家认证认可监督管理委员会认证查询截图（http://cx.cnca.cn/CertECloud/index/index/page）加盖投标人公章。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6"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4</w:t>
            </w:r>
          </w:p>
        </w:tc>
        <w:tc>
          <w:tcPr>
            <w:tcW w:w="1382" w:type="dxa"/>
            <w:gridSpan w:val="3"/>
            <w:tcBorders>
              <w:top w:val="single" w:color="auto" w:sz="4" w:space="0"/>
              <w:left w:val="single" w:color="auto" w:sz="4" w:space="0"/>
              <w:bottom w:val="single" w:color="auto" w:sz="4" w:space="0"/>
              <w:right w:val="single" w:color="auto" w:sz="4" w:space="0"/>
            </w:tcBorders>
            <w:noWrap/>
            <w:vAlign w:val="center"/>
          </w:tcPr>
          <w:p>
            <w:pPr>
              <w:widowControl w:val="0"/>
              <w:adjustRightInd/>
              <w:snapToGrid/>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类似</w:t>
            </w:r>
          </w:p>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项目业绩</w:t>
            </w:r>
          </w:p>
        </w:tc>
        <w:tc>
          <w:tcPr>
            <w:tcW w:w="812"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1</w:t>
            </w:r>
            <w:r>
              <w:rPr>
                <w:rFonts w:hint="eastAsia" w:asciiTheme="minorEastAsia" w:hAnsiTheme="minorEastAsia" w:eastAsiaTheme="minorEastAsia" w:cstheme="minorEastAsia"/>
                <w:color w:val="auto"/>
                <w:kern w:val="2"/>
                <w:szCs w:val="21"/>
                <w:highlight w:val="none"/>
                <w:lang w:val="en-US" w:eastAsia="zh-CN"/>
              </w:rPr>
              <w:t>0</w:t>
            </w:r>
            <w:r>
              <w:rPr>
                <w:rFonts w:hint="eastAsia" w:asciiTheme="minorEastAsia" w:hAnsiTheme="minorEastAsia" w:eastAsiaTheme="minorEastAsia" w:cstheme="minorEastAsia"/>
                <w:color w:val="auto"/>
                <w:kern w:val="2"/>
                <w:szCs w:val="21"/>
                <w:highlight w:val="none"/>
              </w:rPr>
              <w:t>分</w:t>
            </w:r>
          </w:p>
        </w:tc>
        <w:tc>
          <w:tcPr>
            <w:tcW w:w="5743" w:type="dxa"/>
            <w:tcBorders>
              <w:top w:val="single" w:color="auto" w:sz="4" w:space="0"/>
              <w:left w:val="single" w:color="auto" w:sz="4" w:space="0"/>
              <w:bottom w:val="single" w:color="auto" w:sz="4" w:space="0"/>
              <w:right w:val="single" w:color="auto" w:sz="4" w:space="0"/>
            </w:tcBorders>
            <w:noWrap/>
            <w:vAlign w:val="center"/>
          </w:tcPr>
          <w:p>
            <w:pPr>
              <w:widowControl w:val="0"/>
              <w:adjustRightInd/>
              <w:rPr>
                <w:rFonts w:asciiTheme="minorEastAsia" w:hAnsiTheme="minorEastAsia" w:eastAsiaTheme="minorEastAsia" w:cstheme="minorEastAsia"/>
                <w:bCs/>
                <w:color w:val="auto"/>
                <w:kern w:val="2"/>
                <w:szCs w:val="21"/>
                <w:highlight w:val="none"/>
                <w:lang w:val="zh-CN"/>
              </w:rPr>
            </w:pPr>
            <w:r>
              <w:rPr>
                <w:rFonts w:hint="eastAsia" w:asciiTheme="minorEastAsia" w:hAnsiTheme="minorEastAsia" w:eastAsiaTheme="minorEastAsia" w:cstheme="minorEastAsia"/>
                <w:bCs/>
                <w:color w:val="auto"/>
                <w:kern w:val="2"/>
                <w:szCs w:val="21"/>
                <w:highlight w:val="none"/>
                <w:lang w:val="zh-CN"/>
              </w:rPr>
              <w:t>根据投标人201</w:t>
            </w:r>
            <w:r>
              <w:rPr>
                <w:rFonts w:asciiTheme="minorEastAsia" w:hAnsiTheme="minorEastAsia" w:eastAsiaTheme="minorEastAsia" w:cstheme="minorEastAsia"/>
                <w:bCs/>
                <w:color w:val="auto"/>
                <w:kern w:val="2"/>
                <w:szCs w:val="21"/>
                <w:highlight w:val="none"/>
              </w:rPr>
              <w:t>8</w:t>
            </w:r>
            <w:r>
              <w:rPr>
                <w:rFonts w:hint="eastAsia" w:asciiTheme="minorEastAsia" w:hAnsiTheme="minorEastAsia" w:eastAsiaTheme="minorEastAsia" w:cstheme="minorEastAsia"/>
                <w:bCs/>
                <w:color w:val="auto"/>
                <w:kern w:val="2"/>
                <w:szCs w:val="21"/>
                <w:highlight w:val="none"/>
                <w:lang w:val="zh-CN"/>
              </w:rPr>
              <w:t>年</w:t>
            </w:r>
            <w:r>
              <w:rPr>
                <w:rFonts w:hint="eastAsia" w:asciiTheme="minorEastAsia" w:hAnsiTheme="minorEastAsia" w:eastAsiaTheme="minorEastAsia" w:cstheme="minorEastAsia"/>
                <w:bCs/>
                <w:color w:val="auto"/>
                <w:kern w:val="2"/>
                <w:szCs w:val="21"/>
                <w:highlight w:val="none"/>
              </w:rPr>
              <w:t>1月1日</w:t>
            </w:r>
            <w:r>
              <w:rPr>
                <w:rFonts w:hint="eastAsia" w:asciiTheme="minorEastAsia" w:hAnsiTheme="minorEastAsia" w:eastAsiaTheme="minorEastAsia" w:cstheme="minorEastAsia"/>
                <w:bCs/>
                <w:color w:val="auto"/>
                <w:kern w:val="2"/>
                <w:szCs w:val="21"/>
                <w:highlight w:val="none"/>
                <w:lang w:val="zh-CN"/>
              </w:rPr>
              <w:t>至今完成的</w:t>
            </w:r>
            <w:r>
              <w:rPr>
                <w:rFonts w:hint="eastAsia" w:asciiTheme="minorEastAsia" w:hAnsiTheme="minorEastAsia" w:eastAsiaTheme="minorEastAsia" w:cstheme="minorEastAsia"/>
                <w:bCs/>
                <w:color w:val="auto"/>
                <w:kern w:val="2"/>
                <w:szCs w:val="21"/>
                <w:highlight w:val="none"/>
              </w:rPr>
              <w:t>工业废水或垃圾渗滤液污水处理</w:t>
            </w:r>
            <w:r>
              <w:rPr>
                <w:rFonts w:hint="eastAsia" w:asciiTheme="minorEastAsia" w:hAnsiTheme="minorEastAsia" w:eastAsiaTheme="minorEastAsia" w:cstheme="minorEastAsia"/>
                <w:bCs/>
                <w:color w:val="auto"/>
                <w:kern w:val="2"/>
                <w:szCs w:val="21"/>
                <w:highlight w:val="none"/>
                <w:lang w:val="zh-CN"/>
              </w:rPr>
              <w:t>项目业绩情况进行评分，提供一份业绩得</w:t>
            </w:r>
            <w:r>
              <w:rPr>
                <w:rFonts w:hint="eastAsia" w:asciiTheme="minorEastAsia" w:hAnsiTheme="minorEastAsia" w:eastAsiaTheme="minorEastAsia" w:cstheme="minorEastAsia"/>
                <w:bCs/>
                <w:color w:val="auto"/>
                <w:kern w:val="2"/>
                <w:szCs w:val="21"/>
                <w:highlight w:val="none"/>
              </w:rPr>
              <w:t>2</w:t>
            </w:r>
            <w:r>
              <w:rPr>
                <w:rFonts w:hint="eastAsia" w:asciiTheme="minorEastAsia" w:hAnsiTheme="minorEastAsia" w:eastAsiaTheme="minorEastAsia" w:cstheme="minorEastAsia"/>
                <w:bCs/>
                <w:color w:val="auto"/>
                <w:kern w:val="2"/>
                <w:szCs w:val="21"/>
                <w:highlight w:val="none"/>
                <w:lang w:val="zh-CN"/>
              </w:rPr>
              <w:t>分，此项最高得</w:t>
            </w:r>
            <w:r>
              <w:rPr>
                <w:rFonts w:hint="eastAsia" w:asciiTheme="minorEastAsia" w:hAnsiTheme="minorEastAsia" w:eastAsiaTheme="minorEastAsia" w:cstheme="minorEastAsia"/>
                <w:bCs/>
                <w:color w:val="auto"/>
                <w:kern w:val="2"/>
                <w:szCs w:val="21"/>
                <w:highlight w:val="none"/>
              </w:rPr>
              <w:t>1</w:t>
            </w:r>
            <w:r>
              <w:rPr>
                <w:rFonts w:hint="eastAsia" w:asciiTheme="minorEastAsia" w:hAnsiTheme="minorEastAsia" w:eastAsiaTheme="minorEastAsia" w:cstheme="minorEastAsia"/>
                <w:bCs/>
                <w:color w:val="auto"/>
                <w:kern w:val="2"/>
                <w:szCs w:val="21"/>
                <w:highlight w:val="none"/>
                <w:lang w:val="en-US" w:eastAsia="zh-CN"/>
              </w:rPr>
              <w:t>0</w:t>
            </w:r>
            <w:r>
              <w:rPr>
                <w:rFonts w:hint="eastAsia" w:asciiTheme="minorEastAsia" w:hAnsiTheme="minorEastAsia" w:eastAsiaTheme="minorEastAsia" w:cstheme="minorEastAsia"/>
                <w:bCs/>
                <w:color w:val="auto"/>
                <w:kern w:val="2"/>
                <w:szCs w:val="21"/>
                <w:highlight w:val="none"/>
                <w:lang w:val="zh-CN"/>
              </w:rPr>
              <w:t>分。</w:t>
            </w:r>
          </w:p>
          <w:p>
            <w:pPr>
              <w:widowControl w:val="0"/>
              <w:adjustRightInd/>
              <w:rPr>
                <w:rFonts w:asciiTheme="minorEastAsia" w:hAnsiTheme="minorEastAsia" w:eastAsiaTheme="minorEastAsia" w:cstheme="minorEastAsia"/>
                <w:bCs/>
                <w:color w:val="auto"/>
                <w:kern w:val="2"/>
                <w:szCs w:val="21"/>
                <w:highlight w:val="none"/>
                <w:lang w:val="zh-CN"/>
              </w:rPr>
            </w:pPr>
            <w:r>
              <w:rPr>
                <w:rFonts w:hint="eastAsia" w:asciiTheme="minorEastAsia" w:hAnsiTheme="minorEastAsia" w:eastAsiaTheme="minorEastAsia" w:cstheme="minorEastAsia"/>
                <w:bCs/>
                <w:color w:val="auto"/>
                <w:kern w:val="2"/>
                <w:szCs w:val="21"/>
                <w:highlight w:val="none"/>
                <w:lang w:val="zh-CN"/>
              </w:rPr>
              <w:t>注：提供合同复印件和该合同期内任意一期发票复印件并加盖投标人公章。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3"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5</w:t>
            </w:r>
          </w:p>
        </w:tc>
        <w:tc>
          <w:tcPr>
            <w:tcW w:w="1382" w:type="dxa"/>
            <w:gridSpan w:val="3"/>
            <w:tcBorders>
              <w:top w:val="single" w:color="auto" w:sz="4" w:space="0"/>
              <w:left w:val="single" w:color="auto" w:sz="4" w:space="0"/>
              <w:bottom w:val="single" w:color="auto" w:sz="4" w:space="0"/>
              <w:right w:val="single" w:color="auto" w:sz="4" w:space="0"/>
            </w:tcBorders>
            <w:noWrap/>
            <w:vAlign w:val="center"/>
          </w:tcPr>
          <w:p>
            <w:pPr>
              <w:widowControl w:val="0"/>
              <w:adjustRightInd/>
              <w:snapToGrid/>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实力及荣誉情况</w:t>
            </w:r>
          </w:p>
        </w:tc>
        <w:tc>
          <w:tcPr>
            <w:tcW w:w="812"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rPr>
              <w:t>2</w:t>
            </w:r>
            <w:r>
              <w:rPr>
                <w:rFonts w:hint="eastAsia" w:asciiTheme="minorEastAsia" w:hAnsiTheme="minorEastAsia" w:eastAsiaTheme="minorEastAsia" w:cstheme="minorEastAsia"/>
                <w:color w:val="auto"/>
                <w:kern w:val="2"/>
                <w:szCs w:val="21"/>
                <w:highlight w:val="none"/>
              </w:rPr>
              <w:t>分</w:t>
            </w:r>
          </w:p>
        </w:tc>
        <w:tc>
          <w:tcPr>
            <w:tcW w:w="5743" w:type="dxa"/>
            <w:tcBorders>
              <w:top w:val="single" w:color="auto" w:sz="4" w:space="0"/>
              <w:left w:val="single" w:color="auto" w:sz="4" w:space="0"/>
              <w:bottom w:val="single" w:color="auto" w:sz="4" w:space="0"/>
              <w:right w:val="single" w:color="auto" w:sz="4" w:space="0"/>
            </w:tcBorders>
            <w:noWrap/>
            <w:vAlign w:val="center"/>
          </w:tcPr>
          <w:p>
            <w:pPr>
              <w:widowControl w:val="0"/>
              <w:adjustRightInd/>
              <w:snapToGrid/>
              <w:rPr>
                <w:rFonts w:asciiTheme="minorEastAsia" w:hAnsiTheme="minorEastAsia" w:eastAsiaTheme="minorEastAsia" w:cstheme="minorEastAsia"/>
                <w:bCs w:val="0"/>
                <w:color w:val="auto"/>
                <w:kern w:val="2"/>
                <w:szCs w:val="21"/>
                <w:highlight w:val="none"/>
                <w:shd w:val="clear" w:color="auto" w:fill="FFFFFF"/>
                <w:lang w:val="zh-CN"/>
              </w:rPr>
            </w:pPr>
            <w:r>
              <w:rPr>
                <w:rFonts w:hint="default" w:asciiTheme="minorEastAsia" w:hAnsiTheme="minorEastAsia" w:eastAsiaTheme="minorEastAsia" w:cstheme="minorEastAsia"/>
                <w:bCs w:val="0"/>
                <w:color w:val="auto"/>
                <w:kern w:val="2"/>
                <w:szCs w:val="21"/>
                <w:highlight w:val="none"/>
                <w:shd w:val="clear" w:color="auto" w:fill="FFFFFF"/>
                <w:lang w:val="zh-CN"/>
              </w:rPr>
              <w:t>投标人具有连续近</w:t>
            </w:r>
            <w:r>
              <w:rPr>
                <w:rFonts w:hint="default" w:asciiTheme="minorEastAsia" w:hAnsiTheme="minorEastAsia" w:eastAsiaTheme="minorEastAsia" w:cstheme="minorEastAsia"/>
                <w:bCs w:val="0"/>
                <w:color w:val="auto"/>
                <w:kern w:val="2"/>
                <w:szCs w:val="21"/>
                <w:highlight w:val="none"/>
                <w:shd w:val="clear" w:color="auto" w:fill="FFFFFF"/>
              </w:rPr>
              <w:t>3</w:t>
            </w:r>
            <w:r>
              <w:rPr>
                <w:rFonts w:hint="default" w:asciiTheme="minorEastAsia" w:hAnsiTheme="minorEastAsia" w:eastAsiaTheme="minorEastAsia" w:cstheme="minorEastAsia"/>
                <w:bCs w:val="0"/>
                <w:color w:val="auto"/>
                <w:kern w:val="2"/>
                <w:szCs w:val="21"/>
                <w:highlight w:val="none"/>
                <w:shd w:val="clear" w:color="auto" w:fill="FFFFFF"/>
                <w:lang w:val="zh-CN"/>
              </w:rPr>
              <w:t>年或以上市场监管部门颁发的守合同重信用</w:t>
            </w:r>
            <w:r>
              <w:rPr>
                <w:rFonts w:hint="eastAsia"/>
                <w:color w:val="auto"/>
                <w:highlight w:val="none"/>
                <w:lang w:val="en-US" w:eastAsia="zh-CN"/>
              </w:rPr>
              <w:t>或</w:t>
            </w:r>
            <w:r>
              <w:rPr>
                <w:rFonts w:hint="eastAsia"/>
                <w:color w:val="auto"/>
                <w:highlight w:val="none"/>
              </w:rPr>
              <w:t>重合同守信用</w:t>
            </w:r>
            <w:r>
              <w:rPr>
                <w:rFonts w:hint="default" w:asciiTheme="minorEastAsia" w:hAnsiTheme="minorEastAsia" w:eastAsiaTheme="minorEastAsia" w:cstheme="minorEastAsia"/>
                <w:bCs w:val="0"/>
                <w:color w:val="auto"/>
                <w:kern w:val="2"/>
                <w:szCs w:val="21"/>
                <w:highlight w:val="none"/>
                <w:shd w:val="clear" w:color="auto" w:fill="FFFFFF"/>
                <w:lang w:val="zh-CN"/>
              </w:rPr>
              <w:t>企业称号的得</w:t>
            </w:r>
            <w:r>
              <w:rPr>
                <w:rFonts w:hint="eastAsia" w:asciiTheme="minorEastAsia" w:hAnsiTheme="minorEastAsia" w:eastAsiaTheme="minorEastAsia" w:cstheme="minorEastAsia"/>
                <w:bCs w:val="0"/>
                <w:color w:val="auto"/>
                <w:kern w:val="2"/>
                <w:szCs w:val="21"/>
                <w:highlight w:val="none"/>
                <w:shd w:val="clear" w:color="auto" w:fill="FFFFFF"/>
                <w:lang w:val="en-US" w:eastAsia="zh-CN"/>
              </w:rPr>
              <w:t>2</w:t>
            </w:r>
            <w:r>
              <w:rPr>
                <w:rFonts w:hint="default" w:asciiTheme="minorEastAsia" w:hAnsiTheme="minorEastAsia" w:eastAsiaTheme="minorEastAsia" w:cstheme="minorEastAsia"/>
                <w:bCs w:val="0"/>
                <w:color w:val="auto"/>
                <w:kern w:val="2"/>
                <w:szCs w:val="21"/>
                <w:highlight w:val="none"/>
                <w:shd w:val="clear" w:color="auto" w:fill="FFFFFF"/>
                <w:lang w:val="zh-CN"/>
              </w:rPr>
              <w:t>分，连续2年或以上得</w:t>
            </w:r>
            <w:r>
              <w:rPr>
                <w:rFonts w:hint="eastAsia" w:asciiTheme="minorEastAsia" w:hAnsiTheme="minorEastAsia" w:eastAsiaTheme="minorEastAsia" w:cstheme="minorEastAsia"/>
                <w:bCs w:val="0"/>
                <w:color w:val="auto"/>
                <w:kern w:val="2"/>
                <w:szCs w:val="21"/>
                <w:highlight w:val="none"/>
                <w:shd w:val="clear" w:color="auto" w:fill="FFFFFF"/>
                <w:lang w:val="en-US" w:eastAsia="zh-CN"/>
              </w:rPr>
              <w:t>1</w:t>
            </w:r>
            <w:r>
              <w:rPr>
                <w:rFonts w:hint="default" w:asciiTheme="minorEastAsia" w:hAnsiTheme="minorEastAsia" w:eastAsiaTheme="minorEastAsia" w:cstheme="minorEastAsia"/>
                <w:bCs w:val="0"/>
                <w:color w:val="auto"/>
                <w:kern w:val="2"/>
                <w:szCs w:val="21"/>
                <w:highlight w:val="none"/>
                <w:shd w:val="clear" w:color="auto" w:fill="FFFFFF"/>
                <w:lang w:val="zh-CN"/>
              </w:rPr>
              <w:t>分，1年</w:t>
            </w:r>
            <w:r>
              <w:rPr>
                <w:rFonts w:hint="eastAsia" w:asciiTheme="minorEastAsia" w:hAnsiTheme="minorEastAsia" w:eastAsiaTheme="minorEastAsia" w:cstheme="minorEastAsia"/>
                <w:bCs w:val="0"/>
                <w:color w:val="auto"/>
                <w:kern w:val="2"/>
                <w:szCs w:val="21"/>
                <w:highlight w:val="none"/>
                <w:shd w:val="clear" w:color="auto" w:fill="FFFFFF"/>
                <w:lang w:val="en-US" w:eastAsia="zh-CN"/>
              </w:rPr>
              <w:t>的</w:t>
            </w:r>
            <w:r>
              <w:rPr>
                <w:rFonts w:hint="default" w:asciiTheme="minorEastAsia" w:hAnsiTheme="minorEastAsia" w:eastAsiaTheme="minorEastAsia" w:cstheme="minorEastAsia"/>
                <w:bCs w:val="0"/>
                <w:color w:val="auto"/>
                <w:kern w:val="2"/>
                <w:szCs w:val="21"/>
                <w:highlight w:val="none"/>
                <w:shd w:val="clear" w:color="auto" w:fill="FFFFFF"/>
                <w:lang w:val="zh-CN"/>
              </w:rPr>
              <w:t>得</w:t>
            </w:r>
            <w:r>
              <w:rPr>
                <w:rFonts w:hint="eastAsia" w:asciiTheme="minorEastAsia" w:hAnsiTheme="minorEastAsia" w:eastAsiaTheme="minorEastAsia" w:cstheme="minorEastAsia"/>
                <w:bCs w:val="0"/>
                <w:color w:val="auto"/>
                <w:kern w:val="2"/>
                <w:szCs w:val="21"/>
                <w:highlight w:val="none"/>
                <w:shd w:val="clear" w:color="auto" w:fill="FFFFFF"/>
                <w:lang w:val="en-US" w:eastAsia="zh-CN"/>
              </w:rPr>
              <w:t>0.5</w:t>
            </w:r>
            <w:r>
              <w:rPr>
                <w:rFonts w:hint="default" w:asciiTheme="minorEastAsia" w:hAnsiTheme="minorEastAsia" w:eastAsiaTheme="minorEastAsia" w:cstheme="minorEastAsia"/>
                <w:bCs w:val="0"/>
                <w:color w:val="auto"/>
                <w:kern w:val="2"/>
                <w:szCs w:val="21"/>
                <w:highlight w:val="none"/>
                <w:shd w:val="clear" w:color="auto" w:fill="FFFFFF"/>
                <w:lang w:val="zh-CN"/>
              </w:rPr>
              <w:t>分，其它不得分。</w:t>
            </w:r>
          </w:p>
          <w:p>
            <w:pPr>
              <w:widowControl w:val="0"/>
              <w:adjustRightInd/>
              <w:snapToGrid/>
              <w:rPr>
                <w:rFonts w:asciiTheme="minorEastAsia" w:hAnsiTheme="minorEastAsia" w:eastAsiaTheme="minorEastAsia" w:cstheme="minorEastAsia"/>
                <w:bCs/>
                <w:color w:val="auto"/>
                <w:kern w:val="2"/>
                <w:szCs w:val="21"/>
                <w:highlight w:val="none"/>
                <w:lang w:val="zh-CN"/>
              </w:rPr>
            </w:pPr>
            <w:r>
              <w:rPr>
                <w:rFonts w:hint="default" w:asciiTheme="minorEastAsia" w:hAnsiTheme="minorEastAsia" w:eastAsiaTheme="minorEastAsia" w:cstheme="minorEastAsia"/>
                <w:bCs w:val="0"/>
                <w:color w:val="auto"/>
                <w:kern w:val="2"/>
                <w:szCs w:val="21"/>
                <w:highlight w:val="none"/>
                <w:shd w:val="clear" w:color="auto" w:fill="FFFFFF"/>
                <w:lang w:val="zh-CN"/>
              </w:rPr>
              <w:t>注：提交证书复印件并加盖投标人公章。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677" w:type="dxa"/>
            <w:gridSpan w:val="6"/>
            <w:tcBorders>
              <w:top w:val="single" w:color="auto" w:sz="4" w:space="0"/>
              <w:left w:val="single" w:color="auto" w:sz="4" w:space="0"/>
              <w:bottom w:val="single" w:color="auto" w:sz="4" w:space="0"/>
              <w:right w:val="single" w:color="auto" w:sz="4" w:space="0"/>
            </w:tcBorders>
            <w:noWrap/>
            <w:vAlign w:val="center"/>
          </w:tcPr>
          <w:p>
            <w:pPr>
              <w:widowControl w:val="0"/>
              <w:adjustRightInd/>
              <w:jc w:val="center"/>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b/>
                <w:bCs/>
                <w:color w:val="auto"/>
                <w:kern w:val="2"/>
                <w:szCs w:val="21"/>
                <w:highlight w:val="none"/>
              </w:rPr>
              <w:t>技术评分细则（合计2</w:t>
            </w:r>
            <w:r>
              <w:rPr>
                <w:rFonts w:hint="eastAsia" w:asciiTheme="minorEastAsia" w:hAnsiTheme="minorEastAsia" w:eastAsiaTheme="minorEastAsia" w:cstheme="minorEastAsia"/>
                <w:b/>
                <w:bCs/>
                <w:color w:val="auto"/>
                <w:kern w:val="2"/>
                <w:szCs w:val="21"/>
                <w:highlight w:val="none"/>
                <w:lang w:val="en-US" w:eastAsia="zh-CN"/>
              </w:rPr>
              <w:t>0</w:t>
            </w:r>
            <w:r>
              <w:rPr>
                <w:rFonts w:hint="eastAsia" w:asciiTheme="minorEastAsia" w:hAnsiTheme="minorEastAsia" w:eastAsiaTheme="minorEastAsia" w:cstheme="minorEastAsia"/>
                <w:b/>
                <w:bCs/>
                <w:color w:val="auto"/>
                <w:kern w:val="2"/>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8"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1</w:t>
            </w:r>
          </w:p>
        </w:tc>
        <w:tc>
          <w:tcPr>
            <w:tcW w:w="1382" w:type="dxa"/>
            <w:gridSpan w:val="3"/>
            <w:tcBorders>
              <w:left w:val="single" w:color="auto" w:sz="4" w:space="0"/>
              <w:right w:val="single" w:color="auto" w:sz="4" w:space="0"/>
            </w:tcBorders>
            <w:noWrap/>
            <w:vAlign w:val="center"/>
          </w:tcPr>
          <w:p>
            <w:pPr>
              <w:widowControl w:val="0"/>
              <w:autoSpaceDE w:val="0"/>
              <w:autoSpaceDN w:val="0"/>
              <w:adjustRightInd/>
              <w:snapToGrid/>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rPr>
              <w:t>项目实施方案</w:t>
            </w:r>
          </w:p>
        </w:tc>
        <w:tc>
          <w:tcPr>
            <w:tcW w:w="812" w:type="dxa"/>
            <w:tcBorders>
              <w:top w:val="single" w:color="auto" w:sz="4" w:space="0"/>
              <w:left w:val="single" w:color="auto" w:sz="4" w:space="0"/>
              <w:bottom w:val="single" w:color="auto" w:sz="4" w:space="0"/>
              <w:right w:val="single" w:color="auto" w:sz="4" w:space="0"/>
            </w:tcBorders>
            <w:noWrap/>
            <w:vAlign w:val="center"/>
          </w:tcPr>
          <w:p>
            <w:pPr>
              <w:widowControl w:val="0"/>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rPr>
              <w:t>5</w:t>
            </w:r>
            <w:r>
              <w:rPr>
                <w:rFonts w:hint="eastAsia" w:asciiTheme="minorEastAsia" w:hAnsiTheme="minorEastAsia" w:eastAsiaTheme="minorEastAsia" w:cstheme="minorEastAsia"/>
                <w:color w:val="auto"/>
                <w:szCs w:val="21"/>
                <w:highlight w:val="none"/>
              </w:rPr>
              <w:t>分</w:t>
            </w:r>
          </w:p>
        </w:tc>
        <w:tc>
          <w:tcPr>
            <w:tcW w:w="5743" w:type="dxa"/>
            <w:tcBorders>
              <w:top w:val="single" w:color="auto" w:sz="4" w:space="0"/>
              <w:left w:val="single" w:color="auto" w:sz="4" w:space="0"/>
              <w:bottom w:val="single" w:color="auto" w:sz="4" w:space="0"/>
              <w:right w:val="single" w:color="auto" w:sz="4" w:space="0"/>
            </w:tcBorders>
            <w:noWrap/>
            <w:vAlign w:val="center"/>
          </w:tcPr>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根据</w:t>
            </w:r>
            <w:r>
              <w:rPr>
                <w:rFonts w:hint="eastAsia" w:asciiTheme="minorEastAsia" w:hAnsiTheme="minorEastAsia" w:eastAsiaTheme="minorEastAsia" w:cstheme="minorEastAsia"/>
                <w:color w:val="auto"/>
                <w:kern w:val="2"/>
                <w:szCs w:val="21"/>
                <w:highlight w:val="none"/>
              </w:rPr>
              <w:t>投标人</w:t>
            </w:r>
            <w:r>
              <w:rPr>
                <w:rFonts w:hint="eastAsia" w:asciiTheme="minorEastAsia" w:hAnsiTheme="minorEastAsia" w:eastAsiaTheme="minorEastAsia" w:cstheme="minorEastAsia"/>
                <w:color w:val="auto"/>
                <w:kern w:val="2"/>
                <w:szCs w:val="21"/>
                <w:highlight w:val="none"/>
                <w:shd w:val="clear" w:color="auto" w:fill="FFFFFF"/>
              </w:rPr>
              <w:t>提供的项目实施方案（方案包括1.安装调试方法与技术措施、2.安装调试质量保障体系与保障措施）进行综合评审：</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rPr>
              <w:t>投标人</w:t>
            </w:r>
            <w:r>
              <w:rPr>
                <w:rFonts w:hint="eastAsia" w:asciiTheme="minorEastAsia" w:hAnsiTheme="minorEastAsia" w:eastAsiaTheme="minorEastAsia" w:cstheme="minorEastAsia"/>
                <w:color w:val="auto"/>
                <w:kern w:val="2"/>
                <w:szCs w:val="21"/>
                <w:highlight w:val="none"/>
                <w:shd w:val="clear" w:color="auto" w:fill="FFFFFF"/>
              </w:rPr>
              <w:t>提供的项目实施方案内容全面完整（包括上述2种方案）、安装调试方法与技术措施全面科学、安装调试质量保障体系与保障措施详细合理的得</w:t>
            </w:r>
            <w:r>
              <w:rPr>
                <w:rFonts w:hint="eastAsia" w:asciiTheme="minorEastAsia" w:hAnsiTheme="minorEastAsia" w:eastAsiaTheme="minorEastAsia" w:cstheme="minorEastAsia"/>
                <w:color w:val="auto"/>
                <w:kern w:val="2"/>
                <w:szCs w:val="21"/>
                <w:highlight w:val="none"/>
                <w:shd w:val="clear" w:color="auto" w:fill="FFFFFF"/>
                <w:lang w:val="en-US" w:eastAsia="zh-CN"/>
              </w:rPr>
              <w:t>5</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rPr>
              <w:t>投标人</w:t>
            </w:r>
            <w:r>
              <w:rPr>
                <w:rFonts w:hint="eastAsia" w:asciiTheme="minorEastAsia" w:hAnsiTheme="minorEastAsia" w:eastAsiaTheme="minorEastAsia" w:cstheme="minorEastAsia"/>
                <w:color w:val="auto"/>
                <w:kern w:val="2"/>
                <w:szCs w:val="21"/>
                <w:highlight w:val="none"/>
                <w:shd w:val="clear" w:color="auto" w:fill="FFFFFF"/>
              </w:rPr>
              <w:t>提供的项目实施方案内容完整（至少包含上述1种方案）、安装调试方法与技术措施科学、安装调试质量保障体系与保障措施合理，得3分；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rPr>
              <w:t>投标人</w:t>
            </w:r>
            <w:r>
              <w:rPr>
                <w:rFonts w:hint="eastAsia" w:asciiTheme="minorEastAsia" w:hAnsiTheme="minorEastAsia" w:eastAsiaTheme="minorEastAsia" w:cstheme="minorEastAsia"/>
                <w:color w:val="auto"/>
                <w:kern w:val="2"/>
                <w:szCs w:val="21"/>
                <w:highlight w:val="none"/>
                <w:shd w:val="clear" w:color="auto" w:fill="FFFFFF"/>
              </w:rPr>
              <w:t>提供的项目实施方案内容不完整</w:t>
            </w:r>
            <w:r>
              <w:rPr>
                <w:rFonts w:hint="eastAsia" w:asciiTheme="minorEastAsia" w:hAnsiTheme="minorEastAsia" w:eastAsiaTheme="minorEastAsia" w:cstheme="minorEastAsia"/>
                <w:color w:val="auto"/>
                <w:kern w:val="2"/>
                <w:szCs w:val="21"/>
                <w:highlight w:val="none"/>
              </w:rPr>
              <w:t>或均缺的</w:t>
            </w:r>
            <w:r>
              <w:rPr>
                <w:rFonts w:hint="eastAsia" w:asciiTheme="minorEastAsia" w:hAnsiTheme="minorEastAsia" w:eastAsiaTheme="minorEastAsia" w:cstheme="minorEastAsia"/>
                <w:color w:val="auto"/>
                <w:kern w:val="2"/>
                <w:szCs w:val="21"/>
                <w:highlight w:val="none"/>
                <w:shd w:val="clear" w:color="auto" w:fill="FFFFFF"/>
              </w:rPr>
              <w:t>、安装调试方法与技术措施差、安装调试质量保障体系与保障措施差、货物运输方案差，得1分；</w:t>
            </w:r>
          </w:p>
          <w:p>
            <w:pPr>
              <w:widowControl w:val="0"/>
              <w:adjustRightInd/>
              <w:snapToGrid/>
              <w:ind w:firstLine="420" w:firstLineChars="200"/>
              <w:jc w:val="both"/>
              <w:rPr>
                <w:rFonts w:asciiTheme="minorEastAsia" w:hAnsiTheme="minorEastAsia" w:eastAsiaTheme="minorEastAsia" w:cstheme="minorEastAsia"/>
                <w:bCs/>
                <w:color w:val="auto"/>
                <w:kern w:val="2"/>
                <w:szCs w:val="21"/>
                <w:highlight w:val="none"/>
                <w:lang w:val="zh-CN"/>
              </w:rPr>
            </w:pPr>
            <w:r>
              <w:rPr>
                <w:rFonts w:hint="eastAsia" w:asciiTheme="minorEastAsia" w:hAnsiTheme="minorEastAsia" w:eastAsiaTheme="minorEastAsia" w:cstheme="minorEastAsia"/>
                <w:color w:val="auto"/>
                <w:kern w:val="2"/>
                <w:szCs w:val="21"/>
                <w:highlight w:val="none"/>
                <w:shd w:val="clear" w:color="auto" w:fill="FFFFFF"/>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7"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2</w:t>
            </w:r>
          </w:p>
        </w:tc>
        <w:tc>
          <w:tcPr>
            <w:tcW w:w="1382" w:type="dxa"/>
            <w:gridSpan w:val="3"/>
            <w:tcBorders>
              <w:left w:val="single" w:color="auto" w:sz="4" w:space="0"/>
              <w:right w:val="single" w:color="auto" w:sz="4" w:space="0"/>
            </w:tcBorders>
            <w:noWrap/>
            <w:vAlign w:val="center"/>
          </w:tcPr>
          <w:p>
            <w:pPr>
              <w:widowControl w:val="0"/>
              <w:adjustRightInd/>
              <w:snapToGrid/>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性能质量情况</w:t>
            </w:r>
          </w:p>
        </w:tc>
        <w:tc>
          <w:tcPr>
            <w:tcW w:w="812" w:type="dxa"/>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rPr>
              <w:t>6</w:t>
            </w:r>
            <w:r>
              <w:rPr>
                <w:rFonts w:hint="eastAsia" w:asciiTheme="minorEastAsia" w:hAnsiTheme="minorEastAsia" w:eastAsiaTheme="minorEastAsia" w:cstheme="minorEastAsia"/>
                <w:color w:val="auto"/>
                <w:kern w:val="2"/>
                <w:szCs w:val="21"/>
                <w:highlight w:val="none"/>
              </w:rPr>
              <w:t>分</w:t>
            </w:r>
          </w:p>
        </w:tc>
        <w:tc>
          <w:tcPr>
            <w:tcW w:w="5743" w:type="dxa"/>
            <w:tcBorders>
              <w:top w:val="single" w:color="auto" w:sz="4" w:space="0"/>
              <w:left w:val="single" w:color="auto" w:sz="4" w:space="0"/>
              <w:bottom w:val="single" w:color="auto" w:sz="4" w:space="0"/>
              <w:right w:val="single" w:color="auto" w:sz="4" w:space="0"/>
            </w:tcBorders>
            <w:noWrap/>
            <w:vAlign w:val="center"/>
          </w:tcPr>
          <w:p>
            <w:pPr>
              <w:adjustRightIn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val="zh-CN"/>
              </w:rPr>
              <w:t>对</w:t>
            </w:r>
            <w:r>
              <w:rPr>
                <w:rFonts w:hint="eastAsia" w:asciiTheme="minorEastAsia" w:hAnsiTheme="minorEastAsia" w:eastAsiaTheme="minorEastAsia" w:cstheme="minorEastAsia"/>
                <w:color w:val="auto"/>
                <w:kern w:val="2"/>
                <w:szCs w:val="21"/>
                <w:highlight w:val="none"/>
                <w:shd w:val="clear" w:color="auto" w:fill="FFFFFF"/>
              </w:rPr>
              <w:t>投标人</w:t>
            </w:r>
            <w:r>
              <w:rPr>
                <w:rFonts w:hint="eastAsia" w:asciiTheme="minorEastAsia" w:hAnsiTheme="minorEastAsia" w:eastAsiaTheme="minorEastAsia" w:cstheme="minorEastAsia"/>
                <w:color w:val="auto"/>
                <w:kern w:val="2"/>
                <w:szCs w:val="21"/>
                <w:highlight w:val="none"/>
                <w:shd w:val="clear" w:color="auto" w:fill="FFFFFF"/>
                <w:lang w:val="zh-CN"/>
              </w:rPr>
              <w:t>所投产品功能响应程度，自动化控制程度、技术先进性等整体性能，以及易维护性进行评审，按优</w:t>
            </w:r>
            <w:r>
              <w:rPr>
                <w:rFonts w:hint="eastAsia" w:asciiTheme="minorEastAsia" w:hAnsiTheme="minorEastAsia" w:eastAsiaTheme="minorEastAsia" w:cstheme="minorEastAsia"/>
                <w:color w:val="auto"/>
                <w:kern w:val="2"/>
                <w:szCs w:val="21"/>
                <w:highlight w:val="none"/>
                <w:shd w:val="clear" w:color="auto" w:fill="FFFFFF"/>
                <w:lang w:val="en-US" w:eastAsia="zh-CN"/>
              </w:rPr>
              <w:t>6</w:t>
            </w:r>
            <w:r>
              <w:rPr>
                <w:rFonts w:hint="eastAsia" w:asciiTheme="minorEastAsia" w:hAnsiTheme="minorEastAsia" w:eastAsiaTheme="minorEastAsia" w:cstheme="minorEastAsia"/>
                <w:color w:val="auto"/>
                <w:kern w:val="2"/>
                <w:szCs w:val="21"/>
                <w:highlight w:val="none"/>
                <w:shd w:val="clear" w:color="auto" w:fill="FFFFFF"/>
                <w:lang w:val="zh-CN"/>
              </w:rPr>
              <w:t>分、良</w:t>
            </w:r>
            <w:r>
              <w:rPr>
                <w:rFonts w:hint="eastAsia" w:asciiTheme="minorEastAsia" w:hAnsiTheme="minorEastAsia" w:eastAsiaTheme="minorEastAsia" w:cstheme="minorEastAsia"/>
                <w:color w:val="auto"/>
                <w:kern w:val="2"/>
                <w:szCs w:val="21"/>
                <w:highlight w:val="none"/>
                <w:shd w:val="clear" w:color="auto" w:fill="FFFFFF"/>
                <w:lang w:val="en-US" w:eastAsia="zh-CN"/>
              </w:rPr>
              <w:t>4</w:t>
            </w:r>
            <w:r>
              <w:rPr>
                <w:rFonts w:hint="eastAsia" w:asciiTheme="minorEastAsia" w:hAnsiTheme="minorEastAsia" w:eastAsiaTheme="minorEastAsia" w:cstheme="minorEastAsia"/>
                <w:color w:val="auto"/>
                <w:kern w:val="2"/>
                <w:szCs w:val="21"/>
                <w:highlight w:val="none"/>
                <w:shd w:val="clear" w:color="auto" w:fill="FFFFFF"/>
                <w:lang w:val="zh-CN"/>
              </w:rPr>
              <w:t>分，</w:t>
            </w:r>
            <w:r>
              <w:rPr>
                <w:rFonts w:hint="eastAsia" w:asciiTheme="minorEastAsia" w:hAnsiTheme="minorEastAsia" w:eastAsiaTheme="minorEastAsia" w:cstheme="minorEastAsia"/>
                <w:color w:val="auto"/>
                <w:kern w:val="2"/>
                <w:szCs w:val="21"/>
                <w:highlight w:val="none"/>
                <w:shd w:val="clear" w:color="auto" w:fill="FFFFFF"/>
              </w:rPr>
              <w:t>中</w:t>
            </w:r>
            <w:r>
              <w:rPr>
                <w:rFonts w:hint="eastAsia" w:asciiTheme="minorEastAsia" w:hAnsiTheme="minorEastAsia" w:eastAsiaTheme="minorEastAsia" w:cstheme="minorEastAsia"/>
                <w:color w:val="auto"/>
                <w:kern w:val="2"/>
                <w:szCs w:val="21"/>
                <w:highlight w:val="none"/>
                <w:shd w:val="clear" w:color="auto" w:fill="FFFFFF"/>
                <w:lang w:val="en-US" w:eastAsia="zh-CN"/>
              </w:rPr>
              <w:t>2</w:t>
            </w:r>
            <w:r>
              <w:rPr>
                <w:rFonts w:hint="eastAsia" w:asciiTheme="minorEastAsia" w:hAnsiTheme="minorEastAsia" w:eastAsiaTheme="minorEastAsia" w:cstheme="minorEastAsia"/>
                <w:color w:val="auto"/>
                <w:kern w:val="2"/>
                <w:szCs w:val="21"/>
                <w:highlight w:val="none"/>
                <w:shd w:val="clear" w:color="auto" w:fill="FFFFFF"/>
              </w:rPr>
              <w:t>分，</w:t>
            </w:r>
            <w:r>
              <w:rPr>
                <w:rFonts w:hint="eastAsia" w:asciiTheme="minorEastAsia" w:hAnsiTheme="minorEastAsia" w:eastAsiaTheme="minorEastAsia" w:cstheme="minorEastAsia"/>
                <w:color w:val="auto"/>
                <w:kern w:val="2"/>
                <w:szCs w:val="21"/>
                <w:highlight w:val="none"/>
                <w:shd w:val="clear" w:color="auto" w:fill="FFFFFF"/>
                <w:lang w:val="zh-CN"/>
              </w:rPr>
              <w:t>差</w:t>
            </w:r>
            <w:r>
              <w:rPr>
                <w:rFonts w:hint="eastAsia" w:asciiTheme="minorEastAsia" w:hAnsiTheme="minorEastAsia" w:eastAsiaTheme="minorEastAsia" w:cstheme="minorEastAsia"/>
                <w:color w:val="auto"/>
                <w:kern w:val="2"/>
                <w:szCs w:val="21"/>
                <w:highlight w:val="none"/>
                <w:shd w:val="clear" w:color="auto" w:fill="FFFFFF"/>
              </w:rPr>
              <w:t>1</w:t>
            </w:r>
            <w:r>
              <w:rPr>
                <w:rFonts w:hint="eastAsia" w:asciiTheme="minorEastAsia" w:hAnsiTheme="minorEastAsia" w:eastAsiaTheme="minorEastAsia" w:cstheme="minorEastAsia"/>
                <w:color w:val="auto"/>
                <w:kern w:val="2"/>
                <w:szCs w:val="21"/>
                <w:highlight w:val="none"/>
                <w:shd w:val="clear" w:color="auto" w:fill="FFFFFF"/>
                <w:lang w:val="zh-CN"/>
              </w:rPr>
              <w:t>分进行评审</w:t>
            </w:r>
            <w:r>
              <w:rPr>
                <w:rFonts w:hint="eastAsia" w:asciiTheme="minorEastAsia" w:hAnsiTheme="minorEastAsia" w:eastAsiaTheme="minorEastAsia" w:cstheme="minorEastAsia"/>
                <w:color w:val="auto"/>
                <w:kern w:val="2"/>
                <w:szCs w:val="21"/>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8"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3</w:t>
            </w:r>
          </w:p>
        </w:tc>
        <w:tc>
          <w:tcPr>
            <w:tcW w:w="1382" w:type="dxa"/>
            <w:gridSpan w:val="3"/>
            <w:tcBorders>
              <w:left w:val="single" w:color="auto" w:sz="4" w:space="0"/>
              <w:right w:val="single" w:color="auto" w:sz="4" w:space="0"/>
            </w:tcBorders>
            <w:noWrap/>
            <w:vAlign w:val="center"/>
          </w:tcPr>
          <w:p>
            <w:pPr>
              <w:widowControl w:val="0"/>
              <w:adjustRightInd/>
              <w:snapToGrid/>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人员配备情况</w:t>
            </w:r>
          </w:p>
        </w:tc>
        <w:tc>
          <w:tcPr>
            <w:tcW w:w="812" w:type="dxa"/>
            <w:tcBorders>
              <w:top w:val="single" w:color="auto" w:sz="4" w:space="0"/>
              <w:left w:val="single" w:color="auto" w:sz="4" w:space="0"/>
              <w:bottom w:val="single" w:color="auto" w:sz="4" w:space="0"/>
              <w:right w:val="single" w:color="auto" w:sz="4" w:space="0"/>
            </w:tcBorders>
            <w:noWrap/>
            <w:vAlign w:val="center"/>
          </w:tcPr>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2</w:t>
            </w:r>
            <w:r>
              <w:rPr>
                <w:rFonts w:hint="eastAsia" w:asciiTheme="minorEastAsia" w:hAnsiTheme="minorEastAsia" w:eastAsiaTheme="minorEastAsia" w:cstheme="minorEastAsia"/>
                <w:color w:val="auto"/>
                <w:szCs w:val="21"/>
                <w:highlight w:val="none"/>
              </w:rPr>
              <w:t>分</w:t>
            </w:r>
          </w:p>
        </w:tc>
        <w:tc>
          <w:tcPr>
            <w:tcW w:w="5743" w:type="dxa"/>
            <w:tcBorders>
              <w:top w:val="single" w:color="auto" w:sz="4" w:space="0"/>
              <w:left w:val="single" w:color="auto" w:sz="4" w:space="0"/>
              <w:bottom w:val="single" w:color="auto" w:sz="4" w:space="0"/>
              <w:right w:val="single" w:color="auto" w:sz="4" w:space="0"/>
            </w:tcBorders>
            <w:noWrap/>
            <w:vAlign w:val="center"/>
          </w:tcPr>
          <w:p>
            <w:pPr>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根</w:t>
            </w:r>
            <w:r>
              <w:rPr>
                <w:rFonts w:hint="default" w:asciiTheme="minorEastAsia" w:hAnsiTheme="minorEastAsia" w:eastAsiaTheme="minorEastAsia" w:cstheme="minorEastAsia"/>
                <w:color w:val="auto"/>
                <w:kern w:val="2"/>
                <w:szCs w:val="21"/>
                <w:highlight w:val="none"/>
                <w:shd w:val="clear" w:color="auto" w:fill="FFFFFF"/>
                <w:lang w:val="zh-CN"/>
              </w:rPr>
              <w:t>据</w:t>
            </w:r>
            <w:r>
              <w:rPr>
                <w:rFonts w:hint="eastAsia" w:asciiTheme="minorEastAsia" w:hAnsiTheme="minorEastAsia" w:eastAsiaTheme="minorEastAsia" w:cstheme="minorEastAsia"/>
                <w:color w:val="auto"/>
                <w:kern w:val="2"/>
                <w:szCs w:val="21"/>
                <w:highlight w:val="none"/>
                <w:shd w:val="clear" w:color="auto" w:fill="FFFFFF"/>
              </w:rPr>
              <w:t>投标人</w:t>
            </w:r>
            <w:r>
              <w:rPr>
                <w:rFonts w:hint="default" w:asciiTheme="minorEastAsia" w:hAnsiTheme="minorEastAsia" w:eastAsiaTheme="minorEastAsia" w:cstheme="minorEastAsia"/>
                <w:color w:val="auto"/>
                <w:kern w:val="2"/>
                <w:szCs w:val="21"/>
                <w:highlight w:val="none"/>
                <w:shd w:val="clear" w:color="auto" w:fill="FFFFFF"/>
                <w:lang w:val="zh-CN"/>
              </w:rPr>
              <w:t>企业人员实力情况进行评审：</w:t>
            </w:r>
          </w:p>
          <w:p>
            <w:pPr>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default" w:asciiTheme="minorEastAsia" w:hAnsiTheme="minorEastAsia" w:eastAsiaTheme="minorEastAsia" w:cstheme="minorEastAsia"/>
                <w:color w:val="auto"/>
                <w:kern w:val="2"/>
                <w:szCs w:val="21"/>
                <w:highlight w:val="none"/>
                <w:shd w:val="clear" w:color="auto" w:fill="FFFFFF"/>
                <w:lang w:val="zh-CN"/>
              </w:rPr>
              <w:t>①</w:t>
            </w:r>
            <w:r>
              <w:rPr>
                <w:rFonts w:hint="eastAsia" w:asciiTheme="minorEastAsia" w:hAnsiTheme="minorEastAsia" w:eastAsiaTheme="minorEastAsia" w:cstheme="minorEastAsia"/>
                <w:color w:val="auto"/>
                <w:kern w:val="2"/>
                <w:szCs w:val="21"/>
                <w:highlight w:val="none"/>
                <w:shd w:val="clear" w:color="auto" w:fill="FFFFFF"/>
              </w:rPr>
              <w:t>拟派本项目项目经理（或项目负责人）</w:t>
            </w:r>
            <w:r>
              <w:rPr>
                <w:rFonts w:hint="default" w:asciiTheme="minorEastAsia" w:hAnsiTheme="minorEastAsia" w:eastAsiaTheme="minorEastAsia" w:cstheme="minorEastAsia"/>
                <w:color w:val="auto"/>
                <w:kern w:val="2"/>
                <w:szCs w:val="21"/>
                <w:highlight w:val="none"/>
                <w:shd w:val="clear" w:color="auto" w:fill="FFFFFF"/>
                <w:lang w:val="zh-CN"/>
              </w:rPr>
              <w:t>具有一级建造师（市政</w:t>
            </w:r>
            <w:r>
              <w:rPr>
                <w:rFonts w:hint="eastAsia" w:asciiTheme="minorEastAsia" w:hAnsiTheme="minorEastAsia" w:eastAsiaTheme="minorEastAsia" w:cstheme="minorEastAsia"/>
                <w:color w:val="auto"/>
                <w:kern w:val="2"/>
                <w:szCs w:val="21"/>
                <w:highlight w:val="none"/>
                <w:shd w:val="clear" w:color="auto" w:fill="FFFFFF"/>
              </w:rPr>
              <w:t>或机电类专业</w:t>
            </w:r>
            <w:r>
              <w:rPr>
                <w:rFonts w:hint="default" w:asciiTheme="minorEastAsia" w:hAnsiTheme="minorEastAsia" w:eastAsiaTheme="minorEastAsia" w:cstheme="minorEastAsia"/>
                <w:color w:val="auto"/>
                <w:kern w:val="2"/>
                <w:szCs w:val="21"/>
                <w:highlight w:val="none"/>
                <w:shd w:val="clear" w:color="auto" w:fill="FFFFFF"/>
                <w:lang w:val="zh-CN"/>
              </w:rPr>
              <w:t>）</w:t>
            </w:r>
            <w:r>
              <w:rPr>
                <w:rFonts w:hint="eastAsia" w:asciiTheme="minorEastAsia" w:hAnsiTheme="minorEastAsia" w:eastAsiaTheme="minorEastAsia" w:cstheme="minorEastAsia"/>
                <w:color w:val="auto"/>
                <w:kern w:val="2"/>
                <w:szCs w:val="21"/>
                <w:highlight w:val="none"/>
                <w:shd w:val="clear" w:color="auto" w:fill="FFFFFF"/>
              </w:rPr>
              <w:t>或环保类专业高级工程师</w:t>
            </w:r>
            <w:r>
              <w:rPr>
                <w:rFonts w:hint="default" w:asciiTheme="minorEastAsia" w:hAnsiTheme="minorEastAsia" w:eastAsiaTheme="minorEastAsia" w:cstheme="minorEastAsia"/>
                <w:color w:val="auto"/>
                <w:kern w:val="2"/>
                <w:szCs w:val="21"/>
                <w:highlight w:val="none"/>
                <w:shd w:val="clear" w:color="auto" w:fill="FFFFFF"/>
                <w:lang w:val="zh-CN"/>
              </w:rPr>
              <w:t>的</w:t>
            </w:r>
            <w:r>
              <w:rPr>
                <w:rFonts w:hint="eastAsia" w:asciiTheme="minorEastAsia" w:hAnsiTheme="minorEastAsia" w:eastAsiaTheme="minorEastAsia" w:cstheme="minorEastAsia"/>
                <w:color w:val="auto"/>
                <w:kern w:val="2"/>
                <w:szCs w:val="21"/>
                <w:highlight w:val="none"/>
                <w:shd w:val="clear" w:color="auto" w:fill="FFFFFF"/>
              </w:rPr>
              <w:t>得1</w:t>
            </w:r>
            <w:r>
              <w:rPr>
                <w:rFonts w:hint="default" w:asciiTheme="minorEastAsia" w:hAnsiTheme="minorEastAsia" w:eastAsiaTheme="minorEastAsia" w:cstheme="minorEastAsia"/>
                <w:color w:val="auto"/>
                <w:kern w:val="2"/>
                <w:szCs w:val="21"/>
                <w:highlight w:val="none"/>
                <w:shd w:val="clear" w:color="auto" w:fill="FFFFFF"/>
                <w:lang w:val="zh-CN"/>
              </w:rPr>
              <w:t>分；</w:t>
            </w:r>
          </w:p>
          <w:p>
            <w:pPr>
              <w:adjustRightInd/>
              <w:ind w:left="0" w:firstLine="0" w:firstLineChars="0"/>
              <w:rPr>
                <w:rFonts w:asciiTheme="minorEastAsia" w:hAnsiTheme="minorEastAsia" w:eastAsiaTheme="minorEastAsia" w:cstheme="minorEastAsia"/>
                <w:color w:val="auto"/>
                <w:kern w:val="2"/>
                <w:szCs w:val="21"/>
                <w:highlight w:val="none"/>
                <w:shd w:val="clear" w:color="auto" w:fill="FFFFFF"/>
                <w:lang w:val="zh-CN"/>
              </w:rPr>
            </w:pPr>
            <w:r>
              <w:rPr>
                <w:rFonts w:hint="default" w:asciiTheme="minorEastAsia" w:hAnsiTheme="minorEastAsia" w:eastAsiaTheme="minorEastAsia" w:cstheme="minorEastAsia"/>
                <w:color w:val="auto"/>
                <w:kern w:val="2"/>
                <w:szCs w:val="21"/>
                <w:highlight w:val="none"/>
                <w:shd w:val="clear" w:color="auto" w:fill="FFFFFF"/>
                <w:lang w:val="zh-CN"/>
              </w:rPr>
              <w:t>②</w:t>
            </w:r>
            <w:r>
              <w:rPr>
                <w:rFonts w:hint="eastAsia" w:asciiTheme="minorEastAsia" w:hAnsiTheme="minorEastAsia" w:eastAsiaTheme="minorEastAsia" w:cstheme="minorEastAsia"/>
                <w:color w:val="auto"/>
                <w:kern w:val="2"/>
                <w:szCs w:val="21"/>
                <w:highlight w:val="none"/>
                <w:shd w:val="clear" w:color="auto" w:fill="FFFFFF"/>
              </w:rPr>
              <w:t>拟派本项目的其它现场管理或安装人员</w:t>
            </w:r>
            <w:r>
              <w:rPr>
                <w:rFonts w:hint="default" w:asciiTheme="minorEastAsia" w:hAnsiTheme="minorEastAsia" w:eastAsiaTheme="minorEastAsia" w:cstheme="minorEastAsia"/>
                <w:color w:val="auto"/>
                <w:kern w:val="2"/>
                <w:szCs w:val="21"/>
                <w:highlight w:val="none"/>
                <w:shd w:val="clear" w:color="auto" w:fill="FFFFFF"/>
                <w:lang w:val="zh-CN"/>
              </w:rPr>
              <w:t>具有二级建造师（市政或机电类专业）</w:t>
            </w:r>
            <w:r>
              <w:rPr>
                <w:rFonts w:hint="eastAsia" w:asciiTheme="minorEastAsia" w:hAnsiTheme="minorEastAsia" w:eastAsiaTheme="minorEastAsia" w:cstheme="minorEastAsia"/>
                <w:color w:val="auto"/>
                <w:kern w:val="2"/>
                <w:szCs w:val="21"/>
                <w:highlight w:val="none"/>
                <w:shd w:val="clear" w:color="auto" w:fill="FFFFFF"/>
              </w:rPr>
              <w:t>或</w:t>
            </w:r>
            <w:r>
              <w:rPr>
                <w:rFonts w:hint="default" w:asciiTheme="minorEastAsia" w:hAnsiTheme="minorEastAsia" w:eastAsiaTheme="minorEastAsia" w:cstheme="minorEastAsia"/>
                <w:color w:val="auto"/>
                <w:kern w:val="2"/>
                <w:szCs w:val="21"/>
                <w:highlight w:val="none"/>
                <w:shd w:val="clear" w:color="auto" w:fill="FFFFFF"/>
                <w:lang w:val="zh-CN"/>
              </w:rPr>
              <w:t>环保</w:t>
            </w:r>
            <w:r>
              <w:rPr>
                <w:rFonts w:hint="eastAsia" w:asciiTheme="minorEastAsia" w:hAnsiTheme="minorEastAsia" w:eastAsiaTheme="minorEastAsia" w:cstheme="minorEastAsia"/>
                <w:color w:val="auto"/>
                <w:kern w:val="2"/>
                <w:szCs w:val="21"/>
                <w:highlight w:val="none"/>
                <w:shd w:val="clear" w:color="auto" w:fill="FFFFFF"/>
              </w:rPr>
              <w:t>类专业中</w:t>
            </w:r>
            <w:r>
              <w:rPr>
                <w:rFonts w:hint="default" w:asciiTheme="minorEastAsia" w:hAnsiTheme="minorEastAsia" w:eastAsiaTheme="minorEastAsia" w:cstheme="minorEastAsia"/>
                <w:color w:val="auto"/>
                <w:kern w:val="2"/>
                <w:szCs w:val="21"/>
                <w:highlight w:val="none"/>
                <w:shd w:val="clear" w:color="auto" w:fill="FFFFFF"/>
                <w:lang w:val="zh-CN"/>
              </w:rPr>
              <w:t>级工程师</w:t>
            </w:r>
            <w:r>
              <w:rPr>
                <w:rFonts w:hint="eastAsia" w:asciiTheme="minorEastAsia" w:hAnsiTheme="minorEastAsia" w:eastAsiaTheme="minorEastAsia" w:cstheme="minorEastAsia"/>
                <w:color w:val="auto"/>
                <w:kern w:val="2"/>
                <w:szCs w:val="21"/>
                <w:highlight w:val="none"/>
                <w:shd w:val="clear" w:color="auto" w:fill="FFFFFF"/>
              </w:rPr>
              <w:t>或以上</w:t>
            </w:r>
            <w:r>
              <w:rPr>
                <w:rFonts w:hint="default" w:asciiTheme="minorEastAsia" w:hAnsiTheme="minorEastAsia" w:eastAsiaTheme="minorEastAsia" w:cstheme="minorEastAsia"/>
                <w:color w:val="auto"/>
                <w:kern w:val="2"/>
                <w:szCs w:val="21"/>
                <w:highlight w:val="none"/>
                <w:shd w:val="clear" w:color="auto" w:fill="FFFFFF"/>
                <w:lang w:val="zh-CN"/>
              </w:rPr>
              <w:t>职称</w:t>
            </w:r>
            <w:r>
              <w:rPr>
                <w:rFonts w:hint="eastAsia" w:asciiTheme="minorEastAsia" w:hAnsiTheme="minorEastAsia" w:eastAsiaTheme="minorEastAsia" w:cstheme="minorEastAsia"/>
                <w:color w:val="auto"/>
                <w:kern w:val="2"/>
                <w:szCs w:val="21"/>
                <w:highlight w:val="none"/>
                <w:shd w:val="clear" w:color="auto" w:fill="FFFFFF"/>
                <w:lang w:val="en-US" w:eastAsia="zh-CN"/>
              </w:rPr>
              <w:t>的每个得0.5</w:t>
            </w:r>
            <w:r>
              <w:rPr>
                <w:rFonts w:hint="eastAsia" w:asciiTheme="minorEastAsia" w:hAnsiTheme="minorEastAsia" w:eastAsiaTheme="minorEastAsia" w:cstheme="minorEastAsia"/>
                <w:color w:val="auto"/>
                <w:kern w:val="2"/>
                <w:szCs w:val="21"/>
                <w:highlight w:val="none"/>
                <w:shd w:val="clear" w:color="auto" w:fill="FFFFFF"/>
              </w:rPr>
              <w:t>分</w:t>
            </w:r>
            <w:r>
              <w:rPr>
                <w:rFonts w:hint="eastAsia" w:asciiTheme="minorEastAsia" w:hAnsiTheme="minorEastAsia" w:eastAsiaTheme="minorEastAsia" w:cstheme="minorEastAsia"/>
                <w:color w:val="auto"/>
                <w:kern w:val="2"/>
                <w:szCs w:val="21"/>
                <w:highlight w:val="none"/>
                <w:shd w:val="clear" w:color="auto" w:fill="FFFFFF"/>
                <w:lang w:eastAsia="zh-CN"/>
              </w:rPr>
              <w:t>，</w:t>
            </w:r>
            <w:r>
              <w:rPr>
                <w:rFonts w:hint="eastAsia" w:asciiTheme="minorEastAsia" w:hAnsiTheme="minorEastAsia" w:eastAsiaTheme="minorEastAsia" w:cstheme="minorEastAsia"/>
                <w:color w:val="auto"/>
                <w:kern w:val="2"/>
                <w:szCs w:val="21"/>
                <w:highlight w:val="none"/>
                <w:shd w:val="clear" w:color="auto" w:fill="FFFFFF"/>
                <w:lang w:val="en-US" w:eastAsia="zh-CN"/>
              </w:rPr>
              <w:t>本项最高得1分</w:t>
            </w:r>
            <w:r>
              <w:rPr>
                <w:rFonts w:hint="default" w:asciiTheme="minorEastAsia" w:hAnsiTheme="minorEastAsia" w:eastAsiaTheme="minorEastAsia" w:cstheme="minorEastAsia"/>
                <w:color w:val="auto"/>
                <w:kern w:val="2"/>
                <w:szCs w:val="21"/>
                <w:highlight w:val="none"/>
                <w:shd w:val="clear" w:color="auto" w:fill="FFFFFF"/>
                <w:lang w:val="zh-CN"/>
              </w:rPr>
              <w:t>；</w:t>
            </w:r>
          </w:p>
          <w:p>
            <w:pPr>
              <w:adjustRightInd/>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shd w:val="clear" w:color="auto" w:fill="FFFFFF"/>
              </w:rPr>
              <w:t>本项最高得2分。</w:t>
            </w:r>
          </w:p>
          <w:p>
            <w:pPr>
              <w:adjustRightInd/>
              <w:snapToGrid/>
              <w:rPr>
                <w:rFonts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kern w:val="2"/>
                <w:szCs w:val="21"/>
                <w:highlight w:val="none"/>
                <w:shd w:val="clear" w:color="auto" w:fill="FFFFFF"/>
              </w:rPr>
              <w:t>注：提供人员证书与所在企业近半年内的连续三个月的社保证明</w:t>
            </w:r>
            <w:r>
              <w:rPr>
                <w:rFonts w:hint="eastAsia" w:asciiTheme="minorEastAsia" w:hAnsiTheme="minorEastAsia" w:eastAsiaTheme="minorEastAsia" w:cstheme="minorEastAsia"/>
                <w:color w:val="auto"/>
                <w:kern w:val="2"/>
                <w:szCs w:val="21"/>
                <w:highlight w:val="none"/>
                <w:shd w:val="clear" w:color="auto" w:fill="FFFFFF"/>
                <w:lang w:val="zh-CN"/>
              </w:rPr>
              <w:t>加盖投标人公章。（注：提供人员证书与所在企业近半年内的连续三个月的社保证明加盖投标人公章。）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4"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4</w:t>
            </w:r>
          </w:p>
        </w:tc>
        <w:tc>
          <w:tcPr>
            <w:tcW w:w="1382" w:type="dxa"/>
            <w:gridSpan w:val="3"/>
            <w:tcBorders>
              <w:left w:val="single" w:color="auto" w:sz="4" w:space="0"/>
              <w:right w:val="single" w:color="auto" w:sz="4" w:space="0"/>
            </w:tcBorders>
            <w:noWrap/>
            <w:vAlign w:val="center"/>
          </w:tcPr>
          <w:p>
            <w:pPr>
              <w:widowControl w:val="0"/>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rPr>
              <w:t>售后服务综合评价</w:t>
            </w:r>
          </w:p>
        </w:tc>
        <w:tc>
          <w:tcPr>
            <w:tcW w:w="812" w:type="dxa"/>
            <w:tcBorders>
              <w:top w:val="single" w:color="auto" w:sz="4" w:space="0"/>
              <w:left w:val="single" w:color="auto" w:sz="4" w:space="0"/>
              <w:bottom w:val="single" w:color="auto" w:sz="4" w:space="0"/>
              <w:right w:val="single" w:color="auto" w:sz="4" w:space="0"/>
            </w:tcBorders>
            <w:noWrap/>
            <w:vAlign w:val="center"/>
          </w:tcPr>
          <w:p>
            <w:pPr>
              <w:widowControl w:val="0"/>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分</w:t>
            </w:r>
          </w:p>
        </w:tc>
        <w:tc>
          <w:tcPr>
            <w:tcW w:w="5743" w:type="dxa"/>
            <w:tcBorders>
              <w:top w:val="single" w:color="auto" w:sz="4" w:space="0"/>
              <w:left w:val="single" w:color="auto" w:sz="4" w:space="0"/>
              <w:bottom w:val="single" w:color="auto" w:sz="4" w:space="0"/>
              <w:right w:val="single" w:color="auto" w:sz="4" w:space="0"/>
            </w:tcBorders>
            <w:noWrap/>
            <w:vAlign w:val="center"/>
          </w:tcPr>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根据</w:t>
            </w:r>
            <w:r>
              <w:rPr>
                <w:rFonts w:hint="eastAsia" w:asciiTheme="minorEastAsia" w:hAnsiTheme="minorEastAsia" w:eastAsiaTheme="minorEastAsia" w:cstheme="minorEastAsia"/>
                <w:color w:val="auto"/>
                <w:szCs w:val="21"/>
                <w:highlight w:val="none"/>
              </w:rPr>
              <w:t>投标人</w:t>
            </w:r>
            <w:r>
              <w:rPr>
                <w:rFonts w:hint="eastAsia" w:asciiTheme="minorEastAsia" w:hAnsiTheme="minorEastAsia" w:eastAsiaTheme="minorEastAsia" w:cstheme="minorEastAsia"/>
                <w:color w:val="auto"/>
                <w:kern w:val="2"/>
                <w:szCs w:val="21"/>
                <w:highlight w:val="none"/>
                <w:shd w:val="clear" w:color="auto" w:fill="FFFFFF"/>
              </w:rPr>
              <w:t>售后/后续服务（包括1.故障响应时间、2.维护服务、3.培训计划等）进行综合评审：</w:t>
            </w:r>
          </w:p>
          <w:p>
            <w:pPr>
              <w:widowControl w:val="0"/>
              <w:adjustRightInd/>
              <w:snapToGrid/>
              <w:ind w:firstLine="420" w:firstLineChars="20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szCs w:val="21"/>
                <w:highlight w:val="none"/>
              </w:rPr>
              <w:t>投标人</w:t>
            </w:r>
            <w:r>
              <w:rPr>
                <w:rFonts w:hint="eastAsia" w:asciiTheme="minorEastAsia" w:hAnsiTheme="minorEastAsia" w:eastAsiaTheme="minorEastAsia" w:cstheme="minorEastAsia"/>
                <w:color w:val="auto"/>
                <w:kern w:val="2"/>
                <w:szCs w:val="21"/>
                <w:highlight w:val="none"/>
                <w:shd w:val="clear" w:color="auto" w:fill="FFFFFF"/>
              </w:rPr>
              <w:t>提供的售后服务方案内容全面完整（包含上述3种方案）、故障响应时间全面合理、维护服务详细全面、培训计划详细合理，得</w:t>
            </w:r>
            <w:r>
              <w:rPr>
                <w:rFonts w:hint="eastAsia" w:asciiTheme="minorEastAsia" w:hAnsiTheme="minorEastAsia" w:eastAsiaTheme="minorEastAsia" w:cstheme="minorEastAsia"/>
                <w:color w:val="auto"/>
                <w:kern w:val="2"/>
                <w:szCs w:val="21"/>
                <w:highlight w:val="none"/>
                <w:shd w:val="clear" w:color="auto" w:fill="FFFFFF"/>
                <w:lang w:val="en-US" w:eastAsia="zh-CN"/>
              </w:rPr>
              <w:t>2</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szCs w:val="21"/>
                <w:highlight w:val="none"/>
              </w:rPr>
              <w:t>投标人</w:t>
            </w:r>
            <w:r>
              <w:rPr>
                <w:rFonts w:hint="eastAsia" w:asciiTheme="minorEastAsia" w:hAnsiTheme="minorEastAsia" w:eastAsiaTheme="minorEastAsia" w:cstheme="minorEastAsia"/>
                <w:color w:val="auto"/>
                <w:kern w:val="2"/>
                <w:szCs w:val="21"/>
                <w:highlight w:val="none"/>
                <w:shd w:val="clear" w:color="auto" w:fill="FFFFFF"/>
              </w:rPr>
              <w:t>提供的售后服务方案内容完整（至少包含上述2种方案）、故障响应时间合理、维护服务全面、培训计划合理，得</w:t>
            </w:r>
            <w:r>
              <w:rPr>
                <w:rFonts w:hint="eastAsia" w:asciiTheme="minorEastAsia" w:hAnsiTheme="minorEastAsia" w:eastAsiaTheme="minorEastAsia" w:cstheme="minorEastAsia"/>
                <w:color w:val="auto"/>
                <w:kern w:val="2"/>
                <w:szCs w:val="21"/>
                <w:highlight w:val="none"/>
                <w:shd w:val="clear" w:color="auto" w:fill="FFFFFF"/>
                <w:lang w:val="en-US" w:eastAsia="zh-CN"/>
              </w:rPr>
              <w:t>1</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szCs w:val="21"/>
                <w:highlight w:val="none"/>
              </w:rPr>
              <w:t>投标人</w:t>
            </w:r>
            <w:r>
              <w:rPr>
                <w:rFonts w:hint="eastAsia" w:asciiTheme="minorEastAsia" w:hAnsiTheme="minorEastAsia" w:eastAsiaTheme="minorEastAsia" w:cstheme="minorEastAsia"/>
                <w:color w:val="auto"/>
                <w:kern w:val="2"/>
                <w:szCs w:val="21"/>
                <w:highlight w:val="none"/>
                <w:shd w:val="clear" w:color="auto" w:fill="FFFFFF"/>
              </w:rPr>
              <w:t>提供的售后服务方案内容基本完整（至少包含上述1种方案）、故障响应时间一般、维护服务一般、培训计划差，得</w:t>
            </w:r>
            <w:r>
              <w:rPr>
                <w:rFonts w:hint="eastAsia" w:asciiTheme="minorEastAsia" w:hAnsiTheme="minorEastAsia" w:eastAsiaTheme="minorEastAsia" w:cstheme="minorEastAsia"/>
                <w:color w:val="auto"/>
                <w:kern w:val="2"/>
                <w:szCs w:val="21"/>
                <w:highlight w:val="none"/>
                <w:shd w:val="clear" w:color="auto" w:fill="FFFFFF"/>
                <w:lang w:val="en-US" w:eastAsia="zh-CN"/>
              </w:rPr>
              <w:t>0.5</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ind w:firstLine="420" w:firstLineChars="200"/>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shd w:val="clear" w:color="auto" w:fill="FFFFFF"/>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2"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5</w:t>
            </w:r>
          </w:p>
        </w:tc>
        <w:tc>
          <w:tcPr>
            <w:tcW w:w="1382" w:type="dxa"/>
            <w:gridSpan w:val="3"/>
            <w:tcBorders>
              <w:left w:val="single" w:color="auto" w:sz="4" w:space="0"/>
              <w:right w:val="single" w:color="auto" w:sz="4" w:space="0"/>
            </w:tcBorders>
            <w:noWrap/>
            <w:vAlign w:val="center"/>
          </w:tcPr>
          <w:p>
            <w:pPr>
              <w:widowControl w:val="0"/>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shd w:val="clear" w:color="auto" w:fill="FFFFFF"/>
              </w:rPr>
              <w:t>设备安全性能</w:t>
            </w:r>
          </w:p>
        </w:tc>
        <w:tc>
          <w:tcPr>
            <w:tcW w:w="812" w:type="dxa"/>
            <w:tcBorders>
              <w:top w:val="single" w:color="auto" w:sz="4" w:space="0"/>
              <w:left w:val="single" w:color="auto" w:sz="4" w:space="0"/>
              <w:bottom w:val="single" w:color="auto" w:sz="4" w:space="0"/>
              <w:right w:val="single" w:color="auto" w:sz="4" w:space="0"/>
            </w:tcBorders>
            <w:noWrap/>
            <w:vAlign w:val="center"/>
          </w:tcPr>
          <w:p>
            <w:pPr>
              <w:widowControl w:val="0"/>
              <w:spacing w:line="24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3</w:t>
            </w:r>
            <w:r>
              <w:rPr>
                <w:rFonts w:hint="eastAsia" w:asciiTheme="minorEastAsia" w:hAnsiTheme="minorEastAsia" w:eastAsiaTheme="minorEastAsia" w:cstheme="minorEastAsia"/>
                <w:color w:val="auto"/>
                <w:szCs w:val="21"/>
                <w:highlight w:val="none"/>
              </w:rPr>
              <w:t>分</w:t>
            </w:r>
          </w:p>
        </w:tc>
        <w:tc>
          <w:tcPr>
            <w:tcW w:w="5743" w:type="dxa"/>
            <w:tcBorders>
              <w:top w:val="single" w:color="auto" w:sz="4" w:space="0"/>
              <w:left w:val="single" w:color="auto" w:sz="4" w:space="0"/>
              <w:bottom w:val="single" w:color="auto" w:sz="4" w:space="0"/>
              <w:right w:val="single" w:color="auto" w:sz="4" w:space="0"/>
            </w:tcBorders>
            <w:noWrap/>
            <w:vAlign w:val="center"/>
          </w:tcPr>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根据所投设备安全性能（包括1.安全防护设计、2.安全措施、3.电控防护措施、4.安全配置、5.保养措施等）进行综合评审：</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投标人提供的设备安全性能内容全面完整（包含上述5种方案）、安全防护设计详细合理、安全措施详细合理、电控防护措施详细合理、安全配置全面合理、保养措施详细合理得</w:t>
            </w:r>
            <w:r>
              <w:rPr>
                <w:rFonts w:hint="eastAsia" w:asciiTheme="minorEastAsia" w:hAnsiTheme="minorEastAsia" w:eastAsiaTheme="minorEastAsia" w:cstheme="minorEastAsia"/>
                <w:color w:val="auto"/>
                <w:kern w:val="2"/>
                <w:szCs w:val="21"/>
                <w:highlight w:val="none"/>
                <w:shd w:val="clear" w:color="auto" w:fill="FFFFFF"/>
                <w:lang w:val="en-US" w:eastAsia="zh-CN"/>
              </w:rPr>
              <w:t>3</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投标人提供的设备安全性能内容完整（至少包含上述3种方案）、安全防护设计合理、安全措施合理、电控防护措施合理、安全配置合理、保养措施合理，得</w:t>
            </w:r>
            <w:r>
              <w:rPr>
                <w:rFonts w:hint="eastAsia" w:asciiTheme="minorEastAsia" w:hAnsiTheme="minorEastAsia" w:eastAsiaTheme="minorEastAsia" w:cstheme="minorEastAsia"/>
                <w:color w:val="auto"/>
                <w:kern w:val="2"/>
                <w:szCs w:val="21"/>
                <w:highlight w:val="none"/>
                <w:shd w:val="clear" w:color="auto" w:fill="FFFFFF"/>
                <w:lang w:val="en-US" w:eastAsia="zh-CN"/>
              </w:rPr>
              <w:t>2</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投标人提供的设备安全性能内容不完整（上述方案不足2种）、安全防护设计差、安全措施差、电控防护措施差、安全配置差、保养措施差，得</w:t>
            </w:r>
            <w:r>
              <w:rPr>
                <w:rFonts w:hint="eastAsia" w:asciiTheme="minorEastAsia" w:hAnsiTheme="minorEastAsia" w:eastAsiaTheme="minorEastAsia" w:cstheme="minorEastAsia"/>
                <w:color w:val="auto"/>
                <w:kern w:val="2"/>
                <w:szCs w:val="21"/>
                <w:highlight w:val="none"/>
                <w:shd w:val="clear" w:color="auto" w:fill="FFFFFF"/>
                <w:lang w:val="en-US" w:eastAsia="zh-CN"/>
              </w:rPr>
              <w:t>1</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adjustRightIn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未提供对应措施不得分。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3" w:hRule="atLeast"/>
          <w:jc w:val="center"/>
        </w:trPr>
        <w:tc>
          <w:tcPr>
            <w:tcW w:w="740" w:type="dxa"/>
            <w:tcBorders>
              <w:top w:val="single" w:color="auto" w:sz="4" w:space="0"/>
              <w:left w:val="single" w:color="auto" w:sz="4" w:space="0"/>
              <w:bottom w:val="single" w:color="auto" w:sz="4" w:space="0"/>
              <w:right w:val="single" w:color="auto" w:sz="4" w:space="0"/>
            </w:tcBorders>
            <w:noWrap/>
            <w:vAlign w:val="center"/>
          </w:tcPr>
          <w:p>
            <w:pPr>
              <w:adjustRightInd/>
              <w:snapToGrid/>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6</w:t>
            </w:r>
          </w:p>
        </w:tc>
        <w:tc>
          <w:tcPr>
            <w:tcW w:w="1382" w:type="dxa"/>
            <w:gridSpan w:val="3"/>
            <w:tcBorders>
              <w:left w:val="single" w:color="auto" w:sz="4" w:space="0"/>
              <w:right w:val="single" w:color="auto" w:sz="4" w:space="0"/>
            </w:tcBorders>
            <w:noWrap/>
            <w:vAlign w:val="center"/>
          </w:tcPr>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shd w:val="clear" w:color="auto" w:fill="FFFFFF"/>
              </w:rPr>
              <w:t>质保期</w:t>
            </w:r>
          </w:p>
        </w:tc>
        <w:tc>
          <w:tcPr>
            <w:tcW w:w="812" w:type="dxa"/>
            <w:tcBorders>
              <w:top w:val="single" w:color="auto" w:sz="4" w:space="0"/>
              <w:left w:val="single" w:color="auto" w:sz="4" w:space="0"/>
              <w:bottom w:val="single" w:color="auto" w:sz="4" w:space="0"/>
              <w:right w:val="single" w:color="auto" w:sz="4" w:space="0"/>
            </w:tcBorders>
            <w:noWrap/>
            <w:vAlign w:val="center"/>
          </w:tcPr>
          <w:p>
            <w:pPr>
              <w:widowControl w:val="0"/>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2分</w:t>
            </w:r>
          </w:p>
        </w:tc>
        <w:tc>
          <w:tcPr>
            <w:tcW w:w="5743" w:type="dxa"/>
            <w:tcBorders>
              <w:top w:val="single" w:color="auto" w:sz="4" w:space="0"/>
              <w:left w:val="single" w:color="auto" w:sz="4" w:space="0"/>
              <w:bottom w:val="single" w:color="auto" w:sz="4" w:space="0"/>
              <w:right w:val="single" w:color="auto" w:sz="4" w:space="0"/>
            </w:tcBorders>
            <w:noWrap/>
            <w:vAlign w:val="center"/>
          </w:tcPr>
          <w:p>
            <w:pPr>
              <w:widowControl w:val="0"/>
              <w:adjustRightInd/>
              <w:jc w:val="both"/>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rPr>
              <w:t>投标人在响应用户需求规定不少于1年整体项目设备的免费质保期的基础上，每增加半年（6个月）的得0.5分，最高得2分。（投标人必须在投标文件上提供单独承诺函进行响应，不提供或不响应增加的均不得分。）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jc w:val="center"/>
        </w:trPr>
        <w:tc>
          <w:tcPr>
            <w:tcW w:w="867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07"/>
              </w:tabs>
              <w:adjustRightInd/>
              <w:snapToGrid/>
              <w:ind w:firstLine="422" w:firstLineChars="200"/>
              <w:jc w:val="both"/>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注：</w:t>
            </w:r>
          </w:p>
          <w:p>
            <w:pPr>
              <w:tabs>
                <w:tab w:val="left" w:pos="907"/>
              </w:tabs>
              <w:adjustRightInd/>
              <w:snapToGrid/>
              <w:ind w:firstLine="422" w:firstLineChars="200"/>
              <w:jc w:val="both"/>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（1）无特殊说明外，以上评审项，同一证明文件不重复计分。</w:t>
            </w:r>
          </w:p>
          <w:p>
            <w:pPr>
              <w:tabs>
                <w:tab w:val="left" w:pos="907"/>
              </w:tabs>
              <w:adjustRightInd/>
              <w:snapToGrid/>
              <w:ind w:firstLine="422" w:firstLineChars="200"/>
              <w:jc w:val="both"/>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（2）投标人根据以上评分要求提供的投标材料因模糊不清导致评标委员会无法清晰辨认进行评审的，视为无效材料。</w:t>
            </w:r>
          </w:p>
          <w:p>
            <w:pPr>
              <w:widowControl w:val="0"/>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b/>
                <w:color w:val="auto"/>
                <w:szCs w:val="21"/>
                <w:highlight w:val="none"/>
              </w:rPr>
              <w:t>（3）若因疫情原因暂缓统一托收或阶段性减免社会保险费而导致无法打印社保缴费证明的需提供书面说明并加盖投标人公章。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867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b/>
                <w:bCs/>
                <w:color w:val="auto"/>
                <w:kern w:val="2"/>
                <w:szCs w:val="21"/>
                <w:highlight w:val="none"/>
                <w:lang w:bidi="ar"/>
              </w:rPr>
              <w:t>价格评审（</w:t>
            </w:r>
            <w:r>
              <w:rPr>
                <w:rFonts w:hint="eastAsia" w:asciiTheme="minorEastAsia" w:hAnsiTheme="minorEastAsia" w:eastAsiaTheme="minorEastAsia" w:cstheme="minorEastAsia"/>
                <w:b/>
                <w:bCs/>
                <w:color w:val="auto"/>
                <w:kern w:val="2"/>
                <w:szCs w:val="21"/>
                <w:highlight w:val="none"/>
                <w:lang w:val="en-US" w:eastAsia="zh-CN" w:bidi="ar"/>
              </w:rPr>
              <w:t>6</w:t>
            </w:r>
            <w:r>
              <w:rPr>
                <w:rFonts w:hint="eastAsia" w:asciiTheme="minorEastAsia" w:hAnsiTheme="minorEastAsia" w:eastAsiaTheme="minorEastAsia" w:cstheme="minorEastAsia"/>
                <w:b/>
                <w:bCs/>
                <w:color w:val="auto"/>
                <w:kern w:val="2"/>
                <w:szCs w:val="21"/>
                <w:highlight w:val="none"/>
                <w:lang w:bidi="ar"/>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jc w:val="center"/>
        </w:trPr>
        <w:tc>
          <w:tcPr>
            <w:tcW w:w="7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color w:val="auto"/>
                <w:kern w:val="2"/>
                <w:szCs w:val="21"/>
                <w:highlight w:val="none"/>
                <w:shd w:val="clear" w:color="auto" w:fill="FFFFFF"/>
              </w:rPr>
              <w:t>1</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val="0"/>
              <w:adjustRightInd/>
              <w:jc w:val="both"/>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color w:val="auto"/>
                <w:kern w:val="2"/>
                <w:szCs w:val="21"/>
                <w:highlight w:val="none"/>
                <w:shd w:val="clear" w:color="auto" w:fill="FFFFFF"/>
              </w:rPr>
              <w:t>投标总价</w:t>
            </w:r>
          </w:p>
        </w:tc>
        <w:tc>
          <w:tcPr>
            <w:tcW w:w="6701" w:type="dxa"/>
            <w:gridSpan w:val="3"/>
            <w:tcBorders>
              <w:top w:val="single" w:color="auto" w:sz="4" w:space="0"/>
              <w:left w:val="nil"/>
              <w:bottom w:val="single" w:color="auto" w:sz="4" w:space="0"/>
              <w:right w:val="single" w:color="auto" w:sz="4" w:space="0"/>
            </w:tcBorders>
            <w:shd w:val="clear" w:color="auto" w:fill="auto"/>
            <w:vAlign w:val="center"/>
          </w:tcPr>
          <w:p>
            <w:pPr>
              <w:widowControl w:val="0"/>
              <w:adjustRightInd/>
              <w:jc w:val="both"/>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价格分计算方法：满足采购文件要求且投标价格最低的投标报价为评标基准价，其价格分为满分。其他投标人的价格分统一按照下列公式计算：</w:t>
            </w:r>
          </w:p>
          <w:p>
            <w:pPr>
              <w:widowControl w:val="0"/>
              <w:adjustRightInd/>
              <w:jc w:val="both"/>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color w:val="auto"/>
                <w:kern w:val="2"/>
                <w:szCs w:val="21"/>
                <w:highlight w:val="none"/>
                <w:shd w:val="clear" w:color="auto" w:fill="FFFFFF"/>
                <w:lang w:val="zh-CN"/>
              </w:rPr>
              <w:t>投标报价得分=(评标基准价／投标报价)×价格权</w:t>
            </w:r>
            <w:r>
              <w:rPr>
                <w:rFonts w:hint="eastAsia" w:asciiTheme="minorEastAsia" w:hAnsiTheme="minorEastAsia" w:eastAsiaTheme="minorEastAsia" w:cstheme="minorEastAsia"/>
                <w:color w:val="auto"/>
                <w:kern w:val="2"/>
                <w:szCs w:val="21"/>
                <w:highlight w:val="none"/>
                <w:shd w:val="clear" w:color="auto" w:fill="FFFFFF"/>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867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val="0"/>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color w:val="auto"/>
                <w:kern w:val="2"/>
                <w:szCs w:val="21"/>
                <w:highlight w:val="none"/>
                <w:lang w:val="zh-CN"/>
              </w:rPr>
              <w:t>投标人的最终评标得分=商务、技术综合得分+价格得分</w:t>
            </w:r>
          </w:p>
        </w:tc>
      </w:tr>
    </w:tbl>
    <w:p>
      <w:pPr>
        <w:rPr>
          <w:color w:val="auto"/>
          <w:highlight w:val="none"/>
        </w:rPr>
      </w:pPr>
      <w:r>
        <w:rPr>
          <w:rFonts w:hint="eastAsia"/>
          <w:b/>
          <w:bCs/>
          <w:color w:val="auto"/>
          <w:highlight w:val="none"/>
        </w:rPr>
        <w:t>注：评标委员会评委按评标标准独立对技术标进行评审，得出技术标评分。当评标委员会为五人时，在所有评委对同一份投标文件技术标评审的总评分中，去掉一个最高分和一个最低分，计算剩余总评分的算术平均值即为该投标人技术标的最终综合得分；当评标委员会为七人及以上单数时，在各评委的打分中，同一评委的最高评分减去最低评分，去掉分差最大评委的所有技术标评分（当一位或两位评委评分差值最大时均取消其评委评分，当多于两位评分差值均最大时，不取消任一评委评分），在所有剩余评委对同一份投标文件技术部分评审的总评分中，去掉一个最高分和一个最低分，计算剩余总评分的算术平均值即为该投标人技术部分的最终综合得分。</w:t>
      </w:r>
      <w:r>
        <w:rPr>
          <w:rFonts w:hint="eastAsia"/>
          <w:color w:val="auto"/>
          <w:highlight w:val="none"/>
        </w:rPr>
        <w:br w:type="page"/>
      </w:r>
    </w:p>
    <w:p>
      <w:pPr>
        <w:ind w:firstLine="562" w:firstLineChars="200"/>
        <w:jc w:val="center"/>
        <w:rPr>
          <w:b/>
          <w:bCs/>
          <w:color w:val="auto"/>
          <w:sz w:val="28"/>
          <w:szCs w:val="32"/>
          <w:highlight w:val="none"/>
        </w:rPr>
      </w:pPr>
      <w:r>
        <w:rPr>
          <w:rFonts w:hint="eastAsia"/>
          <w:b/>
          <w:bCs/>
          <w:color w:val="auto"/>
          <w:sz w:val="28"/>
          <w:szCs w:val="32"/>
          <w:highlight w:val="none"/>
        </w:rPr>
        <w:t>B包：生活垃圾压缩系统和大件垃圾处理系统采购及安装</w:t>
      </w:r>
    </w:p>
    <w:p>
      <w:pPr>
        <w:pStyle w:val="3"/>
        <w:ind w:left="0" w:leftChars="0" w:firstLine="0" w:firstLineChars="0"/>
        <w:rPr>
          <w:color w:val="auto"/>
          <w:highlight w:val="none"/>
        </w:rPr>
      </w:pPr>
      <w:r>
        <w:rPr>
          <w:rFonts w:hint="eastAsia"/>
          <w:color w:val="auto"/>
          <w:highlight w:val="none"/>
        </w:rPr>
        <w:t>满分100分，其中价格部分占</w:t>
      </w:r>
      <w:r>
        <w:rPr>
          <w:rFonts w:hint="eastAsia"/>
          <w:color w:val="auto"/>
          <w:highlight w:val="none"/>
          <w:lang w:val="en-US" w:eastAsia="zh-CN"/>
        </w:rPr>
        <w:t>6</w:t>
      </w:r>
      <w:r>
        <w:rPr>
          <w:rFonts w:hint="eastAsia"/>
          <w:color w:val="auto"/>
          <w:highlight w:val="none"/>
        </w:rPr>
        <w:t>0分，商务部分占2</w:t>
      </w:r>
      <w:r>
        <w:rPr>
          <w:rFonts w:hint="eastAsia"/>
          <w:color w:val="auto"/>
          <w:highlight w:val="none"/>
          <w:lang w:val="en-US" w:eastAsia="zh-CN"/>
        </w:rPr>
        <w:t>0</w:t>
      </w:r>
      <w:r>
        <w:rPr>
          <w:rFonts w:hint="eastAsia"/>
          <w:color w:val="auto"/>
          <w:highlight w:val="none"/>
        </w:rPr>
        <w:t>分，技术部分占2</w:t>
      </w:r>
      <w:r>
        <w:rPr>
          <w:rFonts w:hint="eastAsia"/>
          <w:color w:val="auto"/>
          <w:highlight w:val="none"/>
          <w:lang w:val="en-US" w:eastAsia="zh-CN"/>
        </w:rPr>
        <w:t>0</w:t>
      </w:r>
      <w:r>
        <w:rPr>
          <w:rFonts w:hint="eastAsia"/>
          <w:color w:val="auto"/>
          <w:highlight w:val="none"/>
        </w:rPr>
        <w:t>分。</w:t>
      </w:r>
    </w:p>
    <w:tbl>
      <w:tblPr>
        <w:tblStyle w:val="34"/>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2"/>
        <w:gridCol w:w="1046"/>
        <w:gridCol w:w="171"/>
        <w:gridCol w:w="667"/>
        <w:gridCol w:w="5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序号</w:t>
            </w:r>
          </w:p>
        </w:tc>
        <w:tc>
          <w:tcPr>
            <w:tcW w:w="1088" w:type="dxa"/>
            <w:gridSpan w:val="2"/>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评分内容</w:t>
            </w:r>
          </w:p>
        </w:tc>
        <w:tc>
          <w:tcPr>
            <w:tcW w:w="838" w:type="dxa"/>
            <w:gridSpan w:val="2"/>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分值</w:t>
            </w:r>
          </w:p>
        </w:tc>
        <w:tc>
          <w:tcPr>
            <w:tcW w:w="5876"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8519" w:type="dxa"/>
            <w:gridSpan w:val="6"/>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b/>
                <w:bCs/>
                <w:color w:val="auto"/>
                <w:kern w:val="2"/>
                <w:szCs w:val="21"/>
                <w:highlight w:val="none"/>
                <w:lang w:val="en-GB"/>
              </w:rPr>
              <w:t>商务评分细则（合计</w:t>
            </w:r>
            <w:r>
              <w:rPr>
                <w:rFonts w:hint="eastAsia" w:asciiTheme="minorEastAsia" w:hAnsiTheme="minorEastAsia" w:eastAsiaTheme="minorEastAsia" w:cstheme="minorEastAsia"/>
                <w:b/>
                <w:bCs/>
                <w:color w:val="auto"/>
                <w:kern w:val="2"/>
                <w:szCs w:val="21"/>
                <w:highlight w:val="none"/>
              </w:rPr>
              <w:t>2</w:t>
            </w:r>
            <w:r>
              <w:rPr>
                <w:rFonts w:hint="eastAsia" w:asciiTheme="minorEastAsia" w:hAnsiTheme="minorEastAsia" w:eastAsiaTheme="minorEastAsia" w:cstheme="minorEastAsia"/>
                <w:b/>
                <w:bCs/>
                <w:color w:val="auto"/>
                <w:kern w:val="2"/>
                <w:szCs w:val="21"/>
                <w:highlight w:val="none"/>
                <w:lang w:val="en-US" w:eastAsia="zh-CN"/>
              </w:rPr>
              <w:t>0</w:t>
            </w:r>
            <w:r>
              <w:rPr>
                <w:rFonts w:hint="eastAsia" w:asciiTheme="minorEastAsia" w:hAnsiTheme="minorEastAsia" w:eastAsiaTheme="minorEastAsia" w:cstheme="minorEastAsia"/>
                <w:b/>
                <w:bCs/>
                <w:color w:val="auto"/>
                <w:kern w:val="2"/>
                <w:szCs w:val="21"/>
                <w:highlight w:val="none"/>
                <w:lang w:val="en-GB"/>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1"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1</w:t>
            </w:r>
          </w:p>
        </w:tc>
        <w:tc>
          <w:tcPr>
            <w:tcW w:w="1088"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zh-CN"/>
              </w:rPr>
              <w:t>财务状况</w:t>
            </w:r>
          </w:p>
        </w:tc>
        <w:tc>
          <w:tcPr>
            <w:tcW w:w="838"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rPr>
              <w:t>2</w:t>
            </w:r>
            <w:r>
              <w:rPr>
                <w:rFonts w:hint="eastAsia" w:asciiTheme="minorEastAsia" w:hAnsiTheme="minorEastAsia" w:eastAsiaTheme="minorEastAsia" w:cstheme="minorEastAsia"/>
                <w:color w:val="auto"/>
                <w:kern w:val="2"/>
                <w:szCs w:val="21"/>
                <w:highlight w:val="none"/>
                <w:lang w:val="zh-CN"/>
              </w:rPr>
              <w:t>分</w:t>
            </w:r>
          </w:p>
        </w:tc>
        <w:tc>
          <w:tcPr>
            <w:tcW w:w="5876" w:type="dxa"/>
            <w:tcBorders>
              <w:top w:val="single" w:color="auto" w:sz="4" w:space="0"/>
              <w:left w:val="single" w:color="auto" w:sz="4" w:space="0"/>
              <w:bottom w:val="single" w:color="auto" w:sz="4" w:space="0"/>
              <w:right w:val="single" w:color="auto" w:sz="4" w:space="0"/>
            </w:tcBorders>
            <w:vAlign w:val="center"/>
          </w:tcPr>
          <w:p>
            <w:pPr>
              <w:widowControl w:val="0"/>
              <w:adjustRightIn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根据投标人2020年</w:t>
            </w:r>
            <w:r>
              <w:rPr>
                <w:rFonts w:hint="eastAsia" w:asciiTheme="minorEastAsia" w:hAnsiTheme="minorEastAsia" w:eastAsiaTheme="minorEastAsia" w:cstheme="minorEastAsia"/>
                <w:color w:val="auto"/>
                <w:kern w:val="2"/>
                <w:szCs w:val="21"/>
                <w:highlight w:val="none"/>
              </w:rPr>
              <w:t>1月1日</w:t>
            </w:r>
            <w:r>
              <w:rPr>
                <w:rFonts w:hint="eastAsia" w:asciiTheme="minorEastAsia" w:hAnsiTheme="minorEastAsia" w:eastAsiaTheme="minorEastAsia" w:cstheme="minorEastAsia"/>
                <w:color w:val="auto"/>
                <w:kern w:val="2"/>
                <w:szCs w:val="21"/>
                <w:highlight w:val="none"/>
                <w:lang w:val="zh-CN"/>
              </w:rPr>
              <w:t>至今的财务状况进行评价，连续3年盈利得</w:t>
            </w:r>
            <w:r>
              <w:rPr>
                <w:rFonts w:hint="eastAsia" w:asciiTheme="minorEastAsia" w:hAnsiTheme="minorEastAsia" w:eastAsiaTheme="minorEastAsia" w:cstheme="minorEastAsia"/>
                <w:color w:val="auto"/>
                <w:kern w:val="2"/>
                <w:szCs w:val="21"/>
                <w:highlight w:val="none"/>
                <w:lang w:val="en-US" w:eastAsia="zh-CN"/>
              </w:rPr>
              <w:t>2</w:t>
            </w:r>
            <w:r>
              <w:rPr>
                <w:rFonts w:hint="eastAsia" w:asciiTheme="minorEastAsia" w:hAnsiTheme="minorEastAsia" w:eastAsiaTheme="minorEastAsia" w:cstheme="minorEastAsia"/>
                <w:color w:val="auto"/>
                <w:kern w:val="2"/>
                <w:szCs w:val="21"/>
                <w:highlight w:val="none"/>
                <w:lang w:val="zh-CN"/>
              </w:rPr>
              <w:t xml:space="preserve">分，2年盈利得 </w:t>
            </w:r>
            <w:r>
              <w:rPr>
                <w:rFonts w:hint="eastAsia" w:asciiTheme="minorEastAsia" w:hAnsiTheme="minorEastAsia" w:eastAsiaTheme="minorEastAsia" w:cstheme="minorEastAsia"/>
                <w:color w:val="auto"/>
                <w:kern w:val="2"/>
                <w:szCs w:val="21"/>
                <w:highlight w:val="none"/>
                <w:lang w:val="en-US" w:eastAsia="zh-CN"/>
              </w:rPr>
              <w:t>1</w:t>
            </w:r>
            <w:r>
              <w:rPr>
                <w:rFonts w:hint="eastAsia" w:asciiTheme="minorEastAsia" w:hAnsiTheme="minorEastAsia" w:eastAsiaTheme="minorEastAsia" w:cstheme="minorEastAsia"/>
                <w:color w:val="auto"/>
                <w:kern w:val="2"/>
                <w:szCs w:val="21"/>
                <w:highlight w:val="none"/>
                <w:lang w:val="zh-CN"/>
              </w:rPr>
              <w:t>分，1年盈利得</w:t>
            </w:r>
            <w:r>
              <w:rPr>
                <w:rFonts w:hint="eastAsia" w:asciiTheme="minorEastAsia" w:hAnsiTheme="minorEastAsia" w:eastAsiaTheme="minorEastAsia" w:cstheme="minorEastAsia"/>
                <w:color w:val="auto"/>
                <w:kern w:val="2"/>
                <w:szCs w:val="21"/>
                <w:highlight w:val="none"/>
                <w:lang w:val="en-US" w:eastAsia="zh-CN"/>
              </w:rPr>
              <w:t>0.5</w:t>
            </w:r>
            <w:r>
              <w:rPr>
                <w:rFonts w:hint="eastAsia" w:asciiTheme="minorEastAsia" w:hAnsiTheme="minorEastAsia" w:eastAsiaTheme="minorEastAsia" w:cstheme="minorEastAsia"/>
                <w:color w:val="auto"/>
                <w:kern w:val="2"/>
                <w:szCs w:val="21"/>
                <w:highlight w:val="none"/>
                <w:lang w:val="zh-CN"/>
              </w:rPr>
              <w:t>分，无盈利不得分。</w:t>
            </w:r>
          </w:p>
          <w:p>
            <w:pPr>
              <w:widowControl w:val="0"/>
              <w:adjustRightIn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lang w:val="zh-CN"/>
              </w:rPr>
              <w:t>注：须提供会计师事务所审计的财务报表复印件加盖供应商公章。不提供不得分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2</w:t>
            </w:r>
          </w:p>
        </w:tc>
        <w:tc>
          <w:tcPr>
            <w:tcW w:w="108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rPr>
              <w:t>产品先进性</w:t>
            </w:r>
          </w:p>
        </w:tc>
        <w:tc>
          <w:tcPr>
            <w:tcW w:w="838" w:type="dxa"/>
            <w:gridSpan w:val="2"/>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bCs/>
                <w:color w:val="auto"/>
                <w:kern w:val="2"/>
                <w:szCs w:val="21"/>
                <w:highlight w:val="none"/>
                <w:lang w:val="en-US" w:eastAsia="zh-CN"/>
              </w:rPr>
              <w:t>4</w:t>
            </w:r>
            <w:r>
              <w:rPr>
                <w:rFonts w:hint="eastAsia" w:asciiTheme="minorEastAsia" w:hAnsiTheme="minorEastAsia" w:eastAsiaTheme="minorEastAsia" w:cstheme="minorEastAsia"/>
                <w:bCs/>
                <w:color w:val="auto"/>
                <w:kern w:val="2"/>
                <w:szCs w:val="21"/>
                <w:highlight w:val="none"/>
              </w:rPr>
              <w:t>分</w:t>
            </w:r>
          </w:p>
        </w:tc>
        <w:tc>
          <w:tcPr>
            <w:tcW w:w="5876" w:type="dxa"/>
            <w:tcBorders>
              <w:top w:val="single" w:color="auto" w:sz="4" w:space="0"/>
              <w:left w:val="single" w:color="auto" w:sz="4" w:space="0"/>
              <w:bottom w:val="single" w:color="auto" w:sz="4" w:space="0"/>
              <w:right w:val="single" w:color="auto" w:sz="4" w:space="0"/>
            </w:tcBorders>
            <w:vAlign w:val="center"/>
          </w:tcPr>
          <w:p>
            <w:pPr>
              <w:widowControl w:val="0"/>
              <w:adjustRightIn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根据投标人或投标产品制造商所投生活垃圾压缩</w:t>
            </w:r>
            <w:r>
              <w:rPr>
                <w:rFonts w:hint="eastAsia" w:asciiTheme="minorEastAsia" w:hAnsiTheme="minorEastAsia" w:eastAsiaTheme="minorEastAsia" w:cstheme="minorEastAsia"/>
                <w:color w:val="auto"/>
                <w:kern w:val="2"/>
                <w:szCs w:val="21"/>
                <w:highlight w:val="none"/>
                <w:shd w:val="clear" w:color="auto" w:fill="FFFFFF"/>
                <w:lang w:val="en-US" w:eastAsia="zh-CN"/>
              </w:rPr>
              <w:t>设备或</w:t>
            </w:r>
            <w:r>
              <w:rPr>
                <w:rFonts w:hint="eastAsia" w:asciiTheme="minorEastAsia" w:hAnsiTheme="minorEastAsia" w:eastAsiaTheme="minorEastAsia" w:cstheme="minorEastAsia"/>
                <w:color w:val="auto"/>
                <w:kern w:val="2"/>
                <w:szCs w:val="21"/>
                <w:highlight w:val="none"/>
                <w:shd w:val="clear" w:color="auto" w:fill="FFFFFF"/>
              </w:rPr>
              <w:t>大件垃圾处理</w:t>
            </w:r>
            <w:r>
              <w:rPr>
                <w:rFonts w:hint="eastAsia" w:asciiTheme="minorEastAsia" w:hAnsiTheme="minorEastAsia" w:eastAsiaTheme="minorEastAsia" w:cstheme="minorEastAsia"/>
                <w:color w:val="auto"/>
                <w:kern w:val="2"/>
                <w:szCs w:val="21"/>
                <w:highlight w:val="none"/>
                <w:shd w:val="clear" w:color="auto" w:fill="FFFFFF"/>
                <w:lang w:val="en-US" w:eastAsia="zh-CN"/>
              </w:rPr>
              <w:t>设备</w:t>
            </w:r>
            <w:r>
              <w:rPr>
                <w:rFonts w:hint="eastAsia" w:asciiTheme="minorEastAsia" w:hAnsiTheme="minorEastAsia" w:eastAsiaTheme="minorEastAsia" w:cstheme="minorEastAsia"/>
                <w:color w:val="auto"/>
                <w:kern w:val="2"/>
                <w:szCs w:val="21"/>
                <w:highlight w:val="none"/>
                <w:shd w:val="clear" w:color="auto" w:fill="FFFFFF"/>
              </w:rPr>
              <w:t>获得国家知识产权局颁发并在有效期内的相关专利证书的:</w:t>
            </w:r>
          </w:p>
          <w:p>
            <w:pPr>
              <w:widowControl w:val="0"/>
              <w:adjustRightIn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①获得一个发明专利证书得</w:t>
            </w:r>
            <w:r>
              <w:rPr>
                <w:rFonts w:hint="eastAsia" w:asciiTheme="minorEastAsia" w:hAnsiTheme="minorEastAsia" w:eastAsiaTheme="minorEastAsia" w:cstheme="minorEastAsia"/>
                <w:color w:val="auto"/>
                <w:kern w:val="2"/>
                <w:szCs w:val="21"/>
                <w:highlight w:val="none"/>
                <w:shd w:val="clear" w:color="auto" w:fill="FFFFFF"/>
                <w:lang w:val="en-US" w:eastAsia="zh-CN"/>
              </w:rPr>
              <w:t>2</w:t>
            </w:r>
            <w:r>
              <w:rPr>
                <w:rFonts w:hint="eastAsia" w:asciiTheme="minorEastAsia" w:hAnsiTheme="minorEastAsia" w:eastAsiaTheme="minorEastAsia" w:cstheme="minorEastAsia"/>
                <w:color w:val="auto"/>
                <w:kern w:val="2"/>
                <w:szCs w:val="21"/>
                <w:highlight w:val="none"/>
                <w:shd w:val="clear" w:color="auto" w:fill="FFFFFF"/>
              </w:rPr>
              <w:t>分，本分项满分</w:t>
            </w:r>
            <w:r>
              <w:rPr>
                <w:rFonts w:hint="eastAsia" w:asciiTheme="minorEastAsia" w:hAnsiTheme="minorEastAsia" w:eastAsiaTheme="minorEastAsia" w:cstheme="minorEastAsia"/>
                <w:color w:val="auto"/>
                <w:kern w:val="2"/>
                <w:szCs w:val="21"/>
                <w:highlight w:val="none"/>
                <w:shd w:val="clear" w:color="auto" w:fill="FFFFFF"/>
                <w:lang w:val="en-US" w:eastAsia="zh-CN"/>
              </w:rPr>
              <w:t>4</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adjustRightIn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②获得一个实用新型专利证书得1分，本分项满分</w:t>
            </w:r>
            <w:r>
              <w:rPr>
                <w:rFonts w:hint="eastAsia" w:asciiTheme="minorEastAsia" w:hAnsiTheme="minorEastAsia" w:eastAsiaTheme="minorEastAsia" w:cstheme="minorEastAsia"/>
                <w:color w:val="auto"/>
                <w:kern w:val="2"/>
                <w:szCs w:val="21"/>
                <w:highlight w:val="none"/>
                <w:shd w:val="clear" w:color="auto" w:fill="FFFFFF"/>
                <w:lang w:val="en-US" w:eastAsia="zh-CN"/>
              </w:rPr>
              <w:t>2</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adjustRightInd/>
              <w:spacing w:line="240" w:lineRule="auto"/>
              <w:jc w:val="both"/>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本项最高得</w:t>
            </w:r>
            <w:r>
              <w:rPr>
                <w:rFonts w:hint="eastAsia" w:asciiTheme="minorEastAsia" w:hAnsiTheme="minorEastAsia" w:eastAsiaTheme="minorEastAsia" w:cstheme="minorEastAsia"/>
                <w:color w:val="auto"/>
                <w:kern w:val="2"/>
                <w:szCs w:val="21"/>
                <w:highlight w:val="none"/>
                <w:shd w:val="clear" w:color="auto" w:fill="FFFFFF"/>
                <w:lang w:val="en-US" w:eastAsia="zh-CN"/>
              </w:rPr>
              <w:t>4</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adjustRightIn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注：须提供投标人或投标产品制造商相关产品的专利有效证明材料复印件并加盖投标人公章。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7"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3</w:t>
            </w:r>
          </w:p>
        </w:tc>
        <w:tc>
          <w:tcPr>
            <w:tcW w:w="108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管理体系认证情况</w:t>
            </w:r>
          </w:p>
        </w:tc>
        <w:tc>
          <w:tcPr>
            <w:tcW w:w="838" w:type="dxa"/>
            <w:gridSpan w:val="2"/>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2</w:t>
            </w:r>
            <w:r>
              <w:rPr>
                <w:rFonts w:hint="eastAsia" w:asciiTheme="minorEastAsia" w:hAnsiTheme="minorEastAsia" w:eastAsiaTheme="minorEastAsia" w:cstheme="minorEastAsia"/>
                <w:color w:val="auto"/>
                <w:szCs w:val="21"/>
                <w:highlight w:val="none"/>
              </w:rPr>
              <w:t>分</w:t>
            </w:r>
          </w:p>
        </w:tc>
        <w:tc>
          <w:tcPr>
            <w:tcW w:w="5876"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Theme="minorEastAsia" w:hAnsiTheme="minorEastAsia" w:eastAsiaTheme="minorEastAsia" w:cstheme="minorEastAsia"/>
                <w:bCs/>
                <w:color w:val="auto"/>
                <w:kern w:val="2"/>
                <w:szCs w:val="21"/>
                <w:highlight w:val="none"/>
                <w:lang w:val="zh-CN"/>
              </w:rPr>
            </w:pPr>
            <w:r>
              <w:rPr>
                <w:rFonts w:hint="eastAsia" w:asciiTheme="minorEastAsia" w:hAnsiTheme="minorEastAsia" w:eastAsiaTheme="minorEastAsia" w:cstheme="minorEastAsia"/>
                <w:color w:val="auto"/>
                <w:kern w:val="2"/>
                <w:szCs w:val="21"/>
                <w:highlight w:val="none"/>
              </w:rPr>
              <w:t>投标人或投标产品制造商</w:t>
            </w:r>
            <w:r>
              <w:rPr>
                <w:rFonts w:hint="eastAsia" w:asciiTheme="minorEastAsia" w:hAnsiTheme="minorEastAsia" w:eastAsiaTheme="minorEastAsia" w:cstheme="minorEastAsia"/>
                <w:bCs/>
                <w:color w:val="auto"/>
                <w:kern w:val="2"/>
                <w:szCs w:val="21"/>
                <w:highlight w:val="none"/>
                <w:lang w:val="zh-CN"/>
              </w:rPr>
              <w:t xml:space="preserve">具有的由国家认证认可监督管理部门批准设立的认证机构颁发并在有效期内的证书： </w:t>
            </w:r>
          </w:p>
          <w:p>
            <w:pPr>
              <w:widowControl w:val="0"/>
              <w:adjustRightInd/>
              <w:spacing w:line="240" w:lineRule="auto"/>
              <w:rPr>
                <w:rFonts w:asciiTheme="minorEastAsia" w:hAnsiTheme="minorEastAsia" w:eastAsiaTheme="minorEastAsia" w:cstheme="minorEastAsia"/>
                <w:bCs/>
                <w:color w:val="auto"/>
                <w:kern w:val="2"/>
                <w:szCs w:val="21"/>
                <w:highlight w:val="none"/>
                <w:lang w:val="zh-CN"/>
              </w:rPr>
            </w:pPr>
            <w:r>
              <w:rPr>
                <w:rFonts w:hint="eastAsia" w:asciiTheme="minorEastAsia" w:hAnsiTheme="minorEastAsia" w:eastAsiaTheme="minorEastAsia" w:cstheme="minorEastAsia"/>
                <w:bCs/>
                <w:color w:val="auto"/>
                <w:kern w:val="2"/>
                <w:szCs w:val="21"/>
                <w:highlight w:val="none"/>
                <w:lang w:val="zh-CN"/>
              </w:rPr>
              <w:t>①质量管理体系认证证书；②环境管理体系认证证书；③职业健康安全管理体系认证证书。具有三项得2分，两项得1分，只有一项得0.5分，没有不得分，本项最高得</w:t>
            </w:r>
            <w:r>
              <w:rPr>
                <w:rFonts w:hint="eastAsia" w:asciiTheme="minorEastAsia" w:hAnsiTheme="minorEastAsia" w:eastAsiaTheme="minorEastAsia" w:cstheme="minorEastAsia"/>
                <w:bCs/>
                <w:color w:val="auto"/>
                <w:kern w:val="2"/>
                <w:szCs w:val="21"/>
                <w:highlight w:val="none"/>
              </w:rPr>
              <w:t>2</w:t>
            </w:r>
            <w:r>
              <w:rPr>
                <w:rFonts w:hint="eastAsia" w:asciiTheme="minorEastAsia" w:hAnsiTheme="minorEastAsia" w:eastAsiaTheme="minorEastAsia" w:cstheme="minorEastAsia"/>
                <w:bCs/>
                <w:color w:val="auto"/>
                <w:kern w:val="2"/>
                <w:szCs w:val="21"/>
                <w:highlight w:val="none"/>
                <w:lang w:val="zh-CN"/>
              </w:rPr>
              <w:t>分。</w:t>
            </w:r>
          </w:p>
          <w:p>
            <w:pPr>
              <w:widowControl w:val="0"/>
              <w:adjustRightIn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bCs/>
                <w:color w:val="auto"/>
                <w:kern w:val="2"/>
                <w:szCs w:val="21"/>
                <w:highlight w:val="none"/>
                <w:lang w:val="zh-CN"/>
              </w:rPr>
              <w:t>注：须提供有效证书复印件及中国国家认证认可监督管理委员会认证查询截图（http://cx.cnca.cn/CertECloud/index/index/page）加盖投标人公章。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rPr>
              <w:t>4</w:t>
            </w:r>
          </w:p>
        </w:tc>
        <w:tc>
          <w:tcPr>
            <w:tcW w:w="108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rPr>
              <w:t>业绩</w:t>
            </w:r>
          </w:p>
        </w:tc>
        <w:tc>
          <w:tcPr>
            <w:tcW w:w="838" w:type="dxa"/>
            <w:gridSpan w:val="2"/>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10分</w:t>
            </w:r>
          </w:p>
        </w:tc>
        <w:tc>
          <w:tcPr>
            <w:tcW w:w="5876" w:type="dxa"/>
            <w:tcBorders>
              <w:top w:val="single" w:color="auto" w:sz="4" w:space="0"/>
              <w:left w:val="single" w:color="auto" w:sz="4" w:space="0"/>
              <w:bottom w:val="single" w:color="auto" w:sz="4" w:space="0"/>
              <w:right w:val="single" w:color="auto" w:sz="4" w:space="0"/>
            </w:tcBorders>
            <w:vAlign w:val="center"/>
          </w:tcPr>
          <w:p>
            <w:pPr>
              <w:widowControl w:val="0"/>
              <w:adjustRightInd/>
              <w:jc w:val="both"/>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根据投标人</w:t>
            </w:r>
            <w:r>
              <w:rPr>
                <w:rFonts w:hint="eastAsia" w:asciiTheme="minorEastAsia" w:hAnsiTheme="minorEastAsia" w:eastAsiaTheme="minorEastAsia" w:cstheme="minorEastAsia"/>
                <w:bCs/>
                <w:color w:val="auto"/>
                <w:kern w:val="2"/>
                <w:szCs w:val="21"/>
                <w:highlight w:val="none"/>
                <w:lang w:val="zh-CN"/>
              </w:rPr>
              <w:t>201</w:t>
            </w:r>
            <w:r>
              <w:rPr>
                <w:rFonts w:hint="eastAsia" w:asciiTheme="minorEastAsia" w:hAnsiTheme="minorEastAsia" w:eastAsiaTheme="minorEastAsia" w:cstheme="minorEastAsia"/>
                <w:bCs/>
                <w:color w:val="auto"/>
                <w:kern w:val="2"/>
                <w:szCs w:val="21"/>
                <w:highlight w:val="none"/>
                <w:lang w:val="en-US" w:eastAsia="zh-CN"/>
              </w:rPr>
              <w:t>8</w:t>
            </w:r>
            <w:r>
              <w:rPr>
                <w:rFonts w:hint="eastAsia" w:asciiTheme="minorEastAsia" w:hAnsiTheme="minorEastAsia" w:eastAsiaTheme="minorEastAsia" w:cstheme="minorEastAsia"/>
                <w:bCs/>
                <w:color w:val="auto"/>
                <w:kern w:val="2"/>
                <w:szCs w:val="21"/>
                <w:highlight w:val="none"/>
                <w:lang w:val="zh-CN"/>
              </w:rPr>
              <w:t>年</w:t>
            </w:r>
            <w:r>
              <w:rPr>
                <w:rFonts w:hint="eastAsia" w:asciiTheme="minorEastAsia" w:hAnsiTheme="minorEastAsia" w:eastAsiaTheme="minorEastAsia" w:cstheme="minorEastAsia"/>
                <w:bCs/>
                <w:color w:val="auto"/>
                <w:kern w:val="2"/>
                <w:szCs w:val="21"/>
                <w:highlight w:val="none"/>
              </w:rPr>
              <w:t>1月1日</w:t>
            </w:r>
            <w:r>
              <w:rPr>
                <w:rFonts w:hint="eastAsia" w:asciiTheme="minorEastAsia" w:hAnsiTheme="minorEastAsia" w:eastAsiaTheme="minorEastAsia" w:cstheme="minorEastAsia"/>
                <w:bCs/>
                <w:color w:val="auto"/>
                <w:kern w:val="2"/>
                <w:szCs w:val="21"/>
                <w:highlight w:val="none"/>
                <w:lang w:val="zh-CN"/>
              </w:rPr>
              <w:t>至今</w:t>
            </w:r>
            <w:r>
              <w:rPr>
                <w:rFonts w:hint="eastAsia" w:asciiTheme="minorEastAsia" w:hAnsiTheme="minorEastAsia" w:eastAsiaTheme="minorEastAsia" w:cstheme="minorEastAsia"/>
                <w:color w:val="auto"/>
                <w:kern w:val="2"/>
                <w:szCs w:val="21"/>
                <w:highlight w:val="none"/>
                <w:shd w:val="clear" w:color="auto" w:fill="FFFFFF"/>
              </w:rPr>
              <w:t>完成的环卫设备类项目（项目内容要含生活垃圾压缩系统、大件垃圾处理系统的任一供货内容）业绩情况进行评分，提供一份业绩得2分，此项最高得10分。</w:t>
            </w:r>
          </w:p>
          <w:p>
            <w:pPr>
              <w:widowControl w:val="0"/>
              <w:adjustRightInd/>
              <w:jc w:val="both"/>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注：提供合同复印件和该合同期内任意一期发票复印件并加盖投标人公章。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bCs/>
                <w:color w:val="auto"/>
                <w:kern w:val="2"/>
                <w:szCs w:val="21"/>
                <w:highlight w:val="none"/>
              </w:rPr>
              <w:t>5</w:t>
            </w:r>
          </w:p>
        </w:tc>
        <w:tc>
          <w:tcPr>
            <w:tcW w:w="1088"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获奖情况</w:t>
            </w:r>
          </w:p>
        </w:tc>
        <w:tc>
          <w:tcPr>
            <w:tcW w:w="83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rPr>
              <w:t>2</w:t>
            </w:r>
            <w:r>
              <w:rPr>
                <w:rFonts w:hint="eastAsia" w:asciiTheme="minorEastAsia" w:hAnsiTheme="minorEastAsia" w:eastAsiaTheme="minorEastAsia" w:cstheme="minorEastAsia"/>
                <w:color w:val="auto"/>
                <w:kern w:val="2"/>
                <w:szCs w:val="21"/>
                <w:highlight w:val="none"/>
              </w:rPr>
              <w:t>分</w:t>
            </w:r>
          </w:p>
        </w:tc>
        <w:tc>
          <w:tcPr>
            <w:tcW w:w="5876" w:type="dxa"/>
            <w:tcBorders>
              <w:top w:val="single" w:color="auto" w:sz="4" w:space="0"/>
              <w:left w:val="single" w:color="auto" w:sz="4" w:space="0"/>
              <w:bottom w:val="single" w:color="auto" w:sz="4" w:space="0"/>
              <w:right w:val="single" w:color="auto" w:sz="4" w:space="0"/>
            </w:tcBorders>
            <w:vAlign w:val="center"/>
          </w:tcPr>
          <w:p>
            <w:pPr>
              <w:widowControl w:val="0"/>
              <w:adjustRightIn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投标人或投标产品制造商参与负责过的生活垃圾转运站项目在市级或以上政府部门或行业协会颁发的优秀项目/案例或示范项目/案例，每提供一项得</w:t>
            </w:r>
            <w:r>
              <w:rPr>
                <w:rFonts w:hint="eastAsia" w:asciiTheme="minorEastAsia" w:hAnsiTheme="minorEastAsia" w:eastAsiaTheme="minorEastAsia" w:cstheme="minorEastAsia"/>
                <w:color w:val="auto"/>
                <w:kern w:val="2"/>
                <w:szCs w:val="21"/>
                <w:highlight w:val="none"/>
                <w:shd w:val="clear" w:color="auto" w:fill="FFFFFF"/>
                <w:lang w:val="en-US" w:eastAsia="zh-CN"/>
              </w:rPr>
              <w:t>1</w:t>
            </w:r>
            <w:r>
              <w:rPr>
                <w:rFonts w:hint="eastAsia" w:asciiTheme="minorEastAsia" w:hAnsiTheme="minorEastAsia" w:eastAsiaTheme="minorEastAsia" w:cstheme="minorEastAsia"/>
                <w:color w:val="auto"/>
                <w:kern w:val="2"/>
                <w:szCs w:val="21"/>
                <w:highlight w:val="none"/>
                <w:shd w:val="clear" w:color="auto" w:fill="FFFFFF"/>
              </w:rPr>
              <w:t>分，最高得</w:t>
            </w:r>
            <w:r>
              <w:rPr>
                <w:rFonts w:hint="eastAsia" w:asciiTheme="minorEastAsia" w:hAnsiTheme="minorEastAsia" w:eastAsiaTheme="minorEastAsia" w:cstheme="minorEastAsia"/>
                <w:color w:val="auto"/>
                <w:kern w:val="2"/>
                <w:szCs w:val="21"/>
                <w:highlight w:val="none"/>
                <w:shd w:val="clear" w:color="auto" w:fill="FFFFFF"/>
                <w:lang w:val="en-US" w:eastAsia="zh-CN"/>
              </w:rPr>
              <w:t>2</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adjustRightIn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注：提供获奖证书复印件并加盖投标人公章。奖项证书无法体现相关内容的，需同时附对应项目合同或业主盖章的相应证明。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8519" w:type="dxa"/>
            <w:gridSpan w:val="6"/>
            <w:tcBorders>
              <w:top w:val="single" w:color="auto" w:sz="4" w:space="0"/>
              <w:left w:val="single" w:color="auto" w:sz="4" w:space="0"/>
              <w:bottom w:val="single" w:color="auto" w:sz="4" w:space="0"/>
              <w:right w:val="single" w:color="auto" w:sz="4" w:space="0"/>
            </w:tcBorders>
            <w:vAlign w:val="center"/>
          </w:tcPr>
          <w:p>
            <w:pPr>
              <w:widowControl w:val="0"/>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备注：以上评分中投标产品制造商均指生活垃圾压缩系统、</w:t>
            </w:r>
            <w:r>
              <w:rPr>
                <w:rFonts w:hint="eastAsia" w:asciiTheme="minorEastAsia" w:hAnsiTheme="minorEastAsia" w:eastAsiaTheme="minorEastAsia" w:cstheme="minorEastAsia"/>
                <w:bCs/>
                <w:color w:val="auto"/>
                <w:kern w:val="2"/>
                <w:szCs w:val="21"/>
                <w:highlight w:val="none"/>
                <w:lang w:val="en-US" w:eastAsia="zh-CN"/>
              </w:rPr>
              <w:t>大件</w:t>
            </w:r>
            <w:r>
              <w:rPr>
                <w:rFonts w:hint="eastAsia" w:asciiTheme="minorEastAsia" w:hAnsiTheme="minorEastAsia" w:eastAsiaTheme="minorEastAsia" w:cstheme="minorEastAsia"/>
                <w:bCs/>
                <w:color w:val="auto"/>
                <w:kern w:val="2"/>
                <w:szCs w:val="21"/>
                <w:highlight w:val="none"/>
              </w:rPr>
              <w:t>垃圾</w:t>
            </w:r>
            <w:r>
              <w:rPr>
                <w:rFonts w:hint="eastAsia" w:asciiTheme="minorEastAsia" w:hAnsiTheme="minorEastAsia" w:eastAsiaTheme="minorEastAsia" w:cstheme="minorEastAsia"/>
                <w:bCs/>
                <w:color w:val="auto"/>
                <w:kern w:val="2"/>
                <w:szCs w:val="21"/>
                <w:highlight w:val="none"/>
                <w:lang w:val="en-US" w:eastAsia="zh-CN"/>
              </w:rPr>
              <w:t>处理</w:t>
            </w:r>
            <w:r>
              <w:rPr>
                <w:rFonts w:hint="eastAsia" w:asciiTheme="minorEastAsia" w:hAnsiTheme="minorEastAsia" w:eastAsiaTheme="minorEastAsia" w:cstheme="minorEastAsia"/>
                <w:bCs/>
                <w:color w:val="auto"/>
                <w:kern w:val="2"/>
                <w:szCs w:val="21"/>
                <w:highlight w:val="none"/>
              </w:rPr>
              <w:t>系统</w:t>
            </w:r>
            <w:r>
              <w:rPr>
                <w:rFonts w:hint="eastAsia" w:asciiTheme="minorEastAsia" w:hAnsiTheme="minorEastAsia" w:eastAsiaTheme="minorEastAsia" w:cstheme="minorEastAsia"/>
                <w:bCs/>
                <w:color w:val="auto"/>
                <w:kern w:val="2"/>
                <w:szCs w:val="21"/>
                <w:highlight w:val="none"/>
                <w:lang w:val="en-US" w:eastAsia="zh-CN"/>
              </w:rPr>
              <w:t>为</w:t>
            </w:r>
            <w:r>
              <w:rPr>
                <w:rFonts w:hint="eastAsia" w:asciiTheme="minorEastAsia" w:hAnsiTheme="minorEastAsia" w:eastAsiaTheme="minorEastAsia" w:cstheme="minorEastAsia"/>
                <w:bCs/>
                <w:color w:val="auto"/>
                <w:kern w:val="2"/>
                <w:szCs w:val="21"/>
                <w:highlight w:val="none"/>
              </w:rPr>
              <w:t>同一厂家的制造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8519" w:type="dxa"/>
            <w:gridSpan w:val="6"/>
            <w:tcBorders>
              <w:top w:val="single" w:color="auto" w:sz="4" w:space="0"/>
              <w:left w:val="single" w:color="auto" w:sz="4" w:space="0"/>
              <w:bottom w:val="single" w:color="auto" w:sz="4" w:space="0"/>
              <w:right w:val="single" w:color="auto" w:sz="4" w:space="0"/>
            </w:tcBorders>
            <w:vAlign w:val="center"/>
          </w:tcPr>
          <w:p>
            <w:pPr>
              <w:widowControl w:val="0"/>
              <w:adjustRightInd/>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
                <w:bCs/>
                <w:color w:val="auto"/>
                <w:kern w:val="2"/>
                <w:szCs w:val="21"/>
                <w:highlight w:val="none"/>
              </w:rPr>
              <w:t>技术评分细则（合计2</w:t>
            </w:r>
            <w:r>
              <w:rPr>
                <w:rFonts w:hint="eastAsia" w:asciiTheme="minorEastAsia" w:hAnsiTheme="minorEastAsia" w:eastAsiaTheme="minorEastAsia" w:cstheme="minorEastAsia"/>
                <w:b/>
                <w:bCs/>
                <w:color w:val="auto"/>
                <w:kern w:val="2"/>
                <w:szCs w:val="21"/>
                <w:highlight w:val="none"/>
                <w:lang w:val="en-US" w:eastAsia="zh-CN"/>
              </w:rPr>
              <w:t>0</w:t>
            </w:r>
            <w:r>
              <w:rPr>
                <w:rFonts w:hint="eastAsia" w:asciiTheme="minorEastAsia" w:hAnsiTheme="minorEastAsia" w:eastAsiaTheme="minorEastAsia" w:cstheme="minorEastAsia"/>
                <w:b/>
                <w:bCs/>
                <w:color w:val="auto"/>
                <w:kern w:val="2"/>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2"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1</w:t>
            </w:r>
          </w:p>
        </w:tc>
        <w:tc>
          <w:tcPr>
            <w:tcW w:w="1088" w:type="dxa"/>
            <w:gridSpan w:val="2"/>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rPr>
              <w:t>项目实施方案</w:t>
            </w:r>
          </w:p>
        </w:tc>
        <w:tc>
          <w:tcPr>
            <w:tcW w:w="83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rPr>
              <w:t>5</w:t>
            </w:r>
            <w:r>
              <w:rPr>
                <w:rFonts w:hint="eastAsia" w:asciiTheme="minorEastAsia" w:hAnsiTheme="minorEastAsia" w:eastAsiaTheme="minorEastAsia" w:cstheme="minorEastAsia"/>
                <w:color w:val="auto"/>
                <w:kern w:val="2"/>
                <w:szCs w:val="21"/>
                <w:highlight w:val="none"/>
              </w:rPr>
              <w:t>分</w:t>
            </w:r>
          </w:p>
        </w:tc>
        <w:tc>
          <w:tcPr>
            <w:tcW w:w="5876" w:type="dxa"/>
            <w:tcBorders>
              <w:top w:val="single" w:color="auto" w:sz="4" w:space="0"/>
              <w:left w:val="single" w:color="auto" w:sz="4" w:space="0"/>
              <w:bottom w:val="single" w:color="auto" w:sz="4" w:space="0"/>
              <w:right w:val="single" w:color="auto" w:sz="4" w:space="0"/>
            </w:tcBorders>
            <w:vAlign w:val="center"/>
          </w:tcPr>
          <w:p>
            <w:pPr>
              <w:widowControl w:val="0"/>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根据</w:t>
            </w:r>
            <w:r>
              <w:rPr>
                <w:rFonts w:hint="eastAsia" w:asciiTheme="minorEastAsia" w:hAnsiTheme="minorEastAsia" w:eastAsiaTheme="minorEastAsia" w:cstheme="minorEastAsia"/>
                <w:color w:val="auto"/>
                <w:kern w:val="2"/>
                <w:szCs w:val="21"/>
                <w:highlight w:val="none"/>
                <w:shd w:val="clear" w:color="auto" w:fill="FFFFFF"/>
              </w:rPr>
              <w:t>投标人或投标产品制造商</w:t>
            </w:r>
            <w:r>
              <w:rPr>
                <w:rFonts w:hint="eastAsia" w:asciiTheme="minorEastAsia" w:hAnsiTheme="minorEastAsia" w:eastAsiaTheme="minorEastAsia" w:cstheme="minorEastAsia"/>
                <w:color w:val="auto"/>
                <w:kern w:val="2"/>
                <w:szCs w:val="21"/>
                <w:highlight w:val="none"/>
                <w:shd w:val="clear" w:color="auto" w:fill="FFFFFF"/>
                <w:lang w:val="zh-CN"/>
              </w:rPr>
              <w:t>提供的项目实施方案（方案包括1.质量保证措施、</w:t>
            </w:r>
            <w:r>
              <w:rPr>
                <w:rFonts w:hint="eastAsia" w:asciiTheme="minorEastAsia" w:hAnsiTheme="minorEastAsia" w:eastAsiaTheme="minorEastAsia" w:cstheme="minorEastAsia"/>
                <w:color w:val="auto"/>
                <w:kern w:val="2"/>
                <w:szCs w:val="21"/>
                <w:highlight w:val="none"/>
                <w:shd w:val="clear" w:color="auto" w:fill="FFFFFF"/>
              </w:rPr>
              <w:t>2</w:t>
            </w:r>
            <w:r>
              <w:rPr>
                <w:rFonts w:hint="eastAsia" w:asciiTheme="minorEastAsia" w:hAnsiTheme="minorEastAsia" w:eastAsiaTheme="minorEastAsia" w:cstheme="minorEastAsia"/>
                <w:color w:val="auto"/>
                <w:kern w:val="2"/>
                <w:szCs w:val="21"/>
                <w:highlight w:val="none"/>
                <w:shd w:val="clear" w:color="auto" w:fill="FFFFFF"/>
                <w:lang w:val="zh-CN"/>
              </w:rPr>
              <w:t>.履约进度控制方案</w:t>
            </w:r>
            <w:r>
              <w:rPr>
                <w:rFonts w:hint="eastAsia" w:asciiTheme="minorEastAsia" w:hAnsiTheme="minorEastAsia" w:eastAsiaTheme="minorEastAsia" w:cstheme="minorEastAsia"/>
                <w:color w:val="auto"/>
                <w:kern w:val="2"/>
                <w:szCs w:val="21"/>
                <w:highlight w:val="none"/>
                <w:shd w:val="clear" w:color="auto" w:fill="FFFFFF"/>
              </w:rPr>
              <w:t>(不限于</w:t>
            </w:r>
            <w:r>
              <w:rPr>
                <w:rFonts w:hint="eastAsia" w:asciiTheme="minorEastAsia" w:hAnsiTheme="minorEastAsia" w:eastAsiaTheme="minorEastAsia" w:cstheme="minorEastAsia"/>
                <w:color w:val="auto"/>
                <w:kern w:val="2"/>
                <w:szCs w:val="21"/>
                <w:highlight w:val="none"/>
                <w:shd w:val="clear" w:color="auto" w:fill="FFFFFF"/>
                <w:lang w:val="zh-CN"/>
              </w:rPr>
              <w:t>交货、调试、验收</w:t>
            </w:r>
            <w:r>
              <w:rPr>
                <w:rFonts w:hint="eastAsia" w:asciiTheme="minorEastAsia" w:hAnsiTheme="minorEastAsia" w:eastAsiaTheme="minorEastAsia" w:cstheme="minorEastAsia"/>
                <w:color w:val="auto"/>
                <w:kern w:val="2"/>
                <w:szCs w:val="21"/>
                <w:highlight w:val="none"/>
                <w:shd w:val="clear" w:color="auto" w:fill="FFFFFF"/>
              </w:rPr>
              <w:t>方案内容</w:t>
            </w:r>
            <w:r>
              <w:rPr>
                <w:rFonts w:hint="eastAsia" w:asciiTheme="minorEastAsia" w:hAnsiTheme="minorEastAsia" w:eastAsiaTheme="minorEastAsia" w:cstheme="minorEastAsia"/>
                <w:color w:val="auto"/>
                <w:kern w:val="2"/>
                <w:szCs w:val="21"/>
                <w:highlight w:val="none"/>
                <w:shd w:val="clear" w:color="auto" w:fill="FFFFFF"/>
                <w:lang w:val="zh-CN"/>
              </w:rPr>
              <w:t>等）进行综合评审：</w:t>
            </w:r>
          </w:p>
          <w:p>
            <w:pPr>
              <w:widowControl w:val="0"/>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rPr>
              <w:t>投标人或投标产品制造商</w:t>
            </w:r>
            <w:r>
              <w:rPr>
                <w:rFonts w:hint="eastAsia" w:asciiTheme="minorEastAsia" w:hAnsiTheme="minorEastAsia" w:eastAsiaTheme="minorEastAsia" w:cstheme="minorEastAsia"/>
                <w:color w:val="auto"/>
                <w:kern w:val="2"/>
                <w:szCs w:val="21"/>
                <w:highlight w:val="none"/>
                <w:shd w:val="clear" w:color="auto" w:fill="FFFFFF"/>
                <w:lang w:val="zh-CN"/>
              </w:rPr>
              <w:t>提供的项目实施方案内容全面完整（包括上述</w:t>
            </w:r>
            <w:r>
              <w:rPr>
                <w:rFonts w:hint="eastAsia" w:asciiTheme="minorEastAsia" w:hAnsiTheme="minorEastAsia" w:eastAsiaTheme="minorEastAsia" w:cstheme="minorEastAsia"/>
                <w:color w:val="auto"/>
                <w:kern w:val="2"/>
                <w:szCs w:val="21"/>
                <w:highlight w:val="none"/>
                <w:shd w:val="clear" w:color="auto" w:fill="FFFFFF"/>
              </w:rPr>
              <w:t>2</w:t>
            </w:r>
            <w:r>
              <w:rPr>
                <w:rFonts w:hint="eastAsia" w:asciiTheme="minorEastAsia" w:hAnsiTheme="minorEastAsia" w:eastAsiaTheme="minorEastAsia" w:cstheme="minorEastAsia"/>
                <w:color w:val="auto"/>
                <w:kern w:val="2"/>
                <w:szCs w:val="21"/>
                <w:highlight w:val="none"/>
                <w:shd w:val="clear" w:color="auto" w:fill="FFFFFF"/>
                <w:lang w:val="zh-CN"/>
              </w:rPr>
              <w:t>种方案）、质量保证措施全面科学、履约进度控制方案详细合理、交货、调试、验收方案科学完整的得</w:t>
            </w:r>
            <w:r>
              <w:rPr>
                <w:rFonts w:hint="eastAsia" w:asciiTheme="minorEastAsia" w:hAnsiTheme="minorEastAsia" w:eastAsiaTheme="minorEastAsia" w:cstheme="minorEastAsia"/>
                <w:color w:val="auto"/>
                <w:kern w:val="2"/>
                <w:szCs w:val="21"/>
                <w:highlight w:val="none"/>
                <w:shd w:val="clear" w:color="auto" w:fill="FFFFFF"/>
                <w:lang w:val="en-US" w:eastAsia="zh-CN"/>
              </w:rPr>
              <w:t>5</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rPr>
              <w:t>投标人或投标产品制造商</w:t>
            </w:r>
            <w:r>
              <w:rPr>
                <w:rFonts w:hint="eastAsia" w:asciiTheme="minorEastAsia" w:hAnsiTheme="minorEastAsia" w:eastAsiaTheme="minorEastAsia" w:cstheme="minorEastAsia"/>
                <w:color w:val="auto"/>
                <w:kern w:val="2"/>
                <w:szCs w:val="21"/>
                <w:highlight w:val="none"/>
                <w:shd w:val="clear" w:color="auto" w:fill="FFFFFF"/>
                <w:lang w:val="zh-CN"/>
              </w:rPr>
              <w:t>提供的项目实施方案内容基本完整（至少包含上述</w:t>
            </w:r>
            <w:r>
              <w:rPr>
                <w:rFonts w:hint="eastAsia" w:asciiTheme="minorEastAsia" w:hAnsiTheme="minorEastAsia" w:eastAsiaTheme="minorEastAsia" w:cstheme="minorEastAsia"/>
                <w:color w:val="auto"/>
                <w:kern w:val="2"/>
                <w:szCs w:val="21"/>
                <w:highlight w:val="none"/>
                <w:shd w:val="clear" w:color="auto" w:fill="FFFFFF"/>
              </w:rPr>
              <w:t>1</w:t>
            </w:r>
            <w:r>
              <w:rPr>
                <w:rFonts w:hint="eastAsia" w:asciiTheme="minorEastAsia" w:hAnsiTheme="minorEastAsia" w:eastAsiaTheme="minorEastAsia" w:cstheme="minorEastAsia"/>
                <w:color w:val="auto"/>
                <w:kern w:val="2"/>
                <w:szCs w:val="21"/>
                <w:highlight w:val="none"/>
                <w:shd w:val="clear" w:color="auto" w:fill="FFFFFF"/>
                <w:lang w:val="zh-CN"/>
              </w:rPr>
              <w:t>种方案）、质量保证措施一般、履约进度控制方案一般、交货、调试、验收方案一般，得</w:t>
            </w:r>
            <w:r>
              <w:rPr>
                <w:rFonts w:hint="eastAsia" w:asciiTheme="minorEastAsia" w:hAnsiTheme="minorEastAsia" w:eastAsiaTheme="minorEastAsia" w:cstheme="minorEastAsia"/>
                <w:color w:val="auto"/>
                <w:kern w:val="2"/>
                <w:szCs w:val="21"/>
                <w:highlight w:val="none"/>
                <w:shd w:val="clear" w:color="auto" w:fill="FFFFFF"/>
                <w:lang w:val="en-US" w:eastAsia="zh-CN"/>
              </w:rPr>
              <w:t>3</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rPr>
              <w:t>投标人或投标产品制造商</w:t>
            </w:r>
            <w:r>
              <w:rPr>
                <w:rFonts w:hint="eastAsia" w:asciiTheme="minorEastAsia" w:hAnsiTheme="minorEastAsia" w:eastAsiaTheme="minorEastAsia" w:cstheme="minorEastAsia"/>
                <w:color w:val="auto"/>
                <w:kern w:val="2"/>
                <w:szCs w:val="21"/>
                <w:highlight w:val="none"/>
                <w:shd w:val="clear" w:color="auto" w:fill="FFFFFF"/>
                <w:lang w:val="zh-CN"/>
              </w:rPr>
              <w:t>提供的项目实施方案内容不完整</w:t>
            </w:r>
            <w:r>
              <w:rPr>
                <w:rFonts w:hint="eastAsia" w:asciiTheme="minorEastAsia" w:hAnsiTheme="minorEastAsia" w:eastAsiaTheme="minorEastAsia" w:cstheme="minorEastAsia"/>
                <w:color w:val="auto"/>
                <w:kern w:val="2"/>
                <w:szCs w:val="21"/>
                <w:highlight w:val="none"/>
                <w:shd w:val="clear" w:color="auto" w:fill="FFFFFF"/>
              </w:rPr>
              <w:t>或均缺的</w:t>
            </w:r>
            <w:r>
              <w:rPr>
                <w:rFonts w:hint="eastAsia" w:asciiTheme="minorEastAsia" w:hAnsiTheme="minorEastAsia" w:eastAsiaTheme="minorEastAsia" w:cstheme="minorEastAsia"/>
                <w:color w:val="auto"/>
                <w:kern w:val="2"/>
                <w:szCs w:val="21"/>
                <w:highlight w:val="none"/>
                <w:shd w:val="clear" w:color="auto" w:fill="FFFFFF"/>
                <w:lang w:val="zh-CN"/>
              </w:rPr>
              <w:t>、质量保证措施差、履约进度控制方案差、交货、调试、验收方案差，得</w:t>
            </w:r>
            <w:r>
              <w:rPr>
                <w:rFonts w:hint="eastAsia" w:asciiTheme="minorEastAsia" w:hAnsiTheme="minorEastAsia" w:eastAsiaTheme="minorEastAsia" w:cstheme="minorEastAsia"/>
                <w:color w:val="auto"/>
                <w:kern w:val="2"/>
                <w:szCs w:val="21"/>
                <w:highlight w:val="none"/>
                <w:shd w:val="clear" w:color="auto" w:fill="FFFFFF"/>
              </w:rPr>
              <w:t>1</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2</w:t>
            </w:r>
          </w:p>
        </w:tc>
        <w:tc>
          <w:tcPr>
            <w:tcW w:w="1088"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性能质量情况</w:t>
            </w:r>
          </w:p>
        </w:tc>
        <w:tc>
          <w:tcPr>
            <w:tcW w:w="83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rPr>
              <w:t>5</w:t>
            </w:r>
            <w:r>
              <w:rPr>
                <w:rFonts w:hint="eastAsia" w:asciiTheme="minorEastAsia" w:hAnsiTheme="minorEastAsia" w:eastAsiaTheme="minorEastAsia" w:cstheme="minorEastAsia"/>
                <w:color w:val="auto"/>
                <w:kern w:val="2"/>
                <w:szCs w:val="21"/>
                <w:highlight w:val="none"/>
              </w:rPr>
              <w:t>分</w:t>
            </w:r>
          </w:p>
        </w:tc>
        <w:tc>
          <w:tcPr>
            <w:tcW w:w="5876" w:type="dxa"/>
            <w:tcBorders>
              <w:top w:val="single" w:color="auto" w:sz="4" w:space="0"/>
              <w:left w:val="single" w:color="auto" w:sz="4" w:space="0"/>
              <w:bottom w:val="single" w:color="auto" w:sz="4" w:space="0"/>
              <w:right w:val="single" w:color="auto" w:sz="4" w:space="0"/>
            </w:tcBorders>
            <w:vAlign w:val="center"/>
          </w:tcPr>
          <w:p>
            <w:pPr>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对</w:t>
            </w:r>
            <w:r>
              <w:rPr>
                <w:rFonts w:hint="eastAsia" w:asciiTheme="minorEastAsia" w:hAnsiTheme="minorEastAsia" w:eastAsiaTheme="minorEastAsia" w:cstheme="minorEastAsia"/>
                <w:color w:val="auto"/>
                <w:kern w:val="2"/>
                <w:szCs w:val="21"/>
                <w:highlight w:val="none"/>
                <w:shd w:val="clear" w:color="auto" w:fill="FFFFFF"/>
              </w:rPr>
              <w:t>投标人或投标产品制造商</w:t>
            </w:r>
            <w:r>
              <w:rPr>
                <w:rFonts w:hint="eastAsia" w:asciiTheme="minorEastAsia" w:hAnsiTheme="minorEastAsia" w:eastAsiaTheme="minorEastAsia" w:cstheme="minorEastAsia"/>
                <w:color w:val="auto"/>
                <w:kern w:val="2"/>
                <w:szCs w:val="21"/>
                <w:highlight w:val="none"/>
                <w:shd w:val="clear" w:color="auto" w:fill="FFFFFF"/>
                <w:lang w:val="zh-CN"/>
              </w:rPr>
              <w:t>所投产品功能响应程度，自动化控制程度、技术先进性等整体性能，以及易维护性进行评审，</w:t>
            </w:r>
            <w:r>
              <w:rPr>
                <w:rFonts w:hint="eastAsia" w:asciiTheme="minorEastAsia" w:hAnsiTheme="minorEastAsia" w:eastAsiaTheme="minorEastAsia" w:cstheme="minorEastAsia"/>
                <w:color w:val="auto"/>
                <w:kern w:val="2"/>
                <w:szCs w:val="21"/>
                <w:highlight w:val="none"/>
                <w:shd w:val="clear" w:color="auto" w:fill="FFFFFF"/>
              </w:rPr>
              <w:t>重点对</w:t>
            </w:r>
            <w:r>
              <w:rPr>
                <w:rFonts w:hint="eastAsia" w:asciiTheme="minorEastAsia" w:hAnsiTheme="minorEastAsia" w:eastAsiaTheme="minorEastAsia" w:cstheme="minorEastAsia"/>
                <w:color w:val="auto"/>
                <w:kern w:val="2"/>
                <w:szCs w:val="21"/>
                <w:highlight w:val="none"/>
                <w:shd w:val="clear" w:color="auto" w:fill="FFFFFF"/>
                <w:lang w:val="zh-CN"/>
              </w:rPr>
              <w:t>标注“▲”号重要参数</w:t>
            </w:r>
            <w:r>
              <w:rPr>
                <w:rFonts w:hint="eastAsia" w:asciiTheme="minorEastAsia" w:hAnsiTheme="minorEastAsia" w:eastAsiaTheme="minorEastAsia" w:cstheme="minorEastAsia"/>
                <w:color w:val="auto"/>
                <w:kern w:val="2"/>
                <w:szCs w:val="21"/>
                <w:highlight w:val="none"/>
                <w:shd w:val="clear" w:color="auto" w:fill="FFFFFF"/>
              </w:rPr>
              <w:t>的相应要求的响应性，符合性进行对比</w:t>
            </w:r>
            <w:r>
              <w:rPr>
                <w:rFonts w:hint="eastAsia" w:asciiTheme="minorEastAsia" w:hAnsiTheme="minorEastAsia" w:eastAsiaTheme="minorEastAsia" w:cstheme="minorEastAsia"/>
                <w:color w:val="auto"/>
                <w:kern w:val="2"/>
                <w:szCs w:val="21"/>
                <w:highlight w:val="none"/>
                <w:shd w:val="clear" w:color="auto" w:fill="FFFFFF"/>
                <w:lang w:val="zh-CN"/>
              </w:rPr>
              <w:t>，按优</w:t>
            </w:r>
            <w:r>
              <w:rPr>
                <w:rFonts w:hint="eastAsia" w:asciiTheme="minorEastAsia" w:hAnsiTheme="minorEastAsia" w:eastAsiaTheme="minorEastAsia" w:cstheme="minorEastAsia"/>
                <w:color w:val="auto"/>
                <w:kern w:val="2"/>
                <w:szCs w:val="21"/>
                <w:highlight w:val="none"/>
                <w:shd w:val="clear" w:color="auto" w:fill="FFFFFF"/>
                <w:lang w:val="en-US" w:eastAsia="zh-CN"/>
              </w:rPr>
              <w:t>5</w:t>
            </w:r>
            <w:r>
              <w:rPr>
                <w:rFonts w:hint="eastAsia" w:asciiTheme="minorEastAsia" w:hAnsiTheme="minorEastAsia" w:eastAsiaTheme="minorEastAsia" w:cstheme="minorEastAsia"/>
                <w:color w:val="auto"/>
                <w:kern w:val="2"/>
                <w:szCs w:val="21"/>
                <w:highlight w:val="none"/>
                <w:shd w:val="clear" w:color="auto" w:fill="FFFFFF"/>
                <w:lang w:val="zh-CN"/>
              </w:rPr>
              <w:t>分、良</w:t>
            </w:r>
            <w:r>
              <w:rPr>
                <w:rFonts w:hint="eastAsia" w:asciiTheme="minorEastAsia" w:hAnsiTheme="minorEastAsia" w:eastAsiaTheme="minorEastAsia" w:cstheme="minorEastAsia"/>
                <w:color w:val="auto"/>
                <w:kern w:val="2"/>
                <w:szCs w:val="21"/>
                <w:highlight w:val="none"/>
                <w:shd w:val="clear" w:color="auto" w:fill="FFFFFF"/>
              </w:rPr>
              <w:t>3</w:t>
            </w:r>
            <w:r>
              <w:rPr>
                <w:rFonts w:hint="eastAsia" w:asciiTheme="minorEastAsia" w:hAnsiTheme="minorEastAsia" w:eastAsiaTheme="minorEastAsia" w:cstheme="minorEastAsia"/>
                <w:color w:val="auto"/>
                <w:kern w:val="2"/>
                <w:szCs w:val="21"/>
                <w:highlight w:val="none"/>
                <w:shd w:val="clear" w:color="auto" w:fill="FFFFFF"/>
                <w:lang w:val="zh-CN"/>
              </w:rPr>
              <w:t>分，差</w:t>
            </w:r>
            <w:r>
              <w:rPr>
                <w:rFonts w:hint="eastAsia" w:asciiTheme="minorEastAsia" w:hAnsiTheme="minorEastAsia" w:eastAsiaTheme="minorEastAsia" w:cstheme="minorEastAsia"/>
                <w:color w:val="auto"/>
                <w:kern w:val="2"/>
                <w:szCs w:val="21"/>
                <w:highlight w:val="none"/>
                <w:shd w:val="clear" w:color="auto" w:fill="FFFFFF"/>
              </w:rPr>
              <w:t>1</w:t>
            </w:r>
            <w:r>
              <w:rPr>
                <w:rFonts w:hint="eastAsia" w:asciiTheme="minorEastAsia" w:hAnsiTheme="minorEastAsia" w:eastAsiaTheme="minorEastAsia" w:cstheme="minorEastAsia"/>
                <w:color w:val="auto"/>
                <w:kern w:val="2"/>
                <w:szCs w:val="21"/>
                <w:highlight w:val="none"/>
                <w:shd w:val="clear" w:color="auto" w:fill="FFFFFF"/>
                <w:lang w:val="zh-CN"/>
              </w:rPr>
              <w:t>分进行评审</w:t>
            </w:r>
            <w:r>
              <w:rPr>
                <w:rFonts w:hint="eastAsia" w:asciiTheme="minorEastAsia" w:hAnsiTheme="minorEastAsia" w:eastAsiaTheme="minorEastAsia" w:cstheme="minorEastAsia"/>
                <w:color w:val="auto"/>
                <w:kern w:val="2"/>
                <w:szCs w:val="21"/>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3</w:t>
            </w:r>
          </w:p>
        </w:tc>
        <w:tc>
          <w:tcPr>
            <w:tcW w:w="1088"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bCs/>
                <w:color w:val="auto"/>
                <w:kern w:val="2"/>
                <w:szCs w:val="21"/>
                <w:highlight w:val="none"/>
              </w:rPr>
              <w:t>人员配备情况</w:t>
            </w:r>
          </w:p>
        </w:tc>
        <w:tc>
          <w:tcPr>
            <w:tcW w:w="83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2分</w:t>
            </w:r>
          </w:p>
        </w:tc>
        <w:tc>
          <w:tcPr>
            <w:tcW w:w="5876" w:type="dxa"/>
            <w:tcBorders>
              <w:top w:val="single" w:color="auto" w:sz="4" w:space="0"/>
              <w:left w:val="single" w:color="auto" w:sz="4" w:space="0"/>
              <w:bottom w:val="single" w:color="auto" w:sz="4" w:space="0"/>
              <w:right w:val="single" w:color="auto" w:sz="4" w:space="0"/>
            </w:tcBorders>
            <w:vAlign w:val="center"/>
          </w:tcPr>
          <w:p>
            <w:pPr>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根据</w:t>
            </w:r>
            <w:r>
              <w:rPr>
                <w:rFonts w:hint="eastAsia" w:asciiTheme="minorEastAsia" w:hAnsiTheme="minorEastAsia" w:eastAsiaTheme="minorEastAsia" w:cstheme="minorEastAsia"/>
                <w:color w:val="auto"/>
                <w:kern w:val="2"/>
                <w:szCs w:val="21"/>
                <w:highlight w:val="none"/>
                <w:shd w:val="clear" w:color="auto" w:fill="FFFFFF"/>
              </w:rPr>
              <w:t>投标人或投标产品制造商</w:t>
            </w:r>
            <w:r>
              <w:rPr>
                <w:rFonts w:hint="eastAsia" w:asciiTheme="minorEastAsia" w:hAnsiTheme="minorEastAsia" w:eastAsiaTheme="minorEastAsia" w:cstheme="minorEastAsia"/>
                <w:color w:val="auto"/>
                <w:kern w:val="2"/>
                <w:szCs w:val="21"/>
                <w:highlight w:val="none"/>
                <w:shd w:val="clear" w:color="auto" w:fill="FFFFFF"/>
                <w:lang w:val="zh-CN"/>
              </w:rPr>
              <w:t>企业人员实力情况进行评审：</w:t>
            </w:r>
          </w:p>
          <w:p>
            <w:pPr>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①</w:t>
            </w:r>
            <w:r>
              <w:rPr>
                <w:rFonts w:hint="eastAsia" w:asciiTheme="minorEastAsia" w:hAnsiTheme="minorEastAsia" w:eastAsiaTheme="minorEastAsia" w:cstheme="minorEastAsia"/>
                <w:color w:val="auto"/>
                <w:kern w:val="2"/>
                <w:szCs w:val="21"/>
                <w:highlight w:val="none"/>
                <w:shd w:val="clear" w:color="auto" w:fill="FFFFFF"/>
              </w:rPr>
              <w:t>拟派本项目项目经理（或项目负责人）</w:t>
            </w:r>
            <w:r>
              <w:rPr>
                <w:rFonts w:hint="eastAsia" w:asciiTheme="minorEastAsia" w:hAnsiTheme="minorEastAsia" w:eastAsiaTheme="minorEastAsia" w:cstheme="minorEastAsia"/>
                <w:color w:val="auto"/>
                <w:kern w:val="2"/>
                <w:szCs w:val="21"/>
                <w:highlight w:val="none"/>
                <w:shd w:val="clear" w:color="auto" w:fill="FFFFFF"/>
                <w:lang w:val="zh-CN"/>
              </w:rPr>
              <w:t>具有</w:t>
            </w:r>
            <w:r>
              <w:rPr>
                <w:rFonts w:hint="eastAsia" w:asciiTheme="minorEastAsia" w:hAnsiTheme="minorEastAsia" w:eastAsiaTheme="minorEastAsia" w:cstheme="minorEastAsia"/>
                <w:color w:val="auto"/>
                <w:kern w:val="2"/>
                <w:szCs w:val="21"/>
                <w:highlight w:val="none"/>
                <w:shd w:val="clear" w:color="auto" w:fill="FFFFFF"/>
              </w:rPr>
              <w:t>机电或</w:t>
            </w:r>
            <w:r>
              <w:rPr>
                <w:rFonts w:hint="eastAsia" w:asciiTheme="minorEastAsia" w:hAnsiTheme="minorEastAsia" w:eastAsiaTheme="minorEastAsia" w:cstheme="minorEastAsia"/>
                <w:color w:val="auto"/>
                <w:kern w:val="2"/>
                <w:szCs w:val="21"/>
                <w:highlight w:val="none"/>
                <w:shd w:val="clear" w:color="auto" w:fill="FFFFFF"/>
                <w:lang w:val="zh-CN"/>
              </w:rPr>
              <w:t>机械</w:t>
            </w:r>
            <w:r>
              <w:rPr>
                <w:rFonts w:hint="eastAsia" w:asciiTheme="minorEastAsia" w:hAnsiTheme="minorEastAsia" w:eastAsiaTheme="minorEastAsia" w:cstheme="minorEastAsia"/>
                <w:color w:val="auto"/>
                <w:kern w:val="2"/>
                <w:szCs w:val="21"/>
                <w:highlight w:val="none"/>
                <w:shd w:val="clear" w:color="auto" w:fill="FFFFFF"/>
              </w:rPr>
              <w:t>专业</w:t>
            </w:r>
            <w:r>
              <w:rPr>
                <w:rFonts w:hint="eastAsia" w:asciiTheme="minorEastAsia" w:hAnsiTheme="minorEastAsia" w:eastAsiaTheme="minorEastAsia" w:cstheme="minorEastAsia"/>
                <w:color w:val="auto"/>
                <w:kern w:val="2"/>
                <w:szCs w:val="21"/>
                <w:highlight w:val="none"/>
                <w:shd w:val="clear" w:color="auto" w:fill="FFFFFF"/>
                <w:lang w:val="zh-CN"/>
              </w:rPr>
              <w:t>的高级</w:t>
            </w:r>
            <w:r>
              <w:rPr>
                <w:rFonts w:hint="eastAsia" w:asciiTheme="minorEastAsia" w:hAnsiTheme="minorEastAsia" w:eastAsiaTheme="minorEastAsia" w:cstheme="minorEastAsia"/>
                <w:color w:val="auto"/>
                <w:kern w:val="2"/>
                <w:szCs w:val="21"/>
                <w:highlight w:val="none"/>
                <w:shd w:val="clear" w:color="auto" w:fill="FFFFFF"/>
              </w:rPr>
              <w:t>或以上</w:t>
            </w:r>
            <w:r>
              <w:rPr>
                <w:rFonts w:hint="eastAsia" w:asciiTheme="minorEastAsia" w:hAnsiTheme="minorEastAsia" w:eastAsiaTheme="minorEastAsia" w:cstheme="minorEastAsia"/>
                <w:color w:val="auto"/>
                <w:kern w:val="2"/>
                <w:szCs w:val="21"/>
                <w:highlight w:val="none"/>
                <w:shd w:val="clear" w:color="auto" w:fill="FFFFFF"/>
                <w:lang w:val="zh-CN"/>
              </w:rPr>
              <w:t>工程师职称的</w:t>
            </w:r>
            <w:r>
              <w:rPr>
                <w:rFonts w:hint="eastAsia" w:asciiTheme="minorEastAsia" w:hAnsiTheme="minorEastAsia" w:eastAsiaTheme="minorEastAsia" w:cstheme="minorEastAsia"/>
                <w:color w:val="auto"/>
                <w:kern w:val="2"/>
                <w:szCs w:val="21"/>
                <w:highlight w:val="none"/>
                <w:shd w:val="clear" w:color="auto" w:fill="FFFFFF"/>
              </w:rPr>
              <w:t>得1</w:t>
            </w:r>
            <w:r>
              <w:rPr>
                <w:rFonts w:hint="eastAsia" w:asciiTheme="minorEastAsia" w:hAnsiTheme="minorEastAsia" w:eastAsiaTheme="minorEastAsia" w:cstheme="minorEastAsia"/>
                <w:color w:val="auto"/>
                <w:kern w:val="2"/>
                <w:szCs w:val="21"/>
                <w:highlight w:val="none"/>
                <w:shd w:val="clear" w:color="auto" w:fill="FFFFFF"/>
                <w:lang w:val="zh-CN"/>
              </w:rPr>
              <w:t>分；</w:t>
            </w:r>
          </w:p>
          <w:p>
            <w:pPr>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②</w:t>
            </w:r>
            <w:r>
              <w:rPr>
                <w:rFonts w:hint="eastAsia" w:asciiTheme="minorEastAsia" w:hAnsiTheme="minorEastAsia" w:eastAsiaTheme="minorEastAsia" w:cstheme="minorEastAsia"/>
                <w:color w:val="auto"/>
                <w:kern w:val="2"/>
                <w:szCs w:val="21"/>
                <w:highlight w:val="none"/>
                <w:shd w:val="clear" w:color="auto" w:fill="FFFFFF"/>
              </w:rPr>
              <w:t>拟派本项目的其它现场管或安装人员</w:t>
            </w:r>
            <w:r>
              <w:rPr>
                <w:rFonts w:hint="eastAsia" w:asciiTheme="minorEastAsia" w:hAnsiTheme="minorEastAsia" w:eastAsiaTheme="minorEastAsia" w:cstheme="minorEastAsia"/>
                <w:color w:val="auto"/>
                <w:kern w:val="2"/>
                <w:szCs w:val="21"/>
                <w:highlight w:val="none"/>
                <w:shd w:val="clear" w:color="auto" w:fill="FFFFFF"/>
                <w:lang w:val="zh-CN"/>
              </w:rPr>
              <w:t>具有</w:t>
            </w:r>
            <w:r>
              <w:rPr>
                <w:rFonts w:hint="eastAsia" w:asciiTheme="minorEastAsia" w:hAnsiTheme="minorEastAsia" w:eastAsiaTheme="minorEastAsia" w:cstheme="minorEastAsia"/>
                <w:color w:val="auto"/>
                <w:kern w:val="2"/>
                <w:szCs w:val="21"/>
                <w:highlight w:val="none"/>
                <w:shd w:val="clear" w:color="auto" w:fill="FFFFFF"/>
              </w:rPr>
              <w:t>机电或</w:t>
            </w:r>
            <w:r>
              <w:rPr>
                <w:rFonts w:hint="eastAsia" w:asciiTheme="minorEastAsia" w:hAnsiTheme="minorEastAsia" w:eastAsiaTheme="minorEastAsia" w:cstheme="minorEastAsia"/>
                <w:color w:val="auto"/>
                <w:kern w:val="2"/>
                <w:szCs w:val="21"/>
                <w:highlight w:val="none"/>
                <w:shd w:val="clear" w:color="auto" w:fill="FFFFFF"/>
                <w:lang w:val="zh-CN"/>
              </w:rPr>
              <w:t>机械</w:t>
            </w:r>
            <w:r>
              <w:rPr>
                <w:rFonts w:hint="eastAsia" w:asciiTheme="minorEastAsia" w:hAnsiTheme="minorEastAsia" w:eastAsiaTheme="minorEastAsia" w:cstheme="minorEastAsia"/>
                <w:color w:val="auto"/>
                <w:kern w:val="2"/>
                <w:szCs w:val="21"/>
                <w:highlight w:val="none"/>
                <w:shd w:val="clear" w:color="auto" w:fill="FFFFFF"/>
              </w:rPr>
              <w:t>专业</w:t>
            </w:r>
            <w:r>
              <w:rPr>
                <w:rFonts w:hint="eastAsia" w:asciiTheme="minorEastAsia" w:hAnsiTheme="minorEastAsia" w:eastAsiaTheme="minorEastAsia" w:cstheme="minorEastAsia"/>
                <w:color w:val="auto"/>
                <w:kern w:val="2"/>
                <w:szCs w:val="21"/>
                <w:highlight w:val="none"/>
                <w:shd w:val="clear" w:color="auto" w:fill="FFFFFF"/>
                <w:lang w:val="zh-CN"/>
              </w:rPr>
              <w:t>的工程师</w:t>
            </w:r>
            <w:r>
              <w:rPr>
                <w:rFonts w:hint="eastAsia" w:asciiTheme="minorEastAsia" w:hAnsiTheme="minorEastAsia" w:eastAsiaTheme="minorEastAsia" w:cstheme="minorEastAsia"/>
                <w:color w:val="auto"/>
                <w:kern w:val="2"/>
                <w:szCs w:val="21"/>
                <w:highlight w:val="none"/>
                <w:shd w:val="clear" w:color="auto" w:fill="FFFFFF"/>
              </w:rPr>
              <w:t>或以上</w:t>
            </w:r>
            <w:r>
              <w:rPr>
                <w:rFonts w:hint="eastAsia" w:asciiTheme="minorEastAsia" w:hAnsiTheme="minorEastAsia" w:eastAsiaTheme="minorEastAsia" w:cstheme="minorEastAsia"/>
                <w:color w:val="auto"/>
                <w:kern w:val="2"/>
                <w:szCs w:val="21"/>
                <w:highlight w:val="none"/>
                <w:shd w:val="clear" w:color="auto" w:fill="FFFFFF"/>
                <w:lang w:val="zh-CN"/>
              </w:rPr>
              <w:t>职称的</w:t>
            </w:r>
            <w:r>
              <w:rPr>
                <w:rFonts w:hint="eastAsia" w:asciiTheme="minorEastAsia" w:hAnsiTheme="minorEastAsia" w:eastAsiaTheme="minorEastAsia" w:cstheme="minorEastAsia"/>
                <w:color w:val="auto"/>
                <w:kern w:val="2"/>
                <w:szCs w:val="21"/>
                <w:highlight w:val="none"/>
                <w:shd w:val="clear" w:color="auto" w:fill="FFFFFF"/>
              </w:rPr>
              <w:t>每个得</w:t>
            </w:r>
            <w:r>
              <w:rPr>
                <w:rFonts w:hint="eastAsia" w:asciiTheme="minorEastAsia" w:hAnsiTheme="minorEastAsia" w:eastAsiaTheme="minorEastAsia" w:cstheme="minorEastAsia"/>
                <w:color w:val="auto"/>
                <w:kern w:val="2"/>
                <w:szCs w:val="21"/>
                <w:highlight w:val="none"/>
                <w:shd w:val="clear" w:color="auto" w:fill="FFFFFF"/>
                <w:lang w:val="zh-CN"/>
              </w:rPr>
              <w:t>0.5分，</w:t>
            </w:r>
            <w:r>
              <w:rPr>
                <w:rFonts w:hint="eastAsia" w:asciiTheme="minorEastAsia" w:hAnsiTheme="minorEastAsia" w:eastAsiaTheme="minorEastAsia" w:cstheme="minorEastAsia"/>
                <w:color w:val="auto"/>
                <w:kern w:val="2"/>
                <w:szCs w:val="21"/>
                <w:highlight w:val="none"/>
                <w:shd w:val="clear" w:color="auto" w:fill="FFFFFF"/>
              </w:rPr>
              <w:t>最高得1分</w:t>
            </w:r>
            <w:r>
              <w:rPr>
                <w:rFonts w:hint="eastAsia" w:asciiTheme="minorEastAsia" w:hAnsiTheme="minorEastAsia" w:eastAsiaTheme="minorEastAsia" w:cstheme="minorEastAsia"/>
                <w:color w:val="auto"/>
                <w:kern w:val="2"/>
                <w:szCs w:val="21"/>
                <w:highlight w:val="none"/>
                <w:shd w:val="clear" w:color="auto" w:fill="FFFFFF"/>
                <w:lang w:val="zh-CN"/>
              </w:rPr>
              <w:t>；</w:t>
            </w:r>
          </w:p>
          <w:p>
            <w:pPr>
              <w:widowControl w:val="0"/>
              <w:adjustRightInd/>
              <w:spacing w:line="240" w:lineRule="auto"/>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本项最高得2分。</w:t>
            </w:r>
          </w:p>
          <w:p>
            <w:pPr>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rPr>
              <w:t>注：提供人员证书与所在企业近半年内的连续三个月的社保证明</w:t>
            </w:r>
            <w:r>
              <w:rPr>
                <w:rFonts w:hint="eastAsia" w:asciiTheme="minorEastAsia" w:hAnsiTheme="minorEastAsia" w:eastAsiaTheme="minorEastAsia" w:cstheme="minorEastAsia"/>
                <w:color w:val="auto"/>
                <w:kern w:val="2"/>
                <w:szCs w:val="21"/>
                <w:highlight w:val="none"/>
                <w:shd w:val="clear" w:color="auto" w:fill="FFFFFF"/>
                <w:lang w:val="zh-CN"/>
              </w:rPr>
              <w:t>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0"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4</w:t>
            </w:r>
          </w:p>
        </w:tc>
        <w:tc>
          <w:tcPr>
            <w:tcW w:w="108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rPr>
              <w:t>售后服务综合评价</w:t>
            </w:r>
          </w:p>
        </w:tc>
        <w:tc>
          <w:tcPr>
            <w:tcW w:w="83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分</w:t>
            </w:r>
          </w:p>
        </w:tc>
        <w:tc>
          <w:tcPr>
            <w:tcW w:w="5876" w:type="dxa"/>
            <w:tcBorders>
              <w:top w:val="single" w:color="auto" w:sz="4" w:space="0"/>
              <w:left w:val="single" w:color="auto" w:sz="4" w:space="0"/>
              <w:bottom w:val="single" w:color="auto" w:sz="4" w:space="0"/>
              <w:right w:val="single" w:color="auto" w:sz="4" w:space="0"/>
            </w:tcBorders>
            <w:vAlign w:val="center"/>
          </w:tcPr>
          <w:p>
            <w:pPr>
              <w:widowControl w:val="0"/>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根据</w:t>
            </w:r>
            <w:r>
              <w:rPr>
                <w:rFonts w:hint="eastAsia" w:asciiTheme="minorEastAsia" w:hAnsiTheme="minorEastAsia" w:eastAsiaTheme="minorEastAsia" w:cstheme="minorEastAsia"/>
                <w:color w:val="auto"/>
                <w:kern w:val="2"/>
                <w:szCs w:val="21"/>
                <w:highlight w:val="none"/>
                <w:shd w:val="clear" w:color="auto" w:fill="FFFFFF"/>
              </w:rPr>
              <w:t>投标人或投标产品制造商</w:t>
            </w:r>
            <w:r>
              <w:rPr>
                <w:rFonts w:hint="eastAsia" w:asciiTheme="minorEastAsia" w:hAnsiTheme="minorEastAsia" w:eastAsiaTheme="minorEastAsia" w:cstheme="minorEastAsia"/>
                <w:color w:val="auto"/>
                <w:kern w:val="2"/>
                <w:szCs w:val="21"/>
                <w:highlight w:val="none"/>
                <w:shd w:val="clear" w:color="auto" w:fill="FFFFFF"/>
                <w:lang w:val="zh-CN"/>
              </w:rPr>
              <w:t>售后/后续服务（包括1.制造商为该项目提供的技术支持、2.维护服务、3.培训计划等）进行综合评审：</w:t>
            </w:r>
          </w:p>
          <w:p>
            <w:pPr>
              <w:widowControl w:val="0"/>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rPr>
              <w:t>投标人或投标产品制造商</w:t>
            </w:r>
            <w:r>
              <w:rPr>
                <w:rFonts w:hint="eastAsia" w:asciiTheme="minorEastAsia" w:hAnsiTheme="minorEastAsia" w:eastAsiaTheme="minorEastAsia" w:cstheme="minorEastAsia"/>
                <w:color w:val="auto"/>
                <w:kern w:val="2"/>
                <w:szCs w:val="21"/>
                <w:highlight w:val="none"/>
                <w:shd w:val="clear" w:color="auto" w:fill="FFFFFF"/>
                <w:lang w:val="zh-CN"/>
              </w:rPr>
              <w:t>提供的售后服务方案内容全面完整（包含上述3种方案）、制造商的技术支持全面合理、维护服务详细全面、培训计划详细合理，得</w:t>
            </w:r>
            <w:r>
              <w:rPr>
                <w:rFonts w:hint="eastAsia" w:asciiTheme="minorEastAsia" w:hAnsiTheme="minorEastAsia" w:eastAsiaTheme="minorEastAsia" w:cstheme="minorEastAsia"/>
                <w:color w:val="auto"/>
                <w:kern w:val="2"/>
                <w:szCs w:val="21"/>
                <w:highlight w:val="none"/>
                <w:shd w:val="clear" w:color="auto" w:fill="FFFFFF"/>
                <w:lang w:val="en-US" w:eastAsia="zh-CN"/>
              </w:rPr>
              <w:t>2</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rPr>
              <w:t>投标人或投标产品制造商</w:t>
            </w:r>
            <w:r>
              <w:rPr>
                <w:rFonts w:hint="eastAsia" w:asciiTheme="minorEastAsia" w:hAnsiTheme="minorEastAsia" w:eastAsiaTheme="minorEastAsia" w:cstheme="minorEastAsia"/>
                <w:color w:val="auto"/>
                <w:kern w:val="2"/>
                <w:szCs w:val="21"/>
                <w:highlight w:val="none"/>
                <w:shd w:val="clear" w:color="auto" w:fill="FFFFFF"/>
                <w:lang w:val="zh-CN"/>
              </w:rPr>
              <w:t>提供的售后服务方案内容完整（至少包含上述2种方案）、制造商的技术支持合理、维护服务全面、培训计划合理，得</w:t>
            </w:r>
            <w:r>
              <w:rPr>
                <w:rFonts w:hint="eastAsia" w:asciiTheme="minorEastAsia" w:hAnsiTheme="minorEastAsia" w:eastAsiaTheme="minorEastAsia" w:cstheme="minorEastAsia"/>
                <w:color w:val="auto"/>
                <w:kern w:val="2"/>
                <w:szCs w:val="21"/>
                <w:highlight w:val="none"/>
                <w:shd w:val="clear" w:color="auto" w:fill="FFFFFF"/>
                <w:lang w:val="en-US" w:eastAsia="zh-CN"/>
              </w:rPr>
              <w:t>1</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rPr>
              <w:t>投标人或投标产品制造商</w:t>
            </w:r>
            <w:r>
              <w:rPr>
                <w:rFonts w:hint="eastAsia" w:asciiTheme="minorEastAsia" w:hAnsiTheme="minorEastAsia" w:eastAsiaTheme="minorEastAsia" w:cstheme="minorEastAsia"/>
                <w:color w:val="auto"/>
                <w:kern w:val="2"/>
                <w:szCs w:val="21"/>
                <w:highlight w:val="none"/>
                <w:shd w:val="clear" w:color="auto" w:fill="FFFFFF"/>
                <w:lang w:val="zh-CN"/>
              </w:rPr>
              <w:t>提供的售后服务方案内容基本完整（至少包含上述1种方案）、制造商的技术支持一般、维护服务一般、培训计划差，得</w:t>
            </w:r>
            <w:r>
              <w:rPr>
                <w:rFonts w:hint="eastAsia" w:asciiTheme="minorEastAsia" w:hAnsiTheme="minorEastAsia" w:eastAsiaTheme="minorEastAsia" w:cstheme="minorEastAsia"/>
                <w:color w:val="auto"/>
                <w:kern w:val="2"/>
                <w:szCs w:val="21"/>
                <w:highlight w:val="none"/>
                <w:shd w:val="clear" w:color="auto" w:fill="FFFFFF"/>
                <w:lang w:val="en-US" w:eastAsia="zh-CN"/>
              </w:rPr>
              <w:t>0.5</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5</w:t>
            </w:r>
          </w:p>
        </w:tc>
        <w:tc>
          <w:tcPr>
            <w:tcW w:w="108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shd w:val="clear" w:color="auto" w:fill="FFFFFF"/>
              </w:rPr>
              <w:t>设备安全性能</w:t>
            </w:r>
          </w:p>
        </w:tc>
        <w:tc>
          <w:tcPr>
            <w:tcW w:w="83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分</w:t>
            </w:r>
          </w:p>
        </w:tc>
        <w:tc>
          <w:tcPr>
            <w:tcW w:w="5876"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根据所投设备安全性能（包括1.安全防护设计、2.安全措施、3.电控防护措施、4.安全配置、5.保养措施等）进行综合评审：</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投标人或投标产品制造商提供的设备安全性能内容全面完整（包含上述5种方案）、安全防护设计详细合理、安全措施详细合理、电控防护措施详细合理、安全配置全面合理、保养措施详细合理得</w:t>
            </w:r>
            <w:r>
              <w:rPr>
                <w:rFonts w:hint="eastAsia" w:asciiTheme="minorEastAsia" w:hAnsiTheme="minorEastAsia" w:eastAsiaTheme="minorEastAsia" w:cstheme="minorEastAsia"/>
                <w:color w:val="auto"/>
                <w:kern w:val="2"/>
                <w:szCs w:val="21"/>
                <w:highlight w:val="none"/>
                <w:shd w:val="clear" w:color="auto" w:fill="FFFFFF"/>
                <w:lang w:val="en-US" w:eastAsia="zh-CN"/>
              </w:rPr>
              <w:t>4</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投标人或投标产品制造商提供的设备安全性能内容完整（至少包含上述3种方案）、安全防护设计合理、安全措施合理、电控防护措施合理、安全配置合理、保养措施合理，得</w:t>
            </w:r>
            <w:r>
              <w:rPr>
                <w:rFonts w:hint="eastAsia" w:asciiTheme="minorEastAsia" w:hAnsiTheme="minorEastAsia" w:eastAsiaTheme="minorEastAsia" w:cstheme="minorEastAsia"/>
                <w:color w:val="auto"/>
                <w:kern w:val="2"/>
                <w:szCs w:val="21"/>
                <w:highlight w:val="none"/>
                <w:shd w:val="clear" w:color="auto" w:fill="FFFFFF"/>
                <w:lang w:val="en-US" w:eastAsia="zh-CN"/>
              </w:rPr>
              <w:t>2</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投标人或投标产品制造商提供的设备安全性能内容不完整（上述方案不足2种）、安全防护设计差、安全措施差、电控防护措施差、安全配置差、保养措施差，得1分；</w:t>
            </w:r>
          </w:p>
          <w:p>
            <w:pPr>
              <w:widowControl w:val="0"/>
              <w:adjustRightIn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rPr>
              <w:t>未提供对应措施不得分。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6</w:t>
            </w:r>
          </w:p>
        </w:tc>
        <w:tc>
          <w:tcPr>
            <w:tcW w:w="108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质保期</w:t>
            </w:r>
          </w:p>
        </w:tc>
        <w:tc>
          <w:tcPr>
            <w:tcW w:w="83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2分</w:t>
            </w:r>
          </w:p>
        </w:tc>
        <w:tc>
          <w:tcPr>
            <w:tcW w:w="5876" w:type="dxa"/>
            <w:tcBorders>
              <w:top w:val="single" w:color="auto" w:sz="4" w:space="0"/>
              <w:left w:val="single" w:color="auto" w:sz="4" w:space="0"/>
              <w:bottom w:val="single" w:color="auto" w:sz="4" w:space="0"/>
              <w:right w:val="single" w:color="auto" w:sz="4" w:space="0"/>
            </w:tcBorders>
            <w:vAlign w:val="center"/>
          </w:tcPr>
          <w:p>
            <w:pPr>
              <w:widowControl w:val="0"/>
              <w:adjustRightIn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投标人在响应用户需求规定不少于1年整体项目设备的免费质保期的基础上，每增加半年（6个月）的得0.5分，最高得2分。（投标人必须在投标文件上提供单独承诺函进行响应，不提供或不响应增加的均不得分。）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8519" w:type="dxa"/>
            <w:gridSpan w:val="6"/>
            <w:tcBorders>
              <w:top w:val="single" w:color="auto" w:sz="4" w:space="0"/>
              <w:left w:val="single" w:color="auto" w:sz="4" w:space="0"/>
              <w:bottom w:val="single" w:color="auto" w:sz="4" w:space="0"/>
              <w:right w:val="single" w:color="auto" w:sz="4" w:space="0"/>
            </w:tcBorders>
            <w:vAlign w:val="center"/>
          </w:tcPr>
          <w:p>
            <w:pPr>
              <w:widowControl w:val="0"/>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备注：以上评分中投标产品制造商均指生活垃圾压缩系统、</w:t>
            </w:r>
            <w:r>
              <w:rPr>
                <w:rFonts w:hint="eastAsia" w:asciiTheme="minorEastAsia" w:hAnsiTheme="minorEastAsia" w:eastAsiaTheme="minorEastAsia" w:cstheme="minorEastAsia"/>
                <w:bCs/>
                <w:color w:val="auto"/>
                <w:kern w:val="2"/>
                <w:szCs w:val="21"/>
                <w:highlight w:val="none"/>
                <w:lang w:val="en-US" w:eastAsia="zh-CN"/>
              </w:rPr>
              <w:t>大件</w:t>
            </w:r>
            <w:r>
              <w:rPr>
                <w:rFonts w:hint="eastAsia" w:asciiTheme="minorEastAsia" w:hAnsiTheme="minorEastAsia" w:eastAsiaTheme="minorEastAsia" w:cstheme="minorEastAsia"/>
                <w:bCs/>
                <w:color w:val="auto"/>
                <w:kern w:val="2"/>
                <w:szCs w:val="21"/>
                <w:highlight w:val="none"/>
              </w:rPr>
              <w:t>垃圾</w:t>
            </w:r>
            <w:r>
              <w:rPr>
                <w:rFonts w:hint="eastAsia" w:asciiTheme="minorEastAsia" w:hAnsiTheme="minorEastAsia" w:eastAsiaTheme="minorEastAsia" w:cstheme="minorEastAsia"/>
                <w:bCs/>
                <w:color w:val="auto"/>
                <w:kern w:val="2"/>
                <w:szCs w:val="21"/>
                <w:highlight w:val="none"/>
                <w:lang w:val="en-US" w:eastAsia="zh-CN"/>
              </w:rPr>
              <w:t>处理</w:t>
            </w:r>
            <w:r>
              <w:rPr>
                <w:rFonts w:hint="eastAsia" w:asciiTheme="minorEastAsia" w:hAnsiTheme="minorEastAsia" w:eastAsiaTheme="minorEastAsia" w:cstheme="minorEastAsia"/>
                <w:bCs/>
                <w:color w:val="auto"/>
                <w:kern w:val="2"/>
                <w:szCs w:val="21"/>
                <w:highlight w:val="none"/>
              </w:rPr>
              <w:t>系统</w:t>
            </w:r>
            <w:r>
              <w:rPr>
                <w:rFonts w:hint="eastAsia"/>
                <w:color w:val="auto"/>
                <w:highlight w:val="none"/>
                <w:lang w:val="en-US" w:eastAsia="zh-CN"/>
              </w:rPr>
              <w:t>为</w:t>
            </w:r>
            <w:r>
              <w:rPr>
                <w:rFonts w:hint="eastAsia" w:asciiTheme="minorEastAsia" w:hAnsiTheme="minorEastAsia" w:eastAsiaTheme="minorEastAsia" w:cstheme="minorEastAsia"/>
                <w:bCs/>
                <w:color w:val="auto"/>
                <w:kern w:val="2"/>
                <w:szCs w:val="21"/>
                <w:highlight w:val="none"/>
              </w:rPr>
              <w:t>同一厂家的制造商。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jc w:val="center"/>
        </w:trPr>
        <w:tc>
          <w:tcPr>
            <w:tcW w:w="851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07"/>
              </w:tabs>
              <w:adjustRightInd/>
              <w:snapToGrid/>
              <w:ind w:firstLine="422" w:firstLineChars="200"/>
              <w:jc w:val="both"/>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注：</w:t>
            </w:r>
          </w:p>
          <w:p>
            <w:pPr>
              <w:tabs>
                <w:tab w:val="left" w:pos="907"/>
              </w:tabs>
              <w:adjustRightInd/>
              <w:snapToGrid/>
              <w:ind w:firstLine="422" w:firstLineChars="200"/>
              <w:jc w:val="both"/>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（1）无特殊说明外，以上评审项，同一证明文件不重复计分。</w:t>
            </w:r>
          </w:p>
          <w:p>
            <w:pPr>
              <w:tabs>
                <w:tab w:val="left" w:pos="907"/>
              </w:tabs>
              <w:adjustRightInd/>
              <w:snapToGrid/>
              <w:ind w:firstLine="422" w:firstLineChars="200"/>
              <w:jc w:val="both"/>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（2）投标人根据以上评分要求提供的投标材料因模糊不清导致评标委员会无法清晰辨认进行评审的，视为无效材料。</w:t>
            </w:r>
          </w:p>
          <w:p>
            <w:pPr>
              <w:widowControl w:val="0"/>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b/>
                <w:color w:val="auto"/>
                <w:szCs w:val="21"/>
                <w:highlight w:val="none"/>
              </w:rPr>
              <w:t>（3）若因疫情原因暂缓统一托收或阶段性减免社会保险费而导致无法打印社保缴费证明的需提供书面说明并加盖投标人公章。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jc w:val="center"/>
        </w:trPr>
        <w:tc>
          <w:tcPr>
            <w:tcW w:w="851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b/>
                <w:bCs/>
                <w:color w:val="auto"/>
                <w:kern w:val="2"/>
                <w:szCs w:val="21"/>
                <w:highlight w:val="none"/>
                <w:lang w:bidi="ar"/>
              </w:rPr>
              <w:t>价格评审（</w:t>
            </w:r>
            <w:r>
              <w:rPr>
                <w:rFonts w:hint="eastAsia" w:asciiTheme="minorEastAsia" w:hAnsiTheme="minorEastAsia" w:eastAsiaTheme="minorEastAsia" w:cstheme="minorEastAsia"/>
                <w:b/>
                <w:bCs/>
                <w:color w:val="auto"/>
                <w:kern w:val="2"/>
                <w:szCs w:val="21"/>
                <w:highlight w:val="none"/>
                <w:lang w:val="en-US" w:eastAsia="zh-CN" w:bidi="ar"/>
              </w:rPr>
              <w:t>6</w:t>
            </w:r>
            <w:r>
              <w:rPr>
                <w:rFonts w:hint="eastAsia" w:asciiTheme="minorEastAsia" w:hAnsiTheme="minorEastAsia" w:eastAsiaTheme="minorEastAsia" w:cstheme="minorEastAsia"/>
                <w:b/>
                <w:bCs/>
                <w:color w:val="auto"/>
                <w:kern w:val="2"/>
                <w:szCs w:val="21"/>
                <w:highlight w:val="none"/>
                <w:lang w:bidi="ar"/>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jc w:val="center"/>
        </w:trPr>
        <w:tc>
          <w:tcPr>
            <w:tcW w:w="7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49"/>
              <w:spacing w:line="360" w:lineRule="auto"/>
              <w:ind w:firstLine="0" w:firstLineChars="0"/>
              <w:jc w:val="center"/>
              <w:rPr>
                <w:rFonts w:asciiTheme="minorEastAsia" w:hAnsiTheme="minorEastAsia" w:eastAsiaTheme="minorEastAsia" w:cstheme="minorEastAsia"/>
                <w:bCs/>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1</w:t>
            </w:r>
          </w:p>
        </w:tc>
        <w:tc>
          <w:tcPr>
            <w:tcW w:w="1217" w:type="dxa"/>
            <w:gridSpan w:val="2"/>
            <w:tcBorders>
              <w:top w:val="single" w:color="auto" w:sz="4" w:space="0"/>
              <w:left w:val="nil"/>
              <w:bottom w:val="single" w:color="auto" w:sz="4" w:space="0"/>
              <w:right w:val="single" w:color="auto" w:sz="4" w:space="0"/>
            </w:tcBorders>
            <w:shd w:val="clear" w:color="auto" w:fill="auto"/>
            <w:vAlign w:val="center"/>
          </w:tcPr>
          <w:p>
            <w:pPr>
              <w:widowControl w:val="0"/>
              <w:adjustRightInd/>
              <w:snapToGrid/>
              <w:jc w:val="center"/>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color w:val="auto"/>
                <w:kern w:val="2"/>
                <w:szCs w:val="21"/>
                <w:highlight w:val="none"/>
              </w:rPr>
              <w:t>投标总价</w:t>
            </w:r>
          </w:p>
        </w:tc>
        <w:tc>
          <w:tcPr>
            <w:tcW w:w="6543" w:type="dxa"/>
            <w:gridSpan w:val="2"/>
            <w:tcBorders>
              <w:top w:val="single" w:color="auto" w:sz="4" w:space="0"/>
              <w:left w:val="nil"/>
              <w:bottom w:val="single" w:color="auto" w:sz="4" w:space="0"/>
              <w:right w:val="single" w:color="auto" w:sz="4" w:space="0"/>
            </w:tcBorders>
            <w:shd w:val="clear" w:color="auto" w:fill="auto"/>
            <w:vAlign w:val="center"/>
          </w:tcPr>
          <w:p>
            <w:pPr>
              <w:widowControl w:val="0"/>
              <w:adjustRightInd/>
              <w:snapToGrid/>
              <w:ind w:firstLine="420" w:firstLineChars="200"/>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价格分计算方法：满足采购文件要求且投标价格最低的投标报价为评标基准价，其价格分为满分。其他投标人的价格分统一按照下列公式计算：</w:t>
            </w:r>
          </w:p>
          <w:p>
            <w:pPr>
              <w:widowControl w:val="0"/>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color w:val="auto"/>
                <w:kern w:val="2"/>
                <w:szCs w:val="21"/>
                <w:highlight w:val="none"/>
                <w:lang w:val="zh-CN"/>
              </w:rPr>
              <w:t>投标报价得分=(评标基准价／投标报价)×价格权</w:t>
            </w:r>
            <w:r>
              <w:rPr>
                <w:rFonts w:hint="eastAsia" w:asciiTheme="minorEastAsia" w:hAnsiTheme="minorEastAsia" w:eastAsiaTheme="minorEastAsia" w:cstheme="minorEastAsia"/>
                <w:color w:val="auto"/>
                <w:kern w:val="2"/>
                <w:szCs w:val="21"/>
                <w:highlight w:val="none"/>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851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val="0"/>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color w:val="auto"/>
                <w:kern w:val="2"/>
                <w:szCs w:val="21"/>
                <w:highlight w:val="none"/>
                <w:lang w:val="zh-CN"/>
              </w:rPr>
              <w:t>投标人的最终评标得分=商务、技术综合得分+价格得分</w:t>
            </w:r>
          </w:p>
        </w:tc>
      </w:tr>
    </w:tbl>
    <w:p>
      <w:pPr>
        <w:pStyle w:val="4"/>
        <w:rPr>
          <w:b/>
          <w:bCs/>
          <w:color w:val="auto"/>
          <w:highlight w:val="none"/>
        </w:rPr>
      </w:pPr>
    </w:p>
    <w:p>
      <w:pPr>
        <w:pStyle w:val="4"/>
        <w:rPr>
          <w:b/>
          <w:bCs/>
          <w:color w:val="auto"/>
          <w:highlight w:val="none"/>
        </w:rPr>
      </w:pPr>
      <w:r>
        <w:rPr>
          <w:rFonts w:hint="eastAsia"/>
          <w:b/>
          <w:bCs/>
          <w:color w:val="auto"/>
          <w:highlight w:val="none"/>
        </w:rPr>
        <w:t>注：评标委员会评委按评标标准独立对技术标进行评审，得出技术标评分。当评标委员会为五人时，在所有评委对同一份投标文件技术标评审的总评分中，去掉一个最高分和一个最低分，计算剩余总评分的算术平均值即为该投标人技术标的最终综合得分；当评标委员会为七人及以上单数时，在各评委的打分中，同一评委的最高评分减去最低评分，去掉分差最大评委的所有技术标评分（当一位或两位评委评分差值最大时均取消其评委评分，当多于两位评分差值均最大时，不取消任一评委评分），在所有剩余评委对同一份投标文件技术部分评审的总评分中，去掉一个最高分和一个最低分，计算剩余总评分的算术平均值即为该投标人技术部分的最终综合得分。</w:t>
      </w:r>
    </w:p>
    <w:p>
      <w:pPr>
        <w:numPr>
          <w:ilvl w:val="255"/>
          <w:numId w:val="0"/>
        </w:numPr>
        <w:adjustRightInd/>
        <w:snapToGrid/>
        <w:spacing w:line="240" w:lineRule="auto"/>
        <w:ind w:firstLine="562" w:firstLineChars="200"/>
        <w:jc w:val="center"/>
        <w:rPr>
          <w:b/>
          <w:bCs/>
          <w:color w:val="auto"/>
          <w:sz w:val="28"/>
          <w:szCs w:val="32"/>
          <w:highlight w:val="none"/>
        </w:rPr>
      </w:pPr>
    </w:p>
    <w:p>
      <w:pPr>
        <w:numPr>
          <w:ilvl w:val="255"/>
          <w:numId w:val="0"/>
        </w:numPr>
        <w:adjustRightInd/>
        <w:snapToGrid/>
        <w:spacing w:line="240" w:lineRule="auto"/>
        <w:rPr>
          <w:b/>
          <w:bCs/>
          <w:color w:val="auto"/>
          <w:sz w:val="28"/>
          <w:szCs w:val="32"/>
          <w:highlight w:val="none"/>
        </w:rPr>
      </w:pPr>
      <w:r>
        <w:rPr>
          <w:rFonts w:hint="eastAsia"/>
          <w:b/>
          <w:bCs/>
          <w:color w:val="auto"/>
          <w:sz w:val="28"/>
          <w:szCs w:val="32"/>
          <w:highlight w:val="none"/>
        </w:rPr>
        <w:br w:type="page"/>
      </w:r>
    </w:p>
    <w:p>
      <w:pPr>
        <w:numPr>
          <w:ilvl w:val="255"/>
          <w:numId w:val="0"/>
        </w:numPr>
        <w:adjustRightInd/>
        <w:snapToGrid/>
        <w:spacing w:line="240" w:lineRule="auto"/>
        <w:ind w:firstLine="562" w:firstLineChars="200"/>
        <w:jc w:val="center"/>
        <w:rPr>
          <w:b/>
          <w:bCs/>
          <w:color w:val="auto"/>
          <w:sz w:val="28"/>
          <w:szCs w:val="32"/>
          <w:highlight w:val="none"/>
        </w:rPr>
      </w:pPr>
      <w:r>
        <w:rPr>
          <w:rFonts w:hint="eastAsia"/>
          <w:b/>
          <w:bCs/>
          <w:color w:val="auto"/>
          <w:sz w:val="28"/>
          <w:szCs w:val="32"/>
          <w:highlight w:val="none"/>
        </w:rPr>
        <w:t>C包：除臭系统采购及安装</w:t>
      </w:r>
    </w:p>
    <w:p>
      <w:pPr>
        <w:widowControl w:val="0"/>
        <w:adjustRightInd/>
        <w:snapToGrid/>
        <w:jc w:val="both"/>
        <w:rPr>
          <w:rFonts w:ascii="宋体" w:hAnsi="宋体" w:cs="宋体"/>
          <w:b/>
          <w:bCs/>
          <w:color w:val="auto"/>
          <w:kern w:val="2"/>
          <w:szCs w:val="21"/>
          <w:highlight w:val="none"/>
        </w:rPr>
      </w:pPr>
      <w:r>
        <w:rPr>
          <w:rFonts w:ascii="宋体" w:hAnsi="宋体" w:cs="宋体"/>
          <w:b/>
          <w:bCs/>
          <w:color w:val="auto"/>
          <w:kern w:val="2"/>
          <w:szCs w:val="21"/>
          <w:highlight w:val="none"/>
        </w:rPr>
        <w:t>满分100分，其中价格部分占</w:t>
      </w:r>
      <w:r>
        <w:rPr>
          <w:rFonts w:hint="eastAsia" w:ascii="宋体" w:hAnsi="宋体" w:cs="宋体"/>
          <w:b/>
          <w:bCs/>
          <w:color w:val="auto"/>
          <w:kern w:val="2"/>
          <w:szCs w:val="21"/>
          <w:highlight w:val="none"/>
          <w:lang w:val="en-US" w:eastAsia="zh-CN"/>
        </w:rPr>
        <w:t>6</w:t>
      </w:r>
      <w:r>
        <w:rPr>
          <w:rFonts w:hint="eastAsia" w:ascii="宋体" w:hAnsi="宋体" w:cs="宋体"/>
          <w:b/>
          <w:bCs/>
          <w:color w:val="auto"/>
          <w:kern w:val="2"/>
          <w:szCs w:val="21"/>
          <w:highlight w:val="none"/>
        </w:rPr>
        <w:t>0</w:t>
      </w:r>
      <w:r>
        <w:rPr>
          <w:rFonts w:ascii="宋体" w:hAnsi="宋体" w:cs="宋体"/>
          <w:b/>
          <w:bCs/>
          <w:color w:val="auto"/>
          <w:kern w:val="2"/>
          <w:szCs w:val="21"/>
          <w:highlight w:val="none"/>
        </w:rPr>
        <w:t>分，商务部分占</w:t>
      </w:r>
      <w:r>
        <w:rPr>
          <w:rFonts w:hint="eastAsia" w:ascii="宋体" w:hAnsi="宋体" w:cs="宋体"/>
          <w:b/>
          <w:bCs/>
          <w:color w:val="auto"/>
          <w:kern w:val="2"/>
          <w:szCs w:val="21"/>
          <w:highlight w:val="none"/>
          <w:lang w:val="en-US" w:eastAsia="zh-CN"/>
        </w:rPr>
        <w:t>18</w:t>
      </w:r>
      <w:r>
        <w:rPr>
          <w:rFonts w:ascii="宋体" w:hAnsi="宋体" w:cs="宋体"/>
          <w:b/>
          <w:bCs/>
          <w:color w:val="auto"/>
          <w:kern w:val="2"/>
          <w:szCs w:val="21"/>
          <w:highlight w:val="none"/>
        </w:rPr>
        <w:t>分，技术部分占</w:t>
      </w:r>
      <w:r>
        <w:rPr>
          <w:rFonts w:hint="eastAsia" w:ascii="宋体" w:hAnsi="宋体" w:cs="宋体"/>
          <w:b/>
          <w:bCs/>
          <w:color w:val="auto"/>
          <w:kern w:val="2"/>
          <w:szCs w:val="21"/>
          <w:highlight w:val="none"/>
          <w:lang w:val="en-US" w:eastAsia="zh-CN"/>
        </w:rPr>
        <w:t>22</w:t>
      </w:r>
      <w:r>
        <w:rPr>
          <w:rFonts w:ascii="宋体" w:hAnsi="宋体" w:cs="宋体"/>
          <w:b/>
          <w:bCs/>
          <w:color w:val="auto"/>
          <w:kern w:val="2"/>
          <w:szCs w:val="21"/>
          <w:highlight w:val="none"/>
        </w:rPr>
        <w:t>分。</w:t>
      </w:r>
    </w:p>
    <w:tbl>
      <w:tblPr>
        <w:tblStyle w:val="34"/>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05"/>
        <w:gridCol w:w="1202"/>
        <w:gridCol w:w="15"/>
        <w:gridCol w:w="865"/>
        <w:gridCol w:w="5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序号</w:t>
            </w:r>
          </w:p>
        </w:tc>
        <w:tc>
          <w:tcPr>
            <w:tcW w:w="1307" w:type="dxa"/>
            <w:gridSpan w:val="2"/>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评分内容</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分值</w:t>
            </w:r>
          </w:p>
        </w:tc>
        <w:tc>
          <w:tcPr>
            <w:tcW w:w="5678"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8519" w:type="dxa"/>
            <w:gridSpan w:val="6"/>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b/>
                <w:bCs/>
                <w:color w:val="auto"/>
                <w:kern w:val="2"/>
                <w:szCs w:val="21"/>
                <w:highlight w:val="none"/>
              </w:rPr>
              <w:t>商务评分细则（合计</w:t>
            </w:r>
            <w:r>
              <w:rPr>
                <w:rFonts w:hint="eastAsia" w:asciiTheme="minorEastAsia" w:hAnsiTheme="minorEastAsia" w:eastAsiaTheme="minorEastAsia" w:cstheme="minorEastAsia"/>
                <w:b/>
                <w:bCs/>
                <w:color w:val="auto"/>
                <w:kern w:val="2"/>
                <w:szCs w:val="21"/>
                <w:highlight w:val="none"/>
                <w:lang w:val="en-US" w:eastAsia="zh-CN"/>
              </w:rPr>
              <w:t>18</w:t>
            </w:r>
            <w:r>
              <w:rPr>
                <w:rFonts w:hint="eastAsia" w:asciiTheme="minorEastAsia" w:hAnsiTheme="minorEastAsia" w:eastAsiaTheme="minorEastAsia" w:cstheme="minorEastAsia"/>
                <w:b/>
                <w:bCs/>
                <w:color w:val="auto"/>
                <w:kern w:val="2"/>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8"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en-GB"/>
              </w:rPr>
              <w:t>1</w:t>
            </w:r>
          </w:p>
        </w:tc>
        <w:tc>
          <w:tcPr>
            <w:tcW w:w="130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zh-CN"/>
              </w:rPr>
              <w:t>财务状况</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rPr>
              <w:t>2</w:t>
            </w:r>
            <w:r>
              <w:rPr>
                <w:rFonts w:hint="eastAsia" w:asciiTheme="minorEastAsia" w:hAnsiTheme="minorEastAsia" w:eastAsiaTheme="minorEastAsia" w:cstheme="minorEastAsia"/>
                <w:color w:val="auto"/>
                <w:kern w:val="2"/>
                <w:szCs w:val="21"/>
                <w:highlight w:val="none"/>
                <w:lang w:val="zh-CN"/>
              </w:rPr>
              <w:t>分</w:t>
            </w:r>
          </w:p>
        </w:tc>
        <w:tc>
          <w:tcPr>
            <w:tcW w:w="5678" w:type="dxa"/>
            <w:tcBorders>
              <w:top w:val="single" w:color="auto" w:sz="4" w:space="0"/>
              <w:left w:val="single" w:color="auto" w:sz="4" w:space="0"/>
              <w:bottom w:val="single" w:color="auto" w:sz="4" w:space="0"/>
              <w:right w:val="single" w:color="auto" w:sz="4" w:space="0"/>
            </w:tcBorders>
            <w:vAlign w:val="center"/>
          </w:tcPr>
          <w:p>
            <w:pPr>
              <w:widowControl w:val="0"/>
              <w:adjustRightIn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根据投标人2020年</w:t>
            </w:r>
            <w:r>
              <w:rPr>
                <w:rFonts w:hint="eastAsia" w:asciiTheme="minorEastAsia" w:hAnsiTheme="minorEastAsia" w:eastAsiaTheme="minorEastAsia" w:cstheme="minorEastAsia"/>
                <w:color w:val="auto"/>
                <w:kern w:val="2"/>
                <w:szCs w:val="21"/>
                <w:highlight w:val="none"/>
              </w:rPr>
              <w:t>1月1日</w:t>
            </w:r>
            <w:r>
              <w:rPr>
                <w:rFonts w:hint="eastAsia" w:asciiTheme="minorEastAsia" w:hAnsiTheme="minorEastAsia" w:eastAsiaTheme="minorEastAsia" w:cstheme="minorEastAsia"/>
                <w:color w:val="auto"/>
                <w:kern w:val="2"/>
                <w:szCs w:val="21"/>
                <w:highlight w:val="none"/>
                <w:lang w:val="zh-CN"/>
              </w:rPr>
              <w:t>至今的财务状况进行评价，连续3年盈利得</w:t>
            </w:r>
            <w:r>
              <w:rPr>
                <w:rFonts w:hint="eastAsia" w:asciiTheme="minorEastAsia" w:hAnsiTheme="minorEastAsia" w:eastAsiaTheme="minorEastAsia" w:cstheme="minorEastAsia"/>
                <w:color w:val="auto"/>
                <w:kern w:val="2"/>
                <w:szCs w:val="21"/>
                <w:highlight w:val="none"/>
                <w:lang w:val="en-US" w:eastAsia="zh-CN"/>
              </w:rPr>
              <w:t>2</w:t>
            </w:r>
            <w:r>
              <w:rPr>
                <w:rFonts w:hint="eastAsia" w:asciiTheme="minorEastAsia" w:hAnsiTheme="minorEastAsia" w:eastAsiaTheme="minorEastAsia" w:cstheme="minorEastAsia"/>
                <w:color w:val="auto"/>
                <w:kern w:val="2"/>
                <w:szCs w:val="21"/>
                <w:highlight w:val="none"/>
                <w:lang w:val="zh-CN"/>
              </w:rPr>
              <w:t>分，2年盈利得</w:t>
            </w:r>
            <w:r>
              <w:rPr>
                <w:rFonts w:hint="eastAsia" w:asciiTheme="minorEastAsia" w:hAnsiTheme="minorEastAsia" w:eastAsiaTheme="minorEastAsia" w:cstheme="minorEastAsia"/>
                <w:color w:val="auto"/>
                <w:kern w:val="2"/>
                <w:szCs w:val="21"/>
                <w:highlight w:val="none"/>
                <w:lang w:val="en-US" w:eastAsia="zh-CN"/>
              </w:rPr>
              <w:t>1</w:t>
            </w:r>
            <w:r>
              <w:rPr>
                <w:rFonts w:hint="eastAsia" w:asciiTheme="minorEastAsia" w:hAnsiTheme="minorEastAsia" w:eastAsiaTheme="minorEastAsia" w:cstheme="minorEastAsia"/>
                <w:color w:val="auto"/>
                <w:kern w:val="2"/>
                <w:szCs w:val="21"/>
                <w:highlight w:val="none"/>
                <w:lang w:val="zh-CN"/>
              </w:rPr>
              <w:t>分，1年盈利得</w:t>
            </w:r>
            <w:r>
              <w:rPr>
                <w:rFonts w:hint="eastAsia" w:asciiTheme="minorEastAsia" w:hAnsiTheme="minorEastAsia" w:eastAsiaTheme="minorEastAsia" w:cstheme="minorEastAsia"/>
                <w:color w:val="auto"/>
                <w:kern w:val="2"/>
                <w:szCs w:val="21"/>
                <w:highlight w:val="none"/>
                <w:lang w:val="en-US" w:eastAsia="zh-CN"/>
              </w:rPr>
              <w:t>0.5</w:t>
            </w:r>
            <w:r>
              <w:rPr>
                <w:rFonts w:hint="eastAsia" w:asciiTheme="minorEastAsia" w:hAnsiTheme="minorEastAsia" w:eastAsiaTheme="minorEastAsia" w:cstheme="minorEastAsia"/>
                <w:color w:val="auto"/>
                <w:kern w:val="2"/>
                <w:szCs w:val="21"/>
                <w:highlight w:val="none"/>
                <w:lang w:val="zh-CN"/>
              </w:rPr>
              <w:t>分，无盈利不得分。</w:t>
            </w:r>
          </w:p>
          <w:p>
            <w:pPr>
              <w:widowControl w:val="0"/>
              <w:adjustRightInd/>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lang w:val="zh-CN"/>
              </w:rPr>
              <w:t>注：须提供会计师事务所审计的财务报表复印件加盖供应商公章。不提供不得分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5"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hint="eastAsia" w:asciiTheme="minorEastAsia" w:hAnsiTheme="minorEastAsia" w:eastAsiaTheme="minorEastAsia" w:cstheme="minorEastAsia"/>
                <w:color w:val="auto"/>
                <w:kern w:val="2"/>
                <w:szCs w:val="21"/>
                <w:highlight w:val="none"/>
                <w:lang w:val="en-US" w:eastAsia="zh-CN"/>
              </w:rPr>
            </w:pPr>
            <w:r>
              <w:rPr>
                <w:rFonts w:hint="eastAsia" w:asciiTheme="minorEastAsia" w:hAnsiTheme="minorEastAsia" w:eastAsiaTheme="minorEastAsia" w:cstheme="minorEastAsia"/>
                <w:color w:val="auto"/>
                <w:kern w:val="2"/>
                <w:szCs w:val="21"/>
                <w:highlight w:val="none"/>
                <w:lang w:val="en-US" w:eastAsia="zh-CN"/>
              </w:rPr>
              <w:t>2</w:t>
            </w:r>
          </w:p>
        </w:tc>
        <w:tc>
          <w:tcPr>
            <w:tcW w:w="1307"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产品先进性</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lang w:val="en-US" w:eastAsia="zh-CN"/>
              </w:rPr>
              <w:t>4</w:t>
            </w:r>
            <w:r>
              <w:rPr>
                <w:rFonts w:hint="eastAsia" w:asciiTheme="minorEastAsia" w:hAnsiTheme="minorEastAsia" w:eastAsiaTheme="minorEastAsia" w:cstheme="minorEastAsia"/>
                <w:color w:val="auto"/>
                <w:kern w:val="2"/>
                <w:szCs w:val="21"/>
                <w:highlight w:val="none"/>
              </w:rPr>
              <w:t>分</w:t>
            </w:r>
          </w:p>
        </w:tc>
        <w:tc>
          <w:tcPr>
            <w:tcW w:w="5678"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投标人关于获得国家知识产权局颁发并在有效期内的有机废气或臭气类净化设备及净化技术产品相关专利证书的:</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①获得一个发明专利证书得</w:t>
            </w:r>
            <w:r>
              <w:rPr>
                <w:rFonts w:hint="eastAsia" w:asciiTheme="minorEastAsia" w:hAnsiTheme="minorEastAsia" w:eastAsiaTheme="minorEastAsia" w:cstheme="minorEastAsia"/>
                <w:color w:val="auto"/>
                <w:kern w:val="2"/>
                <w:szCs w:val="21"/>
                <w:highlight w:val="none"/>
                <w:shd w:val="clear" w:color="auto" w:fill="FFFFFF"/>
                <w:lang w:val="en-US" w:eastAsia="zh-CN"/>
              </w:rPr>
              <w:t>2</w:t>
            </w:r>
            <w:r>
              <w:rPr>
                <w:rFonts w:hint="eastAsia" w:asciiTheme="minorEastAsia" w:hAnsiTheme="minorEastAsia" w:eastAsiaTheme="minorEastAsia" w:cstheme="minorEastAsia"/>
                <w:color w:val="auto"/>
                <w:kern w:val="2"/>
                <w:szCs w:val="21"/>
                <w:highlight w:val="none"/>
                <w:shd w:val="clear" w:color="auto" w:fill="FFFFFF"/>
                <w:lang w:val="zh-CN"/>
              </w:rPr>
              <w:t>分，本分项满分</w:t>
            </w:r>
            <w:r>
              <w:rPr>
                <w:rFonts w:hint="eastAsia" w:asciiTheme="minorEastAsia" w:hAnsiTheme="minorEastAsia" w:eastAsiaTheme="minorEastAsia" w:cstheme="minorEastAsia"/>
                <w:color w:val="auto"/>
                <w:kern w:val="2"/>
                <w:szCs w:val="21"/>
                <w:highlight w:val="none"/>
                <w:shd w:val="clear" w:color="auto" w:fill="FFFFFF"/>
                <w:lang w:val="en-US" w:eastAsia="zh-CN"/>
              </w:rPr>
              <w:t>4</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②获得一个实用新型专利证书得</w:t>
            </w:r>
            <w:r>
              <w:rPr>
                <w:rFonts w:hint="eastAsia" w:asciiTheme="minorEastAsia" w:hAnsiTheme="minorEastAsia" w:eastAsiaTheme="minorEastAsia" w:cstheme="minorEastAsia"/>
                <w:color w:val="auto"/>
                <w:kern w:val="2"/>
                <w:szCs w:val="21"/>
                <w:highlight w:val="none"/>
                <w:shd w:val="clear" w:color="auto" w:fill="FFFFFF"/>
              </w:rPr>
              <w:t>1</w:t>
            </w:r>
            <w:r>
              <w:rPr>
                <w:rFonts w:hint="eastAsia" w:asciiTheme="minorEastAsia" w:hAnsiTheme="minorEastAsia" w:eastAsiaTheme="minorEastAsia" w:cstheme="minorEastAsia"/>
                <w:color w:val="auto"/>
                <w:kern w:val="2"/>
                <w:szCs w:val="21"/>
                <w:highlight w:val="none"/>
                <w:shd w:val="clear" w:color="auto" w:fill="FFFFFF"/>
                <w:lang w:val="zh-CN"/>
              </w:rPr>
              <w:t>分，本分项满分</w:t>
            </w:r>
            <w:r>
              <w:rPr>
                <w:rFonts w:hint="eastAsia" w:asciiTheme="minorEastAsia" w:hAnsiTheme="minorEastAsia" w:eastAsiaTheme="minorEastAsia" w:cstheme="minorEastAsia"/>
                <w:color w:val="auto"/>
                <w:kern w:val="2"/>
                <w:szCs w:val="21"/>
                <w:highlight w:val="none"/>
                <w:shd w:val="clear" w:color="auto" w:fill="FFFFFF"/>
                <w:lang w:val="en-US" w:eastAsia="zh-CN"/>
              </w:rPr>
              <w:t>2</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本项最高得</w:t>
            </w:r>
            <w:r>
              <w:rPr>
                <w:rFonts w:hint="eastAsia" w:asciiTheme="minorEastAsia" w:hAnsiTheme="minorEastAsia" w:eastAsiaTheme="minorEastAsia" w:cstheme="minorEastAsia"/>
                <w:color w:val="auto"/>
                <w:kern w:val="2"/>
                <w:szCs w:val="21"/>
                <w:highlight w:val="none"/>
                <w:shd w:val="clear" w:color="auto" w:fill="FFFFFF"/>
                <w:lang w:val="en-US" w:eastAsia="zh-CN"/>
              </w:rPr>
              <w:t>4</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注：须提供</w:t>
            </w:r>
            <w:r>
              <w:rPr>
                <w:rFonts w:hint="eastAsia" w:asciiTheme="minorEastAsia" w:hAnsiTheme="minorEastAsia" w:eastAsiaTheme="minorEastAsia" w:cstheme="minorEastAsia"/>
                <w:color w:val="auto"/>
                <w:kern w:val="2"/>
                <w:szCs w:val="21"/>
                <w:highlight w:val="none"/>
                <w:shd w:val="clear" w:color="auto" w:fill="FFFFFF"/>
              </w:rPr>
              <w:t>投标人</w:t>
            </w:r>
            <w:r>
              <w:rPr>
                <w:rFonts w:hint="eastAsia" w:asciiTheme="minorEastAsia" w:hAnsiTheme="minorEastAsia" w:eastAsiaTheme="minorEastAsia" w:cstheme="minorEastAsia"/>
                <w:color w:val="auto"/>
                <w:kern w:val="2"/>
                <w:szCs w:val="21"/>
                <w:highlight w:val="none"/>
                <w:shd w:val="clear" w:color="auto" w:fill="FFFFFF"/>
                <w:lang w:val="zh-CN"/>
              </w:rPr>
              <w:t>废气类净化设备及净化技术产品的专利有效证明材料复印件并加盖投标人公章。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6"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hint="eastAsia" w:asciiTheme="minorEastAsia" w:hAnsiTheme="minorEastAsia" w:eastAsiaTheme="minorEastAsia" w:cstheme="minorEastAsia"/>
                <w:color w:val="auto"/>
                <w:kern w:val="2"/>
                <w:szCs w:val="21"/>
                <w:highlight w:val="none"/>
                <w:lang w:val="en-GB" w:eastAsia="zh-CN"/>
              </w:rPr>
            </w:pPr>
            <w:r>
              <w:rPr>
                <w:rFonts w:hint="eastAsia" w:asciiTheme="minorEastAsia" w:hAnsiTheme="minorEastAsia" w:eastAsiaTheme="minorEastAsia" w:cstheme="minorEastAsia"/>
                <w:color w:val="auto"/>
                <w:kern w:val="2"/>
                <w:szCs w:val="21"/>
                <w:highlight w:val="none"/>
                <w:lang w:val="en-US" w:eastAsia="zh-CN"/>
              </w:rPr>
              <w:t>3</w:t>
            </w:r>
          </w:p>
        </w:tc>
        <w:tc>
          <w:tcPr>
            <w:tcW w:w="1307"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rPr>
              <w:t>认证情况</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adjustRightInd/>
              <w:snapToGrid/>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bCs/>
                <w:color w:val="auto"/>
                <w:kern w:val="2"/>
                <w:szCs w:val="21"/>
                <w:highlight w:val="none"/>
                <w:lang w:val="en-US" w:eastAsia="zh-CN"/>
              </w:rPr>
              <w:t>2</w:t>
            </w:r>
            <w:r>
              <w:rPr>
                <w:rFonts w:hint="eastAsia" w:asciiTheme="minorEastAsia" w:hAnsiTheme="minorEastAsia" w:eastAsiaTheme="minorEastAsia" w:cstheme="minorEastAsia"/>
                <w:color w:val="auto"/>
                <w:szCs w:val="21"/>
                <w:highlight w:val="none"/>
              </w:rPr>
              <w:t>分</w:t>
            </w:r>
          </w:p>
        </w:tc>
        <w:tc>
          <w:tcPr>
            <w:tcW w:w="5678"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Theme="minorEastAsia" w:hAnsiTheme="minorEastAsia" w:eastAsiaTheme="minorEastAsia" w:cstheme="minorEastAsia"/>
                <w:bCs/>
                <w:color w:val="auto"/>
                <w:kern w:val="2"/>
                <w:szCs w:val="21"/>
                <w:highlight w:val="none"/>
                <w:lang w:val="zh-CN"/>
              </w:rPr>
            </w:pPr>
            <w:r>
              <w:rPr>
                <w:rFonts w:hint="eastAsia" w:asciiTheme="minorEastAsia" w:hAnsiTheme="minorEastAsia" w:eastAsiaTheme="minorEastAsia" w:cstheme="minorEastAsia"/>
                <w:color w:val="auto"/>
                <w:kern w:val="2"/>
                <w:szCs w:val="21"/>
                <w:highlight w:val="none"/>
              </w:rPr>
              <w:t>投标人</w:t>
            </w:r>
            <w:r>
              <w:rPr>
                <w:rFonts w:hint="eastAsia" w:asciiTheme="minorEastAsia" w:hAnsiTheme="minorEastAsia" w:eastAsiaTheme="minorEastAsia" w:cstheme="minorEastAsia"/>
                <w:bCs/>
                <w:color w:val="auto"/>
                <w:kern w:val="2"/>
                <w:szCs w:val="21"/>
                <w:highlight w:val="none"/>
                <w:lang w:val="zh-CN"/>
              </w:rPr>
              <w:t xml:space="preserve">具有的由国家认证认可监督管理部门批准设立的认证机构颁发并在有效期内的证书： </w:t>
            </w:r>
          </w:p>
          <w:p>
            <w:pPr>
              <w:widowControl w:val="0"/>
              <w:adjustRightInd/>
              <w:snapToGrid/>
              <w:spacing w:line="240" w:lineRule="auto"/>
              <w:rPr>
                <w:rFonts w:asciiTheme="minorEastAsia" w:hAnsiTheme="minorEastAsia" w:eastAsiaTheme="minorEastAsia" w:cstheme="minorEastAsia"/>
                <w:bCs w:val="0"/>
                <w:color w:val="auto"/>
                <w:kern w:val="2"/>
                <w:szCs w:val="21"/>
                <w:highlight w:val="none"/>
                <w:shd w:val="clear" w:color="auto" w:fill="FFFFFF"/>
                <w:lang w:val="zh-CN"/>
              </w:rPr>
            </w:pPr>
            <w:r>
              <w:rPr>
                <w:rFonts w:hint="default" w:asciiTheme="minorEastAsia" w:hAnsiTheme="minorEastAsia" w:eastAsiaTheme="minorEastAsia" w:cstheme="minorEastAsia"/>
                <w:bCs w:val="0"/>
                <w:color w:val="auto"/>
                <w:kern w:val="2"/>
                <w:szCs w:val="21"/>
                <w:highlight w:val="none"/>
                <w:shd w:val="clear" w:color="auto" w:fill="FFFFFF"/>
                <w:lang w:val="zh-CN"/>
              </w:rPr>
              <w:t>①质量管理体系认证证书；②环境管理体系认证证书；③职业健康安全管理体系认证证书。具有三项得</w:t>
            </w:r>
            <w:r>
              <w:rPr>
                <w:rFonts w:hint="eastAsia" w:asciiTheme="minorEastAsia" w:hAnsiTheme="minorEastAsia" w:eastAsiaTheme="minorEastAsia" w:cstheme="minorEastAsia"/>
                <w:bCs w:val="0"/>
                <w:color w:val="auto"/>
                <w:kern w:val="2"/>
                <w:szCs w:val="21"/>
                <w:highlight w:val="none"/>
                <w:shd w:val="clear" w:color="auto" w:fill="FFFFFF"/>
                <w:lang w:val="en-US" w:eastAsia="zh-CN"/>
              </w:rPr>
              <w:t>2</w:t>
            </w:r>
            <w:r>
              <w:rPr>
                <w:rFonts w:hint="default" w:asciiTheme="minorEastAsia" w:hAnsiTheme="minorEastAsia" w:eastAsiaTheme="minorEastAsia" w:cstheme="minorEastAsia"/>
                <w:bCs w:val="0"/>
                <w:color w:val="auto"/>
                <w:kern w:val="2"/>
                <w:szCs w:val="21"/>
                <w:highlight w:val="none"/>
                <w:shd w:val="clear" w:color="auto" w:fill="FFFFFF"/>
                <w:lang w:val="zh-CN"/>
              </w:rPr>
              <w:t>分，两项得</w:t>
            </w:r>
            <w:r>
              <w:rPr>
                <w:rFonts w:hint="eastAsia" w:asciiTheme="minorEastAsia" w:hAnsiTheme="minorEastAsia" w:eastAsiaTheme="minorEastAsia" w:cstheme="minorEastAsia"/>
                <w:bCs w:val="0"/>
                <w:color w:val="auto"/>
                <w:kern w:val="2"/>
                <w:szCs w:val="21"/>
                <w:highlight w:val="none"/>
                <w:shd w:val="clear" w:color="auto" w:fill="FFFFFF"/>
                <w:lang w:val="en-US" w:eastAsia="zh-CN"/>
              </w:rPr>
              <w:t>1</w:t>
            </w:r>
            <w:r>
              <w:rPr>
                <w:rFonts w:hint="default" w:asciiTheme="minorEastAsia" w:hAnsiTheme="minorEastAsia" w:eastAsiaTheme="minorEastAsia" w:cstheme="minorEastAsia"/>
                <w:bCs w:val="0"/>
                <w:color w:val="auto"/>
                <w:kern w:val="2"/>
                <w:szCs w:val="21"/>
                <w:highlight w:val="none"/>
                <w:shd w:val="clear" w:color="auto" w:fill="FFFFFF"/>
                <w:lang w:val="zh-CN"/>
              </w:rPr>
              <w:t>分，只有一项得</w:t>
            </w:r>
            <w:r>
              <w:rPr>
                <w:rFonts w:hint="eastAsia" w:asciiTheme="minorEastAsia" w:hAnsiTheme="minorEastAsia" w:eastAsiaTheme="minorEastAsia" w:cstheme="minorEastAsia"/>
                <w:bCs w:val="0"/>
                <w:color w:val="auto"/>
                <w:kern w:val="2"/>
                <w:szCs w:val="21"/>
                <w:highlight w:val="none"/>
                <w:shd w:val="clear" w:color="auto" w:fill="FFFFFF"/>
                <w:lang w:val="en-US" w:eastAsia="zh-CN"/>
              </w:rPr>
              <w:t>0.5</w:t>
            </w:r>
            <w:r>
              <w:rPr>
                <w:rFonts w:hint="default" w:asciiTheme="minorEastAsia" w:hAnsiTheme="minorEastAsia" w:eastAsiaTheme="minorEastAsia" w:cstheme="minorEastAsia"/>
                <w:bCs w:val="0"/>
                <w:color w:val="auto"/>
                <w:kern w:val="2"/>
                <w:szCs w:val="21"/>
                <w:highlight w:val="none"/>
                <w:shd w:val="clear" w:color="auto" w:fill="FFFFFF"/>
                <w:lang w:val="zh-CN"/>
              </w:rPr>
              <w:t>分，没有不得分，本项最高得</w:t>
            </w:r>
            <w:r>
              <w:rPr>
                <w:rFonts w:hint="eastAsia" w:asciiTheme="minorEastAsia" w:hAnsiTheme="minorEastAsia" w:eastAsiaTheme="minorEastAsia" w:cstheme="minorEastAsia"/>
                <w:bCs w:val="0"/>
                <w:color w:val="auto"/>
                <w:kern w:val="2"/>
                <w:szCs w:val="21"/>
                <w:highlight w:val="none"/>
                <w:shd w:val="clear" w:color="auto" w:fill="FFFFFF"/>
                <w:lang w:val="en-US" w:eastAsia="zh-CN"/>
              </w:rPr>
              <w:t>2</w:t>
            </w:r>
            <w:r>
              <w:rPr>
                <w:rFonts w:hint="default" w:asciiTheme="minorEastAsia" w:hAnsiTheme="minorEastAsia" w:eastAsiaTheme="minorEastAsia" w:cstheme="minorEastAsia"/>
                <w:bCs w:val="0"/>
                <w:color w:val="auto"/>
                <w:kern w:val="2"/>
                <w:szCs w:val="21"/>
                <w:highlight w:val="none"/>
                <w:shd w:val="clear" w:color="auto" w:fill="FFFFFF"/>
                <w:lang w:val="zh-CN"/>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en-GB"/>
              </w:rPr>
            </w:pPr>
            <w:r>
              <w:rPr>
                <w:rFonts w:hint="default" w:asciiTheme="minorEastAsia" w:hAnsiTheme="minorEastAsia" w:eastAsiaTheme="minorEastAsia" w:cstheme="minorEastAsia"/>
                <w:bCs w:val="0"/>
                <w:color w:val="auto"/>
                <w:kern w:val="2"/>
                <w:szCs w:val="21"/>
                <w:highlight w:val="none"/>
                <w:shd w:val="clear" w:color="auto" w:fill="FFFFFF"/>
                <w:lang w:val="zh-CN"/>
              </w:rPr>
              <w:t>注：须提供有效证书复印件及中国国家认证认可监督管理委员会认证查询截图</w:t>
            </w:r>
            <w:r>
              <w:rPr>
                <w:rFonts w:hint="eastAsia" w:asciiTheme="minorEastAsia" w:hAnsiTheme="minorEastAsia" w:eastAsiaTheme="minorEastAsia" w:cstheme="minorEastAsia"/>
                <w:bCs/>
                <w:color w:val="auto"/>
                <w:kern w:val="2"/>
                <w:szCs w:val="21"/>
                <w:highlight w:val="none"/>
                <w:lang w:val="zh-CN"/>
              </w:rPr>
              <w:t>（http://cx.cnca.cn/CertECloud/index/index/page）加盖投标人公章。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hint="eastAsia" w:asciiTheme="minorEastAsia" w:hAnsiTheme="minorEastAsia" w:eastAsiaTheme="minorEastAsia" w:cstheme="minorEastAsia"/>
                <w:color w:val="auto"/>
                <w:kern w:val="2"/>
                <w:szCs w:val="21"/>
                <w:highlight w:val="none"/>
                <w:lang w:val="en-GB" w:eastAsia="zh-CN"/>
              </w:rPr>
            </w:pPr>
            <w:r>
              <w:rPr>
                <w:rFonts w:hint="eastAsia" w:asciiTheme="minorEastAsia" w:hAnsiTheme="minorEastAsia" w:eastAsiaTheme="minorEastAsia" w:cstheme="minorEastAsia"/>
                <w:color w:val="auto"/>
                <w:kern w:val="2"/>
                <w:szCs w:val="21"/>
                <w:highlight w:val="none"/>
                <w:lang w:val="en-US" w:eastAsia="zh-CN"/>
              </w:rPr>
              <w:t>4</w:t>
            </w:r>
          </w:p>
        </w:tc>
        <w:tc>
          <w:tcPr>
            <w:tcW w:w="1307"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lang w:val="en-GB"/>
              </w:rPr>
            </w:pPr>
            <w:r>
              <w:rPr>
                <w:rFonts w:hint="eastAsia" w:asciiTheme="minorEastAsia" w:hAnsiTheme="minorEastAsia" w:eastAsiaTheme="minorEastAsia" w:cstheme="minorEastAsia"/>
                <w:color w:val="auto"/>
                <w:kern w:val="2"/>
                <w:szCs w:val="21"/>
                <w:highlight w:val="none"/>
              </w:rPr>
              <w:t>业绩</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default" w:asciiTheme="minorEastAsia" w:hAnsiTheme="minorEastAsia" w:eastAsiaTheme="minorEastAsia" w:cstheme="minorEastAsia"/>
                <w:bCs/>
                <w:color w:val="auto"/>
                <w:kern w:val="2"/>
                <w:szCs w:val="21"/>
                <w:highlight w:val="none"/>
                <w:lang w:val="en-US"/>
              </w:rPr>
              <w:t>1</w:t>
            </w:r>
            <w:r>
              <w:rPr>
                <w:rFonts w:hint="default" w:asciiTheme="minorEastAsia" w:hAnsiTheme="minorEastAsia" w:eastAsiaTheme="minorEastAsia" w:cstheme="minorEastAsia"/>
                <w:bCs/>
                <w:color w:val="auto"/>
                <w:kern w:val="2"/>
                <w:szCs w:val="21"/>
                <w:highlight w:val="none"/>
                <w:lang w:val="en-US" w:eastAsia="zh-CN"/>
              </w:rPr>
              <w:t>0</w:t>
            </w:r>
            <w:r>
              <w:rPr>
                <w:rFonts w:hint="eastAsia" w:asciiTheme="minorEastAsia" w:hAnsiTheme="minorEastAsia" w:eastAsiaTheme="minorEastAsia" w:cstheme="minorEastAsia"/>
                <w:color w:val="auto"/>
                <w:kern w:val="2"/>
                <w:szCs w:val="21"/>
                <w:highlight w:val="none"/>
              </w:rPr>
              <w:t>分</w:t>
            </w:r>
          </w:p>
        </w:tc>
        <w:tc>
          <w:tcPr>
            <w:tcW w:w="5678"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eastAsia" w:asciiTheme="minorEastAsia" w:hAnsiTheme="minorEastAsia" w:eastAsiaTheme="minorEastAsia" w:cstheme="minorEastAsia"/>
                <w:color w:val="auto"/>
                <w:kern w:val="2"/>
                <w:szCs w:val="21"/>
                <w:highlight w:val="none"/>
                <w:shd w:val="clear" w:color="auto" w:fill="FFFFFF"/>
                <w:lang w:eastAsia="zh-CN"/>
              </w:rPr>
            </w:pPr>
            <w:r>
              <w:rPr>
                <w:rFonts w:hint="eastAsia" w:asciiTheme="minorEastAsia" w:hAnsiTheme="minorEastAsia" w:eastAsiaTheme="minorEastAsia" w:cstheme="minorEastAsia"/>
                <w:color w:val="auto"/>
                <w:kern w:val="2"/>
                <w:szCs w:val="21"/>
                <w:highlight w:val="none"/>
                <w:shd w:val="clear" w:color="auto" w:fill="FFFFFF"/>
                <w:lang w:val="zh-CN"/>
              </w:rPr>
              <w:t>根据投标人</w:t>
            </w:r>
            <w:r>
              <w:rPr>
                <w:rFonts w:hint="eastAsia" w:asciiTheme="minorEastAsia" w:hAnsiTheme="minorEastAsia" w:eastAsiaTheme="minorEastAsia" w:cstheme="minorEastAsia"/>
                <w:bCs/>
                <w:color w:val="auto"/>
                <w:kern w:val="2"/>
                <w:szCs w:val="21"/>
                <w:highlight w:val="none"/>
                <w:lang w:val="zh-CN"/>
              </w:rPr>
              <w:t>201</w:t>
            </w:r>
            <w:r>
              <w:rPr>
                <w:rFonts w:hint="eastAsia" w:asciiTheme="minorEastAsia" w:hAnsiTheme="minorEastAsia" w:eastAsiaTheme="minorEastAsia" w:cstheme="minorEastAsia"/>
                <w:bCs/>
                <w:color w:val="auto"/>
                <w:kern w:val="2"/>
                <w:szCs w:val="21"/>
                <w:highlight w:val="none"/>
              </w:rPr>
              <w:t>8</w:t>
            </w:r>
            <w:r>
              <w:rPr>
                <w:rFonts w:hint="eastAsia" w:asciiTheme="minorEastAsia" w:hAnsiTheme="minorEastAsia" w:eastAsiaTheme="minorEastAsia" w:cstheme="minorEastAsia"/>
                <w:bCs/>
                <w:color w:val="auto"/>
                <w:kern w:val="2"/>
                <w:szCs w:val="21"/>
                <w:highlight w:val="none"/>
                <w:lang w:val="zh-CN"/>
              </w:rPr>
              <w:t>年</w:t>
            </w:r>
            <w:r>
              <w:rPr>
                <w:rFonts w:hint="eastAsia" w:asciiTheme="minorEastAsia" w:hAnsiTheme="minorEastAsia" w:eastAsiaTheme="minorEastAsia" w:cstheme="minorEastAsia"/>
                <w:bCs/>
                <w:color w:val="auto"/>
                <w:kern w:val="2"/>
                <w:szCs w:val="21"/>
                <w:highlight w:val="none"/>
              </w:rPr>
              <w:t>1月1日</w:t>
            </w:r>
            <w:r>
              <w:rPr>
                <w:rFonts w:hint="eastAsia" w:asciiTheme="minorEastAsia" w:hAnsiTheme="minorEastAsia" w:eastAsiaTheme="minorEastAsia" w:cstheme="minorEastAsia"/>
                <w:bCs/>
                <w:color w:val="auto"/>
                <w:kern w:val="2"/>
                <w:szCs w:val="21"/>
                <w:highlight w:val="none"/>
                <w:lang w:val="zh-CN"/>
              </w:rPr>
              <w:t>至今</w:t>
            </w:r>
            <w:r>
              <w:rPr>
                <w:rFonts w:hint="eastAsia" w:asciiTheme="minorEastAsia" w:hAnsiTheme="minorEastAsia" w:eastAsiaTheme="minorEastAsia" w:cstheme="minorEastAsia"/>
                <w:color w:val="auto"/>
                <w:kern w:val="2"/>
                <w:szCs w:val="21"/>
                <w:highlight w:val="none"/>
                <w:shd w:val="clear" w:color="auto" w:fill="FFFFFF"/>
                <w:lang w:val="zh-CN"/>
              </w:rPr>
              <w:t>完成的除臭（垃圾</w:t>
            </w:r>
            <w:r>
              <w:rPr>
                <w:rFonts w:hint="eastAsia" w:asciiTheme="minorEastAsia" w:hAnsiTheme="minorEastAsia" w:eastAsiaTheme="minorEastAsia" w:cstheme="minorEastAsia"/>
                <w:color w:val="auto"/>
                <w:kern w:val="2"/>
                <w:szCs w:val="21"/>
                <w:highlight w:val="none"/>
                <w:shd w:val="clear" w:color="auto" w:fill="FFFFFF"/>
              </w:rPr>
              <w:t>中转</w:t>
            </w:r>
            <w:r>
              <w:rPr>
                <w:rFonts w:hint="eastAsia" w:asciiTheme="minorEastAsia" w:hAnsiTheme="minorEastAsia" w:eastAsiaTheme="minorEastAsia" w:cstheme="minorEastAsia"/>
                <w:color w:val="auto"/>
                <w:kern w:val="2"/>
                <w:szCs w:val="21"/>
                <w:highlight w:val="none"/>
                <w:shd w:val="clear" w:color="auto" w:fill="FFFFFF"/>
                <w:lang w:val="zh-CN"/>
              </w:rPr>
              <w:t>站、厨余处</w:t>
            </w:r>
            <w:r>
              <w:rPr>
                <w:rFonts w:hint="eastAsia" w:asciiTheme="minorEastAsia" w:hAnsiTheme="minorEastAsia" w:eastAsiaTheme="minorEastAsia" w:cstheme="minorEastAsia"/>
                <w:color w:val="auto"/>
                <w:kern w:val="2"/>
                <w:szCs w:val="21"/>
                <w:highlight w:val="none"/>
                <w:shd w:val="clear" w:color="auto" w:fill="FFFFFF"/>
              </w:rPr>
              <w:t>理</w:t>
            </w:r>
            <w:r>
              <w:rPr>
                <w:rFonts w:hint="eastAsia" w:asciiTheme="minorEastAsia" w:hAnsiTheme="minorEastAsia" w:eastAsiaTheme="minorEastAsia" w:cstheme="minorEastAsia"/>
                <w:color w:val="auto"/>
                <w:kern w:val="2"/>
                <w:szCs w:val="21"/>
                <w:highlight w:val="none"/>
                <w:shd w:val="clear" w:color="auto" w:fill="FFFFFF"/>
                <w:lang w:val="zh-CN"/>
              </w:rPr>
              <w:t>等）相关项目(项目内容需含负压除臭系统采购及安装</w:t>
            </w:r>
            <w:r>
              <w:rPr>
                <w:rFonts w:hint="eastAsia" w:asciiTheme="minorEastAsia" w:hAnsiTheme="minorEastAsia" w:eastAsiaTheme="minorEastAsia" w:cstheme="minorEastAsia"/>
                <w:color w:val="auto"/>
                <w:kern w:val="2"/>
                <w:szCs w:val="21"/>
                <w:highlight w:val="none"/>
                <w:shd w:val="clear" w:color="auto" w:fill="FFFFFF"/>
              </w:rPr>
              <w:t>）业绩情况进行评分</w:t>
            </w:r>
            <w:r>
              <w:rPr>
                <w:rFonts w:hint="eastAsia" w:asciiTheme="minorEastAsia" w:hAnsiTheme="minorEastAsia" w:eastAsiaTheme="minorEastAsia" w:cstheme="minorEastAsia"/>
                <w:color w:val="auto"/>
                <w:kern w:val="2"/>
                <w:szCs w:val="21"/>
                <w:highlight w:val="none"/>
                <w:shd w:val="clear" w:color="auto" w:fill="FFFFFF"/>
                <w:lang w:eastAsia="zh-CN"/>
              </w:rPr>
              <w:t>：</w:t>
            </w:r>
          </w:p>
          <w:p>
            <w:pPr>
              <w:spacing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①</w:t>
            </w:r>
            <w:r>
              <w:rPr>
                <w:rFonts w:hint="eastAsia" w:ascii="宋体" w:hAnsi="宋体" w:cs="宋体"/>
                <w:bCs/>
                <w:color w:val="auto"/>
                <w:szCs w:val="21"/>
                <w:highlight w:val="none"/>
              </w:rPr>
              <w:t>每提供一份合同金额≥</w:t>
            </w:r>
            <w:r>
              <w:rPr>
                <w:rFonts w:hint="eastAsia" w:ascii="宋体" w:hAnsi="宋体" w:cs="宋体"/>
                <w:bCs/>
                <w:color w:val="auto"/>
                <w:szCs w:val="21"/>
                <w:highlight w:val="none"/>
                <w:lang w:val="en-US" w:eastAsia="zh-CN"/>
              </w:rPr>
              <w:t>20</w:t>
            </w:r>
            <w:r>
              <w:rPr>
                <w:rFonts w:hint="eastAsia" w:ascii="宋体" w:hAnsi="宋体" w:cs="宋体"/>
                <w:bCs/>
                <w:color w:val="auto"/>
                <w:szCs w:val="21"/>
                <w:highlight w:val="none"/>
              </w:rPr>
              <w:t>0万元业绩</w:t>
            </w:r>
            <w:r>
              <w:rPr>
                <w:rFonts w:hint="eastAsia" w:ascii="宋体" w:hAnsi="宋体" w:cs="宋体"/>
                <w:bCs/>
                <w:color w:val="auto"/>
                <w:szCs w:val="21"/>
                <w:highlight w:val="none"/>
                <w:lang w:val="en-US" w:eastAsia="zh-CN"/>
              </w:rPr>
              <w:t>的</w:t>
            </w:r>
            <w:r>
              <w:rPr>
                <w:rFonts w:hint="eastAsia" w:ascii="宋体" w:hAnsi="宋体" w:cs="宋体"/>
                <w:bCs/>
                <w:color w:val="auto"/>
                <w:szCs w:val="21"/>
                <w:highlight w:val="none"/>
              </w:rPr>
              <w:t>，每份得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分,本项</w:t>
            </w:r>
            <w:r>
              <w:rPr>
                <w:rFonts w:hint="eastAsia" w:ascii="宋体" w:hAnsi="宋体" w:cs="宋体"/>
                <w:bCs/>
                <w:color w:val="auto"/>
                <w:szCs w:val="21"/>
                <w:highlight w:val="none"/>
                <w:lang w:val="en-US" w:eastAsia="zh-CN"/>
              </w:rPr>
              <w:t>满分</w:t>
            </w:r>
            <w:r>
              <w:rPr>
                <w:rFonts w:hint="eastAsia" w:ascii="宋体" w:hAnsi="宋体" w:cs="宋体"/>
                <w:bCs/>
                <w:color w:val="auto"/>
                <w:szCs w:val="21"/>
                <w:highlight w:val="none"/>
              </w:rPr>
              <w:t>6分。</w:t>
            </w:r>
          </w:p>
          <w:p>
            <w:pPr>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lang w:val="en-US" w:eastAsia="zh-CN"/>
              </w:rPr>
              <w:t>②</w:t>
            </w:r>
            <w:r>
              <w:rPr>
                <w:rFonts w:hint="eastAsia" w:ascii="宋体" w:hAnsi="宋体" w:cs="宋体"/>
                <w:bCs/>
                <w:color w:val="auto"/>
                <w:szCs w:val="21"/>
                <w:highlight w:val="none"/>
              </w:rPr>
              <w:t>每提供一份合同金额≥</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00万元业绩</w:t>
            </w:r>
            <w:r>
              <w:rPr>
                <w:rFonts w:hint="eastAsia" w:ascii="宋体" w:hAnsi="宋体" w:cs="宋体"/>
                <w:bCs/>
                <w:color w:val="auto"/>
                <w:szCs w:val="21"/>
                <w:highlight w:val="none"/>
                <w:lang w:val="en-US" w:eastAsia="zh-CN"/>
              </w:rPr>
              <w:t>的</w:t>
            </w:r>
            <w:r>
              <w:rPr>
                <w:rFonts w:hint="eastAsia" w:ascii="宋体" w:hAnsi="宋体" w:cs="宋体"/>
                <w:bCs/>
                <w:color w:val="auto"/>
                <w:szCs w:val="21"/>
                <w:highlight w:val="none"/>
              </w:rPr>
              <w:t>，每份得</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分；</w:t>
            </w:r>
          </w:p>
          <w:p>
            <w:pPr>
              <w:widowControl/>
              <w:adjustRightInd/>
              <w:snapToGrid/>
              <w:spacing w:line="400" w:lineRule="exact"/>
              <w:ind w:firstLine="420" w:firstLineChars="200"/>
              <w:rPr>
                <w:rFonts w:asciiTheme="minorEastAsia" w:hAnsiTheme="minorEastAsia" w:eastAsiaTheme="minorEastAsia" w:cstheme="minorEastAsia"/>
                <w:color w:val="auto"/>
                <w:kern w:val="2"/>
                <w:szCs w:val="21"/>
                <w:highlight w:val="none"/>
                <w:shd w:val="clear" w:color="auto" w:fill="FFFFFF"/>
                <w:lang w:val="zh-CN"/>
              </w:rPr>
            </w:pPr>
            <w:r>
              <w:rPr>
                <w:rFonts w:hint="eastAsia" w:ascii="宋体" w:hAnsi="宋体" w:cs="宋体"/>
                <w:bCs/>
                <w:color w:val="auto"/>
                <w:szCs w:val="21"/>
                <w:highlight w:val="none"/>
              </w:rPr>
              <w:t>本项最高得</w:t>
            </w:r>
            <w:r>
              <w:rPr>
                <w:rFonts w:hint="default" w:ascii="宋体" w:hAnsi="宋体" w:cs="宋体"/>
                <w:bCs/>
                <w:color w:val="auto"/>
                <w:szCs w:val="21"/>
                <w:highlight w:val="none"/>
                <w:lang w:val="en-US"/>
              </w:rPr>
              <w:t>1</w:t>
            </w:r>
            <w:r>
              <w:rPr>
                <w:rFonts w:hint="default" w:ascii="宋体" w:hAnsi="宋体" w:cs="宋体"/>
                <w:bCs/>
                <w:color w:val="auto"/>
                <w:szCs w:val="21"/>
                <w:highlight w:val="none"/>
                <w:lang w:val="en-US" w:eastAsia="zh-CN"/>
              </w:rPr>
              <w:t>0</w:t>
            </w:r>
            <w:r>
              <w:rPr>
                <w:rFonts w:hint="eastAsia" w:ascii="宋体" w:hAnsi="宋体" w:cs="宋体"/>
                <w:bCs/>
                <w:color w:val="auto"/>
                <w:szCs w:val="21"/>
                <w:highlight w:val="none"/>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注：提供合同复印件和该合同期内任意一期发票复印件并加盖投标人公章。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8519" w:type="dxa"/>
            <w:gridSpan w:val="6"/>
            <w:tcBorders>
              <w:top w:val="single" w:color="auto" w:sz="4" w:space="0"/>
              <w:left w:val="single" w:color="auto" w:sz="4" w:space="0"/>
              <w:bottom w:val="single" w:color="auto" w:sz="4" w:space="0"/>
              <w:right w:val="single" w:color="auto" w:sz="4" w:space="0"/>
            </w:tcBorders>
            <w:vAlign w:val="center"/>
          </w:tcPr>
          <w:p>
            <w:pPr>
              <w:widowControl w:val="0"/>
              <w:adjustRightInd/>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
                <w:bCs/>
                <w:color w:val="auto"/>
                <w:kern w:val="2"/>
                <w:szCs w:val="21"/>
                <w:highlight w:val="none"/>
              </w:rPr>
              <w:t>技术评分细则（合计</w:t>
            </w:r>
            <w:r>
              <w:rPr>
                <w:rFonts w:hint="eastAsia" w:asciiTheme="minorEastAsia" w:hAnsiTheme="minorEastAsia" w:eastAsiaTheme="minorEastAsia" w:cstheme="minorEastAsia"/>
                <w:b/>
                <w:bCs/>
                <w:color w:val="auto"/>
                <w:kern w:val="2"/>
                <w:szCs w:val="21"/>
                <w:highlight w:val="none"/>
                <w:lang w:val="en-US" w:eastAsia="zh-CN"/>
              </w:rPr>
              <w:t>22</w:t>
            </w:r>
            <w:r>
              <w:rPr>
                <w:rFonts w:hint="eastAsia" w:asciiTheme="minorEastAsia" w:hAnsiTheme="minorEastAsia" w:eastAsiaTheme="minorEastAsia" w:cstheme="minorEastAsia"/>
                <w:b/>
                <w:bCs/>
                <w:color w:val="auto"/>
                <w:kern w:val="2"/>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lang w:val="en-GB"/>
              </w:rPr>
              <w:t>序号</w:t>
            </w:r>
          </w:p>
        </w:tc>
        <w:tc>
          <w:tcPr>
            <w:tcW w:w="1307" w:type="dxa"/>
            <w:gridSpan w:val="2"/>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en-GB"/>
              </w:rPr>
              <w:t>评分内容</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en-GB"/>
              </w:rPr>
              <w:t>分值</w:t>
            </w:r>
          </w:p>
        </w:tc>
        <w:tc>
          <w:tcPr>
            <w:tcW w:w="5678"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en-GB"/>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5"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1</w:t>
            </w:r>
          </w:p>
        </w:tc>
        <w:tc>
          <w:tcPr>
            <w:tcW w:w="1307" w:type="dxa"/>
            <w:gridSpan w:val="2"/>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项目实施方案</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rPr>
              <w:t>6</w:t>
            </w:r>
            <w:r>
              <w:rPr>
                <w:rFonts w:hint="eastAsia" w:asciiTheme="minorEastAsia" w:hAnsiTheme="minorEastAsia" w:eastAsiaTheme="minorEastAsia" w:cstheme="minorEastAsia"/>
                <w:color w:val="auto"/>
                <w:kern w:val="2"/>
                <w:szCs w:val="21"/>
                <w:highlight w:val="none"/>
              </w:rPr>
              <w:t>分</w:t>
            </w:r>
          </w:p>
        </w:tc>
        <w:tc>
          <w:tcPr>
            <w:tcW w:w="5678"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根据投标人提供的项目实施方案（方案包括1.质量保证措施、2.履约进度控制方案(不限于交货、调试、验收方案内容等）进行综合评审：</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投标人提供的项目实施方案内容全面完整（包括上述2种方案）、质量保证措施全面科学、履约进度控制方案详细合理、交货、调试、验收方案科学完整的得</w:t>
            </w:r>
            <w:r>
              <w:rPr>
                <w:rFonts w:hint="eastAsia" w:asciiTheme="minorEastAsia" w:hAnsiTheme="minorEastAsia" w:eastAsiaTheme="minorEastAsia" w:cstheme="minorEastAsia"/>
                <w:color w:val="auto"/>
                <w:kern w:val="2"/>
                <w:szCs w:val="21"/>
                <w:highlight w:val="none"/>
                <w:shd w:val="clear" w:color="auto" w:fill="FFFFFF"/>
                <w:lang w:val="en-US" w:eastAsia="zh-CN"/>
              </w:rPr>
              <w:t>6</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投标人提供的项目实施方案内容基本完整（至少包含上述1种方案）、质量保证措施一般、履约进度控制方案一般、交货、调试、验收方案一般，得</w:t>
            </w:r>
            <w:r>
              <w:rPr>
                <w:rFonts w:hint="eastAsia" w:asciiTheme="minorEastAsia" w:hAnsiTheme="minorEastAsia" w:eastAsiaTheme="minorEastAsia" w:cstheme="minorEastAsia"/>
                <w:color w:val="auto"/>
                <w:kern w:val="2"/>
                <w:szCs w:val="21"/>
                <w:highlight w:val="none"/>
                <w:shd w:val="clear" w:color="auto" w:fill="FFFFFF"/>
              </w:rPr>
              <w:t>4</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投标人提供的项目实施方案内容不完整或均缺的、质量保证措施差、履约进度控制方案差、交货、调试、验收方案差，得</w:t>
            </w:r>
            <w:r>
              <w:rPr>
                <w:rFonts w:hint="eastAsia" w:asciiTheme="minorEastAsia" w:hAnsiTheme="minorEastAsia" w:eastAsiaTheme="minorEastAsia" w:cstheme="minorEastAsia"/>
                <w:color w:val="auto"/>
                <w:kern w:val="2"/>
                <w:szCs w:val="21"/>
                <w:highlight w:val="none"/>
                <w:shd w:val="clear" w:color="auto" w:fill="FFFFFF"/>
              </w:rPr>
              <w:t>2</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2</w:t>
            </w:r>
          </w:p>
        </w:tc>
        <w:tc>
          <w:tcPr>
            <w:tcW w:w="130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性能质量情况</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rPr>
              <w:t>6</w:t>
            </w:r>
            <w:r>
              <w:rPr>
                <w:rFonts w:hint="eastAsia" w:asciiTheme="minorEastAsia" w:hAnsiTheme="minorEastAsia" w:eastAsiaTheme="minorEastAsia" w:cstheme="minorEastAsia"/>
                <w:color w:val="auto"/>
                <w:kern w:val="2"/>
                <w:szCs w:val="21"/>
                <w:highlight w:val="none"/>
              </w:rPr>
              <w:t>分</w:t>
            </w:r>
          </w:p>
        </w:tc>
        <w:tc>
          <w:tcPr>
            <w:tcW w:w="5678"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对投标人所投产品功能响应程度，自动化控制程度、技术先进性等整体性能，以及易维护性进行评审，按优</w:t>
            </w:r>
            <w:r>
              <w:rPr>
                <w:rFonts w:hint="eastAsia" w:asciiTheme="minorEastAsia" w:hAnsiTheme="minorEastAsia" w:eastAsiaTheme="minorEastAsia" w:cstheme="minorEastAsia"/>
                <w:color w:val="auto"/>
                <w:kern w:val="2"/>
                <w:szCs w:val="21"/>
                <w:highlight w:val="none"/>
                <w:shd w:val="clear" w:color="auto" w:fill="FFFFFF"/>
                <w:lang w:val="en-US" w:eastAsia="zh-CN"/>
              </w:rPr>
              <w:t>6</w:t>
            </w:r>
            <w:r>
              <w:rPr>
                <w:rFonts w:hint="eastAsia" w:asciiTheme="minorEastAsia" w:hAnsiTheme="minorEastAsia" w:eastAsiaTheme="minorEastAsia" w:cstheme="minorEastAsia"/>
                <w:color w:val="auto"/>
                <w:kern w:val="2"/>
                <w:szCs w:val="21"/>
                <w:highlight w:val="none"/>
                <w:shd w:val="clear" w:color="auto" w:fill="FFFFFF"/>
                <w:lang w:val="zh-CN"/>
              </w:rPr>
              <w:t xml:space="preserve"> 分、良4分，中2分，差1分进行评审。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1"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3</w:t>
            </w:r>
          </w:p>
        </w:tc>
        <w:tc>
          <w:tcPr>
            <w:tcW w:w="130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bCs/>
                <w:color w:val="auto"/>
                <w:kern w:val="2"/>
                <w:szCs w:val="21"/>
                <w:highlight w:val="none"/>
              </w:rPr>
              <w:t>人员配备情况</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rPr>
              <w:t>2</w:t>
            </w:r>
            <w:r>
              <w:rPr>
                <w:rFonts w:hint="eastAsia" w:asciiTheme="minorEastAsia" w:hAnsiTheme="minorEastAsia" w:eastAsiaTheme="minorEastAsia" w:cstheme="minorEastAsia"/>
                <w:color w:val="auto"/>
                <w:kern w:val="2"/>
                <w:szCs w:val="21"/>
                <w:highlight w:val="none"/>
              </w:rPr>
              <w:t>分</w:t>
            </w:r>
          </w:p>
        </w:tc>
        <w:tc>
          <w:tcPr>
            <w:tcW w:w="5678"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根据投标人企业人员实力情况进行评审：</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①</w:t>
            </w:r>
            <w:r>
              <w:rPr>
                <w:rFonts w:hint="eastAsia" w:asciiTheme="minorEastAsia" w:hAnsiTheme="minorEastAsia" w:eastAsiaTheme="minorEastAsia" w:cstheme="minorEastAsia"/>
                <w:color w:val="auto"/>
                <w:kern w:val="2"/>
                <w:szCs w:val="21"/>
                <w:highlight w:val="none"/>
                <w:shd w:val="clear" w:color="auto" w:fill="FFFFFF"/>
              </w:rPr>
              <w:t>拟派本项目</w:t>
            </w:r>
            <w:r>
              <w:rPr>
                <w:rFonts w:hint="eastAsia" w:asciiTheme="minorEastAsia" w:hAnsiTheme="minorEastAsia" w:eastAsiaTheme="minorEastAsia" w:cstheme="minorEastAsia"/>
                <w:color w:val="auto"/>
                <w:kern w:val="2"/>
                <w:szCs w:val="21"/>
                <w:highlight w:val="none"/>
                <w:shd w:val="clear" w:color="auto" w:fill="FFFFFF"/>
                <w:lang w:val="zh-CN"/>
              </w:rPr>
              <w:t>项目经理（</w:t>
            </w:r>
            <w:r>
              <w:rPr>
                <w:rFonts w:hint="eastAsia" w:asciiTheme="minorEastAsia" w:hAnsiTheme="minorEastAsia" w:eastAsiaTheme="minorEastAsia" w:cstheme="minorEastAsia"/>
                <w:color w:val="auto"/>
                <w:kern w:val="2"/>
                <w:szCs w:val="21"/>
                <w:highlight w:val="none"/>
                <w:shd w:val="clear" w:color="auto" w:fill="FFFFFF"/>
              </w:rPr>
              <w:t>或项目</w:t>
            </w:r>
            <w:r>
              <w:rPr>
                <w:rFonts w:hint="eastAsia" w:asciiTheme="minorEastAsia" w:hAnsiTheme="minorEastAsia" w:eastAsiaTheme="minorEastAsia" w:cstheme="minorEastAsia"/>
                <w:color w:val="auto"/>
                <w:kern w:val="2"/>
                <w:szCs w:val="21"/>
                <w:highlight w:val="none"/>
                <w:shd w:val="clear" w:color="auto" w:fill="FFFFFF"/>
                <w:lang w:val="zh-CN"/>
              </w:rPr>
              <w:t>负责人）具有（</w:t>
            </w:r>
            <w:r>
              <w:rPr>
                <w:rFonts w:hint="eastAsia" w:asciiTheme="minorEastAsia" w:hAnsiTheme="minorEastAsia" w:eastAsiaTheme="minorEastAsia" w:cstheme="minorEastAsia"/>
                <w:color w:val="auto"/>
                <w:kern w:val="2"/>
                <w:szCs w:val="21"/>
                <w:highlight w:val="none"/>
                <w:shd w:val="clear" w:color="auto" w:fill="FFFFFF"/>
              </w:rPr>
              <w:t>环保类）中级或以上职称</w:t>
            </w:r>
            <w:r>
              <w:rPr>
                <w:rFonts w:hint="eastAsia" w:asciiTheme="minorEastAsia" w:hAnsiTheme="minorEastAsia" w:eastAsiaTheme="minorEastAsia" w:cstheme="minorEastAsia"/>
                <w:color w:val="auto"/>
                <w:kern w:val="2"/>
                <w:szCs w:val="21"/>
                <w:highlight w:val="none"/>
                <w:shd w:val="clear" w:color="auto" w:fill="FFFFFF"/>
                <w:lang w:val="zh-CN"/>
              </w:rPr>
              <w:t>的得</w:t>
            </w:r>
            <w:r>
              <w:rPr>
                <w:rFonts w:hint="eastAsia" w:asciiTheme="minorEastAsia" w:hAnsiTheme="minorEastAsia" w:eastAsiaTheme="minorEastAsia" w:cstheme="minorEastAsia"/>
                <w:color w:val="auto"/>
                <w:kern w:val="2"/>
                <w:szCs w:val="21"/>
                <w:highlight w:val="none"/>
                <w:shd w:val="clear" w:color="auto" w:fill="FFFFFF"/>
                <w:lang w:val="en-US" w:eastAsia="zh-CN"/>
              </w:rPr>
              <w:t>1</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②</w:t>
            </w:r>
            <w:r>
              <w:rPr>
                <w:rFonts w:hint="eastAsia" w:asciiTheme="minorEastAsia" w:hAnsiTheme="minorEastAsia" w:eastAsiaTheme="minorEastAsia" w:cstheme="minorEastAsia"/>
                <w:color w:val="auto"/>
                <w:kern w:val="2"/>
                <w:szCs w:val="21"/>
                <w:highlight w:val="none"/>
                <w:shd w:val="clear" w:color="auto" w:fill="FFFFFF"/>
              </w:rPr>
              <w:t>拟派本项目的其它现场管理或安装人员，</w:t>
            </w:r>
            <w:r>
              <w:rPr>
                <w:rFonts w:hint="eastAsia" w:asciiTheme="minorEastAsia" w:hAnsiTheme="minorEastAsia" w:eastAsiaTheme="minorEastAsia" w:cstheme="minorEastAsia"/>
                <w:color w:val="auto"/>
                <w:kern w:val="2"/>
                <w:szCs w:val="21"/>
                <w:highlight w:val="none"/>
                <w:shd w:val="clear" w:color="auto" w:fill="FFFFFF"/>
                <w:lang w:val="zh-CN"/>
              </w:rPr>
              <w:t>具有（市政</w:t>
            </w:r>
            <w:r>
              <w:rPr>
                <w:rFonts w:hint="eastAsia" w:asciiTheme="minorEastAsia" w:hAnsiTheme="minorEastAsia" w:eastAsiaTheme="minorEastAsia" w:cstheme="minorEastAsia"/>
                <w:color w:val="auto"/>
                <w:kern w:val="2"/>
                <w:szCs w:val="21"/>
                <w:highlight w:val="none"/>
                <w:shd w:val="clear" w:color="auto" w:fill="FFFFFF"/>
              </w:rPr>
              <w:t>或机电类专业</w:t>
            </w:r>
            <w:r>
              <w:rPr>
                <w:rFonts w:hint="eastAsia" w:asciiTheme="minorEastAsia" w:hAnsiTheme="minorEastAsia" w:eastAsiaTheme="minorEastAsia" w:cstheme="minorEastAsia"/>
                <w:color w:val="auto"/>
                <w:kern w:val="2"/>
                <w:szCs w:val="21"/>
                <w:highlight w:val="none"/>
                <w:shd w:val="clear" w:color="auto" w:fill="FFFFFF"/>
                <w:lang w:val="zh-CN"/>
              </w:rPr>
              <w:t>）</w:t>
            </w:r>
            <w:r>
              <w:rPr>
                <w:rFonts w:hint="eastAsia" w:asciiTheme="minorEastAsia" w:hAnsiTheme="minorEastAsia" w:eastAsiaTheme="minorEastAsia" w:cstheme="minorEastAsia"/>
                <w:color w:val="auto"/>
                <w:kern w:val="2"/>
                <w:szCs w:val="21"/>
                <w:highlight w:val="none"/>
                <w:shd w:val="clear" w:color="auto" w:fill="FFFFFF"/>
              </w:rPr>
              <w:t>的</w:t>
            </w:r>
            <w:r>
              <w:rPr>
                <w:rFonts w:hint="eastAsia" w:asciiTheme="minorEastAsia" w:hAnsiTheme="minorEastAsia" w:eastAsiaTheme="minorEastAsia" w:cstheme="minorEastAsia"/>
                <w:color w:val="auto"/>
                <w:kern w:val="2"/>
                <w:szCs w:val="21"/>
                <w:highlight w:val="none"/>
                <w:shd w:val="clear" w:color="auto" w:fill="FFFFFF"/>
                <w:lang w:val="zh-CN"/>
              </w:rPr>
              <w:t>工程师或以上职称</w:t>
            </w:r>
            <w:r>
              <w:rPr>
                <w:rFonts w:hint="eastAsia" w:asciiTheme="minorEastAsia" w:hAnsiTheme="minorEastAsia" w:eastAsiaTheme="minorEastAsia" w:cstheme="minorEastAsia"/>
                <w:color w:val="auto"/>
                <w:kern w:val="2"/>
                <w:szCs w:val="21"/>
                <w:highlight w:val="none"/>
                <w:shd w:val="clear" w:color="auto" w:fill="FFFFFF"/>
              </w:rPr>
              <w:t>或</w:t>
            </w:r>
            <w:r>
              <w:rPr>
                <w:rFonts w:hint="eastAsia" w:asciiTheme="minorEastAsia" w:hAnsiTheme="minorEastAsia" w:eastAsiaTheme="minorEastAsia" w:cstheme="minorEastAsia"/>
                <w:color w:val="auto"/>
                <w:kern w:val="2"/>
                <w:szCs w:val="21"/>
                <w:highlight w:val="none"/>
                <w:shd w:val="clear" w:color="auto" w:fill="FFFFFF"/>
                <w:lang w:val="zh-CN"/>
              </w:rPr>
              <w:t>二级</w:t>
            </w:r>
            <w:r>
              <w:rPr>
                <w:rFonts w:hint="eastAsia" w:asciiTheme="minorEastAsia" w:hAnsiTheme="minorEastAsia" w:eastAsiaTheme="minorEastAsia" w:cstheme="minorEastAsia"/>
                <w:color w:val="auto"/>
                <w:kern w:val="2"/>
                <w:szCs w:val="21"/>
                <w:highlight w:val="none"/>
                <w:shd w:val="clear" w:color="auto" w:fill="FFFFFF"/>
              </w:rPr>
              <w:t>或以上</w:t>
            </w:r>
            <w:r>
              <w:rPr>
                <w:rFonts w:hint="eastAsia" w:asciiTheme="minorEastAsia" w:hAnsiTheme="minorEastAsia" w:eastAsiaTheme="minorEastAsia" w:cstheme="minorEastAsia"/>
                <w:color w:val="auto"/>
                <w:kern w:val="2"/>
                <w:szCs w:val="21"/>
                <w:highlight w:val="none"/>
                <w:shd w:val="clear" w:color="auto" w:fill="FFFFFF"/>
                <w:lang w:val="zh-CN"/>
              </w:rPr>
              <w:t>建造师证书的每个得</w:t>
            </w:r>
            <w:r>
              <w:rPr>
                <w:rFonts w:hint="eastAsia" w:asciiTheme="minorEastAsia" w:hAnsiTheme="minorEastAsia" w:eastAsiaTheme="minorEastAsia" w:cstheme="minorEastAsia"/>
                <w:color w:val="auto"/>
                <w:kern w:val="2"/>
                <w:szCs w:val="21"/>
                <w:highlight w:val="none"/>
                <w:shd w:val="clear" w:color="auto" w:fill="FFFFFF"/>
                <w:lang w:val="en-US" w:eastAsia="zh-CN"/>
              </w:rPr>
              <w:t>0.5</w:t>
            </w:r>
            <w:r>
              <w:rPr>
                <w:rFonts w:hint="eastAsia" w:asciiTheme="minorEastAsia" w:hAnsiTheme="minorEastAsia" w:eastAsiaTheme="minorEastAsia" w:cstheme="minorEastAsia"/>
                <w:color w:val="auto"/>
                <w:kern w:val="2"/>
                <w:szCs w:val="21"/>
                <w:highlight w:val="none"/>
                <w:shd w:val="clear" w:color="auto" w:fill="FFFFFF"/>
                <w:lang w:val="zh-CN"/>
              </w:rPr>
              <w:t>分，最高得</w:t>
            </w:r>
            <w:r>
              <w:rPr>
                <w:rFonts w:hint="eastAsia" w:asciiTheme="minorEastAsia" w:hAnsiTheme="minorEastAsia" w:eastAsiaTheme="minorEastAsia" w:cstheme="minorEastAsia"/>
                <w:color w:val="auto"/>
                <w:kern w:val="2"/>
                <w:szCs w:val="21"/>
                <w:highlight w:val="none"/>
                <w:shd w:val="clear" w:color="auto" w:fill="FFFFFF"/>
                <w:lang w:val="en-US" w:eastAsia="zh-CN"/>
              </w:rPr>
              <w:t>1</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本项最高</w:t>
            </w:r>
            <w:r>
              <w:rPr>
                <w:rFonts w:hint="eastAsia" w:asciiTheme="minorEastAsia" w:hAnsiTheme="minorEastAsia" w:eastAsiaTheme="minorEastAsia" w:cstheme="minorEastAsia"/>
                <w:color w:val="auto"/>
                <w:kern w:val="2"/>
                <w:szCs w:val="21"/>
                <w:highlight w:val="none"/>
                <w:shd w:val="clear" w:color="auto" w:fill="FFFFFF"/>
                <w:lang w:val="en-US" w:eastAsia="zh-CN"/>
              </w:rPr>
              <w:t>2</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snapToGri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shd w:val="clear" w:color="auto" w:fill="FFFFFF"/>
                <w:lang w:val="zh-CN"/>
              </w:rPr>
              <w:t>注：提供人员证书与所在企业近半年内的连续三个月的社保证明加盖投标人公章。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4</w:t>
            </w:r>
          </w:p>
        </w:tc>
        <w:tc>
          <w:tcPr>
            <w:tcW w:w="1307"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rPr>
              <w:t>售后服务综合评价</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分</w:t>
            </w:r>
          </w:p>
        </w:tc>
        <w:tc>
          <w:tcPr>
            <w:tcW w:w="5678"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lang w:val="zh-CN"/>
              </w:rPr>
              <w:t>根据</w:t>
            </w:r>
            <w:r>
              <w:rPr>
                <w:rFonts w:hint="eastAsia" w:asciiTheme="minorEastAsia" w:hAnsiTheme="minorEastAsia" w:eastAsiaTheme="minorEastAsia" w:cstheme="minorEastAsia"/>
                <w:color w:val="auto"/>
                <w:kern w:val="2"/>
                <w:szCs w:val="21"/>
                <w:highlight w:val="none"/>
                <w:shd w:val="clear" w:color="auto" w:fill="FFFFFF"/>
              </w:rPr>
              <w:t>投标人</w:t>
            </w:r>
            <w:r>
              <w:rPr>
                <w:rFonts w:hint="eastAsia" w:asciiTheme="minorEastAsia" w:hAnsiTheme="minorEastAsia" w:eastAsiaTheme="minorEastAsia" w:cstheme="minorEastAsia"/>
                <w:color w:val="auto"/>
                <w:kern w:val="2"/>
                <w:szCs w:val="21"/>
                <w:highlight w:val="none"/>
                <w:shd w:val="clear" w:color="auto" w:fill="FFFFFF"/>
                <w:lang w:val="zh-CN"/>
              </w:rPr>
              <w:t>售后/后续服务（包括1.制造商为该项目提供的技术支持、2.维护服务、3.培训计划等）进行综合评审：</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rPr>
              <w:t>投标人或投标产品制造商</w:t>
            </w:r>
            <w:r>
              <w:rPr>
                <w:rFonts w:hint="eastAsia" w:asciiTheme="minorEastAsia" w:hAnsiTheme="minorEastAsia" w:eastAsiaTheme="minorEastAsia" w:cstheme="minorEastAsia"/>
                <w:color w:val="auto"/>
                <w:kern w:val="2"/>
                <w:szCs w:val="21"/>
                <w:highlight w:val="none"/>
                <w:shd w:val="clear" w:color="auto" w:fill="FFFFFF"/>
                <w:lang w:val="zh-CN"/>
              </w:rPr>
              <w:t>提供的售后服务方案内容全面完整（包含上述3种方案）、制造商的技术支持全面合理、维护服务详细全面、培训计划详细合理，得</w:t>
            </w:r>
            <w:r>
              <w:rPr>
                <w:rFonts w:hint="eastAsia" w:asciiTheme="minorEastAsia" w:hAnsiTheme="minorEastAsia" w:eastAsiaTheme="minorEastAsia" w:cstheme="minorEastAsia"/>
                <w:color w:val="auto"/>
                <w:kern w:val="2"/>
                <w:szCs w:val="21"/>
                <w:highlight w:val="none"/>
                <w:shd w:val="clear" w:color="auto" w:fill="FFFFFF"/>
                <w:lang w:val="en-US" w:eastAsia="zh-CN"/>
              </w:rPr>
              <w:t>2</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rPr>
              <w:t>投标人或投标产品制造商</w:t>
            </w:r>
            <w:r>
              <w:rPr>
                <w:rFonts w:hint="eastAsia" w:asciiTheme="minorEastAsia" w:hAnsiTheme="minorEastAsia" w:eastAsiaTheme="minorEastAsia" w:cstheme="minorEastAsia"/>
                <w:color w:val="auto"/>
                <w:kern w:val="2"/>
                <w:szCs w:val="21"/>
                <w:highlight w:val="none"/>
                <w:shd w:val="clear" w:color="auto" w:fill="FFFFFF"/>
                <w:lang w:val="zh-CN"/>
              </w:rPr>
              <w:t>提供的售后服务方案内容完整（至少包含上述2种方案）、制造商的技术支持合理、维护服务全面、培训计划合理，得</w:t>
            </w:r>
            <w:r>
              <w:rPr>
                <w:rFonts w:hint="eastAsia" w:asciiTheme="minorEastAsia" w:hAnsiTheme="minorEastAsia" w:eastAsiaTheme="minorEastAsia" w:cstheme="minorEastAsia"/>
                <w:color w:val="auto"/>
                <w:kern w:val="2"/>
                <w:szCs w:val="21"/>
                <w:highlight w:val="none"/>
                <w:shd w:val="clear" w:color="auto" w:fill="FFFFFF"/>
                <w:lang w:val="en-US" w:eastAsia="zh-CN"/>
              </w:rPr>
              <w:t>1</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rPr>
              <w:t>投标人或投标产品制造商</w:t>
            </w:r>
            <w:r>
              <w:rPr>
                <w:rFonts w:hint="eastAsia" w:asciiTheme="minorEastAsia" w:hAnsiTheme="minorEastAsia" w:eastAsiaTheme="minorEastAsia" w:cstheme="minorEastAsia"/>
                <w:color w:val="auto"/>
                <w:kern w:val="2"/>
                <w:szCs w:val="21"/>
                <w:highlight w:val="none"/>
                <w:shd w:val="clear" w:color="auto" w:fill="FFFFFF"/>
                <w:lang w:val="zh-CN"/>
              </w:rPr>
              <w:t>提供的售后服务方案内容基本完整（至少包含上述1种方案）、制造商的技术支持一般、维护服务一般、培训计划差，得</w:t>
            </w:r>
            <w:r>
              <w:rPr>
                <w:rFonts w:hint="eastAsia" w:asciiTheme="minorEastAsia" w:hAnsiTheme="minorEastAsia" w:eastAsiaTheme="minorEastAsia" w:cstheme="minorEastAsia"/>
                <w:color w:val="auto"/>
                <w:kern w:val="2"/>
                <w:szCs w:val="21"/>
                <w:highlight w:val="none"/>
                <w:shd w:val="clear" w:color="auto" w:fill="FFFFFF"/>
                <w:lang w:val="en-US" w:eastAsia="zh-CN"/>
              </w:rPr>
              <w:t>0.5</w:t>
            </w:r>
            <w:r>
              <w:rPr>
                <w:rFonts w:hint="eastAsia" w:asciiTheme="minorEastAsia" w:hAnsiTheme="minorEastAsia" w:eastAsiaTheme="minorEastAsia" w:cstheme="minorEastAsia"/>
                <w:color w:val="auto"/>
                <w:kern w:val="2"/>
                <w:szCs w:val="21"/>
                <w:highlight w:val="none"/>
                <w:shd w:val="clear" w:color="auto" w:fill="FFFFFF"/>
                <w:lang w:val="zh-CN"/>
              </w:rPr>
              <w:t>分；</w:t>
            </w:r>
          </w:p>
          <w:p>
            <w:pPr>
              <w:widowControl w:val="0"/>
              <w:adjustRightInd/>
              <w:snapToGri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shd w:val="clear" w:color="auto" w:fill="FFFFFF"/>
                <w:lang w:val="zh-CN"/>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2"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5</w:t>
            </w:r>
          </w:p>
        </w:tc>
        <w:tc>
          <w:tcPr>
            <w:tcW w:w="1307"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shd w:val="clear" w:color="auto" w:fill="FFFFFF"/>
              </w:rPr>
              <w:t>设备安全性能</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分</w:t>
            </w:r>
          </w:p>
        </w:tc>
        <w:tc>
          <w:tcPr>
            <w:tcW w:w="5678"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根据所投设备安全性能（包括1.安全防护设计、2.安全措施、3.电控防护措施、4.安全配置、5.保养措施等）进行综合评审：</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投标人提供的设备安全性能内容全面完整（包含上述5种方案）、安全防护设计详细合理、安全措施详细合理、电控防护措施详细合理、安全配置全面合理、保养措施详细合理得</w:t>
            </w:r>
            <w:r>
              <w:rPr>
                <w:rFonts w:hint="eastAsia" w:asciiTheme="minorEastAsia" w:hAnsiTheme="minorEastAsia" w:eastAsiaTheme="minorEastAsia" w:cstheme="minorEastAsia"/>
                <w:color w:val="auto"/>
                <w:kern w:val="2"/>
                <w:szCs w:val="21"/>
                <w:highlight w:val="none"/>
                <w:shd w:val="clear" w:color="auto" w:fill="FFFFFF"/>
                <w:lang w:val="en-US" w:eastAsia="zh-CN"/>
              </w:rPr>
              <w:t>4</w:t>
            </w:r>
            <w:r>
              <w:rPr>
                <w:rFonts w:hint="eastAsia" w:asciiTheme="minorEastAsia" w:hAnsiTheme="minorEastAsia" w:eastAsiaTheme="minorEastAsia" w:cstheme="minorEastAsia"/>
                <w:color w:val="auto"/>
                <w:kern w:val="2"/>
                <w:szCs w:val="21"/>
                <w:highlight w:val="none"/>
                <w:shd w:val="clear" w:color="auto" w:fill="FFFFFF"/>
              </w:rPr>
              <w:t>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投标人提供的设备安全性能内容完整（至少包含上述3种方案）、安全防护设计合理、安全措施合理、电控防护措施合理、安全配置合理、保养措施合理，得2分；</w:t>
            </w:r>
          </w:p>
          <w:p>
            <w:pPr>
              <w:widowControl w:val="0"/>
              <w:adjustRightInd/>
              <w:snapToGri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投标人提供的设备安全性能内容不完整（上述方案不足2种）、安全防护设计差、安全措施差、电控防护措施差、安全配置差、保养措施差，得1分；</w:t>
            </w:r>
          </w:p>
          <w:p>
            <w:pPr>
              <w:widowControl w:val="0"/>
              <w:adjustRightInd/>
              <w:snapToGrid/>
              <w:spacing w:line="240" w:lineRule="auto"/>
              <w:jc w:val="left"/>
              <w:rPr>
                <w:rFonts w:hint="eastAsia" w:asciiTheme="minorEastAsia" w:hAnsiTheme="minorEastAsia" w:eastAsiaTheme="minorEastAsia" w:cstheme="minorEastAsia"/>
                <w:color w:val="auto"/>
                <w:kern w:val="2"/>
                <w:szCs w:val="21"/>
                <w:highlight w:val="none"/>
                <w:shd w:val="clear" w:color="auto" w:fill="FFFFFF"/>
                <w:lang w:val="zh-CN"/>
              </w:rPr>
            </w:pPr>
            <w:r>
              <w:rPr>
                <w:rFonts w:hint="eastAsia" w:asciiTheme="minorEastAsia" w:hAnsiTheme="minorEastAsia" w:eastAsiaTheme="minorEastAsia" w:cstheme="minorEastAsia"/>
                <w:color w:val="auto"/>
                <w:kern w:val="2"/>
                <w:szCs w:val="21"/>
                <w:highlight w:val="none"/>
                <w:shd w:val="clear" w:color="auto" w:fill="FFFFFF"/>
              </w:rPr>
              <w:t>未提供对应措施不得分。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2"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rPr>
              <w:t>6</w:t>
            </w:r>
          </w:p>
        </w:tc>
        <w:tc>
          <w:tcPr>
            <w:tcW w:w="1307"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质保期</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2分</w:t>
            </w:r>
          </w:p>
        </w:tc>
        <w:tc>
          <w:tcPr>
            <w:tcW w:w="5678"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jc w:val="left"/>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rPr>
              <w:t>投标人在响应用户需求规定不少于1年整体项目设备的免费质保期的基础上，每增加半年（6个月）的得0.5分，最高得2分。（投标人必须在投标文件上提供单独承诺函进行响应，不提供或不响应增加的均不得分。）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851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07"/>
              </w:tabs>
              <w:adjustRightInd/>
              <w:snapToGrid/>
              <w:ind w:firstLine="422" w:firstLineChars="200"/>
              <w:jc w:val="both"/>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注：</w:t>
            </w:r>
          </w:p>
          <w:p>
            <w:pPr>
              <w:tabs>
                <w:tab w:val="left" w:pos="907"/>
              </w:tabs>
              <w:adjustRightInd/>
              <w:snapToGrid/>
              <w:ind w:firstLine="422" w:firstLineChars="200"/>
              <w:jc w:val="both"/>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（1）无特殊说明外，以上评审项，同一证明文件不重复计分。</w:t>
            </w:r>
          </w:p>
          <w:p>
            <w:pPr>
              <w:tabs>
                <w:tab w:val="left" w:pos="907"/>
              </w:tabs>
              <w:adjustRightInd/>
              <w:snapToGrid/>
              <w:ind w:firstLine="422" w:firstLineChars="200"/>
              <w:jc w:val="both"/>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（2）投标人根据以上评分要求提供的投标材料因模糊不清导致评标委员会无法清晰辨认进行评审的，视为无效材料。</w:t>
            </w:r>
          </w:p>
          <w:p>
            <w:pPr>
              <w:widowControl w:val="0"/>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b/>
                <w:color w:val="auto"/>
                <w:szCs w:val="21"/>
                <w:highlight w:val="none"/>
              </w:rPr>
              <w:t>（3）若因疫情原因暂缓统一托收或阶段性减免社会保险费而导致无法打印社保缴费证明的需提供书面说明并加盖投标人公章。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jc w:val="center"/>
        </w:trPr>
        <w:tc>
          <w:tcPr>
            <w:tcW w:w="851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b/>
                <w:bCs/>
                <w:color w:val="auto"/>
                <w:kern w:val="2"/>
                <w:szCs w:val="21"/>
                <w:highlight w:val="none"/>
                <w:lang w:bidi="ar"/>
              </w:rPr>
              <w:t>价格评审（</w:t>
            </w:r>
            <w:r>
              <w:rPr>
                <w:rFonts w:hint="eastAsia" w:asciiTheme="minorEastAsia" w:hAnsiTheme="minorEastAsia" w:eastAsiaTheme="minorEastAsia" w:cstheme="minorEastAsia"/>
                <w:b/>
                <w:bCs/>
                <w:color w:val="auto"/>
                <w:kern w:val="2"/>
                <w:szCs w:val="21"/>
                <w:highlight w:val="none"/>
                <w:lang w:val="en-US" w:eastAsia="zh-CN" w:bidi="ar"/>
              </w:rPr>
              <w:t>6</w:t>
            </w:r>
            <w:r>
              <w:rPr>
                <w:rFonts w:hint="eastAsia" w:asciiTheme="minorEastAsia" w:hAnsiTheme="minorEastAsia" w:eastAsiaTheme="minorEastAsia" w:cstheme="minorEastAsia"/>
                <w:b/>
                <w:bCs/>
                <w:color w:val="auto"/>
                <w:kern w:val="2"/>
                <w:szCs w:val="21"/>
                <w:highlight w:val="none"/>
                <w:lang w:bidi="ar"/>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jc w:val="center"/>
        </w:trPr>
        <w:tc>
          <w:tcPr>
            <w:tcW w:w="7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49"/>
              <w:spacing w:line="360" w:lineRule="auto"/>
              <w:ind w:firstLine="0" w:firstLineChars="0"/>
              <w:jc w:val="center"/>
              <w:rPr>
                <w:rFonts w:asciiTheme="minorEastAsia" w:hAnsiTheme="minorEastAsia" w:eastAsiaTheme="minorEastAsia" w:cstheme="minorEastAsia"/>
                <w:bCs/>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1</w:t>
            </w:r>
          </w:p>
        </w:tc>
        <w:tc>
          <w:tcPr>
            <w:tcW w:w="1217" w:type="dxa"/>
            <w:gridSpan w:val="2"/>
            <w:tcBorders>
              <w:top w:val="single" w:color="auto" w:sz="4" w:space="0"/>
              <w:left w:val="nil"/>
              <w:bottom w:val="single" w:color="auto" w:sz="4" w:space="0"/>
              <w:right w:val="single" w:color="auto" w:sz="4" w:space="0"/>
            </w:tcBorders>
            <w:shd w:val="clear" w:color="auto" w:fill="auto"/>
            <w:vAlign w:val="center"/>
          </w:tcPr>
          <w:p>
            <w:pPr>
              <w:widowControl w:val="0"/>
              <w:adjustRightInd/>
              <w:snapToGrid/>
              <w:jc w:val="center"/>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color w:val="auto"/>
                <w:kern w:val="2"/>
                <w:szCs w:val="21"/>
                <w:highlight w:val="none"/>
              </w:rPr>
              <w:t>投标总价</w:t>
            </w:r>
          </w:p>
        </w:tc>
        <w:tc>
          <w:tcPr>
            <w:tcW w:w="6543" w:type="dxa"/>
            <w:gridSpan w:val="2"/>
            <w:tcBorders>
              <w:top w:val="single" w:color="auto" w:sz="4" w:space="0"/>
              <w:left w:val="nil"/>
              <w:bottom w:val="single" w:color="auto" w:sz="4" w:space="0"/>
              <w:right w:val="single" w:color="auto" w:sz="4" w:space="0"/>
            </w:tcBorders>
            <w:shd w:val="clear" w:color="auto" w:fill="auto"/>
            <w:vAlign w:val="center"/>
          </w:tcPr>
          <w:p>
            <w:pPr>
              <w:widowControl w:val="0"/>
              <w:adjustRightInd/>
              <w:snapToGrid/>
              <w:ind w:firstLine="420" w:firstLineChars="200"/>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价格分计算方法：满足采购文件要求且投标价格最低的投标报价为评标基准价，其价格分为满分。其他投标人的价格分统一按照下列公式计算：</w:t>
            </w:r>
          </w:p>
          <w:p>
            <w:pPr>
              <w:widowControl w:val="0"/>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color w:val="auto"/>
                <w:kern w:val="2"/>
                <w:szCs w:val="21"/>
                <w:highlight w:val="none"/>
                <w:lang w:val="zh-CN"/>
              </w:rPr>
              <w:t>投标报价得分=(评标基准价／投标报价)×价格权</w:t>
            </w:r>
            <w:r>
              <w:rPr>
                <w:rFonts w:hint="eastAsia" w:asciiTheme="minorEastAsia" w:hAnsiTheme="minorEastAsia" w:eastAsiaTheme="minorEastAsia" w:cstheme="minorEastAsia"/>
                <w:color w:val="auto"/>
                <w:kern w:val="2"/>
                <w:szCs w:val="21"/>
                <w:highlight w:val="none"/>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851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val="0"/>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color w:val="auto"/>
                <w:kern w:val="2"/>
                <w:szCs w:val="21"/>
                <w:highlight w:val="none"/>
                <w:lang w:val="zh-CN"/>
              </w:rPr>
              <w:t>投标人的最终评标得分=商务、技术综合得分+价格得分</w:t>
            </w:r>
          </w:p>
        </w:tc>
      </w:tr>
    </w:tbl>
    <w:p>
      <w:pPr>
        <w:ind w:firstLine="422" w:firstLineChars="200"/>
        <w:rPr>
          <w:b/>
          <w:bCs/>
          <w:color w:val="auto"/>
          <w:highlight w:val="none"/>
        </w:rPr>
      </w:pPr>
    </w:p>
    <w:p>
      <w:pPr>
        <w:widowControl w:val="0"/>
        <w:adjustRightInd/>
        <w:jc w:val="both"/>
        <w:rPr>
          <w:b/>
          <w:bCs/>
          <w:color w:val="auto"/>
          <w:highlight w:val="none"/>
        </w:rPr>
      </w:pPr>
      <w:r>
        <w:rPr>
          <w:rFonts w:hint="eastAsia"/>
          <w:b/>
          <w:bCs/>
          <w:color w:val="auto"/>
          <w:highlight w:val="none"/>
        </w:rPr>
        <w:t>注：评标委员会评委按评标标准独立对技术标进行评审，得出技术标评分。当评标委员会为五人时，在所有评委对同一份投标文件技术标评审的总评分中，去掉一个最高分和一个最低分，计算剩余总评分的算术平均值即为该投标人技术标的最终综合得分；当评标委员会为七人及以上单数时，在各评委的打分中，同一评委的最高评分减去最低评分，去掉分差最大评委的所有技术标评分（当一位或两位评委评分差值最大时均取消其评委评分，当多于两位评分差值均最大时，不取消任一评委评分），在所有剩余评委对同一份投标文件技术部分评审的总评分中，去掉一个最高分和一个最低分，计算剩余总评分的算术平均值即为该投标人技术部分的最终综合得分。</w:t>
      </w:r>
    </w:p>
    <w:p>
      <w:pPr>
        <w:numPr>
          <w:ilvl w:val="255"/>
          <w:numId w:val="0"/>
        </w:numPr>
        <w:adjustRightInd/>
        <w:snapToGrid/>
        <w:spacing w:line="240" w:lineRule="auto"/>
        <w:rPr>
          <w:b/>
          <w:bCs/>
          <w:color w:val="auto"/>
          <w:sz w:val="28"/>
          <w:szCs w:val="32"/>
          <w:highlight w:val="none"/>
        </w:rPr>
      </w:pPr>
      <w:r>
        <w:rPr>
          <w:rFonts w:hint="eastAsia"/>
          <w:b/>
          <w:bCs/>
          <w:color w:val="auto"/>
          <w:sz w:val="28"/>
          <w:szCs w:val="32"/>
          <w:highlight w:val="none"/>
        </w:rPr>
        <w:br w:type="page"/>
      </w:r>
    </w:p>
    <w:p>
      <w:pPr>
        <w:numPr>
          <w:ilvl w:val="255"/>
          <w:numId w:val="0"/>
        </w:numPr>
        <w:adjustRightInd/>
        <w:snapToGrid/>
        <w:spacing w:line="240" w:lineRule="auto"/>
        <w:ind w:firstLine="562" w:firstLineChars="200"/>
        <w:jc w:val="center"/>
        <w:rPr>
          <w:rFonts w:ascii="宋体" w:hAnsi="宋体" w:cs="宋体"/>
          <w:b/>
          <w:bCs/>
          <w:color w:val="auto"/>
          <w:kern w:val="2"/>
          <w:szCs w:val="21"/>
          <w:highlight w:val="none"/>
        </w:rPr>
      </w:pPr>
      <w:r>
        <w:rPr>
          <w:rFonts w:hint="eastAsia"/>
          <w:b/>
          <w:bCs/>
          <w:color w:val="auto"/>
          <w:sz w:val="28"/>
          <w:szCs w:val="32"/>
          <w:highlight w:val="none"/>
        </w:rPr>
        <w:t>D包：厨余处理系统采购及安装</w:t>
      </w:r>
    </w:p>
    <w:p>
      <w:pPr>
        <w:numPr>
          <w:ilvl w:val="255"/>
          <w:numId w:val="0"/>
        </w:numPr>
        <w:adjustRightInd/>
        <w:snapToGrid/>
        <w:spacing w:line="240" w:lineRule="auto"/>
        <w:ind w:firstLine="422" w:firstLineChars="200"/>
        <w:jc w:val="center"/>
        <w:rPr>
          <w:rFonts w:ascii="宋体" w:hAnsi="宋体" w:cs="宋体"/>
          <w:b/>
          <w:bCs/>
          <w:color w:val="auto"/>
          <w:kern w:val="2"/>
          <w:szCs w:val="21"/>
          <w:highlight w:val="none"/>
        </w:rPr>
      </w:pPr>
      <w:r>
        <w:rPr>
          <w:rFonts w:ascii="宋体" w:hAnsi="宋体" w:cs="宋体"/>
          <w:b/>
          <w:bCs/>
          <w:color w:val="auto"/>
          <w:kern w:val="2"/>
          <w:szCs w:val="21"/>
          <w:highlight w:val="none"/>
        </w:rPr>
        <w:t>满分100分，其中价格部分占</w:t>
      </w:r>
      <w:r>
        <w:rPr>
          <w:rFonts w:hint="eastAsia" w:ascii="宋体" w:hAnsi="宋体" w:cs="宋体"/>
          <w:b/>
          <w:bCs/>
          <w:color w:val="auto"/>
          <w:kern w:val="2"/>
          <w:szCs w:val="21"/>
          <w:highlight w:val="none"/>
          <w:lang w:val="en-US" w:eastAsia="zh-CN"/>
        </w:rPr>
        <w:t>6</w:t>
      </w:r>
      <w:r>
        <w:rPr>
          <w:rFonts w:hint="eastAsia" w:ascii="宋体" w:hAnsi="宋体" w:cs="宋体"/>
          <w:b/>
          <w:bCs/>
          <w:color w:val="auto"/>
          <w:kern w:val="2"/>
          <w:szCs w:val="21"/>
          <w:highlight w:val="none"/>
        </w:rPr>
        <w:t>0</w:t>
      </w:r>
      <w:r>
        <w:rPr>
          <w:rFonts w:ascii="宋体" w:hAnsi="宋体" w:cs="宋体"/>
          <w:b/>
          <w:bCs/>
          <w:color w:val="auto"/>
          <w:kern w:val="2"/>
          <w:szCs w:val="21"/>
          <w:highlight w:val="none"/>
        </w:rPr>
        <w:t>分，商务部分占</w:t>
      </w:r>
      <w:r>
        <w:rPr>
          <w:rFonts w:hint="eastAsia" w:ascii="宋体" w:hAnsi="宋体" w:cs="宋体"/>
          <w:b/>
          <w:bCs/>
          <w:color w:val="auto"/>
          <w:kern w:val="2"/>
          <w:szCs w:val="21"/>
          <w:highlight w:val="none"/>
        </w:rPr>
        <w:t>2</w:t>
      </w:r>
      <w:r>
        <w:rPr>
          <w:rFonts w:hint="eastAsia" w:ascii="宋体" w:hAnsi="宋体" w:cs="宋体"/>
          <w:b/>
          <w:bCs/>
          <w:color w:val="auto"/>
          <w:kern w:val="2"/>
          <w:szCs w:val="21"/>
          <w:highlight w:val="none"/>
          <w:lang w:val="en-US" w:eastAsia="zh-CN"/>
        </w:rPr>
        <w:t>0</w:t>
      </w:r>
      <w:r>
        <w:rPr>
          <w:rFonts w:ascii="宋体" w:hAnsi="宋体" w:cs="宋体"/>
          <w:b/>
          <w:bCs/>
          <w:color w:val="auto"/>
          <w:kern w:val="2"/>
          <w:szCs w:val="21"/>
          <w:highlight w:val="none"/>
        </w:rPr>
        <w:t>分，技术部分占</w:t>
      </w:r>
      <w:r>
        <w:rPr>
          <w:rFonts w:hint="eastAsia" w:ascii="宋体" w:hAnsi="宋体" w:cs="宋体"/>
          <w:b/>
          <w:bCs/>
          <w:color w:val="auto"/>
          <w:kern w:val="2"/>
          <w:szCs w:val="21"/>
          <w:highlight w:val="none"/>
        </w:rPr>
        <w:t>2</w:t>
      </w:r>
      <w:r>
        <w:rPr>
          <w:rFonts w:hint="eastAsia" w:ascii="宋体" w:hAnsi="宋体" w:cs="宋体"/>
          <w:b/>
          <w:bCs/>
          <w:color w:val="auto"/>
          <w:kern w:val="2"/>
          <w:szCs w:val="21"/>
          <w:highlight w:val="none"/>
          <w:lang w:val="en-US" w:eastAsia="zh-CN"/>
        </w:rPr>
        <w:t>0</w:t>
      </w:r>
      <w:r>
        <w:rPr>
          <w:rFonts w:ascii="宋体" w:hAnsi="宋体" w:cs="宋体"/>
          <w:b/>
          <w:bCs/>
          <w:color w:val="auto"/>
          <w:kern w:val="2"/>
          <w:szCs w:val="21"/>
          <w:highlight w:val="none"/>
        </w:rPr>
        <w:t>分。</w:t>
      </w:r>
    </w:p>
    <w:tbl>
      <w:tblPr>
        <w:tblStyle w:val="34"/>
        <w:tblW w:w="79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37"/>
        <w:gridCol w:w="804"/>
        <w:gridCol w:w="5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序号</w:t>
            </w:r>
          </w:p>
        </w:tc>
        <w:tc>
          <w:tcPr>
            <w:tcW w:w="1137"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评分内容</w:t>
            </w:r>
          </w:p>
        </w:tc>
        <w:tc>
          <w:tcPr>
            <w:tcW w:w="804"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分值</w:t>
            </w:r>
          </w:p>
        </w:tc>
        <w:tc>
          <w:tcPr>
            <w:tcW w:w="5310"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795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b/>
                <w:bCs/>
                <w:color w:val="auto"/>
                <w:kern w:val="2"/>
                <w:szCs w:val="21"/>
                <w:highlight w:val="none"/>
                <w:lang w:bidi="ar"/>
              </w:rPr>
              <w:t>商务评分细则（合计2</w:t>
            </w:r>
            <w:r>
              <w:rPr>
                <w:rFonts w:hint="eastAsia" w:asciiTheme="minorEastAsia" w:hAnsiTheme="minorEastAsia" w:eastAsiaTheme="minorEastAsia" w:cstheme="minorEastAsia"/>
                <w:b/>
                <w:bCs/>
                <w:color w:val="auto"/>
                <w:kern w:val="2"/>
                <w:szCs w:val="21"/>
                <w:highlight w:val="none"/>
                <w:lang w:val="en-US" w:eastAsia="zh-CN" w:bidi="ar"/>
              </w:rPr>
              <w:t>0</w:t>
            </w:r>
            <w:r>
              <w:rPr>
                <w:rFonts w:hint="eastAsia" w:asciiTheme="minorEastAsia" w:hAnsiTheme="minorEastAsia" w:eastAsiaTheme="minorEastAsia" w:cstheme="minorEastAsia"/>
                <w:b/>
                <w:bCs/>
                <w:color w:val="auto"/>
                <w:kern w:val="2"/>
                <w:szCs w:val="21"/>
                <w:highlight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5"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1</w:t>
            </w:r>
          </w:p>
        </w:tc>
        <w:tc>
          <w:tcPr>
            <w:tcW w:w="1137" w:type="dxa"/>
            <w:tcBorders>
              <w:top w:val="single" w:color="auto" w:sz="4" w:space="0"/>
              <w:left w:val="nil"/>
              <w:bottom w:val="single" w:color="auto" w:sz="4" w:space="0"/>
              <w:right w:val="single" w:color="auto" w:sz="4" w:space="0"/>
            </w:tcBorders>
            <w:shd w:val="clear" w:color="auto" w:fill="auto"/>
            <w:vAlign w:val="center"/>
          </w:tcPr>
          <w:p>
            <w:pPr>
              <w:widowControl w:val="0"/>
              <w:adjustRightInd/>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zh-CN"/>
              </w:rPr>
              <w:t>财务状况</w:t>
            </w:r>
          </w:p>
        </w:tc>
        <w:tc>
          <w:tcPr>
            <w:tcW w:w="804" w:type="dxa"/>
            <w:tcBorders>
              <w:top w:val="single" w:color="auto" w:sz="4" w:space="0"/>
              <w:left w:val="nil"/>
              <w:bottom w:val="single" w:color="auto" w:sz="4" w:space="0"/>
              <w:right w:val="single" w:color="auto" w:sz="4" w:space="0"/>
            </w:tcBorders>
            <w:shd w:val="clear" w:color="auto" w:fill="auto"/>
            <w:vAlign w:val="center"/>
          </w:tcPr>
          <w:p>
            <w:pPr>
              <w:widowControl w:val="0"/>
              <w:adjustRightInd/>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rPr>
              <w:t>2</w:t>
            </w:r>
            <w:r>
              <w:rPr>
                <w:rFonts w:hint="eastAsia" w:asciiTheme="minorEastAsia" w:hAnsiTheme="minorEastAsia" w:eastAsiaTheme="minorEastAsia" w:cstheme="minorEastAsia"/>
                <w:color w:val="auto"/>
                <w:kern w:val="2"/>
                <w:szCs w:val="21"/>
                <w:highlight w:val="none"/>
                <w:lang w:val="zh-CN"/>
              </w:rPr>
              <w:t>分</w:t>
            </w:r>
          </w:p>
        </w:tc>
        <w:tc>
          <w:tcPr>
            <w:tcW w:w="5310" w:type="dxa"/>
            <w:tcBorders>
              <w:top w:val="single" w:color="auto" w:sz="4" w:space="0"/>
              <w:left w:val="nil"/>
              <w:bottom w:val="single" w:color="auto" w:sz="4" w:space="0"/>
              <w:right w:val="single" w:color="auto" w:sz="4" w:space="0"/>
            </w:tcBorders>
            <w:shd w:val="clear" w:color="auto" w:fill="auto"/>
            <w:vAlign w:val="center"/>
          </w:tcPr>
          <w:p>
            <w:pPr>
              <w:widowControl w:val="0"/>
              <w:adjustRightInd/>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根据投标人2020年</w:t>
            </w:r>
            <w:r>
              <w:rPr>
                <w:rFonts w:hint="eastAsia" w:asciiTheme="minorEastAsia" w:hAnsiTheme="minorEastAsia" w:eastAsiaTheme="minorEastAsia" w:cstheme="minorEastAsia"/>
                <w:color w:val="auto"/>
                <w:kern w:val="2"/>
                <w:szCs w:val="21"/>
                <w:highlight w:val="none"/>
              </w:rPr>
              <w:t>1月1日</w:t>
            </w:r>
            <w:r>
              <w:rPr>
                <w:rFonts w:hint="eastAsia" w:asciiTheme="minorEastAsia" w:hAnsiTheme="minorEastAsia" w:eastAsiaTheme="minorEastAsia" w:cstheme="minorEastAsia"/>
                <w:color w:val="auto"/>
                <w:kern w:val="2"/>
                <w:szCs w:val="21"/>
                <w:highlight w:val="none"/>
                <w:lang w:val="zh-CN"/>
              </w:rPr>
              <w:t>至今的财务状况进行评价，连续3年盈利得</w:t>
            </w:r>
            <w:r>
              <w:rPr>
                <w:rFonts w:hint="eastAsia" w:asciiTheme="minorEastAsia" w:hAnsiTheme="minorEastAsia" w:eastAsiaTheme="minorEastAsia" w:cstheme="minorEastAsia"/>
                <w:color w:val="auto"/>
                <w:kern w:val="2"/>
                <w:szCs w:val="21"/>
                <w:highlight w:val="none"/>
                <w:lang w:val="en-US" w:eastAsia="zh-CN"/>
              </w:rPr>
              <w:t>2</w:t>
            </w:r>
            <w:r>
              <w:rPr>
                <w:rFonts w:hint="eastAsia" w:asciiTheme="minorEastAsia" w:hAnsiTheme="minorEastAsia" w:eastAsiaTheme="minorEastAsia" w:cstheme="minorEastAsia"/>
                <w:color w:val="auto"/>
                <w:kern w:val="2"/>
                <w:szCs w:val="21"/>
                <w:highlight w:val="none"/>
                <w:lang w:val="zh-CN"/>
              </w:rPr>
              <w:t>分，2年盈利得</w:t>
            </w:r>
            <w:r>
              <w:rPr>
                <w:rFonts w:hint="eastAsia" w:asciiTheme="minorEastAsia" w:hAnsiTheme="minorEastAsia" w:eastAsiaTheme="minorEastAsia" w:cstheme="minorEastAsia"/>
                <w:color w:val="auto"/>
                <w:kern w:val="2"/>
                <w:szCs w:val="21"/>
                <w:highlight w:val="none"/>
                <w:lang w:val="en-US" w:eastAsia="zh-CN"/>
              </w:rPr>
              <w:t>1</w:t>
            </w:r>
            <w:r>
              <w:rPr>
                <w:rFonts w:hint="eastAsia" w:asciiTheme="minorEastAsia" w:hAnsiTheme="minorEastAsia" w:eastAsiaTheme="minorEastAsia" w:cstheme="minorEastAsia"/>
                <w:color w:val="auto"/>
                <w:kern w:val="2"/>
                <w:szCs w:val="21"/>
                <w:highlight w:val="none"/>
                <w:lang w:val="zh-CN"/>
              </w:rPr>
              <w:t>分，1年盈利得</w:t>
            </w:r>
            <w:r>
              <w:rPr>
                <w:rFonts w:hint="eastAsia" w:asciiTheme="minorEastAsia" w:hAnsiTheme="minorEastAsia" w:eastAsiaTheme="minorEastAsia" w:cstheme="minorEastAsia"/>
                <w:color w:val="auto"/>
                <w:kern w:val="2"/>
                <w:szCs w:val="21"/>
                <w:highlight w:val="none"/>
                <w:lang w:val="en-US" w:eastAsia="zh-CN"/>
              </w:rPr>
              <w:t>0.5</w:t>
            </w:r>
            <w:r>
              <w:rPr>
                <w:rFonts w:hint="eastAsia" w:asciiTheme="minorEastAsia" w:hAnsiTheme="minorEastAsia" w:eastAsiaTheme="minorEastAsia" w:cstheme="minorEastAsia"/>
                <w:color w:val="auto"/>
                <w:kern w:val="2"/>
                <w:szCs w:val="21"/>
                <w:highlight w:val="none"/>
                <w:lang w:val="zh-CN"/>
              </w:rPr>
              <w:t>分，无盈利不得分。</w:t>
            </w:r>
          </w:p>
          <w:p>
            <w:pPr>
              <w:widowControl w:val="0"/>
              <w:adjustRightInd/>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lang w:val="zh-CN"/>
              </w:rPr>
              <w:t>注：须提供会计师事务所审计的财务报表复印件加盖供应商公章。不提供不得分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2"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2</w:t>
            </w:r>
          </w:p>
        </w:tc>
        <w:tc>
          <w:tcPr>
            <w:tcW w:w="1137"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产品先进性</w:t>
            </w:r>
          </w:p>
        </w:tc>
        <w:tc>
          <w:tcPr>
            <w:tcW w:w="804"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bCs/>
                <w:color w:val="auto"/>
                <w:kern w:val="2"/>
                <w:szCs w:val="21"/>
                <w:highlight w:val="none"/>
                <w:lang w:val="en-US" w:eastAsia="zh-CN" w:bidi="ar"/>
              </w:rPr>
              <w:t>4</w:t>
            </w:r>
            <w:r>
              <w:rPr>
                <w:rFonts w:hint="eastAsia" w:asciiTheme="minorEastAsia" w:hAnsiTheme="minorEastAsia" w:eastAsiaTheme="minorEastAsia" w:cstheme="minorEastAsia"/>
                <w:bCs/>
                <w:color w:val="auto"/>
                <w:kern w:val="2"/>
                <w:szCs w:val="21"/>
                <w:highlight w:val="none"/>
                <w:lang w:bidi="ar"/>
              </w:rPr>
              <w:t>分</w:t>
            </w:r>
          </w:p>
        </w:tc>
        <w:tc>
          <w:tcPr>
            <w:tcW w:w="5310" w:type="dxa"/>
            <w:tcBorders>
              <w:top w:val="single" w:color="auto" w:sz="4" w:space="0"/>
              <w:left w:val="nil"/>
              <w:bottom w:val="single" w:color="auto" w:sz="4" w:space="0"/>
              <w:right w:val="single" w:color="auto" w:sz="4" w:space="0"/>
            </w:tcBorders>
            <w:shd w:val="clear" w:color="auto" w:fill="auto"/>
            <w:vAlign w:val="center"/>
          </w:tcPr>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根据投标人或投标产品制造商所投</w:t>
            </w:r>
            <w:r>
              <w:rPr>
                <w:rFonts w:hint="eastAsia" w:asciiTheme="minorEastAsia" w:hAnsiTheme="minorEastAsia" w:eastAsiaTheme="minorEastAsia" w:cstheme="minorEastAsia"/>
                <w:b w:val="0"/>
                <w:bCs w:val="0"/>
                <w:color w:val="auto"/>
                <w:kern w:val="2"/>
                <w:sz w:val="21"/>
                <w:szCs w:val="21"/>
                <w:highlight w:val="none"/>
                <w:shd w:val="clear" w:color="auto" w:fill="FFFFFF"/>
                <w:lang w:bidi="ar"/>
              </w:rPr>
              <w:t>厨余处理</w:t>
            </w:r>
            <w:r>
              <w:rPr>
                <w:rFonts w:hint="eastAsia" w:asciiTheme="minorEastAsia" w:hAnsiTheme="minorEastAsia" w:eastAsiaTheme="minorEastAsia" w:cstheme="minorEastAsia"/>
                <w:b w:val="0"/>
                <w:bCs w:val="0"/>
                <w:color w:val="auto"/>
                <w:kern w:val="2"/>
                <w:sz w:val="21"/>
                <w:szCs w:val="21"/>
                <w:highlight w:val="none"/>
                <w:shd w:val="clear" w:color="auto" w:fill="FFFFFF"/>
                <w:lang w:val="en-US" w:eastAsia="zh-CN" w:bidi="ar"/>
              </w:rPr>
              <w:t>类</w:t>
            </w:r>
            <w:r>
              <w:rPr>
                <w:rFonts w:hint="eastAsia" w:asciiTheme="minorEastAsia" w:hAnsiTheme="minorEastAsia" w:eastAsiaTheme="minorEastAsia" w:cstheme="minorEastAsia"/>
                <w:color w:val="auto"/>
                <w:kern w:val="2"/>
                <w:szCs w:val="21"/>
                <w:highlight w:val="none"/>
                <w:shd w:val="clear" w:color="auto" w:fill="FFFFFF"/>
                <w:lang w:bidi="ar"/>
              </w:rPr>
              <w:t>产品获得国家知识产权局颁发并在有效期内的相关专利证书的:</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①获得一个发明专利证书得2分，本分项满分</w:t>
            </w:r>
            <w:r>
              <w:rPr>
                <w:rFonts w:hint="eastAsia" w:asciiTheme="minorEastAsia" w:hAnsiTheme="minorEastAsia" w:eastAsiaTheme="minorEastAsia" w:cstheme="minorEastAsia"/>
                <w:color w:val="auto"/>
                <w:kern w:val="2"/>
                <w:szCs w:val="21"/>
                <w:highlight w:val="none"/>
                <w:shd w:val="clear" w:color="auto" w:fill="FFFFFF"/>
                <w:lang w:val="en-US" w:eastAsia="zh-CN" w:bidi="ar"/>
              </w:rPr>
              <w:t>4</w:t>
            </w:r>
            <w:r>
              <w:rPr>
                <w:rFonts w:hint="eastAsia" w:asciiTheme="minorEastAsia" w:hAnsiTheme="minorEastAsia" w:eastAsiaTheme="minorEastAsia" w:cstheme="minorEastAsia"/>
                <w:color w:val="auto"/>
                <w:kern w:val="2"/>
                <w:szCs w:val="21"/>
                <w:highlight w:val="none"/>
                <w:shd w:val="clear" w:color="auto" w:fill="FFFFFF"/>
                <w:lang w:bidi="ar"/>
              </w:rPr>
              <w:t>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②获得一个实用新型专利证书得1分，本分项满分</w:t>
            </w:r>
            <w:r>
              <w:rPr>
                <w:rFonts w:hint="eastAsia" w:asciiTheme="minorEastAsia" w:hAnsiTheme="minorEastAsia" w:eastAsiaTheme="minorEastAsia" w:cstheme="minorEastAsia"/>
                <w:color w:val="auto"/>
                <w:kern w:val="2"/>
                <w:szCs w:val="21"/>
                <w:highlight w:val="none"/>
                <w:shd w:val="clear" w:color="auto" w:fill="FFFFFF"/>
                <w:lang w:val="en-US" w:eastAsia="zh-CN" w:bidi="ar"/>
              </w:rPr>
              <w:t>2</w:t>
            </w:r>
            <w:r>
              <w:rPr>
                <w:rFonts w:hint="eastAsia" w:asciiTheme="minorEastAsia" w:hAnsiTheme="minorEastAsia" w:eastAsiaTheme="minorEastAsia" w:cstheme="minorEastAsia"/>
                <w:color w:val="auto"/>
                <w:kern w:val="2"/>
                <w:szCs w:val="21"/>
                <w:highlight w:val="none"/>
                <w:shd w:val="clear" w:color="auto" w:fill="FFFFFF"/>
                <w:lang w:bidi="ar"/>
              </w:rPr>
              <w:t>分。</w:t>
            </w:r>
          </w:p>
          <w:p>
            <w:pPr>
              <w:widowControl w:val="0"/>
              <w:jc w:val="both"/>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本项最高得4分。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注：须提供投标人或投标产品制造商相关产品的专利有效证明材料复印件并加盖投标人公章。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3</w:t>
            </w:r>
          </w:p>
        </w:tc>
        <w:tc>
          <w:tcPr>
            <w:tcW w:w="1137"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管理体系认证情况</w:t>
            </w:r>
          </w:p>
        </w:tc>
        <w:tc>
          <w:tcPr>
            <w:tcW w:w="804"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lang w:bidi="ar"/>
              </w:rPr>
              <w:t>2</w:t>
            </w:r>
            <w:r>
              <w:rPr>
                <w:rFonts w:hint="eastAsia" w:asciiTheme="minorEastAsia" w:hAnsiTheme="minorEastAsia" w:eastAsiaTheme="minorEastAsia" w:cstheme="minorEastAsia"/>
                <w:color w:val="auto"/>
                <w:szCs w:val="21"/>
                <w:highlight w:val="none"/>
                <w:lang w:bidi="ar"/>
              </w:rPr>
              <w:t>分</w:t>
            </w:r>
          </w:p>
        </w:tc>
        <w:tc>
          <w:tcPr>
            <w:tcW w:w="5310" w:type="dxa"/>
            <w:tcBorders>
              <w:top w:val="single" w:color="auto" w:sz="4" w:space="0"/>
              <w:left w:val="nil"/>
              <w:bottom w:val="single" w:color="auto" w:sz="4" w:space="0"/>
              <w:right w:val="single" w:color="auto" w:sz="4" w:space="0"/>
            </w:tcBorders>
            <w:shd w:val="clear" w:color="auto" w:fill="auto"/>
            <w:vAlign w:val="center"/>
          </w:tcPr>
          <w:p>
            <w:pPr>
              <w:widowControl w:val="0"/>
              <w:jc w:val="both"/>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投标人或投标产品制造商</w:t>
            </w:r>
            <w:r>
              <w:rPr>
                <w:rFonts w:hint="eastAsia" w:asciiTheme="minorEastAsia" w:hAnsiTheme="minorEastAsia" w:eastAsiaTheme="minorEastAsia" w:cstheme="minorEastAsia"/>
                <w:bCs/>
                <w:color w:val="auto"/>
                <w:kern w:val="2"/>
                <w:szCs w:val="21"/>
                <w:highlight w:val="none"/>
                <w:lang w:bidi="ar"/>
              </w:rPr>
              <w:t xml:space="preserve">具有的由国家认证认可监督管理部门批准设立的认证机构颁发并在有效期内的证书： </w:t>
            </w:r>
          </w:p>
          <w:p>
            <w:pPr>
              <w:widowControl w:val="0"/>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lang w:bidi="ar"/>
              </w:rPr>
              <w:t>①质量管理体系认证证书；②环境管理体系认证证书；③职业健康安全管理体系认证证书。具有三项得2分，两项得1分，只有一项得0.5分，没有不得分，本项最高得2分。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bCs/>
                <w:color w:val="auto"/>
                <w:kern w:val="2"/>
                <w:szCs w:val="21"/>
                <w:highlight w:val="none"/>
                <w:lang w:bidi="ar"/>
              </w:rPr>
              <w:t>注：须提供有效证书复印件及中国国家认证认可监督管理委员会认证查询截图（http://cx.cnca.cn/CertECloud/index/index/page）加盖投标人公章。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4</w:t>
            </w:r>
          </w:p>
        </w:tc>
        <w:tc>
          <w:tcPr>
            <w:tcW w:w="1137"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业绩</w:t>
            </w:r>
          </w:p>
        </w:tc>
        <w:tc>
          <w:tcPr>
            <w:tcW w:w="804"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lang w:bidi="ar"/>
              </w:rPr>
              <w:t>1</w:t>
            </w:r>
            <w:r>
              <w:rPr>
                <w:rFonts w:hint="eastAsia" w:asciiTheme="minorEastAsia" w:hAnsiTheme="minorEastAsia" w:eastAsiaTheme="minorEastAsia" w:cstheme="minorEastAsia"/>
                <w:bCs/>
                <w:color w:val="auto"/>
                <w:kern w:val="2"/>
                <w:szCs w:val="21"/>
                <w:highlight w:val="none"/>
                <w:lang w:val="en-US" w:eastAsia="zh-CN" w:bidi="ar"/>
              </w:rPr>
              <w:t>0</w:t>
            </w:r>
            <w:r>
              <w:rPr>
                <w:rFonts w:hint="eastAsia" w:asciiTheme="minorEastAsia" w:hAnsiTheme="minorEastAsia" w:eastAsiaTheme="minorEastAsia" w:cstheme="minorEastAsia"/>
                <w:bCs/>
                <w:color w:val="auto"/>
                <w:kern w:val="2"/>
                <w:szCs w:val="21"/>
                <w:highlight w:val="none"/>
                <w:lang w:bidi="ar"/>
              </w:rPr>
              <w:t>分</w:t>
            </w:r>
          </w:p>
        </w:tc>
        <w:tc>
          <w:tcPr>
            <w:tcW w:w="5310" w:type="dxa"/>
            <w:tcBorders>
              <w:top w:val="single" w:color="auto" w:sz="4" w:space="0"/>
              <w:left w:val="nil"/>
              <w:bottom w:val="single" w:color="auto" w:sz="4" w:space="0"/>
              <w:right w:val="single" w:color="auto" w:sz="4" w:space="0"/>
            </w:tcBorders>
            <w:shd w:val="clear" w:color="auto" w:fill="auto"/>
            <w:vAlign w:val="center"/>
          </w:tcPr>
          <w:p>
            <w:pPr>
              <w:widowControl w:val="0"/>
              <w:jc w:val="both"/>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根据投标人</w:t>
            </w:r>
            <w:r>
              <w:rPr>
                <w:rFonts w:hint="eastAsia" w:asciiTheme="minorEastAsia" w:hAnsiTheme="minorEastAsia" w:eastAsiaTheme="minorEastAsia" w:cstheme="minorEastAsia"/>
                <w:bCs/>
                <w:color w:val="auto"/>
                <w:kern w:val="2"/>
                <w:szCs w:val="21"/>
                <w:highlight w:val="none"/>
                <w:lang w:bidi="ar"/>
              </w:rPr>
              <w:t>2018年1月1日至今完成的</w:t>
            </w:r>
            <w:r>
              <w:rPr>
                <w:rFonts w:hint="eastAsia" w:asciiTheme="minorEastAsia" w:hAnsiTheme="minorEastAsia" w:eastAsiaTheme="minorEastAsia" w:cstheme="minorEastAsia"/>
                <w:color w:val="auto"/>
                <w:kern w:val="2"/>
                <w:szCs w:val="21"/>
                <w:highlight w:val="none"/>
                <w:shd w:val="clear" w:color="auto" w:fill="FFFFFF"/>
                <w:lang w:bidi="ar"/>
              </w:rPr>
              <w:t>厨余处理类项目，</w:t>
            </w:r>
            <w:r>
              <w:rPr>
                <w:rFonts w:hint="eastAsia" w:asciiTheme="minorEastAsia" w:hAnsiTheme="minorEastAsia" w:eastAsiaTheme="minorEastAsia" w:cstheme="minorEastAsia"/>
                <w:color w:val="auto"/>
                <w:kern w:val="2"/>
                <w:szCs w:val="21"/>
                <w:highlight w:val="none"/>
                <w:shd w:val="clear" w:color="auto" w:fill="FFFFFF"/>
                <w:lang w:val="zh-CN"/>
              </w:rPr>
              <w:t>单个项目合同</w:t>
            </w:r>
            <w:r>
              <w:rPr>
                <w:rFonts w:hint="eastAsia" w:asciiTheme="minorEastAsia" w:hAnsiTheme="minorEastAsia" w:eastAsiaTheme="minorEastAsia" w:cstheme="minorEastAsia"/>
                <w:bCs/>
                <w:color w:val="auto"/>
                <w:kern w:val="2"/>
                <w:szCs w:val="21"/>
                <w:highlight w:val="none"/>
                <w:lang w:bidi="ar"/>
              </w:rPr>
              <w:t>处理量≥30 t/d的</w:t>
            </w:r>
            <w:r>
              <w:rPr>
                <w:rFonts w:hint="eastAsia" w:asciiTheme="minorEastAsia" w:hAnsiTheme="minorEastAsia" w:eastAsiaTheme="minorEastAsia" w:cstheme="minorEastAsia"/>
                <w:color w:val="auto"/>
                <w:kern w:val="2"/>
                <w:szCs w:val="21"/>
                <w:highlight w:val="none"/>
                <w:shd w:val="clear" w:color="auto" w:fill="FFFFFF"/>
                <w:lang w:bidi="ar"/>
              </w:rPr>
              <w:t>业绩情况进行评分，提供一份业绩得1分，最高得</w:t>
            </w:r>
            <w:r>
              <w:rPr>
                <w:rFonts w:hint="eastAsia" w:asciiTheme="minorEastAsia" w:hAnsiTheme="minorEastAsia" w:eastAsiaTheme="minorEastAsia" w:cstheme="minorEastAsia"/>
                <w:color w:val="auto"/>
                <w:kern w:val="2"/>
                <w:szCs w:val="21"/>
                <w:highlight w:val="none"/>
                <w:shd w:val="clear" w:color="auto" w:fill="FFFFFF"/>
                <w:lang w:val="en-US" w:eastAsia="zh-CN" w:bidi="ar"/>
              </w:rPr>
              <w:t>5</w:t>
            </w:r>
            <w:r>
              <w:rPr>
                <w:rFonts w:hint="eastAsia" w:asciiTheme="minorEastAsia" w:hAnsiTheme="minorEastAsia" w:eastAsiaTheme="minorEastAsia" w:cstheme="minorEastAsia"/>
                <w:color w:val="auto"/>
                <w:kern w:val="2"/>
                <w:szCs w:val="21"/>
                <w:highlight w:val="none"/>
                <w:shd w:val="clear" w:color="auto" w:fill="FFFFFF"/>
                <w:lang w:bidi="ar"/>
              </w:rPr>
              <w:t>分；</w:t>
            </w:r>
            <w:r>
              <w:rPr>
                <w:rFonts w:hint="eastAsia" w:asciiTheme="minorEastAsia" w:hAnsiTheme="minorEastAsia" w:eastAsiaTheme="minorEastAsia" w:cstheme="minorEastAsia"/>
                <w:color w:val="auto"/>
                <w:kern w:val="2"/>
                <w:szCs w:val="21"/>
                <w:highlight w:val="none"/>
                <w:shd w:val="clear" w:color="auto" w:fill="FFFFFF"/>
                <w:lang w:val="zh-CN"/>
              </w:rPr>
              <w:t>单个项目合同</w:t>
            </w:r>
            <w:r>
              <w:rPr>
                <w:rFonts w:hint="eastAsia" w:asciiTheme="minorEastAsia" w:hAnsiTheme="minorEastAsia" w:eastAsiaTheme="minorEastAsia" w:cstheme="minorEastAsia"/>
                <w:bCs/>
                <w:color w:val="auto"/>
                <w:kern w:val="2"/>
                <w:szCs w:val="21"/>
                <w:highlight w:val="none"/>
                <w:lang w:bidi="ar"/>
              </w:rPr>
              <w:t>处理量≥60 t/d的</w:t>
            </w:r>
            <w:r>
              <w:rPr>
                <w:rFonts w:hint="eastAsia" w:asciiTheme="minorEastAsia" w:hAnsiTheme="minorEastAsia" w:eastAsiaTheme="minorEastAsia" w:cstheme="minorEastAsia"/>
                <w:color w:val="auto"/>
                <w:kern w:val="2"/>
                <w:szCs w:val="21"/>
                <w:highlight w:val="none"/>
                <w:shd w:val="clear" w:color="auto" w:fill="FFFFFF"/>
                <w:lang w:bidi="ar"/>
              </w:rPr>
              <w:t>业绩情况进行评分，提供一份业绩得</w:t>
            </w:r>
            <w:r>
              <w:rPr>
                <w:rFonts w:hint="eastAsia" w:asciiTheme="minorEastAsia" w:hAnsiTheme="minorEastAsia" w:eastAsiaTheme="minorEastAsia" w:cstheme="minorEastAsia"/>
                <w:color w:val="auto"/>
                <w:kern w:val="2"/>
                <w:szCs w:val="21"/>
                <w:highlight w:val="none"/>
                <w:shd w:val="clear" w:color="auto" w:fill="FFFFFF"/>
                <w:lang w:val="en-US" w:eastAsia="zh-CN" w:bidi="ar"/>
              </w:rPr>
              <w:t>2</w:t>
            </w:r>
            <w:r>
              <w:rPr>
                <w:rFonts w:hint="eastAsia" w:asciiTheme="minorEastAsia" w:hAnsiTheme="minorEastAsia" w:eastAsiaTheme="minorEastAsia" w:cstheme="minorEastAsia"/>
                <w:color w:val="auto"/>
                <w:kern w:val="2"/>
                <w:szCs w:val="21"/>
                <w:highlight w:val="none"/>
                <w:shd w:val="clear" w:color="auto" w:fill="FFFFFF"/>
                <w:lang w:bidi="ar"/>
              </w:rPr>
              <w:t>分，最高得1</w:t>
            </w:r>
            <w:r>
              <w:rPr>
                <w:rFonts w:hint="eastAsia" w:asciiTheme="minorEastAsia" w:hAnsiTheme="minorEastAsia" w:eastAsiaTheme="minorEastAsia" w:cstheme="minorEastAsia"/>
                <w:color w:val="auto"/>
                <w:kern w:val="2"/>
                <w:szCs w:val="21"/>
                <w:highlight w:val="none"/>
                <w:shd w:val="clear" w:color="auto" w:fill="FFFFFF"/>
                <w:lang w:val="en-US" w:eastAsia="zh-CN" w:bidi="ar"/>
              </w:rPr>
              <w:t>0</w:t>
            </w:r>
            <w:r>
              <w:rPr>
                <w:rFonts w:hint="eastAsia" w:asciiTheme="minorEastAsia" w:hAnsiTheme="minorEastAsia" w:eastAsiaTheme="minorEastAsia" w:cstheme="minorEastAsia"/>
                <w:color w:val="auto"/>
                <w:kern w:val="2"/>
                <w:szCs w:val="21"/>
                <w:highlight w:val="none"/>
                <w:shd w:val="clear" w:color="auto" w:fill="FFFFFF"/>
                <w:lang w:bidi="ar"/>
              </w:rPr>
              <w:t>分。此项最高得1</w:t>
            </w:r>
            <w:r>
              <w:rPr>
                <w:rFonts w:hint="eastAsia" w:asciiTheme="minorEastAsia" w:hAnsiTheme="minorEastAsia" w:eastAsiaTheme="minorEastAsia" w:cstheme="minorEastAsia"/>
                <w:color w:val="auto"/>
                <w:kern w:val="2"/>
                <w:szCs w:val="21"/>
                <w:highlight w:val="none"/>
                <w:shd w:val="clear" w:color="auto" w:fill="FFFFFF"/>
                <w:lang w:val="en-US" w:eastAsia="zh-CN" w:bidi="ar"/>
              </w:rPr>
              <w:t>0</w:t>
            </w:r>
            <w:r>
              <w:rPr>
                <w:rFonts w:hint="eastAsia" w:asciiTheme="minorEastAsia" w:hAnsiTheme="minorEastAsia" w:eastAsiaTheme="minorEastAsia" w:cstheme="minorEastAsia"/>
                <w:color w:val="auto"/>
                <w:kern w:val="2"/>
                <w:szCs w:val="21"/>
                <w:highlight w:val="none"/>
                <w:shd w:val="clear" w:color="auto" w:fill="FFFFFF"/>
                <w:lang w:bidi="ar"/>
              </w:rPr>
              <w:t>分。</w:t>
            </w:r>
          </w:p>
          <w:p>
            <w:pPr>
              <w:widowControl w:val="0"/>
              <w:jc w:val="both"/>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注：提供合同复印件和该合同期内任意一期发票复印件并加盖投标人公章。同一合同不能重复得分。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8"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bCs/>
                <w:color w:val="auto"/>
                <w:kern w:val="2"/>
                <w:szCs w:val="21"/>
                <w:highlight w:val="none"/>
                <w:lang w:bidi="ar"/>
              </w:rPr>
              <w:t>5</w:t>
            </w:r>
          </w:p>
        </w:tc>
        <w:tc>
          <w:tcPr>
            <w:tcW w:w="1137"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获奖情况</w:t>
            </w:r>
          </w:p>
        </w:tc>
        <w:tc>
          <w:tcPr>
            <w:tcW w:w="804"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bidi="ar"/>
              </w:rPr>
              <w:t>2</w:t>
            </w:r>
            <w:r>
              <w:rPr>
                <w:rFonts w:hint="eastAsia" w:asciiTheme="minorEastAsia" w:hAnsiTheme="minorEastAsia" w:eastAsiaTheme="minorEastAsia" w:cstheme="minorEastAsia"/>
                <w:color w:val="auto"/>
                <w:kern w:val="2"/>
                <w:szCs w:val="21"/>
                <w:highlight w:val="none"/>
                <w:lang w:bidi="ar"/>
              </w:rPr>
              <w:t>分</w:t>
            </w:r>
          </w:p>
        </w:tc>
        <w:tc>
          <w:tcPr>
            <w:tcW w:w="5310" w:type="dxa"/>
            <w:tcBorders>
              <w:top w:val="single" w:color="auto" w:sz="4" w:space="0"/>
              <w:left w:val="nil"/>
              <w:bottom w:val="single" w:color="auto" w:sz="4" w:space="0"/>
              <w:right w:val="single" w:color="auto" w:sz="4" w:space="0"/>
            </w:tcBorders>
            <w:shd w:val="clear" w:color="auto" w:fill="auto"/>
            <w:vAlign w:val="center"/>
          </w:tcPr>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投标人或投标产品制造商参与厨余处理类项目在市级或以上政府部门或行业协会颁发的优秀项目/案例或示范项目/案例，每提供一项得1分，最高得</w:t>
            </w:r>
            <w:r>
              <w:rPr>
                <w:rFonts w:hint="eastAsia" w:asciiTheme="minorEastAsia" w:hAnsiTheme="minorEastAsia" w:eastAsiaTheme="minorEastAsia" w:cstheme="minorEastAsia"/>
                <w:color w:val="auto"/>
                <w:kern w:val="2"/>
                <w:szCs w:val="21"/>
                <w:highlight w:val="none"/>
                <w:shd w:val="clear" w:color="auto" w:fill="FFFFFF"/>
                <w:lang w:val="en-US" w:eastAsia="zh-CN" w:bidi="ar"/>
              </w:rPr>
              <w:t>2</w:t>
            </w:r>
            <w:r>
              <w:rPr>
                <w:rFonts w:hint="eastAsia" w:asciiTheme="minorEastAsia" w:hAnsiTheme="minorEastAsia" w:eastAsiaTheme="minorEastAsia" w:cstheme="minorEastAsia"/>
                <w:color w:val="auto"/>
                <w:kern w:val="2"/>
                <w:szCs w:val="21"/>
                <w:highlight w:val="none"/>
                <w:shd w:val="clear" w:color="auto" w:fill="FFFFFF"/>
                <w:lang w:bidi="ar"/>
              </w:rPr>
              <w:t>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注：提供获奖证书复印件并加盖投标人公章。奖项证书无法体现相关内容的，需同时附对应项目合同或业主盖章的相应证明。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5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
                <w:bCs/>
                <w:color w:val="auto"/>
                <w:kern w:val="2"/>
                <w:szCs w:val="21"/>
                <w:highlight w:val="none"/>
                <w:lang w:bidi="ar"/>
              </w:rPr>
              <w:t>技术评分细则（合计2</w:t>
            </w:r>
            <w:r>
              <w:rPr>
                <w:rFonts w:hint="eastAsia" w:asciiTheme="minorEastAsia" w:hAnsiTheme="minorEastAsia" w:eastAsiaTheme="minorEastAsia" w:cstheme="minorEastAsia"/>
                <w:b/>
                <w:bCs/>
                <w:color w:val="auto"/>
                <w:kern w:val="2"/>
                <w:szCs w:val="21"/>
                <w:highlight w:val="none"/>
                <w:lang w:val="en-US" w:eastAsia="zh-CN" w:bidi="ar"/>
              </w:rPr>
              <w:t>0</w:t>
            </w:r>
            <w:r>
              <w:rPr>
                <w:rFonts w:hint="eastAsia" w:asciiTheme="minorEastAsia" w:hAnsiTheme="minorEastAsia" w:eastAsiaTheme="minorEastAsia" w:cstheme="minorEastAsia"/>
                <w:b/>
                <w:bCs/>
                <w:color w:val="auto"/>
                <w:kern w:val="2"/>
                <w:szCs w:val="21"/>
                <w:highlight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0"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lang w:bidi="ar"/>
              </w:rPr>
              <w:t>1</w:t>
            </w:r>
          </w:p>
        </w:tc>
        <w:tc>
          <w:tcPr>
            <w:tcW w:w="1137" w:type="dxa"/>
            <w:tcBorders>
              <w:top w:val="single" w:color="auto" w:sz="4" w:space="0"/>
              <w:left w:val="nil"/>
              <w:bottom w:val="single" w:color="auto" w:sz="4" w:space="0"/>
              <w:right w:val="single" w:color="auto" w:sz="4" w:space="0"/>
            </w:tcBorders>
            <w:shd w:val="clear" w:color="auto" w:fill="auto"/>
            <w:vAlign w:val="center"/>
          </w:tcPr>
          <w:p>
            <w:pPr>
              <w:widowControl w:val="0"/>
              <w:autoSpaceDE w:val="0"/>
              <w:autoSpaceDN w:val="0"/>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项目实施方案</w:t>
            </w:r>
          </w:p>
        </w:tc>
        <w:tc>
          <w:tcPr>
            <w:tcW w:w="804"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bidi="ar"/>
              </w:rPr>
              <w:t>5</w:t>
            </w:r>
            <w:r>
              <w:rPr>
                <w:rFonts w:hint="eastAsia" w:asciiTheme="minorEastAsia" w:hAnsiTheme="minorEastAsia" w:eastAsiaTheme="minorEastAsia" w:cstheme="minorEastAsia"/>
                <w:color w:val="auto"/>
                <w:kern w:val="2"/>
                <w:szCs w:val="21"/>
                <w:highlight w:val="none"/>
                <w:lang w:bidi="ar"/>
              </w:rPr>
              <w:t>分</w:t>
            </w:r>
          </w:p>
        </w:tc>
        <w:tc>
          <w:tcPr>
            <w:tcW w:w="5310" w:type="dxa"/>
            <w:tcBorders>
              <w:top w:val="single" w:color="auto" w:sz="4" w:space="0"/>
              <w:left w:val="nil"/>
              <w:bottom w:val="single" w:color="auto" w:sz="4" w:space="0"/>
              <w:right w:val="single" w:color="auto" w:sz="4" w:space="0"/>
            </w:tcBorders>
            <w:shd w:val="clear" w:color="auto" w:fill="auto"/>
            <w:vAlign w:val="center"/>
          </w:tcPr>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根据投标人或投标产品制造商提供的项目实施方案（方案包括1.质量保证措施、2.履约进度控制方案(不限于交货、调试、验收方案内容等）进行综合评审：</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投标人或投标产品制造商提供的项目实施方案内容全面完整（包括上述2种方案）、质量保证措施全面科学、履约进度控制方案详细合理、交货、调试、验收方案科学完整的得</w:t>
            </w:r>
            <w:r>
              <w:rPr>
                <w:rFonts w:hint="eastAsia" w:asciiTheme="minorEastAsia" w:hAnsiTheme="minorEastAsia" w:eastAsiaTheme="minorEastAsia" w:cstheme="minorEastAsia"/>
                <w:color w:val="auto"/>
                <w:kern w:val="2"/>
                <w:szCs w:val="21"/>
                <w:highlight w:val="none"/>
                <w:shd w:val="clear" w:color="auto" w:fill="FFFFFF"/>
                <w:lang w:val="en-US" w:eastAsia="zh-CN" w:bidi="ar"/>
              </w:rPr>
              <w:t>5</w:t>
            </w:r>
            <w:r>
              <w:rPr>
                <w:rFonts w:hint="eastAsia" w:asciiTheme="minorEastAsia" w:hAnsiTheme="minorEastAsia" w:eastAsiaTheme="minorEastAsia" w:cstheme="minorEastAsia"/>
                <w:color w:val="auto"/>
                <w:kern w:val="2"/>
                <w:szCs w:val="21"/>
                <w:highlight w:val="none"/>
                <w:shd w:val="clear" w:color="auto" w:fill="FFFFFF"/>
                <w:lang w:bidi="ar"/>
              </w:rPr>
              <w:t>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投标人或投标产品制造商提供的项目实施方案内容基本完整（至少包含上述1种方案）、质量保证措施一般、履约进度控制方案一般、交货、调试、验收方案一般，得</w:t>
            </w:r>
            <w:r>
              <w:rPr>
                <w:rFonts w:hint="eastAsia" w:asciiTheme="minorEastAsia" w:hAnsiTheme="minorEastAsia" w:eastAsiaTheme="minorEastAsia" w:cstheme="minorEastAsia"/>
                <w:color w:val="auto"/>
                <w:kern w:val="2"/>
                <w:szCs w:val="21"/>
                <w:highlight w:val="none"/>
                <w:shd w:val="clear" w:color="auto" w:fill="FFFFFF"/>
                <w:lang w:val="en-US" w:eastAsia="zh-CN" w:bidi="ar"/>
              </w:rPr>
              <w:t>3</w:t>
            </w:r>
            <w:r>
              <w:rPr>
                <w:rFonts w:hint="eastAsia" w:asciiTheme="minorEastAsia" w:hAnsiTheme="minorEastAsia" w:eastAsiaTheme="minorEastAsia" w:cstheme="minorEastAsia"/>
                <w:color w:val="auto"/>
                <w:kern w:val="2"/>
                <w:szCs w:val="21"/>
                <w:highlight w:val="none"/>
                <w:shd w:val="clear" w:color="auto" w:fill="FFFFFF"/>
                <w:lang w:bidi="ar"/>
              </w:rPr>
              <w:t>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投标人或投标产品制造商提供的项目实施方案内容不完整或均缺的、质量保证措施差、履约进度控制方案差、交货、调试、验收方案差，得1分；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8"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lang w:bidi="ar"/>
              </w:rPr>
              <w:t>2</w:t>
            </w:r>
          </w:p>
        </w:tc>
        <w:tc>
          <w:tcPr>
            <w:tcW w:w="1137"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性能质量情况</w:t>
            </w:r>
          </w:p>
        </w:tc>
        <w:tc>
          <w:tcPr>
            <w:tcW w:w="804"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val="en-US" w:eastAsia="zh-CN" w:bidi="ar"/>
              </w:rPr>
              <w:t>5</w:t>
            </w:r>
            <w:r>
              <w:rPr>
                <w:rFonts w:hint="eastAsia" w:asciiTheme="minorEastAsia" w:hAnsiTheme="minorEastAsia" w:eastAsiaTheme="minorEastAsia" w:cstheme="minorEastAsia"/>
                <w:color w:val="auto"/>
                <w:kern w:val="2"/>
                <w:szCs w:val="21"/>
                <w:highlight w:val="none"/>
                <w:lang w:bidi="ar"/>
              </w:rPr>
              <w:t>分</w:t>
            </w:r>
          </w:p>
        </w:tc>
        <w:tc>
          <w:tcPr>
            <w:tcW w:w="5310" w:type="dxa"/>
            <w:tcBorders>
              <w:top w:val="single" w:color="auto" w:sz="4" w:space="0"/>
              <w:left w:val="nil"/>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对投标人或投标产品制造商所投产品功能响应程度，自动化控制程度、技术先进性等整体性能，以及易维护性进行评审，重点对标注“▲”号重要参数的相应要求的响应性，符合性进行对比，按优</w:t>
            </w:r>
            <w:r>
              <w:rPr>
                <w:rFonts w:hint="eastAsia" w:asciiTheme="minorEastAsia" w:hAnsiTheme="minorEastAsia" w:eastAsiaTheme="minorEastAsia" w:cstheme="minorEastAsia"/>
                <w:color w:val="auto"/>
                <w:kern w:val="2"/>
                <w:szCs w:val="21"/>
                <w:highlight w:val="none"/>
                <w:shd w:val="clear" w:color="auto" w:fill="FFFFFF"/>
                <w:lang w:val="en-US" w:eastAsia="zh-CN" w:bidi="ar"/>
              </w:rPr>
              <w:t>5</w:t>
            </w:r>
            <w:r>
              <w:rPr>
                <w:rFonts w:hint="eastAsia" w:asciiTheme="minorEastAsia" w:hAnsiTheme="minorEastAsia" w:eastAsiaTheme="minorEastAsia" w:cstheme="minorEastAsia"/>
                <w:color w:val="auto"/>
                <w:kern w:val="2"/>
                <w:szCs w:val="21"/>
                <w:highlight w:val="none"/>
                <w:shd w:val="clear" w:color="auto" w:fill="FFFFFF"/>
                <w:lang w:bidi="ar"/>
              </w:rPr>
              <w:t>分、良3分，差1分进行评审。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lang w:bidi="ar"/>
              </w:rPr>
              <w:t>3</w:t>
            </w:r>
          </w:p>
        </w:tc>
        <w:tc>
          <w:tcPr>
            <w:tcW w:w="1137"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bCs/>
                <w:color w:val="auto"/>
                <w:kern w:val="2"/>
                <w:szCs w:val="21"/>
                <w:highlight w:val="none"/>
                <w:lang w:bidi="ar"/>
              </w:rPr>
              <w:t>人员配备情况</w:t>
            </w:r>
          </w:p>
        </w:tc>
        <w:tc>
          <w:tcPr>
            <w:tcW w:w="804"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2分</w:t>
            </w:r>
          </w:p>
        </w:tc>
        <w:tc>
          <w:tcPr>
            <w:tcW w:w="5310" w:type="dxa"/>
            <w:tcBorders>
              <w:top w:val="single" w:color="auto" w:sz="4" w:space="0"/>
              <w:left w:val="nil"/>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根据投标人或投标产品制造商企业人员实力情况进行评审：</w:t>
            </w:r>
          </w:p>
          <w:p>
            <w:pPr>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①拟派本项目项目经理（或项目负责人）具有机电或环保类专业的高级或以上工程师职称的得1分；</w:t>
            </w:r>
          </w:p>
          <w:p>
            <w:pPr>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②拟派本项目的其它现场管或安装人员具有机电或环保类专业的工程师或以上职称的每个得0.5分，最高得1分；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本项最高得2分。</w:t>
            </w:r>
          </w:p>
          <w:p>
            <w:pPr>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注：提供人员证书与所在企业近半年内的连续三个月的社保证明加盖投标人公章。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7"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lang w:bidi="ar"/>
              </w:rPr>
              <w:t>4</w:t>
            </w:r>
          </w:p>
        </w:tc>
        <w:tc>
          <w:tcPr>
            <w:tcW w:w="1137"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kern w:val="2"/>
                <w:szCs w:val="21"/>
                <w:highlight w:val="none"/>
                <w:lang w:bidi="ar"/>
              </w:rPr>
              <w:t>售后服务综合评价</w:t>
            </w:r>
          </w:p>
        </w:tc>
        <w:tc>
          <w:tcPr>
            <w:tcW w:w="804"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color w:val="auto"/>
                <w:szCs w:val="21"/>
                <w:highlight w:val="none"/>
                <w:lang w:val="en-US" w:eastAsia="zh-CN" w:bidi="ar"/>
              </w:rPr>
              <w:t>2</w:t>
            </w:r>
            <w:r>
              <w:rPr>
                <w:rFonts w:hint="eastAsia" w:asciiTheme="minorEastAsia" w:hAnsiTheme="minorEastAsia" w:eastAsiaTheme="minorEastAsia" w:cstheme="minorEastAsia"/>
                <w:color w:val="auto"/>
                <w:szCs w:val="21"/>
                <w:highlight w:val="none"/>
                <w:lang w:bidi="ar"/>
              </w:rPr>
              <w:t>分</w:t>
            </w:r>
          </w:p>
        </w:tc>
        <w:tc>
          <w:tcPr>
            <w:tcW w:w="5310" w:type="dxa"/>
            <w:tcBorders>
              <w:top w:val="single" w:color="auto" w:sz="4" w:space="0"/>
              <w:left w:val="nil"/>
              <w:bottom w:val="single" w:color="auto" w:sz="4" w:space="0"/>
              <w:right w:val="single" w:color="auto" w:sz="4" w:space="0"/>
            </w:tcBorders>
            <w:shd w:val="clear" w:color="auto" w:fill="auto"/>
            <w:vAlign w:val="center"/>
          </w:tcPr>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根据投标人或投标产品制造商售后/后续服务（包括1.制造商为该项目提供的技术支持、2.维护服务、3.培训计划等）进行综合评审：</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投标人或投标产品制造商提供的售后服务方案内容全面完整（包含上述3种方案）、制造商的技术支持全面合理、维护服务详细全面、培训计划详细合理，得</w:t>
            </w:r>
            <w:r>
              <w:rPr>
                <w:rFonts w:hint="eastAsia" w:asciiTheme="minorEastAsia" w:hAnsiTheme="minorEastAsia" w:eastAsiaTheme="minorEastAsia" w:cstheme="minorEastAsia"/>
                <w:color w:val="auto"/>
                <w:kern w:val="2"/>
                <w:szCs w:val="21"/>
                <w:highlight w:val="none"/>
                <w:shd w:val="clear" w:color="auto" w:fill="FFFFFF"/>
                <w:lang w:val="en-US" w:eastAsia="zh-CN" w:bidi="ar"/>
              </w:rPr>
              <w:t>2</w:t>
            </w:r>
            <w:r>
              <w:rPr>
                <w:rFonts w:hint="eastAsia" w:asciiTheme="minorEastAsia" w:hAnsiTheme="minorEastAsia" w:eastAsiaTheme="minorEastAsia" w:cstheme="minorEastAsia"/>
                <w:color w:val="auto"/>
                <w:kern w:val="2"/>
                <w:szCs w:val="21"/>
                <w:highlight w:val="none"/>
                <w:shd w:val="clear" w:color="auto" w:fill="FFFFFF"/>
                <w:lang w:bidi="ar"/>
              </w:rPr>
              <w:t>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投标人或投标产品制造商提供的售后服务方案内容完整（至少包含上述2种方案）、制造商的技术支持合理、维护服务全面、培训计划合理，得</w:t>
            </w:r>
            <w:r>
              <w:rPr>
                <w:rFonts w:hint="eastAsia" w:asciiTheme="minorEastAsia" w:hAnsiTheme="minorEastAsia" w:eastAsiaTheme="minorEastAsia" w:cstheme="minorEastAsia"/>
                <w:color w:val="auto"/>
                <w:kern w:val="2"/>
                <w:szCs w:val="21"/>
                <w:highlight w:val="none"/>
                <w:shd w:val="clear" w:color="auto" w:fill="FFFFFF"/>
                <w:lang w:val="en-US" w:eastAsia="zh-CN" w:bidi="ar"/>
              </w:rPr>
              <w:t>1</w:t>
            </w:r>
            <w:r>
              <w:rPr>
                <w:rFonts w:hint="eastAsia" w:asciiTheme="minorEastAsia" w:hAnsiTheme="minorEastAsia" w:eastAsiaTheme="minorEastAsia" w:cstheme="minorEastAsia"/>
                <w:color w:val="auto"/>
                <w:kern w:val="2"/>
                <w:szCs w:val="21"/>
                <w:highlight w:val="none"/>
                <w:shd w:val="clear" w:color="auto" w:fill="FFFFFF"/>
                <w:lang w:bidi="ar"/>
              </w:rPr>
              <w:t>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投标人或投标产品制造商提供的售后服务方案内容基本完整（至少包含上述1种方案）、制造商的技术支持一般、维护服务一般、培训计划差，得</w:t>
            </w:r>
            <w:r>
              <w:rPr>
                <w:rFonts w:hint="eastAsia" w:asciiTheme="minorEastAsia" w:hAnsiTheme="minorEastAsia" w:eastAsiaTheme="minorEastAsia" w:cstheme="minorEastAsia"/>
                <w:color w:val="auto"/>
                <w:kern w:val="2"/>
                <w:szCs w:val="21"/>
                <w:highlight w:val="none"/>
                <w:shd w:val="clear" w:color="auto" w:fill="FFFFFF"/>
                <w:lang w:val="en-US" w:eastAsia="zh-CN" w:bidi="ar"/>
              </w:rPr>
              <w:t>0.5</w:t>
            </w:r>
            <w:r>
              <w:rPr>
                <w:rFonts w:hint="eastAsia" w:asciiTheme="minorEastAsia" w:hAnsiTheme="minorEastAsia" w:eastAsiaTheme="minorEastAsia" w:cstheme="minorEastAsia"/>
                <w:color w:val="auto"/>
                <w:kern w:val="2"/>
                <w:szCs w:val="21"/>
                <w:highlight w:val="none"/>
                <w:shd w:val="clear" w:color="auto" w:fill="FFFFFF"/>
                <w:lang w:bidi="ar"/>
              </w:rPr>
              <w:t>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lang w:bidi="ar"/>
              </w:rPr>
              <w:t>5</w:t>
            </w:r>
          </w:p>
        </w:tc>
        <w:tc>
          <w:tcPr>
            <w:tcW w:w="1137"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shd w:val="clear" w:color="auto" w:fill="FFFFFF"/>
                <w:lang w:bidi="ar"/>
              </w:rPr>
              <w:t>主要设备性能对比</w:t>
            </w:r>
          </w:p>
        </w:tc>
        <w:tc>
          <w:tcPr>
            <w:tcW w:w="804"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bidi="ar"/>
              </w:rPr>
              <w:t>4</w:t>
            </w:r>
            <w:r>
              <w:rPr>
                <w:rFonts w:hint="eastAsia" w:asciiTheme="minorEastAsia" w:hAnsiTheme="minorEastAsia" w:eastAsiaTheme="minorEastAsia" w:cstheme="minorEastAsia"/>
                <w:color w:val="auto"/>
                <w:szCs w:val="21"/>
                <w:highlight w:val="none"/>
                <w:lang w:bidi="ar"/>
              </w:rPr>
              <w:t>分</w:t>
            </w:r>
          </w:p>
        </w:tc>
        <w:tc>
          <w:tcPr>
            <w:tcW w:w="5310" w:type="dxa"/>
            <w:tcBorders>
              <w:top w:val="single" w:color="auto" w:sz="4" w:space="0"/>
              <w:left w:val="nil"/>
              <w:bottom w:val="single" w:color="auto" w:sz="4" w:space="0"/>
              <w:right w:val="single" w:color="auto" w:sz="4" w:space="0"/>
            </w:tcBorders>
            <w:shd w:val="clear" w:color="auto" w:fill="auto"/>
            <w:vAlign w:val="center"/>
          </w:tcPr>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根据所投主要设备性能（包括1.安全防护设计、2.安全措施、3.电控防护措施、4.安全配置、5.保养措施等）进行综合评审：</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投标人或投标产品制造商提供的设备性能内容全面完整（包含上述5种方案）、安全防护设计详细合理、安全措施详细合理、电控防护措施详细合理、安全配置全面合理、保养措施详细合理得</w:t>
            </w:r>
            <w:r>
              <w:rPr>
                <w:rFonts w:hint="eastAsia" w:asciiTheme="minorEastAsia" w:hAnsiTheme="minorEastAsia" w:eastAsiaTheme="minorEastAsia" w:cstheme="minorEastAsia"/>
                <w:color w:val="auto"/>
                <w:kern w:val="2"/>
                <w:szCs w:val="21"/>
                <w:highlight w:val="none"/>
                <w:shd w:val="clear" w:color="auto" w:fill="FFFFFF"/>
                <w:lang w:val="en-US" w:eastAsia="zh-CN" w:bidi="ar"/>
              </w:rPr>
              <w:t>4</w:t>
            </w:r>
            <w:r>
              <w:rPr>
                <w:rFonts w:hint="eastAsia" w:asciiTheme="minorEastAsia" w:hAnsiTheme="minorEastAsia" w:eastAsiaTheme="minorEastAsia" w:cstheme="minorEastAsia"/>
                <w:color w:val="auto"/>
                <w:kern w:val="2"/>
                <w:szCs w:val="21"/>
                <w:highlight w:val="none"/>
                <w:shd w:val="clear" w:color="auto" w:fill="FFFFFF"/>
                <w:lang w:bidi="ar"/>
              </w:rPr>
              <w:t>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投标人或投标产品制造商提供的设备性能内容完整（至少包含上述3种方案）、安全防护设计合理、安全措施合理、电控防护措施合理、安全配置合理、保养措施合理，得</w:t>
            </w:r>
            <w:r>
              <w:rPr>
                <w:rFonts w:hint="eastAsia" w:asciiTheme="minorEastAsia" w:hAnsiTheme="minorEastAsia" w:eastAsiaTheme="minorEastAsia" w:cstheme="minorEastAsia"/>
                <w:color w:val="auto"/>
                <w:kern w:val="2"/>
                <w:szCs w:val="21"/>
                <w:highlight w:val="none"/>
                <w:shd w:val="clear" w:color="auto" w:fill="FFFFFF"/>
                <w:lang w:val="en-US" w:eastAsia="zh-CN" w:bidi="ar"/>
              </w:rPr>
              <w:t>2</w:t>
            </w:r>
            <w:r>
              <w:rPr>
                <w:rFonts w:hint="eastAsia" w:asciiTheme="minorEastAsia" w:hAnsiTheme="minorEastAsia" w:eastAsiaTheme="minorEastAsia" w:cstheme="minorEastAsia"/>
                <w:color w:val="auto"/>
                <w:kern w:val="2"/>
                <w:szCs w:val="21"/>
                <w:highlight w:val="none"/>
                <w:shd w:val="clear" w:color="auto" w:fill="FFFFFF"/>
                <w:lang w:bidi="ar"/>
              </w:rPr>
              <w:t>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投标人或投标产品制造商提供的设备性能内容不完整（上述方案不足2种）、安全防护设计差、安全措施差、电控防护措施差、安全配置差、保养措施差，得1分；</w:t>
            </w:r>
          </w:p>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未提供对应措施不得分。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auto"/>
                <w:kern w:val="2"/>
                <w:szCs w:val="21"/>
                <w:highlight w:val="none"/>
              </w:rPr>
            </w:pPr>
            <w:r>
              <w:rPr>
                <w:rFonts w:hint="eastAsia" w:asciiTheme="minorEastAsia" w:hAnsiTheme="minorEastAsia" w:eastAsiaTheme="minorEastAsia" w:cstheme="minorEastAsia"/>
                <w:bCs/>
                <w:color w:val="auto"/>
                <w:kern w:val="2"/>
                <w:szCs w:val="21"/>
                <w:highlight w:val="none"/>
                <w:lang w:bidi="ar"/>
              </w:rPr>
              <w:t>6</w:t>
            </w:r>
          </w:p>
        </w:tc>
        <w:tc>
          <w:tcPr>
            <w:tcW w:w="1137"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质保期</w:t>
            </w:r>
          </w:p>
        </w:tc>
        <w:tc>
          <w:tcPr>
            <w:tcW w:w="804"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2分</w:t>
            </w:r>
          </w:p>
        </w:tc>
        <w:tc>
          <w:tcPr>
            <w:tcW w:w="5310" w:type="dxa"/>
            <w:tcBorders>
              <w:top w:val="single" w:color="auto" w:sz="4" w:space="0"/>
              <w:left w:val="nil"/>
              <w:bottom w:val="single" w:color="auto" w:sz="4" w:space="0"/>
              <w:right w:val="single" w:color="auto" w:sz="4" w:space="0"/>
            </w:tcBorders>
            <w:shd w:val="clear" w:color="auto" w:fill="auto"/>
            <w:vAlign w:val="center"/>
          </w:tcPr>
          <w:p>
            <w:pPr>
              <w:widowControl w:val="0"/>
              <w:rPr>
                <w:rFonts w:asciiTheme="minorEastAsia" w:hAnsiTheme="minorEastAsia" w:eastAsiaTheme="minorEastAsia" w:cstheme="minorEastAsia"/>
                <w:color w:val="auto"/>
                <w:kern w:val="2"/>
                <w:szCs w:val="21"/>
                <w:highlight w:val="none"/>
                <w:shd w:val="clear" w:color="auto" w:fill="FFFFFF"/>
              </w:rPr>
            </w:pPr>
            <w:r>
              <w:rPr>
                <w:rFonts w:hint="eastAsia" w:asciiTheme="minorEastAsia" w:hAnsiTheme="minorEastAsia" w:eastAsiaTheme="minorEastAsia" w:cstheme="minorEastAsia"/>
                <w:color w:val="auto"/>
                <w:kern w:val="2"/>
                <w:szCs w:val="21"/>
                <w:highlight w:val="none"/>
                <w:shd w:val="clear" w:color="auto" w:fill="FFFFFF"/>
                <w:lang w:bidi="ar"/>
              </w:rPr>
              <w:t>投标人在响应用户需求规定不少于1年整体项目设备的免费质保期的基础上，每增加半年（6个月）的得0.5分，最高得2分。（投标人必须在投标文件上提供单独承诺函进行响应，不提供或不响应增加的均不得分。）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jc w:val="center"/>
        </w:trPr>
        <w:tc>
          <w:tcPr>
            <w:tcW w:w="795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07"/>
              </w:tabs>
              <w:adjustRightInd/>
              <w:snapToGrid/>
              <w:ind w:firstLine="422" w:firstLineChars="200"/>
              <w:jc w:val="both"/>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注：</w:t>
            </w:r>
          </w:p>
          <w:p>
            <w:pPr>
              <w:tabs>
                <w:tab w:val="left" w:pos="907"/>
              </w:tabs>
              <w:adjustRightInd/>
              <w:snapToGrid/>
              <w:ind w:firstLine="422" w:firstLineChars="200"/>
              <w:jc w:val="both"/>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（1）无特殊说明外，以上评审项，同一证明文件不重复计分。</w:t>
            </w:r>
          </w:p>
          <w:p>
            <w:pPr>
              <w:tabs>
                <w:tab w:val="left" w:pos="907"/>
              </w:tabs>
              <w:adjustRightInd/>
              <w:snapToGrid/>
              <w:ind w:firstLine="422" w:firstLineChars="200"/>
              <w:jc w:val="both"/>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（2）投标人根据以上评分要求提供的投标材料因模糊不清导致评标委员会无法清晰辨认进行评审的，视为无效材料。</w:t>
            </w:r>
          </w:p>
          <w:p>
            <w:pPr>
              <w:widowControl w:val="0"/>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b/>
                <w:color w:val="auto"/>
                <w:szCs w:val="21"/>
                <w:highlight w:val="none"/>
              </w:rPr>
              <w:t>（3）若因疫情原因暂缓统一托收或阶段性减免社会保险费而导致无法打印社保缴费证明的需提供书面说明并加盖投标人公章。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jc w:val="center"/>
        </w:trPr>
        <w:tc>
          <w:tcPr>
            <w:tcW w:w="795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b/>
                <w:bCs/>
                <w:color w:val="auto"/>
                <w:kern w:val="2"/>
                <w:szCs w:val="21"/>
                <w:highlight w:val="none"/>
                <w:lang w:bidi="ar"/>
              </w:rPr>
              <w:t>价格评审（</w:t>
            </w:r>
            <w:r>
              <w:rPr>
                <w:rFonts w:hint="eastAsia" w:asciiTheme="minorEastAsia" w:hAnsiTheme="minorEastAsia" w:eastAsiaTheme="minorEastAsia" w:cstheme="minorEastAsia"/>
                <w:b/>
                <w:bCs/>
                <w:color w:val="auto"/>
                <w:kern w:val="2"/>
                <w:szCs w:val="21"/>
                <w:highlight w:val="none"/>
                <w:lang w:val="en-US" w:eastAsia="zh-CN" w:bidi="ar"/>
              </w:rPr>
              <w:t>6</w:t>
            </w:r>
            <w:r>
              <w:rPr>
                <w:rFonts w:hint="eastAsia" w:asciiTheme="minorEastAsia" w:hAnsiTheme="minorEastAsia" w:eastAsiaTheme="minorEastAsia" w:cstheme="minorEastAsia"/>
                <w:b/>
                <w:bCs/>
                <w:color w:val="auto"/>
                <w:kern w:val="2"/>
                <w:szCs w:val="21"/>
                <w:highlight w:val="none"/>
                <w:lang w:bidi="ar"/>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spacing w:line="360" w:lineRule="auto"/>
              <w:ind w:firstLine="0" w:firstLineChars="0"/>
              <w:jc w:val="center"/>
              <w:rPr>
                <w:rFonts w:asciiTheme="minorEastAsia" w:hAnsiTheme="minorEastAsia" w:eastAsiaTheme="minorEastAsia" w:cstheme="minorEastAsia"/>
                <w:bCs/>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1</w:t>
            </w:r>
          </w:p>
        </w:tc>
        <w:tc>
          <w:tcPr>
            <w:tcW w:w="1137" w:type="dxa"/>
            <w:tcBorders>
              <w:top w:val="single" w:color="auto" w:sz="4" w:space="0"/>
              <w:left w:val="nil"/>
              <w:bottom w:val="single" w:color="auto" w:sz="4" w:space="0"/>
              <w:right w:val="single" w:color="auto" w:sz="4" w:space="0"/>
            </w:tcBorders>
            <w:shd w:val="clear" w:color="auto" w:fill="auto"/>
            <w:vAlign w:val="center"/>
          </w:tcPr>
          <w:p>
            <w:pPr>
              <w:widowControl w:val="0"/>
              <w:adjustRightInd/>
              <w:snapToGrid/>
              <w:jc w:val="center"/>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color w:val="auto"/>
                <w:kern w:val="2"/>
                <w:szCs w:val="21"/>
                <w:highlight w:val="none"/>
              </w:rPr>
              <w:t>投标总价</w:t>
            </w:r>
          </w:p>
        </w:tc>
        <w:tc>
          <w:tcPr>
            <w:tcW w:w="6114" w:type="dxa"/>
            <w:gridSpan w:val="2"/>
            <w:tcBorders>
              <w:top w:val="single" w:color="auto" w:sz="4" w:space="0"/>
              <w:left w:val="nil"/>
              <w:bottom w:val="single" w:color="auto" w:sz="4" w:space="0"/>
              <w:right w:val="single" w:color="auto" w:sz="4" w:space="0"/>
            </w:tcBorders>
            <w:shd w:val="clear" w:color="auto" w:fill="auto"/>
            <w:vAlign w:val="center"/>
          </w:tcPr>
          <w:p>
            <w:pPr>
              <w:widowControl w:val="0"/>
              <w:adjustRightInd/>
              <w:snapToGrid/>
              <w:ind w:firstLine="420" w:firstLineChars="200"/>
              <w:rPr>
                <w:rFonts w:asciiTheme="minorEastAsia" w:hAnsiTheme="minorEastAsia" w:eastAsiaTheme="minorEastAsia" w:cstheme="minorEastAsia"/>
                <w:color w:val="auto"/>
                <w:kern w:val="2"/>
                <w:szCs w:val="21"/>
                <w:highlight w:val="none"/>
                <w:lang w:val="zh-CN"/>
              </w:rPr>
            </w:pPr>
            <w:r>
              <w:rPr>
                <w:rFonts w:hint="eastAsia" w:asciiTheme="minorEastAsia" w:hAnsiTheme="minorEastAsia" w:eastAsiaTheme="minorEastAsia" w:cstheme="minorEastAsia"/>
                <w:color w:val="auto"/>
                <w:kern w:val="2"/>
                <w:szCs w:val="21"/>
                <w:highlight w:val="none"/>
                <w:lang w:val="zh-CN"/>
              </w:rPr>
              <w:t>价格分计算方法：满足采购文件要求且投标价格最低的投标报价为评标基准价，其价格分为满分。其他投标人的价格分统一按照下列公式计算：</w:t>
            </w:r>
          </w:p>
          <w:p>
            <w:pPr>
              <w:widowControl w:val="0"/>
              <w:rPr>
                <w:rFonts w:asciiTheme="minorEastAsia" w:hAnsiTheme="minorEastAsia" w:eastAsiaTheme="minorEastAsia" w:cstheme="minorEastAsia"/>
                <w:color w:val="auto"/>
                <w:kern w:val="2"/>
                <w:szCs w:val="21"/>
                <w:highlight w:val="none"/>
                <w:shd w:val="clear" w:color="auto" w:fill="FFFFFF"/>
                <w:lang w:bidi="ar"/>
              </w:rPr>
            </w:pPr>
            <w:r>
              <w:rPr>
                <w:rFonts w:hint="eastAsia" w:asciiTheme="minorEastAsia" w:hAnsiTheme="minorEastAsia" w:eastAsiaTheme="minorEastAsia" w:cstheme="minorEastAsia"/>
                <w:color w:val="auto"/>
                <w:kern w:val="2"/>
                <w:szCs w:val="21"/>
                <w:highlight w:val="none"/>
                <w:lang w:val="zh-CN"/>
              </w:rPr>
              <w:t>投标报价得分=(评标基准价／投标报价)×价格权</w:t>
            </w:r>
            <w:r>
              <w:rPr>
                <w:rFonts w:hint="eastAsia" w:asciiTheme="minorEastAsia" w:hAnsiTheme="minorEastAsia" w:eastAsiaTheme="minorEastAsia" w:cstheme="minorEastAsia"/>
                <w:color w:val="auto"/>
                <w:kern w:val="2"/>
                <w:szCs w:val="21"/>
                <w:highlight w:val="none"/>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795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val="0"/>
              <w:rPr>
                <w:rFonts w:asciiTheme="minorEastAsia" w:hAnsiTheme="minorEastAsia" w:eastAsiaTheme="minorEastAsia" w:cstheme="minorEastAsia"/>
                <w:color w:val="auto"/>
                <w:kern w:val="2"/>
                <w:szCs w:val="21"/>
                <w:highlight w:val="none"/>
                <w:shd w:val="clear" w:color="auto" w:fill="FFFFFF"/>
                <w:lang w:bidi="ar"/>
              </w:rPr>
            </w:pPr>
            <w:bookmarkStart w:id="15" w:name="_Toc3290"/>
            <w:bookmarkStart w:id="16" w:name="_Toc6994"/>
            <w:bookmarkStart w:id="17" w:name="_Toc141447003"/>
            <w:bookmarkStart w:id="18" w:name="_Toc5148"/>
            <w:r>
              <w:rPr>
                <w:rFonts w:hint="eastAsia" w:asciiTheme="minorEastAsia" w:hAnsiTheme="minorEastAsia" w:eastAsiaTheme="minorEastAsia" w:cstheme="minorEastAsia"/>
                <w:color w:val="auto"/>
                <w:kern w:val="2"/>
                <w:szCs w:val="21"/>
                <w:highlight w:val="none"/>
                <w:lang w:val="zh-CN"/>
              </w:rPr>
              <w:t>投标人的最终评标得分=商务、技术综合得分+价格得分</w:t>
            </w:r>
            <w:bookmarkEnd w:id="15"/>
            <w:bookmarkEnd w:id="16"/>
            <w:bookmarkEnd w:id="17"/>
            <w:bookmarkEnd w:id="18"/>
          </w:p>
        </w:tc>
      </w:tr>
    </w:tbl>
    <w:p>
      <w:pPr>
        <w:ind w:firstLine="420" w:firstLineChars="200"/>
        <w:rPr>
          <w:color w:val="auto"/>
          <w:highlight w:val="none"/>
        </w:rPr>
      </w:pPr>
    </w:p>
    <w:p>
      <w:pPr>
        <w:ind w:firstLine="422" w:firstLineChars="200"/>
        <w:rPr>
          <w:b/>
          <w:bCs/>
          <w:color w:val="auto"/>
          <w:highlight w:val="none"/>
        </w:rPr>
      </w:pPr>
      <w:r>
        <w:rPr>
          <w:rFonts w:hint="eastAsia"/>
          <w:b/>
          <w:bCs/>
          <w:color w:val="auto"/>
          <w:highlight w:val="none"/>
        </w:rPr>
        <w:t>注：评标委员会评委按评标标准独立对技术标进行评审，得出技术标评分。当评标委员会为五人时，在所有评委对同一份投标文件技术标评审的总评分中，去掉一个最高分和一个最低分，计算剩余总评分的算术平均值即为该投标人技术标的最终综合得分；当评标委员会为七人及以上单数时，在各评委的打分中，同一评委的最高评分减去最低评分，去掉分差最大评委的所有技术标评分（当一位或两位评委评分差值最大时均取消其评委评分，当多于两位评分差值均最大时，不取消任一评委评分），在所有剩余评委对同一份投标文件技术部分评审的总评分中，去掉一个最高分和一个最低分，计算剩余总评分的算术平均值即为该投标人技术部分的最终综合得分。</w:t>
      </w:r>
    </w:p>
    <w:p>
      <w:pPr>
        <w:ind w:firstLine="422" w:firstLineChars="200"/>
        <w:rPr>
          <w:b/>
          <w:bCs/>
          <w:color w:val="auto"/>
          <w:highlight w:val="none"/>
        </w:rPr>
      </w:pPr>
    </w:p>
    <w:p>
      <w:pPr>
        <w:pStyle w:val="2"/>
        <w:rPr>
          <w:b/>
          <w:bCs/>
          <w:color w:val="auto"/>
          <w:highlight w:val="none"/>
        </w:rPr>
      </w:pPr>
    </w:p>
    <w:p>
      <w:pPr>
        <w:pStyle w:val="3"/>
        <w:rPr>
          <w:color w:val="auto"/>
          <w:highlight w:val="none"/>
        </w:rPr>
      </w:pPr>
    </w:p>
    <w:p>
      <w:pPr>
        <w:pStyle w:val="4"/>
        <w:rPr>
          <w:b/>
          <w:bCs/>
          <w:color w:val="auto"/>
          <w:highlight w:val="none"/>
        </w:rPr>
      </w:pPr>
    </w:p>
    <w:p>
      <w:pPr>
        <w:pStyle w:val="4"/>
        <w:rPr>
          <w:b/>
          <w:bCs/>
          <w:color w:val="auto"/>
          <w:highlight w:val="none"/>
        </w:rPr>
      </w:pPr>
    </w:p>
    <w:p>
      <w:pPr>
        <w:ind w:firstLine="562" w:firstLineChars="200"/>
        <w:jc w:val="center"/>
        <w:rPr>
          <w:b/>
          <w:bCs/>
          <w:color w:val="auto"/>
          <w:sz w:val="28"/>
          <w:szCs w:val="32"/>
          <w:highlight w:val="none"/>
        </w:rPr>
      </w:pPr>
      <w:r>
        <w:rPr>
          <w:rFonts w:hint="eastAsia"/>
          <w:b/>
          <w:bCs/>
          <w:color w:val="auto"/>
          <w:sz w:val="28"/>
          <w:szCs w:val="32"/>
          <w:highlight w:val="none"/>
        </w:rPr>
        <w:t>E包:生活垃圾及厨余垃圾收集转运设备采购及安装</w:t>
      </w:r>
    </w:p>
    <w:p>
      <w:pPr>
        <w:pStyle w:val="3"/>
        <w:ind w:left="0" w:leftChars="0" w:firstLine="0" w:firstLineChars="0"/>
        <w:rPr>
          <w:color w:val="auto"/>
          <w:highlight w:val="none"/>
        </w:rPr>
      </w:pPr>
      <w:r>
        <w:rPr>
          <w:rFonts w:hint="eastAsia"/>
          <w:color w:val="auto"/>
          <w:highlight w:val="none"/>
        </w:rPr>
        <w:t>满分100分，其中价格部分占</w:t>
      </w:r>
      <w:r>
        <w:rPr>
          <w:rFonts w:hint="eastAsia"/>
          <w:color w:val="auto"/>
          <w:highlight w:val="none"/>
          <w:lang w:val="en-US" w:eastAsia="zh-CN"/>
        </w:rPr>
        <w:t>6</w:t>
      </w:r>
      <w:r>
        <w:rPr>
          <w:rFonts w:hint="eastAsia"/>
          <w:color w:val="auto"/>
          <w:highlight w:val="none"/>
        </w:rPr>
        <w:t>0分，商务部分占1</w:t>
      </w:r>
      <w:r>
        <w:rPr>
          <w:rFonts w:hint="eastAsia"/>
          <w:color w:val="auto"/>
          <w:highlight w:val="none"/>
          <w:lang w:val="en-US" w:eastAsia="zh-CN"/>
        </w:rPr>
        <w:t>5</w:t>
      </w:r>
      <w:r>
        <w:rPr>
          <w:rFonts w:hint="eastAsia"/>
          <w:color w:val="auto"/>
          <w:highlight w:val="none"/>
        </w:rPr>
        <w:t>分，技术部分占</w:t>
      </w:r>
      <w:r>
        <w:rPr>
          <w:rFonts w:hint="eastAsia"/>
          <w:color w:val="auto"/>
          <w:highlight w:val="none"/>
          <w:lang w:val="en-US" w:eastAsia="zh-CN"/>
        </w:rPr>
        <w:t>25</w:t>
      </w:r>
      <w:r>
        <w:rPr>
          <w:rFonts w:hint="eastAsia"/>
          <w:color w:val="auto"/>
          <w:highlight w:val="none"/>
        </w:rPr>
        <w:t>分。</w:t>
      </w:r>
    </w:p>
    <w:tbl>
      <w:tblPr>
        <w:tblStyle w:val="34"/>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69"/>
        <w:gridCol w:w="67"/>
        <w:gridCol w:w="1115"/>
        <w:gridCol w:w="340"/>
        <w:gridCol w:w="17"/>
        <w:gridCol w:w="454"/>
        <w:gridCol w:w="282"/>
        <w:gridCol w:w="5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Cs w:val="21"/>
                <w:highlight w:val="none"/>
                <w:lang w:val="en-GB"/>
              </w:rPr>
            </w:pPr>
            <w:r>
              <w:rPr>
                <w:rFonts w:hint="eastAsia" w:ascii="宋体" w:hAnsi="宋体" w:cs="宋体"/>
                <w:b/>
                <w:bCs/>
                <w:color w:val="auto"/>
                <w:kern w:val="2"/>
                <w:szCs w:val="21"/>
                <w:highlight w:val="none"/>
              </w:rPr>
              <w:t>序号</w:t>
            </w:r>
          </w:p>
        </w:tc>
        <w:tc>
          <w:tcPr>
            <w:tcW w:w="1522" w:type="dxa"/>
            <w:gridSpan w:val="3"/>
            <w:tcBorders>
              <w:top w:val="single" w:color="auto" w:sz="4" w:space="0"/>
              <w:left w:val="single" w:color="auto" w:sz="4" w:space="0"/>
              <w:bottom w:val="single" w:color="auto" w:sz="4" w:space="0"/>
              <w:right w:val="single" w:color="auto" w:sz="4" w:space="0"/>
            </w:tcBorders>
            <w:vAlign w:val="center"/>
          </w:tcPr>
          <w:p>
            <w:pPr>
              <w:pStyle w:val="49"/>
              <w:spacing w:line="360" w:lineRule="auto"/>
              <w:ind w:firstLine="0" w:firstLineChars="0"/>
              <w:jc w:val="center"/>
              <w:rPr>
                <w:rFonts w:ascii="宋体" w:eastAsia="宋体" w:cs="宋体"/>
                <w:color w:val="auto"/>
                <w:sz w:val="21"/>
                <w:szCs w:val="21"/>
                <w:highlight w:val="none"/>
                <w:lang w:val="en-GB"/>
              </w:rPr>
            </w:pPr>
            <w:r>
              <w:rPr>
                <w:rFonts w:hint="eastAsia" w:ascii="宋体" w:eastAsia="宋体" w:cs="宋体"/>
                <w:b/>
                <w:bCs/>
                <w:color w:val="auto"/>
                <w:sz w:val="21"/>
                <w:szCs w:val="21"/>
                <w:highlight w:val="none"/>
              </w:rPr>
              <w:t>评审项目</w:t>
            </w:r>
          </w:p>
        </w:tc>
        <w:tc>
          <w:tcPr>
            <w:tcW w:w="753" w:type="dxa"/>
            <w:gridSpan w:val="3"/>
            <w:tcBorders>
              <w:top w:val="single" w:color="auto" w:sz="4" w:space="0"/>
              <w:left w:val="single" w:color="auto" w:sz="4" w:space="0"/>
              <w:bottom w:val="single" w:color="auto" w:sz="4" w:space="0"/>
              <w:right w:val="single" w:color="auto" w:sz="4" w:space="0"/>
            </w:tcBorders>
            <w:vAlign w:val="center"/>
          </w:tcPr>
          <w:p>
            <w:pPr>
              <w:pStyle w:val="49"/>
              <w:spacing w:line="360" w:lineRule="auto"/>
              <w:ind w:firstLine="0" w:firstLineChars="0"/>
              <w:jc w:val="center"/>
              <w:rPr>
                <w:rFonts w:ascii="宋体" w:eastAsia="宋体" w:cs="宋体"/>
                <w:color w:val="auto"/>
                <w:sz w:val="21"/>
                <w:szCs w:val="21"/>
                <w:highlight w:val="none"/>
                <w:lang w:val="en-GB"/>
              </w:rPr>
            </w:pPr>
            <w:r>
              <w:rPr>
                <w:rFonts w:hint="eastAsia" w:ascii="宋体" w:eastAsia="宋体" w:cs="宋体"/>
                <w:b/>
                <w:bCs/>
                <w:color w:val="auto"/>
                <w:sz w:val="21"/>
                <w:szCs w:val="21"/>
                <w:highlight w:val="none"/>
              </w:rPr>
              <w:t>分值</w:t>
            </w:r>
          </w:p>
        </w:tc>
        <w:tc>
          <w:tcPr>
            <w:tcW w:w="5486" w:type="dxa"/>
            <w:tcBorders>
              <w:top w:val="single" w:color="auto" w:sz="4" w:space="0"/>
              <w:left w:val="single" w:color="auto" w:sz="4" w:space="0"/>
              <w:bottom w:val="single" w:color="auto" w:sz="4" w:space="0"/>
              <w:right w:val="single" w:color="auto" w:sz="4" w:space="0"/>
            </w:tcBorders>
            <w:vAlign w:val="center"/>
          </w:tcPr>
          <w:p>
            <w:pPr>
              <w:pStyle w:val="49"/>
              <w:spacing w:line="360" w:lineRule="auto"/>
              <w:ind w:firstLine="0" w:firstLineChars="0"/>
              <w:jc w:val="center"/>
              <w:rPr>
                <w:rFonts w:ascii="宋体" w:eastAsia="宋体" w:cs="宋体"/>
                <w:color w:val="auto"/>
                <w:sz w:val="21"/>
                <w:szCs w:val="21"/>
                <w:highlight w:val="none"/>
                <w:lang w:val="en-GB"/>
              </w:rPr>
            </w:pPr>
            <w:r>
              <w:rPr>
                <w:rFonts w:hint="eastAsia" w:asci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8519" w:type="dxa"/>
            <w:gridSpan w:val="9"/>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Cs w:val="21"/>
                <w:highlight w:val="none"/>
                <w:lang w:val="en-GB"/>
              </w:rPr>
            </w:pPr>
            <w:r>
              <w:rPr>
                <w:rFonts w:hint="eastAsia" w:ascii="宋体" w:hAnsi="宋体" w:cs="宋体"/>
                <w:b/>
                <w:bCs/>
                <w:color w:val="auto"/>
                <w:kern w:val="2"/>
                <w:szCs w:val="21"/>
                <w:highlight w:val="none"/>
              </w:rPr>
              <w:t>商务评分细则（合计1</w:t>
            </w:r>
            <w:r>
              <w:rPr>
                <w:rFonts w:hint="eastAsia" w:ascii="宋体" w:hAnsi="宋体" w:cs="宋体"/>
                <w:b/>
                <w:bCs/>
                <w:color w:val="auto"/>
                <w:kern w:val="2"/>
                <w:szCs w:val="21"/>
                <w:highlight w:val="none"/>
                <w:lang w:val="en-US" w:eastAsia="zh-CN"/>
              </w:rPr>
              <w:t>5</w:t>
            </w:r>
            <w:r>
              <w:rPr>
                <w:rFonts w:hint="eastAsia" w:ascii="宋体" w:hAnsi="宋体" w:cs="宋体"/>
                <w:b/>
                <w:bCs/>
                <w:color w:val="auto"/>
                <w:kern w:val="2"/>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8" w:type="dxa"/>
            <w:gridSpan w:val="2"/>
            <w:tcBorders>
              <w:top w:val="single" w:color="auto" w:sz="4" w:space="0"/>
              <w:left w:val="single" w:color="auto" w:sz="4" w:space="0"/>
              <w:bottom w:val="single" w:color="auto" w:sz="4" w:space="0"/>
              <w:right w:val="single" w:color="auto" w:sz="4" w:space="0"/>
            </w:tcBorders>
            <w:vAlign w:val="center"/>
          </w:tcPr>
          <w:p>
            <w:pPr>
              <w:pStyle w:val="49"/>
              <w:spacing w:line="360" w:lineRule="auto"/>
              <w:ind w:firstLine="210" w:firstLineChars="100"/>
              <w:rPr>
                <w:rFonts w:ascii="宋体" w:eastAsia="宋体" w:cs="宋体"/>
                <w:color w:val="auto"/>
                <w:sz w:val="21"/>
                <w:szCs w:val="21"/>
                <w:highlight w:val="none"/>
                <w:u w:val="single"/>
              </w:rPr>
            </w:pPr>
            <w:r>
              <w:rPr>
                <w:rFonts w:hint="eastAsia" w:ascii="宋体" w:eastAsia="宋体" w:cs="宋体"/>
                <w:color w:val="auto"/>
                <w:sz w:val="21"/>
                <w:szCs w:val="21"/>
                <w:highlight w:val="none"/>
              </w:rPr>
              <w:t>1</w:t>
            </w:r>
          </w:p>
        </w:tc>
        <w:tc>
          <w:tcPr>
            <w:tcW w:w="1522" w:type="dxa"/>
            <w:gridSpan w:val="3"/>
            <w:tcBorders>
              <w:top w:val="single" w:color="auto" w:sz="4" w:space="0"/>
              <w:left w:val="single" w:color="auto" w:sz="4" w:space="0"/>
              <w:bottom w:val="single" w:color="auto" w:sz="4" w:space="0"/>
              <w:right w:val="single" w:color="auto" w:sz="4" w:space="0"/>
            </w:tcBorders>
            <w:vAlign w:val="center"/>
          </w:tcPr>
          <w:p>
            <w:pPr>
              <w:pStyle w:val="49"/>
              <w:spacing w:line="360" w:lineRule="auto"/>
              <w:ind w:firstLine="0" w:firstLineChars="0"/>
              <w:jc w:val="center"/>
              <w:rPr>
                <w:rFonts w:ascii="宋体" w:eastAsia="宋体" w:cs="宋体"/>
                <w:color w:val="auto"/>
                <w:sz w:val="21"/>
                <w:szCs w:val="21"/>
                <w:highlight w:val="none"/>
                <w:lang w:val="en-GB"/>
              </w:rPr>
            </w:pPr>
            <w:r>
              <w:rPr>
                <w:rFonts w:hint="eastAsia" w:ascii="宋体" w:eastAsia="宋体" w:cs="宋体"/>
                <w:color w:val="auto"/>
                <w:sz w:val="21"/>
                <w:szCs w:val="21"/>
                <w:highlight w:val="none"/>
              </w:rPr>
              <w:t>管理体系认证情况</w:t>
            </w:r>
          </w:p>
        </w:tc>
        <w:tc>
          <w:tcPr>
            <w:tcW w:w="753"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Cs w:val="21"/>
                <w:highlight w:val="none"/>
                <w:lang w:val="en-GB"/>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p>
        </w:tc>
        <w:tc>
          <w:tcPr>
            <w:tcW w:w="5486" w:type="dxa"/>
            <w:tcBorders>
              <w:top w:val="single" w:color="auto" w:sz="4" w:space="0"/>
              <w:left w:val="single" w:color="auto" w:sz="4" w:space="0"/>
              <w:bottom w:val="single" w:color="auto" w:sz="4" w:space="0"/>
              <w:right w:val="single" w:color="auto" w:sz="4" w:space="0"/>
            </w:tcBorders>
            <w:vAlign w:val="center"/>
          </w:tcPr>
          <w:p>
            <w:pPr>
              <w:pStyle w:val="49"/>
              <w:spacing w:line="360" w:lineRule="auto"/>
              <w:ind w:firstLine="433"/>
              <w:rPr>
                <w:rFonts w:ascii="宋体" w:eastAsia="宋体" w:cs="宋体"/>
                <w:bCs/>
                <w:color w:val="auto"/>
                <w:sz w:val="21"/>
                <w:szCs w:val="21"/>
                <w:highlight w:val="none"/>
              </w:rPr>
            </w:pPr>
            <w:r>
              <w:rPr>
                <w:rFonts w:hint="eastAsia" w:ascii="宋体" w:eastAsia="宋体" w:cs="宋体"/>
                <w:bCs/>
                <w:color w:val="auto"/>
                <w:sz w:val="21"/>
                <w:szCs w:val="21"/>
                <w:highlight w:val="none"/>
              </w:rPr>
              <w:t xml:space="preserve">投标人具有的由国家认证认可监督管理部门批准设立的认证机构颁发并在有效期内的证书： </w:t>
            </w:r>
          </w:p>
          <w:p>
            <w:pPr>
              <w:pStyle w:val="49"/>
              <w:spacing w:line="360" w:lineRule="auto"/>
              <w:ind w:firstLine="433"/>
              <w:rPr>
                <w:rFonts w:ascii="宋体" w:eastAsia="宋体" w:cs="宋体"/>
                <w:bCs/>
                <w:color w:val="auto"/>
                <w:sz w:val="21"/>
                <w:szCs w:val="21"/>
                <w:highlight w:val="none"/>
              </w:rPr>
            </w:pPr>
            <w:r>
              <w:rPr>
                <w:rFonts w:hint="eastAsia" w:ascii="宋体" w:eastAsia="宋体" w:cs="宋体"/>
                <w:bCs/>
                <w:color w:val="auto"/>
                <w:sz w:val="21"/>
                <w:szCs w:val="21"/>
                <w:highlight w:val="none"/>
              </w:rPr>
              <w:t>①质量管理体系认证；</w:t>
            </w:r>
          </w:p>
          <w:p>
            <w:pPr>
              <w:pStyle w:val="49"/>
              <w:spacing w:line="360" w:lineRule="auto"/>
              <w:ind w:firstLine="433"/>
              <w:rPr>
                <w:rFonts w:ascii="宋体" w:eastAsia="宋体" w:cs="宋体"/>
                <w:bCs/>
                <w:color w:val="auto"/>
                <w:sz w:val="21"/>
                <w:szCs w:val="21"/>
                <w:highlight w:val="none"/>
              </w:rPr>
            </w:pPr>
            <w:r>
              <w:rPr>
                <w:rFonts w:hint="eastAsia" w:ascii="宋体" w:eastAsia="宋体" w:cs="宋体"/>
                <w:bCs/>
                <w:color w:val="auto"/>
                <w:sz w:val="21"/>
                <w:szCs w:val="21"/>
                <w:highlight w:val="none"/>
              </w:rPr>
              <w:t>②环境管理体系认证；</w:t>
            </w:r>
          </w:p>
          <w:p>
            <w:pPr>
              <w:pStyle w:val="49"/>
              <w:spacing w:line="360" w:lineRule="auto"/>
              <w:ind w:firstLine="433"/>
              <w:rPr>
                <w:rFonts w:ascii="宋体" w:eastAsia="宋体" w:cs="宋体"/>
                <w:bCs/>
                <w:color w:val="auto"/>
                <w:sz w:val="21"/>
                <w:szCs w:val="21"/>
                <w:highlight w:val="none"/>
              </w:rPr>
            </w:pPr>
            <w:r>
              <w:rPr>
                <w:rFonts w:hint="eastAsia" w:ascii="宋体" w:eastAsia="宋体" w:cs="宋体"/>
                <w:bCs/>
                <w:color w:val="auto"/>
                <w:sz w:val="21"/>
                <w:szCs w:val="21"/>
                <w:highlight w:val="none"/>
              </w:rPr>
              <w:t>③职业健康安全管理体系认证；</w:t>
            </w:r>
          </w:p>
          <w:p>
            <w:pPr>
              <w:spacing w:line="360" w:lineRule="auto"/>
              <w:ind w:firstLine="420" w:firstLineChars="200"/>
              <w:rPr>
                <w:rFonts w:ascii="宋体" w:eastAsia="宋体" w:cs="宋体"/>
                <w:bCs/>
                <w:color w:val="auto"/>
                <w:sz w:val="21"/>
                <w:szCs w:val="21"/>
                <w:highlight w:val="none"/>
              </w:rPr>
            </w:pPr>
            <w:r>
              <w:rPr>
                <w:rFonts w:hint="eastAsia" w:asciiTheme="minorEastAsia" w:hAnsiTheme="minorEastAsia" w:eastAsiaTheme="minorEastAsia" w:cstheme="minorEastAsia"/>
                <w:bCs/>
                <w:color w:val="auto"/>
                <w:kern w:val="2"/>
                <w:szCs w:val="21"/>
                <w:highlight w:val="none"/>
                <w:lang w:bidi="ar"/>
              </w:rPr>
              <w:t>具有三项得2分，两项得1分，只有一项得0.5分，没有不得分，本项最高得2分。</w:t>
            </w:r>
            <w:r>
              <w:rPr>
                <w:rFonts w:hint="eastAsia" w:ascii="宋体" w:eastAsia="宋体" w:cs="宋体"/>
                <w:bCs/>
                <w:color w:val="auto"/>
                <w:sz w:val="21"/>
                <w:szCs w:val="21"/>
                <w:highlight w:val="none"/>
              </w:rPr>
              <w:t>。</w:t>
            </w:r>
          </w:p>
          <w:p>
            <w:pPr>
              <w:pStyle w:val="49"/>
              <w:spacing w:line="360" w:lineRule="auto"/>
              <w:ind w:firstLine="433"/>
              <w:rPr>
                <w:rFonts w:ascii="宋体" w:eastAsia="宋体" w:cs="宋体"/>
                <w:color w:val="auto"/>
                <w:sz w:val="21"/>
                <w:szCs w:val="21"/>
                <w:highlight w:val="none"/>
                <w:shd w:val="clear" w:color="auto" w:fill="FFFFFF"/>
              </w:rPr>
            </w:pPr>
            <w:r>
              <w:rPr>
                <w:rFonts w:hint="eastAsia" w:ascii="宋体" w:eastAsia="宋体" w:cs="宋体"/>
                <w:bCs/>
                <w:color w:val="auto"/>
                <w:sz w:val="21"/>
                <w:szCs w:val="21"/>
                <w:highlight w:val="none"/>
                <w:u w:val="single"/>
              </w:rPr>
              <w:t>注：</w:t>
            </w:r>
            <w:r>
              <w:rPr>
                <w:rFonts w:hint="eastAsia" w:ascii="宋体" w:eastAsia="宋体" w:cs="宋体"/>
                <w:b/>
                <w:color w:val="auto"/>
                <w:sz w:val="21"/>
                <w:szCs w:val="21"/>
                <w:highlight w:val="none"/>
                <w:u w:val="single"/>
                <w:lang w:val="zh-CN"/>
              </w:rPr>
              <w:t>须提供有效证书复印件及全国认证认可信息公共服务平台官网查询截图</w:t>
            </w:r>
            <w:r>
              <w:rPr>
                <w:rFonts w:hint="eastAsia" w:ascii="宋体" w:eastAsia="宋体" w:cs="宋体"/>
                <w:b/>
                <w:color w:val="auto"/>
                <w:sz w:val="21"/>
                <w:szCs w:val="21"/>
                <w:highlight w:val="none"/>
                <w:u w:val="single"/>
              </w:rPr>
              <w:t>并</w:t>
            </w:r>
            <w:r>
              <w:rPr>
                <w:rFonts w:hint="eastAsia" w:ascii="宋体" w:eastAsia="宋体" w:cs="宋体"/>
                <w:b/>
                <w:color w:val="auto"/>
                <w:sz w:val="21"/>
                <w:szCs w:val="21"/>
                <w:highlight w:val="none"/>
                <w:u w:val="single"/>
                <w:lang w:val="zh-CN"/>
              </w:rPr>
              <w:t>加盖</w:t>
            </w:r>
            <w:r>
              <w:rPr>
                <w:rFonts w:hint="eastAsia" w:ascii="宋体" w:eastAsia="宋体" w:cs="宋体"/>
                <w:b/>
                <w:color w:val="auto"/>
                <w:sz w:val="21"/>
                <w:szCs w:val="21"/>
                <w:highlight w:val="none"/>
                <w:u w:val="single"/>
              </w:rPr>
              <w:t>投标人</w:t>
            </w:r>
            <w:r>
              <w:rPr>
                <w:rFonts w:hint="eastAsia" w:ascii="宋体" w:eastAsia="宋体" w:cs="宋体"/>
                <w:b/>
                <w:color w:val="auto"/>
                <w:sz w:val="21"/>
                <w:szCs w:val="21"/>
                <w:highlight w:val="none"/>
                <w:u w:val="single"/>
                <w:lang w:val="zh-CN"/>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Cs w:val="21"/>
                <w:highlight w:val="none"/>
                <w:lang w:val="en-GB"/>
              </w:rPr>
            </w:pPr>
            <w:r>
              <w:rPr>
                <w:rFonts w:hint="eastAsia" w:ascii="宋体" w:hAnsi="宋体" w:cs="宋体"/>
                <w:color w:val="auto"/>
                <w:szCs w:val="21"/>
                <w:highlight w:val="none"/>
              </w:rPr>
              <w:t>2</w:t>
            </w:r>
          </w:p>
        </w:tc>
        <w:tc>
          <w:tcPr>
            <w:tcW w:w="1522" w:type="dxa"/>
            <w:gridSpan w:val="3"/>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sz w:val="21"/>
                <w:szCs w:val="21"/>
                <w:highlight w:val="none"/>
                <w:lang w:val="en-GB"/>
              </w:rPr>
            </w:pPr>
            <w:r>
              <w:rPr>
                <w:rFonts w:hint="eastAsia" w:ascii="宋体" w:eastAsia="宋体" w:cs="宋体"/>
                <w:color w:val="auto"/>
                <w:sz w:val="21"/>
                <w:szCs w:val="21"/>
                <w:highlight w:val="none"/>
                <w:lang w:val="en-GB"/>
              </w:rPr>
              <w:t>财务状况</w:t>
            </w:r>
          </w:p>
        </w:tc>
        <w:tc>
          <w:tcPr>
            <w:tcW w:w="753" w:type="dxa"/>
            <w:gridSpan w:val="3"/>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分</w:t>
            </w:r>
          </w:p>
        </w:tc>
        <w:tc>
          <w:tcPr>
            <w:tcW w:w="5486"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根据投标人20</w:t>
            </w:r>
            <w:r>
              <w:rPr>
                <w:rFonts w:hint="eastAsia" w:ascii="宋体" w:hAnsi="宋体" w:cs="宋体"/>
                <w:color w:val="auto"/>
                <w:szCs w:val="21"/>
                <w:highlight w:val="none"/>
                <w:shd w:val="clear" w:color="auto" w:fill="FFFFFF"/>
              </w:rPr>
              <w:t>20</w:t>
            </w:r>
            <w:r>
              <w:rPr>
                <w:rFonts w:hint="eastAsia" w:ascii="宋体" w:hAnsi="宋体" w:cs="宋体"/>
                <w:color w:val="auto"/>
                <w:szCs w:val="21"/>
                <w:highlight w:val="none"/>
                <w:shd w:val="clear" w:color="auto" w:fill="FFFFFF"/>
                <w:lang w:val="zh-CN"/>
              </w:rPr>
              <w:t>年</w:t>
            </w:r>
            <w:r>
              <w:rPr>
                <w:rFonts w:hint="eastAsia" w:ascii="宋体" w:hAnsi="宋体" w:cs="宋体"/>
                <w:color w:val="auto"/>
                <w:szCs w:val="21"/>
                <w:highlight w:val="none"/>
                <w:shd w:val="clear" w:color="auto" w:fill="FFFFFF"/>
              </w:rPr>
              <w:t>至今</w:t>
            </w:r>
            <w:r>
              <w:rPr>
                <w:rFonts w:hint="eastAsia" w:ascii="宋体" w:hAnsi="宋体" w:cs="宋体"/>
                <w:color w:val="auto"/>
                <w:szCs w:val="21"/>
                <w:highlight w:val="none"/>
                <w:shd w:val="clear" w:color="auto" w:fill="FFFFFF"/>
                <w:lang w:val="zh-CN"/>
              </w:rPr>
              <w:t>财务状况进行评价。连续三年盈利的得</w:t>
            </w:r>
            <w:r>
              <w:rPr>
                <w:rFonts w:hint="eastAsia" w:ascii="宋体" w:hAnsi="宋体" w:cs="宋体"/>
                <w:color w:val="auto"/>
                <w:szCs w:val="21"/>
                <w:highlight w:val="none"/>
                <w:shd w:val="clear" w:color="auto" w:fill="FFFFFF"/>
                <w:lang w:val="en-US" w:eastAsia="zh-CN"/>
              </w:rPr>
              <w:t>2</w:t>
            </w:r>
            <w:r>
              <w:rPr>
                <w:rFonts w:hint="eastAsia" w:ascii="宋体" w:hAnsi="宋体" w:cs="宋体"/>
                <w:color w:val="auto"/>
                <w:szCs w:val="21"/>
                <w:highlight w:val="none"/>
                <w:shd w:val="clear" w:color="auto" w:fill="FFFFFF"/>
                <w:lang w:val="zh-CN"/>
              </w:rPr>
              <w:t>分，只有两年盈利的得</w:t>
            </w:r>
            <w:r>
              <w:rPr>
                <w:rFonts w:hint="eastAsia" w:ascii="宋体" w:hAnsi="宋体" w:cs="宋体"/>
                <w:color w:val="auto"/>
                <w:szCs w:val="21"/>
                <w:highlight w:val="none"/>
                <w:shd w:val="clear" w:color="auto" w:fill="FFFFFF"/>
              </w:rPr>
              <w:t>1</w:t>
            </w:r>
            <w:r>
              <w:rPr>
                <w:rFonts w:hint="eastAsia" w:ascii="宋体" w:hAnsi="宋体" w:cs="宋体"/>
                <w:color w:val="auto"/>
                <w:szCs w:val="21"/>
                <w:highlight w:val="none"/>
                <w:shd w:val="clear" w:color="auto" w:fill="FFFFFF"/>
                <w:lang w:val="zh-CN"/>
              </w:rPr>
              <w:t>分，只有一年盈利的得</w:t>
            </w:r>
            <w:r>
              <w:rPr>
                <w:rFonts w:hint="eastAsia" w:ascii="宋体" w:hAnsi="宋体" w:cs="宋体"/>
                <w:color w:val="auto"/>
                <w:szCs w:val="21"/>
                <w:highlight w:val="none"/>
                <w:shd w:val="clear" w:color="auto" w:fill="FFFFFF"/>
              </w:rPr>
              <w:t>0.5</w:t>
            </w:r>
            <w:r>
              <w:rPr>
                <w:rFonts w:hint="eastAsia" w:ascii="宋体" w:hAnsi="宋体" w:cs="宋体"/>
                <w:color w:val="auto"/>
                <w:szCs w:val="21"/>
                <w:highlight w:val="none"/>
                <w:shd w:val="clear" w:color="auto" w:fill="FFFFFF"/>
                <w:lang w:val="zh-CN"/>
              </w:rPr>
              <w:t>分，无盈利</w:t>
            </w:r>
            <w:r>
              <w:rPr>
                <w:rFonts w:hint="eastAsia" w:ascii="宋体" w:hAnsi="宋体" w:cs="宋体"/>
                <w:bCs/>
                <w:color w:val="auto"/>
                <w:szCs w:val="21"/>
                <w:highlight w:val="none"/>
                <w:lang w:val="zh-CN"/>
              </w:rPr>
              <w:t>不得分</w:t>
            </w:r>
            <w:r>
              <w:rPr>
                <w:rFonts w:hint="eastAsia" w:ascii="宋体" w:hAnsi="宋体" w:cs="宋体"/>
                <w:color w:val="auto"/>
                <w:szCs w:val="21"/>
                <w:highlight w:val="none"/>
                <w:shd w:val="clear" w:color="auto" w:fill="FFFFFF"/>
                <w:lang w:val="zh-CN"/>
              </w:rPr>
              <w:t>。</w:t>
            </w:r>
          </w:p>
          <w:p>
            <w:pPr>
              <w:spacing w:line="400" w:lineRule="exact"/>
              <w:ind w:firstLine="422" w:firstLineChars="200"/>
              <w:rPr>
                <w:rFonts w:ascii="宋体" w:hAnsi="宋体" w:cs="宋体"/>
                <w:color w:val="auto"/>
                <w:szCs w:val="21"/>
                <w:highlight w:val="none"/>
                <w:shd w:val="clear" w:color="auto" w:fill="FFFFFF"/>
              </w:rPr>
            </w:pPr>
            <w:r>
              <w:rPr>
                <w:rFonts w:hint="eastAsia" w:ascii="宋体" w:hAnsi="宋体" w:cs="宋体"/>
                <w:b/>
                <w:color w:val="auto"/>
                <w:szCs w:val="21"/>
                <w:highlight w:val="none"/>
                <w:u w:val="single"/>
                <w:lang w:val="zh-CN"/>
              </w:rPr>
              <w:t>注：须提供</w:t>
            </w:r>
            <w:r>
              <w:rPr>
                <w:rFonts w:hint="eastAsia" w:ascii="宋体" w:hAnsi="宋体" w:cs="宋体"/>
                <w:b/>
                <w:bCs/>
                <w:color w:val="auto"/>
                <w:szCs w:val="21"/>
                <w:highlight w:val="none"/>
                <w:u w:val="single"/>
              </w:rPr>
              <w:t>会计师事务所审计的财务报表复印件</w:t>
            </w:r>
            <w:r>
              <w:rPr>
                <w:rFonts w:hint="eastAsia" w:ascii="宋体" w:hAnsi="宋体" w:cs="宋体"/>
                <w:b/>
                <w:color w:val="auto"/>
                <w:szCs w:val="21"/>
                <w:highlight w:val="none"/>
                <w:u w:val="single"/>
              </w:rPr>
              <w:t>并</w:t>
            </w:r>
            <w:r>
              <w:rPr>
                <w:rFonts w:hint="eastAsia" w:ascii="宋体" w:hAnsi="宋体" w:cs="宋体"/>
                <w:b/>
                <w:bCs/>
                <w:color w:val="auto"/>
                <w:szCs w:val="21"/>
                <w:highlight w:val="none"/>
                <w:u w:val="single"/>
              </w:rPr>
              <w:t>加盖投标人公章</w:t>
            </w:r>
            <w:r>
              <w:rPr>
                <w:rFonts w:hint="eastAsia" w:ascii="宋体" w:hAnsi="宋体" w:cs="宋体"/>
                <w:b/>
                <w:color w:val="auto"/>
                <w:szCs w:val="21"/>
                <w:highlight w:val="none"/>
                <w:u w:val="singl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Cs w:val="21"/>
                <w:highlight w:val="none"/>
                <w:lang w:val="en-GB"/>
              </w:rPr>
            </w:pPr>
            <w:r>
              <w:rPr>
                <w:rFonts w:hint="eastAsia" w:ascii="宋体" w:hAnsi="宋体" w:cs="宋体"/>
                <w:color w:val="auto"/>
                <w:szCs w:val="21"/>
                <w:highlight w:val="none"/>
              </w:rPr>
              <w:t>3</w:t>
            </w:r>
          </w:p>
        </w:tc>
        <w:tc>
          <w:tcPr>
            <w:tcW w:w="1522" w:type="dxa"/>
            <w:gridSpan w:val="3"/>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sz w:val="21"/>
                <w:szCs w:val="21"/>
                <w:highlight w:val="none"/>
                <w:lang w:val="en-GB"/>
              </w:rPr>
            </w:pPr>
            <w:r>
              <w:rPr>
                <w:rFonts w:hint="eastAsia" w:ascii="宋体" w:eastAsia="宋体" w:cs="宋体"/>
                <w:color w:val="auto"/>
                <w:sz w:val="21"/>
                <w:szCs w:val="21"/>
                <w:highlight w:val="none"/>
              </w:rPr>
              <w:t>业绩</w:t>
            </w:r>
          </w:p>
        </w:tc>
        <w:tc>
          <w:tcPr>
            <w:tcW w:w="753"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bCs/>
                <w:color w:val="auto"/>
                <w:szCs w:val="21"/>
                <w:highlight w:val="none"/>
              </w:rPr>
            </w:pP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rPr>
              <w:t>分</w:t>
            </w:r>
          </w:p>
        </w:tc>
        <w:tc>
          <w:tcPr>
            <w:tcW w:w="5486"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根据投标人</w:t>
            </w:r>
            <w:r>
              <w:rPr>
                <w:rFonts w:hint="eastAsia" w:ascii="宋体" w:hAnsi="宋体" w:cs="宋体"/>
                <w:bCs/>
                <w:color w:val="auto"/>
                <w:szCs w:val="21"/>
                <w:highlight w:val="none"/>
                <w:lang w:val="zh-CN"/>
              </w:rPr>
              <w:t>20</w:t>
            </w:r>
            <w:r>
              <w:rPr>
                <w:rFonts w:hint="eastAsia" w:ascii="宋体" w:hAnsi="宋体" w:cs="宋体"/>
                <w:bCs/>
                <w:color w:val="auto"/>
                <w:szCs w:val="21"/>
                <w:highlight w:val="none"/>
              </w:rPr>
              <w:t>20</w:t>
            </w:r>
            <w:r>
              <w:rPr>
                <w:rFonts w:hint="eastAsia" w:ascii="宋体" w:hAnsi="宋体" w:cs="宋体"/>
                <w:bCs/>
                <w:color w:val="auto"/>
                <w:szCs w:val="21"/>
                <w:highlight w:val="none"/>
                <w:lang w:val="zh-CN"/>
              </w:rPr>
              <w:t>年</w:t>
            </w:r>
            <w:r>
              <w:rPr>
                <w:rFonts w:hint="eastAsia" w:ascii="宋体" w:hAnsi="宋体" w:cs="宋体"/>
                <w:bCs/>
                <w:color w:val="auto"/>
                <w:szCs w:val="21"/>
                <w:highlight w:val="none"/>
              </w:rPr>
              <w:t>1月1日至今完成与所投产品同一品牌</w:t>
            </w:r>
            <w:r>
              <w:rPr>
                <w:rFonts w:hint="eastAsia" w:ascii="宋体" w:hAnsi="宋体" w:cs="宋体"/>
                <w:color w:val="auto"/>
                <w:szCs w:val="21"/>
                <w:highlight w:val="none"/>
                <w:shd w:val="clear" w:color="auto" w:fill="FFFFFF"/>
              </w:rPr>
              <w:t>的环卫车辆（垃圾转运类）项目业绩情况进行评审：</w:t>
            </w:r>
          </w:p>
          <w:p>
            <w:pPr>
              <w:spacing w:line="400" w:lineRule="exact"/>
              <w:ind w:firstLine="48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①每提供一份</w:t>
            </w:r>
            <w:r>
              <w:rPr>
                <w:rFonts w:hint="eastAsia" w:cs="宋体" w:asciiTheme="minorEastAsia" w:hAnsiTheme="minorEastAsia" w:eastAsiaTheme="minorEastAsia"/>
                <w:color w:val="auto"/>
                <w:szCs w:val="21"/>
                <w:highlight w:val="none"/>
                <w:shd w:val="clear" w:color="auto" w:fill="FFFFFF"/>
              </w:rPr>
              <w:t>与</w:t>
            </w:r>
            <w:r>
              <w:rPr>
                <w:rFonts w:hint="eastAsia" w:cs="宋体" w:asciiTheme="minorEastAsia" w:hAnsiTheme="minorEastAsia" w:eastAsiaTheme="minorEastAsia"/>
                <w:bCs/>
                <w:color w:val="auto"/>
                <w:szCs w:val="21"/>
                <w:highlight w:val="none"/>
              </w:rPr>
              <w:t>所投产品同一品牌</w:t>
            </w:r>
            <w:r>
              <w:rPr>
                <w:rFonts w:hint="eastAsia" w:ascii="宋体" w:hAnsi="宋体" w:cs="宋体"/>
                <w:color w:val="auto"/>
                <w:szCs w:val="21"/>
                <w:highlight w:val="none"/>
                <w:shd w:val="clear" w:color="auto" w:fill="FFFFFF"/>
              </w:rPr>
              <w:t>合同金额≥</w:t>
            </w:r>
            <w:r>
              <w:rPr>
                <w:rFonts w:hint="eastAsia" w:ascii="宋体" w:hAnsi="宋体" w:cs="宋体"/>
                <w:color w:val="auto"/>
                <w:szCs w:val="21"/>
                <w:highlight w:val="none"/>
                <w:shd w:val="clear" w:color="auto" w:fill="FFFFFF"/>
                <w:lang w:val="en-US" w:eastAsia="zh-CN"/>
              </w:rPr>
              <w:t>3</w:t>
            </w:r>
            <w:r>
              <w:rPr>
                <w:rFonts w:hint="eastAsia" w:ascii="宋体" w:hAnsi="宋体" w:cs="宋体"/>
                <w:color w:val="auto"/>
                <w:szCs w:val="21"/>
                <w:highlight w:val="none"/>
                <w:shd w:val="clear" w:color="auto" w:fill="FFFFFF"/>
              </w:rPr>
              <w:t>00万元业绩，每份得1分；</w:t>
            </w:r>
          </w:p>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②每提供一份</w:t>
            </w:r>
            <w:r>
              <w:rPr>
                <w:rFonts w:hint="eastAsia" w:cs="宋体" w:asciiTheme="minorEastAsia" w:hAnsiTheme="minorEastAsia" w:eastAsiaTheme="minorEastAsia"/>
                <w:color w:val="auto"/>
                <w:szCs w:val="21"/>
                <w:highlight w:val="none"/>
                <w:shd w:val="clear" w:color="auto" w:fill="FFFFFF"/>
              </w:rPr>
              <w:t>与</w:t>
            </w:r>
            <w:r>
              <w:rPr>
                <w:rFonts w:hint="eastAsia" w:cs="宋体" w:asciiTheme="minorEastAsia" w:hAnsiTheme="minorEastAsia" w:eastAsiaTheme="minorEastAsia"/>
                <w:bCs/>
                <w:color w:val="auto"/>
                <w:szCs w:val="21"/>
                <w:highlight w:val="none"/>
              </w:rPr>
              <w:t>所投产品同一品牌</w:t>
            </w:r>
            <w:r>
              <w:rPr>
                <w:rFonts w:hint="eastAsia" w:ascii="宋体" w:hAnsi="宋体" w:cs="宋体"/>
                <w:color w:val="auto"/>
                <w:szCs w:val="21"/>
                <w:highlight w:val="none"/>
                <w:shd w:val="clear" w:color="auto" w:fill="FFFFFF"/>
              </w:rPr>
              <w:t>合同金额≥</w:t>
            </w:r>
            <w:r>
              <w:rPr>
                <w:rFonts w:hint="eastAsia" w:ascii="宋体" w:hAnsi="宋体" w:cs="宋体"/>
                <w:color w:val="auto"/>
                <w:szCs w:val="21"/>
                <w:highlight w:val="none"/>
                <w:shd w:val="clear" w:color="auto" w:fill="FFFFFF"/>
                <w:lang w:val="en-US" w:eastAsia="zh-CN"/>
              </w:rPr>
              <w:t>6</w:t>
            </w:r>
            <w:r>
              <w:rPr>
                <w:rFonts w:hint="eastAsia" w:ascii="宋体" w:hAnsi="宋体" w:cs="宋体"/>
                <w:color w:val="auto"/>
                <w:szCs w:val="21"/>
                <w:highlight w:val="none"/>
                <w:shd w:val="clear" w:color="auto" w:fill="FFFFFF"/>
              </w:rPr>
              <w:t>00万元业绩，每份得2分。</w:t>
            </w:r>
          </w:p>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本项最高得</w:t>
            </w:r>
            <w:r>
              <w:rPr>
                <w:rFonts w:hint="eastAsia" w:ascii="宋体" w:hAnsi="宋体" w:cs="宋体"/>
                <w:color w:val="auto"/>
                <w:szCs w:val="21"/>
                <w:highlight w:val="none"/>
                <w:shd w:val="clear" w:color="auto" w:fill="FFFFFF"/>
                <w:lang w:val="en-US" w:eastAsia="zh-CN"/>
              </w:rPr>
              <w:t>6</w:t>
            </w:r>
            <w:r>
              <w:rPr>
                <w:rFonts w:hint="eastAsia" w:ascii="宋体" w:hAnsi="宋体" w:cs="宋体"/>
                <w:color w:val="auto"/>
                <w:szCs w:val="21"/>
                <w:highlight w:val="none"/>
                <w:shd w:val="clear" w:color="auto" w:fill="FFFFFF"/>
              </w:rPr>
              <w:t>分。</w:t>
            </w:r>
          </w:p>
          <w:p>
            <w:pPr>
              <w:spacing w:line="400" w:lineRule="exact"/>
              <w:ind w:firstLine="422" w:firstLineChars="200"/>
              <w:rPr>
                <w:rFonts w:ascii="宋体" w:hAnsi="宋体" w:cs="宋体"/>
                <w:color w:val="auto"/>
                <w:szCs w:val="21"/>
                <w:highlight w:val="none"/>
                <w:shd w:val="clear" w:color="auto" w:fill="FFFFFF"/>
              </w:rPr>
            </w:pPr>
            <w:r>
              <w:rPr>
                <w:rFonts w:hint="eastAsia" w:ascii="宋体" w:hAnsi="宋体" w:cs="宋体"/>
                <w:b/>
                <w:color w:val="auto"/>
                <w:szCs w:val="21"/>
                <w:highlight w:val="none"/>
                <w:u w:val="single"/>
                <w:lang w:val="zh-CN"/>
              </w:rPr>
              <w:t>注：①须提供合同</w:t>
            </w:r>
            <w:r>
              <w:rPr>
                <w:rFonts w:hint="eastAsia" w:ascii="宋体" w:hAnsi="宋体" w:cs="宋体"/>
                <w:b/>
                <w:color w:val="auto"/>
                <w:szCs w:val="21"/>
                <w:highlight w:val="none"/>
                <w:u w:val="single"/>
              </w:rPr>
              <w:t>关键页</w:t>
            </w:r>
            <w:r>
              <w:rPr>
                <w:rFonts w:hint="eastAsia" w:ascii="宋体" w:hAnsi="宋体" w:cs="宋体"/>
                <w:b/>
                <w:color w:val="auto"/>
                <w:szCs w:val="21"/>
                <w:highlight w:val="none"/>
                <w:u w:val="single"/>
                <w:lang w:val="zh-CN"/>
              </w:rPr>
              <w:t>复印件（包含但不限于合同首页、合同金额页、合同签字页等）加盖投标人公章，日期以合同签订时间为准；②</w:t>
            </w:r>
            <w:r>
              <w:rPr>
                <w:rFonts w:hint="eastAsia" w:ascii="宋体" w:hAnsi="宋体" w:cs="宋体"/>
                <w:b/>
                <w:color w:val="auto"/>
                <w:szCs w:val="21"/>
                <w:highlight w:val="none"/>
                <w:u w:val="single"/>
              </w:rPr>
              <w:t>该合同期内任意一期</w:t>
            </w:r>
            <w:r>
              <w:rPr>
                <w:rFonts w:hint="eastAsia" w:ascii="宋体" w:hAnsi="宋体" w:cs="宋体"/>
                <w:b/>
                <w:color w:val="auto"/>
                <w:szCs w:val="21"/>
                <w:highlight w:val="none"/>
                <w:u w:val="single"/>
                <w:lang w:val="zh-CN"/>
              </w:rPr>
              <w:t>发票</w:t>
            </w:r>
            <w:r>
              <w:rPr>
                <w:rFonts w:hint="eastAsia" w:ascii="宋体" w:hAnsi="宋体" w:cs="宋体"/>
                <w:b/>
                <w:color w:val="auto"/>
                <w:szCs w:val="21"/>
                <w:highlight w:val="none"/>
                <w:u w:val="single"/>
              </w:rPr>
              <w:t>复印件并加盖投标人公章；③同一份合同不重复计分</w:t>
            </w:r>
            <w:r>
              <w:rPr>
                <w:rFonts w:hint="eastAsia" w:ascii="宋体" w:hAnsi="宋体" w:cs="宋体"/>
                <w:b/>
                <w:color w:val="auto"/>
                <w:szCs w:val="21"/>
                <w:highlight w:val="none"/>
                <w:u w:val="singl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3" w:hRule="atLeast"/>
          <w:jc w:val="center"/>
        </w:trPr>
        <w:tc>
          <w:tcPr>
            <w:tcW w:w="75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1522" w:type="dxa"/>
            <w:gridSpan w:val="3"/>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产品专利</w:t>
            </w:r>
          </w:p>
        </w:tc>
        <w:tc>
          <w:tcPr>
            <w:tcW w:w="753"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p>
        </w:tc>
        <w:tc>
          <w:tcPr>
            <w:tcW w:w="5486"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根据投标人所投产品（“</w:t>
            </w:r>
            <w:r>
              <w:rPr>
                <w:rFonts w:hint="eastAsia" w:ascii="宋体" w:hAnsi="宋体" w:cs="宋体"/>
                <w:color w:val="auto"/>
                <w:highlight w:val="none"/>
              </w:rPr>
              <w:t>车厢可卸式垃圾车</w:t>
            </w:r>
            <w:r>
              <w:rPr>
                <w:rFonts w:hint="eastAsia" w:ascii="宋体" w:hAnsi="宋体" w:cs="宋体"/>
                <w:color w:val="auto"/>
                <w:szCs w:val="21"/>
                <w:highlight w:val="none"/>
                <w:shd w:val="clear" w:color="auto" w:fill="FFFFFF"/>
              </w:rPr>
              <w:t>”、“压缩车”“</w:t>
            </w:r>
            <w:r>
              <w:rPr>
                <w:rFonts w:hint="eastAsia" w:ascii="宋体" w:hAnsi="宋体" w:cs="宋体"/>
                <w:color w:val="auto"/>
                <w:highlight w:val="none"/>
              </w:rPr>
              <w:t>厨余收集车</w:t>
            </w:r>
            <w:r>
              <w:rPr>
                <w:rFonts w:hint="eastAsia" w:ascii="宋体" w:hAnsi="宋体" w:cs="宋体"/>
                <w:color w:val="auto"/>
                <w:szCs w:val="21"/>
                <w:highlight w:val="none"/>
                <w:shd w:val="clear" w:color="auto" w:fill="FFFFFF"/>
              </w:rPr>
              <w:t>”中的任意一类）品牌获得国家知识产权局颁发并在有效期内的发明专利证书的:</w:t>
            </w:r>
          </w:p>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获得一个发明专利证书得</w:t>
            </w:r>
            <w:r>
              <w:rPr>
                <w:rFonts w:hint="eastAsia" w:ascii="宋体" w:hAnsi="宋体" w:cs="宋体"/>
                <w:color w:val="auto"/>
                <w:szCs w:val="21"/>
                <w:highlight w:val="none"/>
                <w:shd w:val="clear" w:color="auto" w:fill="FFFFFF"/>
                <w:lang w:val="en-US" w:eastAsia="zh-CN"/>
              </w:rPr>
              <w:t>1</w:t>
            </w:r>
            <w:r>
              <w:rPr>
                <w:rFonts w:hint="eastAsia" w:ascii="宋体" w:hAnsi="宋体" w:cs="宋体"/>
                <w:color w:val="auto"/>
                <w:szCs w:val="21"/>
                <w:highlight w:val="none"/>
                <w:shd w:val="clear" w:color="auto" w:fill="FFFFFF"/>
              </w:rPr>
              <w:t>分，本项最高得</w:t>
            </w:r>
            <w:r>
              <w:rPr>
                <w:rFonts w:hint="eastAsia" w:ascii="宋体" w:hAnsi="宋体" w:cs="宋体"/>
                <w:color w:val="auto"/>
                <w:szCs w:val="21"/>
                <w:highlight w:val="none"/>
                <w:shd w:val="clear" w:color="auto" w:fill="FFFFFF"/>
                <w:lang w:val="en-US" w:eastAsia="zh-CN"/>
              </w:rPr>
              <w:t>2</w:t>
            </w:r>
            <w:r>
              <w:rPr>
                <w:rFonts w:hint="eastAsia" w:ascii="宋体" w:hAnsi="宋体" w:cs="宋体"/>
                <w:color w:val="auto"/>
                <w:szCs w:val="21"/>
                <w:highlight w:val="none"/>
                <w:shd w:val="clear" w:color="auto" w:fill="FFFFFF"/>
              </w:rPr>
              <w:t>分。</w:t>
            </w:r>
          </w:p>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注：</w:t>
            </w:r>
            <w:r>
              <w:rPr>
                <w:rFonts w:hint="eastAsia" w:ascii="宋体" w:hAnsi="宋体" w:cs="宋体"/>
                <w:b/>
                <w:color w:val="auto"/>
                <w:szCs w:val="21"/>
                <w:highlight w:val="none"/>
                <w:u w:val="single"/>
                <w:lang w:val="zh-CN"/>
              </w:rPr>
              <w:t>①</w:t>
            </w:r>
            <w:r>
              <w:rPr>
                <w:rFonts w:hint="eastAsia" w:ascii="宋体" w:hAnsi="宋体" w:cs="宋体"/>
                <w:color w:val="auto"/>
                <w:szCs w:val="21"/>
                <w:highlight w:val="none"/>
                <w:shd w:val="clear" w:color="auto" w:fill="FFFFFF"/>
              </w:rPr>
              <w:t>须提供投标人相关产品的专利有效证明材料复印件并加盖投标人公章；</w:t>
            </w:r>
            <w:r>
              <w:rPr>
                <w:rFonts w:hint="eastAsia" w:ascii="宋体" w:hAnsi="宋体" w:cs="宋体"/>
                <w:b/>
                <w:color w:val="auto"/>
                <w:szCs w:val="21"/>
                <w:highlight w:val="none"/>
                <w:lang w:val="zh-CN"/>
              </w:rPr>
              <w:t>②</w:t>
            </w:r>
            <w:r>
              <w:rPr>
                <w:rFonts w:hint="eastAsia" w:ascii="宋体" w:hAnsi="宋体" w:cs="宋体"/>
                <w:color w:val="auto"/>
                <w:szCs w:val="21"/>
                <w:highlight w:val="none"/>
                <w:shd w:val="clear" w:color="auto" w:fill="FFFFFF"/>
              </w:rPr>
              <w:t>具有专利证书的车辆必须与投标人所投车辆同一品牌。否则不得分。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75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1522" w:type="dxa"/>
            <w:gridSpan w:val="3"/>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公司实力</w:t>
            </w:r>
          </w:p>
        </w:tc>
        <w:tc>
          <w:tcPr>
            <w:tcW w:w="753"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bCs/>
                <w:color w:val="auto"/>
                <w:szCs w:val="21"/>
                <w:highlight w:val="none"/>
              </w:rPr>
            </w:pPr>
            <w:r>
              <w:rPr>
                <w:rFonts w:hint="eastAsia" w:ascii="宋体" w:hAnsi="宋体" w:cs="宋体"/>
                <w:bCs/>
                <w:color w:val="auto"/>
                <w:szCs w:val="21"/>
                <w:highlight w:val="none"/>
              </w:rPr>
              <w:t>3分</w:t>
            </w:r>
          </w:p>
        </w:tc>
        <w:tc>
          <w:tcPr>
            <w:tcW w:w="5486"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根据投标人所投产品制造商有参与主编或参编环卫设备的</w:t>
            </w:r>
            <w:r>
              <w:rPr>
                <w:rFonts w:hint="eastAsia" w:ascii="宋体" w:hAnsi="宋体" w:cs="宋体"/>
                <w:b/>
                <w:color w:val="auto"/>
                <w:szCs w:val="21"/>
                <w:highlight w:val="none"/>
                <w:shd w:val="clear" w:color="auto" w:fill="FFFFFF"/>
              </w:rPr>
              <w:t>国家标准</w:t>
            </w:r>
            <w:r>
              <w:rPr>
                <w:rFonts w:hint="eastAsia" w:ascii="宋体" w:hAnsi="宋体" w:cs="宋体"/>
                <w:bCs/>
                <w:color w:val="auto"/>
                <w:szCs w:val="21"/>
                <w:highlight w:val="none"/>
                <w:shd w:val="clear" w:color="auto" w:fill="FFFFFF"/>
              </w:rPr>
              <w:t>制</w:t>
            </w:r>
            <w:r>
              <w:rPr>
                <w:rFonts w:hint="eastAsia" w:ascii="宋体" w:hAnsi="宋体" w:cs="宋体"/>
                <w:color w:val="auto"/>
                <w:szCs w:val="21"/>
                <w:highlight w:val="none"/>
                <w:shd w:val="clear" w:color="auto" w:fill="FFFFFF"/>
              </w:rPr>
              <w:t>定的得3分；有参与主编或参编环卫设备</w:t>
            </w:r>
            <w:r>
              <w:rPr>
                <w:rFonts w:hint="eastAsia" w:ascii="宋体" w:hAnsi="宋体" w:cs="宋体"/>
                <w:b/>
                <w:color w:val="auto"/>
                <w:szCs w:val="21"/>
                <w:highlight w:val="none"/>
                <w:shd w:val="clear" w:color="auto" w:fill="FFFFFF"/>
              </w:rPr>
              <w:t>行业标准</w:t>
            </w:r>
            <w:r>
              <w:rPr>
                <w:rFonts w:hint="eastAsia" w:ascii="宋体" w:hAnsi="宋体" w:cs="宋体"/>
                <w:color w:val="auto"/>
                <w:szCs w:val="21"/>
                <w:highlight w:val="none"/>
                <w:shd w:val="clear" w:color="auto" w:fill="FFFFFF"/>
              </w:rPr>
              <w:t>制定的得2分；有参与主编或参编环卫设备</w:t>
            </w:r>
            <w:r>
              <w:rPr>
                <w:rFonts w:hint="eastAsia" w:ascii="宋体" w:hAnsi="宋体" w:cs="宋体"/>
                <w:b/>
                <w:color w:val="auto"/>
                <w:szCs w:val="21"/>
                <w:highlight w:val="none"/>
                <w:shd w:val="clear" w:color="auto" w:fill="FFFFFF"/>
              </w:rPr>
              <w:t>团体标准</w:t>
            </w:r>
            <w:r>
              <w:rPr>
                <w:rFonts w:hint="eastAsia" w:ascii="宋体" w:hAnsi="宋体" w:cs="宋体"/>
                <w:color w:val="auto"/>
                <w:szCs w:val="21"/>
                <w:highlight w:val="none"/>
                <w:shd w:val="clear" w:color="auto" w:fill="FFFFFF"/>
              </w:rPr>
              <w:t>制定的得1分。</w:t>
            </w:r>
          </w:p>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本项最高得3分。</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shd w:val="clear" w:color="auto" w:fill="FFFFFF"/>
              </w:rPr>
              <w:t>注：须提供相关证明文件并加盖投标人公章。否则不得分。如出现以团体参与主编或参编行业环卫设备标准制定的情况的，按照得分高者得分，不得进行累计加分。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8519" w:type="dxa"/>
            <w:gridSpan w:val="9"/>
            <w:tcBorders>
              <w:top w:val="single" w:color="auto" w:sz="4" w:space="0"/>
              <w:left w:val="single" w:color="auto" w:sz="4" w:space="0"/>
              <w:bottom w:val="single" w:color="auto" w:sz="4" w:space="0"/>
              <w:right w:val="single" w:color="auto" w:sz="4" w:space="0"/>
            </w:tcBorders>
            <w:vAlign w:val="center"/>
          </w:tcPr>
          <w:p>
            <w:pPr>
              <w:spacing w:line="400" w:lineRule="exact"/>
              <w:ind w:firstLine="422" w:firstLineChars="200"/>
              <w:jc w:val="center"/>
              <w:rPr>
                <w:rFonts w:ascii="宋体" w:hAnsi="宋体" w:cs="宋体"/>
                <w:color w:val="auto"/>
                <w:szCs w:val="21"/>
                <w:highlight w:val="none"/>
                <w:shd w:val="clear" w:color="auto" w:fill="FFFFFF"/>
                <w:lang w:val="zh-CN"/>
              </w:rPr>
            </w:pPr>
            <w:r>
              <w:rPr>
                <w:rFonts w:hint="eastAsia" w:ascii="宋体" w:hAnsi="宋体" w:cs="宋体"/>
                <w:b/>
                <w:bCs/>
                <w:color w:val="auto"/>
                <w:szCs w:val="21"/>
                <w:highlight w:val="none"/>
                <w:lang w:val="en-GB"/>
              </w:rPr>
              <w:t>技术评分细则（合计</w:t>
            </w:r>
            <w:r>
              <w:rPr>
                <w:rFonts w:hint="eastAsia" w:ascii="宋体" w:hAnsi="宋体" w:cs="宋体"/>
                <w:b/>
                <w:bCs/>
                <w:color w:val="auto"/>
                <w:szCs w:val="21"/>
                <w:highlight w:val="none"/>
                <w:lang w:val="en-US" w:eastAsia="zh-CN"/>
              </w:rPr>
              <w:t>25</w:t>
            </w:r>
            <w:r>
              <w:rPr>
                <w:rFonts w:hint="eastAsia" w:ascii="宋体" w:hAnsi="宋体" w:cs="宋体"/>
                <w:b/>
                <w:bCs/>
                <w:color w:val="auto"/>
                <w:szCs w:val="21"/>
                <w:highlight w:val="none"/>
                <w:lang w:val="en-GB"/>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825"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lang w:val="en-GB"/>
              </w:rPr>
              <w:t>序号</w:t>
            </w:r>
          </w:p>
        </w:tc>
        <w:tc>
          <w:tcPr>
            <w:tcW w:w="111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lang w:val="en-GB"/>
              </w:rPr>
              <w:t>评分内容</w:t>
            </w:r>
          </w:p>
        </w:tc>
        <w:tc>
          <w:tcPr>
            <w:tcW w:w="811" w:type="dxa"/>
            <w:gridSpan w:val="3"/>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lang w:val="en-GB"/>
              </w:rPr>
              <w:t>分值</w:t>
            </w:r>
          </w:p>
        </w:tc>
        <w:tc>
          <w:tcPr>
            <w:tcW w:w="576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422" w:firstLineChars="200"/>
              <w:jc w:val="center"/>
              <w:rPr>
                <w:rFonts w:ascii="宋体" w:hAnsi="宋体" w:cs="宋体"/>
                <w:b/>
                <w:bCs/>
                <w:color w:val="auto"/>
                <w:szCs w:val="21"/>
                <w:highlight w:val="none"/>
                <w:shd w:val="clear" w:color="auto" w:fill="FFFFFF"/>
                <w:lang w:val="zh-CN"/>
              </w:rPr>
            </w:pPr>
            <w:r>
              <w:rPr>
                <w:rFonts w:hint="eastAsia" w:ascii="宋体" w:hAnsi="宋体" w:cs="宋体"/>
                <w:b/>
                <w:bCs/>
                <w:color w:val="auto"/>
                <w:szCs w:val="21"/>
                <w:highlight w:val="none"/>
                <w:lang w:val="en-GB"/>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825"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111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技术参数响应情况</w:t>
            </w:r>
          </w:p>
        </w:tc>
        <w:tc>
          <w:tcPr>
            <w:tcW w:w="811" w:type="dxa"/>
            <w:gridSpan w:val="3"/>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分</w:t>
            </w:r>
          </w:p>
        </w:tc>
        <w:tc>
          <w:tcPr>
            <w:tcW w:w="576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对用户需求书中带“▲”技术要求条款的技术指标进行响应，若全部响应为满足或优于的得</w:t>
            </w:r>
            <w:r>
              <w:rPr>
                <w:rFonts w:hint="eastAsia" w:ascii="宋体" w:hAnsi="宋体" w:cs="宋体"/>
                <w:color w:val="auto"/>
                <w:szCs w:val="21"/>
                <w:highlight w:val="none"/>
                <w:shd w:val="clear" w:color="auto" w:fill="FFFFFF"/>
                <w:lang w:val="en-US" w:eastAsia="zh-CN"/>
              </w:rPr>
              <w:t>4</w:t>
            </w:r>
            <w:r>
              <w:rPr>
                <w:rFonts w:hint="eastAsia" w:ascii="宋体" w:hAnsi="宋体" w:cs="宋体"/>
                <w:color w:val="auto"/>
                <w:szCs w:val="21"/>
                <w:highlight w:val="none"/>
                <w:shd w:val="clear" w:color="auto" w:fill="FFFFFF"/>
                <w:lang w:val="zh-CN"/>
              </w:rPr>
              <w:t>分，不满足或者不响应的每一个扣</w:t>
            </w:r>
            <w:r>
              <w:rPr>
                <w:rFonts w:hint="eastAsia" w:ascii="宋体" w:hAnsi="宋体" w:cs="宋体"/>
                <w:color w:val="auto"/>
                <w:szCs w:val="21"/>
                <w:highlight w:val="none"/>
                <w:shd w:val="clear" w:color="auto" w:fill="FFFFFF"/>
                <w:lang w:val="en-US" w:eastAsia="zh-CN"/>
              </w:rPr>
              <w:t>0.5</w:t>
            </w:r>
            <w:r>
              <w:rPr>
                <w:rFonts w:hint="eastAsia" w:ascii="宋体" w:hAnsi="宋体" w:cs="宋体"/>
                <w:color w:val="auto"/>
                <w:szCs w:val="21"/>
                <w:highlight w:val="none"/>
                <w:shd w:val="clear" w:color="auto" w:fill="FFFFFF"/>
                <w:lang w:val="zh-CN"/>
              </w:rPr>
              <w:t>分，扣完为止，本项最低得0分。</w:t>
            </w:r>
          </w:p>
          <w:p>
            <w:pPr>
              <w:spacing w:line="400" w:lineRule="exact"/>
              <w:ind w:firstLine="420" w:firstLineChars="200"/>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①对用户需求中的带“▲”技术指标条款，用户需求书要求提供证明资料的，则投标文件中须提供对应产品参数的证明资料并加盖投标人公章；</w:t>
            </w:r>
          </w:p>
          <w:p>
            <w:pPr>
              <w:spacing w:line="400" w:lineRule="exact"/>
              <w:ind w:firstLine="420" w:firstLineChars="200"/>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pPr>
              <w:spacing w:line="400" w:lineRule="exact"/>
              <w:ind w:firstLine="420" w:firstLineChars="200"/>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（投标人必须按所投产品实际参数进行响应，否则视为提供虚假材料谋取中标资格。）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825"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bCs/>
                <w:color w:val="auto"/>
                <w:szCs w:val="21"/>
                <w:highlight w:val="none"/>
              </w:rPr>
            </w:pPr>
            <w:r>
              <w:rPr>
                <w:rFonts w:hint="eastAsia" w:ascii="宋体" w:hAnsi="宋体" w:cs="宋体"/>
                <w:color w:val="auto"/>
                <w:szCs w:val="21"/>
                <w:highlight w:val="none"/>
                <w:u w:val="single"/>
                <w:lang w:bidi="ar"/>
              </w:rPr>
              <w:t>2</w:t>
            </w:r>
          </w:p>
        </w:tc>
        <w:tc>
          <w:tcPr>
            <w:tcW w:w="1115" w:type="dxa"/>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售后服务方案</w:t>
            </w:r>
          </w:p>
        </w:tc>
        <w:tc>
          <w:tcPr>
            <w:tcW w:w="811" w:type="dxa"/>
            <w:gridSpan w:val="3"/>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sz w:val="21"/>
                <w:szCs w:val="21"/>
                <w:highlight w:val="none"/>
              </w:rPr>
            </w:pPr>
            <w:r>
              <w:rPr>
                <w:rFonts w:hint="eastAsia" w:ascii="宋体" w:eastAsia="宋体" w:cs="宋体"/>
                <w:color w:val="auto"/>
                <w:kern w:val="0"/>
                <w:sz w:val="21"/>
                <w:szCs w:val="21"/>
                <w:highlight w:val="none"/>
              </w:rPr>
              <w:t>2分</w:t>
            </w:r>
          </w:p>
        </w:tc>
        <w:tc>
          <w:tcPr>
            <w:tcW w:w="5768" w:type="dxa"/>
            <w:gridSpan w:val="2"/>
            <w:tcBorders>
              <w:top w:val="single" w:color="auto" w:sz="4" w:space="0"/>
              <w:left w:val="single" w:color="auto" w:sz="4" w:space="0"/>
              <w:bottom w:val="single" w:color="auto" w:sz="4" w:space="0"/>
              <w:right w:val="single" w:color="auto" w:sz="4" w:space="0"/>
            </w:tcBorders>
            <w:vAlign w:val="center"/>
          </w:tcPr>
          <w:p>
            <w:pPr>
              <w:pStyle w:val="49"/>
              <w:adjustRightInd w:val="0"/>
              <w:snapToGrid w:val="0"/>
              <w:spacing w:line="400" w:lineRule="exact"/>
              <w:ind w:firstLine="420" w:firstLineChars="200"/>
              <w:rPr>
                <w:rFonts w:ascii="宋体" w:eastAsia="宋体" w:cs="宋体"/>
                <w:color w:val="auto"/>
                <w:kern w:val="0"/>
                <w:sz w:val="21"/>
                <w:szCs w:val="21"/>
                <w:highlight w:val="none"/>
                <w:shd w:val="clear" w:color="auto" w:fill="FFFFFF"/>
              </w:rPr>
            </w:pPr>
            <w:r>
              <w:rPr>
                <w:rFonts w:hint="eastAsia" w:ascii="宋体" w:eastAsia="宋体" w:cs="宋体"/>
                <w:color w:val="auto"/>
                <w:kern w:val="0"/>
                <w:sz w:val="21"/>
                <w:szCs w:val="21"/>
                <w:highlight w:val="none"/>
                <w:shd w:val="clear" w:color="auto" w:fill="FFFFFF"/>
              </w:rPr>
              <w:t xml:space="preserve">根据投标人针对本项目出现设备故障问题的紧急服务响应时间进行评分： </w:t>
            </w:r>
          </w:p>
          <w:p>
            <w:pPr>
              <w:pStyle w:val="49"/>
              <w:adjustRightInd w:val="0"/>
              <w:snapToGrid w:val="0"/>
              <w:spacing w:line="400" w:lineRule="exact"/>
              <w:ind w:firstLine="420" w:firstLineChars="200"/>
              <w:rPr>
                <w:rFonts w:ascii="宋体" w:eastAsia="宋体" w:cs="宋体"/>
                <w:color w:val="auto"/>
                <w:kern w:val="0"/>
                <w:sz w:val="21"/>
                <w:szCs w:val="21"/>
                <w:highlight w:val="none"/>
                <w:shd w:val="clear" w:color="auto" w:fill="FFFFFF"/>
              </w:rPr>
            </w:pPr>
            <w:r>
              <w:rPr>
                <w:rFonts w:hint="eastAsia" w:ascii="宋体" w:eastAsia="宋体" w:cs="宋体"/>
                <w:color w:val="auto"/>
                <w:kern w:val="0"/>
                <w:sz w:val="21"/>
                <w:szCs w:val="21"/>
                <w:highlight w:val="none"/>
                <w:shd w:val="clear" w:color="auto" w:fill="FFFFFF"/>
              </w:rPr>
              <w:t>①投标人承诺接到采购人通知后0.5小时（含）内到达采购人指定地点的，得2分。</w:t>
            </w:r>
          </w:p>
          <w:p>
            <w:pPr>
              <w:pStyle w:val="49"/>
              <w:adjustRightInd w:val="0"/>
              <w:snapToGrid w:val="0"/>
              <w:spacing w:line="400" w:lineRule="exact"/>
              <w:ind w:firstLine="420" w:firstLineChars="200"/>
              <w:rPr>
                <w:rFonts w:ascii="宋体" w:eastAsia="宋体" w:cs="宋体"/>
                <w:color w:val="auto"/>
                <w:kern w:val="0"/>
                <w:sz w:val="21"/>
                <w:szCs w:val="21"/>
                <w:highlight w:val="none"/>
                <w:shd w:val="clear" w:color="auto" w:fill="FFFFFF"/>
              </w:rPr>
            </w:pPr>
            <w:r>
              <w:rPr>
                <w:rFonts w:hint="eastAsia" w:ascii="宋体" w:eastAsia="宋体" w:cs="宋体"/>
                <w:color w:val="auto"/>
                <w:kern w:val="0"/>
                <w:sz w:val="21"/>
                <w:szCs w:val="21"/>
                <w:highlight w:val="none"/>
                <w:shd w:val="clear" w:color="auto" w:fill="FFFFFF"/>
              </w:rPr>
              <w:t>②投标人承诺接到采购人通知后0.5小时（不含）以上至1小时（含）内到达采购人指定地点的，得1分。</w:t>
            </w:r>
          </w:p>
          <w:p>
            <w:pPr>
              <w:pStyle w:val="49"/>
              <w:adjustRightInd w:val="0"/>
              <w:snapToGrid w:val="0"/>
              <w:spacing w:line="400" w:lineRule="exact"/>
              <w:ind w:firstLine="420" w:firstLineChars="200"/>
              <w:rPr>
                <w:rFonts w:ascii="宋体" w:eastAsia="宋体" w:cs="宋体"/>
                <w:color w:val="auto"/>
                <w:kern w:val="0"/>
                <w:sz w:val="21"/>
                <w:szCs w:val="21"/>
                <w:highlight w:val="none"/>
                <w:shd w:val="clear" w:color="auto" w:fill="FFFFFF"/>
              </w:rPr>
            </w:pPr>
            <w:r>
              <w:rPr>
                <w:rFonts w:hint="eastAsia" w:ascii="宋体" w:eastAsia="宋体" w:cs="宋体"/>
                <w:color w:val="auto"/>
                <w:kern w:val="0"/>
                <w:sz w:val="21"/>
                <w:szCs w:val="21"/>
                <w:highlight w:val="none"/>
                <w:shd w:val="clear" w:color="auto" w:fill="FFFFFF"/>
              </w:rPr>
              <w:t>③投标人承诺接到采购人通知后1小时（不含）以上至2小时（含）内到达采购人指定地点的，得0.5分。</w:t>
            </w:r>
          </w:p>
          <w:p>
            <w:pPr>
              <w:pStyle w:val="49"/>
              <w:adjustRightInd w:val="0"/>
              <w:snapToGrid w:val="0"/>
              <w:spacing w:line="400" w:lineRule="exact"/>
              <w:ind w:firstLine="420" w:firstLineChars="200"/>
              <w:rPr>
                <w:rFonts w:ascii="宋体" w:eastAsia="宋体" w:cs="宋体"/>
                <w:color w:val="auto"/>
                <w:kern w:val="0"/>
                <w:sz w:val="21"/>
                <w:szCs w:val="21"/>
                <w:highlight w:val="none"/>
                <w:shd w:val="clear" w:color="auto" w:fill="FFFFFF"/>
              </w:rPr>
            </w:pPr>
            <w:r>
              <w:rPr>
                <w:rFonts w:hint="eastAsia" w:ascii="宋体" w:eastAsia="宋体" w:cs="宋体"/>
                <w:color w:val="auto"/>
                <w:kern w:val="0"/>
                <w:sz w:val="21"/>
                <w:szCs w:val="21"/>
                <w:highlight w:val="none"/>
                <w:shd w:val="clear" w:color="auto" w:fill="FFFFFF"/>
              </w:rPr>
              <w:t>④投标人承诺接到采购人通知后2小时（不含）以上到达采购人指定地点的，得0分。</w:t>
            </w:r>
          </w:p>
          <w:p>
            <w:pPr>
              <w:pStyle w:val="49"/>
              <w:adjustRightInd w:val="0"/>
              <w:snapToGrid w:val="0"/>
              <w:spacing w:line="400" w:lineRule="exact"/>
              <w:ind w:firstLine="420" w:firstLineChars="200"/>
              <w:rPr>
                <w:rFonts w:ascii="宋体" w:eastAsia="宋体" w:cs="宋体"/>
                <w:color w:val="auto"/>
                <w:kern w:val="0"/>
                <w:sz w:val="21"/>
                <w:szCs w:val="21"/>
                <w:highlight w:val="none"/>
                <w:shd w:val="clear" w:color="auto" w:fill="FFFFFF"/>
              </w:rPr>
            </w:pPr>
            <w:r>
              <w:rPr>
                <w:rFonts w:hint="eastAsia" w:ascii="宋体" w:eastAsia="宋体" w:cs="宋体"/>
                <w:color w:val="auto"/>
                <w:kern w:val="0"/>
                <w:sz w:val="21"/>
                <w:szCs w:val="21"/>
                <w:highlight w:val="none"/>
                <w:shd w:val="clear" w:color="auto" w:fill="FFFFFF"/>
              </w:rPr>
              <w:t>投标人必须提供单独的紧急服务响应时间承诺文件，并加盖投标人公章，否则不得分。</w:t>
            </w:r>
          </w:p>
          <w:p>
            <w:pPr>
              <w:spacing w:line="400" w:lineRule="exact"/>
              <w:ind w:firstLine="420" w:firstLineChars="200"/>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rPr>
              <w:t>（备注：投标人承诺后如达不到承诺要求的，采购人有权做出相应处罚（①承诺接到采购人通知后0.5小时（含）内到达采购人指定地点的，未达到承诺要求每次处罚人民币10,000.00元）；②投标人承诺接到采购人通知后0.5小时（不含）以上至1小时（含）内到达采购人指定地点，未达到承诺要求的每次处罚人民币5,000.00元；③投标人承诺接到采购人通知后1小时（不含）以上至2小时（含）内到达采购人指定地点的，未达到承诺要求的每次处罚人民币3,000.00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825" w:type="dxa"/>
            <w:gridSpan w:val="3"/>
            <w:vMerge w:val="restart"/>
            <w:tcBorders>
              <w:top w:val="single" w:color="auto" w:sz="4" w:space="0"/>
              <w:left w:val="single" w:color="auto" w:sz="4" w:space="0"/>
              <w:right w:val="single" w:color="auto" w:sz="4" w:space="0"/>
            </w:tcBorders>
            <w:vAlign w:val="center"/>
          </w:tcPr>
          <w:p>
            <w:pPr>
              <w:spacing w:line="400" w:lineRule="exact"/>
              <w:jc w:val="center"/>
              <w:rPr>
                <w:rFonts w:ascii="宋体" w:hAnsi="宋体" w:cs="宋体"/>
                <w:bCs/>
                <w:color w:val="auto"/>
                <w:szCs w:val="21"/>
                <w:highlight w:val="none"/>
              </w:rPr>
            </w:pPr>
            <w:r>
              <w:rPr>
                <w:rFonts w:hint="eastAsia" w:ascii="宋体" w:hAnsi="宋体" w:cs="宋体"/>
                <w:bCs/>
                <w:color w:val="auto"/>
                <w:szCs w:val="21"/>
                <w:highlight w:val="none"/>
              </w:rPr>
              <w:t>3</w:t>
            </w:r>
          </w:p>
        </w:tc>
        <w:tc>
          <w:tcPr>
            <w:tcW w:w="1115" w:type="dxa"/>
            <w:vMerge w:val="restart"/>
            <w:tcBorders>
              <w:top w:val="single" w:color="auto" w:sz="4" w:space="0"/>
              <w:left w:val="single" w:color="auto" w:sz="4" w:space="0"/>
              <w:right w:val="single" w:color="auto" w:sz="4" w:space="0"/>
            </w:tcBorders>
            <w:vAlign w:val="center"/>
          </w:tcPr>
          <w:p>
            <w:pPr>
              <w:spacing w:line="400" w:lineRule="exact"/>
              <w:jc w:val="center"/>
              <w:rPr>
                <w:rFonts w:ascii="宋体" w:hAnsi="宋体" w:cs="宋体"/>
                <w:bCs/>
                <w:color w:val="auto"/>
                <w:szCs w:val="21"/>
                <w:highlight w:val="none"/>
              </w:rPr>
            </w:pPr>
            <w:r>
              <w:rPr>
                <w:rFonts w:hint="eastAsia" w:ascii="宋体" w:hAnsi="宋体" w:cs="宋体"/>
                <w:bCs/>
                <w:color w:val="auto"/>
                <w:szCs w:val="21"/>
                <w:highlight w:val="none"/>
              </w:rPr>
              <w:t>环卫车辆主要性能及特点</w:t>
            </w:r>
          </w:p>
        </w:tc>
        <w:tc>
          <w:tcPr>
            <w:tcW w:w="811" w:type="dxa"/>
            <w:gridSpan w:val="3"/>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kern w:val="0"/>
                <w:sz w:val="21"/>
                <w:szCs w:val="21"/>
                <w:highlight w:val="none"/>
              </w:rPr>
            </w:pPr>
            <w:r>
              <w:rPr>
                <w:rFonts w:hint="eastAsia" w:ascii="宋体" w:eastAsia="宋体" w:cs="宋体"/>
                <w:color w:val="auto"/>
                <w:sz w:val="21"/>
                <w:szCs w:val="21"/>
                <w:highlight w:val="none"/>
                <w:lang w:val="en-US" w:eastAsia="zh-CN"/>
              </w:rPr>
              <w:t>7</w:t>
            </w:r>
            <w:r>
              <w:rPr>
                <w:rFonts w:hint="eastAsia" w:ascii="宋体" w:eastAsia="宋体" w:cs="宋体"/>
                <w:color w:val="auto"/>
                <w:sz w:val="21"/>
                <w:szCs w:val="21"/>
                <w:highlight w:val="none"/>
              </w:rPr>
              <w:t>分</w:t>
            </w:r>
          </w:p>
        </w:tc>
        <w:tc>
          <w:tcPr>
            <w:tcW w:w="576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shd w:val="clear" w:color="auto" w:fill="FFFFFF"/>
              </w:rPr>
              <w:t>根据</w:t>
            </w:r>
            <w:r>
              <w:rPr>
                <w:rFonts w:hint="eastAsia" w:ascii="宋体" w:hAnsi="宋体" w:cs="宋体"/>
                <w:color w:val="auto"/>
                <w:szCs w:val="21"/>
                <w:highlight w:val="none"/>
                <w:shd w:val="clear" w:color="auto" w:fill="FFFFFF"/>
                <w:lang w:val="zh-CN"/>
              </w:rPr>
              <w:t>各</w:t>
            </w:r>
            <w:r>
              <w:rPr>
                <w:rFonts w:hint="eastAsia" w:ascii="宋体" w:hAnsi="宋体" w:cs="宋体"/>
                <w:color w:val="auto"/>
                <w:szCs w:val="21"/>
                <w:highlight w:val="none"/>
                <w:shd w:val="clear" w:color="auto" w:fill="FFFFFF"/>
              </w:rPr>
              <w:t>投标人</w:t>
            </w:r>
            <w:r>
              <w:rPr>
                <w:rFonts w:hint="eastAsia" w:ascii="宋体" w:hAnsi="宋体" w:cs="宋体"/>
                <w:color w:val="auto"/>
                <w:szCs w:val="21"/>
                <w:highlight w:val="none"/>
                <w:shd w:val="clear" w:color="auto" w:fill="FFFFFF"/>
                <w:lang w:val="zh-CN"/>
              </w:rPr>
              <w:t>提供</w:t>
            </w:r>
            <w:r>
              <w:rPr>
                <w:rFonts w:hint="eastAsia" w:ascii="宋体" w:hAnsi="宋体" w:cs="宋体"/>
                <w:color w:val="auto"/>
                <w:szCs w:val="21"/>
                <w:highlight w:val="none"/>
                <w:shd w:val="clear" w:color="auto" w:fill="FFFFFF"/>
              </w:rPr>
              <w:t>“</w:t>
            </w:r>
            <w:r>
              <w:rPr>
                <w:rFonts w:hint="eastAsia" w:ascii="宋体" w:hAnsi="宋体" w:cs="宋体"/>
                <w:color w:val="auto"/>
                <w:highlight w:val="none"/>
              </w:rPr>
              <w:t>车厢可卸式垃圾车</w:t>
            </w:r>
            <w:r>
              <w:rPr>
                <w:rFonts w:hint="eastAsia" w:ascii="宋体" w:hAnsi="宋体" w:cs="宋体"/>
                <w:color w:val="auto"/>
                <w:szCs w:val="21"/>
                <w:highlight w:val="none"/>
                <w:shd w:val="clear" w:color="auto" w:fill="FFFFFF"/>
              </w:rPr>
              <w:t>”、“压缩车”“</w:t>
            </w:r>
            <w:r>
              <w:rPr>
                <w:rFonts w:hint="eastAsia" w:ascii="宋体" w:hAnsi="宋体" w:cs="宋体"/>
                <w:color w:val="auto"/>
                <w:highlight w:val="none"/>
              </w:rPr>
              <w:t>厨余收集车</w:t>
            </w:r>
            <w:r>
              <w:rPr>
                <w:rFonts w:hint="eastAsia" w:ascii="宋体" w:hAnsi="宋体" w:cs="宋体"/>
                <w:color w:val="auto"/>
                <w:szCs w:val="21"/>
                <w:highlight w:val="none"/>
                <w:shd w:val="clear" w:color="auto" w:fill="FFFFFF"/>
              </w:rPr>
              <w:t>”“吸污车”</w:t>
            </w:r>
            <w:r>
              <w:rPr>
                <w:rFonts w:hint="eastAsia" w:ascii="宋体" w:hAnsi="宋体" w:cs="宋体"/>
                <w:color w:val="auto"/>
                <w:kern w:val="2"/>
                <w:szCs w:val="21"/>
                <w:highlight w:val="none"/>
              </w:rPr>
              <w:t>的</w:t>
            </w:r>
            <w:r>
              <w:rPr>
                <w:rFonts w:hint="eastAsia" w:ascii="宋体" w:hAnsi="宋体" w:cs="宋体"/>
                <w:color w:val="auto"/>
                <w:szCs w:val="21"/>
                <w:highlight w:val="none"/>
                <w:shd w:val="clear" w:color="auto" w:fill="FFFFFF"/>
                <w:lang w:val="zh-CN"/>
              </w:rPr>
              <w:t>先进性</w:t>
            </w:r>
            <w:r>
              <w:rPr>
                <w:rFonts w:hint="eastAsia" w:cs="宋体" w:asciiTheme="minorEastAsia" w:hAnsiTheme="minorEastAsia" w:eastAsiaTheme="minorEastAsia"/>
                <w:color w:val="auto"/>
                <w:szCs w:val="21"/>
                <w:highlight w:val="none"/>
                <w:shd w:val="clear" w:color="auto" w:fill="FFFFFF"/>
                <w:lang w:val="zh-CN"/>
              </w:rPr>
              <w:t>、匹配性</w:t>
            </w:r>
            <w:r>
              <w:rPr>
                <w:rFonts w:hint="eastAsia" w:ascii="宋体" w:hAnsi="宋体" w:cs="宋体"/>
                <w:color w:val="auto"/>
                <w:szCs w:val="21"/>
                <w:highlight w:val="none"/>
                <w:shd w:val="clear" w:color="auto" w:fill="FFFFFF"/>
                <w:lang w:val="zh-CN"/>
              </w:rPr>
              <w:t>和可靠性</w:t>
            </w:r>
            <w:r>
              <w:rPr>
                <w:rFonts w:hint="eastAsia" w:ascii="宋体" w:hAnsi="宋体" w:cs="宋体"/>
                <w:color w:val="auto"/>
                <w:szCs w:val="21"/>
                <w:highlight w:val="none"/>
                <w:shd w:val="clear" w:color="auto" w:fill="FFFFFF"/>
              </w:rPr>
              <w:t>进行横向对比：</w:t>
            </w:r>
          </w:p>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①</w:t>
            </w:r>
            <w:r>
              <w:rPr>
                <w:rFonts w:hint="eastAsia" w:ascii="宋体" w:hAnsi="宋体" w:cs="宋体"/>
                <w:color w:val="auto"/>
                <w:kern w:val="2"/>
                <w:szCs w:val="21"/>
                <w:highlight w:val="none"/>
              </w:rPr>
              <w:t>车辆的底盘发动机和波箱及上装控制系统配置科学合理，系统设计完全满足采购人对车辆的使用需求，作业操作方式的</w:t>
            </w:r>
            <w:r>
              <w:rPr>
                <w:rFonts w:hint="eastAsia" w:ascii="宋体" w:hAnsi="宋体" w:cs="宋体"/>
                <w:color w:val="auto"/>
                <w:szCs w:val="21"/>
                <w:highlight w:val="none"/>
                <w:shd w:val="clear" w:color="auto" w:fill="FFFFFF"/>
                <w:lang w:val="zh-CN"/>
              </w:rPr>
              <w:t>先进性、匹配性和可靠性</w:t>
            </w:r>
            <w:r>
              <w:rPr>
                <w:rFonts w:hint="eastAsia" w:ascii="宋体" w:hAnsi="宋体" w:cs="宋体"/>
                <w:color w:val="auto"/>
                <w:szCs w:val="21"/>
                <w:highlight w:val="none"/>
                <w:shd w:val="clear" w:color="auto" w:fill="FFFFFF"/>
              </w:rPr>
              <w:t>较优</w:t>
            </w:r>
            <w:r>
              <w:rPr>
                <w:rFonts w:hint="eastAsia" w:ascii="宋体" w:hAnsi="宋体" w:cs="宋体"/>
                <w:color w:val="auto"/>
                <w:szCs w:val="21"/>
                <w:highlight w:val="none"/>
                <w:shd w:val="clear" w:color="auto" w:fill="FFFFFF"/>
                <w:lang w:val="zh-CN"/>
              </w:rPr>
              <w:t>得</w:t>
            </w:r>
            <w:r>
              <w:rPr>
                <w:rFonts w:hint="eastAsia" w:ascii="宋体" w:hAnsi="宋体" w:cs="宋体"/>
                <w:color w:val="auto"/>
                <w:szCs w:val="21"/>
                <w:highlight w:val="none"/>
                <w:shd w:val="clear" w:color="auto" w:fill="FFFFFF"/>
                <w:lang w:val="en-US" w:eastAsia="zh-CN"/>
              </w:rPr>
              <w:t>7</w:t>
            </w:r>
            <w:r>
              <w:rPr>
                <w:rFonts w:hint="eastAsia" w:ascii="宋体" w:hAnsi="宋体" w:cs="宋体"/>
                <w:color w:val="auto"/>
                <w:szCs w:val="21"/>
                <w:highlight w:val="none"/>
                <w:shd w:val="clear" w:color="auto" w:fill="FFFFFF"/>
                <w:lang w:val="zh-CN"/>
              </w:rPr>
              <w:t>分</w:t>
            </w:r>
            <w:r>
              <w:rPr>
                <w:rFonts w:hint="eastAsia" w:ascii="宋体" w:hAnsi="宋体" w:cs="宋体"/>
                <w:color w:val="auto"/>
                <w:szCs w:val="21"/>
                <w:highlight w:val="none"/>
                <w:shd w:val="clear" w:color="auto" w:fill="FFFFFF"/>
              </w:rPr>
              <w:t>；</w:t>
            </w:r>
          </w:p>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②</w:t>
            </w:r>
            <w:r>
              <w:rPr>
                <w:rFonts w:hint="eastAsia" w:ascii="宋体" w:hAnsi="宋体" w:cs="宋体"/>
                <w:color w:val="auto"/>
                <w:kern w:val="2"/>
                <w:szCs w:val="21"/>
                <w:highlight w:val="none"/>
              </w:rPr>
              <w:t>车辆的底盘发动机和波箱及上装控制系统配置一般，系统设计基本满足采购人对车辆的使用需求，作业操作方式的</w:t>
            </w:r>
            <w:r>
              <w:rPr>
                <w:rFonts w:hint="eastAsia" w:ascii="宋体" w:hAnsi="宋体" w:cs="宋体"/>
                <w:color w:val="auto"/>
                <w:szCs w:val="21"/>
                <w:highlight w:val="none"/>
                <w:shd w:val="clear" w:color="auto" w:fill="FFFFFF"/>
                <w:lang w:val="zh-CN"/>
              </w:rPr>
              <w:t>先进性、匹配性和可靠性</w:t>
            </w:r>
            <w:r>
              <w:rPr>
                <w:rFonts w:hint="eastAsia" w:ascii="宋体" w:hAnsi="宋体" w:cs="宋体"/>
                <w:color w:val="auto"/>
                <w:szCs w:val="21"/>
                <w:highlight w:val="none"/>
                <w:shd w:val="clear" w:color="auto" w:fill="FFFFFF"/>
              </w:rPr>
              <w:t>一般</w:t>
            </w:r>
            <w:r>
              <w:rPr>
                <w:rFonts w:hint="eastAsia" w:ascii="宋体" w:hAnsi="宋体" w:cs="宋体"/>
                <w:color w:val="auto"/>
                <w:szCs w:val="21"/>
                <w:highlight w:val="none"/>
                <w:shd w:val="clear" w:color="auto" w:fill="FFFFFF"/>
                <w:lang w:val="zh-CN"/>
              </w:rPr>
              <w:t>得</w:t>
            </w:r>
            <w:r>
              <w:rPr>
                <w:rFonts w:hint="eastAsia" w:ascii="宋体" w:hAnsi="宋体" w:cs="宋体"/>
                <w:color w:val="auto"/>
                <w:szCs w:val="21"/>
                <w:highlight w:val="none"/>
                <w:shd w:val="clear" w:color="auto" w:fill="FFFFFF"/>
                <w:lang w:val="en-US" w:eastAsia="zh-CN"/>
              </w:rPr>
              <w:t>4</w:t>
            </w:r>
            <w:r>
              <w:rPr>
                <w:rFonts w:hint="eastAsia" w:ascii="宋体" w:hAnsi="宋体" w:cs="宋体"/>
                <w:color w:val="auto"/>
                <w:szCs w:val="21"/>
                <w:highlight w:val="none"/>
                <w:shd w:val="clear" w:color="auto" w:fill="FFFFFF"/>
                <w:lang w:val="zh-CN"/>
              </w:rPr>
              <w:t>分</w:t>
            </w:r>
            <w:r>
              <w:rPr>
                <w:rFonts w:hint="eastAsia" w:ascii="宋体" w:hAnsi="宋体" w:cs="宋体"/>
                <w:color w:val="auto"/>
                <w:szCs w:val="21"/>
                <w:highlight w:val="none"/>
                <w:shd w:val="clear" w:color="auto" w:fill="FFFFFF"/>
              </w:rPr>
              <w:t>；</w:t>
            </w:r>
          </w:p>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③</w:t>
            </w:r>
            <w:r>
              <w:rPr>
                <w:rFonts w:hint="eastAsia" w:ascii="宋体" w:hAnsi="宋体" w:cs="宋体"/>
                <w:color w:val="auto"/>
                <w:kern w:val="2"/>
                <w:szCs w:val="21"/>
                <w:highlight w:val="none"/>
              </w:rPr>
              <w:t>车辆的底盘发动机和波箱及上装控制系统配置差，系统设计基本满足采购人对车辆的使用需求，</w:t>
            </w:r>
            <w:r>
              <w:rPr>
                <w:rFonts w:hint="eastAsia" w:ascii="宋体" w:hAnsi="宋体" w:cs="宋体"/>
                <w:color w:val="auto"/>
                <w:szCs w:val="21"/>
                <w:highlight w:val="none"/>
                <w:shd w:val="clear" w:color="auto" w:fill="FFFFFF"/>
                <w:lang w:val="zh-CN"/>
              </w:rPr>
              <w:t>先进性、匹配性和可靠性</w:t>
            </w:r>
            <w:r>
              <w:rPr>
                <w:rFonts w:hint="eastAsia" w:ascii="宋体" w:hAnsi="宋体" w:cs="宋体"/>
                <w:color w:val="auto"/>
                <w:szCs w:val="21"/>
                <w:highlight w:val="none"/>
                <w:shd w:val="clear" w:color="auto" w:fill="FFFFFF"/>
              </w:rPr>
              <w:t>差</w:t>
            </w:r>
            <w:r>
              <w:rPr>
                <w:rFonts w:hint="eastAsia" w:ascii="宋体" w:hAnsi="宋体" w:cs="宋体"/>
                <w:color w:val="auto"/>
                <w:szCs w:val="21"/>
                <w:highlight w:val="none"/>
                <w:shd w:val="clear" w:color="auto" w:fill="FFFFFF"/>
                <w:lang w:val="zh-CN"/>
              </w:rPr>
              <w:t>得</w:t>
            </w:r>
            <w:r>
              <w:rPr>
                <w:rFonts w:hint="eastAsia" w:ascii="宋体" w:hAnsi="宋体" w:cs="宋体"/>
                <w:color w:val="auto"/>
                <w:szCs w:val="21"/>
                <w:highlight w:val="none"/>
                <w:shd w:val="clear" w:color="auto" w:fill="FFFFFF"/>
                <w:lang w:val="en-US" w:eastAsia="zh-CN"/>
              </w:rPr>
              <w:t>1</w:t>
            </w:r>
            <w:r>
              <w:rPr>
                <w:rFonts w:hint="eastAsia" w:ascii="宋体" w:hAnsi="宋体" w:cs="宋体"/>
                <w:color w:val="auto"/>
                <w:szCs w:val="21"/>
                <w:highlight w:val="none"/>
                <w:shd w:val="clear" w:color="auto" w:fill="FFFFFF"/>
                <w:lang w:val="zh-CN"/>
              </w:rPr>
              <w:t>分</w:t>
            </w:r>
            <w:r>
              <w:rPr>
                <w:rFonts w:hint="eastAsia" w:ascii="宋体" w:hAnsi="宋体" w:cs="宋体"/>
                <w:color w:val="auto"/>
                <w:szCs w:val="21"/>
                <w:highlight w:val="none"/>
                <w:shd w:val="clear" w:color="auto" w:fill="FFFFFF"/>
              </w:rPr>
              <w:t>；</w:t>
            </w:r>
          </w:p>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未提供</w:t>
            </w:r>
            <w:r>
              <w:rPr>
                <w:rFonts w:hint="eastAsia" w:ascii="宋体" w:hAnsi="宋体" w:cs="宋体"/>
                <w:color w:val="auto"/>
                <w:szCs w:val="21"/>
                <w:highlight w:val="none"/>
                <w:shd w:val="clear" w:color="auto" w:fill="FFFFFF"/>
                <w:lang w:val="zh-CN"/>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825" w:type="dxa"/>
            <w:gridSpan w:val="3"/>
            <w:vMerge w:val="continue"/>
            <w:tcBorders>
              <w:left w:val="single" w:color="auto" w:sz="4" w:space="0"/>
              <w:right w:val="single" w:color="auto" w:sz="4" w:space="0"/>
            </w:tcBorders>
            <w:vAlign w:val="center"/>
          </w:tcPr>
          <w:p>
            <w:pPr>
              <w:spacing w:line="400" w:lineRule="exact"/>
              <w:jc w:val="center"/>
              <w:rPr>
                <w:rFonts w:ascii="宋体" w:hAnsi="宋体" w:cs="宋体"/>
                <w:bCs/>
                <w:color w:val="auto"/>
                <w:szCs w:val="21"/>
                <w:highlight w:val="none"/>
              </w:rPr>
            </w:pPr>
          </w:p>
        </w:tc>
        <w:tc>
          <w:tcPr>
            <w:tcW w:w="1115" w:type="dxa"/>
            <w:vMerge w:val="continue"/>
            <w:tcBorders>
              <w:left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sz w:val="21"/>
                <w:szCs w:val="21"/>
                <w:highlight w:val="none"/>
                <w:shd w:val="clear" w:color="auto" w:fill="FFFFFF"/>
              </w:rPr>
            </w:pPr>
          </w:p>
        </w:tc>
        <w:tc>
          <w:tcPr>
            <w:tcW w:w="811" w:type="dxa"/>
            <w:gridSpan w:val="3"/>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kern w:val="0"/>
                <w:sz w:val="21"/>
                <w:szCs w:val="21"/>
                <w:highlight w:val="none"/>
              </w:rPr>
            </w:pP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rPr>
              <w:t>分</w:t>
            </w:r>
          </w:p>
        </w:tc>
        <w:tc>
          <w:tcPr>
            <w:tcW w:w="576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根据</w:t>
            </w:r>
            <w:r>
              <w:rPr>
                <w:rFonts w:hint="eastAsia" w:ascii="宋体" w:hAnsi="宋体" w:cs="宋体"/>
                <w:color w:val="auto"/>
                <w:szCs w:val="21"/>
                <w:highlight w:val="none"/>
                <w:shd w:val="clear" w:color="auto" w:fill="FFFFFF"/>
                <w:lang w:val="zh-CN"/>
              </w:rPr>
              <w:t>各</w:t>
            </w:r>
            <w:r>
              <w:rPr>
                <w:rFonts w:hint="eastAsia" w:ascii="宋体" w:hAnsi="宋体" w:cs="宋体"/>
                <w:color w:val="auto"/>
                <w:szCs w:val="21"/>
                <w:highlight w:val="none"/>
                <w:shd w:val="clear" w:color="auto" w:fill="FFFFFF"/>
              </w:rPr>
              <w:t>投标人</w:t>
            </w:r>
            <w:r>
              <w:rPr>
                <w:rFonts w:hint="eastAsia" w:ascii="宋体" w:hAnsi="宋体" w:cs="宋体"/>
                <w:color w:val="auto"/>
                <w:szCs w:val="21"/>
                <w:highlight w:val="none"/>
                <w:shd w:val="clear" w:color="auto" w:fill="FFFFFF"/>
                <w:lang w:val="zh-CN"/>
              </w:rPr>
              <w:t>提供的</w:t>
            </w:r>
            <w:r>
              <w:rPr>
                <w:rFonts w:hint="eastAsia" w:ascii="宋体" w:hAnsi="宋体" w:cs="宋体"/>
                <w:color w:val="auto"/>
                <w:szCs w:val="21"/>
                <w:highlight w:val="none"/>
                <w:lang w:bidi="ar"/>
              </w:rPr>
              <w:t>压缩车箱体和</w:t>
            </w:r>
            <w:r>
              <w:rPr>
                <w:rFonts w:hint="eastAsia" w:ascii="宋体" w:hAnsi="宋体" w:cs="宋体"/>
                <w:color w:val="auto"/>
                <w:highlight w:val="none"/>
              </w:rPr>
              <w:t>生活垃圾箱的</w:t>
            </w:r>
            <w:r>
              <w:rPr>
                <w:rFonts w:hint="eastAsia" w:ascii="宋体" w:hAnsi="宋体" w:cs="宋体"/>
                <w:color w:val="auto"/>
                <w:szCs w:val="21"/>
                <w:highlight w:val="none"/>
                <w:shd w:val="clear" w:color="auto" w:fill="FFFFFF"/>
                <w:lang w:val="zh-CN"/>
              </w:rPr>
              <w:t>结构、材质、容积、油漆和制作工艺的先进性和可靠性</w:t>
            </w:r>
            <w:r>
              <w:rPr>
                <w:rFonts w:hint="eastAsia" w:ascii="宋体" w:hAnsi="宋体" w:cs="宋体"/>
                <w:color w:val="auto"/>
                <w:szCs w:val="21"/>
                <w:highlight w:val="none"/>
                <w:shd w:val="clear" w:color="auto" w:fill="FFFFFF"/>
              </w:rPr>
              <w:t>进行横向对比：</w:t>
            </w:r>
          </w:p>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①</w:t>
            </w:r>
            <w:r>
              <w:rPr>
                <w:rFonts w:hint="eastAsia" w:ascii="宋体" w:hAnsi="宋体" w:cs="宋体"/>
                <w:color w:val="auto"/>
                <w:szCs w:val="21"/>
                <w:highlight w:val="none"/>
                <w:lang w:bidi="ar"/>
              </w:rPr>
              <w:t>压缩车箱体和</w:t>
            </w:r>
            <w:r>
              <w:rPr>
                <w:rFonts w:hint="eastAsia" w:ascii="宋体" w:hAnsi="宋体" w:cs="宋体"/>
                <w:color w:val="auto"/>
                <w:highlight w:val="none"/>
              </w:rPr>
              <w:t>生活垃圾箱的</w:t>
            </w:r>
            <w:r>
              <w:rPr>
                <w:rFonts w:hint="eastAsia" w:ascii="宋体" w:hAnsi="宋体" w:cs="宋体"/>
                <w:color w:val="auto"/>
                <w:szCs w:val="21"/>
                <w:highlight w:val="none"/>
                <w:shd w:val="clear" w:color="auto" w:fill="FFFFFF"/>
                <w:lang w:val="zh-CN"/>
              </w:rPr>
              <w:t>结构规划</w:t>
            </w:r>
            <w:r>
              <w:rPr>
                <w:rFonts w:hint="eastAsia" w:ascii="宋体" w:hAnsi="宋体" w:cs="宋体"/>
                <w:color w:val="auto"/>
                <w:szCs w:val="21"/>
                <w:highlight w:val="none"/>
                <w:shd w:val="clear" w:color="auto" w:fill="FFFFFF"/>
              </w:rPr>
              <w:t>设计</w:t>
            </w:r>
            <w:r>
              <w:rPr>
                <w:rFonts w:hint="eastAsia" w:ascii="宋体" w:hAnsi="宋体" w:cs="宋体"/>
                <w:color w:val="auto"/>
                <w:szCs w:val="21"/>
                <w:highlight w:val="none"/>
                <w:shd w:val="clear" w:color="auto" w:fill="FFFFFF"/>
                <w:lang w:val="zh-CN"/>
              </w:rPr>
              <w:t>合理、材质结实耐用、</w:t>
            </w:r>
            <w:r>
              <w:rPr>
                <w:rFonts w:hint="eastAsia" w:ascii="宋体" w:hAnsi="宋体" w:cs="宋体"/>
                <w:color w:val="auto"/>
                <w:szCs w:val="21"/>
                <w:highlight w:val="none"/>
                <w:shd w:val="clear" w:color="auto" w:fill="FFFFFF"/>
              </w:rPr>
              <w:t>密封性较优、</w:t>
            </w:r>
            <w:r>
              <w:rPr>
                <w:rFonts w:hint="eastAsia" w:ascii="宋体" w:hAnsi="宋体" w:cs="宋体"/>
                <w:color w:val="auto"/>
                <w:szCs w:val="21"/>
                <w:highlight w:val="none"/>
                <w:shd w:val="clear" w:color="auto" w:fill="FFFFFF"/>
                <w:lang w:val="zh-CN"/>
              </w:rPr>
              <w:t>容积设计</w:t>
            </w:r>
            <w:r>
              <w:rPr>
                <w:rFonts w:hint="eastAsia" w:ascii="宋体" w:hAnsi="宋体" w:cs="宋体"/>
                <w:color w:val="auto"/>
                <w:szCs w:val="21"/>
                <w:highlight w:val="none"/>
                <w:shd w:val="clear" w:color="auto" w:fill="FFFFFF"/>
              </w:rPr>
              <w:t>完全</w:t>
            </w:r>
            <w:r>
              <w:rPr>
                <w:rFonts w:hint="eastAsia" w:ascii="宋体" w:hAnsi="宋体" w:cs="宋体"/>
                <w:color w:val="auto"/>
                <w:szCs w:val="21"/>
                <w:highlight w:val="none"/>
                <w:shd w:val="clear" w:color="auto" w:fill="FFFFFF"/>
                <w:lang w:val="zh-CN"/>
              </w:rPr>
              <w:t>满足使用需求、油漆和制作工艺成熟，先进性和可靠性</w:t>
            </w:r>
            <w:r>
              <w:rPr>
                <w:rFonts w:hint="eastAsia" w:ascii="宋体" w:hAnsi="宋体" w:cs="宋体"/>
                <w:color w:val="auto"/>
                <w:szCs w:val="21"/>
                <w:highlight w:val="none"/>
                <w:shd w:val="clear" w:color="auto" w:fill="FFFFFF"/>
              </w:rPr>
              <w:t>较</w:t>
            </w:r>
            <w:r>
              <w:rPr>
                <w:rFonts w:hint="eastAsia" w:ascii="宋体" w:hAnsi="宋体" w:cs="宋体"/>
                <w:color w:val="auto"/>
                <w:szCs w:val="21"/>
                <w:highlight w:val="none"/>
                <w:shd w:val="clear" w:color="auto" w:fill="FFFFFF"/>
                <w:lang w:val="zh-CN"/>
              </w:rPr>
              <w:t>优得</w:t>
            </w:r>
            <w:r>
              <w:rPr>
                <w:rFonts w:hint="eastAsia" w:ascii="宋体" w:hAnsi="宋体" w:cs="宋体"/>
                <w:color w:val="auto"/>
                <w:szCs w:val="21"/>
                <w:highlight w:val="none"/>
                <w:shd w:val="clear" w:color="auto" w:fill="FFFFFF"/>
                <w:lang w:val="en-US" w:eastAsia="zh-CN"/>
              </w:rPr>
              <w:t>5</w:t>
            </w:r>
            <w:r>
              <w:rPr>
                <w:rFonts w:hint="eastAsia" w:ascii="宋体" w:hAnsi="宋体" w:cs="宋体"/>
                <w:color w:val="auto"/>
                <w:szCs w:val="21"/>
                <w:highlight w:val="none"/>
                <w:shd w:val="clear" w:color="auto" w:fill="FFFFFF"/>
                <w:lang w:val="zh-CN"/>
              </w:rPr>
              <w:t>分</w:t>
            </w:r>
            <w:r>
              <w:rPr>
                <w:rFonts w:hint="eastAsia" w:ascii="宋体" w:hAnsi="宋体" w:cs="宋体"/>
                <w:color w:val="auto"/>
                <w:szCs w:val="21"/>
                <w:highlight w:val="none"/>
                <w:shd w:val="clear" w:color="auto" w:fill="FFFFFF"/>
              </w:rPr>
              <w:t>；</w:t>
            </w:r>
          </w:p>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②</w:t>
            </w:r>
            <w:r>
              <w:rPr>
                <w:rFonts w:hint="eastAsia" w:ascii="宋体" w:hAnsi="宋体" w:cs="宋体"/>
                <w:color w:val="auto"/>
                <w:szCs w:val="21"/>
                <w:highlight w:val="none"/>
                <w:lang w:bidi="ar"/>
              </w:rPr>
              <w:t>压缩车箱体和</w:t>
            </w:r>
            <w:r>
              <w:rPr>
                <w:rFonts w:hint="eastAsia" w:ascii="宋体" w:hAnsi="宋体" w:cs="宋体"/>
                <w:color w:val="auto"/>
                <w:highlight w:val="none"/>
              </w:rPr>
              <w:t>生活垃圾箱的</w:t>
            </w:r>
            <w:r>
              <w:rPr>
                <w:rFonts w:hint="eastAsia" w:ascii="宋体" w:hAnsi="宋体" w:cs="宋体"/>
                <w:color w:val="auto"/>
                <w:szCs w:val="21"/>
                <w:highlight w:val="none"/>
                <w:shd w:val="clear" w:color="auto" w:fill="FFFFFF"/>
                <w:lang w:val="zh-CN"/>
              </w:rPr>
              <w:t>结构规划</w:t>
            </w:r>
            <w:r>
              <w:rPr>
                <w:rFonts w:hint="eastAsia" w:ascii="宋体" w:hAnsi="宋体" w:cs="宋体"/>
                <w:color w:val="auto"/>
                <w:szCs w:val="21"/>
                <w:highlight w:val="none"/>
                <w:shd w:val="clear" w:color="auto" w:fill="FFFFFF"/>
              </w:rPr>
              <w:t>设计一般</w:t>
            </w:r>
            <w:r>
              <w:rPr>
                <w:rFonts w:hint="eastAsia" w:ascii="宋体" w:hAnsi="宋体" w:cs="宋体"/>
                <w:color w:val="auto"/>
                <w:szCs w:val="21"/>
                <w:highlight w:val="none"/>
                <w:shd w:val="clear" w:color="auto" w:fill="FFFFFF"/>
                <w:lang w:val="zh-CN"/>
              </w:rPr>
              <w:t>、材质</w:t>
            </w:r>
            <w:r>
              <w:rPr>
                <w:rFonts w:hint="eastAsia" w:ascii="宋体" w:hAnsi="宋体" w:cs="宋体"/>
                <w:color w:val="auto"/>
                <w:szCs w:val="21"/>
                <w:highlight w:val="none"/>
                <w:shd w:val="clear" w:color="auto" w:fill="FFFFFF"/>
              </w:rPr>
              <w:t>一般</w:t>
            </w:r>
            <w:r>
              <w:rPr>
                <w:rFonts w:hint="eastAsia" w:ascii="宋体" w:hAnsi="宋体" w:cs="宋体"/>
                <w:color w:val="auto"/>
                <w:szCs w:val="21"/>
                <w:highlight w:val="none"/>
                <w:shd w:val="clear" w:color="auto" w:fill="FFFFFF"/>
                <w:lang w:val="zh-CN"/>
              </w:rPr>
              <w:t>、</w:t>
            </w:r>
            <w:r>
              <w:rPr>
                <w:rFonts w:hint="eastAsia" w:ascii="宋体" w:hAnsi="宋体" w:cs="宋体"/>
                <w:color w:val="auto"/>
                <w:szCs w:val="21"/>
                <w:highlight w:val="none"/>
                <w:shd w:val="clear" w:color="auto" w:fill="FFFFFF"/>
              </w:rPr>
              <w:t>密封性一般、</w:t>
            </w:r>
            <w:r>
              <w:rPr>
                <w:rFonts w:hint="eastAsia" w:ascii="宋体" w:hAnsi="宋体" w:cs="宋体"/>
                <w:color w:val="auto"/>
                <w:szCs w:val="21"/>
                <w:highlight w:val="none"/>
                <w:shd w:val="clear" w:color="auto" w:fill="FFFFFF"/>
                <w:lang w:val="zh-CN"/>
              </w:rPr>
              <w:t>容积设计能满足使用需求、油漆和制作工艺</w:t>
            </w:r>
            <w:r>
              <w:rPr>
                <w:rFonts w:hint="eastAsia" w:ascii="宋体" w:hAnsi="宋体" w:cs="宋体"/>
                <w:color w:val="auto"/>
                <w:szCs w:val="21"/>
                <w:highlight w:val="none"/>
                <w:shd w:val="clear" w:color="auto" w:fill="FFFFFF"/>
              </w:rPr>
              <w:t>一般</w:t>
            </w:r>
            <w:r>
              <w:rPr>
                <w:rFonts w:hint="eastAsia" w:ascii="宋体" w:hAnsi="宋体" w:cs="宋体"/>
                <w:color w:val="auto"/>
                <w:szCs w:val="21"/>
                <w:highlight w:val="none"/>
                <w:shd w:val="clear" w:color="auto" w:fill="FFFFFF"/>
                <w:lang w:val="zh-CN"/>
              </w:rPr>
              <w:t>，先进性和可靠性</w:t>
            </w:r>
            <w:r>
              <w:rPr>
                <w:rFonts w:hint="eastAsia" w:ascii="宋体" w:hAnsi="宋体" w:cs="宋体"/>
                <w:color w:val="auto"/>
                <w:szCs w:val="21"/>
                <w:highlight w:val="none"/>
                <w:shd w:val="clear" w:color="auto" w:fill="FFFFFF"/>
              </w:rPr>
              <w:t>一般</w:t>
            </w:r>
            <w:r>
              <w:rPr>
                <w:rFonts w:hint="eastAsia" w:ascii="宋体" w:hAnsi="宋体" w:cs="宋体"/>
                <w:color w:val="auto"/>
                <w:szCs w:val="21"/>
                <w:highlight w:val="none"/>
                <w:shd w:val="clear" w:color="auto" w:fill="FFFFFF"/>
                <w:lang w:val="zh-CN"/>
              </w:rPr>
              <w:t>得</w:t>
            </w:r>
            <w:r>
              <w:rPr>
                <w:rFonts w:hint="eastAsia" w:ascii="宋体" w:hAnsi="宋体" w:cs="宋体"/>
                <w:color w:val="auto"/>
                <w:szCs w:val="21"/>
                <w:highlight w:val="none"/>
                <w:shd w:val="clear" w:color="auto" w:fill="FFFFFF"/>
                <w:lang w:val="en-US" w:eastAsia="zh-CN"/>
              </w:rPr>
              <w:t>3</w:t>
            </w:r>
            <w:r>
              <w:rPr>
                <w:rFonts w:hint="eastAsia" w:ascii="宋体" w:hAnsi="宋体" w:cs="宋体"/>
                <w:color w:val="auto"/>
                <w:szCs w:val="21"/>
                <w:highlight w:val="none"/>
                <w:shd w:val="clear" w:color="auto" w:fill="FFFFFF"/>
                <w:lang w:val="zh-CN"/>
              </w:rPr>
              <w:t>分</w:t>
            </w:r>
            <w:r>
              <w:rPr>
                <w:rFonts w:hint="eastAsia" w:ascii="宋体" w:hAnsi="宋体" w:cs="宋体"/>
                <w:color w:val="auto"/>
                <w:szCs w:val="21"/>
                <w:highlight w:val="none"/>
                <w:shd w:val="clear" w:color="auto" w:fill="FFFFFF"/>
              </w:rPr>
              <w:t>；</w:t>
            </w:r>
          </w:p>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③</w:t>
            </w:r>
            <w:r>
              <w:rPr>
                <w:rFonts w:hint="eastAsia" w:ascii="宋体" w:hAnsi="宋体" w:cs="宋体"/>
                <w:color w:val="auto"/>
                <w:szCs w:val="21"/>
                <w:highlight w:val="none"/>
                <w:lang w:bidi="ar"/>
              </w:rPr>
              <w:t>压缩车箱体和</w:t>
            </w:r>
            <w:r>
              <w:rPr>
                <w:rFonts w:hint="eastAsia" w:ascii="宋体" w:hAnsi="宋体" w:cs="宋体"/>
                <w:color w:val="auto"/>
                <w:highlight w:val="none"/>
              </w:rPr>
              <w:t>生活垃圾箱的</w:t>
            </w:r>
            <w:r>
              <w:rPr>
                <w:rFonts w:hint="eastAsia" w:ascii="宋体" w:hAnsi="宋体" w:cs="宋体"/>
                <w:color w:val="auto"/>
                <w:szCs w:val="21"/>
                <w:highlight w:val="none"/>
                <w:shd w:val="clear" w:color="auto" w:fill="FFFFFF"/>
                <w:lang w:val="zh-CN"/>
              </w:rPr>
              <w:t>结构</w:t>
            </w:r>
            <w:r>
              <w:rPr>
                <w:rFonts w:hint="eastAsia" w:ascii="宋体" w:hAnsi="宋体" w:cs="宋体"/>
                <w:color w:val="auto"/>
                <w:szCs w:val="21"/>
                <w:highlight w:val="none"/>
                <w:shd w:val="clear" w:color="auto" w:fill="FFFFFF"/>
              </w:rPr>
              <w:t>规划设计差</w:t>
            </w:r>
            <w:r>
              <w:rPr>
                <w:rFonts w:hint="eastAsia" w:ascii="宋体" w:hAnsi="宋体" w:cs="宋体"/>
                <w:color w:val="auto"/>
                <w:szCs w:val="21"/>
                <w:highlight w:val="none"/>
                <w:shd w:val="clear" w:color="auto" w:fill="FFFFFF"/>
                <w:lang w:val="zh-CN"/>
              </w:rPr>
              <w:t>、材质耐用性一般、</w:t>
            </w:r>
            <w:r>
              <w:rPr>
                <w:rFonts w:hint="eastAsia" w:ascii="宋体" w:hAnsi="宋体" w:cs="宋体"/>
                <w:color w:val="auto"/>
                <w:szCs w:val="21"/>
                <w:highlight w:val="none"/>
                <w:shd w:val="clear" w:color="auto" w:fill="FFFFFF"/>
              </w:rPr>
              <w:t>密封性较差、</w:t>
            </w:r>
            <w:r>
              <w:rPr>
                <w:rFonts w:hint="eastAsia" w:ascii="宋体" w:hAnsi="宋体" w:cs="宋体"/>
                <w:color w:val="auto"/>
                <w:szCs w:val="21"/>
                <w:highlight w:val="none"/>
                <w:shd w:val="clear" w:color="auto" w:fill="FFFFFF"/>
                <w:lang w:val="zh-CN"/>
              </w:rPr>
              <w:t>容积设计基本能满足使用需求、油漆和制作工艺成熟度较差，先进性和可靠性</w:t>
            </w:r>
            <w:r>
              <w:rPr>
                <w:rFonts w:hint="eastAsia" w:ascii="宋体" w:hAnsi="宋体" w:cs="宋体"/>
                <w:color w:val="auto"/>
                <w:szCs w:val="21"/>
                <w:highlight w:val="none"/>
                <w:shd w:val="clear" w:color="auto" w:fill="FFFFFF"/>
              </w:rPr>
              <w:t>差</w:t>
            </w:r>
            <w:r>
              <w:rPr>
                <w:rFonts w:hint="eastAsia" w:ascii="宋体" w:hAnsi="宋体" w:cs="宋体"/>
                <w:color w:val="auto"/>
                <w:szCs w:val="21"/>
                <w:highlight w:val="none"/>
                <w:shd w:val="clear" w:color="auto" w:fill="FFFFFF"/>
                <w:lang w:val="zh-CN"/>
              </w:rPr>
              <w:t>得</w:t>
            </w:r>
            <w:r>
              <w:rPr>
                <w:rFonts w:hint="eastAsia" w:ascii="宋体" w:hAnsi="宋体" w:cs="宋体"/>
                <w:color w:val="auto"/>
                <w:szCs w:val="21"/>
                <w:highlight w:val="none"/>
                <w:shd w:val="clear" w:color="auto" w:fill="FFFFFF"/>
                <w:lang w:val="en-US" w:eastAsia="zh-CN"/>
              </w:rPr>
              <w:t>1</w:t>
            </w:r>
            <w:r>
              <w:rPr>
                <w:rFonts w:hint="eastAsia" w:ascii="宋体" w:hAnsi="宋体" w:cs="宋体"/>
                <w:color w:val="auto"/>
                <w:szCs w:val="21"/>
                <w:highlight w:val="none"/>
                <w:shd w:val="clear" w:color="auto" w:fill="FFFFFF"/>
                <w:lang w:val="zh-CN"/>
              </w:rPr>
              <w:t>分</w:t>
            </w:r>
            <w:r>
              <w:rPr>
                <w:rFonts w:hint="eastAsia" w:ascii="宋体" w:hAnsi="宋体" w:cs="宋体"/>
                <w:color w:val="auto"/>
                <w:szCs w:val="21"/>
                <w:highlight w:val="none"/>
                <w:shd w:val="clear" w:color="auto" w:fill="FFFFFF"/>
              </w:rPr>
              <w:t>；</w:t>
            </w:r>
          </w:p>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未提供</w:t>
            </w:r>
            <w:r>
              <w:rPr>
                <w:rFonts w:hint="eastAsia" w:ascii="宋体" w:hAnsi="宋体" w:cs="宋体"/>
                <w:color w:val="auto"/>
                <w:szCs w:val="21"/>
                <w:highlight w:val="none"/>
                <w:shd w:val="clear" w:color="auto" w:fill="FFFFFF"/>
                <w:lang w:val="zh-CN"/>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825" w:type="dxa"/>
            <w:gridSpan w:val="3"/>
            <w:vMerge w:val="continue"/>
            <w:tcBorders>
              <w:left w:val="single" w:color="auto" w:sz="4" w:space="0"/>
              <w:bottom w:val="single" w:color="auto" w:sz="4" w:space="0"/>
              <w:right w:val="single" w:color="auto" w:sz="4" w:space="0"/>
            </w:tcBorders>
            <w:vAlign w:val="center"/>
          </w:tcPr>
          <w:p>
            <w:pPr>
              <w:spacing w:line="400" w:lineRule="exact"/>
              <w:jc w:val="center"/>
              <w:rPr>
                <w:rFonts w:ascii="宋体" w:hAnsi="宋体" w:cs="宋体"/>
                <w:bCs/>
                <w:color w:val="auto"/>
                <w:szCs w:val="21"/>
                <w:highlight w:val="none"/>
              </w:rPr>
            </w:pPr>
          </w:p>
        </w:tc>
        <w:tc>
          <w:tcPr>
            <w:tcW w:w="1115" w:type="dxa"/>
            <w:vMerge w:val="continue"/>
            <w:tcBorders>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sz w:val="21"/>
                <w:szCs w:val="21"/>
                <w:highlight w:val="none"/>
                <w:shd w:val="clear" w:color="auto" w:fill="FFFFFF"/>
              </w:rPr>
            </w:pPr>
          </w:p>
        </w:tc>
        <w:tc>
          <w:tcPr>
            <w:tcW w:w="811" w:type="dxa"/>
            <w:gridSpan w:val="3"/>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sz w:val="21"/>
                <w:szCs w:val="21"/>
                <w:highlight w:val="none"/>
              </w:rPr>
            </w:pPr>
            <w:r>
              <w:rPr>
                <w:rFonts w:hint="eastAsia" w:ascii="宋体" w:eastAsia="宋体" w:cs="宋体"/>
                <w:color w:val="auto"/>
                <w:kern w:val="0"/>
                <w:sz w:val="21"/>
                <w:szCs w:val="21"/>
                <w:highlight w:val="none"/>
              </w:rPr>
              <w:t>5分</w:t>
            </w:r>
          </w:p>
        </w:tc>
        <w:tc>
          <w:tcPr>
            <w:tcW w:w="576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根据投标人所投产品安全性能（包括1.安全防护设计、2.安全措施、3.</w:t>
            </w:r>
            <w:r>
              <w:rPr>
                <w:rFonts w:hint="eastAsia" w:ascii="宋体" w:hAnsi="宋体" w:cs="宋体"/>
                <w:color w:val="auto"/>
                <w:sz w:val="21"/>
                <w:szCs w:val="21"/>
                <w:highlight w:val="none"/>
                <w:shd w:val="clear" w:color="auto" w:fill="FFFFFF"/>
                <w:lang w:val="en-US"/>
              </w:rPr>
              <w:t>电气、液压系统</w:t>
            </w:r>
            <w:r>
              <w:rPr>
                <w:rFonts w:hint="eastAsia" w:ascii="宋体" w:hAnsi="宋体" w:cs="宋体"/>
                <w:color w:val="auto"/>
                <w:sz w:val="21"/>
                <w:szCs w:val="21"/>
                <w:highlight w:val="none"/>
                <w:shd w:val="clear" w:color="auto" w:fill="FFFFFF"/>
              </w:rPr>
              <w:t>防护措施、4.安全配置、5.保养措施等）进行综合评审：</w:t>
            </w:r>
          </w:p>
          <w:p>
            <w:pPr>
              <w:spacing w:line="400" w:lineRule="exact"/>
              <w:ind w:firstLine="420" w:firstLineChars="200"/>
              <w:rPr>
                <w:rFonts w:hint="eastAsia"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①根据投标人提供的设备安全性能内容全面完整（包含上述5种方案）、安全防护设计详细合理、安全措施详细合理、</w:t>
            </w:r>
            <w:r>
              <w:rPr>
                <w:rFonts w:hint="eastAsia" w:ascii="宋体" w:hAnsi="宋体" w:cs="宋体"/>
                <w:color w:val="auto"/>
                <w:sz w:val="21"/>
                <w:szCs w:val="21"/>
                <w:highlight w:val="none"/>
                <w:shd w:val="clear" w:color="auto" w:fill="FFFFFF"/>
                <w:lang w:val="en-US"/>
              </w:rPr>
              <w:t>电气、液压系统</w:t>
            </w:r>
            <w:r>
              <w:rPr>
                <w:rFonts w:hint="eastAsia" w:ascii="宋体" w:hAnsi="宋体" w:cs="宋体"/>
                <w:color w:val="auto"/>
                <w:sz w:val="21"/>
                <w:szCs w:val="21"/>
                <w:highlight w:val="none"/>
                <w:shd w:val="clear" w:color="auto" w:fill="FFFFFF"/>
              </w:rPr>
              <w:t>防护措施详细合理、安全配置全面合理、保养措施详细合理</w:t>
            </w:r>
            <w:r>
              <w:rPr>
                <w:rFonts w:hint="eastAsia" w:ascii="宋体" w:hAnsi="宋体" w:cs="宋体"/>
                <w:color w:val="auto"/>
                <w:sz w:val="21"/>
                <w:szCs w:val="21"/>
                <w:highlight w:val="none"/>
                <w:shd w:val="clear" w:color="auto" w:fill="FFFFFF"/>
                <w:lang w:val="en-US"/>
              </w:rPr>
              <w:t>5</w:t>
            </w:r>
            <w:r>
              <w:rPr>
                <w:rFonts w:hint="eastAsia" w:ascii="宋体" w:hAnsi="宋体" w:cs="宋体"/>
                <w:color w:val="auto"/>
                <w:sz w:val="21"/>
                <w:szCs w:val="21"/>
                <w:highlight w:val="none"/>
                <w:shd w:val="clear" w:color="auto" w:fill="FFFFFF"/>
              </w:rPr>
              <w:t>分；</w:t>
            </w:r>
          </w:p>
          <w:p>
            <w:pPr>
              <w:spacing w:line="400" w:lineRule="exact"/>
              <w:ind w:firstLine="420" w:firstLineChars="200"/>
              <w:rPr>
                <w:rFonts w:hint="eastAsia"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②根据投标人提供的设备安全性能内容完整（至少包含上述3种方案）、安全防护设计合理、安全措施合理、</w:t>
            </w:r>
            <w:r>
              <w:rPr>
                <w:rFonts w:hint="eastAsia" w:ascii="宋体" w:hAnsi="宋体" w:cs="宋体"/>
                <w:color w:val="auto"/>
                <w:sz w:val="21"/>
                <w:szCs w:val="21"/>
                <w:highlight w:val="none"/>
                <w:shd w:val="clear" w:color="auto" w:fill="FFFFFF"/>
                <w:lang w:val="en-US"/>
              </w:rPr>
              <w:t>电气、液压</w:t>
            </w:r>
            <w:r>
              <w:rPr>
                <w:rFonts w:hint="eastAsia" w:ascii="宋体" w:hAnsi="宋体" w:cs="宋体"/>
                <w:color w:val="auto"/>
                <w:sz w:val="21"/>
                <w:szCs w:val="21"/>
                <w:highlight w:val="none"/>
                <w:shd w:val="clear" w:color="auto" w:fill="FFFFFF"/>
              </w:rPr>
              <w:t>系统防护措施合理、安全配置合理、保养措施合理，得</w:t>
            </w:r>
            <w:r>
              <w:rPr>
                <w:rFonts w:hint="eastAsia" w:ascii="宋体" w:hAnsi="宋体" w:cs="宋体"/>
                <w:color w:val="auto"/>
                <w:sz w:val="21"/>
                <w:szCs w:val="21"/>
                <w:highlight w:val="none"/>
                <w:shd w:val="clear" w:color="auto" w:fill="FFFFFF"/>
                <w:lang w:val="en-US"/>
              </w:rPr>
              <w:t>3</w:t>
            </w:r>
            <w:r>
              <w:rPr>
                <w:rFonts w:hint="eastAsia" w:ascii="宋体" w:hAnsi="宋体" w:cs="宋体"/>
                <w:color w:val="auto"/>
                <w:sz w:val="21"/>
                <w:szCs w:val="21"/>
                <w:highlight w:val="none"/>
                <w:shd w:val="clear" w:color="auto" w:fill="FFFFFF"/>
              </w:rPr>
              <w:t>分；</w:t>
            </w:r>
          </w:p>
          <w:p>
            <w:pPr>
              <w:spacing w:line="400" w:lineRule="exact"/>
              <w:ind w:firstLine="420" w:firstLineChars="200"/>
              <w:rPr>
                <w:rFonts w:hint="eastAsia"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③根据投标人提供的设备安全性能内容不完整（至少包含上述</w:t>
            </w:r>
            <w:r>
              <w:rPr>
                <w:rFonts w:hint="eastAsia" w:ascii="宋体" w:hAnsi="宋体" w:cs="宋体"/>
                <w:color w:val="auto"/>
                <w:sz w:val="21"/>
                <w:szCs w:val="21"/>
                <w:highlight w:val="none"/>
                <w:shd w:val="clear" w:color="auto" w:fill="FFFFFF"/>
                <w:lang w:val="en-US"/>
              </w:rPr>
              <w:t>1</w:t>
            </w:r>
            <w:r>
              <w:rPr>
                <w:rFonts w:hint="eastAsia" w:ascii="宋体" w:hAnsi="宋体" w:cs="宋体"/>
                <w:color w:val="auto"/>
                <w:sz w:val="21"/>
                <w:szCs w:val="21"/>
                <w:highlight w:val="none"/>
                <w:shd w:val="clear" w:color="auto" w:fill="FFFFFF"/>
              </w:rPr>
              <w:t>种方案）、安全防护设计</w:t>
            </w:r>
            <w:r>
              <w:rPr>
                <w:rFonts w:hint="eastAsia" w:ascii="宋体" w:hAnsi="宋体" w:cs="宋体"/>
                <w:color w:val="auto"/>
                <w:sz w:val="21"/>
                <w:szCs w:val="21"/>
                <w:highlight w:val="none"/>
                <w:shd w:val="clear" w:color="auto" w:fill="FFFFFF"/>
                <w:lang w:val="en-US"/>
              </w:rPr>
              <w:t>差</w:t>
            </w:r>
            <w:r>
              <w:rPr>
                <w:rFonts w:hint="eastAsia" w:ascii="宋体" w:hAnsi="宋体" w:cs="宋体"/>
                <w:color w:val="auto"/>
                <w:sz w:val="21"/>
                <w:szCs w:val="21"/>
                <w:highlight w:val="none"/>
                <w:shd w:val="clear" w:color="auto" w:fill="FFFFFF"/>
              </w:rPr>
              <w:t>、安全措施差、</w:t>
            </w:r>
            <w:r>
              <w:rPr>
                <w:rFonts w:hint="eastAsia" w:ascii="宋体" w:hAnsi="宋体" w:cs="宋体"/>
                <w:color w:val="auto"/>
                <w:sz w:val="21"/>
                <w:szCs w:val="21"/>
                <w:highlight w:val="none"/>
                <w:shd w:val="clear" w:color="auto" w:fill="FFFFFF"/>
                <w:lang w:val="en-US"/>
              </w:rPr>
              <w:t>电气、液压系统</w:t>
            </w:r>
            <w:r>
              <w:rPr>
                <w:rFonts w:hint="eastAsia" w:ascii="宋体" w:hAnsi="宋体" w:cs="宋体"/>
                <w:color w:val="auto"/>
                <w:sz w:val="21"/>
                <w:szCs w:val="21"/>
                <w:highlight w:val="none"/>
                <w:shd w:val="clear" w:color="auto" w:fill="FFFFFF"/>
              </w:rPr>
              <w:t>防护措施差、安全配置差、保养措施差，得</w:t>
            </w:r>
            <w:r>
              <w:rPr>
                <w:rFonts w:hint="eastAsia" w:ascii="宋体" w:hAnsi="宋体" w:cs="宋体"/>
                <w:color w:val="auto"/>
                <w:sz w:val="21"/>
                <w:szCs w:val="21"/>
                <w:highlight w:val="none"/>
                <w:shd w:val="clear" w:color="auto" w:fill="FFFFFF"/>
                <w:lang w:val="en-US"/>
              </w:rPr>
              <w:t>1</w:t>
            </w:r>
            <w:r>
              <w:rPr>
                <w:rFonts w:hint="eastAsia" w:ascii="宋体" w:hAnsi="宋体" w:cs="宋体"/>
                <w:color w:val="auto"/>
                <w:sz w:val="21"/>
                <w:szCs w:val="21"/>
                <w:highlight w:val="none"/>
                <w:shd w:val="clear" w:color="auto" w:fill="FFFFFF"/>
              </w:rPr>
              <w:t>分；</w:t>
            </w:r>
          </w:p>
          <w:p>
            <w:pPr>
              <w:spacing w:line="400" w:lineRule="exact"/>
              <w:rPr>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未提供对应措施不得分。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825"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bCs/>
                <w:color w:val="auto"/>
                <w:kern w:val="2"/>
                <w:szCs w:val="21"/>
                <w:highlight w:val="none"/>
              </w:rPr>
            </w:pPr>
            <w:r>
              <w:rPr>
                <w:rFonts w:hint="eastAsia" w:ascii="宋体" w:hAnsi="宋体" w:cs="宋体"/>
                <w:bCs/>
                <w:color w:val="auto"/>
                <w:szCs w:val="21"/>
                <w:highlight w:val="none"/>
              </w:rPr>
              <w:t>4</w:t>
            </w:r>
          </w:p>
        </w:tc>
        <w:tc>
          <w:tcPr>
            <w:tcW w:w="1115" w:type="dxa"/>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sz w:val="21"/>
                <w:szCs w:val="21"/>
                <w:highlight w:val="none"/>
                <w:shd w:val="clear" w:color="auto" w:fill="FFFFFF"/>
              </w:rPr>
            </w:pPr>
            <w:r>
              <w:rPr>
                <w:rFonts w:hint="eastAsia" w:ascii="宋体" w:eastAsia="宋体" w:cs="宋体"/>
                <w:color w:val="auto"/>
                <w:sz w:val="21"/>
                <w:szCs w:val="21"/>
                <w:highlight w:val="none"/>
                <w:shd w:val="clear" w:color="auto" w:fill="FFFFFF"/>
              </w:rPr>
              <w:t>质保期</w:t>
            </w:r>
          </w:p>
        </w:tc>
        <w:tc>
          <w:tcPr>
            <w:tcW w:w="811" w:type="dxa"/>
            <w:gridSpan w:val="3"/>
            <w:tcBorders>
              <w:top w:val="single" w:color="auto" w:sz="4" w:space="0"/>
              <w:left w:val="single" w:color="auto" w:sz="4" w:space="0"/>
              <w:bottom w:val="single" w:color="auto" w:sz="4" w:space="0"/>
              <w:right w:val="single" w:color="auto" w:sz="4" w:space="0"/>
            </w:tcBorders>
            <w:vAlign w:val="center"/>
          </w:tcPr>
          <w:p>
            <w:pPr>
              <w:pStyle w:val="49"/>
              <w:spacing w:line="400" w:lineRule="exact"/>
              <w:ind w:firstLine="0" w:firstLineChars="0"/>
              <w:jc w:val="center"/>
              <w:rPr>
                <w:rFonts w:ascii="宋体" w:eastAsia="宋体" w:cs="宋体"/>
                <w:color w:val="auto"/>
                <w:kern w:val="0"/>
                <w:sz w:val="21"/>
                <w:szCs w:val="21"/>
                <w:highlight w:val="none"/>
              </w:rPr>
            </w:pPr>
            <w:r>
              <w:rPr>
                <w:rFonts w:hint="eastAsia" w:ascii="宋体" w:eastAsia="宋体" w:cs="宋体"/>
                <w:color w:val="auto"/>
                <w:kern w:val="0"/>
                <w:sz w:val="21"/>
                <w:szCs w:val="21"/>
                <w:highlight w:val="none"/>
                <w:lang w:val="en-US" w:eastAsia="zh-CN"/>
              </w:rPr>
              <w:t>2</w:t>
            </w:r>
            <w:r>
              <w:rPr>
                <w:rFonts w:hint="eastAsia" w:ascii="宋体" w:eastAsia="宋体" w:cs="宋体"/>
                <w:color w:val="auto"/>
                <w:kern w:val="0"/>
                <w:sz w:val="21"/>
                <w:szCs w:val="21"/>
                <w:highlight w:val="none"/>
              </w:rPr>
              <w:t>分</w:t>
            </w:r>
          </w:p>
        </w:tc>
        <w:tc>
          <w:tcPr>
            <w:tcW w:w="576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投标人</w:t>
            </w:r>
            <w:r>
              <w:rPr>
                <w:rFonts w:hint="eastAsia" w:cs="宋体" w:asciiTheme="minorEastAsia" w:hAnsiTheme="minorEastAsia" w:eastAsiaTheme="minorEastAsia"/>
                <w:color w:val="auto"/>
                <w:szCs w:val="21"/>
                <w:highlight w:val="none"/>
                <w:shd w:val="clear" w:color="auto" w:fill="FFFFFF"/>
              </w:rPr>
              <w:t>对所投产品承诺质保两年</w:t>
            </w:r>
            <w:r>
              <w:rPr>
                <w:rFonts w:hint="eastAsia" w:ascii="宋体" w:hAnsi="宋体" w:cs="宋体"/>
                <w:color w:val="auto"/>
                <w:highlight w:val="none"/>
              </w:rPr>
              <w:t>（平板自卸车质保</w:t>
            </w:r>
            <w:r>
              <w:rPr>
                <w:rFonts w:hint="eastAsia"/>
                <w:color w:val="auto"/>
                <w:highlight w:val="none"/>
              </w:rPr>
              <w:t>3</w:t>
            </w:r>
            <w:r>
              <w:rPr>
                <w:rFonts w:hint="eastAsia" w:ascii="宋体" w:hAnsi="宋体" w:cs="宋体"/>
                <w:color w:val="auto"/>
                <w:highlight w:val="none"/>
              </w:rPr>
              <w:t>年）</w:t>
            </w:r>
            <w:r>
              <w:rPr>
                <w:rFonts w:hint="eastAsia" w:cs="宋体" w:asciiTheme="minorEastAsia" w:hAnsiTheme="minorEastAsia" w:eastAsiaTheme="minorEastAsia"/>
                <w:color w:val="auto"/>
                <w:szCs w:val="21"/>
                <w:highlight w:val="none"/>
                <w:shd w:val="clear" w:color="auto" w:fill="FFFFFF"/>
              </w:rPr>
              <w:t>的得1分，质保三年</w:t>
            </w:r>
            <w:r>
              <w:rPr>
                <w:rFonts w:hint="eastAsia" w:ascii="宋体" w:hAnsi="宋体" w:cs="宋体"/>
                <w:color w:val="auto"/>
                <w:highlight w:val="none"/>
              </w:rPr>
              <w:t>（平板自卸车质保</w:t>
            </w:r>
            <w:r>
              <w:rPr>
                <w:rFonts w:hint="eastAsia"/>
                <w:color w:val="auto"/>
                <w:highlight w:val="none"/>
              </w:rPr>
              <w:t>4</w:t>
            </w:r>
            <w:r>
              <w:rPr>
                <w:rFonts w:hint="eastAsia" w:ascii="宋体" w:hAnsi="宋体" w:cs="宋体"/>
                <w:color w:val="auto"/>
                <w:highlight w:val="none"/>
              </w:rPr>
              <w:t>年）</w:t>
            </w:r>
            <w:r>
              <w:rPr>
                <w:rFonts w:hint="eastAsia" w:cs="宋体" w:asciiTheme="minorEastAsia" w:hAnsiTheme="minorEastAsia" w:eastAsiaTheme="minorEastAsia"/>
                <w:color w:val="auto"/>
                <w:szCs w:val="21"/>
                <w:highlight w:val="none"/>
                <w:shd w:val="clear" w:color="auto" w:fill="FFFFFF"/>
              </w:rPr>
              <w:t>的得</w:t>
            </w:r>
            <w:r>
              <w:rPr>
                <w:rFonts w:hint="eastAsia" w:cs="宋体" w:asciiTheme="minorEastAsia" w:hAnsiTheme="minorEastAsia" w:eastAsiaTheme="minorEastAsia"/>
                <w:color w:val="auto"/>
                <w:szCs w:val="21"/>
                <w:highlight w:val="none"/>
                <w:shd w:val="clear" w:color="auto" w:fill="FFFFFF"/>
                <w:lang w:val="en-US" w:eastAsia="zh-CN"/>
              </w:rPr>
              <w:t>2</w:t>
            </w:r>
            <w:r>
              <w:rPr>
                <w:rFonts w:hint="eastAsia" w:cs="宋体" w:asciiTheme="minorEastAsia" w:hAnsiTheme="minorEastAsia" w:eastAsiaTheme="minorEastAsia"/>
                <w:color w:val="auto"/>
                <w:szCs w:val="21"/>
                <w:highlight w:val="none"/>
                <w:shd w:val="clear" w:color="auto" w:fill="FFFFFF"/>
              </w:rPr>
              <w:t>分，本项最高得分</w:t>
            </w:r>
            <w:r>
              <w:rPr>
                <w:rFonts w:hint="eastAsia" w:cs="宋体" w:asciiTheme="minorEastAsia" w:hAnsiTheme="minorEastAsia" w:eastAsiaTheme="minorEastAsia"/>
                <w:color w:val="auto"/>
                <w:szCs w:val="21"/>
                <w:highlight w:val="none"/>
                <w:shd w:val="clear" w:color="auto" w:fill="FFFFFF"/>
                <w:lang w:val="en-US" w:eastAsia="zh-CN"/>
              </w:rPr>
              <w:t>2</w:t>
            </w:r>
            <w:r>
              <w:rPr>
                <w:rFonts w:hint="eastAsia" w:cs="宋体" w:asciiTheme="minorEastAsia" w:hAnsiTheme="minorEastAsia" w:eastAsiaTheme="minorEastAsia"/>
                <w:color w:val="auto"/>
                <w:szCs w:val="21"/>
                <w:highlight w:val="none"/>
                <w:shd w:val="clear" w:color="auto" w:fill="FFFFFF"/>
              </w:rPr>
              <w:t>分。</w:t>
            </w:r>
          </w:p>
          <w:p>
            <w:pPr>
              <w:spacing w:line="400" w:lineRule="exact"/>
              <w:ind w:firstLine="420" w:firstLineChars="200"/>
              <w:rPr>
                <w:rFonts w:ascii="宋体" w:hAnsi="宋体" w:cs="宋体"/>
                <w:color w:val="auto"/>
                <w:kern w:val="2"/>
                <w:szCs w:val="21"/>
                <w:highlight w:val="none"/>
                <w:shd w:val="clear" w:color="auto" w:fill="FFFFFF"/>
              </w:rPr>
            </w:pPr>
            <w:r>
              <w:rPr>
                <w:rFonts w:hint="eastAsia" w:ascii="宋体" w:hAnsi="宋体" w:cs="宋体"/>
                <w:color w:val="auto"/>
                <w:szCs w:val="21"/>
                <w:highlight w:val="none"/>
                <w:shd w:val="clear" w:color="auto" w:fill="FFFFFF"/>
              </w:rPr>
              <w:t>注：须提供单独承诺函加盖投标人公章进行响应，不提供或不响应增加的均不得分。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8519" w:type="dxa"/>
            <w:gridSpan w:val="9"/>
            <w:tcBorders>
              <w:top w:val="single" w:color="auto" w:sz="4" w:space="0"/>
              <w:left w:val="single" w:color="auto" w:sz="4" w:space="0"/>
              <w:bottom w:val="single" w:color="auto" w:sz="4" w:space="0"/>
              <w:right w:val="single" w:color="auto" w:sz="4" w:space="0"/>
            </w:tcBorders>
            <w:vAlign w:val="center"/>
          </w:tcPr>
          <w:p>
            <w:pPr>
              <w:tabs>
                <w:tab w:val="left" w:pos="907"/>
              </w:tabs>
              <w:adjustRightInd/>
              <w:snapToGrid/>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注：</w:t>
            </w:r>
          </w:p>
          <w:p>
            <w:pPr>
              <w:tabs>
                <w:tab w:val="left" w:pos="907"/>
              </w:tabs>
              <w:adjustRightInd/>
              <w:snapToGrid/>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（1）无特殊说明外，以上评审项，同一证明文件不重复计分。</w:t>
            </w:r>
          </w:p>
          <w:p>
            <w:pPr>
              <w:tabs>
                <w:tab w:val="left" w:pos="907"/>
              </w:tabs>
              <w:adjustRightInd/>
              <w:snapToGrid/>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（2）投标人根据以上评分要求提供的投标材料因模糊不清导致评标委员会无法清晰辨认进行评审的，视为无效材料。</w:t>
            </w:r>
          </w:p>
          <w:p>
            <w:pPr>
              <w:tabs>
                <w:tab w:val="left" w:pos="907"/>
              </w:tabs>
              <w:adjustRightInd/>
              <w:snapToGrid/>
              <w:ind w:firstLine="422" w:firstLineChars="200"/>
              <w:jc w:val="both"/>
              <w:rPr>
                <w:rFonts w:ascii="宋体" w:hAnsi="宋体" w:cs="宋体"/>
                <w:color w:val="auto"/>
                <w:szCs w:val="21"/>
                <w:highlight w:val="none"/>
                <w:shd w:val="clear" w:color="auto" w:fill="FFFFFF"/>
              </w:rPr>
            </w:pPr>
            <w:r>
              <w:rPr>
                <w:rFonts w:hint="eastAsia" w:ascii="宋体" w:hAnsi="宋体" w:cs="宋体"/>
                <w:b/>
                <w:color w:val="auto"/>
                <w:szCs w:val="21"/>
                <w:highlight w:val="none"/>
              </w:rPr>
              <w:t>（3）若因疫情原因暂缓统一托收或阶段性减免社会保险费而导致无法打印社保缴费证明的需提供书面说明并加盖投标人公章。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8519" w:type="dxa"/>
            <w:gridSpan w:val="9"/>
            <w:tcBorders>
              <w:top w:val="single" w:color="auto" w:sz="4" w:space="0"/>
              <w:left w:val="single" w:color="auto" w:sz="4" w:space="0"/>
              <w:bottom w:val="single" w:color="auto" w:sz="4" w:space="0"/>
              <w:right w:val="single" w:color="auto" w:sz="4" w:space="0"/>
            </w:tcBorders>
            <w:vAlign w:val="center"/>
          </w:tcPr>
          <w:p>
            <w:pPr>
              <w:pStyle w:val="49"/>
              <w:spacing w:line="360" w:lineRule="auto"/>
              <w:ind w:firstLine="0" w:firstLineChars="0"/>
              <w:jc w:val="center"/>
              <w:rPr>
                <w:rFonts w:ascii="宋体" w:eastAsia="宋体" w:cs="宋体"/>
                <w:b/>
                <w:color w:val="auto"/>
                <w:sz w:val="21"/>
                <w:szCs w:val="21"/>
                <w:highlight w:val="none"/>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val="en-US" w:eastAsia="zh-CN"/>
              </w:rPr>
              <w:t>6</w:t>
            </w:r>
            <w:r>
              <w:rPr>
                <w:rFonts w:hint="eastAsia" w:ascii="宋体" w:eastAsia="宋体" w:cs="宋体"/>
                <w:b/>
                <w:bCs/>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pStyle w:val="49"/>
              <w:spacing w:line="360" w:lineRule="auto"/>
              <w:ind w:firstLine="0" w:firstLineChars="0"/>
              <w:jc w:val="center"/>
              <w:rPr>
                <w:rFonts w:ascii="宋体" w:eastAsia="宋体" w:cs="宋体"/>
                <w:b/>
                <w:color w:val="auto"/>
                <w:sz w:val="21"/>
                <w:szCs w:val="21"/>
                <w:highlight w:val="none"/>
              </w:rPr>
            </w:pPr>
            <w:r>
              <w:rPr>
                <w:rFonts w:hint="eastAsia" w:ascii="宋体" w:eastAsia="宋体" w:cs="宋体"/>
                <w:color w:val="auto"/>
                <w:sz w:val="21"/>
                <w:szCs w:val="21"/>
                <w:highlight w:val="none"/>
              </w:rPr>
              <w:t>1</w:t>
            </w:r>
          </w:p>
        </w:tc>
        <w:tc>
          <w:tcPr>
            <w:tcW w:w="1608" w:type="dxa"/>
            <w:gridSpan w:val="5"/>
            <w:tcBorders>
              <w:top w:val="single" w:color="auto" w:sz="4" w:space="0"/>
              <w:left w:val="single" w:color="auto" w:sz="4" w:space="0"/>
              <w:bottom w:val="single" w:color="auto" w:sz="4" w:space="0"/>
              <w:right w:val="single" w:color="auto" w:sz="4" w:space="0"/>
            </w:tcBorders>
            <w:vAlign w:val="center"/>
          </w:tcPr>
          <w:p>
            <w:pPr>
              <w:widowControl w:val="0"/>
              <w:adjustRightInd/>
              <w:snapToGrid/>
              <w:jc w:val="center"/>
              <w:rPr>
                <w:rFonts w:ascii="宋体" w:hAnsi="宋体" w:cs="宋体"/>
                <w:color w:val="auto"/>
                <w:szCs w:val="21"/>
                <w:highlight w:val="none"/>
              </w:rPr>
            </w:pPr>
            <w:r>
              <w:rPr>
                <w:rFonts w:hint="eastAsia" w:ascii="宋体" w:hAnsi="宋体" w:cs="宋体"/>
                <w:color w:val="auto"/>
                <w:kern w:val="2"/>
                <w:szCs w:val="21"/>
                <w:highlight w:val="none"/>
              </w:rPr>
              <w:t>投标总价</w:t>
            </w:r>
          </w:p>
        </w:tc>
        <w:tc>
          <w:tcPr>
            <w:tcW w:w="6222" w:type="dxa"/>
            <w:gridSpan w:val="3"/>
            <w:tcBorders>
              <w:top w:val="single" w:color="auto" w:sz="4" w:space="0"/>
              <w:left w:val="single" w:color="auto" w:sz="4" w:space="0"/>
              <w:bottom w:val="single" w:color="auto" w:sz="4" w:space="0"/>
              <w:right w:val="single" w:color="auto" w:sz="4" w:space="0"/>
            </w:tcBorders>
            <w:vAlign w:val="center"/>
          </w:tcPr>
          <w:p>
            <w:pPr>
              <w:widowControl w:val="0"/>
              <w:adjustRightInd/>
              <w:snapToGrid/>
              <w:ind w:firstLine="420" w:firstLineChars="200"/>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价格分计算方法：满足采购文件要求且投标价格最低的投标报价为评标基准价，其价格分为满分。其他投标人的价格分统一按照下列公式计算：</w:t>
            </w:r>
          </w:p>
          <w:p>
            <w:pPr>
              <w:widowControl w:val="0"/>
              <w:adjustRightInd/>
              <w:snapToGrid/>
              <w:ind w:firstLine="420" w:firstLineChars="200"/>
              <w:rPr>
                <w:rFonts w:ascii="宋体" w:hAnsi="宋体" w:cs="宋体"/>
                <w:color w:val="auto"/>
                <w:szCs w:val="21"/>
                <w:highlight w:val="none"/>
              </w:rPr>
            </w:pPr>
            <w:r>
              <w:rPr>
                <w:rFonts w:hint="eastAsia" w:ascii="宋体" w:hAnsi="宋体" w:cs="宋体"/>
                <w:color w:val="auto"/>
                <w:kern w:val="2"/>
                <w:szCs w:val="21"/>
                <w:highlight w:val="none"/>
                <w:lang w:val="zh-CN"/>
              </w:rPr>
              <w:t>投标报价得分=(评标基准价／投标报价)×价格权</w:t>
            </w:r>
            <w:r>
              <w:rPr>
                <w:rFonts w:hint="eastAsia" w:ascii="宋体" w:hAnsi="宋体" w:cs="宋体"/>
                <w:color w:val="auto"/>
                <w:kern w:val="2"/>
                <w:szCs w:val="21"/>
                <w:highlight w:val="none"/>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8519" w:type="dxa"/>
            <w:gridSpan w:val="9"/>
            <w:tcBorders>
              <w:top w:val="single" w:color="auto" w:sz="4" w:space="0"/>
              <w:left w:val="single" w:color="auto" w:sz="4" w:space="0"/>
              <w:bottom w:val="single" w:color="auto" w:sz="4" w:space="0"/>
              <w:right w:val="single" w:color="auto" w:sz="4" w:space="0"/>
            </w:tcBorders>
            <w:vAlign w:val="center"/>
          </w:tcPr>
          <w:p>
            <w:pPr>
              <w:pStyle w:val="7"/>
              <w:spacing w:line="240" w:lineRule="auto"/>
              <w:rPr>
                <w:rFonts w:ascii="宋体" w:hAnsi="宋体" w:cs="宋体"/>
                <w:color w:val="auto"/>
                <w:kern w:val="2"/>
                <w:szCs w:val="21"/>
                <w:highlight w:val="none"/>
                <w:lang w:val="zh-CN"/>
              </w:rPr>
            </w:pPr>
            <w:r>
              <w:rPr>
                <w:rFonts w:hint="eastAsia" w:ascii="宋体" w:hAnsi="宋体" w:cs="宋体"/>
                <w:color w:val="auto"/>
                <w:kern w:val="2"/>
                <w:sz w:val="21"/>
                <w:szCs w:val="21"/>
                <w:highlight w:val="none"/>
                <w:lang w:val="zh-CN"/>
              </w:rPr>
              <w:t>投标人的最终评标得分=商务、技术综合得分+价格得分</w:t>
            </w:r>
          </w:p>
        </w:tc>
      </w:tr>
    </w:tbl>
    <w:p>
      <w:pPr>
        <w:pStyle w:val="4"/>
        <w:rPr>
          <w:b/>
          <w:bCs/>
          <w:color w:val="auto"/>
          <w:highlight w:val="none"/>
        </w:rPr>
      </w:pPr>
    </w:p>
    <w:p>
      <w:pPr>
        <w:ind w:firstLine="422" w:firstLineChars="200"/>
        <w:rPr>
          <w:color w:val="auto"/>
          <w:highlight w:val="none"/>
        </w:rPr>
      </w:pPr>
      <w:r>
        <w:rPr>
          <w:rFonts w:hint="eastAsia"/>
          <w:b/>
          <w:bCs/>
          <w:color w:val="auto"/>
          <w:highlight w:val="none"/>
        </w:rPr>
        <w:t>注：评标委员会评委按评标标准独立对技术标进行评审，得出技术标评分。当评标委员会为五人时，在所有评委对同一份投标文件技术标评审的总评分中，去掉一个最高分和一个最低分，计算剩余总评分的算术平均值即为该投标人技术标的最终综合得分；当评标委员会为七人及以上单数时，在各评委的打分中，同一评委的最高评分减去最低评分，去掉分差最大评委的所有技术标评分（当一位或两位评委评分差值最大时均取消其评委评分，当多于两位评分差值均最大时，不取消任一评委评分），在所有剩余评委对同一份投标文件技术部分评审的总评分中，去掉一个最高分和一个最低分，计算剩余总评分的算术平均值即为该投标人技术部分的最终综合得分。</w:t>
      </w:r>
      <w:r>
        <w:rPr>
          <w:rFonts w:hint="eastAsia"/>
          <w:color w:val="auto"/>
          <w:highlight w:val="none"/>
        </w:rPr>
        <w:br w:type="page"/>
      </w:r>
    </w:p>
    <w:p>
      <w:pPr>
        <w:pStyle w:val="6"/>
        <w:spacing w:before="0" w:after="0" w:line="240" w:lineRule="auto"/>
        <w:jc w:val="center"/>
        <w:rPr>
          <w:color w:val="auto"/>
          <w:sz w:val="32"/>
          <w:szCs w:val="32"/>
          <w:highlight w:val="none"/>
        </w:rPr>
      </w:pPr>
      <w:bookmarkStart w:id="19" w:name="_Toc4078"/>
      <w:r>
        <w:rPr>
          <w:rFonts w:hint="eastAsia"/>
          <w:color w:val="auto"/>
          <w:sz w:val="32"/>
          <w:szCs w:val="32"/>
          <w:highlight w:val="none"/>
        </w:rPr>
        <w:t>第三部分用户需求书</w:t>
      </w:r>
      <w:bookmarkEnd w:id="19"/>
    </w:p>
    <w:p>
      <w:pPr>
        <w:rPr>
          <w:color w:val="auto"/>
          <w:highlight w:val="none"/>
        </w:rPr>
      </w:pPr>
    </w:p>
    <w:p>
      <w:pPr>
        <w:pStyle w:val="7"/>
        <w:numPr>
          <w:ilvl w:val="0"/>
          <w:numId w:val="4"/>
        </w:numPr>
        <w:spacing w:before="0" w:after="0" w:line="360" w:lineRule="auto"/>
        <w:jc w:val="center"/>
        <w:rPr>
          <w:rFonts w:ascii="宋体" w:hAnsi="宋体"/>
          <w:color w:val="auto"/>
          <w:highlight w:val="none"/>
        </w:rPr>
      </w:pPr>
      <w:bookmarkStart w:id="20" w:name="_Toc1593"/>
      <w:bookmarkStart w:id="21" w:name="_Toc27644"/>
      <w:bookmarkStart w:id="22" w:name="_Toc308786492"/>
      <w:bookmarkStart w:id="23" w:name="_Toc13112"/>
      <w:bookmarkStart w:id="24" w:name="_Toc31278"/>
      <w:bookmarkStart w:id="25" w:name="_Toc24679"/>
      <w:bookmarkStart w:id="26" w:name="_Toc14462"/>
      <w:r>
        <w:rPr>
          <w:rFonts w:hint="eastAsia" w:ascii="宋体" w:hAnsi="宋体"/>
          <w:color w:val="auto"/>
          <w:highlight w:val="none"/>
        </w:rPr>
        <w:t>商务需求书</w:t>
      </w:r>
      <w:bookmarkEnd w:id="20"/>
      <w:bookmarkEnd w:id="21"/>
    </w:p>
    <w:p>
      <w:pPr>
        <w:pStyle w:val="7"/>
        <w:numPr>
          <w:ilvl w:val="255"/>
          <w:numId w:val="0"/>
        </w:numPr>
        <w:spacing w:before="0" w:after="0" w:line="360" w:lineRule="auto"/>
        <w:jc w:val="center"/>
        <w:rPr>
          <w:rFonts w:ascii="宋体" w:hAnsi="宋体"/>
          <w:color w:val="auto"/>
          <w:highlight w:val="none"/>
        </w:rPr>
      </w:pPr>
      <w:r>
        <w:rPr>
          <w:rFonts w:hint="eastAsia" w:ascii="宋体" w:hAnsi="宋体"/>
          <w:color w:val="auto"/>
          <w:highlight w:val="none"/>
        </w:rPr>
        <w:t>（无特殊标注，A包\B包\C包\D包\E包均适用）</w:t>
      </w:r>
    </w:p>
    <w:tbl>
      <w:tblPr>
        <w:tblStyle w:val="34"/>
        <w:tblW w:w="868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408"/>
        <w:gridCol w:w="93"/>
        <w:gridCol w:w="2334"/>
        <w:gridCol w:w="41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2" w:hRule="atLeast"/>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gridSpan w:val="2"/>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gridSpan w:val="2"/>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9" w:hRule="atLeast"/>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gridSpan w:val="2"/>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gridSpan w:val="2"/>
            <w:vAlign w:val="center"/>
          </w:tcPr>
          <w:p>
            <w:pPr>
              <w:pStyle w:val="46"/>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0" w:hRule="atLeast"/>
          <w:jc w:val="center"/>
        </w:trPr>
        <w:tc>
          <w:tcPr>
            <w:tcW w:w="718" w:type="dxa"/>
            <w:vMerge w:val="restart"/>
            <w:vAlign w:val="center"/>
          </w:tcPr>
          <w:p>
            <w:pPr>
              <w:jc w:val="center"/>
              <w:rPr>
                <w:rFonts w:ascii="宋体" w:hAnsi="宋体" w:cs="宋体"/>
                <w:color w:val="auto"/>
                <w:szCs w:val="21"/>
                <w:highlight w:val="none"/>
              </w:rPr>
            </w:pPr>
            <w:r>
              <w:rPr>
                <w:rFonts w:hint="eastAsia" w:ascii="宋体" w:hAnsi="宋体" w:cs="宋体"/>
                <w:color w:val="auto"/>
                <w:sz w:val="24"/>
                <w:highlight w:val="none"/>
              </w:rPr>
              <w:t>★</w:t>
            </w:r>
            <w:r>
              <w:rPr>
                <w:rFonts w:hint="eastAsia" w:ascii="宋体" w:hAnsi="宋体" w:cs="宋体"/>
                <w:color w:val="auto"/>
                <w:szCs w:val="21"/>
                <w:highlight w:val="none"/>
              </w:rPr>
              <w:t>2</w:t>
            </w:r>
          </w:p>
        </w:tc>
        <w:tc>
          <w:tcPr>
            <w:tcW w:w="1501" w:type="dxa"/>
            <w:gridSpan w:val="2"/>
            <w:vMerge w:val="restart"/>
            <w:vAlign w:val="center"/>
          </w:tcPr>
          <w:p>
            <w:pPr>
              <w:jc w:val="center"/>
              <w:rPr>
                <w:rFonts w:ascii="宋体" w:hAnsi="宋体" w:cs="宋体"/>
                <w:color w:val="auto"/>
                <w:szCs w:val="21"/>
                <w:highlight w:val="none"/>
              </w:rPr>
            </w:pPr>
            <w:r>
              <w:rPr>
                <w:rFonts w:ascii="宋体" w:hAnsi="宋体" w:cs="宋体"/>
                <w:b/>
                <w:color w:val="auto"/>
                <w:sz w:val="24"/>
                <w:highlight w:val="none"/>
              </w:rPr>
              <w:t>A</w:t>
            </w:r>
            <w:r>
              <w:rPr>
                <w:rFonts w:hint="eastAsia" w:ascii="宋体" w:hAnsi="宋体" w:cs="宋体"/>
                <w:b/>
                <w:color w:val="auto"/>
                <w:sz w:val="24"/>
                <w:highlight w:val="none"/>
              </w:rPr>
              <w:t>包项目完工期</w:t>
            </w:r>
          </w:p>
        </w:tc>
        <w:tc>
          <w:tcPr>
            <w:tcW w:w="2334" w:type="dxa"/>
            <w:vAlign w:val="center"/>
          </w:tcPr>
          <w:p>
            <w:pPr>
              <w:autoSpaceDE w:val="0"/>
              <w:autoSpaceDN w:val="0"/>
              <w:spacing w:line="240" w:lineRule="auto"/>
              <w:jc w:val="center"/>
              <w:rPr>
                <w:rFonts w:ascii="宋体" w:hAnsi="宋体" w:cs="宋体"/>
                <w:b/>
                <w:bCs/>
                <w:color w:val="auto"/>
                <w:sz w:val="24"/>
                <w:szCs w:val="24"/>
                <w:highlight w:val="none"/>
                <w:lang w:bidi="ar"/>
              </w:rPr>
            </w:pPr>
            <w:r>
              <w:rPr>
                <w:rFonts w:hint="eastAsia" w:ascii="宋体" w:hAnsi="宋体" w:cs="宋体"/>
                <w:b/>
                <w:bCs/>
                <w:color w:val="auto"/>
                <w:sz w:val="24"/>
                <w:szCs w:val="24"/>
                <w:highlight w:val="none"/>
                <w:lang w:bidi="ar"/>
              </w:rPr>
              <w:t>主要节点</w:t>
            </w:r>
          </w:p>
        </w:tc>
        <w:tc>
          <w:tcPr>
            <w:tcW w:w="4132" w:type="dxa"/>
            <w:vAlign w:val="center"/>
          </w:tcPr>
          <w:p>
            <w:pPr>
              <w:autoSpaceDE w:val="0"/>
              <w:autoSpaceDN w:val="0"/>
              <w:spacing w:line="240" w:lineRule="auto"/>
              <w:jc w:val="center"/>
              <w:rPr>
                <w:rFonts w:ascii="宋体" w:hAnsi="宋体" w:cs="宋体"/>
                <w:b/>
                <w:bCs/>
                <w:color w:val="auto"/>
                <w:sz w:val="24"/>
                <w:szCs w:val="24"/>
                <w:highlight w:val="none"/>
                <w:lang w:bidi="ar"/>
              </w:rPr>
            </w:pPr>
            <w:r>
              <w:rPr>
                <w:rFonts w:hint="eastAsia" w:ascii="宋体" w:hAnsi="宋体" w:cs="宋体"/>
                <w:b/>
                <w:bCs/>
                <w:color w:val="auto"/>
                <w:sz w:val="24"/>
                <w:szCs w:val="24"/>
                <w:highlight w:val="none"/>
                <w:lang w:bidi="ar"/>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土建设计条件提资</w:t>
            </w:r>
          </w:p>
        </w:tc>
        <w:tc>
          <w:tcPr>
            <w:tcW w:w="4132" w:type="dxa"/>
            <w:vAlign w:val="center"/>
          </w:tcPr>
          <w:p>
            <w:pPr>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中标通知书发出后一周内</w:t>
            </w:r>
          </w:p>
          <w:p>
            <w:pPr>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(根据车间土建方案图结合设备进行微调)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8"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设备到货</w:t>
            </w:r>
          </w:p>
        </w:tc>
        <w:tc>
          <w:tcPr>
            <w:tcW w:w="4132" w:type="dxa"/>
            <w:vAlign w:val="center"/>
          </w:tcPr>
          <w:p>
            <w:pPr>
              <w:pStyle w:val="13"/>
              <w:jc w:val="center"/>
              <w:rPr>
                <w:rFonts w:ascii="宋体" w:hAnsi="宋体" w:cs="宋体"/>
                <w:color w:val="auto"/>
                <w:szCs w:val="21"/>
                <w:highlight w:val="none"/>
              </w:rPr>
            </w:pPr>
            <w:r>
              <w:rPr>
                <w:rFonts w:hint="eastAsia"/>
                <w:color w:val="auto"/>
                <w:highlight w:val="none"/>
              </w:rPr>
              <w:t>收到采购人进场通知后一周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9"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设备安装完成</w:t>
            </w:r>
          </w:p>
        </w:tc>
        <w:tc>
          <w:tcPr>
            <w:tcW w:w="4132" w:type="dxa"/>
            <w:vAlign w:val="center"/>
          </w:tcPr>
          <w:p>
            <w:pPr>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设备到货后一个半月内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9"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设备调试</w:t>
            </w:r>
          </w:p>
        </w:tc>
        <w:tc>
          <w:tcPr>
            <w:tcW w:w="4132" w:type="dxa"/>
            <w:vAlign w:val="center"/>
          </w:tcPr>
          <w:p>
            <w:pPr>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设备安装完成后一个月内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性能测试完成</w:t>
            </w:r>
          </w:p>
        </w:tc>
        <w:tc>
          <w:tcPr>
            <w:tcW w:w="4132" w:type="dxa"/>
            <w:vAlign w:val="center"/>
          </w:tcPr>
          <w:p>
            <w:pPr>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中转站投入使用后一个月内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4"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restart"/>
            <w:vAlign w:val="center"/>
          </w:tcPr>
          <w:p>
            <w:pPr>
              <w:jc w:val="center"/>
              <w:rPr>
                <w:rFonts w:ascii="宋体" w:hAnsi="宋体" w:cs="宋体"/>
                <w:b/>
                <w:bCs/>
                <w:color w:val="auto"/>
                <w:szCs w:val="21"/>
                <w:highlight w:val="none"/>
              </w:rPr>
            </w:pPr>
            <w:r>
              <w:rPr>
                <w:rFonts w:ascii="宋体" w:hAnsi="宋体" w:cs="宋体"/>
                <w:b/>
                <w:color w:val="auto"/>
                <w:sz w:val="24"/>
                <w:highlight w:val="none"/>
              </w:rPr>
              <w:t>B</w:t>
            </w:r>
            <w:r>
              <w:rPr>
                <w:rFonts w:hint="eastAsia" w:ascii="宋体" w:hAnsi="宋体" w:cs="宋体"/>
                <w:b/>
                <w:color w:val="auto"/>
                <w:sz w:val="24"/>
                <w:highlight w:val="none"/>
              </w:rPr>
              <w:t>包项目完工期</w:t>
            </w:r>
          </w:p>
        </w:tc>
        <w:tc>
          <w:tcPr>
            <w:tcW w:w="2334" w:type="dxa"/>
            <w:vAlign w:val="center"/>
          </w:tcPr>
          <w:p>
            <w:pPr>
              <w:autoSpaceDE w:val="0"/>
              <w:autoSpaceDN w:val="0"/>
              <w:spacing w:line="240" w:lineRule="auto"/>
              <w:jc w:val="center"/>
              <w:rPr>
                <w:rFonts w:ascii="宋体" w:hAnsi="宋体" w:cs="宋体"/>
                <w:b/>
                <w:bCs/>
                <w:color w:val="auto"/>
                <w:sz w:val="24"/>
                <w:szCs w:val="24"/>
                <w:highlight w:val="none"/>
                <w:lang w:bidi="ar"/>
              </w:rPr>
            </w:pPr>
            <w:r>
              <w:rPr>
                <w:rFonts w:hint="eastAsia" w:ascii="宋体" w:hAnsi="宋体" w:cs="宋体"/>
                <w:b/>
                <w:bCs/>
                <w:color w:val="auto"/>
                <w:sz w:val="24"/>
                <w:szCs w:val="24"/>
                <w:highlight w:val="none"/>
                <w:lang w:bidi="ar"/>
              </w:rPr>
              <w:t>主要节点</w:t>
            </w:r>
          </w:p>
        </w:tc>
        <w:tc>
          <w:tcPr>
            <w:tcW w:w="4132" w:type="dxa"/>
            <w:vAlign w:val="center"/>
          </w:tcPr>
          <w:p>
            <w:pPr>
              <w:autoSpaceDE w:val="0"/>
              <w:autoSpaceDN w:val="0"/>
              <w:spacing w:line="240" w:lineRule="auto"/>
              <w:jc w:val="center"/>
              <w:rPr>
                <w:rFonts w:ascii="宋体" w:hAnsi="宋体" w:cs="宋体"/>
                <w:b/>
                <w:bCs/>
                <w:color w:val="auto"/>
                <w:sz w:val="24"/>
                <w:szCs w:val="24"/>
                <w:highlight w:val="none"/>
                <w:lang w:bidi="ar"/>
              </w:rPr>
            </w:pPr>
            <w:r>
              <w:rPr>
                <w:rFonts w:hint="eastAsia" w:ascii="宋体" w:hAnsi="宋体" w:cs="宋体"/>
                <w:b/>
                <w:bCs/>
                <w:color w:val="auto"/>
                <w:sz w:val="24"/>
                <w:szCs w:val="24"/>
                <w:highlight w:val="none"/>
                <w:lang w:bidi="ar"/>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2"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土建设计条件提资</w:t>
            </w:r>
          </w:p>
        </w:tc>
        <w:tc>
          <w:tcPr>
            <w:tcW w:w="4132" w:type="dxa"/>
            <w:vAlign w:val="center"/>
          </w:tcPr>
          <w:p>
            <w:pPr>
              <w:widowControl w:val="0"/>
              <w:autoSpaceDE w:val="0"/>
              <w:autoSpaceDN w:val="0"/>
              <w:jc w:val="center"/>
              <w:rPr>
                <w:rFonts w:ascii="宋体" w:hAnsi="宋体" w:cs="宋体"/>
                <w:color w:val="auto"/>
                <w:szCs w:val="21"/>
                <w:highlight w:val="none"/>
                <w:lang w:bidi="ar"/>
              </w:rPr>
            </w:pPr>
            <w:r>
              <w:rPr>
                <w:rFonts w:hint="eastAsia" w:ascii="宋体" w:hAnsi="宋体" w:cs="宋体"/>
                <w:color w:val="auto"/>
                <w:szCs w:val="21"/>
                <w:highlight w:val="none"/>
                <w:lang w:bidi="ar"/>
              </w:rPr>
              <w:t>中标通知书发出后一周内</w:t>
            </w:r>
          </w:p>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w:t>
            </w:r>
            <w:r>
              <w:rPr>
                <w:rFonts w:hint="eastAsia" w:ascii="宋体" w:hAnsi="宋体" w:cs="宋体"/>
                <w:bCs/>
                <w:color w:val="auto"/>
                <w:szCs w:val="21"/>
                <w:highlight w:val="none"/>
                <w:lang w:bidi="ar"/>
              </w:rPr>
              <w:t>根据车间土建方案图结合设备进行微调</w:t>
            </w:r>
            <w:r>
              <w:rPr>
                <w:rFonts w:hint="eastAsia" w:ascii="宋体" w:hAnsi="宋体" w:cs="宋体"/>
                <w:color w:val="auto"/>
                <w:szCs w:val="21"/>
                <w:highlight w:val="none"/>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9"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设备到货</w:t>
            </w:r>
          </w:p>
        </w:tc>
        <w:tc>
          <w:tcPr>
            <w:tcW w:w="4132" w:type="dxa"/>
            <w:vAlign w:val="center"/>
          </w:tcPr>
          <w:p>
            <w:pPr>
              <w:widowControl w:val="0"/>
              <w:autoSpaceDE w:val="0"/>
              <w:autoSpaceDN w:val="0"/>
              <w:jc w:val="center"/>
              <w:rPr>
                <w:rFonts w:ascii="宋体" w:hAnsi="宋体" w:cs="宋体"/>
                <w:color w:val="auto"/>
                <w:szCs w:val="21"/>
                <w:highlight w:val="none"/>
              </w:rPr>
            </w:pPr>
            <w:r>
              <w:rPr>
                <w:rFonts w:hint="eastAsia"/>
                <w:color w:val="auto"/>
                <w:highlight w:val="none"/>
              </w:rPr>
              <w:t>收到采购人进场通知后一周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7"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设备安装完成</w:t>
            </w:r>
          </w:p>
        </w:tc>
        <w:tc>
          <w:tcPr>
            <w:tcW w:w="4132"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设备到货后一个半月内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设备调试</w:t>
            </w:r>
          </w:p>
        </w:tc>
        <w:tc>
          <w:tcPr>
            <w:tcW w:w="4132"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设备安装完成后一个月内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4"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性能测试完成</w:t>
            </w:r>
          </w:p>
        </w:tc>
        <w:tc>
          <w:tcPr>
            <w:tcW w:w="4132"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中转站投入使用后一个月内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9"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restart"/>
            <w:vAlign w:val="center"/>
          </w:tcPr>
          <w:p>
            <w:pPr>
              <w:jc w:val="center"/>
              <w:rPr>
                <w:rFonts w:ascii="宋体" w:hAnsi="宋体" w:cs="宋体"/>
                <w:color w:val="auto"/>
                <w:szCs w:val="21"/>
                <w:highlight w:val="none"/>
              </w:rPr>
            </w:pPr>
            <w:r>
              <w:rPr>
                <w:rFonts w:hint="eastAsia" w:ascii="宋体" w:hAnsi="宋体" w:cs="宋体"/>
                <w:b/>
                <w:color w:val="auto"/>
                <w:sz w:val="24"/>
                <w:highlight w:val="none"/>
              </w:rPr>
              <w:t>C包项目完工期</w:t>
            </w:r>
          </w:p>
        </w:tc>
        <w:tc>
          <w:tcPr>
            <w:tcW w:w="2334" w:type="dxa"/>
            <w:vAlign w:val="center"/>
          </w:tcPr>
          <w:p>
            <w:pPr>
              <w:autoSpaceDE w:val="0"/>
              <w:autoSpaceDN w:val="0"/>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bidi="ar"/>
              </w:rPr>
              <w:t>主要节点</w:t>
            </w:r>
          </w:p>
        </w:tc>
        <w:tc>
          <w:tcPr>
            <w:tcW w:w="4132" w:type="dxa"/>
            <w:vAlign w:val="center"/>
          </w:tcPr>
          <w:p>
            <w:pPr>
              <w:autoSpaceDE w:val="0"/>
              <w:autoSpaceDN w:val="0"/>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bidi="ar"/>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土建设计条件提资</w:t>
            </w:r>
          </w:p>
        </w:tc>
        <w:tc>
          <w:tcPr>
            <w:tcW w:w="4132" w:type="dxa"/>
          </w:tcPr>
          <w:p>
            <w:pPr>
              <w:widowControl w:val="0"/>
              <w:autoSpaceDE w:val="0"/>
              <w:autoSpaceDN w:val="0"/>
              <w:jc w:val="center"/>
              <w:rPr>
                <w:rFonts w:ascii="宋体" w:hAnsi="宋体" w:cs="宋体"/>
                <w:color w:val="auto"/>
                <w:szCs w:val="21"/>
                <w:highlight w:val="none"/>
                <w:lang w:bidi="ar"/>
              </w:rPr>
            </w:pPr>
            <w:r>
              <w:rPr>
                <w:rFonts w:hint="eastAsia" w:ascii="宋体" w:hAnsi="宋体" w:cs="宋体"/>
                <w:color w:val="auto"/>
                <w:szCs w:val="21"/>
                <w:highlight w:val="none"/>
                <w:lang w:bidi="ar"/>
              </w:rPr>
              <w:t>中标通知书发出后一周内</w:t>
            </w:r>
          </w:p>
          <w:p>
            <w:pPr>
              <w:widowControl w:val="0"/>
              <w:autoSpaceDE w:val="0"/>
              <w:autoSpaceDN w:val="0"/>
              <w:jc w:val="center"/>
              <w:rPr>
                <w:rFonts w:ascii="宋体" w:hAnsi="宋体" w:cs="宋体"/>
                <w:color w:val="auto"/>
                <w:szCs w:val="21"/>
                <w:highlight w:val="none"/>
                <w:lang w:bidi="ar"/>
              </w:rPr>
            </w:pPr>
            <w:r>
              <w:rPr>
                <w:rFonts w:hint="eastAsia" w:ascii="宋体" w:hAnsi="宋体" w:cs="宋体"/>
                <w:color w:val="auto"/>
                <w:szCs w:val="21"/>
                <w:highlight w:val="none"/>
                <w:lang w:bidi="ar"/>
              </w:rPr>
              <w:t>(根据设备基础平面调整非标设备尺寸)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设备到货</w:t>
            </w:r>
          </w:p>
        </w:tc>
        <w:tc>
          <w:tcPr>
            <w:tcW w:w="4132" w:type="dxa"/>
          </w:tcPr>
          <w:p>
            <w:pPr>
              <w:widowControl w:val="0"/>
              <w:autoSpaceDE w:val="0"/>
              <w:autoSpaceDN w:val="0"/>
              <w:jc w:val="center"/>
              <w:rPr>
                <w:rFonts w:ascii="宋体" w:hAnsi="宋体" w:cs="宋体"/>
                <w:color w:val="auto"/>
                <w:szCs w:val="21"/>
                <w:highlight w:val="none"/>
              </w:rPr>
            </w:pPr>
            <w:r>
              <w:rPr>
                <w:rFonts w:hint="eastAsia"/>
                <w:color w:val="auto"/>
                <w:highlight w:val="none"/>
              </w:rPr>
              <w:t>收到采购人进场通知后一周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9"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设备安装完成</w:t>
            </w:r>
          </w:p>
        </w:tc>
        <w:tc>
          <w:tcPr>
            <w:tcW w:w="4132" w:type="dxa"/>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设备到货后一个半月内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主要设备调试</w:t>
            </w:r>
          </w:p>
        </w:tc>
        <w:tc>
          <w:tcPr>
            <w:tcW w:w="4132" w:type="dxa"/>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设备安装完成后一个月内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性能测试完成</w:t>
            </w:r>
          </w:p>
        </w:tc>
        <w:tc>
          <w:tcPr>
            <w:tcW w:w="4132" w:type="dxa"/>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中转站投入使用后一个月内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restart"/>
            <w:vAlign w:val="center"/>
          </w:tcPr>
          <w:p>
            <w:pPr>
              <w:jc w:val="center"/>
              <w:rPr>
                <w:rFonts w:ascii="宋体" w:hAnsi="宋体" w:cs="宋体"/>
                <w:color w:val="auto"/>
                <w:szCs w:val="21"/>
                <w:highlight w:val="none"/>
              </w:rPr>
            </w:pPr>
            <w:r>
              <w:rPr>
                <w:rFonts w:hint="eastAsia" w:ascii="宋体" w:hAnsi="宋体" w:cs="宋体"/>
                <w:b/>
                <w:color w:val="auto"/>
                <w:sz w:val="24"/>
                <w:highlight w:val="none"/>
              </w:rPr>
              <w:t>D包项目完工期</w:t>
            </w:r>
          </w:p>
        </w:tc>
        <w:tc>
          <w:tcPr>
            <w:tcW w:w="2334" w:type="dxa"/>
            <w:vAlign w:val="center"/>
          </w:tcPr>
          <w:p>
            <w:pPr>
              <w:autoSpaceDE w:val="0"/>
              <w:autoSpaceDN w:val="0"/>
              <w:jc w:val="center"/>
              <w:rPr>
                <w:rFonts w:ascii="宋体" w:hAnsi="宋体" w:cs="宋体"/>
                <w:b/>
                <w:bCs/>
                <w:color w:val="auto"/>
                <w:sz w:val="24"/>
                <w:szCs w:val="24"/>
                <w:highlight w:val="none"/>
                <w:lang w:bidi="ar"/>
              </w:rPr>
            </w:pPr>
            <w:r>
              <w:rPr>
                <w:rFonts w:hint="eastAsia" w:ascii="宋体" w:hAnsi="宋体" w:cs="宋体"/>
                <w:b/>
                <w:bCs/>
                <w:color w:val="auto"/>
                <w:sz w:val="24"/>
                <w:szCs w:val="24"/>
                <w:highlight w:val="none"/>
              </w:rPr>
              <w:t>主要节点</w:t>
            </w:r>
          </w:p>
        </w:tc>
        <w:tc>
          <w:tcPr>
            <w:tcW w:w="4132" w:type="dxa"/>
            <w:vAlign w:val="center"/>
          </w:tcPr>
          <w:p>
            <w:pPr>
              <w:autoSpaceDE w:val="0"/>
              <w:autoSpaceDN w:val="0"/>
              <w:jc w:val="center"/>
              <w:rPr>
                <w:rFonts w:ascii="宋体" w:hAnsi="宋体" w:cs="宋体"/>
                <w:b/>
                <w:bCs/>
                <w:color w:val="auto"/>
                <w:sz w:val="24"/>
                <w:szCs w:val="24"/>
                <w:highlight w:val="none"/>
                <w:lang w:bidi="ar"/>
              </w:rPr>
            </w:pPr>
            <w:r>
              <w:rPr>
                <w:rFonts w:hint="eastAsia" w:ascii="宋体" w:hAnsi="宋体" w:cs="宋体"/>
                <w:b/>
                <w:bCs/>
                <w:color w:val="auto"/>
                <w:sz w:val="24"/>
                <w:szCs w:val="24"/>
                <w:highlight w:val="none"/>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5"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autoSpaceDE w:val="0"/>
              <w:autoSpaceDN w:val="0"/>
              <w:jc w:val="center"/>
              <w:rPr>
                <w:rFonts w:ascii="宋体" w:hAnsi="宋体" w:cs="宋体"/>
                <w:color w:val="auto"/>
                <w:szCs w:val="21"/>
                <w:highlight w:val="none"/>
                <w:lang w:bidi="ar"/>
              </w:rPr>
            </w:pPr>
            <w:r>
              <w:rPr>
                <w:rFonts w:hint="eastAsia" w:ascii="宋体" w:hAnsi="宋体" w:cs="宋体"/>
                <w:color w:val="auto"/>
                <w:szCs w:val="21"/>
                <w:highlight w:val="none"/>
              </w:rPr>
              <w:t>土建设计条件提资</w:t>
            </w:r>
          </w:p>
        </w:tc>
        <w:tc>
          <w:tcPr>
            <w:tcW w:w="4132" w:type="dxa"/>
            <w:vAlign w:val="center"/>
          </w:tcPr>
          <w:p>
            <w:pPr>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中标通知书发出后一周内</w:t>
            </w:r>
          </w:p>
          <w:p>
            <w:pPr>
              <w:autoSpaceDE w:val="0"/>
              <w:autoSpaceDN w:val="0"/>
              <w:jc w:val="center"/>
              <w:rPr>
                <w:rFonts w:ascii="宋体" w:hAnsi="宋体" w:cs="宋体"/>
                <w:color w:val="auto"/>
                <w:szCs w:val="21"/>
                <w:highlight w:val="none"/>
                <w:lang w:bidi="ar"/>
              </w:rPr>
            </w:pPr>
            <w:r>
              <w:rPr>
                <w:rFonts w:hint="eastAsia" w:ascii="宋体" w:hAnsi="宋体" w:cs="宋体"/>
                <w:color w:val="auto"/>
                <w:szCs w:val="21"/>
                <w:highlight w:val="none"/>
              </w:rPr>
              <w:t>(根据设备基础平面调整非标设备尺寸)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9"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autoSpaceDE w:val="0"/>
              <w:autoSpaceDN w:val="0"/>
              <w:jc w:val="center"/>
              <w:rPr>
                <w:rFonts w:ascii="宋体" w:hAnsi="宋体" w:cs="宋体"/>
                <w:color w:val="auto"/>
                <w:szCs w:val="21"/>
                <w:highlight w:val="none"/>
                <w:lang w:bidi="ar"/>
              </w:rPr>
            </w:pPr>
            <w:r>
              <w:rPr>
                <w:rFonts w:hint="eastAsia" w:ascii="宋体" w:hAnsi="宋体" w:cs="宋体"/>
                <w:color w:val="auto"/>
                <w:szCs w:val="21"/>
                <w:highlight w:val="none"/>
              </w:rPr>
              <w:t>设备到货</w:t>
            </w:r>
          </w:p>
        </w:tc>
        <w:tc>
          <w:tcPr>
            <w:tcW w:w="4132" w:type="dxa"/>
            <w:vAlign w:val="center"/>
          </w:tcPr>
          <w:p>
            <w:pPr>
              <w:autoSpaceDE w:val="0"/>
              <w:autoSpaceDN w:val="0"/>
              <w:jc w:val="center"/>
              <w:rPr>
                <w:rFonts w:ascii="宋体" w:hAnsi="宋体" w:cs="宋体"/>
                <w:color w:val="auto"/>
                <w:szCs w:val="21"/>
                <w:highlight w:val="none"/>
                <w:lang w:bidi="ar"/>
              </w:rPr>
            </w:pPr>
            <w:r>
              <w:rPr>
                <w:rFonts w:hint="eastAsia"/>
                <w:color w:val="auto"/>
                <w:highlight w:val="none"/>
              </w:rPr>
              <w:t>收到采购人进场通知后一周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2"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autoSpaceDE w:val="0"/>
              <w:autoSpaceDN w:val="0"/>
              <w:jc w:val="center"/>
              <w:rPr>
                <w:rFonts w:ascii="宋体" w:hAnsi="宋体" w:cs="宋体"/>
                <w:color w:val="auto"/>
                <w:szCs w:val="21"/>
                <w:highlight w:val="none"/>
                <w:lang w:bidi="ar"/>
              </w:rPr>
            </w:pPr>
            <w:r>
              <w:rPr>
                <w:rFonts w:hint="eastAsia" w:ascii="宋体" w:hAnsi="宋体" w:cs="宋体"/>
                <w:color w:val="auto"/>
                <w:szCs w:val="21"/>
                <w:highlight w:val="none"/>
              </w:rPr>
              <w:t>设备安装完成</w:t>
            </w:r>
          </w:p>
        </w:tc>
        <w:tc>
          <w:tcPr>
            <w:tcW w:w="4132" w:type="dxa"/>
            <w:vAlign w:val="center"/>
          </w:tcPr>
          <w:p>
            <w:pPr>
              <w:autoSpaceDE w:val="0"/>
              <w:autoSpaceDN w:val="0"/>
              <w:jc w:val="center"/>
              <w:rPr>
                <w:rFonts w:ascii="宋体" w:hAnsi="宋体" w:cs="宋体"/>
                <w:color w:val="auto"/>
                <w:szCs w:val="21"/>
                <w:highlight w:val="none"/>
                <w:lang w:bidi="ar"/>
              </w:rPr>
            </w:pPr>
            <w:r>
              <w:rPr>
                <w:rFonts w:hint="eastAsia" w:ascii="宋体" w:hAnsi="宋体" w:cs="宋体"/>
                <w:color w:val="auto"/>
                <w:szCs w:val="21"/>
                <w:highlight w:val="none"/>
              </w:rPr>
              <w:t>设备到货后一个半月内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3"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autoSpaceDE w:val="0"/>
              <w:autoSpaceDN w:val="0"/>
              <w:jc w:val="center"/>
              <w:rPr>
                <w:rFonts w:ascii="宋体" w:hAnsi="宋体" w:cs="宋体"/>
                <w:color w:val="auto"/>
                <w:szCs w:val="21"/>
                <w:highlight w:val="none"/>
                <w:lang w:bidi="ar"/>
              </w:rPr>
            </w:pPr>
            <w:r>
              <w:rPr>
                <w:rFonts w:hint="eastAsia" w:ascii="宋体" w:hAnsi="宋体" w:cs="宋体"/>
                <w:color w:val="auto"/>
                <w:szCs w:val="21"/>
                <w:highlight w:val="none"/>
              </w:rPr>
              <w:t>主要设备调试</w:t>
            </w:r>
          </w:p>
        </w:tc>
        <w:tc>
          <w:tcPr>
            <w:tcW w:w="4132" w:type="dxa"/>
            <w:vAlign w:val="center"/>
          </w:tcPr>
          <w:p>
            <w:pPr>
              <w:autoSpaceDE w:val="0"/>
              <w:autoSpaceDN w:val="0"/>
              <w:jc w:val="center"/>
              <w:rPr>
                <w:rFonts w:ascii="宋体" w:hAnsi="宋体" w:cs="宋体"/>
                <w:color w:val="auto"/>
                <w:szCs w:val="21"/>
                <w:highlight w:val="none"/>
                <w:lang w:bidi="ar"/>
              </w:rPr>
            </w:pPr>
            <w:r>
              <w:rPr>
                <w:rFonts w:hint="eastAsia" w:ascii="宋体" w:hAnsi="宋体" w:cs="宋体"/>
                <w:color w:val="auto"/>
                <w:szCs w:val="21"/>
                <w:highlight w:val="none"/>
              </w:rPr>
              <w:t>设备安装完成后一个月内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6"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continue"/>
            <w:vAlign w:val="center"/>
          </w:tcPr>
          <w:p>
            <w:pPr>
              <w:jc w:val="center"/>
              <w:rPr>
                <w:rFonts w:ascii="宋体" w:hAnsi="宋体" w:cs="宋体"/>
                <w:color w:val="auto"/>
                <w:szCs w:val="21"/>
                <w:highlight w:val="none"/>
              </w:rPr>
            </w:pPr>
          </w:p>
        </w:tc>
        <w:tc>
          <w:tcPr>
            <w:tcW w:w="2334" w:type="dxa"/>
            <w:vAlign w:val="center"/>
          </w:tcPr>
          <w:p>
            <w:pPr>
              <w:autoSpaceDE w:val="0"/>
              <w:autoSpaceDN w:val="0"/>
              <w:jc w:val="center"/>
              <w:rPr>
                <w:rFonts w:ascii="宋体" w:hAnsi="宋体" w:cs="宋体"/>
                <w:color w:val="auto"/>
                <w:szCs w:val="21"/>
                <w:highlight w:val="none"/>
                <w:lang w:bidi="ar"/>
              </w:rPr>
            </w:pPr>
            <w:r>
              <w:rPr>
                <w:rFonts w:hint="eastAsia" w:ascii="宋体" w:hAnsi="宋体" w:cs="宋体"/>
                <w:color w:val="auto"/>
                <w:szCs w:val="21"/>
                <w:highlight w:val="none"/>
              </w:rPr>
              <w:t>性能测试完成</w:t>
            </w:r>
          </w:p>
        </w:tc>
        <w:tc>
          <w:tcPr>
            <w:tcW w:w="4132" w:type="dxa"/>
            <w:vAlign w:val="center"/>
          </w:tcPr>
          <w:p>
            <w:pPr>
              <w:autoSpaceDE w:val="0"/>
              <w:autoSpaceDN w:val="0"/>
              <w:jc w:val="center"/>
              <w:rPr>
                <w:rFonts w:ascii="宋体" w:hAnsi="宋体" w:cs="宋体"/>
                <w:color w:val="auto"/>
                <w:szCs w:val="21"/>
                <w:highlight w:val="none"/>
                <w:lang w:bidi="ar"/>
              </w:rPr>
            </w:pPr>
            <w:r>
              <w:rPr>
                <w:rFonts w:hint="eastAsia" w:ascii="宋体" w:hAnsi="宋体" w:cs="宋体"/>
                <w:color w:val="auto"/>
                <w:szCs w:val="21"/>
                <w:highlight w:val="none"/>
              </w:rPr>
              <w:t>中转站投入使用后一个月内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6" w:hRule="atLeast"/>
          <w:jc w:val="center"/>
        </w:trPr>
        <w:tc>
          <w:tcPr>
            <w:tcW w:w="718" w:type="dxa"/>
            <w:vMerge w:val="continue"/>
            <w:vAlign w:val="center"/>
          </w:tcPr>
          <w:p>
            <w:pPr>
              <w:jc w:val="center"/>
              <w:rPr>
                <w:rFonts w:ascii="宋体" w:hAnsi="宋体" w:cs="宋体"/>
                <w:color w:val="auto"/>
                <w:szCs w:val="21"/>
                <w:highlight w:val="none"/>
              </w:rPr>
            </w:pPr>
          </w:p>
        </w:tc>
        <w:tc>
          <w:tcPr>
            <w:tcW w:w="1501" w:type="dxa"/>
            <w:gridSpan w:val="2"/>
            <w:vMerge w:val="restart"/>
            <w:vAlign w:val="center"/>
          </w:tcPr>
          <w:p>
            <w:pPr>
              <w:jc w:val="center"/>
              <w:rPr>
                <w:rFonts w:ascii="宋体" w:hAnsi="宋体" w:cs="宋体"/>
                <w:color w:val="auto"/>
                <w:szCs w:val="21"/>
                <w:highlight w:val="none"/>
              </w:rPr>
            </w:pPr>
            <w:r>
              <w:rPr>
                <w:rFonts w:hint="eastAsia" w:ascii="宋体" w:hAnsi="宋体" w:cs="宋体"/>
                <w:b/>
                <w:color w:val="auto"/>
                <w:sz w:val="24"/>
                <w:highlight w:val="none"/>
              </w:rPr>
              <w:t>E包项目完工期</w:t>
            </w:r>
          </w:p>
        </w:tc>
        <w:tc>
          <w:tcPr>
            <w:tcW w:w="6466" w:type="dxa"/>
            <w:gridSpan w:val="2"/>
            <w:vAlign w:val="center"/>
          </w:tcPr>
          <w:p>
            <w:pPr>
              <w:widowControl w:val="0"/>
              <w:numPr>
                <w:ilvl w:val="255"/>
                <w:numId w:val="0"/>
              </w:numPr>
              <w:spacing w:after="100" w:afterAutospacing="1" w:line="360" w:lineRule="auto"/>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收到中标通知书后15个日历日内完成智慧环卫设备及车辆到货并由采购人验收合格，到货后5个日历日内完成设备安装并接入智慧环卫系统、第三方平台并经采购人验收合格，车辆验收合格后10个日历天内完成上牌（必须为东莞市车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jc w:val="center"/>
        </w:trPr>
        <w:tc>
          <w:tcPr>
            <w:tcW w:w="718" w:type="dxa"/>
            <w:vMerge w:val="continue"/>
            <w:vAlign w:val="center"/>
          </w:tcPr>
          <w:p>
            <w:pPr>
              <w:jc w:val="center"/>
              <w:rPr>
                <w:rFonts w:ascii="宋体" w:hAnsi="宋体" w:cs="宋体"/>
                <w:color w:val="auto"/>
                <w:szCs w:val="21"/>
                <w:highlight w:val="none"/>
              </w:rPr>
            </w:pPr>
          </w:p>
        </w:tc>
        <w:tc>
          <w:tcPr>
            <w:tcW w:w="7967" w:type="dxa"/>
            <w:gridSpan w:val="4"/>
            <w:vAlign w:val="center"/>
          </w:tcPr>
          <w:p>
            <w:pPr>
              <w:autoSpaceDE w:val="0"/>
              <w:autoSpaceDN w:val="0"/>
              <w:rPr>
                <w:rFonts w:ascii="宋体" w:hAnsi="宋体" w:cs="宋体"/>
                <w:color w:val="auto"/>
                <w:szCs w:val="21"/>
                <w:highlight w:val="none"/>
              </w:rPr>
            </w:pPr>
            <w:r>
              <w:rPr>
                <w:rFonts w:hint="eastAsia" w:ascii="宋体" w:hAnsi="宋体" w:cs="宋体"/>
                <w:color w:val="auto"/>
                <w:szCs w:val="21"/>
                <w:highlight w:val="none"/>
              </w:rPr>
              <w:t>注：因中标人土建提资有误导致的返工、整改等费用由中标人自行承担。</w:t>
            </w:r>
          </w:p>
          <w:p>
            <w:pPr>
              <w:autoSpaceDE w:val="0"/>
              <w:autoSpaceDN w:val="0"/>
              <w:rPr>
                <w:rFonts w:ascii="宋体" w:hAnsi="宋体" w:cs="宋体"/>
                <w:color w:val="auto"/>
                <w:szCs w:val="21"/>
                <w:highlight w:val="none"/>
              </w:rPr>
            </w:pPr>
            <w:r>
              <w:rPr>
                <w:rFonts w:hint="eastAsia" w:ascii="宋体" w:hAnsi="宋体" w:cs="宋体"/>
                <w:color w:val="auto"/>
                <w:szCs w:val="21"/>
                <w:highlight w:val="none"/>
              </w:rPr>
              <w:t>★中标人必须按照以上日期安排保证各工程节点按时完成，因中标人原因在相应项目实施进度中出现与上表进度延误情况，采购人有权按下列比例向中标人收取违约金：</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color w:val="auto"/>
                <w:szCs w:val="21"/>
                <w:highlight w:val="none"/>
                <w:lang w:val="en-US" w:eastAsia="zh-CN"/>
              </w:rPr>
              <w:t>1</w:t>
            </w:r>
            <w:r>
              <w:rPr>
                <w:rFonts w:hint="eastAsia" w:cs="宋体" w:asciiTheme="minorEastAsia" w:hAnsiTheme="minorEastAsia" w:eastAsiaTheme="minorEastAsia"/>
                <w:color w:val="auto"/>
                <w:szCs w:val="21"/>
                <w:highlight w:val="none"/>
              </w:rPr>
              <w:t>）逾期第1~5 日历日，每延误一日按</w:t>
            </w:r>
            <w:r>
              <w:rPr>
                <w:rFonts w:hint="eastAsia" w:cs="宋体" w:asciiTheme="minorEastAsia" w:hAnsiTheme="minorEastAsia" w:eastAsiaTheme="minorEastAsia"/>
                <w:color w:val="auto"/>
                <w:szCs w:val="21"/>
                <w:highlight w:val="none"/>
                <w:lang w:val="en-US" w:eastAsia="zh-CN"/>
              </w:rPr>
              <w:t>中标总价</w:t>
            </w:r>
            <w:r>
              <w:rPr>
                <w:rFonts w:hint="eastAsia" w:cs="宋体" w:asciiTheme="minorEastAsia" w:hAnsiTheme="minorEastAsia" w:eastAsiaTheme="minorEastAsia"/>
                <w:color w:val="auto"/>
                <w:szCs w:val="21"/>
                <w:highlight w:val="none"/>
              </w:rPr>
              <w:t xml:space="preserve">的 0.4%计算违约金；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（2）逾期第6~10 日历日，每延误一日按</w:t>
            </w:r>
            <w:r>
              <w:rPr>
                <w:rFonts w:hint="eastAsia" w:cs="宋体" w:asciiTheme="minorEastAsia" w:hAnsiTheme="minorEastAsia" w:eastAsiaTheme="minorEastAsia"/>
                <w:color w:val="auto"/>
                <w:szCs w:val="21"/>
                <w:highlight w:val="none"/>
                <w:lang w:val="en-US" w:eastAsia="zh-CN"/>
              </w:rPr>
              <w:t>中标总价</w:t>
            </w:r>
            <w:r>
              <w:rPr>
                <w:rFonts w:hint="eastAsia" w:cs="宋体" w:asciiTheme="minorEastAsia" w:hAnsiTheme="minorEastAsia" w:eastAsiaTheme="minorEastAsia"/>
                <w:color w:val="auto"/>
                <w:szCs w:val="21"/>
                <w:highlight w:val="none"/>
              </w:rPr>
              <w:t xml:space="preserve">的 0.7%计算违约金；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（3）逾期第11~15 日历日，每延误一日按</w:t>
            </w:r>
            <w:r>
              <w:rPr>
                <w:rFonts w:hint="eastAsia" w:cs="宋体" w:asciiTheme="minorEastAsia" w:hAnsiTheme="minorEastAsia" w:eastAsiaTheme="minorEastAsia"/>
                <w:color w:val="auto"/>
                <w:szCs w:val="21"/>
                <w:highlight w:val="none"/>
                <w:lang w:val="en-US" w:eastAsia="zh-CN"/>
              </w:rPr>
              <w:t>中标总价</w:t>
            </w:r>
            <w:r>
              <w:rPr>
                <w:rFonts w:hint="eastAsia" w:cs="宋体" w:asciiTheme="minorEastAsia" w:hAnsiTheme="minorEastAsia" w:eastAsiaTheme="minorEastAsia"/>
                <w:color w:val="auto"/>
                <w:szCs w:val="21"/>
                <w:highlight w:val="none"/>
              </w:rPr>
              <w:t xml:space="preserve">的 0.9%计算违约金。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注：以上违约金分段累计。</w:t>
            </w:r>
          </w:p>
          <w:p>
            <w:pPr>
              <w:numPr>
                <w:ilvl w:val="-1"/>
                <w:numId w:val="0"/>
              </w:numPr>
              <w:ind w:firstLine="420" w:firstLineChars="200"/>
              <w:rPr>
                <w:rFonts w:hAnsi="宋体" w:cs="仿宋_GB2312"/>
                <w:color w:val="auto"/>
                <w:szCs w:val="21"/>
                <w:highlight w:val="none"/>
              </w:rPr>
            </w:pPr>
            <w:r>
              <w:rPr>
                <w:rFonts w:hint="eastAsia" w:ascii="宋体" w:hAnsi="宋体" w:cs="宋体"/>
                <w:color w:val="auto"/>
                <w:szCs w:val="21"/>
                <w:highlight w:val="none"/>
              </w:rPr>
              <w:t>违约赔偿金不足以弥补因此给采购人造成的损失的，中标人还应补足；若延误累计超过15日（不含15日）的，违约金为中标金额的20％，且单方面解除合同。同时，造成采购人损失（包括但不限于经济损失等），均由中标人承担。中标人在投标时必须提供本项对应承诺书并加盖投标人公章。（承诺书见第五部分 投标文件格式）。</w:t>
            </w:r>
          </w:p>
          <w:p>
            <w:pPr>
              <w:pStyle w:val="46"/>
              <w:rPr>
                <w:rFonts w:ascii="宋体" w:hAnsi="宋体" w:cs="宋体"/>
                <w:color w:val="auto"/>
                <w:szCs w:val="21"/>
                <w:highlight w:val="none"/>
              </w:rPr>
            </w:pPr>
            <w:r>
              <w:rPr>
                <w:rFonts w:hint="eastAsia" w:ascii="宋体" w:hAnsi="宋体" w:cs="宋体"/>
                <w:color w:val="auto"/>
                <w:szCs w:val="21"/>
                <w:highlight w:val="none"/>
              </w:rPr>
              <w:t>如果经采购人同意给予了延长期，则根据以上条款中应缴纳的赔偿金额从延期后的工期到期日开始计算。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718" w:type="dxa"/>
            <w:vMerge w:val="restar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408" w:type="dxa"/>
            <w:vMerge w:val="restar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6559" w:type="dxa"/>
            <w:gridSpan w:val="3"/>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采购人按照以下方式支付本项目费用</w:t>
            </w:r>
          </w:p>
          <w:p>
            <w:pPr>
              <w:rPr>
                <w:color w:val="auto"/>
                <w:highlight w:val="none"/>
              </w:rPr>
            </w:pPr>
            <w:r>
              <w:rPr>
                <w:rFonts w:hint="eastAsia" w:asciiTheme="minorEastAsia" w:hAnsiTheme="minorEastAsia" w:eastAsiaTheme="minorEastAsia" w:cstheme="minorEastAsia"/>
                <w:b/>
                <w:bCs/>
                <w:color w:val="auto"/>
                <w:highlight w:val="none"/>
              </w:rPr>
              <w:t>（适用于A包/B包/C包/D包）</w:t>
            </w:r>
            <w:r>
              <w:rPr>
                <w:rFonts w:hint="eastAsia" w:asciiTheme="minorEastAsia" w:hAnsiTheme="minorEastAsia" w:eastAsiaTheme="minorEastAsia" w:cstheme="minor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6" w:hRule="atLeast"/>
          <w:jc w:val="center"/>
        </w:trPr>
        <w:tc>
          <w:tcPr>
            <w:tcW w:w="718" w:type="dxa"/>
            <w:vMerge w:val="continue"/>
            <w:vAlign w:val="center"/>
          </w:tcPr>
          <w:p>
            <w:pPr>
              <w:jc w:val="center"/>
              <w:rPr>
                <w:rFonts w:ascii="宋体" w:hAnsi="宋体" w:cs="宋体"/>
                <w:color w:val="auto"/>
                <w:szCs w:val="21"/>
                <w:highlight w:val="none"/>
              </w:rPr>
            </w:pPr>
          </w:p>
        </w:tc>
        <w:tc>
          <w:tcPr>
            <w:tcW w:w="1408" w:type="dxa"/>
            <w:vMerge w:val="continue"/>
            <w:vAlign w:val="center"/>
          </w:tcPr>
          <w:p>
            <w:pPr>
              <w:jc w:val="center"/>
              <w:rPr>
                <w:rFonts w:ascii="宋体" w:hAnsi="宋体" w:cs="宋体"/>
                <w:color w:val="auto"/>
                <w:szCs w:val="21"/>
                <w:highlight w:val="none"/>
              </w:rPr>
            </w:pPr>
          </w:p>
        </w:tc>
        <w:tc>
          <w:tcPr>
            <w:tcW w:w="6559" w:type="dxa"/>
            <w:gridSpan w:val="3"/>
            <w:vAlign w:val="center"/>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1.合同签订完后，中标人向采购人提交请款报告及等额增值税专用发票，采购人收到前述材料之日起三十个日历日内向中标人支付至同总价的20%作为定金；</w:t>
            </w:r>
          </w:p>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2、中标人将货物运至采购人指定地点，开箱验收合格后,中标人向采购人提交请款报告及等额增值税专用发票，采购人收到前述材料之日起三十个日历日内向中标人支付至合同总价的60%。</w:t>
            </w:r>
          </w:p>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3、项目整体安装完毕，联动调试完成，中标人向采购人提交请款报告及等额增值税专用发票，采购人收到前述材料之日起三十个日历日内向中标人支付至合同总价的80%。</w:t>
            </w:r>
          </w:p>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4、整体项目通过性能测试及验收合格后，并完成结算，中标人向采购人提交请款报告及等额增值税专用发票，采购人收到前述材料之日起三十个日历日内向中标人支付至结算总价的95%。</w:t>
            </w:r>
          </w:p>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剩余合同总价的5%为质保金，质保期满后，若中标人不存在任何违约情形的，则由中标人提交请款资料，采购人在收到请款资料核验无误之日起三十个日历日内一次性无息支付；质保期间，若中标人存在任何违约情形的，</w:t>
            </w:r>
            <w:r>
              <w:rPr>
                <w:rFonts w:hint="eastAsia" w:ascii="宋体" w:hAnsi="宋体" w:cs="宋体"/>
                <w:color w:val="auto"/>
                <w:szCs w:val="21"/>
                <w:highlight w:val="none"/>
              </w:rPr>
              <w:t>采购人在扣除中标人应承担的费用后，将剩余部分退还</w:t>
            </w:r>
            <w:r>
              <w:rPr>
                <w:rFonts w:hint="eastAsia" w:asciiTheme="minorEastAsia" w:hAnsiTheme="minorEastAsia" w:eastAsiaTheme="minorEastAsia" w:cstheme="minorEastAsia"/>
                <w:color w:val="auto"/>
                <w:highlight w:val="none"/>
                <w:lang w:eastAsia="zh-CN"/>
              </w:rPr>
              <w:t>，</w:t>
            </w:r>
            <w:r>
              <w:rPr>
                <w:rFonts w:hint="eastAsia" w:ascii="宋体" w:hAnsi="宋体" w:cs="宋体"/>
                <w:color w:val="auto"/>
                <w:szCs w:val="21"/>
                <w:highlight w:val="none"/>
              </w:rPr>
              <w:t>质保金不足以扣除的，中标人应补足</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rPr>
              <w:t>(注：本条仅适用于承诺质保2年以内的设备，如有</w:t>
            </w:r>
            <w:r>
              <w:rPr>
                <w:rFonts w:hint="eastAsia" w:asciiTheme="minorEastAsia" w:hAnsiTheme="minorEastAsia" w:eastAsiaTheme="minorEastAsia" w:cstheme="minorEastAsia"/>
                <w:color w:val="auto"/>
                <w:szCs w:val="21"/>
                <w:highlight w:val="none"/>
                <w:lang w:val="en-US" w:eastAsia="zh-CN"/>
              </w:rPr>
              <w:t>单个设备</w:t>
            </w:r>
            <w:r>
              <w:rPr>
                <w:rFonts w:hint="eastAsia" w:asciiTheme="minorEastAsia" w:hAnsiTheme="minorEastAsia" w:eastAsiaTheme="minorEastAsia" w:cstheme="minorEastAsia"/>
                <w:color w:val="auto"/>
                <w:szCs w:val="21"/>
                <w:highlight w:val="none"/>
              </w:rPr>
              <w:t>承诺承诺质保期更长的情况，需办理结算价5%的保函，且保函的有效期需大于或等于设备的质保期。)</w:t>
            </w:r>
          </w:p>
          <w:p>
            <w:pPr>
              <w:rPr>
                <w:rFonts w:ascii="宋体" w:hAnsi="宋体" w:cs="宋体"/>
                <w:color w:val="auto"/>
                <w:szCs w:val="21"/>
                <w:highlight w:val="none"/>
              </w:rPr>
            </w:pPr>
            <w:r>
              <w:rPr>
                <w:rFonts w:hint="eastAsia" w:asciiTheme="minorEastAsia" w:hAnsiTheme="minorEastAsia" w:eastAsiaTheme="minorEastAsia" w:cstheme="minorEastAsia"/>
                <w:color w:val="auto"/>
                <w:highlight w:val="none"/>
              </w:rPr>
              <w:t>6、中标人请款前需向采购人提供请款材料和开具合法有效等额的增值税专用发票，否则采购人有权拒绝付款，且不视为采购人违约。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6" w:hRule="atLeast"/>
          <w:jc w:val="center"/>
        </w:trPr>
        <w:tc>
          <w:tcPr>
            <w:tcW w:w="718" w:type="dxa"/>
            <w:vMerge w:val="continue"/>
            <w:vAlign w:val="center"/>
          </w:tcPr>
          <w:p>
            <w:pPr>
              <w:jc w:val="center"/>
              <w:rPr>
                <w:rFonts w:ascii="宋体" w:hAnsi="宋体" w:cs="宋体"/>
                <w:color w:val="auto"/>
                <w:szCs w:val="21"/>
                <w:highlight w:val="none"/>
              </w:rPr>
            </w:pPr>
          </w:p>
        </w:tc>
        <w:tc>
          <w:tcPr>
            <w:tcW w:w="1408" w:type="dxa"/>
            <w:vMerge w:val="continue"/>
            <w:vAlign w:val="center"/>
          </w:tcPr>
          <w:p>
            <w:pPr>
              <w:jc w:val="center"/>
              <w:rPr>
                <w:rFonts w:ascii="宋体" w:hAnsi="宋体" w:cs="宋体"/>
                <w:color w:val="auto"/>
                <w:szCs w:val="21"/>
                <w:highlight w:val="none"/>
              </w:rPr>
            </w:pPr>
          </w:p>
        </w:tc>
        <w:tc>
          <w:tcPr>
            <w:tcW w:w="6559" w:type="dxa"/>
            <w:gridSpan w:val="3"/>
            <w:vAlign w:val="center"/>
          </w:tcPr>
          <w:p>
            <w:pPr>
              <w:ind w:firstLine="420" w:firstLineChars="200"/>
              <w:rPr>
                <w:rFonts w:ascii="宋体" w:hAnsi="宋体" w:cs="宋体"/>
                <w:color w:val="auto"/>
                <w:szCs w:val="21"/>
                <w:highlight w:val="none"/>
              </w:rPr>
            </w:pPr>
            <w:r>
              <w:rPr>
                <w:rFonts w:hint="eastAsia" w:asciiTheme="minorEastAsia" w:hAnsiTheme="minorEastAsia" w:eastAsiaTheme="minorEastAsia" w:cstheme="minorEastAsia"/>
                <w:color w:val="auto"/>
                <w:highlight w:val="none"/>
              </w:rPr>
              <w:t>采购人按照以下方式支付本项目费用（</w:t>
            </w:r>
            <w:r>
              <w:rPr>
                <w:rFonts w:hint="eastAsia" w:asciiTheme="minorEastAsia" w:hAnsiTheme="minorEastAsia" w:eastAsiaTheme="minorEastAsia" w:cstheme="minorEastAsia"/>
                <w:b/>
                <w:bCs/>
                <w:color w:val="auto"/>
                <w:highlight w:val="none"/>
              </w:rPr>
              <w:t>适用于E包付款方式）：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6" w:hRule="atLeast"/>
          <w:jc w:val="center"/>
        </w:trPr>
        <w:tc>
          <w:tcPr>
            <w:tcW w:w="718" w:type="dxa"/>
            <w:vMerge w:val="continue"/>
            <w:vAlign w:val="center"/>
          </w:tcPr>
          <w:p>
            <w:pPr>
              <w:jc w:val="center"/>
              <w:rPr>
                <w:rFonts w:ascii="宋体" w:hAnsi="宋体" w:cs="宋体"/>
                <w:color w:val="auto"/>
                <w:szCs w:val="21"/>
                <w:highlight w:val="none"/>
              </w:rPr>
            </w:pPr>
          </w:p>
        </w:tc>
        <w:tc>
          <w:tcPr>
            <w:tcW w:w="1408" w:type="dxa"/>
            <w:vMerge w:val="continue"/>
            <w:vAlign w:val="center"/>
          </w:tcPr>
          <w:p>
            <w:pPr>
              <w:jc w:val="center"/>
              <w:rPr>
                <w:rFonts w:ascii="宋体" w:hAnsi="宋体" w:cs="宋体"/>
                <w:color w:val="auto"/>
                <w:szCs w:val="21"/>
                <w:highlight w:val="none"/>
              </w:rPr>
            </w:pPr>
          </w:p>
        </w:tc>
        <w:tc>
          <w:tcPr>
            <w:tcW w:w="6559" w:type="dxa"/>
            <w:gridSpan w:val="3"/>
            <w:vAlign w:val="center"/>
          </w:tcPr>
          <w:p>
            <w:pPr>
              <w:pStyle w:val="13"/>
              <w:numPr>
                <w:ilvl w:val="255"/>
                <w:numId w:val="0"/>
              </w:numPr>
              <w:snapToGrid/>
              <w:rPr>
                <w:rFonts w:ascii="宋体" w:hAnsi="宋体" w:cs="宋体"/>
                <w:color w:val="auto"/>
                <w:szCs w:val="21"/>
                <w:highlight w:val="none"/>
              </w:rPr>
            </w:pPr>
            <w:r>
              <w:rPr>
                <w:rFonts w:hint="eastAsia" w:ascii="宋体" w:hAnsi="宋体" w:cs="宋体"/>
                <w:color w:val="auto"/>
                <w:szCs w:val="21"/>
                <w:highlight w:val="none"/>
              </w:rPr>
              <w:t>（1）合同签订完后，中标人向采购人提交请款报告及等额增值税专用发票，采购人收到前述材料之日起三十个日历日内向中标人支付至合同总价的20%作为定金；</w:t>
            </w:r>
          </w:p>
          <w:p>
            <w:pPr>
              <w:pStyle w:val="13"/>
              <w:numPr>
                <w:ilvl w:val="255"/>
                <w:numId w:val="0"/>
              </w:numPr>
              <w:snapToGrid/>
              <w:rPr>
                <w:rFonts w:ascii="宋体" w:hAnsi="宋体" w:cs="宋体"/>
                <w:color w:val="auto"/>
                <w:szCs w:val="21"/>
                <w:highlight w:val="none"/>
              </w:rPr>
            </w:pPr>
            <w:r>
              <w:rPr>
                <w:rFonts w:hint="eastAsia" w:ascii="宋体" w:hAnsi="宋体" w:cs="宋体"/>
                <w:color w:val="auto"/>
                <w:szCs w:val="21"/>
                <w:highlight w:val="none"/>
              </w:rPr>
              <w:t>（2）全部设备到货开箱查验后，中标人向采购人提交请款报告及等额增值税专用发票，采购人收到前述材料之日起三十个日历日内向中标人支付至合同总价的70%；</w:t>
            </w:r>
          </w:p>
          <w:p>
            <w:pPr>
              <w:pStyle w:val="13"/>
              <w:numPr>
                <w:ilvl w:val="255"/>
                <w:numId w:val="0"/>
              </w:numPr>
              <w:snapToGrid/>
              <w:rPr>
                <w:rFonts w:ascii="宋体" w:hAnsi="宋体" w:cs="宋体"/>
                <w:color w:val="auto"/>
                <w:szCs w:val="21"/>
                <w:highlight w:val="none"/>
              </w:rPr>
            </w:pPr>
            <w:r>
              <w:rPr>
                <w:rFonts w:hint="eastAsia" w:ascii="宋体" w:hAnsi="宋体" w:cs="宋体"/>
                <w:color w:val="auto"/>
                <w:szCs w:val="21"/>
                <w:highlight w:val="none"/>
              </w:rPr>
              <w:t>（3）中标人完成全部设备安装、上牌、信息化系统接入以及其他配套建设等工作，</w:t>
            </w:r>
            <w:r>
              <w:rPr>
                <w:rFonts w:hint="eastAsia" w:ascii="宋体" w:hAnsi="宋体" w:cs="宋体"/>
                <w:color w:val="auto"/>
                <w:highlight w:val="none"/>
              </w:rPr>
              <w:t>完成相关使用培训和售后整改，</w:t>
            </w:r>
            <w:r>
              <w:rPr>
                <w:rFonts w:hint="eastAsia" w:ascii="宋体" w:hAnsi="宋体" w:cs="宋体"/>
                <w:color w:val="auto"/>
                <w:szCs w:val="21"/>
                <w:highlight w:val="none"/>
              </w:rPr>
              <w:t>并经采购人以及有关主管部门验收合格后，双方进行结算，中标人向采购人提交结算报告、请款报告及与剩余未支付价款等额的增值税专用发票给采购人，采购人收到前述材料之日起三十个日历日内向中标人支付至结算价的95%；</w:t>
            </w:r>
          </w:p>
          <w:p>
            <w:pPr>
              <w:pStyle w:val="13"/>
              <w:numPr>
                <w:ilvl w:val="255"/>
                <w:numId w:val="0"/>
              </w:numPr>
              <w:snapToGrid/>
              <w:rPr>
                <w:rFonts w:ascii="宋体" w:hAnsi="宋体" w:cs="宋体"/>
                <w:color w:val="auto"/>
                <w:szCs w:val="21"/>
                <w:highlight w:val="none"/>
              </w:rPr>
            </w:pPr>
            <w:r>
              <w:rPr>
                <w:rFonts w:hint="eastAsia" w:ascii="宋体" w:hAnsi="宋体" w:cs="宋体"/>
                <w:color w:val="auto"/>
                <w:szCs w:val="21"/>
                <w:highlight w:val="none"/>
              </w:rPr>
              <w:t>（4）剩余结算价的5%为质保金，质保期满后，若中标人不存在任何违约情形的，则由中标人提交请款资料，采购人在收到请款资料核验无误之日起三十个日历日内一次性无息支付；质保期间，若中标人存在任何违约情形的，采购人在扣除中标人应承担的费用后，将剩余部分退还；质保</w:t>
            </w:r>
            <w:r>
              <w:rPr>
                <w:rFonts w:hint="eastAsia" w:ascii="宋体" w:hAnsi="宋体" w:cs="宋体"/>
                <w:color w:val="auto"/>
                <w:szCs w:val="21"/>
                <w:highlight w:val="none"/>
                <w:lang w:val="en-US" w:eastAsia="zh-CN"/>
              </w:rPr>
              <w:t>金</w:t>
            </w:r>
            <w:r>
              <w:rPr>
                <w:rFonts w:hint="eastAsia" w:ascii="宋体" w:hAnsi="宋体" w:cs="宋体"/>
                <w:color w:val="auto"/>
                <w:szCs w:val="21"/>
                <w:highlight w:val="none"/>
              </w:rPr>
              <w:t>不足以扣除的，中标人应补足；</w:t>
            </w:r>
            <w:r>
              <w:rPr>
                <w:rFonts w:hint="eastAsia" w:asciiTheme="minorEastAsia" w:hAnsiTheme="minorEastAsia" w:eastAsiaTheme="minorEastAsia" w:cstheme="minorEastAsia"/>
                <w:color w:val="auto"/>
                <w:szCs w:val="21"/>
                <w:highlight w:val="none"/>
              </w:rPr>
              <w:t>(注：本条仅适用于承诺质保一致的设备，如有</w:t>
            </w:r>
            <w:r>
              <w:rPr>
                <w:rFonts w:hint="eastAsia" w:asciiTheme="minorEastAsia" w:hAnsiTheme="minorEastAsia" w:eastAsiaTheme="minorEastAsia" w:cstheme="minorEastAsia"/>
                <w:color w:val="auto"/>
                <w:szCs w:val="21"/>
                <w:highlight w:val="none"/>
                <w:lang w:val="en-US" w:eastAsia="zh-CN"/>
              </w:rPr>
              <w:t>单个设备</w:t>
            </w:r>
            <w:r>
              <w:rPr>
                <w:rFonts w:hint="eastAsia" w:asciiTheme="minorEastAsia" w:hAnsiTheme="minorEastAsia" w:eastAsiaTheme="minorEastAsia" w:cstheme="minorEastAsia"/>
                <w:color w:val="auto"/>
                <w:szCs w:val="21"/>
                <w:highlight w:val="none"/>
              </w:rPr>
              <w:t>承诺质保期更长的情况，需办理结算价5%的保函，且保函的有效期需大于或等于设备的质保期。)</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（5）中标人请款前需向采购人提供请款材料和开具合法有效等额的增值税专用发票及相应验收报告，否则采购人有权拒绝付款，</w:t>
            </w:r>
            <w:r>
              <w:rPr>
                <w:rFonts w:hint="eastAsia" w:ascii="宋体" w:hAnsi="宋体" w:eastAsia="宋体" w:cs="宋体"/>
                <w:color w:val="auto"/>
                <w:szCs w:val="21"/>
                <w:highlight w:val="none"/>
              </w:rPr>
              <w:t>且不视为采购人违约</w:t>
            </w:r>
            <w:r>
              <w:rPr>
                <w:rFonts w:hint="eastAsia" w:ascii="宋体" w:hAnsi="宋体" w:cs="宋体"/>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6" w:hRule="atLeast"/>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40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项目地点</w:t>
            </w:r>
          </w:p>
        </w:tc>
        <w:tc>
          <w:tcPr>
            <w:tcW w:w="6559" w:type="dxa"/>
            <w:gridSpan w:val="3"/>
            <w:vAlign w:val="center"/>
          </w:tcPr>
          <w:p>
            <w:pPr>
              <w:ind w:firstLine="420" w:firstLineChars="200"/>
              <w:rPr>
                <w:rFonts w:ascii="宋体" w:hAnsi="宋体" w:cs="宋体"/>
                <w:color w:val="auto"/>
                <w:szCs w:val="21"/>
                <w:highlight w:val="none"/>
              </w:rPr>
            </w:pPr>
            <w:r>
              <w:rPr>
                <w:rFonts w:hint="eastAsia" w:ascii="宋体" w:hAnsi="宋体" w:cs="宋体"/>
                <w:color w:val="auto"/>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6" w:hRule="atLeast"/>
          <w:jc w:val="center"/>
        </w:trPr>
        <w:tc>
          <w:tcPr>
            <w:tcW w:w="718" w:type="dxa"/>
            <w:vMerge w:val="restar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408" w:type="dxa"/>
            <w:vMerge w:val="restar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报价要求</w:t>
            </w:r>
          </w:p>
        </w:tc>
        <w:tc>
          <w:tcPr>
            <w:tcW w:w="6559" w:type="dxa"/>
            <w:gridSpan w:val="3"/>
            <w:vAlign w:val="center"/>
          </w:tcPr>
          <w:p>
            <w:pPr>
              <w:pStyle w:val="13"/>
              <w:numPr>
                <w:ilvl w:val="255"/>
                <w:numId w:val="0"/>
              </w:numPr>
              <w:rPr>
                <w:rFonts w:ascii="宋体" w:hAnsi="宋体" w:cs="宋体"/>
                <w:color w:val="auto"/>
                <w:szCs w:val="21"/>
                <w:highlight w:val="none"/>
              </w:rPr>
            </w:pPr>
            <w:r>
              <w:rPr>
                <w:rFonts w:hint="eastAsia" w:asciiTheme="minorEastAsia" w:hAnsiTheme="minorEastAsia" w:eastAsiaTheme="minorEastAsia" w:cstheme="minorEastAsia"/>
                <w:b/>
                <w:bCs/>
                <w:color w:val="auto"/>
                <w:highlight w:val="none"/>
              </w:rPr>
              <w:t>A包/B包/C包/D包：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jc w:val="center"/>
        </w:trPr>
        <w:tc>
          <w:tcPr>
            <w:tcW w:w="718" w:type="dxa"/>
            <w:vMerge w:val="continue"/>
            <w:vAlign w:val="center"/>
          </w:tcPr>
          <w:p>
            <w:pPr>
              <w:jc w:val="center"/>
              <w:rPr>
                <w:rFonts w:ascii="宋体" w:hAnsi="宋体" w:cs="宋体"/>
                <w:color w:val="auto"/>
                <w:szCs w:val="21"/>
                <w:highlight w:val="none"/>
              </w:rPr>
            </w:pPr>
          </w:p>
        </w:tc>
        <w:tc>
          <w:tcPr>
            <w:tcW w:w="1408" w:type="dxa"/>
            <w:vMerge w:val="continue"/>
            <w:vAlign w:val="center"/>
          </w:tcPr>
          <w:p>
            <w:pPr>
              <w:jc w:val="center"/>
              <w:rPr>
                <w:rFonts w:ascii="宋体" w:hAnsi="宋体" w:cs="宋体"/>
                <w:color w:val="auto"/>
                <w:szCs w:val="21"/>
                <w:highlight w:val="none"/>
              </w:rPr>
            </w:pPr>
          </w:p>
        </w:tc>
        <w:tc>
          <w:tcPr>
            <w:tcW w:w="6559" w:type="dxa"/>
            <w:gridSpan w:val="3"/>
            <w:vAlign w:val="center"/>
          </w:tcPr>
          <w:p>
            <w:pPr>
              <w:pStyle w:val="13"/>
              <w:numPr>
                <w:ilvl w:val="0"/>
                <w:numId w:val="5"/>
              </w:numPr>
              <w:rPr>
                <w:rFonts w:ascii="宋体" w:hAnsi="宋体" w:cs="宋体"/>
                <w:color w:val="auto"/>
                <w:szCs w:val="21"/>
                <w:highlight w:val="none"/>
              </w:rPr>
            </w:pPr>
            <w:r>
              <w:rPr>
                <w:rFonts w:hint="eastAsia" w:ascii="宋体" w:hAnsi="宋体" w:cs="宋体"/>
                <w:color w:val="auto"/>
                <w:szCs w:val="21"/>
                <w:highlight w:val="none"/>
              </w:rPr>
              <w:t>本项目为固定总价包干项目，报价包括但不限于本项目设备价格(含备品备件、专用工具)、税费、设备运杂费、安装调试费、售后服务费及相关的需在建构筑物上的开孔、植筋（栓）连接、破除等工程修缮费及其他全部费用总额，采购人不承担其他任何额外费用。</w:t>
            </w:r>
          </w:p>
          <w:p>
            <w:pPr>
              <w:pStyle w:val="13"/>
              <w:numPr>
                <w:ilvl w:val="0"/>
                <w:numId w:val="5"/>
              </w:numPr>
              <w:rPr>
                <w:rFonts w:ascii="宋体" w:hAnsi="宋体" w:cs="宋体"/>
                <w:color w:val="auto"/>
                <w:szCs w:val="21"/>
                <w:highlight w:val="none"/>
              </w:rPr>
            </w:pPr>
            <w:r>
              <w:rPr>
                <w:rFonts w:hint="eastAsia" w:ascii="宋体" w:hAnsi="宋体" w:cs="宋体"/>
                <w:color w:val="auto"/>
                <w:szCs w:val="21"/>
                <w:highlight w:val="none"/>
              </w:rPr>
              <w:t>若投标人对某些项目未报价，则应认为已包括在其它项目的单价和合价以及投标总报价内。</w:t>
            </w:r>
          </w:p>
          <w:p>
            <w:pPr>
              <w:pStyle w:val="13"/>
              <w:numPr>
                <w:ilvl w:val="0"/>
                <w:numId w:val="5"/>
              </w:numPr>
              <w:rPr>
                <w:rFonts w:ascii="宋体" w:hAnsi="宋体" w:cs="宋体"/>
                <w:color w:val="auto"/>
                <w:szCs w:val="21"/>
                <w:highlight w:val="none"/>
              </w:rPr>
            </w:pPr>
            <w:r>
              <w:rPr>
                <w:rFonts w:hint="eastAsia" w:ascii="宋体" w:hAnsi="宋体" w:cs="宋体"/>
                <w:color w:val="auto"/>
                <w:szCs w:val="21"/>
                <w:highlight w:val="none"/>
              </w:rPr>
              <w:t>采购人只接受唯一的投标方案和报价。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8" w:type="dxa"/>
            <w:vMerge w:val="continue"/>
            <w:vAlign w:val="center"/>
          </w:tcPr>
          <w:p>
            <w:pPr>
              <w:jc w:val="center"/>
              <w:rPr>
                <w:rFonts w:ascii="宋体" w:hAnsi="宋体" w:cs="宋体"/>
                <w:color w:val="auto"/>
                <w:szCs w:val="21"/>
                <w:highlight w:val="none"/>
              </w:rPr>
            </w:pPr>
          </w:p>
        </w:tc>
        <w:tc>
          <w:tcPr>
            <w:tcW w:w="1408" w:type="dxa"/>
            <w:vMerge w:val="continue"/>
            <w:vAlign w:val="center"/>
          </w:tcPr>
          <w:p>
            <w:pPr>
              <w:jc w:val="center"/>
              <w:rPr>
                <w:rFonts w:ascii="宋体" w:hAnsi="宋体" w:cs="宋体"/>
                <w:color w:val="auto"/>
                <w:szCs w:val="21"/>
                <w:highlight w:val="none"/>
              </w:rPr>
            </w:pPr>
          </w:p>
        </w:tc>
        <w:tc>
          <w:tcPr>
            <w:tcW w:w="6559" w:type="dxa"/>
            <w:gridSpan w:val="3"/>
            <w:vAlign w:val="center"/>
          </w:tcPr>
          <w:p>
            <w:pPr>
              <w:pStyle w:val="13"/>
              <w:numPr>
                <w:ilvl w:val="255"/>
                <w:numId w:val="0"/>
              </w:numPr>
              <w:rPr>
                <w:rFonts w:ascii="宋体" w:hAnsi="宋体" w:cs="宋体"/>
                <w:color w:val="auto"/>
                <w:szCs w:val="21"/>
                <w:highlight w:val="none"/>
              </w:rPr>
            </w:pPr>
            <w:r>
              <w:rPr>
                <w:rFonts w:hint="eastAsia" w:ascii="宋体" w:hAnsi="宋体" w:cs="宋体"/>
                <w:b/>
                <w:bCs/>
                <w:color w:val="auto"/>
                <w:szCs w:val="21"/>
                <w:highlight w:val="none"/>
              </w:rPr>
              <w:t>E包：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jc w:val="center"/>
        </w:trPr>
        <w:tc>
          <w:tcPr>
            <w:tcW w:w="718" w:type="dxa"/>
            <w:vMerge w:val="continue"/>
            <w:vAlign w:val="center"/>
          </w:tcPr>
          <w:p>
            <w:pPr>
              <w:jc w:val="center"/>
              <w:rPr>
                <w:rFonts w:ascii="宋体" w:hAnsi="宋体" w:cs="宋体"/>
                <w:color w:val="auto"/>
                <w:szCs w:val="21"/>
                <w:highlight w:val="none"/>
              </w:rPr>
            </w:pPr>
          </w:p>
        </w:tc>
        <w:tc>
          <w:tcPr>
            <w:tcW w:w="1408" w:type="dxa"/>
            <w:vMerge w:val="continue"/>
            <w:vAlign w:val="center"/>
          </w:tcPr>
          <w:p>
            <w:pPr>
              <w:jc w:val="center"/>
              <w:rPr>
                <w:rFonts w:ascii="宋体" w:hAnsi="宋体" w:cs="宋体"/>
                <w:color w:val="auto"/>
                <w:szCs w:val="21"/>
                <w:highlight w:val="none"/>
              </w:rPr>
            </w:pPr>
          </w:p>
        </w:tc>
        <w:tc>
          <w:tcPr>
            <w:tcW w:w="6559" w:type="dxa"/>
            <w:gridSpan w:val="3"/>
            <w:vAlign w:val="center"/>
          </w:tcPr>
          <w:p>
            <w:pPr>
              <w:pStyle w:val="13"/>
              <w:numPr>
                <w:ilvl w:val="255"/>
                <w:numId w:val="0"/>
              </w:numPr>
              <w:ind w:firstLine="420" w:firstLineChars="200"/>
              <w:rPr>
                <w:rFonts w:ascii="宋体" w:hAnsi="宋体" w:cs="宋体"/>
                <w:color w:val="auto"/>
                <w:szCs w:val="21"/>
                <w:highlight w:val="none"/>
              </w:rPr>
            </w:pPr>
            <w:r>
              <w:rPr>
                <w:rFonts w:hint="eastAsia" w:ascii="宋体" w:hAnsi="宋体" w:cs="宋体"/>
                <w:color w:val="auto"/>
                <w:szCs w:val="21"/>
                <w:highlight w:val="none"/>
              </w:rPr>
              <w:t>投标报价</w:t>
            </w:r>
            <w:r>
              <w:rPr>
                <w:rFonts w:hint="eastAsia" w:cs="宋体" w:asciiTheme="minorEastAsia" w:hAnsiTheme="minorEastAsia" w:eastAsiaTheme="minorEastAsia"/>
                <w:color w:val="auto"/>
                <w:szCs w:val="21"/>
                <w:highlight w:val="none"/>
              </w:rPr>
              <w:t>包含所有设备价，车身价，机动车辆第一年的保险费（每一种车型均需购买包括但不限于车辆交强险和商业险，包括但不限于：（1）交强险；（2）车损险；（3）第三者责任险300万或以上加不计免赔；（4）车上人员责任险；（5）车船税，</w:t>
            </w:r>
            <w:r>
              <w:rPr>
                <w:rFonts w:hint="eastAsia" w:ascii="宋体" w:hAnsi="宋体" w:cs="宋体"/>
                <w:color w:val="auto"/>
                <w:szCs w:val="21"/>
                <w:highlight w:val="none"/>
              </w:rPr>
              <w:t>税金及所有的上牌费用,运输费（含运输至采购人指定交货地点的运输费）、安装、调试、检验、技术服务和培训以及为所有机动车辆（本项目所采购的运输设备）配备安装</w:t>
            </w:r>
            <w:r>
              <w:rPr>
                <w:rFonts w:hint="eastAsia" w:ascii="宋体" w:hAnsi="宋体" w:cs="宋体"/>
                <w:color w:val="auto"/>
                <w:szCs w:val="21"/>
                <w:highlight w:val="none"/>
                <w:lang w:bidi="zh-CN"/>
              </w:rPr>
              <w:t>右侧盲区雷达监测及倒车后视系统</w:t>
            </w:r>
            <w:r>
              <w:rPr>
                <w:rFonts w:hint="eastAsia" w:ascii="宋体" w:hAnsi="宋体" w:cs="宋体"/>
                <w:color w:val="auto"/>
                <w:szCs w:val="21"/>
                <w:highlight w:val="none"/>
              </w:rPr>
              <w:t>、行车记录仪、车身喷涂（按采购人要求）等</w:t>
            </w:r>
            <w:r>
              <w:rPr>
                <w:rFonts w:hint="eastAsia" w:cs="宋体" w:asciiTheme="minorEastAsia" w:hAnsiTheme="minorEastAsia" w:eastAsiaTheme="minorEastAsia"/>
                <w:color w:val="auto"/>
                <w:szCs w:val="21"/>
                <w:highlight w:val="none"/>
              </w:rPr>
              <w:t>中标人履行合同义务而采购人需支付中标人的一切可预见及不可预见的费用</w:t>
            </w:r>
            <w:r>
              <w:rPr>
                <w:rFonts w:hint="eastAsia" w:ascii="宋体" w:hAnsi="宋体" w:cs="宋体"/>
                <w:color w:val="auto"/>
                <w:szCs w:val="21"/>
                <w:highlight w:val="none"/>
              </w:rPr>
              <w:t>，即采用大包干形式，并在货物交付采购人使用时一并交付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718" w:type="dxa"/>
            <w:vMerge w:val="restar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408" w:type="dxa"/>
            <w:vMerge w:val="restart"/>
            <w:vAlign w:val="center"/>
          </w:tcPr>
          <w:p>
            <w:pPr>
              <w:jc w:val="center"/>
              <w:rPr>
                <w:rFonts w:ascii="宋体" w:hAnsi="宋体" w:cs="宋体"/>
                <w:color w:val="auto"/>
                <w:szCs w:val="21"/>
                <w:highlight w:val="none"/>
              </w:rPr>
            </w:pPr>
            <w:r>
              <w:rPr>
                <w:rFonts w:hint="eastAsia" w:ascii="宋体" w:hAnsi="宋体"/>
                <w:color w:val="auto"/>
                <w:szCs w:val="21"/>
                <w:highlight w:val="none"/>
              </w:rPr>
              <w:t>质保期</w:t>
            </w:r>
          </w:p>
        </w:tc>
        <w:tc>
          <w:tcPr>
            <w:tcW w:w="6559" w:type="dxa"/>
            <w:gridSpan w:val="3"/>
            <w:vAlign w:val="center"/>
          </w:tcPr>
          <w:p>
            <w:pPr>
              <w:pStyle w:val="19"/>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2"/>
                <w:szCs w:val="22"/>
                <w:highlight w:val="none"/>
              </w:rPr>
              <w:t>A包/B包/C包/D包：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jc w:val="center"/>
        </w:trPr>
        <w:tc>
          <w:tcPr>
            <w:tcW w:w="718" w:type="dxa"/>
            <w:vMerge w:val="continue"/>
            <w:vAlign w:val="center"/>
          </w:tcPr>
          <w:p>
            <w:pPr>
              <w:jc w:val="center"/>
              <w:rPr>
                <w:rFonts w:ascii="宋体" w:hAnsi="宋体" w:cs="宋体"/>
                <w:color w:val="auto"/>
                <w:szCs w:val="21"/>
                <w:highlight w:val="none"/>
              </w:rPr>
            </w:pPr>
          </w:p>
        </w:tc>
        <w:tc>
          <w:tcPr>
            <w:tcW w:w="1408" w:type="dxa"/>
            <w:vMerge w:val="continue"/>
            <w:vAlign w:val="center"/>
          </w:tcPr>
          <w:p>
            <w:pPr>
              <w:jc w:val="center"/>
              <w:rPr>
                <w:rFonts w:ascii="宋体" w:hAnsi="宋体" w:cs="宋体"/>
                <w:color w:val="auto"/>
                <w:szCs w:val="21"/>
                <w:highlight w:val="none"/>
              </w:rPr>
            </w:pPr>
          </w:p>
        </w:tc>
        <w:tc>
          <w:tcPr>
            <w:tcW w:w="6559" w:type="dxa"/>
            <w:gridSpan w:val="3"/>
            <w:vAlign w:val="center"/>
          </w:tcPr>
          <w:p>
            <w:pPr>
              <w:tabs>
                <w:tab w:val="center" w:pos="3125"/>
              </w:tabs>
              <w:ind w:firstLine="420" w:firstLineChars="200"/>
              <w:rPr>
                <w:rFonts w:eastAsiaTheme="minorEastAsia"/>
                <w:color w:val="auto"/>
                <w:highlight w:val="none"/>
              </w:rPr>
            </w:pPr>
            <w:r>
              <w:rPr>
                <w:rFonts w:hint="eastAsia" w:asciiTheme="minorEastAsia" w:hAnsiTheme="minorEastAsia" w:eastAsiaTheme="minorEastAsia" w:cstheme="minorEastAsia"/>
                <w:color w:val="auto"/>
                <w:szCs w:val="21"/>
                <w:highlight w:val="none"/>
              </w:rPr>
              <w:t>质保期为项目验收合格后</w:t>
            </w:r>
            <w:r>
              <w:rPr>
                <w:rFonts w:hint="eastAsia" w:asciiTheme="minorEastAsia" w:hAnsiTheme="minorEastAsia" w:eastAsiaTheme="minorEastAsia" w:cstheme="minorEastAsia"/>
                <w:color w:val="auto"/>
                <w:szCs w:val="21"/>
                <w:highlight w:val="none"/>
                <w:u w:val="single"/>
              </w:rPr>
              <w:t xml:space="preserve"> 1</w:t>
            </w:r>
            <w:r>
              <w:rPr>
                <w:rFonts w:hint="eastAsia" w:asciiTheme="minorEastAsia" w:hAnsiTheme="minorEastAsia" w:eastAsiaTheme="minorEastAsia" w:cstheme="minorEastAsia"/>
                <w:color w:val="auto"/>
                <w:szCs w:val="21"/>
                <w:highlight w:val="none"/>
              </w:rPr>
              <w:t>年（中标人承诺质保期更长的，</w:t>
            </w:r>
            <w:r>
              <w:rPr>
                <w:rFonts w:hint="eastAsia" w:asciiTheme="minorEastAsia" w:hAnsiTheme="minorEastAsia" w:eastAsiaTheme="minorEastAsia" w:cstheme="minorEastAsia"/>
                <w:color w:val="auto"/>
                <w:szCs w:val="21"/>
                <w:highlight w:val="none"/>
                <w:lang w:val="en-US" w:eastAsia="zh-CN"/>
              </w:rPr>
              <w:t>以</w:t>
            </w:r>
            <w:r>
              <w:rPr>
                <w:rFonts w:hint="eastAsia" w:asciiTheme="minorEastAsia" w:hAnsiTheme="minorEastAsia" w:eastAsiaTheme="minorEastAsia" w:cstheme="minorEastAsia"/>
                <w:color w:val="auto"/>
                <w:szCs w:val="21"/>
                <w:highlight w:val="none"/>
              </w:rPr>
              <w:t>承诺的质保期为准），如个体设备有更高要求的，遵循更高要求。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3" w:hRule="atLeast"/>
          <w:jc w:val="center"/>
        </w:trPr>
        <w:tc>
          <w:tcPr>
            <w:tcW w:w="718" w:type="dxa"/>
            <w:vMerge w:val="continue"/>
            <w:vAlign w:val="center"/>
          </w:tcPr>
          <w:p>
            <w:pPr>
              <w:jc w:val="center"/>
              <w:rPr>
                <w:rFonts w:ascii="宋体" w:hAnsi="宋体" w:cs="宋体"/>
                <w:color w:val="auto"/>
                <w:szCs w:val="21"/>
                <w:highlight w:val="none"/>
              </w:rPr>
            </w:pPr>
          </w:p>
        </w:tc>
        <w:tc>
          <w:tcPr>
            <w:tcW w:w="1408" w:type="dxa"/>
            <w:vMerge w:val="continue"/>
            <w:vAlign w:val="center"/>
          </w:tcPr>
          <w:p>
            <w:pPr>
              <w:jc w:val="center"/>
              <w:rPr>
                <w:rFonts w:ascii="宋体" w:hAnsi="宋体" w:cs="宋体"/>
                <w:color w:val="auto"/>
                <w:szCs w:val="21"/>
                <w:highlight w:val="none"/>
              </w:rPr>
            </w:pPr>
          </w:p>
        </w:tc>
        <w:tc>
          <w:tcPr>
            <w:tcW w:w="6559" w:type="dxa"/>
            <w:gridSpan w:val="3"/>
            <w:vAlign w:val="center"/>
          </w:tcPr>
          <w:p>
            <w:pPr>
              <w:pStyle w:val="19"/>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2"/>
                <w:szCs w:val="22"/>
                <w:highlight w:val="none"/>
              </w:rPr>
              <w:t>E包：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jc w:val="center"/>
        </w:trPr>
        <w:tc>
          <w:tcPr>
            <w:tcW w:w="718" w:type="dxa"/>
            <w:vMerge w:val="continue"/>
            <w:vAlign w:val="center"/>
          </w:tcPr>
          <w:p>
            <w:pPr>
              <w:jc w:val="center"/>
              <w:rPr>
                <w:rFonts w:ascii="宋体" w:hAnsi="宋体" w:cs="宋体"/>
                <w:color w:val="auto"/>
                <w:szCs w:val="21"/>
                <w:highlight w:val="none"/>
              </w:rPr>
            </w:pPr>
          </w:p>
        </w:tc>
        <w:tc>
          <w:tcPr>
            <w:tcW w:w="1408" w:type="dxa"/>
            <w:vMerge w:val="continue"/>
            <w:vAlign w:val="center"/>
          </w:tcPr>
          <w:p>
            <w:pPr>
              <w:jc w:val="center"/>
              <w:rPr>
                <w:rFonts w:ascii="宋体" w:hAnsi="宋体"/>
                <w:color w:val="auto"/>
                <w:szCs w:val="21"/>
                <w:highlight w:val="none"/>
              </w:rPr>
            </w:pPr>
          </w:p>
        </w:tc>
        <w:tc>
          <w:tcPr>
            <w:tcW w:w="6559" w:type="dxa"/>
            <w:gridSpan w:val="3"/>
            <w:vAlign w:val="center"/>
          </w:tcPr>
          <w:p>
            <w:pPr>
              <w:pStyle w:val="19"/>
              <w:ind w:firstLine="420" w:firstLineChars="200"/>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 w:val="21"/>
                <w:szCs w:val="21"/>
                <w:highlight w:val="none"/>
              </w:rPr>
              <w:t>自验收合格之日起，平板自卸车两年</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其余</w:t>
            </w:r>
            <w:r>
              <w:rPr>
                <w:rFonts w:hint="eastAsia" w:asciiTheme="minorEastAsia" w:hAnsiTheme="minorEastAsia" w:eastAsiaTheme="minorEastAsia" w:cstheme="minorEastAsia"/>
                <w:color w:val="auto"/>
                <w:sz w:val="21"/>
                <w:szCs w:val="21"/>
                <w:highlight w:val="none"/>
              </w:rPr>
              <w:t>所有设备质保1年（中标人承诺质保期更长的，</w:t>
            </w:r>
            <w:r>
              <w:rPr>
                <w:rFonts w:hint="eastAsia" w:asciiTheme="minorEastAsia" w:hAnsiTheme="minorEastAsia" w:eastAsiaTheme="minorEastAsia" w:cstheme="minorEastAsia"/>
                <w:color w:val="auto"/>
                <w:sz w:val="21"/>
                <w:szCs w:val="21"/>
                <w:highlight w:val="none"/>
                <w:lang w:val="en-US" w:eastAsia="zh-CN"/>
              </w:rPr>
              <w:t>以</w:t>
            </w:r>
            <w:r>
              <w:rPr>
                <w:rFonts w:hint="eastAsia" w:asciiTheme="minorEastAsia" w:hAnsiTheme="minorEastAsia" w:eastAsiaTheme="minorEastAsia" w:cstheme="minorEastAsia"/>
                <w:color w:val="auto"/>
                <w:sz w:val="21"/>
                <w:szCs w:val="21"/>
                <w:highlight w:val="none"/>
              </w:rPr>
              <w:t>承诺的质保期为准），如个体设备有更高要求的，遵循更高要求。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40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E包：</w:t>
            </w:r>
            <w:r>
              <w:rPr>
                <w:rFonts w:hint="eastAsia" w:ascii="宋体" w:hAnsi="宋体" w:cs="宋体"/>
                <w:color w:val="auto"/>
                <w:szCs w:val="21"/>
                <w:highlight w:val="none"/>
                <w:lang w:val="zh-CN" w:bidi="zh-CN"/>
              </w:rPr>
              <w:t>验收要求</w:t>
            </w:r>
          </w:p>
        </w:tc>
        <w:tc>
          <w:tcPr>
            <w:tcW w:w="6559" w:type="dxa"/>
            <w:gridSpan w:val="3"/>
            <w:vAlign w:val="center"/>
          </w:tcPr>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1.车辆查验：</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(1)车辆在上牌前需进行第一次查验，查验车辆应当在采购人指定地点（东莞市内，以采购人通知为准）进行，中标人应提供完整的产品技术资料（包括车辆合格证原件，产品说明书、用户手册、制造厂质量合格证书及其他相关文件资料），与合同的各项技术规格、指标和性能要求对比开展查验工作。</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(2)中标人应派遣有经验有能力的工程师或委托第三方配合采购人检验其所供应的货物的外观性能和各项参数指标是否符合采购要求，同时采购人有权自行委托第三方机构对车辆设备进行车辆查验，中标人不得持有异议。查验不合格时第三方机构的查验服务费由中标人承担。</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(3)车辆的查验、试驾完成后，若查验合格，各方在查验证明上签字；若查验不合格，中标人需在查验证明上写明不合格内容及整改时限要求，因查验不合格导致逾期供货的，按上述逾期供货条款执行。</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2.车辆验收：</w:t>
            </w:r>
          </w:p>
          <w:p>
            <w:pPr>
              <w:pStyle w:val="3"/>
              <w:ind w:left="0" w:leftChars="0" w:firstLine="420" w:firstLineChars="20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车辆查验合格后，中标人需完成车辆上牌及配件安装（包括安装行车记录仪、右侧盲区雷达监测及倒车后视系统智慧环卫设备、贴膜等）等相关工作、并将车辆移交至采购人指定地点（东莞市内，以采购人通知为准）后开展验收工作，检查确认货物是否齐全（若发现车辆部件丢失、损坏，均由中标人承担责任）、技术参数以及产品性能是否满足招投标文件要求。若验收合格，各方于验收证明上签字并进行车辆交付；若查验不合格，中标人需在验收证明上写明不合格内容及整改时限要求，因验收不合格导致逾期供货的，按上述逾期供货条款执行。</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3.车辆交付：</w:t>
            </w:r>
          </w:p>
          <w:p>
            <w:pPr>
              <w:pStyle w:val="3"/>
              <w:ind w:left="0" w:leftChars="0" w:firstLine="420" w:firstLineChars="20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车辆验收合格后进行车辆交付，交付时应确保所有车辆油表显示在一半或一半以上，以确保车辆验收后采购人的正常使用，同时中标人将车辆相关证件及资料移交至采购人，包括但不限于以下资料：车辆合格证复印件；质量服务卡或保修手册；车辆使用说明书或用户使用手册（中文）；随车工具及备件清单；三包凭证；车辆登记入户相关文件；购车发票；车辆一致性证书；机动车登记证书；新车交付确认表；保险单正本及其保险发票；交通强制险增值税专用发票；车船税发票；购置税发票；完税证明；交通强制险标。</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4.智慧环卫设备交付的标准：</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（1）设备完整性：所有设备必须完整，无缺失、损坏的零件或设备。</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（2）设备质量：所有设备必须符合国家质量认证标准和技术规范要求，保证其长期高效稳定运行。</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（3）设备功能：所有设备必须按照采购人要求并经过测试，保证所有功能正常，性能稳定可靠。</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（4）设备安全性：所有设备必须通过安全性检测和测试，保证在使用过程中没有安全隐患。</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（5）设备易用性：所有设备必须设计合理，界面简洁明了，操作简便，易于使用。</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（6）设备可维护性：所有设备必须便于维护和保养，以确保设备长期稳定运行。</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（7）设备配件：所有设备必须符合国家标准要求的配件，以确保设备的稳定性和可靠性。</w:t>
            </w:r>
          </w:p>
          <w:p>
            <w:pPr>
              <w:pStyle w:val="3"/>
              <w:ind w:left="0" w:leftChars="0" w:firstLine="0" w:firstLineChars="0"/>
              <w:rPr>
                <w:rFonts w:cs="宋体"/>
                <w:b w:val="0"/>
                <w:bCs w:val="0"/>
                <w:color w:val="auto"/>
                <w:kern w:val="2"/>
                <w:szCs w:val="21"/>
                <w:highlight w:val="none"/>
                <w:lang w:val="zh-CN" w:bidi="zh-CN"/>
              </w:rPr>
            </w:pPr>
            <w:r>
              <w:rPr>
                <w:rFonts w:hint="eastAsia" w:cs="宋体"/>
                <w:b w:val="0"/>
                <w:bCs w:val="0"/>
                <w:color w:val="auto"/>
                <w:kern w:val="2"/>
                <w:szCs w:val="21"/>
                <w:highlight w:val="none"/>
                <w:lang w:val="zh-CN" w:bidi="zh-CN"/>
              </w:rPr>
              <w:t>（8）兼容性：所有设备必须开放接口，由中标人接入采购人现有的智慧环卫系统及东莞市第三方平台，保证能够在不同硬件和软件环境下正常工作，保证相互兼容性。按照国家标准要求进行安装，安装位置符合采购人要求；</w:t>
            </w:r>
          </w:p>
          <w:p>
            <w:pPr>
              <w:rPr>
                <w:rFonts w:ascii="宋体" w:hAnsi="宋体" w:cs="宋体"/>
                <w:color w:val="auto"/>
                <w:szCs w:val="21"/>
                <w:highlight w:val="none"/>
              </w:rPr>
            </w:pPr>
            <w:r>
              <w:rPr>
                <w:rFonts w:hint="eastAsia" w:ascii="宋体" w:hAnsi="宋体" w:cs="宋体"/>
                <w:color w:val="auto"/>
                <w:kern w:val="2"/>
                <w:szCs w:val="21"/>
                <w:highlight w:val="none"/>
                <w:lang w:val="zh-CN" w:bidi="zh-CN"/>
              </w:rPr>
              <w:t>（9）</w:t>
            </w:r>
            <w:r>
              <w:rPr>
                <w:rFonts w:hint="eastAsia" w:cs="宋体"/>
                <w:color w:val="auto"/>
                <w:kern w:val="2"/>
                <w:szCs w:val="21"/>
                <w:highlight w:val="none"/>
                <w:lang w:val="zh-CN" w:bidi="zh-CN"/>
              </w:rPr>
              <w:t>其他：中标人需提供项目实施过程资料（在项目实施过程中所产生的所有文件、记录（设备到场记录，开箱记录，安装记录，运行记录等）、数据以及其他信息资料（说明书，合格证，保修卡是否完整等），包括但不限于项目计划、工作分解结构、进度计划、风险管理计划、变更请求、验收记录、会议记录、问题记录等）。验收合格不代表对产品质量的最终认定，不可免除中标人对产品的瑕疵和缺陷承担相应责任；采购人在使用过程中发现设备不符合合同要求的，中标人应承担相应的退、换责任，因设备使用导致设备残值损失等由中标人自行承担。因设备质量发生争议，由广东省或东莞市质量技术监督部门进行质量鉴定。鉴定费用由中标人先行垫付。如质量符合质量标准的，鉴定费由采购人承担；不符合质量标准的，鉴定费用中标人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140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售后服务要求</w:t>
            </w:r>
          </w:p>
        </w:tc>
        <w:tc>
          <w:tcPr>
            <w:tcW w:w="6559" w:type="dxa"/>
            <w:gridSpan w:val="3"/>
            <w:vAlign w:val="center"/>
          </w:tcPr>
          <w:p>
            <w:pPr>
              <w:numPr>
                <w:ilvl w:val="255"/>
                <w:numId w:val="0"/>
              </w:numPr>
              <w:rPr>
                <w:rFonts w:ascii="宋体" w:hAnsi="宋体" w:cs="宋体"/>
                <w:color w:val="auto"/>
                <w:szCs w:val="21"/>
                <w:highlight w:val="none"/>
              </w:rPr>
            </w:pPr>
            <w:r>
              <w:rPr>
                <w:rFonts w:hint="eastAsia" w:ascii="宋体" w:hAnsi="宋体" w:cs="宋体"/>
                <w:color w:val="auto"/>
                <w:szCs w:val="21"/>
                <w:highlight w:val="none"/>
              </w:rPr>
              <w:t>1、中标人应提供24小时电话服务热线，确保能够及时响应采购人的设备报障，接到采购人设备故障通知后，2小时内与采购人协商给出合理解决方案，具体方案是否合理按照采购人要求而定。</w:t>
            </w:r>
          </w:p>
          <w:p>
            <w:pPr>
              <w:numPr>
                <w:ilvl w:val="255"/>
                <w:numId w:val="0"/>
              </w:numP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质保责任：在质保期内免费解决非采购人原因造成的质量问题，并按照国家相关法律承担三包责任。</w:t>
            </w:r>
          </w:p>
          <w:p>
            <w:pPr>
              <w:rPr>
                <w:rFonts w:ascii="宋体" w:hAnsi="宋体" w:cs="宋体"/>
                <w:color w:val="auto"/>
                <w:szCs w:val="21"/>
                <w:highlight w:val="none"/>
              </w:rPr>
            </w:pPr>
            <w:r>
              <w:rPr>
                <w:rFonts w:hint="eastAsia" w:ascii="宋体" w:hAnsi="宋体" w:cs="宋体"/>
                <w:color w:val="auto"/>
                <w:szCs w:val="21"/>
                <w:highlight w:val="none"/>
              </w:rPr>
              <w:t>3、质保期内中标人对采购人负有责任，对设备出现的不符合合同要求的、有问题的地方，应迅速响应并提供免费上门维修、保修或更换配件的服务。在质保期内，中标人负责维修、更换的设备、被更换的零部件的质保期为从更换日起计12个月，质保服务具体响应时间不得超过5个日历日。</w:t>
            </w:r>
          </w:p>
          <w:p>
            <w:pPr>
              <w:rPr>
                <w:rFonts w:ascii="宋体" w:hAnsi="宋体" w:cs="宋体"/>
                <w:color w:val="auto"/>
                <w:szCs w:val="21"/>
                <w:highlight w:val="none"/>
              </w:rPr>
            </w:pPr>
            <w:r>
              <w:rPr>
                <w:rFonts w:hint="eastAsia" w:ascii="宋体" w:hAnsi="宋体" w:cs="宋体"/>
                <w:color w:val="auto"/>
                <w:szCs w:val="21"/>
                <w:highlight w:val="none"/>
              </w:rPr>
              <w:t>4、中标人免费提供产品的首次检查保养。</w:t>
            </w:r>
          </w:p>
          <w:p>
            <w:pPr>
              <w:rPr>
                <w:rFonts w:asciiTheme="minorEastAsia" w:hAnsiTheme="minorEastAsia" w:eastAsiaTheme="minorEastAsia" w:cstheme="minorEastAsia"/>
                <w:color w:val="auto"/>
                <w:szCs w:val="21"/>
                <w:highlight w:val="none"/>
              </w:rPr>
            </w:pPr>
            <w:r>
              <w:rPr>
                <w:rFonts w:hint="eastAsia" w:ascii="宋体" w:hAnsi="宋体" w:cs="宋体"/>
                <w:color w:val="auto"/>
                <w:szCs w:val="21"/>
                <w:highlight w:val="none"/>
              </w:rPr>
              <w:t>5、中标人需制定科学合理的培训计划，免费为采购人提供设备使用、维护等培训，确保采购人能安全正确使用设备。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140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559" w:type="dxa"/>
            <w:gridSpan w:val="3"/>
            <w:vAlign w:val="center"/>
          </w:tcPr>
          <w:p>
            <w:pPr>
              <w:tabs>
                <w:tab w:val="center" w:pos="3125"/>
              </w:tabs>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140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合同条款</w:t>
            </w:r>
          </w:p>
        </w:tc>
        <w:tc>
          <w:tcPr>
            <w:tcW w:w="6559" w:type="dxa"/>
            <w:gridSpan w:val="3"/>
            <w:vAlign w:val="center"/>
          </w:tcPr>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jc w:val="center"/>
        </w:trPr>
        <w:tc>
          <w:tcPr>
            <w:tcW w:w="718" w:type="dxa"/>
            <w:vAlign w:val="center"/>
          </w:tcPr>
          <w:p>
            <w:pPr>
              <w:jc w:val="center"/>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11</w:t>
            </w:r>
          </w:p>
        </w:tc>
        <w:tc>
          <w:tcPr>
            <w:tcW w:w="1408" w:type="dxa"/>
            <w:vAlign w:val="center"/>
          </w:tcPr>
          <w:p>
            <w:pPr>
              <w:jc w:val="center"/>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其它要求</w:t>
            </w:r>
          </w:p>
        </w:tc>
        <w:tc>
          <w:tcPr>
            <w:tcW w:w="6559" w:type="dxa"/>
            <w:gridSpan w:val="3"/>
            <w:vAlign w:val="center"/>
          </w:tcPr>
          <w:p>
            <w:pPr>
              <w:ind w:firstLine="422" w:firstLineChars="200"/>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本项目以东莞市东实城市环境服务有限公司为采购主体，中标人需与项目实际费用支付主体(采购人下属公司或参股公司)签署合同。</w:t>
            </w:r>
          </w:p>
        </w:tc>
      </w:tr>
    </w:tbl>
    <w:p>
      <w:pPr>
        <w:rPr>
          <w:rFonts w:ascii="宋体" w:hAnsi="宋体"/>
          <w:color w:val="auto"/>
          <w:highlight w:val="none"/>
        </w:rPr>
      </w:pPr>
      <w:bookmarkStart w:id="27" w:name="_Toc19316"/>
      <w:r>
        <w:rPr>
          <w:rFonts w:hint="eastAsia" w:ascii="宋体" w:hAnsi="宋体"/>
          <w:color w:val="auto"/>
          <w:highlight w:val="none"/>
        </w:rPr>
        <w:br w:type="page"/>
      </w:r>
    </w:p>
    <w:p>
      <w:pPr>
        <w:pStyle w:val="7"/>
        <w:numPr>
          <w:ilvl w:val="0"/>
          <w:numId w:val="4"/>
        </w:numPr>
        <w:spacing w:before="0" w:after="0" w:line="360" w:lineRule="auto"/>
        <w:jc w:val="center"/>
        <w:rPr>
          <w:rFonts w:asciiTheme="majorEastAsia" w:hAnsiTheme="majorEastAsia" w:eastAsiaTheme="majorEastAsia" w:cstheme="majorEastAsia"/>
          <w:color w:val="auto"/>
          <w:highlight w:val="none"/>
        </w:rPr>
      </w:pPr>
      <w:bookmarkStart w:id="28" w:name="_Toc25424"/>
      <w:r>
        <w:rPr>
          <w:rFonts w:hint="eastAsia" w:asciiTheme="majorEastAsia" w:hAnsiTheme="majorEastAsia" w:eastAsiaTheme="majorEastAsia" w:cstheme="majorEastAsia"/>
          <w:color w:val="auto"/>
          <w:highlight w:val="none"/>
        </w:rPr>
        <w:t>技术需求书</w:t>
      </w:r>
      <w:bookmarkEnd w:id="27"/>
      <w:bookmarkEnd w:id="28"/>
    </w:p>
    <w:bookmarkEnd w:id="22"/>
    <w:p>
      <w:pPr>
        <w:pStyle w:val="7"/>
        <w:widowControl w:val="0"/>
        <w:numPr>
          <w:ilvl w:val="255"/>
          <w:numId w:val="0"/>
        </w:numPr>
        <w:autoSpaceDE w:val="0"/>
        <w:autoSpaceDN w:val="0"/>
        <w:spacing w:before="0" w:after="0" w:line="360" w:lineRule="auto"/>
        <w:jc w:val="center"/>
        <w:rPr>
          <w:rFonts w:ascii="宋体" w:hAnsi="宋体"/>
          <w:color w:val="auto"/>
          <w:highlight w:val="none"/>
        </w:rPr>
      </w:pPr>
      <w:bookmarkStart w:id="29" w:name="_Toc21236"/>
      <w:bookmarkStart w:id="30" w:name="_Toc3049"/>
      <w:bookmarkStart w:id="31" w:name="_Toc14499"/>
      <w:r>
        <w:rPr>
          <w:rFonts w:hint="eastAsia" w:asciiTheme="majorEastAsia" w:hAnsiTheme="majorEastAsia" w:eastAsiaTheme="majorEastAsia" w:cstheme="majorEastAsia"/>
          <w:color w:val="auto"/>
          <w:highlight w:val="none"/>
        </w:rPr>
        <w:t>A包：</w:t>
      </w:r>
      <w:bookmarkEnd w:id="29"/>
      <w:bookmarkEnd w:id="30"/>
      <w:bookmarkEnd w:id="31"/>
      <w:r>
        <w:rPr>
          <w:rFonts w:hint="eastAsia" w:asciiTheme="majorEastAsia" w:hAnsiTheme="majorEastAsia" w:eastAsiaTheme="majorEastAsia" w:cstheme="majorEastAsia"/>
          <w:color w:val="auto"/>
          <w:highlight w:val="none"/>
        </w:rPr>
        <w:t>污水处理系统采购及安装</w:t>
      </w:r>
    </w:p>
    <w:p>
      <w:pPr>
        <w:rPr>
          <w:rFonts w:ascii="宋体" w:hAnsi="宋体"/>
          <w:b/>
          <w:bCs/>
          <w:color w:val="auto"/>
          <w:szCs w:val="21"/>
          <w:highlight w:val="none"/>
        </w:rPr>
      </w:pPr>
      <w:r>
        <w:rPr>
          <w:rFonts w:hint="eastAsia" w:ascii="宋体" w:hAnsi="宋体"/>
          <w:b/>
          <w:bCs/>
          <w:color w:val="auto"/>
          <w:szCs w:val="21"/>
          <w:highlight w:val="none"/>
        </w:rPr>
        <w:t>说明：</w:t>
      </w:r>
    </w:p>
    <w:p>
      <w:pPr>
        <w:rPr>
          <w:rFonts w:ascii="宋体" w:hAnsi="宋体"/>
          <w:b/>
          <w:bCs/>
          <w:color w:val="auto"/>
          <w:szCs w:val="21"/>
          <w:highlight w:val="none"/>
        </w:rPr>
      </w:pPr>
      <w:r>
        <w:rPr>
          <w:rFonts w:hint="eastAsia" w:ascii="宋体" w:hAnsi="宋体"/>
          <w:b/>
          <w:bCs/>
          <w:color w:val="auto"/>
          <w:szCs w:val="21"/>
          <w:highlight w:val="none"/>
        </w:rPr>
        <w:t>1.采购需求中并未对品牌进行限定，投标人可自行选用符合本项目服务要求的品牌进行响应，但应确保其拟投货物不得低于采购需求所提出的规格或标准。</w:t>
      </w:r>
    </w:p>
    <w:p>
      <w:pPr>
        <w:pStyle w:val="2"/>
        <w:spacing w:before="0"/>
        <w:ind w:left="0"/>
        <w:rPr>
          <w:b/>
          <w:bCs/>
          <w:color w:val="auto"/>
          <w:sz w:val="21"/>
          <w:szCs w:val="21"/>
          <w:highlight w:val="none"/>
          <w:lang w:val="en-US" w:bidi="ar-SA"/>
        </w:rPr>
      </w:pPr>
      <w:r>
        <w:rPr>
          <w:rFonts w:hint="eastAsia"/>
          <w:b/>
          <w:bCs/>
          <w:color w:val="auto"/>
          <w:sz w:val="21"/>
          <w:szCs w:val="21"/>
          <w:highlight w:val="none"/>
          <w:lang w:val="en-US" w:bidi="ar-SA"/>
        </w:rPr>
        <w:t>2.标有“★”的地方均被视为重要的采购需求，投标人要特别加以注意，必须对此响应并完全满足这些要求，否则若有一项带“★”的要求未响应或不满足，将按无效投标处理。</w:t>
      </w:r>
    </w:p>
    <w:p>
      <w:pPr>
        <w:pStyle w:val="2"/>
        <w:spacing w:before="0"/>
        <w:ind w:left="0"/>
        <w:rPr>
          <w:b/>
          <w:bCs/>
          <w:color w:val="auto"/>
          <w:sz w:val="21"/>
          <w:szCs w:val="21"/>
          <w:highlight w:val="none"/>
          <w:lang w:val="en-US" w:bidi="ar-SA"/>
        </w:rPr>
      </w:pPr>
      <w:r>
        <w:rPr>
          <w:rFonts w:hint="eastAsia"/>
          <w:b/>
          <w:bCs/>
          <w:color w:val="auto"/>
          <w:sz w:val="21"/>
          <w:szCs w:val="21"/>
          <w:highlight w:val="none"/>
          <w:lang w:val="en-US" w:bidi="ar-SA"/>
        </w:rPr>
        <w:t>3.标有“▲”符号的内容为采购需求重点技术参数，若未能响应，则在评审过程中将根据评审内容作扣分处理。</w:t>
      </w:r>
    </w:p>
    <w:p>
      <w:pPr>
        <w:adjustRightInd/>
        <w:jc w:val="center"/>
        <w:rPr>
          <w:rFonts w:ascii="宋体" w:hAnsi="宋体" w:cs="宋体"/>
          <w:b/>
          <w:color w:val="auto"/>
          <w:szCs w:val="21"/>
          <w:highlight w:val="none"/>
          <w:lang w:val="en-GB"/>
        </w:rPr>
      </w:pPr>
    </w:p>
    <w:p>
      <w:pPr>
        <w:pStyle w:val="5"/>
        <w:adjustRightInd/>
        <w:spacing w:line="360" w:lineRule="auto"/>
        <w:jc w:val="both"/>
        <w:rPr>
          <w:rFonts w:ascii="宋体" w:hAnsi="宋体" w:cs="宋体"/>
          <w:color w:val="auto"/>
          <w:sz w:val="21"/>
          <w:szCs w:val="21"/>
          <w:highlight w:val="none"/>
        </w:rPr>
      </w:pPr>
      <w:bookmarkStart w:id="32" w:name="_Toc144892861"/>
      <w:bookmarkStart w:id="33" w:name="_Toc19399"/>
      <w:r>
        <w:rPr>
          <w:rFonts w:hint="eastAsia" w:ascii="宋体" w:hAnsi="宋体" w:cs="宋体"/>
          <w:color w:val="auto"/>
          <w:sz w:val="21"/>
          <w:szCs w:val="21"/>
          <w:highlight w:val="none"/>
        </w:rPr>
        <w:t>一、总则</w:t>
      </w:r>
      <w:bookmarkEnd w:id="32"/>
      <w:bookmarkEnd w:id="33"/>
    </w:p>
    <w:p>
      <w:pPr>
        <w:pStyle w:val="46"/>
        <w:widowControl w:val="0"/>
        <w:numPr>
          <w:ilvl w:val="0"/>
          <w:numId w:val="6"/>
        </w:numPr>
        <w:autoSpaceDE/>
        <w:autoSpaceDN/>
        <w:adjustRightInd/>
        <w:snapToGrid/>
        <w:ind w:left="0" w:firstLine="420" w:firstLineChars="200"/>
        <w:jc w:val="both"/>
        <w:rPr>
          <w:rStyle w:val="57"/>
          <w:rFonts w:hAnsi="宋体" w:cs="宋体"/>
          <w:b w:val="0"/>
          <w:color w:val="auto"/>
          <w:szCs w:val="21"/>
          <w:highlight w:val="none"/>
        </w:rPr>
      </w:pPr>
      <w:bookmarkStart w:id="34" w:name="_Toc193194232"/>
      <w:r>
        <w:rPr>
          <w:rStyle w:val="57"/>
          <w:rFonts w:hint="eastAsia" w:hAnsi="宋体" w:cs="宋体"/>
          <w:b w:val="0"/>
          <w:color w:val="auto"/>
          <w:szCs w:val="21"/>
          <w:highlight w:val="none"/>
        </w:rPr>
        <w:t>本《</w:t>
      </w:r>
      <w:r>
        <w:rPr>
          <w:rStyle w:val="57"/>
          <w:rFonts w:hint="eastAsia" w:hAnsi="宋体" w:cs="宋体"/>
          <w:b w:val="0"/>
          <w:color w:val="auto"/>
          <w:szCs w:val="21"/>
          <w:highlight w:val="none"/>
          <w:lang w:val="en-GB"/>
        </w:rPr>
        <w:t>技术规格</w:t>
      </w:r>
      <w:r>
        <w:rPr>
          <w:rStyle w:val="57"/>
          <w:rFonts w:hint="eastAsia" w:hAnsi="宋体" w:cs="宋体"/>
          <w:b w:val="0"/>
          <w:color w:val="auto"/>
          <w:szCs w:val="21"/>
          <w:highlight w:val="none"/>
        </w:rPr>
        <w:t>书》中对服务要求所作的说明只是概括性的，不能理解为所需要的全部服务的要求，也未充分引述有关标准和规范条文，中标人应保证提供符合国家标准、相关国际标准和规范要求的优质产品及其相应的服务。中标人应按国家、行业相关技术标准、规范和以往的服务经验，合格优质的完成采购内容和包含的全部服务</w:t>
      </w:r>
      <w:r>
        <w:rPr>
          <w:rStyle w:val="57"/>
          <w:rFonts w:hint="eastAsia" w:hAnsi="宋体" w:cs="宋体"/>
          <w:b w:val="0"/>
          <w:color w:val="auto"/>
          <w:szCs w:val="21"/>
          <w:highlight w:val="none"/>
          <w:lang w:val="en-GB"/>
        </w:rPr>
        <w:t>,</w:t>
      </w:r>
      <w:r>
        <w:rPr>
          <w:rStyle w:val="57"/>
          <w:rFonts w:hint="eastAsia" w:hAnsi="宋体" w:cs="宋体"/>
          <w:b w:val="0"/>
          <w:color w:val="auto"/>
          <w:szCs w:val="21"/>
          <w:highlight w:val="none"/>
        </w:rPr>
        <w:t>对国家有关的安全、环保、职业卫生健康等强制性标准，均能满足其要求。</w:t>
      </w:r>
      <w:bookmarkEnd w:id="34"/>
      <w:r>
        <w:rPr>
          <w:rStyle w:val="57"/>
          <w:rFonts w:hint="eastAsia" w:hAnsi="宋体" w:cs="宋体"/>
          <w:b w:val="0"/>
          <w:color w:val="auto"/>
          <w:szCs w:val="21"/>
          <w:highlight w:val="none"/>
        </w:rPr>
        <w:t>实施过程中如出现违反安全、环保、职业卫生健康的措施要求，中标人应无条件纠正及整改。</w:t>
      </w:r>
    </w:p>
    <w:p>
      <w:pPr>
        <w:pStyle w:val="46"/>
        <w:widowControl w:val="0"/>
        <w:numPr>
          <w:ilvl w:val="0"/>
          <w:numId w:val="6"/>
        </w:numPr>
        <w:autoSpaceDE/>
        <w:autoSpaceDN/>
        <w:adjustRightInd/>
        <w:snapToGrid/>
        <w:ind w:left="0"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投标人所选用的技术应先进可靠</w:t>
      </w:r>
      <w:r>
        <w:rPr>
          <w:rStyle w:val="57"/>
          <w:rFonts w:hint="eastAsia" w:hAnsi="宋体" w:cs="宋体"/>
          <w:b w:val="0"/>
          <w:color w:val="auto"/>
          <w:szCs w:val="21"/>
          <w:highlight w:val="none"/>
          <w:lang w:val="en-GB"/>
        </w:rPr>
        <w:t>,</w:t>
      </w:r>
      <w:r>
        <w:rPr>
          <w:rStyle w:val="57"/>
          <w:rFonts w:hint="eastAsia" w:hAnsi="宋体" w:cs="宋体"/>
          <w:b w:val="0"/>
          <w:color w:val="auto"/>
          <w:szCs w:val="21"/>
          <w:highlight w:val="none"/>
        </w:rPr>
        <w:t>且已有运行项目中使用证明是先进可靠的，能确保系统长周期稳定运行。</w:t>
      </w:r>
      <w:bookmarkStart w:id="35" w:name="_Toc193194233"/>
    </w:p>
    <w:p>
      <w:pPr>
        <w:pStyle w:val="46"/>
        <w:widowControl w:val="0"/>
        <w:numPr>
          <w:ilvl w:val="0"/>
          <w:numId w:val="6"/>
        </w:numPr>
        <w:autoSpaceDE/>
        <w:autoSpaceDN/>
        <w:adjustRightInd/>
        <w:snapToGrid/>
        <w:ind w:left="0"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本技术规格书所引用的标准若与中标人所执行的标准发生矛盾时，则按较严格的标准执行。</w:t>
      </w:r>
      <w:bookmarkEnd w:id="35"/>
    </w:p>
    <w:p>
      <w:pPr>
        <w:pStyle w:val="46"/>
        <w:widowControl w:val="0"/>
        <w:numPr>
          <w:ilvl w:val="0"/>
          <w:numId w:val="6"/>
        </w:numPr>
        <w:autoSpaceDE/>
        <w:autoSpaceDN/>
        <w:adjustRightInd/>
        <w:snapToGrid/>
        <w:ind w:left="0"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本技术规格书内所有技术要求，如出现前后不统一的描述，应以从严选择，以最高要求为准。</w:t>
      </w:r>
    </w:p>
    <w:p>
      <w:pPr>
        <w:pStyle w:val="46"/>
        <w:widowControl w:val="0"/>
        <w:numPr>
          <w:ilvl w:val="0"/>
          <w:numId w:val="6"/>
        </w:numPr>
        <w:autoSpaceDE/>
        <w:autoSpaceDN/>
        <w:adjustRightInd/>
        <w:snapToGrid/>
        <w:ind w:left="0"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本技术规格书要求中标人应根据技术要求，择优选择供货品牌，以确保项目建设的成功以及承诺指标的可靠性；同类型设备的选型，应尽可能考虑选型优化，减少采购人备品备件的种类，降低采购人设备维护成本。</w:t>
      </w:r>
    </w:p>
    <w:p>
      <w:pPr>
        <w:pStyle w:val="46"/>
        <w:widowControl w:val="0"/>
        <w:numPr>
          <w:ilvl w:val="0"/>
          <w:numId w:val="6"/>
        </w:numPr>
        <w:autoSpaceDE/>
        <w:autoSpaceDN/>
        <w:adjustRightInd/>
        <w:snapToGrid/>
        <w:ind w:left="0"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系统设备采用的专利涉及到的全部费用均被认为已包含在设备报价中，中标人应保证采购人不承担有关工艺、设备专利的一切责任。在本项目实施全过程中，中标人不得侵犯第三方知识产权。一旦发生侵权行为，中标人承担全部法律责任和所有的经济赔偿责任，并承担由于中标人侵权无法继续执行本合约而对采购人造成的工期延误、设备更换、设备拆卸清理、设计修改、施工返工等经济赔偿责任。</w:t>
      </w:r>
      <w:bookmarkStart w:id="36" w:name="_Toc193194235"/>
      <w:r>
        <w:rPr>
          <w:rStyle w:val="57"/>
          <w:rFonts w:hint="eastAsia" w:hAnsi="宋体" w:cs="宋体"/>
          <w:b w:val="0"/>
          <w:color w:val="auto"/>
          <w:szCs w:val="21"/>
          <w:highlight w:val="none"/>
        </w:rPr>
        <w:t>在项目实施过程中所产生的专利专有技术归采购人所有，中标人在其它项目中使用需征得采购人同意。</w:t>
      </w:r>
    </w:p>
    <w:bookmarkEnd w:id="36"/>
    <w:p>
      <w:pPr>
        <w:pStyle w:val="46"/>
        <w:widowControl w:val="0"/>
        <w:numPr>
          <w:ilvl w:val="0"/>
          <w:numId w:val="6"/>
        </w:numPr>
        <w:autoSpaceDE/>
        <w:autoSpaceDN/>
        <w:adjustRightInd/>
        <w:snapToGrid/>
        <w:ind w:left="0" w:firstLine="420" w:firstLineChars="200"/>
        <w:jc w:val="both"/>
        <w:rPr>
          <w:rStyle w:val="57"/>
          <w:rFonts w:hAnsi="宋体" w:cs="宋体"/>
          <w:b w:val="0"/>
          <w:color w:val="auto"/>
          <w:szCs w:val="21"/>
          <w:highlight w:val="none"/>
        </w:rPr>
      </w:pPr>
      <w:bookmarkStart w:id="37" w:name="_Toc193194237"/>
      <w:r>
        <w:rPr>
          <w:rStyle w:val="57"/>
          <w:rFonts w:hint="eastAsia" w:hAnsi="宋体" w:cs="宋体"/>
          <w:b w:val="0"/>
          <w:color w:val="auto"/>
          <w:szCs w:val="21"/>
          <w:highlight w:val="none"/>
        </w:rPr>
        <w:t>中标人应对成套设备（含辅助系统与设备）负有全责，即包括分包（或采购）的产品。分包（或采购）的产品，制造商应事先征得采购人的认可，且分包单位应具有满足国家要求的相应资质条件；涉及特种设备或压力管道应具有特种设备安装改造维修许可证；如有进口设备，要求中标人在技术协议书中逐项列出进口设备清单。</w:t>
      </w:r>
      <w:bookmarkEnd w:id="37"/>
    </w:p>
    <w:p>
      <w:pPr>
        <w:pStyle w:val="46"/>
        <w:widowControl w:val="0"/>
        <w:numPr>
          <w:ilvl w:val="0"/>
          <w:numId w:val="6"/>
        </w:numPr>
        <w:autoSpaceDE/>
        <w:autoSpaceDN/>
        <w:adjustRightInd/>
        <w:snapToGrid/>
        <w:ind w:left="0"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中标人的供货应遵循本文件所提出的要求，如有偏离必须取得采购人的书面认可并完成变更流程方可采纳执行。当投标人认为采购人的采购文件有相互矛盾时，应尽快以书面形式通知采购人，以便及时澄清。投标人如果没有以书面形式对本技术文件的条文提出异议，采购人可以认为投标人提供的产品完全符合本技术文件的要求。</w:t>
      </w:r>
    </w:p>
    <w:p>
      <w:pPr>
        <w:pStyle w:val="46"/>
        <w:widowControl w:val="0"/>
        <w:numPr>
          <w:ilvl w:val="0"/>
          <w:numId w:val="6"/>
        </w:numPr>
        <w:autoSpaceDE/>
        <w:autoSpaceDN/>
        <w:adjustRightInd/>
        <w:snapToGrid/>
        <w:ind w:left="0"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采购人如发现中标人所提供的设备和材料低于本采购文件规定的标准或要求时，有权要求中标人进行更换，产生的费用及造成的影响由中标人负责。</w:t>
      </w:r>
    </w:p>
    <w:p>
      <w:pPr>
        <w:pStyle w:val="46"/>
        <w:widowControl w:val="0"/>
        <w:numPr>
          <w:ilvl w:val="0"/>
          <w:numId w:val="6"/>
        </w:numPr>
        <w:autoSpaceDE/>
        <w:autoSpaceDN/>
        <w:adjustRightInd/>
        <w:snapToGrid/>
        <w:ind w:left="0"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投标人所选用的技术方案和设备，应与本技术规格书中要求保持一致或更优，如不满足条件应单独做偏离说明，偏离内容按格式填写《技术偏离表》。凡未在《技术偏离表》中说明的事项，则采购人认为投标人已实质响应。</w:t>
      </w:r>
    </w:p>
    <w:p>
      <w:pPr>
        <w:pStyle w:val="46"/>
        <w:widowControl w:val="0"/>
        <w:numPr>
          <w:ilvl w:val="0"/>
          <w:numId w:val="6"/>
        </w:numPr>
        <w:autoSpaceDE/>
        <w:autoSpaceDN/>
        <w:adjustRightInd/>
        <w:snapToGrid/>
        <w:ind w:left="0"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投标人应根据已完成的土建方案布置图，对非标设备的外形尺寸和设备参数进行优化以满足设备和工艺设计的要求，同时要保证在不改变土建方案布置图的前提下仍能出水达标。</w:t>
      </w:r>
    </w:p>
    <w:p>
      <w:pPr>
        <w:pStyle w:val="46"/>
        <w:widowControl w:val="0"/>
        <w:numPr>
          <w:ilvl w:val="0"/>
          <w:numId w:val="6"/>
        </w:numPr>
        <w:autoSpaceDE/>
        <w:autoSpaceDN/>
        <w:adjustRightInd/>
        <w:snapToGrid/>
        <w:ind w:left="0"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投标人选择品牌时，应已充分考虑政策风险。不应以国家政策导向变化为由，造成相应费用的变更。</w:t>
      </w:r>
    </w:p>
    <w:p>
      <w:pPr>
        <w:pStyle w:val="46"/>
        <w:widowControl w:val="0"/>
        <w:numPr>
          <w:ilvl w:val="0"/>
          <w:numId w:val="6"/>
        </w:numPr>
        <w:autoSpaceDE/>
        <w:autoSpaceDN/>
        <w:adjustRightInd/>
        <w:snapToGrid/>
        <w:ind w:left="0"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本技术规格书的最终解释权归</w:t>
      </w:r>
      <w:r>
        <w:rPr>
          <w:rStyle w:val="57"/>
          <w:rFonts w:hint="eastAsia" w:hAnsi="宋体" w:cs="宋体"/>
          <w:b w:val="0"/>
          <w:color w:val="auto"/>
          <w:szCs w:val="21"/>
          <w:highlight w:val="none"/>
          <w:lang w:eastAsia="zh-CN"/>
        </w:rPr>
        <w:t>东莞市东实城市环境服务有限公司</w:t>
      </w:r>
      <w:r>
        <w:rPr>
          <w:rStyle w:val="57"/>
          <w:rFonts w:hint="eastAsia" w:hAnsi="宋体" w:cs="宋体"/>
          <w:b w:val="0"/>
          <w:color w:val="auto"/>
          <w:szCs w:val="21"/>
          <w:highlight w:val="none"/>
        </w:rPr>
        <w:t>。</w:t>
      </w:r>
    </w:p>
    <w:p>
      <w:pPr>
        <w:rPr>
          <w:color w:val="auto"/>
          <w:highlight w:val="none"/>
        </w:rPr>
      </w:pPr>
      <w:bookmarkStart w:id="38" w:name="_Toc18449"/>
      <w:bookmarkStart w:id="39" w:name="_Toc144892862"/>
      <w:bookmarkStart w:id="40" w:name="_Toc523432270"/>
    </w:p>
    <w:p>
      <w:pPr>
        <w:pStyle w:val="5"/>
        <w:adjustRightInd/>
        <w:spacing w:line="360" w:lineRule="auto"/>
        <w:jc w:val="both"/>
        <w:rPr>
          <w:rFonts w:ascii="宋体" w:hAnsi="宋体" w:cs="宋体"/>
          <w:bCs/>
          <w:color w:val="auto"/>
          <w:sz w:val="21"/>
          <w:szCs w:val="21"/>
          <w:highlight w:val="none"/>
        </w:rPr>
      </w:pPr>
      <w:r>
        <w:rPr>
          <w:rFonts w:hint="eastAsia" w:ascii="宋体" w:hAnsi="宋体" w:cs="宋体"/>
          <w:bCs/>
          <w:color w:val="auto"/>
          <w:sz w:val="21"/>
          <w:szCs w:val="21"/>
          <w:highlight w:val="none"/>
        </w:rPr>
        <w:t>二、名词解释</w:t>
      </w:r>
      <w:bookmarkEnd w:id="38"/>
      <w:bookmarkEnd w:id="39"/>
    </w:p>
    <w:p>
      <w:pPr>
        <w:pStyle w:val="46"/>
        <w:widowControl w:val="0"/>
        <w:autoSpaceDE w:val="0"/>
        <w:autoSpaceDN w:val="0"/>
        <w:adjustRightInd/>
        <w:snapToGrid/>
        <w:jc w:val="both"/>
        <w:rPr>
          <w:rStyle w:val="57"/>
          <w:rFonts w:hAnsi="宋体" w:cs="宋体"/>
          <w:b w:val="0"/>
          <w:color w:val="auto"/>
          <w:szCs w:val="21"/>
          <w:highlight w:val="none"/>
        </w:rPr>
      </w:pPr>
      <w:r>
        <w:rPr>
          <w:rStyle w:val="57"/>
          <w:rFonts w:hint="eastAsia" w:hAnsi="宋体" w:cs="宋体"/>
          <w:b w:val="0"/>
          <w:color w:val="auto"/>
          <w:szCs w:val="21"/>
          <w:highlight w:val="none"/>
        </w:rPr>
        <w:t>本文件和附件中所用下列名词的含义在此予以确定。</w:t>
      </w:r>
    </w:p>
    <w:p>
      <w:pPr>
        <w:pStyle w:val="46"/>
        <w:widowControl w:val="0"/>
        <w:numPr>
          <w:ilvl w:val="0"/>
          <w:numId w:val="7"/>
        </w:numPr>
        <w:autoSpaceDE/>
        <w:autoSpaceDN/>
        <w:adjustRightInd/>
        <w:snapToGrid/>
        <w:ind w:left="221"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采购人是指</w:t>
      </w:r>
      <w:r>
        <w:rPr>
          <w:rStyle w:val="57"/>
          <w:rFonts w:hint="eastAsia" w:hAnsi="宋体" w:cs="宋体"/>
          <w:b w:val="0"/>
          <w:color w:val="auto"/>
          <w:szCs w:val="21"/>
          <w:highlight w:val="none"/>
          <w:lang w:eastAsia="zh-CN"/>
        </w:rPr>
        <w:t>东莞市东实城市环境服务有限公司</w:t>
      </w:r>
      <w:r>
        <w:rPr>
          <w:rStyle w:val="57"/>
          <w:rFonts w:hint="eastAsia" w:hAnsi="宋体" w:cs="宋体"/>
          <w:b w:val="0"/>
          <w:color w:val="auto"/>
          <w:szCs w:val="21"/>
          <w:highlight w:val="none"/>
        </w:rPr>
        <w:t>，包括该法人的法定代表人、法人的继任方和法人的受让方。</w:t>
      </w:r>
    </w:p>
    <w:p>
      <w:pPr>
        <w:pStyle w:val="46"/>
        <w:widowControl w:val="0"/>
        <w:numPr>
          <w:ilvl w:val="0"/>
          <w:numId w:val="7"/>
        </w:numPr>
        <w:autoSpaceDE/>
        <w:autoSpaceDN/>
        <w:adjustRightInd/>
        <w:snapToGrid/>
        <w:ind w:left="221"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投标人是指（乙方法定名称），包括该法人的法定代表人、法人的继任方和法人的受让方。</w:t>
      </w:r>
    </w:p>
    <w:p>
      <w:pPr>
        <w:pStyle w:val="46"/>
        <w:widowControl w:val="0"/>
        <w:numPr>
          <w:ilvl w:val="0"/>
          <w:numId w:val="7"/>
        </w:numPr>
        <w:autoSpaceDE/>
        <w:autoSpaceDN/>
        <w:adjustRightInd/>
        <w:snapToGrid/>
        <w:ind w:left="221"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“技术资料”是包括但不限于本项目相关的设计、采购技术协议、制造、监造、检验、安装、调试、验收、性能测试、培训、技术指导、规程、设备说明书等（包括图纸各种文字说明、标准、各种软件）。</w:t>
      </w:r>
    </w:p>
    <w:p>
      <w:pPr>
        <w:pStyle w:val="46"/>
        <w:widowControl w:val="0"/>
        <w:numPr>
          <w:ilvl w:val="0"/>
          <w:numId w:val="7"/>
        </w:numPr>
        <w:autoSpaceDE/>
        <w:autoSpaceDN/>
        <w:adjustRightInd/>
        <w:snapToGrid/>
        <w:ind w:left="221"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“监造”是指在合同设备的制造过程中，由采购人派出代表对中标人提供的合同设备的关键部位进行质量监督，实行文件见证和现场见证。此种监造不构成中标人对合同设备所负的质量责任的任何减免。</w:t>
      </w:r>
    </w:p>
    <w:p>
      <w:pPr>
        <w:pStyle w:val="46"/>
        <w:widowControl w:val="0"/>
        <w:numPr>
          <w:ilvl w:val="0"/>
          <w:numId w:val="7"/>
        </w:numPr>
        <w:autoSpaceDE/>
        <w:autoSpaceDN/>
        <w:adjustRightInd/>
        <w:snapToGrid/>
        <w:ind w:left="221"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“日、周、月、年”是指公历的日、周、月、年；“日”是指24小时、“周”是指7天、“月”是指30天、“年”是指365天。</w:t>
      </w:r>
    </w:p>
    <w:p>
      <w:pPr>
        <w:pStyle w:val="46"/>
        <w:widowControl w:val="0"/>
        <w:numPr>
          <w:ilvl w:val="0"/>
          <w:numId w:val="7"/>
        </w:numPr>
        <w:autoSpaceDE/>
        <w:autoSpaceDN/>
        <w:adjustRightInd/>
        <w:snapToGrid/>
        <w:ind w:left="221"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“技术服务”是指由中标人提供的与本项目有关的工程设计、设备供货、监造、检验、安装、调试、性能验收试验、运行、检修时相应的技术指导、技术配合、技术培训等全过程的服务。</w:t>
      </w:r>
    </w:p>
    <w:p>
      <w:pPr>
        <w:pStyle w:val="46"/>
        <w:widowControl w:val="0"/>
        <w:numPr>
          <w:ilvl w:val="0"/>
          <w:numId w:val="7"/>
        </w:numPr>
        <w:autoSpaceDE/>
        <w:autoSpaceDN/>
        <w:adjustRightInd/>
        <w:snapToGrid/>
        <w:ind w:left="221"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“现场” 是指本项目建设工地，为中标人安装本项目设备设施所在地。</w:t>
      </w:r>
    </w:p>
    <w:p>
      <w:pPr>
        <w:pStyle w:val="46"/>
        <w:widowControl w:val="0"/>
        <w:numPr>
          <w:ilvl w:val="0"/>
          <w:numId w:val="7"/>
        </w:numPr>
        <w:autoSpaceDE/>
        <w:autoSpaceDN/>
        <w:adjustRightInd/>
        <w:snapToGrid/>
        <w:ind w:left="221"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“备品备件”是指本项目的备用部件，包括随机备品备件、专用工器具等。</w:t>
      </w:r>
    </w:p>
    <w:p>
      <w:pPr>
        <w:pStyle w:val="46"/>
        <w:widowControl w:val="0"/>
        <w:numPr>
          <w:ilvl w:val="0"/>
          <w:numId w:val="7"/>
        </w:numPr>
        <w:autoSpaceDE/>
        <w:autoSpaceDN/>
        <w:adjustRightInd/>
        <w:snapToGrid/>
        <w:ind w:left="221"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“试运行”是指设备完成移交之前的运行阶段。</w:t>
      </w:r>
    </w:p>
    <w:p>
      <w:pPr>
        <w:pStyle w:val="46"/>
        <w:widowControl w:val="0"/>
        <w:numPr>
          <w:ilvl w:val="0"/>
          <w:numId w:val="7"/>
        </w:numPr>
        <w:autoSpaceDE/>
        <w:autoSpaceDN/>
        <w:adjustRightInd/>
        <w:snapToGrid/>
        <w:ind w:left="221"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“书面文件”是指手稿、打字或印刷的有印章和／或签名的文件。</w:t>
      </w:r>
    </w:p>
    <w:p>
      <w:pPr>
        <w:pStyle w:val="46"/>
        <w:widowControl w:val="0"/>
        <w:numPr>
          <w:ilvl w:val="0"/>
          <w:numId w:val="7"/>
        </w:numPr>
        <w:autoSpaceDE/>
        <w:autoSpaceDN/>
        <w:adjustRightInd/>
        <w:snapToGrid/>
        <w:ind w:left="221"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“设备缺陷”是指中标人因设计、制造错误或疏忽所引起的本项目设备（包括部件、原材料、铸锻件、原器件等）达不到本项目规定的性能、质量标准要求的状态。</w:t>
      </w:r>
    </w:p>
    <w:p>
      <w:pPr>
        <w:pStyle w:val="46"/>
        <w:widowControl w:val="0"/>
        <w:numPr>
          <w:ilvl w:val="0"/>
          <w:numId w:val="7"/>
        </w:numPr>
        <w:autoSpaceDE/>
        <w:autoSpaceDN/>
        <w:adjustRightInd/>
        <w:snapToGrid/>
        <w:ind w:left="221" w:firstLine="420" w:firstLineChars="200"/>
        <w:jc w:val="both"/>
        <w:rPr>
          <w:rStyle w:val="57"/>
          <w:rFonts w:hAnsi="宋体" w:cs="宋体"/>
          <w:b w:val="0"/>
          <w:color w:val="auto"/>
          <w:szCs w:val="21"/>
          <w:highlight w:val="none"/>
        </w:rPr>
      </w:pPr>
      <w:r>
        <w:rPr>
          <w:rStyle w:val="57"/>
          <w:rFonts w:hint="eastAsia" w:hAnsi="宋体" w:cs="宋体"/>
          <w:b w:val="0"/>
          <w:color w:val="auto"/>
          <w:szCs w:val="21"/>
          <w:highlight w:val="none"/>
        </w:rPr>
        <w:t>“性能验收”是指为检验本项目技术规格书（包括与本项目设备相关的其它资料）规定的性能保证值按本项目技术规格书规定所进行的试验。</w:t>
      </w:r>
    </w:p>
    <w:bookmarkEnd w:id="40"/>
    <w:p>
      <w:pPr>
        <w:pStyle w:val="5"/>
        <w:adjustRightInd/>
        <w:spacing w:line="240" w:lineRule="auto"/>
        <w:jc w:val="both"/>
        <w:rPr>
          <w:rFonts w:ascii="宋体" w:hAnsi="宋体" w:cs="宋体"/>
          <w:bCs/>
          <w:color w:val="auto"/>
          <w:sz w:val="21"/>
          <w:szCs w:val="21"/>
          <w:highlight w:val="none"/>
        </w:rPr>
      </w:pPr>
      <w:bookmarkStart w:id="41" w:name="_Toc144892863"/>
      <w:bookmarkStart w:id="42" w:name="_Toc16917"/>
      <w:r>
        <w:rPr>
          <w:rFonts w:hint="eastAsia" w:ascii="宋体" w:hAnsi="宋体" w:cs="宋体"/>
          <w:bCs/>
          <w:color w:val="auto"/>
          <w:sz w:val="21"/>
          <w:szCs w:val="21"/>
          <w:highlight w:val="none"/>
        </w:rPr>
        <w:t>三、工程概况</w:t>
      </w:r>
      <w:bookmarkEnd w:id="41"/>
      <w:bookmarkEnd w:id="42"/>
    </w:p>
    <w:p>
      <w:pPr>
        <w:pStyle w:val="6"/>
        <w:numPr>
          <w:ilvl w:val="1"/>
          <w:numId w:val="8"/>
        </w:numPr>
        <w:adjustRightInd/>
        <w:spacing w:line="240" w:lineRule="auto"/>
        <w:ind w:left="992" w:hanging="567"/>
        <w:jc w:val="both"/>
        <w:rPr>
          <w:rFonts w:ascii="宋体" w:hAnsi="宋体" w:eastAsia="宋体" w:cs="宋体"/>
          <w:color w:val="auto"/>
          <w:sz w:val="21"/>
          <w:szCs w:val="21"/>
          <w:highlight w:val="none"/>
        </w:rPr>
      </w:pPr>
      <w:bookmarkStart w:id="43" w:name="_Toc144892864"/>
      <w:bookmarkStart w:id="44" w:name="_Toc15315"/>
      <w:r>
        <w:rPr>
          <w:rFonts w:hint="eastAsia" w:ascii="宋体" w:hAnsi="宋体" w:eastAsia="宋体" w:cs="宋体"/>
          <w:color w:val="auto"/>
          <w:sz w:val="21"/>
          <w:szCs w:val="21"/>
          <w:highlight w:val="none"/>
        </w:rPr>
        <w:t>项目名称</w:t>
      </w:r>
      <w:bookmarkEnd w:id="43"/>
      <w:bookmarkEnd w:id="44"/>
    </w:p>
    <w:p>
      <w:pPr>
        <w:pStyle w:val="2"/>
        <w:adjustRightInd/>
        <w:spacing w:line="240" w:lineRule="auto"/>
        <w:ind w:left="0" w:right="113" w:firstLine="420" w:firstLineChars="200"/>
        <w:jc w:val="both"/>
        <w:rPr>
          <w:rStyle w:val="57"/>
          <w:rFonts w:hAnsi="宋体" w:cs="宋体"/>
          <w:b w:val="0"/>
          <w:bCs/>
          <w:color w:val="auto"/>
          <w:szCs w:val="21"/>
          <w:highlight w:val="none"/>
          <w:lang w:val="zh-CN" w:bidi="zh-CN"/>
        </w:rPr>
      </w:pPr>
      <w:r>
        <w:rPr>
          <w:rStyle w:val="57"/>
          <w:rFonts w:hint="eastAsia" w:hAnsi="宋体" w:cs="宋体"/>
          <w:b w:val="0"/>
          <w:bCs/>
          <w:color w:val="auto"/>
          <w:szCs w:val="21"/>
          <w:highlight w:val="none"/>
        </w:rPr>
        <w:t>东莞市寮步镇生活垃圾综合处理中心项目污水处理系统</w:t>
      </w:r>
    </w:p>
    <w:p>
      <w:pPr>
        <w:pStyle w:val="6"/>
        <w:numPr>
          <w:ilvl w:val="1"/>
          <w:numId w:val="8"/>
        </w:numPr>
        <w:adjustRightInd/>
        <w:spacing w:line="240" w:lineRule="auto"/>
        <w:ind w:left="992" w:hanging="567"/>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pStyle w:val="2"/>
        <w:adjustRightInd/>
        <w:spacing w:line="240" w:lineRule="auto"/>
        <w:ind w:left="0" w:right="113" w:firstLine="420" w:firstLineChars="200"/>
        <w:jc w:val="both"/>
        <w:rPr>
          <w:rFonts w:hint="eastAsia" w:eastAsia="宋体"/>
          <w:bCs/>
          <w:color w:val="auto"/>
          <w:sz w:val="21"/>
          <w:szCs w:val="21"/>
          <w:highlight w:val="none"/>
          <w:lang w:eastAsia="zh-CN"/>
        </w:rPr>
      </w:pPr>
      <w:r>
        <w:rPr>
          <w:rStyle w:val="57"/>
          <w:rFonts w:hint="eastAsia" w:cs="宋体"/>
          <w:b w:val="0"/>
          <w:bCs/>
          <w:color w:val="auto"/>
          <w:szCs w:val="21"/>
          <w:highlight w:val="none"/>
          <w:lang w:eastAsia="zh-CN"/>
        </w:rPr>
        <w:t>东莞市东实城市环境服务有限公司</w:t>
      </w:r>
    </w:p>
    <w:p>
      <w:pPr>
        <w:pStyle w:val="6"/>
        <w:numPr>
          <w:ilvl w:val="1"/>
          <w:numId w:val="8"/>
        </w:numPr>
        <w:adjustRightInd/>
        <w:spacing w:line="240" w:lineRule="auto"/>
        <w:ind w:left="992" w:hanging="567"/>
        <w:jc w:val="both"/>
        <w:rPr>
          <w:rFonts w:ascii="宋体" w:hAnsi="宋体" w:eastAsia="宋体" w:cs="宋体"/>
          <w:color w:val="auto"/>
          <w:sz w:val="21"/>
          <w:szCs w:val="21"/>
          <w:highlight w:val="none"/>
        </w:rPr>
      </w:pPr>
      <w:bookmarkStart w:id="45" w:name="_Toc21900"/>
      <w:bookmarkStart w:id="46" w:name="_Toc144892866"/>
      <w:r>
        <w:rPr>
          <w:rFonts w:hint="eastAsia" w:ascii="宋体" w:hAnsi="宋体" w:eastAsia="宋体" w:cs="宋体"/>
          <w:color w:val="auto"/>
          <w:sz w:val="21"/>
          <w:szCs w:val="21"/>
          <w:highlight w:val="none"/>
        </w:rPr>
        <w:t>建设地点</w:t>
      </w:r>
      <w:bookmarkEnd w:id="45"/>
      <w:bookmarkEnd w:id="46"/>
    </w:p>
    <w:p>
      <w:pPr>
        <w:pStyle w:val="2"/>
        <w:adjustRightInd/>
        <w:spacing w:line="240" w:lineRule="auto"/>
        <w:ind w:left="0" w:right="113" w:firstLine="420" w:firstLineChars="200"/>
        <w:jc w:val="both"/>
        <w:rPr>
          <w:color w:val="auto"/>
          <w:sz w:val="21"/>
          <w:szCs w:val="21"/>
          <w:highlight w:val="none"/>
        </w:rPr>
      </w:pPr>
      <w:r>
        <w:rPr>
          <w:rFonts w:hint="eastAsia"/>
          <w:color w:val="auto"/>
          <w:sz w:val="21"/>
          <w:szCs w:val="21"/>
          <w:highlight w:val="none"/>
        </w:rPr>
        <w:t>东莞市寮步镇金富二路</w:t>
      </w:r>
    </w:p>
    <w:p>
      <w:pPr>
        <w:pStyle w:val="6"/>
        <w:numPr>
          <w:ilvl w:val="1"/>
          <w:numId w:val="8"/>
        </w:numPr>
        <w:adjustRightInd/>
        <w:spacing w:line="240" w:lineRule="auto"/>
        <w:ind w:left="992" w:hanging="567"/>
        <w:jc w:val="both"/>
        <w:rPr>
          <w:rFonts w:ascii="宋体" w:hAnsi="宋体" w:eastAsia="宋体" w:cs="宋体"/>
          <w:color w:val="auto"/>
          <w:sz w:val="21"/>
          <w:szCs w:val="21"/>
          <w:highlight w:val="none"/>
        </w:rPr>
      </w:pPr>
      <w:bookmarkStart w:id="47" w:name="_Toc30992"/>
      <w:bookmarkStart w:id="48" w:name="_Toc144892867"/>
      <w:r>
        <w:rPr>
          <w:rFonts w:hint="eastAsia" w:ascii="宋体" w:hAnsi="宋体" w:eastAsia="宋体" w:cs="宋体"/>
          <w:color w:val="auto"/>
          <w:sz w:val="21"/>
          <w:szCs w:val="21"/>
          <w:highlight w:val="none"/>
        </w:rPr>
        <w:t>工程概述</w:t>
      </w:r>
      <w:bookmarkEnd w:id="47"/>
      <w:bookmarkEnd w:id="48"/>
    </w:p>
    <w:p>
      <w:pPr>
        <w:pStyle w:val="2"/>
        <w:adjustRightInd/>
        <w:ind w:left="0" w:right="113" w:firstLine="420" w:firstLineChars="200"/>
        <w:jc w:val="both"/>
        <w:rPr>
          <w:color w:val="auto"/>
          <w:sz w:val="21"/>
          <w:szCs w:val="21"/>
          <w:highlight w:val="none"/>
        </w:rPr>
      </w:pPr>
      <w:r>
        <w:rPr>
          <w:rFonts w:hint="eastAsia"/>
          <w:color w:val="auto"/>
          <w:sz w:val="21"/>
          <w:szCs w:val="21"/>
          <w:highlight w:val="none"/>
        </w:rPr>
        <w:t>本项目新建 1 座生活垃圾综合处理中心，规划用地面积约 10379.55 平方米，包括垃圾压缩车间、大件/园林绿化垃圾处理车间、厨余垃圾处理车间、修车间、污水处理站、保安室和办公楼等。生活垃圾转运规模为近期 530t/d（远期1000t/d），大件垃圾/园林绿化垃圾设计处理规模近期24t/d（远期31t/d），厨余垃圾设计处理规模近期60t/d（远期80t/d）。其中，近期指2023年，远期指2032年。</w:t>
      </w:r>
    </w:p>
    <w:p>
      <w:pPr>
        <w:pStyle w:val="2"/>
        <w:adjustRightInd/>
        <w:ind w:left="0" w:right="113" w:firstLine="420" w:firstLineChars="200"/>
        <w:jc w:val="both"/>
        <w:rPr>
          <w:b/>
          <w:color w:val="auto"/>
          <w:sz w:val="21"/>
          <w:szCs w:val="21"/>
          <w:highlight w:val="none"/>
        </w:rPr>
      </w:pPr>
      <w:r>
        <w:rPr>
          <w:rFonts w:hint="eastAsia"/>
          <w:color w:val="auto"/>
          <w:sz w:val="21"/>
          <w:szCs w:val="21"/>
          <w:highlight w:val="none"/>
        </w:rPr>
        <w:t>本次招标范围为垃圾转运站污水处理系统，</w:t>
      </w:r>
      <w:r>
        <w:rPr>
          <w:rFonts w:hint="eastAsia"/>
          <w:b/>
          <w:color w:val="auto"/>
          <w:sz w:val="21"/>
          <w:szCs w:val="21"/>
          <w:highlight w:val="none"/>
        </w:rPr>
        <w:t>设计处理规模140吨/天。处理工艺采用：预处理+两级A/O+超滤+纳滤。</w:t>
      </w:r>
    </w:p>
    <w:p>
      <w:pPr>
        <w:pStyle w:val="6"/>
        <w:numPr>
          <w:ilvl w:val="1"/>
          <w:numId w:val="8"/>
        </w:numPr>
        <w:adjustRightInd/>
        <w:spacing w:line="360" w:lineRule="auto"/>
        <w:jc w:val="both"/>
        <w:rPr>
          <w:rFonts w:ascii="宋体" w:hAnsi="宋体" w:eastAsia="宋体" w:cs="宋体"/>
          <w:color w:val="auto"/>
          <w:sz w:val="21"/>
          <w:szCs w:val="21"/>
          <w:highlight w:val="none"/>
        </w:rPr>
      </w:pPr>
      <w:bookmarkStart w:id="49" w:name="_Toc220"/>
      <w:bookmarkStart w:id="50" w:name="_Toc144892868"/>
      <w:r>
        <w:rPr>
          <w:rFonts w:hint="eastAsia" w:ascii="宋体" w:hAnsi="宋体" w:eastAsia="宋体" w:cs="宋体"/>
          <w:color w:val="auto"/>
          <w:sz w:val="21"/>
          <w:szCs w:val="21"/>
          <w:highlight w:val="none"/>
        </w:rPr>
        <w:t>项目工期与主要节点</w:t>
      </w:r>
      <w:bookmarkEnd w:id="49"/>
      <w:bookmarkEnd w:id="50"/>
    </w:p>
    <w:tbl>
      <w:tblPr>
        <w:tblStyle w:val="35"/>
        <w:tblW w:w="84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70"/>
        <w:gridCol w:w="2026"/>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570"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主要节点</w:t>
            </w:r>
          </w:p>
        </w:tc>
        <w:tc>
          <w:tcPr>
            <w:tcW w:w="2026"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日期</w:t>
            </w:r>
          </w:p>
        </w:tc>
        <w:tc>
          <w:tcPr>
            <w:tcW w:w="286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w:t>
            </w:r>
          </w:p>
        </w:tc>
        <w:tc>
          <w:tcPr>
            <w:tcW w:w="2570"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土建设计条件提资</w:t>
            </w:r>
          </w:p>
        </w:tc>
        <w:tc>
          <w:tcPr>
            <w:tcW w:w="2026"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中标通知书发出后一周内</w:t>
            </w:r>
          </w:p>
        </w:tc>
        <w:tc>
          <w:tcPr>
            <w:tcW w:w="2867" w:type="dxa"/>
            <w:vAlign w:val="center"/>
          </w:tcPr>
          <w:p>
            <w:pPr>
              <w:adjustRightInd/>
              <w:jc w:val="both"/>
              <w:rPr>
                <w:rFonts w:ascii="宋体" w:hAnsi="宋体" w:cs="宋体"/>
                <w:bCs/>
                <w:color w:val="auto"/>
                <w:szCs w:val="21"/>
                <w:highlight w:val="none"/>
              </w:rPr>
            </w:pPr>
            <w:r>
              <w:rPr>
                <w:rFonts w:hint="eastAsia" w:ascii="宋体" w:hAnsi="宋体" w:cs="宋体"/>
                <w:bCs/>
                <w:color w:val="auto"/>
                <w:szCs w:val="21"/>
                <w:highlight w:val="none"/>
              </w:rPr>
              <w:t>根据车间土建方案图结合设备进行微调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w:t>
            </w:r>
          </w:p>
        </w:tc>
        <w:tc>
          <w:tcPr>
            <w:tcW w:w="2570"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设备到货</w:t>
            </w:r>
          </w:p>
        </w:tc>
        <w:tc>
          <w:tcPr>
            <w:tcW w:w="2026"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具备设备进场后一周</w:t>
            </w:r>
          </w:p>
        </w:tc>
        <w:tc>
          <w:tcPr>
            <w:tcW w:w="2867" w:type="dxa"/>
            <w:vAlign w:val="center"/>
          </w:tcPr>
          <w:p>
            <w:pPr>
              <w:adjustRightInd/>
              <w:jc w:val="center"/>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w:t>
            </w:r>
          </w:p>
        </w:tc>
        <w:tc>
          <w:tcPr>
            <w:tcW w:w="2570"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设备安装完成</w:t>
            </w:r>
          </w:p>
        </w:tc>
        <w:tc>
          <w:tcPr>
            <w:tcW w:w="2026"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设备到货后一个半月内</w:t>
            </w:r>
          </w:p>
        </w:tc>
        <w:tc>
          <w:tcPr>
            <w:tcW w:w="2867" w:type="dxa"/>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4</w:t>
            </w:r>
          </w:p>
        </w:tc>
        <w:tc>
          <w:tcPr>
            <w:tcW w:w="2570"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设备调试</w:t>
            </w:r>
          </w:p>
        </w:tc>
        <w:tc>
          <w:tcPr>
            <w:tcW w:w="2026"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设备安装完成后一个月内</w:t>
            </w:r>
          </w:p>
        </w:tc>
        <w:tc>
          <w:tcPr>
            <w:tcW w:w="2867" w:type="dxa"/>
            <w:vAlign w:val="center"/>
          </w:tcPr>
          <w:p>
            <w:pPr>
              <w:adjustRightInd/>
              <w:jc w:val="center"/>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djustRightInd/>
              <w:jc w:val="center"/>
              <w:rPr>
                <w:rFonts w:ascii="宋体" w:hAnsi="宋体" w:cs="宋体"/>
                <w:color w:val="auto"/>
                <w:szCs w:val="21"/>
                <w:highlight w:val="none"/>
              </w:rPr>
            </w:pPr>
            <w:bookmarkStart w:id="51" w:name="_Toc523432271"/>
            <w:r>
              <w:rPr>
                <w:rFonts w:hint="eastAsia" w:ascii="宋体" w:hAnsi="宋体" w:cs="宋体"/>
                <w:color w:val="auto"/>
                <w:szCs w:val="21"/>
                <w:highlight w:val="none"/>
              </w:rPr>
              <w:t>5</w:t>
            </w:r>
          </w:p>
        </w:tc>
        <w:tc>
          <w:tcPr>
            <w:tcW w:w="2570"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性能测试完成</w:t>
            </w:r>
          </w:p>
        </w:tc>
        <w:tc>
          <w:tcPr>
            <w:tcW w:w="2026"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中转站投入使用后一个月内</w:t>
            </w:r>
          </w:p>
        </w:tc>
        <w:tc>
          <w:tcPr>
            <w:tcW w:w="2867" w:type="dxa"/>
            <w:vAlign w:val="center"/>
          </w:tcPr>
          <w:p>
            <w:pPr>
              <w:adjustRightInd/>
              <w:jc w:val="center"/>
              <w:rPr>
                <w:rFonts w:ascii="宋体" w:hAnsi="宋体" w:cs="宋体"/>
                <w:color w:val="auto"/>
                <w:szCs w:val="21"/>
                <w:highlight w:val="none"/>
              </w:rPr>
            </w:pPr>
          </w:p>
        </w:tc>
      </w:tr>
    </w:tbl>
    <w:p>
      <w:pPr>
        <w:rPr>
          <w:color w:val="auto"/>
          <w:highlight w:val="none"/>
        </w:rPr>
      </w:pPr>
      <w:bookmarkStart w:id="52" w:name="_Toc21963"/>
      <w:bookmarkStart w:id="53" w:name="_Toc144892869"/>
    </w:p>
    <w:p>
      <w:pPr>
        <w:pStyle w:val="5"/>
        <w:adjustRightInd/>
        <w:spacing w:line="360" w:lineRule="auto"/>
        <w:jc w:val="both"/>
        <w:rPr>
          <w:rFonts w:ascii="宋体" w:hAnsi="宋体" w:cs="宋体"/>
          <w:color w:val="auto"/>
          <w:sz w:val="21"/>
          <w:szCs w:val="21"/>
          <w:highlight w:val="none"/>
        </w:rPr>
      </w:pPr>
      <w:r>
        <w:rPr>
          <w:rFonts w:hint="eastAsia" w:ascii="宋体" w:hAnsi="宋体" w:cs="宋体"/>
          <w:bCs/>
          <w:color w:val="auto"/>
          <w:sz w:val="21"/>
          <w:szCs w:val="21"/>
          <w:highlight w:val="none"/>
        </w:rPr>
        <w:t>四、采购范围与职责</w:t>
      </w:r>
      <w:bookmarkEnd w:id="51"/>
      <w:bookmarkEnd w:id="52"/>
      <w:bookmarkEnd w:id="53"/>
    </w:p>
    <w:p>
      <w:pPr>
        <w:pStyle w:val="6"/>
        <w:numPr>
          <w:ilvl w:val="1"/>
          <w:numId w:val="9"/>
        </w:numPr>
        <w:adjustRightInd/>
        <w:spacing w:line="360" w:lineRule="auto"/>
        <w:ind w:left="992" w:hanging="567"/>
        <w:jc w:val="both"/>
        <w:rPr>
          <w:rFonts w:ascii="宋体" w:hAnsi="宋体" w:eastAsia="宋体" w:cs="宋体"/>
          <w:color w:val="auto"/>
          <w:sz w:val="21"/>
          <w:szCs w:val="21"/>
          <w:highlight w:val="none"/>
        </w:rPr>
      </w:pPr>
      <w:bookmarkStart w:id="54" w:name="_Toc144892870"/>
      <w:bookmarkStart w:id="55" w:name="_Toc3817"/>
      <w:r>
        <w:rPr>
          <w:rFonts w:hint="eastAsia" w:ascii="宋体" w:hAnsi="宋体" w:eastAsia="宋体" w:cs="宋体"/>
          <w:color w:val="auto"/>
          <w:sz w:val="21"/>
          <w:szCs w:val="21"/>
          <w:highlight w:val="none"/>
        </w:rPr>
        <w:t>项目范围</w:t>
      </w:r>
      <w:bookmarkEnd w:id="54"/>
      <w:bookmarkEnd w:id="55"/>
    </w:p>
    <w:p>
      <w:pPr>
        <w:pStyle w:val="2"/>
        <w:adjustRightInd/>
        <w:spacing w:before="60" w:after="60"/>
        <w:ind w:left="0" w:right="113" w:firstLine="420" w:firstLineChars="200"/>
        <w:jc w:val="both"/>
        <w:rPr>
          <w:rStyle w:val="58"/>
          <w:rFonts w:hAnsi="宋体" w:cs="宋体"/>
          <w:color w:val="auto"/>
          <w:highlight w:val="none"/>
        </w:rPr>
      </w:pPr>
      <w:r>
        <w:rPr>
          <w:rFonts w:hint="eastAsia"/>
          <w:color w:val="auto"/>
          <w:sz w:val="21"/>
          <w:szCs w:val="21"/>
          <w:highlight w:val="none"/>
        </w:rPr>
        <w:t>本次</w:t>
      </w:r>
      <w:r>
        <w:rPr>
          <w:rFonts w:hint="eastAsia"/>
          <w:color w:val="auto"/>
          <w:sz w:val="21"/>
          <w:szCs w:val="21"/>
          <w:highlight w:val="none"/>
          <w:lang w:val="en-US"/>
        </w:rPr>
        <w:t>采购</w:t>
      </w:r>
      <w:r>
        <w:rPr>
          <w:rFonts w:hint="eastAsia"/>
          <w:color w:val="auto"/>
          <w:sz w:val="21"/>
          <w:szCs w:val="21"/>
          <w:highlight w:val="none"/>
        </w:rPr>
        <w:t>为东莞市寮步镇生活垃圾综合处理中心项目内污水处理系统。污水处理设备的</w:t>
      </w:r>
      <w:r>
        <w:rPr>
          <w:rStyle w:val="58"/>
          <w:rFonts w:hint="eastAsia" w:hAnsi="宋体" w:cs="宋体"/>
          <w:color w:val="auto"/>
          <w:highlight w:val="none"/>
        </w:rPr>
        <w:t>供货和安装，包括但不限于以下内容：</w:t>
      </w:r>
    </w:p>
    <w:p>
      <w:pPr>
        <w:pStyle w:val="46"/>
        <w:adjustRightInd/>
        <w:jc w:val="both"/>
        <w:rPr>
          <w:rStyle w:val="58"/>
          <w:rFonts w:hAnsi="宋体" w:cs="宋体"/>
          <w:color w:val="auto"/>
          <w:highlight w:val="none"/>
        </w:rPr>
      </w:pPr>
      <w:r>
        <w:rPr>
          <w:rStyle w:val="58"/>
          <w:rFonts w:hint="eastAsia" w:hAnsi="宋体" w:cs="宋体"/>
          <w:color w:val="auto"/>
          <w:highlight w:val="none"/>
        </w:rPr>
        <w:t>1. 界限范围内的设备、管道、管件、阀门、其他连接部件、密封系统、防腐、电气系统（设备端配电系统、电动机控制、检修电源、电气二次保护、设备照明等）、自控系统（就地及远程仪器仪表、为实现电气化和自动化而必须配备的PLC\单片机等）。</w:t>
      </w:r>
    </w:p>
    <w:p>
      <w:pPr>
        <w:pStyle w:val="46"/>
        <w:adjustRightInd/>
        <w:jc w:val="both"/>
        <w:rPr>
          <w:rStyle w:val="58"/>
          <w:rFonts w:hAnsi="宋体" w:cs="宋体"/>
          <w:color w:val="auto"/>
          <w:highlight w:val="none"/>
        </w:rPr>
      </w:pPr>
      <w:r>
        <w:rPr>
          <w:rStyle w:val="58"/>
          <w:rFonts w:hint="eastAsia" w:hAnsi="宋体" w:cs="宋体"/>
          <w:color w:val="auto"/>
          <w:highlight w:val="none"/>
        </w:rPr>
        <w:t>2.招标及供货范围内各系统一年期的备品备件（含易损件），投标文件中应列出备品备件清单及单价。</w:t>
      </w:r>
    </w:p>
    <w:p>
      <w:pPr>
        <w:pStyle w:val="46"/>
        <w:adjustRightInd/>
        <w:jc w:val="both"/>
        <w:rPr>
          <w:rStyle w:val="58"/>
          <w:rFonts w:hAnsi="宋体" w:cs="宋体"/>
          <w:color w:val="auto"/>
          <w:highlight w:val="none"/>
        </w:rPr>
      </w:pPr>
      <w:r>
        <w:rPr>
          <w:rStyle w:val="58"/>
          <w:rFonts w:hint="eastAsia" w:hAnsi="宋体" w:cs="宋体"/>
          <w:color w:val="auto"/>
          <w:highlight w:val="none"/>
        </w:rPr>
        <w:t>3.为达到本技术规格书规定的安全、环保、消防、职业健康等要求所必需的配套设施。</w:t>
      </w:r>
    </w:p>
    <w:p>
      <w:pPr>
        <w:pStyle w:val="46"/>
        <w:adjustRightInd/>
        <w:jc w:val="both"/>
        <w:rPr>
          <w:rStyle w:val="58"/>
          <w:rFonts w:hAnsi="宋体" w:cs="宋体"/>
          <w:color w:val="auto"/>
          <w:highlight w:val="none"/>
        </w:rPr>
      </w:pPr>
      <w:r>
        <w:rPr>
          <w:rStyle w:val="58"/>
          <w:rFonts w:hint="eastAsia" w:hAnsi="宋体" w:cs="宋体"/>
          <w:color w:val="auto"/>
          <w:highlight w:val="none"/>
        </w:rPr>
        <w:t>4.设备钢框架、钢支架及钢平台（包括二次预埋件、基础框架、地脚螺栓、焊接、螺钉等连接件和紧固件、油漆）、扶梯、移动操作平台。</w:t>
      </w:r>
    </w:p>
    <w:p>
      <w:pPr>
        <w:pStyle w:val="46"/>
        <w:adjustRightInd/>
        <w:jc w:val="both"/>
        <w:rPr>
          <w:rStyle w:val="58"/>
          <w:rFonts w:hAnsi="宋体" w:cs="宋体"/>
          <w:color w:val="auto"/>
          <w:highlight w:val="none"/>
        </w:rPr>
      </w:pPr>
      <w:r>
        <w:rPr>
          <w:rStyle w:val="58"/>
          <w:rFonts w:hint="eastAsia" w:hAnsi="宋体" w:cs="宋体"/>
          <w:color w:val="auto"/>
          <w:highlight w:val="none"/>
        </w:rPr>
        <w:t>5.中标人须提交包括地脚螺栓、预埋件等土建条件资料，以便采购人完成土建设计和施工。</w:t>
      </w:r>
    </w:p>
    <w:p>
      <w:pPr>
        <w:pStyle w:val="46"/>
        <w:adjustRightInd/>
        <w:jc w:val="both"/>
        <w:rPr>
          <w:rStyle w:val="58"/>
          <w:rFonts w:hAnsi="宋体" w:cs="宋体"/>
          <w:color w:val="auto"/>
          <w:highlight w:val="none"/>
        </w:rPr>
      </w:pPr>
      <w:r>
        <w:rPr>
          <w:rStyle w:val="58"/>
          <w:rFonts w:hint="eastAsia" w:hAnsi="宋体" w:cs="宋体"/>
          <w:color w:val="auto"/>
          <w:highlight w:val="none"/>
        </w:rPr>
        <w:t>6.设备及管道连接件及紧固件（例如：法兰、垫圈、螺栓、焊接、螺钉等）、保温材料、油漆、外保护层及紧固件、管道支撑、吊架，热力管道还应提供固定架和滑动架。</w:t>
      </w:r>
    </w:p>
    <w:p>
      <w:pPr>
        <w:pStyle w:val="46"/>
        <w:adjustRightInd/>
        <w:jc w:val="both"/>
        <w:rPr>
          <w:rStyle w:val="58"/>
          <w:rFonts w:hAnsi="宋体" w:cs="宋体"/>
          <w:color w:val="auto"/>
          <w:highlight w:val="none"/>
        </w:rPr>
      </w:pPr>
      <w:r>
        <w:rPr>
          <w:rStyle w:val="58"/>
          <w:rFonts w:hint="eastAsia" w:hAnsi="宋体" w:cs="宋体"/>
          <w:color w:val="auto"/>
          <w:highlight w:val="none"/>
        </w:rPr>
        <w:t>7.运行维护（包括仪表校正所需首批标准气）和检修所需的专用工具，同时提供对应清单。</w:t>
      </w:r>
    </w:p>
    <w:p>
      <w:pPr>
        <w:pStyle w:val="46"/>
        <w:adjustRightInd/>
        <w:jc w:val="both"/>
        <w:rPr>
          <w:rStyle w:val="58"/>
          <w:rFonts w:hAnsi="宋体" w:cs="宋体"/>
          <w:color w:val="auto"/>
          <w:highlight w:val="none"/>
        </w:rPr>
      </w:pPr>
      <w:r>
        <w:rPr>
          <w:rStyle w:val="58"/>
          <w:rFonts w:hint="eastAsia" w:hAnsi="宋体" w:cs="宋体"/>
          <w:color w:val="auto"/>
          <w:highlight w:val="none"/>
        </w:rPr>
        <w:t>8.中标人需在项目现场配套项目经理部，项目经理部人员至少包括项目管理负责人（施工驻场）、QC专员和安全管理人员，各成员不允许相互兼职。</w:t>
      </w:r>
    </w:p>
    <w:p>
      <w:pPr>
        <w:pStyle w:val="46"/>
        <w:adjustRightInd/>
        <w:jc w:val="both"/>
        <w:rPr>
          <w:rStyle w:val="58"/>
          <w:rFonts w:hAnsi="宋体" w:cs="宋体"/>
          <w:color w:val="auto"/>
          <w:highlight w:val="none"/>
        </w:rPr>
      </w:pPr>
      <w:r>
        <w:rPr>
          <w:rStyle w:val="58"/>
          <w:rFonts w:hint="eastAsia" w:hAnsi="宋体" w:cs="宋体"/>
          <w:color w:val="auto"/>
          <w:highlight w:val="none"/>
        </w:rPr>
        <w:t>9.施工期间(包括施工、单体设备调试、冷态空载联动调试)的动力、水及其他辅料的消耗费用由中标人承担；冷态空载联动调试完成，系统保护逻辑、顺控逻辑满足使用要求，具备带料调试条件后，采购人确定具体带料调试和系统性能保证测试时间。</w:t>
      </w:r>
    </w:p>
    <w:p>
      <w:pPr>
        <w:pStyle w:val="46"/>
        <w:adjustRightInd/>
        <w:jc w:val="both"/>
        <w:rPr>
          <w:rStyle w:val="58"/>
          <w:rFonts w:hAnsi="宋体" w:cs="宋体"/>
          <w:color w:val="auto"/>
          <w:highlight w:val="none"/>
        </w:rPr>
      </w:pPr>
      <w:r>
        <w:rPr>
          <w:rStyle w:val="58"/>
          <w:rFonts w:hint="eastAsia" w:hAnsi="宋体" w:cs="宋体"/>
          <w:color w:val="auto"/>
          <w:highlight w:val="none"/>
        </w:rPr>
        <w:t>10.中标人应将全部设备首次润滑油、液压油等充满合格，并预留运行一年期内的更换量。</w:t>
      </w:r>
    </w:p>
    <w:p>
      <w:pPr>
        <w:pStyle w:val="46"/>
        <w:adjustRightInd/>
        <w:jc w:val="both"/>
        <w:rPr>
          <w:rStyle w:val="58"/>
          <w:rFonts w:hAnsi="宋体" w:cs="宋体"/>
          <w:color w:val="auto"/>
          <w:highlight w:val="none"/>
        </w:rPr>
      </w:pPr>
      <w:r>
        <w:rPr>
          <w:rStyle w:val="58"/>
          <w:rFonts w:hint="eastAsia" w:hAnsi="宋体" w:cs="宋体"/>
          <w:color w:val="auto"/>
          <w:highlight w:val="none"/>
        </w:rPr>
        <w:t>11.转运站内中标人提供的全部设备、仪表制作统一标识牌，现场管线要有色环标识（注明管线内介质名称、介质走向），管线颜色要根据其内部介质不同加以区分，各类标示牌、管线标识环等制作方案需征得采购人同意。</w:t>
      </w:r>
    </w:p>
    <w:p>
      <w:pPr>
        <w:pStyle w:val="46"/>
        <w:adjustRightInd/>
        <w:jc w:val="both"/>
        <w:rPr>
          <w:rStyle w:val="58"/>
          <w:rFonts w:hAnsi="宋体" w:cs="宋体"/>
          <w:color w:val="auto"/>
          <w:highlight w:val="none"/>
        </w:rPr>
      </w:pPr>
      <w:r>
        <w:rPr>
          <w:rStyle w:val="58"/>
          <w:rFonts w:hint="eastAsia" w:hAnsi="宋体" w:cs="宋体"/>
          <w:color w:val="auto"/>
          <w:highlight w:val="none"/>
        </w:rPr>
        <w:t>12.土建、装修等工程正常情况下不在本次招标范围内。中标人的设备安装过程如有需要在建构筑物上开孔等，应提前提资明确，由土建单位施工预留。但对于中标人未在设备土建提资中明确的，需在建构筑物上的开孔、植筋（栓）连接、破除等工程，其施工由中标人自行负责，并负责恢复原貌。</w:t>
      </w:r>
    </w:p>
    <w:p>
      <w:pPr>
        <w:pStyle w:val="6"/>
        <w:numPr>
          <w:ilvl w:val="1"/>
          <w:numId w:val="9"/>
        </w:numPr>
        <w:adjustRightInd/>
        <w:spacing w:line="360" w:lineRule="auto"/>
        <w:ind w:left="0" w:firstLine="422" w:firstLineChars="200"/>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6" w:name="_Toc144892871"/>
      <w:r>
        <w:rPr>
          <w:rFonts w:hint="eastAsia" w:ascii="宋体" w:hAnsi="宋体" w:eastAsia="宋体" w:cs="宋体"/>
          <w:color w:val="auto"/>
          <w:sz w:val="21"/>
          <w:szCs w:val="21"/>
          <w:highlight w:val="none"/>
        </w:rPr>
        <w:t>招标主设备清单</w:t>
      </w:r>
      <w:bookmarkEnd w:id="56"/>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包括但不限于下表清单所列设备，投标单位可在此基础上进行优化，但不能低于此配置。</w:t>
      </w:r>
    </w:p>
    <w:tbl>
      <w:tblPr>
        <w:tblStyle w:val="3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633"/>
        <w:gridCol w:w="4192"/>
        <w:gridCol w:w="789"/>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blHeader/>
        </w:trPr>
        <w:tc>
          <w:tcPr>
            <w:tcW w:w="85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633"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货物名称</w:t>
            </w:r>
          </w:p>
        </w:tc>
        <w:tc>
          <w:tcPr>
            <w:tcW w:w="4192"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主要技术参数</w:t>
            </w:r>
          </w:p>
        </w:tc>
        <w:tc>
          <w:tcPr>
            <w:tcW w:w="78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数量</w:t>
            </w:r>
          </w:p>
        </w:tc>
        <w:tc>
          <w:tcPr>
            <w:tcW w:w="1046"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一</w:t>
            </w:r>
          </w:p>
        </w:tc>
        <w:tc>
          <w:tcPr>
            <w:tcW w:w="7660" w:type="dxa"/>
            <w:gridSpan w:val="4"/>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预处理系统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机械格栅</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栅隙5mm，渠深1.7m，不锈钢304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沉渣泵</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Q=10m3/h，H=10m，P=0.75KW；材质：不锈钢304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调节池提升泵</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Q=10m3/h，H=10m，P=0.75KW；材质：不锈钢304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含导杆、耦合装置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4</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事故池提升泵</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Q=10m3/h，H=10m，P=0.75KW；材质：不锈钢304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含导杆、耦合装置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5</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调节池潜水搅拌机</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直径400mm,转速740r/min，功率1.5kW，材质SS304（导杆SS304，池深6.5m）</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6</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调节池液位计</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超声波液位计，输出信号4-20MA，防护等级变送器：IP65        传感器：IP67，量程：5m</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046" w:type="dxa"/>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7</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混凝反应池搅拌器</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N=1.1kW</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3台</w:t>
            </w:r>
          </w:p>
        </w:tc>
        <w:tc>
          <w:tcPr>
            <w:tcW w:w="1046" w:type="dxa"/>
          </w:tcPr>
          <w:p>
            <w:pPr>
              <w:adjustRightInd/>
              <w:spacing w:before="60" w:after="60"/>
              <w:rPr>
                <w:rFonts w:ascii="宋体" w:hAnsi="宋体" w:cs="宋体"/>
                <w:color w:val="auto"/>
                <w:szCs w:val="21"/>
                <w:highlight w:val="none"/>
              </w:rPr>
            </w:pPr>
            <w:r>
              <w:rPr>
                <w:rFonts w:hint="eastAsia" w:ascii="宋体" w:hAnsi="宋体" w:cs="宋体"/>
                <w:color w:val="auto"/>
                <w:szCs w:val="21"/>
                <w:highlight w:val="none"/>
              </w:rPr>
              <w:t>水下不锈钢304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8</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pH计</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量程：1-14，误差0.1</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046" w:type="dxa"/>
            <w:vAlign w:val="center"/>
          </w:tcPr>
          <w:p>
            <w:pPr>
              <w:adjustRightInd/>
              <w:spacing w:before="60" w:after="6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9</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沉淀池排泥泵</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Q=10m3/h，H=10m，N=0.75kW 材质：过流不锈钢304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tcPr>
          <w:p>
            <w:pPr>
              <w:adjustRightInd/>
              <w:spacing w:before="60" w:after="6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10</w:t>
            </w:r>
          </w:p>
        </w:tc>
        <w:tc>
          <w:tcPr>
            <w:tcW w:w="1633" w:type="dxa"/>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污泥提升泵</w:t>
            </w:r>
          </w:p>
        </w:tc>
        <w:tc>
          <w:tcPr>
            <w:tcW w:w="4192" w:type="dxa"/>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Q=10m3/h，H=10m，N=0.75kW 材质：过流不锈钢304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11</w:t>
            </w:r>
          </w:p>
        </w:tc>
        <w:tc>
          <w:tcPr>
            <w:tcW w:w="1633" w:type="dxa"/>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污泥池液位计</w:t>
            </w:r>
          </w:p>
        </w:tc>
        <w:tc>
          <w:tcPr>
            <w:tcW w:w="4192" w:type="dxa"/>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超声波液位计，输出信号4-20MA，防护等级变送器：IP65        传感器：IP67，量程：10m</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12</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CH4浓度监测仪</w:t>
            </w:r>
          </w:p>
        </w:tc>
        <w:tc>
          <w:tcPr>
            <w:tcW w:w="4192" w:type="dxa"/>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红外传感器:防护等级:IP66:电源:DC24V:2路输出:4-20mA:传感器:测量范围:0.1~0.03mg/L,0-100℃;带所有安装附件:防护等级:≥IP683；防爆等级：CT6  隔爆</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用于调节池、污泥池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13</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H2S 浓度监测仪</w:t>
            </w:r>
          </w:p>
        </w:tc>
        <w:tc>
          <w:tcPr>
            <w:tcW w:w="4192" w:type="dxa"/>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电化学传感器，防护等级:IP66:电源:DC24V:2路输出:4-20mA;传感器:测量范围:0.1~0.03mg/L,0-100℃;带所有安装附件:防护等级:≥IP683；防爆等级：CT6  隔爆</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用于调节池、污泥池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14</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NH3浓度监测仪</w:t>
            </w:r>
          </w:p>
        </w:tc>
        <w:tc>
          <w:tcPr>
            <w:tcW w:w="4192" w:type="dxa"/>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电化学传感器，防护等级:IP66:电源:DC24V:2路输出:4-20mA.传感器:测量范围:0.1~0.03mg/L,0-100℃.带所有安装附件:防护等级:≥IP683；防爆等级：CT6  隔爆</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用于调节池、污泥池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二</w:t>
            </w:r>
          </w:p>
        </w:tc>
        <w:tc>
          <w:tcPr>
            <w:tcW w:w="7660" w:type="dxa"/>
            <w:gridSpan w:val="4"/>
            <w:vAlign w:val="center"/>
          </w:tcPr>
          <w:p>
            <w:pPr>
              <w:adjustRightInd/>
              <w:spacing w:before="60" w:after="60"/>
              <w:jc w:val="center"/>
              <w:rPr>
                <w:rFonts w:ascii="宋体" w:hAnsi="宋体" w:cs="宋体"/>
                <w:color w:val="auto"/>
                <w:szCs w:val="21"/>
                <w:highlight w:val="none"/>
              </w:rPr>
            </w:pPr>
            <w:r>
              <w:rPr>
                <w:rFonts w:hint="eastAsia" w:ascii="宋体" w:hAnsi="宋体" w:cs="宋体"/>
                <w:b/>
                <w:bCs/>
                <w:color w:val="auto"/>
                <w:szCs w:val="21"/>
                <w:highlight w:val="none"/>
              </w:rPr>
              <w:t>生化系统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水解酸化池潜水搅拌机</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D=400mm，n=740r/min，N=2.5kw 材质SS304（导杆SS304，池深6.5m）</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一级A池潜水搅拌机</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D=400mm，n=740r/min，N=1.5kw 材质SS304（导杆SS304，池深6.5m）</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二级A池潜水搅拌机</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D=260mm，n=980r/min，N=1.5kw 材质SS304（导杆SS304，池深6.5m）</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4</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空气悬浮风机</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Q=17m3/min，P=78Kpa，N=22kw</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5</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逆流冷却塔</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处理量100m3/h，N=2.2kw</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6</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板式换热器</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冷却水量Q=100m3/h，换热面积 S=50m2 材质SS304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bookmarkStart w:id="57" w:name="_Hlk144282308"/>
            <w:r>
              <w:rPr>
                <w:rFonts w:hint="eastAsia" w:ascii="宋体" w:hAnsi="宋体" w:cs="宋体"/>
                <w:color w:val="auto"/>
                <w:szCs w:val="21"/>
                <w:highlight w:val="none"/>
              </w:rPr>
              <w:t>7</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原水冷却循环泵</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Q=90m3/h，H=20m，P=7.5kw</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过流材质：不锈钢304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8</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硝酸盐循环泵</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Q=40m3/h，H=12m，P=2.2kw过流不锈钢304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4台</w:t>
            </w:r>
          </w:p>
        </w:tc>
        <w:tc>
          <w:tcPr>
            <w:tcW w:w="104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过流材质：不锈钢304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9</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超滤进水泵</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Q=43.3m3/h，H=24m，P=5.5kw过流不锈钢304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过流材质：不锈钢304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10</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消泡喷头</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Q=2.7L/min，压力 P=4Bar，SS304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16套</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11</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膜片式微孔曝气器</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直径215mm，空气量0~3m3/h</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500</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三</w:t>
            </w:r>
          </w:p>
        </w:tc>
        <w:tc>
          <w:tcPr>
            <w:tcW w:w="7660" w:type="dxa"/>
            <w:gridSpan w:val="4"/>
            <w:vAlign w:val="center"/>
          </w:tcPr>
          <w:p>
            <w:pPr>
              <w:adjustRightInd/>
              <w:spacing w:before="60" w:after="60"/>
              <w:jc w:val="center"/>
              <w:rPr>
                <w:rFonts w:ascii="宋体" w:hAnsi="宋体" w:cs="宋体"/>
                <w:color w:val="auto"/>
                <w:szCs w:val="21"/>
                <w:highlight w:val="none"/>
              </w:rPr>
            </w:pPr>
            <w:r>
              <w:rPr>
                <w:rFonts w:hint="eastAsia" w:ascii="宋体" w:hAnsi="宋体" w:cs="宋体"/>
                <w:b/>
                <w:bCs/>
                <w:color w:val="auto"/>
                <w:szCs w:val="21"/>
                <w:highlight w:val="none"/>
              </w:rPr>
              <w:t>超滤系统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外置MBR膜组件</w:t>
            </w:r>
          </w:p>
        </w:tc>
        <w:tc>
          <w:tcPr>
            <w:tcW w:w="4192" w:type="dxa"/>
            <w:vAlign w:val="center"/>
          </w:tcPr>
          <w:p>
            <w:pPr>
              <w:adjustRightInd/>
              <w:spacing w:before="60" w:after="60"/>
              <w:rPr>
                <w:rFonts w:ascii="宋体" w:hAnsi="宋体" w:cs="宋体"/>
                <w:color w:val="auto"/>
                <w:szCs w:val="21"/>
                <w:highlight w:val="none"/>
              </w:rPr>
            </w:pPr>
            <w:r>
              <w:rPr>
                <w:rFonts w:hint="eastAsia" w:ascii="宋体" w:hAnsi="宋体" w:cs="宋体"/>
                <w:color w:val="auto"/>
                <w:szCs w:val="21"/>
                <w:highlight w:val="none"/>
              </w:rPr>
              <w:t>膜通量 52LMH，膜组件直径 8mm，总膜面积 135m2，PVDF</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04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成套设备</w:t>
            </w:r>
          </w:p>
        </w:tc>
      </w:tr>
      <w:bookmarkEnd w:id="5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循环泵</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 xml:space="preserve">Q=264m3/h，H=50m，P=55kw，过流材质SS304 </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UF进水过滤器</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Q=100m3/h，孔径1mm，滤网材质SS304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4</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产水罐</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V=10m³，材质 PE，壁厚9mm</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5</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清洗罐</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PT-2000L，PP/PE，壁厚6mm</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6</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清洗泵</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离心泵，Q=25m3/h，H=32m，P=5.5kw</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四</w:t>
            </w:r>
          </w:p>
        </w:tc>
        <w:tc>
          <w:tcPr>
            <w:tcW w:w="7660" w:type="dxa"/>
            <w:gridSpan w:val="4"/>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纳滤系统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纳滤进水泵</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离心泵，Q=11.7m3/h，H=28m，P=2.2KW，</w:t>
            </w:r>
          </w:p>
          <w:p>
            <w:pPr>
              <w:adjustRightInd/>
              <w:jc w:val="both"/>
              <w:rPr>
                <w:rFonts w:ascii="宋体" w:hAnsi="宋体" w:cs="宋体"/>
                <w:color w:val="auto"/>
                <w:szCs w:val="21"/>
                <w:highlight w:val="none"/>
              </w:rPr>
            </w:pPr>
            <w:r>
              <w:rPr>
                <w:rFonts w:hint="eastAsia" w:ascii="宋体" w:hAnsi="宋体" w:cs="宋体"/>
                <w:color w:val="auto"/>
                <w:szCs w:val="21"/>
                <w:highlight w:val="none"/>
              </w:rPr>
              <w:t>过流材质：不锈钢304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纳滤膜系统</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12支膜（8寸） 型号：NF270-400/34i</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04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成套设备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增压水泵</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Q=15m3/h，H=93m,P=7.5kw，过流材质：不锈钢304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4</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回用水泵</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Q=11.7m3/h，H=28m,P=2.2kw</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5</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回用水罐</w:t>
            </w:r>
          </w:p>
        </w:tc>
        <w:tc>
          <w:tcPr>
            <w:tcW w:w="4192" w:type="dxa"/>
            <w:vAlign w:val="center"/>
          </w:tcPr>
          <w:p>
            <w:pPr>
              <w:adjustRightInd/>
              <w:jc w:val="both"/>
              <w:rPr>
                <w:rFonts w:ascii="宋体" w:hAnsi="宋体" w:cs="宋体"/>
                <w:color w:val="auto"/>
                <w:szCs w:val="21"/>
                <w:highlight w:val="none"/>
              </w:rPr>
            </w:pPr>
            <w:r>
              <w:rPr>
                <w:rFonts w:hint="eastAsia" w:ascii="宋体" w:hAnsi="宋体" w:cs="宋体"/>
                <w:color w:val="auto"/>
                <w:szCs w:val="21"/>
                <w:highlight w:val="none"/>
              </w:rPr>
              <w:t>10m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，材质 PE，壁厚9mm</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6</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浓液罐（外排水）</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10m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，材质 PE，壁厚9mm</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五</w:t>
            </w:r>
          </w:p>
        </w:tc>
        <w:tc>
          <w:tcPr>
            <w:tcW w:w="7660" w:type="dxa"/>
            <w:gridSpan w:val="4"/>
            <w:vAlign w:val="center"/>
          </w:tcPr>
          <w:p>
            <w:pPr>
              <w:adjustRightInd/>
              <w:spacing w:before="60" w:after="60"/>
              <w:jc w:val="center"/>
              <w:rPr>
                <w:rFonts w:ascii="宋体" w:hAnsi="宋体" w:cs="宋体"/>
                <w:color w:val="auto"/>
                <w:szCs w:val="21"/>
                <w:highlight w:val="none"/>
              </w:rPr>
            </w:pPr>
            <w:r>
              <w:rPr>
                <w:rFonts w:hint="eastAsia" w:ascii="宋体" w:hAnsi="宋体" w:cs="宋体"/>
                <w:b/>
                <w:bCs/>
                <w:color w:val="auto"/>
                <w:szCs w:val="21"/>
                <w:highlight w:val="none"/>
              </w:rPr>
              <w:t>污泥处理系统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污泥进料泵</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离心泵：Q=10m3/h，H=10m，P=0.75KW</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04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叠螺脱水机</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绝干泥约90-150kg.DS/h，材质：不锈钢304</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六</w:t>
            </w:r>
          </w:p>
        </w:tc>
        <w:tc>
          <w:tcPr>
            <w:tcW w:w="7660" w:type="dxa"/>
            <w:gridSpan w:val="4"/>
            <w:vAlign w:val="center"/>
          </w:tcPr>
          <w:p>
            <w:pPr>
              <w:adjustRightInd/>
              <w:spacing w:before="60" w:after="60"/>
              <w:jc w:val="center"/>
              <w:rPr>
                <w:rFonts w:ascii="宋体" w:hAnsi="宋体" w:cs="宋体"/>
                <w:color w:val="auto"/>
                <w:szCs w:val="21"/>
                <w:highlight w:val="none"/>
              </w:rPr>
            </w:pPr>
            <w:r>
              <w:rPr>
                <w:rFonts w:hint="eastAsia" w:ascii="宋体" w:hAnsi="宋体" w:cs="宋体"/>
                <w:b/>
                <w:bCs/>
                <w:color w:val="auto"/>
                <w:szCs w:val="21"/>
                <w:highlight w:val="none"/>
              </w:rPr>
              <w:t>加药系统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絮凝剂制备装置</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1000L加药罐，PE（壁厚4.5mm），2台计量泵，Q=50L/h</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2套</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碱加药装置</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1000L加药罐，PE（壁厚4.5mm），2台计量泵，Q=40L/h</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PAC加药装置</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1000L加药罐，PE（壁厚4.5mm），2台计量泵，Q=40L/h</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4</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消毒加药装置</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1000L加药罐，PE（壁厚4.5mm），2台计量泵，Q=40L/h</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5</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消泡剂投加装置</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V=2000L，PE（壁厚4.5mm），消泡泵2台1 m³/h，H=49.5m，P=0.55kw</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6</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营养液投加装置</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V=1200L，PE（壁厚4.5mm），加药泵2台3.6m³/h，14.6m，0.37kw</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七</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电气及控制系统</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按设计配套</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八</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仪表</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按设计配套（含电磁流量计、液位计、压力传感器、压力表、浮子流量计等）</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九</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管道阀门</w:t>
            </w:r>
          </w:p>
        </w:tc>
        <w:tc>
          <w:tcPr>
            <w:tcW w:w="4192" w:type="dxa"/>
            <w:vAlign w:val="center"/>
          </w:tcPr>
          <w:p>
            <w:pPr>
              <w:adjustRightInd/>
              <w:spacing w:before="60" w:after="60"/>
              <w:jc w:val="both"/>
              <w:rPr>
                <w:rFonts w:ascii="宋体" w:hAnsi="宋体" w:cs="宋体"/>
                <w:color w:val="auto"/>
                <w:szCs w:val="21"/>
                <w:highlight w:val="none"/>
              </w:rPr>
            </w:pP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046"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5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十</w:t>
            </w:r>
          </w:p>
        </w:tc>
        <w:tc>
          <w:tcPr>
            <w:tcW w:w="1633"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设备照明</w:t>
            </w:r>
          </w:p>
        </w:tc>
        <w:tc>
          <w:tcPr>
            <w:tcW w:w="4192"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按设计需求配置</w:t>
            </w:r>
          </w:p>
        </w:tc>
        <w:tc>
          <w:tcPr>
            <w:tcW w:w="78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046" w:type="dxa"/>
            <w:vAlign w:val="center"/>
          </w:tcPr>
          <w:p>
            <w:pPr>
              <w:adjustRightInd/>
              <w:spacing w:before="60" w:after="60"/>
              <w:jc w:val="center"/>
              <w:rPr>
                <w:rFonts w:ascii="宋体" w:hAnsi="宋体" w:cs="宋体"/>
                <w:color w:val="auto"/>
                <w:szCs w:val="21"/>
                <w:highlight w:val="none"/>
              </w:rPr>
            </w:pPr>
          </w:p>
        </w:tc>
      </w:tr>
    </w:tbl>
    <w:p>
      <w:pPr>
        <w:pStyle w:val="46"/>
        <w:adjustRightInd/>
        <w:jc w:val="both"/>
        <w:rPr>
          <w:rStyle w:val="58"/>
          <w:rFonts w:hAnsi="宋体" w:cs="宋体"/>
          <w:color w:val="auto"/>
          <w:highlight w:val="none"/>
        </w:rPr>
      </w:pPr>
    </w:p>
    <w:p>
      <w:pPr>
        <w:pStyle w:val="6"/>
        <w:numPr>
          <w:ilvl w:val="1"/>
          <w:numId w:val="9"/>
        </w:numPr>
        <w:adjustRightInd/>
        <w:spacing w:line="360" w:lineRule="auto"/>
        <w:ind w:left="992" w:hanging="567"/>
        <w:jc w:val="both"/>
        <w:rPr>
          <w:rFonts w:ascii="宋体" w:hAnsi="宋体" w:eastAsia="宋体" w:cs="宋体"/>
          <w:color w:val="auto"/>
          <w:sz w:val="21"/>
          <w:szCs w:val="21"/>
          <w:highlight w:val="none"/>
        </w:rPr>
      </w:pPr>
      <w:bookmarkStart w:id="58" w:name="_Toc525687423"/>
      <w:bookmarkEnd w:id="58"/>
      <w:bookmarkStart w:id="59" w:name="_Toc524985794"/>
      <w:bookmarkEnd w:id="59"/>
      <w:bookmarkStart w:id="60" w:name="_Toc144892872"/>
      <w:bookmarkStart w:id="61" w:name="_Toc15493"/>
      <w:r>
        <w:rPr>
          <w:rFonts w:hint="eastAsia" w:ascii="宋体" w:hAnsi="宋体" w:eastAsia="宋体" w:cs="宋体"/>
          <w:color w:val="auto"/>
          <w:sz w:val="21"/>
          <w:szCs w:val="21"/>
          <w:highlight w:val="none"/>
        </w:rPr>
        <w:t>工作范围</w:t>
      </w:r>
      <w:bookmarkEnd w:id="60"/>
      <w:bookmarkEnd w:id="61"/>
    </w:p>
    <w:p>
      <w:pPr>
        <w:pStyle w:val="46"/>
        <w:adjustRightInd/>
        <w:jc w:val="both"/>
        <w:rPr>
          <w:rStyle w:val="58"/>
          <w:rFonts w:hAnsi="宋体" w:cs="宋体"/>
          <w:color w:val="auto"/>
          <w:highlight w:val="none"/>
        </w:rPr>
      </w:pPr>
      <w:r>
        <w:rPr>
          <w:rStyle w:val="58"/>
          <w:rFonts w:hint="eastAsia" w:hAnsi="宋体" w:cs="宋体"/>
          <w:color w:val="auto"/>
          <w:highlight w:val="none"/>
        </w:rPr>
        <w:t>中标人的工作范围包括但不限于下表4-1所列内容。</w:t>
      </w:r>
    </w:p>
    <w:p>
      <w:pPr>
        <w:adjustRightInd/>
        <w:ind w:left="368" w:hanging="367" w:hangingChars="175"/>
        <w:jc w:val="center"/>
        <w:rPr>
          <w:rStyle w:val="58"/>
          <w:rFonts w:hAnsi="宋体" w:cs="宋体"/>
          <w:color w:val="auto"/>
          <w:highlight w:val="none"/>
        </w:rPr>
      </w:pPr>
      <w:r>
        <w:rPr>
          <w:rStyle w:val="58"/>
          <w:rFonts w:hint="eastAsia" w:hAnsi="宋体" w:cs="宋体"/>
          <w:color w:val="auto"/>
          <w:highlight w:val="none"/>
        </w:rPr>
        <w:t>表4-1 工作服务范围一览表</w:t>
      </w:r>
    </w:p>
    <w:tbl>
      <w:tblPr>
        <w:tblStyle w:val="34"/>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116"/>
        <w:gridCol w:w="2930"/>
        <w:gridCol w:w="1110"/>
        <w:gridCol w:w="1110"/>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1116" w:type="dxa"/>
            <w:shd w:val="clear" w:color="auto" w:fill="FFFFFF" w:themeFill="background1"/>
            <w:vAlign w:val="center"/>
          </w:tcPr>
          <w:p>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930" w:type="dxa"/>
            <w:shd w:val="clear" w:color="auto" w:fill="FFFFFF" w:themeFill="background1"/>
            <w:vAlign w:val="center"/>
          </w:tcPr>
          <w:p>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工作描述</w:t>
            </w:r>
          </w:p>
        </w:tc>
        <w:tc>
          <w:tcPr>
            <w:tcW w:w="1110" w:type="dxa"/>
            <w:shd w:val="clear" w:color="auto" w:fill="FFFFFF" w:themeFill="background1"/>
            <w:vAlign w:val="center"/>
          </w:tcPr>
          <w:p>
            <w:pPr>
              <w:pStyle w:val="2"/>
              <w:adjustRightInd/>
              <w:spacing w:before="60" w:after="60"/>
              <w:ind w:left="0"/>
              <w:jc w:val="center"/>
              <w:rPr>
                <w:b/>
                <w:bCs/>
                <w:color w:val="auto"/>
                <w:sz w:val="21"/>
                <w:szCs w:val="21"/>
                <w:highlight w:val="none"/>
              </w:rPr>
            </w:pPr>
            <w:r>
              <w:rPr>
                <w:rFonts w:hint="eastAsia"/>
                <w:b/>
                <w:bCs/>
                <w:color w:val="auto"/>
                <w:sz w:val="21"/>
                <w:szCs w:val="21"/>
                <w:highlight w:val="none"/>
              </w:rPr>
              <w:t>采购人</w:t>
            </w:r>
          </w:p>
        </w:tc>
        <w:tc>
          <w:tcPr>
            <w:tcW w:w="1110" w:type="dxa"/>
            <w:shd w:val="clear" w:color="auto" w:fill="FFFFFF" w:themeFill="background1"/>
            <w:vAlign w:val="center"/>
          </w:tcPr>
          <w:p>
            <w:pPr>
              <w:pStyle w:val="2"/>
              <w:adjustRightInd/>
              <w:spacing w:before="60" w:after="60"/>
              <w:ind w:left="0"/>
              <w:jc w:val="center"/>
              <w:rPr>
                <w:b/>
                <w:bCs/>
                <w:color w:val="auto"/>
                <w:sz w:val="21"/>
                <w:szCs w:val="21"/>
                <w:highlight w:val="none"/>
              </w:rPr>
            </w:pPr>
            <w:r>
              <w:rPr>
                <w:rFonts w:hint="eastAsia"/>
                <w:b/>
                <w:bCs/>
                <w:color w:val="auto"/>
                <w:sz w:val="21"/>
                <w:szCs w:val="21"/>
                <w:highlight w:val="none"/>
              </w:rPr>
              <w:t>中标人</w:t>
            </w:r>
          </w:p>
        </w:tc>
        <w:tc>
          <w:tcPr>
            <w:tcW w:w="2914" w:type="dxa"/>
            <w:shd w:val="clear" w:color="auto" w:fill="FFFFFF" w:themeFill="background1"/>
            <w:vAlign w:val="center"/>
          </w:tcPr>
          <w:p>
            <w:pPr>
              <w:pStyle w:val="2"/>
              <w:adjustRightInd/>
              <w:spacing w:before="60" w:after="60"/>
              <w:ind w:left="0"/>
              <w:jc w:val="center"/>
              <w:rPr>
                <w:b/>
                <w:bCs/>
                <w:color w:val="auto"/>
                <w:sz w:val="21"/>
                <w:szCs w:val="21"/>
                <w:highlight w:val="none"/>
              </w:rPr>
            </w:pPr>
            <w:r>
              <w:rPr>
                <w:rFonts w:hint="eastAsia"/>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一</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基本工作内容</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设备设计</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设备供货，含保险、运输等</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施工安装</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1.4</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调试、性能测试</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1.5</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二次预埋件</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1.6</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技术资料</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1.6.1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设备说明书</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1.6.2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操作维护手册</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二</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设备供货范围</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污水处理设备及其控制单元</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2.1.1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隔油、格栅</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2.1.2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调节池设备</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含消毒加药系统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2.1.3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预处理混凝沉淀单元</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2.1.4</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水解酸化及两级A/O生化单元</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2.1.5</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超滤单元</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2.1.6</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纳滤单元</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2.1.7</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污泥处理单元</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2.1.8</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加药单元</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2.1.9</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电气控制系统</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2.1.10</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管道及五金辅材等</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备品备件</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一年期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专用工具</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三</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施工安装</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施工、安装</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设备材料装卸、安装</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3.2.1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设备接收、卸车至指定场地</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3.2.2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设备及材料现场存放管理</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3.2.3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存放至安装现场的二次转运</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3.2.4</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所有临时及永久性设施的吊装</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3.2.5</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组装、定位、螺栓锚固、灌浆、找平</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3.2.6</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检验与校准</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检验测试</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3.3.1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调试/测试计划</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3.3.2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启动前检查</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3.3.3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点动试验</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3.3.4</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单机测试</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3.4</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现场安全管理</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3.4.1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现场清理，废物处理外运</w:t>
            </w:r>
          </w:p>
        </w:tc>
        <w:tc>
          <w:tcPr>
            <w:tcW w:w="1110" w:type="dxa"/>
            <w:shd w:val="clear" w:color="auto" w:fill="FFFFFF" w:themeFill="background1"/>
            <w:vAlign w:val="center"/>
          </w:tcPr>
          <w:p>
            <w:pPr>
              <w:adjustRightInd/>
              <w:ind w:firstLine="420" w:firstLineChars="200"/>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项目管理</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3.4.3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进度计划</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3.4.4</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记录</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3.4.5</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月/周报告</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3.4.6</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照片</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3.4.7</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往来函件</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3.4.8</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竣工图纸</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3.5</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质量保证</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3.5.1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质量体系与质量计划</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3.5.2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质量程序</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3.5.3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生产过程检测</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3.5.4</w:t>
            </w:r>
          </w:p>
        </w:tc>
        <w:tc>
          <w:tcPr>
            <w:tcW w:w="2930" w:type="dxa"/>
            <w:shd w:val="clear" w:color="auto" w:fill="FFFFFF" w:themeFill="background1"/>
            <w:vAlign w:val="center"/>
          </w:tcPr>
          <w:p>
            <w:pPr>
              <w:adjustRightInd/>
              <w:rPr>
                <w:rFonts w:ascii="宋体" w:hAnsi="宋体" w:cs="宋体"/>
                <w:color w:val="auto"/>
                <w:szCs w:val="21"/>
                <w:highlight w:val="none"/>
              </w:rPr>
            </w:pPr>
            <w:r>
              <w:rPr>
                <w:rFonts w:hint="eastAsia" w:ascii="宋体" w:hAnsi="宋体" w:cs="宋体"/>
                <w:color w:val="auto"/>
                <w:szCs w:val="21"/>
                <w:highlight w:val="none"/>
              </w:rPr>
              <w:t>承包商计划（如项目管理计划，人力资源计划，设计计划，生产计划，质量计划，安全健康计划，应急响应计划）</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3.6</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现场设施与现场管理</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3.6.1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临时办公室（空）的搭设与拆除</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3.6.2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临时会议室</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3.6.3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家具及办公设施、用品</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3.7</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其它设施</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3.7.1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项目临时堆场、通道、工地</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3.7.2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爬梯，脚手架，工作平台</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3.7.3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现场照明</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3.7.4</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广告牌，临时围闭，标示牌，公告板</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3.7.5</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现场清理与整洁，含清运费</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3.7.6</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每日清理</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3.7.7</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每周整洁</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3.7.8</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施工结束时拆除，回收现场所有临时设施</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3.7.9</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施工结束时清理现场</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3.8</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现场保安</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3.8.1</w:t>
            </w:r>
          </w:p>
        </w:tc>
        <w:tc>
          <w:tcPr>
            <w:tcW w:w="2930" w:type="dxa"/>
            <w:shd w:val="clear" w:color="auto" w:fill="FFFFFF" w:themeFill="background1"/>
            <w:vAlign w:val="center"/>
          </w:tcPr>
          <w:p>
            <w:pPr>
              <w:adjustRightInd/>
              <w:rPr>
                <w:rFonts w:ascii="宋体" w:hAnsi="宋体" w:cs="宋体"/>
                <w:color w:val="auto"/>
                <w:szCs w:val="21"/>
                <w:highlight w:val="none"/>
              </w:rPr>
            </w:pPr>
            <w:r>
              <w:rPr>
                <w:rFonts w:hint="eastAsia" w:ascii="宋体" w:hAnsi="宋体" w:cs="宋体"/>
                <w:color w:val="auto"/>
                <w:szCs w:val="21"/>
                <w:highlight w:val="none"/>
              </w:rPr>
              <w:t>全场保安室，机动车栏杆，现场进出通道控制，大门</w:t>
            </w: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3.8.2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存放/预制组装区域防盗围栏保安</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3.8.3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已完工设施的保护</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3.9</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安全与环境管理</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3.9.1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安全专员与监督员</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3.9.2</w:t>
            </w:r>
          </w:p>
        </w:tc>
        <w:tc>
          <w:tcPr>
            <w:tcW w:w="2930" w:type="dxa"/>
            <w:shd w:val="clear" w:color="auto" w:fill="FFFFFF" w:themeFill="background1"/>
            <w:vAlign w:val="center"/>
          </w:tcPr>
          <w:p>
            <w:pPr>
              <w:adjustRightInd/>
              <w:rPr>
                <w:rFonts w:ascii="宋体" w:hAnsi="宋体" w:cs="宋体"/>
                <w:color w:val="auto"/>
                <w:szCs w:val="21"/>
                <w:highlight w:val="none"/>
              </w:rPr>
            </w:pPr>
            <w:r>
              <w:rPr>
                <w:rFonts w:hint="eastAsia" w:ascii="宋体" w:hAnsi="宋体" w:cs="宋体"/>
                <w:color w:val="auto"/>
                <w:szCs w:val="21"/>
                <w:highlight w:val="none"/>
              </w:rPr>
              <w:t>现场雇员及劳工安全防护设备</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3.9.3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安全健康计划</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3.9.4</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参加现场每周安全巡检</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3.10</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提供安全培训</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3.10.1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安全入场培训</w:t>
            </w: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3.10.2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安全三级教育</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3.10.3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安全工具箱会议</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3.10.4</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环境影响缓解措施</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3.10.5</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环境污染处理措施</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3.10.6</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垃圾管理</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3.10.7</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参加每周环境巡检</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3.10.8</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提供环境培训</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3.10.9</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环境保护入场培训</w:t>
            </w: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3.10.10</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环境保护三级教育</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连接与消耗</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3.11.1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临时电连接</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至一级配电箱（含），采购人提供箱变接入位置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3.11.2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临时生活用水连接</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至现场临时生活水连接点，采购人提供接驳点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3.11.3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临时污水连接</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至现场临时污水排放连接点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3.11.4</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施工用电消耗</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3.11.5</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施工用水消耗</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3.11.6</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首次润滑油、液压油</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3.11.7</w:t>
            </w:r>
          </w:p>
        </w:tc>
        <w:tc>
          <w:tcPr>
            <w:tcW w:w="2930" w:type="dxa"/>
            <w:shd w:val="clear" w:color="auto" w:fill="FFFFFF" w:themeFill="background1"/>
            <w:vAlign w:val="center"/>
          </w:tcPr>
          <w:p>
            <w:pPr>
              <w:adjustRightInd/>
              <w:rPr>
                <w:rFonts w:ascii="宋体" w:hAnsi="宋体" w:cs="宋体"/>
                <w:color w:val="auto"/>
                <w:szCs w:val="21"/>
                <w:highlight w:val="none"/>
              </w:rPr>
            </w:pPr>
            <w:r>
              <w:rPr>
                <w:rFonts w:hint="eastAsia" w:ascii="宋体" w:hAnsi="宋体" w:cs="宋体"/>
                <w:color w:val="auto"/>
                <w:szCs w:val="21"/>
                <w:highlight w:val="none"/>
              </w:rPr>
              <w:t>调试用公用工程（水、电、气、汽等）</w:t>
            </w: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3.11.8</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调试过程中的垃圾</w:t>
            </w: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3.11.9</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施工现场临时消防器具</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3.11.10</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首次测量仪表标定</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3.11.11</w:t>
            </w:r>
          </w:p>
        </w:tc>
        <w:tc>
          <w:tcPr>
            <w:tcW w:w="2930" w:type="dxa"/>
            <w:shd w:val="clear" w:color="auto" w:fill="FFFFFF" w:themeFill="background1"/>
            <w:vAlign w:val="center"/>
          </w:tcPr>
          <w:p>
            <w:pPr>
              <w:adjustRightInd/>
              <w:rPr>
                <w:rFonts w:ascii="宋体" w:hAnsi="宋体" w:cs="宋体"/>
                <w:color w:val="auto"/>
                <w:szCs w:val="21"/>
                <w:highlight w:val="none"/>
              </w:rPr>
            </w:pPr>
            <w:r>
              <w:rPr>
                <w:rFonts w:hint="eastAsia" w:ascii="宋体" w:hAnsi="宋体" w:cs="宋体"/>
                <w:color w:val="auto"/>
                <w:szCs w:val="21"/>
                <w:highlight w:val="none"/>
              </w:rPr>
              <w:t>进口设备/材料法定检验（如果有）</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3.11.12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技术文档</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培训</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3.12.1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作为人力资源计划的一部分，提交培训计划</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3.12.2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采购人操作及维修人员培训</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商务</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3.13.1</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保险</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3.13.2</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建筑安装工程一切保险</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3.13.3</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第三方责任险</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3.13.4</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机动车保险</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中标人车辆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3.13.5</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货物运输保险</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3.13.6</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员工人身意外险</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中标人员工及供货商设施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16"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3.13.7</w:t>
            </w:r>
          </w:p>
        </w:tc>
        <w:tc>
          <w:tcPr>
            <w:tcW w:w="293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税，规费和其它费用</w:t>
            </w:r>
          </w:p>
        </w:tc>
        <w:tc>
          <w:tcPr>
            <w:tcW w:w="1110" w:type="dxa"/>
            <w:shd w:val="clear" w:color="auto" w:fill="FFFFFF" w:themeFill="background1"/>
            <w:vAlign w:val="center"/>
          </w:tcPr>
          <w:p>
            <w:pPr>
              <w:adjustRightInd/>
              <w:jc w:val="center"/>
              <w:rPr>
                <w:rFonts w:ascii="宋体" w:hAnsi="宋体" w:cs="宋体"/>
                <w:color w:val="auto"/>
                <w:szCs w:val="21"/>
                <w:highlight w:val="none"/>
              </w:rPr>
            </w:pPr>
          </w:p>
        </w:tc>
        <w:tc>
          <w:tcPr>
            <w:tcW w:w="1110" w:type="dxa"/>
            <w:shd w:val="clear" w:color="auto" w:fill="FFFFFF" w:themeFill="background1"/>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w:t>
            </w:r>
          </w:p>
        </w:tc>
        <w:tc>
          <w:tcPr>
            <w:tcW w:w="2914" w:type="dxa"/>
            <w:shd w:val="clear" w:color="auto" w:fill="FFFFFF" w:themeFill="background1"/>
            <w:vAlign w:val="center"/>
          </w:tcPr>
          <w:p>
            <w:pPr>
              <w:adjustRightInd/>
              <w:jc w:val="center"/>
              <w:rPr>
                <w:rFonts w:ascii="宋体" w:hAnsi="宋体" w:cs="宋体"/>
                <w:color w:val="auto"/>
                <w:szCs w:val="21"/>
                <w:highlight w:val="none"/>
              </w:rPr>
            </w:pPr>
          </w:p>
        </w:tc>
      </w:tr>
    </w:tbl>
    <w:p>
      <w:pPr>
        <w:pStyle w:val="6"/>
        <w:numPr>
          <w:ilvl w:val="1"/>
          <w:numId w:val="9"/>
        </w:numPr>
        <w:adjustRightInd/>
        <w:spacing w:line="360" w:lineRule="auto"/>
        <w:ind w:left="992" w:hanging="567"/>
        <w:jc w:val="both"/>
        <w:rPr>
          <w:rFonts w:ascii="宋体" w:hAnsi="宋体" w:eastAsia="宋体" w:cs="宋体"/>
          <w:color w:val="auto"/>
          <w:sz w:val="21"/>
          <w:szCs w:val="21"/>
          <w:highlight w:val="none"/>
        </w:rPr>
      </w:pPr>
      <w:bookmarkStart w:id="62" w:name="_Toc26299"/>
      <w:bookmarkStart w:id="63" w:name="_Toc144892873"/>
      <w:r>
        <w:rPr>
          <w:rFonts w:hint="eastAsia" w:ascii="宋体" w:hAnsi="宋体" w:eastAsia="宋体" w:cs="宋体"/>
          <w:color w:val="auto"/>
          <w:sz w:val="21"/>
          <w:szCs w:val="21"/>
          <w:highlight w:val="none"/>
        </w:rPr>
        <w:t>中标人职责</w:t>
      </w:r>
      <w:bookmarkEnd w:id="62"/>
      <w:bookmarkEnd w:id="63"/>
    </w:p>
    <w:p>
      <w:pPr>
        <w:pStyle w:val="7"/>
        <w:numPr>
          <w:ilvl w:val="2"/>
          <w:numId w:val="10"/>
        </w:numPr>
        <w:adjustRightInd/>
        <w:spacing w:line="360" w:lineRule="auto"/>
        <w:jc w:val="both"/>
        <w:rPr>
          <w:rFonts w:ascii="宋体" w:hAnsi="宋体" w:cs="宋体"/>
          <w:color w:val="auto"/>
          <w:sz w:val="21"/>
          <w:szCs w:val="21"/>
          <w:highlight w:val="none"/>
        </w:rPr>
      </w:pPr>
      <w:bookmarkStart w:id="64" w:name="_Toc524875741"/>
      <w:bookmarkStart w:id="65" w:name="_Toc524985797"/>
      <w:bookmarkStart w:id="66" w:name="_Toc525687426"/>
      <w:bookmarkStart w:id="67" w:name="_Toc21799"/>
      <w:bookmarkStart w:id="68" w:name="_Toc144892874"/>
      <w:bookmarkStart w:id="69" w:name="_Toc14040238"/>
      <w:r>
        <w:rPr>
          <w:rFonts w:hint="eastAsia" w:ascii="宋体" w:hAnsi="宋体" w:cs="宋体"/>
          <w:color w:val="auto"/>
          <w:sz w:val="21"/>
          <w:szCs w:val="21"/>
          <w:highlight w:val="none"/>
        </w:rPr>
        <w:t>中标人的职责</w:t>
      </w:r>
      <w:bookmarkEnd w:id="64"/>
      <w:bookmarkEnd w:id="65"/>
      <w:bookmarkEnd w:id="66"/>
      <w:bookmarkEnd w:id="67"/>
      <w:bookmarkEnd w:id="68"/>
      <w:bookmarkEnd w:id="69"/>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本合同中标人需按合同文件的各条款履行合同，其中至少包括如下职责：</w:t>
      </w:r>
    </w:p>
    <w:p>
      <w:pPr>
        <w:pStyle w:val="2"/>
        <w:numPr>
          <w:ilvl w:val="0"/>
          <w:numId w:val="11"/>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中标人需服从采购人的总体管理，配合采购人完成各项工作，共同实现项目的总体目标。</w:t>
      </w:r>
    </w:p>
    <w:p>
      <w:pPr>
        <w:pStyle w:val="2"/>
        <w:numPr>
          <w:ilvl w:val="0"/>
          <w:numId w:val="11"/>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中标人在履行合同过程中应遵守法律，并保证采购人免于承担因中标人违反法律而引起的任何责任。</w:t>
      </w:r>
    </w:p>
    <w:p>
      <w:pPr>
        <w:pStyle w:val="2"/>
        <w:numPr>
          <w:ilvl w:val="0"/>
          <w:numId w:val="11"/>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中标人应根据其最佳知识和经验来完成系统集成和设备供货，同时适当考虑同类项目业绩的性能结果。无论本技术说明如何描述，中标人应对集成功能保证范围内系统的功能负责。</w:t>
      </w:r>
    </w:p>
    <w:p>
      <w:pPr>
        <w:pStyle w:val="2"/>
        <w:numPr>
          <w:ilvl w:val="0"/>
          <w:numId w:val="11"/>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中标人须对本合同内全部设备、工程材料的质量品质负责；按国家法律和标准规范要求须送检样品由中标人负责，并承担相关费用；中标人按采购人要求提供设备技术协议。</w:t>
      </w:r>
    </w:p>
    <w:p>
      <w:pPr>
        <w:pStyle w:val="2"/>
        <w:numPr>
          <w:ilvl w:val="0"/>
          <w:numId w:val="11"/>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中标人须对本合同内全部设备、合同内各系统联动运行的可靠性和各系统的处理效果负责，确保功能的实现。</w:t>
      </w:r>
    </w:p>
    <w:p>
      <w:pPr>
        <w:pStyle w:val="2"/>
        <w:numPr>
          <w:ilvl w:val="0"/>
          <w:numId w:val="11"/>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由于设备质量缺项、电气控制设施等缺陷造成系统达不到采购文件规定的要求时，中标人应负其责任。</w:t>
      </w:r>
    </w:p>
    <w:p>
      <w:pPr>
        <w:pStyle w:val="2"/>
        <w:numPr>
          <w:ilvl w:val="0"/>
          <w:numId w:val="11"/>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必须确保集成功能保证范围内系统良好联动运行（包括自动控制），应确保集成功能保证范围内系统功能的实现，并提供属于本合同的所有设备附件及备件。如果中标人在投标时发现本采购文件和招标图纸中的技术规范存在缺陷，并将妨碍上述要求的实现，中标人有义务明确提出修正建议，但必须征得采购人的同意，决定是否采纳。</w:t>
      </w:r>
    </w:p>
    <w:p>
      <w:pPr>
        <w:pStyle w:val="2"/>
        <w:numPr>
          <w:ilvl w:val="0"/>
          <w:numId w:val="11"/>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中标人必须对设备的制造、供货、工厂测试、油漆、包装和运输负责，并需负责设备安装、检查和验收。</w:t>
      </w:r>
    </w:p>
    <w:p>
      <w:pPr>
        <w:pStyle w:val="2"/>
        <w:numPr>
          <w:ilvl w:val="0"/>
          <w:numId w:val="11"/>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中标人需负责对不合格的设备进行更换。</w:t>
      </w:r>
    </w:p>
    <w:p>
      <w:pPr>
        <w:pStyle w:val="2"/>
        <w:numPr>
          <w:ilvl w:val="0"/>
          <w:numId w:val="11"/>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中标人需对设备交付验收、工程验收负责。</w:t>
      </w:r>
    </w:p>
    <w:p>
      <w:pPr>
        <w:pStyle w:val="2"/>
        <w:numPr>
          <w:ilvl w:val="0"/>
          <w:numId w:val="11"/>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中标人需负责设备的单机调试、联动调试、带料调试、系统性能保证测试以及在此期间内的设备检测、维护， 保证系统的运行达到采购文件的要求。</w:t>
      </w:r>
    </w:p>
    <w:p>
      <w:pPr>
        <w:pStyle w:val="2"/>
        <w:numPr>
          <w:ilvl w:val="0"/>
          <w:numId w:val="11"/>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中标人需负责设备考察、工厂验收、设计联络等。</w:t>
      </w:r>
    </w:p>
    <w:p>
      <w:pPr>
        <w:pStyle w:val="7"/>
        <w:numPr>
          <w:ilvl w:val="2"/>
          <w:numId w:val="10"/>
        </w:numPr>
        <w:adjustRightInd/>
        <w:spacing w:line="360" w:lineRule="auto"/>
        <w:jc w:val="both"/>
        <w:rPr>
          <w:rFonts w:ascii="宋体" w:hAnsi="宋体" w:cs="宋体"/>
          <w:color w:val="auto"/>
          <w:sz w:val="21"/>
          <w:szCs w:val="21"/>
          <w:highlight w:val="none"/>
        </w:rPr>
      </w:pPr>
      <w:bookmarkStart w:id="70" w:name="_Toc144892875"/>
      <w:bookmarkStart w:id="71" w:name="_Toc28715"/>
      <w:bookmarkStart w:id="72" w:name="_Toc14040239"/>
      <w:bookmarkStart w:id="73" w:name="_Toc524985798"/>
      <w:bookmarkStart w:id="74" w:name="_Toc524875742"/>
      <w:bookmarkStart w:id="75" w:name="_Toc525687427"/>
      <w:r>
        <w:rPr>
          <w:rFonts w:hint="eastAsia" w:ascii="宋体" w:hAnsi="宋体" w:cs="宋体"/>
          <w:color w:val="auto"/>
          <w:sz w:val="21"/>
          <w:szCs w:val="21"/>
          <w:highlight w:val="none"/>
        </w:rPr>
        <w:t>设备提供</w:t>
      </w:r>
      <w:bookmarkEnd w:id="70"/>
      <w:bookmarkEnd w:id="71"/>
      <w:bookmarkEnd w:id="72"/>
      <w:bookmarkEnd w:id="73"/>
      <w:bookmarkEnd w:id="74"/>
      <w:bookmarkEnd w:id="75"/>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中标人需提供本采购文件中指明供货范围内的所有机械设备、电气设备、自动控制设备、仪表、闸门和阀门及其他附属部件，及在采购文件中虽没有指明，但仍属于设备配套运行不可缺少的所有附件。</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凡为达到工程目的所需的招标范围内的各项设备及其有关部件，虽未详列在本技术规范中，仍应包括在各项设备中。中标人不得借故予以变更或要求增加费用。中标人应在无追加费用的条件下，完善承包的合同内容，高质量地完成整个承包合同。</w:t>
      </w:r>
    </w:p>
    <w:p>
      <w:pPr>
        <w:pStyle w:val="7"/>
        <w:numPr>
          <w:ilvl w:val="2"/>
          <w:numId w:val="10"/>
        </w:numPr>
        <w:adjustRightInd/>
        <w:spacing w:line="360" w:lineRule="auto"/>
        <w:jc w:val="both"/>
        <w:rPr>
          <w:rFonts w:ascii="宋体" w:hAnsi="宋体" w:cs="宋体"/>
          <w:color w:val="auto"/>
          <w:sz w:val="21"/>
          <w:szCs w:val="21"/>
          <w:highlight w:val="none"/>
        </w:rPr>
      </w:pPr>
      <w:bookmarkStart w:id="76" w:name="_Toc525687428"/>
      <w:bookmarkStart w:id="77" w:name="_Toc144892876"/>
      <w:bookmarkStart w:id="78" w:name="_Toc14040240"/>
      <w:bookmarkStart w:id="79" w:name="_Toc9202"/>
      <w:bookmarkStart w:id="80" w:name="_Toc524875743"/>
      <w:bookmarkStart w:id="81" w:name="_Toc524985799"/>
      <w:r>
        <w:rPr>
          <w:rFonts w:hint="eastAsia" w:ascii="宋体" w:hAnsi="宋体" w:cs="宋体"/>
          <w:color w:val="auto"/>
          <w:sz w:val="21"/>
          <w:szCs w:val="21"/>
          <w:highlight w:val="none"/>
        </w:rPr>
        <w:t>专用工具、易损件、备品备件</w:t>
      </w:r>
      <w:bookmarkEnd w:id="76"/>
      <w:bookmarkEnd w:id="77"/>
      <w:bookmarkEnd w:id="78"/>
      <w:bookmarkEnd w:id="79"/>
      <w:bookmarkEnd w:id="80"/>
      <w:bookmarkEnd w:id="81"/>
    </w:p>
    <w:p>
      <w:pPr>
        <w:pStyle w:val="2"/>
        <w:numPr>
          <w:ilvl w:val="0"/>
          <w:numId w:val="12"/>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随机备品、备件和专用工具是生产厂家根据其产品的实际情况，随产品一起向采购人提供，其价格包含在设备的出厂价内的。要求提供的备品、备件和专用工具是采购人根据今后购买备品、备件和专用工具的方便性及可能性而在随机备品、备件和专用工具之外，另外提出的附加购置要求。中标人应确保要求提供的备品、备件和专用工具备有足够的存货，以保证设备和备品、备件及易损件的仓库供货，并承诺质量保证期内保证以不高于本表列明的价格提供备品、备件和专用工具，如果市场价格下调，则按下调的价格提供备品、备件。</w:t>
      </w:r>
    </w:p>
    <w:p>
      <w:pPr>
        <w:pStyle w:val="2"/>
        <w:numPr>
          <w:ilvl w:val="0"/>
          <w:numId w:val="12"/>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如设备维修和保养需要特殊专用工具，则需提供至少两套专用工具；另根据工作需要提供至少两套通用维修工具。维修工具应放置在专用工具包内。维修工具的价格计入投标报价。</w:t>
      </w:r>
    </w:p>
    <w:p>
      <w:pPr>
        <w:pStyle w:val="2"/>
        <w:numPr>
          <w:ilvl w:val="0"/>
          <w:numId w:val="12"/>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附件和工具应是新的、从未使用过，并应与设备同时交付给采购人。除非采购人特殊要求，中标人应示范工具与附件的使用方法。执行合同所需的附件和工具由中标人提供。</w:t>
      </w:r>
    </w:p>
    <w:p>
      <w:pPr>
        <w:pStyle w:val="2"/>
        <w:numPr>
          <w:ilvl w:val="0"/>
          <w:numId w:val="12"/>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在完成供货、安装和取得验收证书之前，中标人应更换或修理好由于其安装而造成磨损或损坏的部件。</w:t>
      </w:r>
    </w:p>
    <w:p>
      <w:pPr>
        <w:pStyle w:val="2"/>
        <w:numPr>
          <w:ilvl w:val="0"/>
          <w:numId w:val="12"/>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附件应与主要设备分开包装，或置于设计为在规定的环境条件下能保存很长时间的箱子内。任何不能按照以上方式包装的部件则应涂装临时保护层以防腐，并避免机械损害。所有附件应用简要的描述和部件号标识清楚。</w:t>
      </w:r>
    </w:p>
    <w:p>
      <w:pPr>
        <w:pStyle w:val="2"/>
        <w:numPr>
          <w:ilvl w:val="0"/>
          <w:numId w:val="12"/>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法兰、密封垫、管接头、螺栓和螺母、电缆接头、接线箱等所有附件均包括在供货范围内。所有连接件应按 ISO 标准制造，所有附件的材料、密封垫片的厚度应确保其密封性、耐用性、耐腐蚀和抗老化。密封垫应适当剪切，无多余边露出法兰。</w:t>
      </w:r>
    </w:p>
    <w:p>
      <w:pPr>
        <w:pStyle w:val="2"/>
        <w:numPr>
          <w:ilvl w:val="0"/>
          <w:numId w:val="12"/>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在设备质量保证期内如果由于设备缺陷造成设备零部件磨损，中标人应免费负责更换。明确由于采购人误操作等采购人人为因素导致的设备损坏，不在此范围内。</w:t>
      </w:r>
    </w:p>
    <w:p>
      <w:pPr>
        <w:pStyle w:val="2"/>
        <w:numPr>
          <w:ilvl w:val="0"/>
          <w:numId w:val="12"/>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严格按照招标需求及投标文件中所列备品备件清单供货。</w:t>
      </w:r>
    </w:p>
    <w:p>
      <w:pPr>
        <w:pStyle w:val="7"/>
        <w:numPr>
          <w:ilvl w:val="2"/>
          <w:numId w:val="10"/>
        </w:numPr>
        <w:adjustRightInd/>
        <w:spacing w:line="360" w:lineRule="auto"/>
        <w:jc w:val="both"/>
        <w:rPr>
          <w:rFonts w:ascii="宋体" w:hAnsi="宋体" w:cs="宋体"/>
          <w:color w:val="auto"/>
          <w:sz w:val="21"/>
          <w:szCs w:val="21"/>
          <w:highlight w:val="none"/>
        </w:rPr>
      </w:pPr>
      <w:bookmarkStart w:id="82" w:name="_Toc524875744"/>
      <w:bookmarkStart w:id="83" w:name="_Toc14040241"/>
      <w:bookmarkStart w:id="84" w:name="_Toc524985800"/>
      <w:bookmarkStart w:id="85" w:name="_Toc4890"/>
      <w:bookmarkStart w:id="86" w:name="_Toc525687429"/>
      <w:bookmarkStart w:id="87" w:name="_Toc144892877"/>
      <w:r>
        <w:rPr>
          <w:rFonts w:hint="eastAsia" w:ascii="宋体" w:hAnsi="宋体" w:cs="宋体"/>
          <w:color w:val="auto"/>
          <w:sz w:val="21"/>
          <w:szCs w:val="21"/>
          <w:highlight w:val="none"/>
        </w:rPr>
        <w:t>设备考察、工厂验收和设计联络</w:t>
      </w:r>
      <w:bookmarkEnd w:id="82"/>
      <w:bookmarkEnd w:id="83"/>
      <w:bookmarkEnd w:id="84"/>
      <w:bookmarkEnd w:id="85"/>
      <w:bookmarkEnd w:id="86"/>
      <w:bookmarkEnd w:id="87"/>
    </w:p>
    <w:p>
      <w:pPr>
        <w:pStyle w:val="2"/>
        <w:numPr>
          <w:ilvl w:val="0"/>
          <w:numId w:val="13"/>
        </w:numPr>
        <w:adjustRightInd w:val="0"/>
        <w:spacing w:before="60" w:after="60"/>
        <w:ind w:left="0" w:right="113" w:firstLine="420" w:firstLineChars="200"/>
        <w:jc w:val="both"/>
        <w:rPr>
          <w:color w:val="auto"/>
          <w:sz w:val="21"/>
          <w:szCs w:val="21"/>
          <w:highlight w:val="none"/>
        </w:rPr>
      </w:pPr>
      <w:r>
        <w:rPr>
          <w:rFonts w:hint="eastAsia"/>
          <w:color w:val="auto"/>
          <w:sz w:val="21"/>
          <w:szCs w:val="21"/>
          <w:highlight w:val="none"/>
        </w:rPr>
        <w:t>中标人所有外购设备厂家，必须经ISO9001质量管理体系和ISO14001环境管理体系认证，以确保产品质量，供货时须提供相关资格文件。</w:t>
      </w:r>
    </w:p>
    <w:p>
      <w:pPr>
        <w:pStyle w:val="2"/>
        <w:numPr>
          <w:ilvl w:val="0"/>
          <w:numId w:val="13"/>
        </w:numPr>
        <w:adjustRightInd w:val="0"/>
        <w:spacing w:before="60" w:after="60"/>
        <w:ind w:left="0" w:right="113" w:firstLine="420" w:firstLineChars="200"/>
        <w:jc w:val="both"/>
        <w:rPr>
          <w:color w:val="auto"/>
          <w:sz w:val="21"/>
          <w:szCs w:val="21"/>
          <w:highlight w:val="none"/>
        </w:rPr>
      </w:pPr>
      <w:r>
        <w:rPr>
          <w:rFonts w:hint="eastAsia"/>
          <w:color w:val="auto"/>
          <w:sz w:val="21"/>
          <w:szCs w:val="21"/>
          <w:highlight w:val="none"/>
        </w:rPr>
        <w:t>如采购人需要，中标人需安排采购人及其代表对主要设备的运行进行实地考察，了解类似已运行工程中上述设备的安装及运行情况。</w:t>
      </w:r>
    </w:p>
    <w:p>
      <w:pPr>
        <w:pStyle w:val="2"/>
        <w:numPr>
          <w:ilvl w:val="0"/>
          <w:numId w:val="13"/>
        </w:numPr>
        <w:adjustRightInd w:val="0"/>
        <w:spacing w:before="60" w:after="60"/>
        <w:ind w:left="0" w:right="113" w:firstLine="420" w:firstLineChars="200"/>
        <w:jc w:val="both"/>
        <w:rPr>
          <w:color w:val="auto"/>
          <w:sz w:val="21"/>
          <w:szCs w:val="21"/>
          <w:highlight w:val="none"/>
        </w:rPr>
      </w:pPr>
      <w:r>
        <w:rPr>
          <w:rFonts w:hint="eastAsia"/>
          <w:color w:val="auto"/>
          <w:sz w:val="21"/>
          <w:szCs w:val="21"/>
          <w:highlight w:val="none"/>
        </w:rPr>
        <w:t>所有的设备应按本合同要求在制造厂检查和试验，以表明其运行性能以及设备、材料和结构的完整性。采购人有权派员参加工厂监造及验收。工厂验收应在设备制造厂进行了充分的检查、校正和试验之后实施。工厂验收合格仅表示采购人同意设备出厂运至使用现场，而非最终验收，中标人应提交设备的具体测试合格证书。采购人参加国内设备的工厂验收人数和时间由中标人提出，经采购人同意。中标人应根据设备制造进度，在工厂验收前一周向采购人发出工厂验收时间和安排。</w:t>
      </w:r>
    </w:p>
    <w:p>
      <w:pPr>
        <w:pStyle w:val="2"/>
        <w:numPr>
          <w:ilvl w:val="0"/>
          <w:numId w:val="13"/>
        </w:numPr>
        <w:adjustRightInd w:val="0"/>
        <w:spacing w:before="60" w:after="60"/>
        <w:ind w:left="0" w:right="113" w:firstLine="420" w:firstLineChars="200"/>
        <w:jc w:val="both"/>
        <w:rPr>
          <w:color w:val="auto"/>
          <w:sz w:val="21"/>
          <w:szCs w:val="21"/>
          <w:highlight w:val="none"/>
        </w:rPr>
      </w:pPr>
      <w:r>
        <w:rPr>
          <w:rFonts w:hint="eastAsia"/>
          <w:color w:val="auto"/>
          <w:sz w:val="21"/>
          <w:szCs w:val="21"/>
          <w:highlight w:val="none"/>
        </w:rPr>
        <w:t>在施工图设计阶段，中标人根据采购人要求组织召开设计联络会议。</w:t>
      </w:r>
    </w:p>
    <w:p>
      <w:pPr>
        <w:pStyle w:val="7"/>
        <w:numPr>
          <w:ilvl w:val="2"/>
          <w:numId w:val="10"/>
        </w:numPr>
        <w:adjustRightInd/>
        <w:spacing w:line="360" w:lineRule="auto"/>
        <w:jc w:val="both"/>
        <w:rPr>
          <w:rFonts w:ascii="宋体" w:hAnsi="宋体" w:cs="宋体"/>
          <w:color w:val="auto"/>
          <w:sz w:val="21"/>
          <w:szCs w:val="21"/>
          <w:highlight w:val="none"/>
        </w:rPr>
      </w:pPr>
      <w:bookmarkStart w:id="88" w:name="_Toc525687430"/>
      <w:bookmarkStart w:id="89" w:name="_Toc524985801"/>
      <w:bookmarkStart w:id="90" w:name="_Toc524875745"/>
      <w:bookmarkStart w:id="91" w:name="_Toc14040242"/>
      <w:bookmarkStart w:id="92" w:name="_Toc7006"/>
      <w:bookmarkStart w:id="93" w:name="_Toc144892878"/>
      <w:r>
        <w:rPr>
          <w:rFonts w:hint="eastAsia" w:ascii="宋体" w:hAnsi="宋体" w:cs="宋体"/>
          <w:color w:val="auto"/>
          <w:sz w:val="21"/>
          <w:szCs w:val="21"/>
          <w:highlight w:val="none"/>
        </w:rPr>
        <w:t>设备的制造、运输、安装</w:t>
      </w:r>
      <w:bookmarkEnd w:id="88"/>
      <w:bookmarkEnd w:id="89"/>
      <w:bookmarkEnd w:id="90"/>
      <w:bookmarkEnd w:id="91"/>
      <w:bookmarkEnd w:id="92"/>
      <w:bookmarkEnd w:id="93"/>
    </w:p>
    <w:p>
      <w:pPr>
        <w:pStyle w:val="2"/>
        <w:numPr>
          <w:ilvl w:val="0"/>
          <w:numId w:val="14"/>
        </w:numPr>
        <w:adjustRightInd/>
        <w:spacing w:before="60" w:after="60"/>
        <w:ind w:right="113"/>
        <w:jc w:val="both"/>
        <w:rPr>
          <w:color w:val="auto"/>
          <w:sz w:val="21"/>
          <w:szCs w:val="21"/>
          <w:highlight w:val="none"/>
        </w:rPr>
      </w:pPr>
      <w:r>
        <w:rPr>
          <w:rFonts w:hint="eastAsia"/>
          <w:color w:val="auto"/>
          <w:sz w:val="21"/>
          <w:szCs w:val="21"/>
          <w:highlight w:val="none"/>
        </w:rPr>
        <w:t>计划与进度报告</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中标人在中标通知书发出后 7 个日历日内，应向采购人提交一份详细的工作计划，说明有关设备的制造、运输等具体进度日程。</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本工作计划应与规定的总进度相一致。</w:t>
      </w:r>
    </w:p>
    <w:p>
      <w:pPr>
        <w:pStyle w:val="2"/>
        <w:numPr>
          <w:ilvl w:val="0"/>
          <w:numId w:val="14"/>
        </w:numPr>
        <w:adjustRightInd/>
        <w:spacing w:before="60" w:after="60"/>
        <w:ind w:right="113"/>
        <w:jc w:val="both"/>
        <w:rPr>
          <w:color w:val="auto"/>
          <w:sz w:val="21"/>
          <w:szCs w:val="21"/>
          <w:highlight w:val="none"/>
        </w:rPr>
      </w:pPr>
      <w:r>
        <w:rPr>
          <w:rFonts w:hint="eastAsia"/>
          <w:color w:val="auto"/>
          <w:sz w:val="21"/>
          <w:szCs w:val="21"/>
          <w:highlight w:val="none"/>
        </w:rPr>
        <w:t>设备制造中的检验与测试</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提供的所有设备和部件均由中标人及生产厂家用标准的测控仪器进行完整的检验和测试，并应提交给采购人产品制造质量合格证书以及检验和测试记录。上述质量合格证书应由中标人和生产厂家确认并签署，并须经采购人审查。有关检验和测试的所有费用由中标人承担。在设备产地进行的检验和测试不是对该设备的最后验收。</w:t>
      </w:r>
    </w:p>
    <w:p>
      <w:pPr>
        <w:pStyle w:val="2"/>
        <w:numPr>
          <w:ilvl w:val="0"/>
          <w:numId w:val="14"/>
        </w:numPr>
        <w:adjustRightInd/>
        <w:spacing w:before="60" w:after="60"/>
        <w:ind w:right="113"/>
        <w:jc w:val="both"/>
        <w:rPr>
          <w:color w:val="auto"/>
          <w:sz w:val="21"/>
          <w:szCs w:val="21"/>
          <w:highlight w:val="none"/>
        </w:rPr>
      </w:pPr>
      <w:r>
        <w:rPr>
          <w:rFonts w:hint="eastAsia"/>
          <w:color w:val="auto"/>
          <w:sz w:val="21"/>
          <w:szCs w:val="21"/>
          <w:highlight w:val="none"/>
        </w:rPr>
        <w:t>包装、标志和运输</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产品启运前必须进行严格防腐、防损处理，包括防止害虫、暴晒、雨淋、霜冻、高温、潮湿、盐分和海水等造成的损害。</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凡设备上需油漆部分均需按规定进行处理，会腐蚀的、未油漆的部分需用经批准的保护剂全部涂抹，该保护剂在设备安装期间或在安装后应是易于抹去。</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另外，对所有设备应采取恰当的防腐、防损措施。</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所有设备的包装须足以承受陆上和海上的运输、搬运和码头的露天存放。中标人应对包装的设备负责，使其达到目的地后完整无缺。</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所有包装箱上应正确地标注下列内容：</w:t>
      </w:r>
    </w:p>
    <w:p>
      <w:pPr>
        <w:pStyle w:val="2"/>
        <w:numPr>
          <w:ilvl w:val="0"/>
          <w:numId w:val="15"/>
        </w:numPr>
        <w:adjustRightInd/>
        <w:spacing w:before="60" w:after="60"/>
        <w:ind w:right="113"/>
        <w:jc w:val="both"/>
        <w:rPr>
          <w:color w:val="auto"/>
          <w:sz w:val="21"/>
          <w:szCs w:val="21"/>
          <w:highlight w:val="none"/>
        </w:rPr>
      </w:pPr>
      <w:r>
        <w:rPr>
          <w:rFonts w:hint="eastAsia"/>
          <w:color w:val="auto"/>
          <w:sz w:val="21"/>
          <w:szCs w:val="21"/>
          <w:highlight w:val="none"/>
        </w:rPr>
        <w:t>合同号；</w:t>
      </w:r>
    </w:p>
    <w:p>
      <w:pPr>
        <w:pStyle w:val="2"/>
        <w:numPr>
          <w:ilvl w:val="0"/>
          <w:numId w:val="15"/>
        </w:numPr>
        <w:adjustRightInd/>
        <w:spacing w:before="60" w:after="60"/>
        <w:ind w:right="113"/>
        <w:jc w:val="both"/>
        <w:rPr>
          <w:color w:val="auto"/>
          <w:sz w:val="21"/>
          <w:szCs w:val="21"/>
          <w:highlight w:val="none"/>
        </w:rPr>
      </w:pPr>
      <w:r>
        <w:rPr>
          <w:rFonts w:hint="eastAsia"/>
          <w:color w:val="auto"/>
          <w:sz w:val="21"/>
          <w:szCs w:val="21"/>
          <w:highlight w:val="none"/>
        </w:rPr>
        <w:t>设备及备件的名称、代号；</w:t>
      </w:r>
    </w:p>
    <w:p>
      <w:pPr>
        <w:pStyle w:val="2"/>
        <w:numPr>
          <w:ilvl w:val="0"/>
          <w:numId w:val="15"/>
        </w:numPr>
        <w:adjustRightInd/>
        <w:spacing w:before="60" w:after="60"/>
        <w:ind w:right="113"/>
        <w:jc w:val="both"/>
        <w:rPr>
          <w:color w:val="auto"/>
          <w:sz w:val="21"/>
          <w:szCs w:val="21"/>
          <w:highlight w:val="none"/>
        </w:rPr>
      </w:pPr>
      <w:r>
        <w:rPr>
          <w:rFonts w:hint="eastAsia"/>
          <w:color w:val="auto"/>
          <w:sz w:val="21"/>
          <w:szCs w:val="21"/>
          <w:highlight w:val="none"/>
        </w:rPr>
        <w:t>设备安装构、建筑物名称；</w:t>
      </w:r>
    </w:p>
    <w:p>
      <w:pPr>
        <w:pStyle w:val="2"/>
        <w:numPr>
          <w:ilvl w:val="0"/>
          <w:numId w:val="15"/>
        </w:numPr>
        <w:adjustRightInd/>
        <w:spacing w:before="60" w:after="60"/>
        <w:ind w:right="113"/>
        <w:jc w:val="both"/>
        <w:rPr>
          <w:color w:val="auto"/>
          <w:sz w:val="21"/>
          <w:szCs w:val="21"/>
          <w:highlight w:val="none"/>
        </w:rPr>
      </w:pPr>
      <w:r>
        <w:rPr>
          <w:rFonts w:hint="eastAsia"/>
          <w:color w:val="auto"/>
          <w:sz w:val="21"/>
          <w:szCs w:val="21"/>
          <w:highlight w:val="none"/>
        </w:rPr>
        <w:t>通用的商务标志。</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内有危险品或易碎物品的包装箱应按当地或国际惯例对待。</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按照采购人的要求，中标人应随时告知设备的运输情况，在航寄给采购人的托运清单中应有质量合格证书和检测合格证。</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中标人应对设备运至现场的整个过程负责，包括保险、搬运和安全措施。</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中标人对采购人不予接受的、遭到缺损的任何设备及附件，应立即运走，予以更换，并根据合同条款和保险公司谈判索赔事宜。</w:t>
      </w:r>
    </w:p>
    <w:p>
      <w:pPr>
        <w:pStyle w:val="2"/>
        <w:numPr>
          <w:ilvl w:val="0"/>
          <w:numId w:val="14"/>
        </w:numPr>
        <w:adjustRightInd/>
        <w:spacing w:before="60" w:after="60"/>
        <w:ind w:right="113"/>
        <w:jc w:val="both"/>
        <w:rPr>
          <w:color w:val="auto"/>
          <w:sz w:val="21"/>
          <w:szCs w:val="21"/>
          <w:highlight w:val="none"/>
        </w:rPr>
      </w:pPr>
      <w:r>
        <w:rPr>
          <w:rFonts w:hint="eastAsia"/>
          <w:color w:val="auto"/>
          <w:sz w:val="21"/>
          <w:szCs w:val="21"/>
          <w:highlight w:val="none"/>
        </w:rPr>
        <w:t>安装</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在安装工作开始前，中标人应向采购人提供安装等工作的说明书和标准。采购人、中标人及监理单位共同校核土建工程质量，并出具检测记录内容或报告，保证设备安装质量。</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按照现行行业标准进行设备设计及安装；采购人有明确品牌要求的材料及设备，中标单位必须按指定品牌采购，未经采购人同意擅自采购、使用的非指定品牌的，采购人有权要求中标人重新采购并返工，由此造成的经济及工期损失等由中标人承担。</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中标人应对所有计量仪器、仪表（压力表、温度计、在线监测仪等）、安全附件（安全阀等），在安装前送到具有相应资质的当地检验单位检验，经检验合格并出具正规的检验报告之后才能安装。</w:t>
      </w:r>
    </w:p>
    <w:p>
      <w:pPr>
        <w:pStyle w:val="7"/>
        <w:numPr>
          <w:ilvl w:val="2"/>
          <w:numId w:val="10"/>
        </w:numPr>
        <w:adjustRightInd/>
        <w:spacing w:line="360" w:lineRule="auto"/>
        <w:jc w:val="both"/>
        <w:rPr>
          <w:rFonts w:ascii="宋体" w:hAnsi="宋体" w:cs="宋体"/>
          <w:color w:val="auto"/>
          <w:sz w:val="21"/>
          <w:szCs w:val="21"/>
          <w:highlight w:val="none"/>
        </w:rPr>
      </w:pPr>
      <w:bookmarkStart w:id="94" w:name="_Toc524985802"/>
      <w:bookmarkStart w:id="95" w:name="_Toc524875746"/>
      <w:bookmarkStart w:id="96" w:name="_Toc14040243"/>
      <w:bookmarkStart w:id="97" w:name="_Toc25032"/>
      <w:bookmarkStart w:id="98" w:name="_Toc525687431"/>
      <w:bookmarkStart w:id="99" w:name="_Toc144892879"/>
      <w:r>
        <w:rPr>
          <w:rFonts w:hint="eastAsia" w:ascii="宋体" w:hAnsi="宋体" w:cs="宋体"/>
          <w:color w:val="auto"/>
          <w:sz w:val="21"/>
          <w:szCs w:val="21"/>
          <w:highlight w:val="none"/>
        </w:rPr>
        <w:t>设备安装、运行、维护手册</w:t>
      </w:r>
      <w:bookmarkEnd w:id="94"/>
      <w:bookmarkEnd w:id="95"/>
      <w:bookmarkEnd w:id="96"/>
      <w:bookmarkEnd w:id="97"/>
      <w:bookmarkEnd w:id="98"/>
      <w:bookmarkEnd w:id="99"/>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中标人在设备交货的同时，应提供最终设备的全套中文版书面资料（含电子版）。所有单位和尺寸均应使用国际单位制。</w:t>
      </w:r>
    </w:p>
    <w:p>
      <w:pPr>
        <w:pStyle w:val="7"/>
        <w:numPr>
          <w:ilvl w:val="2"/>
          <w:numId w:val="10"/>
        </w:numPr>
        <w:adjustRightInd/>
        <w:spacing w:line="360" w:lineRule="auto"/>
        <w:jc w:val="both"/>
        <w:rPr>
          <w:rFonts w:ascii="宋体" w:hAnsi="宋体" w:cs="宋体"/>
          <w:color w:val="auto"/>
          <w:sz w:val="21"/>
          <w:szCs w:val="21"/>
          <w:highlight w:val="none"/>
        </w:rPr>
      </w:pPr>
      <w:bookmarkStart w:id="100" w:name="_Toc3987"/>
      <w:bookmarkStart w:id="101" w:name="_Toc14040244"/>
      <w:bookmarkStart w:id="102" w:name="_Toc144892880"/>
      <w:bookmarkStart w:id="103" w:name="_Toc525687432"/>
      <w:bookmarkStart w:id="104" w:name="_Toc524985803"/>
      <w:bookmarkStart w:id="105" w:name="_Toc524875747"/>
      <w:r>
        <w:rPr>
          <w:rFonts w:hint="eastAsia" w:ascii="宋体" w:hAnsi="宋体" w:cs="宋体"/>
          <w:color w:val="auto"/>
          <w:sz w:val="21"/>
          <w:szCs w:val="21"/>
          <w:highlight w:val="none"/>
        </w:rPr>
        <w:t>工艺及设备运行操作手册</w:t>
      </w:r>
      <w:bookmarkEnd w:id="100"/>
      <w:bookmarkEnd w:id="101"/>
      <w:bookmarkEnd w:id="102"/>
      <w:bookmarkEnd w:id="103"/>
      <w:bookmarkEnd w:id="104"/>
      <w:bookmarkEnd w:id="105"/>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在项目运行前应提交全套中文版各设备、装备的《操作说明手册》及岗位安全规程（含可编辑WORD电子版）。文件中所有单位和尺寸均应使用国际单位制。手册内容应包括但不限如下：各系统详设备操作指导、重要监控点指标、相关的设备参数、通常问题及处理措施、操作注意事项、设备维护保养说明，自动化仪表运行软件的详细操作说明，电气详细操作说明等相关技术文件。</w:t>
      </w:r>
    </w:p>
    <w:p>
      <w:pPr>
        <w:pStyle w:val="7"/>
        <w:numPr>
          <w:ilvl w:val="2"/>
          <w:numId w:val="10"/>
        </w:numPr>
        <w:adjustRightInd/>
        <w:spacing w:line="360" w:lineRule="auto"/>
        <w:jc w:val="both"/>
        <w:rPr>
          <w:rFonts w:ascii="宋体" w:hAnsi="宋体" w:cs="宋体"/>
          <w:color w:val="auto"/>
          <w:sz w:val="21"/>
          <w:szCs w:val="21"/>
          <w:highlight w:val="none"/>
        </w:rPr>
      </w:pPr>
      <w:bookmarkStart w:id="106" w:name="_Toc524985804"/>
      <w:bookmarkStart w:id="107" w:name="_Toc14040245"/>
      <w:bookmarkStart w:id="108" w:name="_Toc525687433"/>
      <w:bookmarkStart w:id="109" w:name="_Toc144892881"/>
      <w:bookmarkStart w:id="110" w:name="_Toc524875748"/>
      <w:bookmarkStart w:id="111" w:name="_Toc26378"/>
      <w:r>
        <w:rPr>
          <w:rFonts w:hint="eastAsia" w:ascii="宋体" w:hAnsi="宋体" w:cs="宋体"/>
          <w:color w:val="auto"/>
          <w:sz w:val="21"/>
          <w:szCs w:val="21"/>
          <w:highlight w:val="none"/>
        </w:rPr>
        <w:t>工程验收</w:t>
      </w:r>
      <w:bookmarkEnd w:id="106"/>
      <w:bookmarkEnd w:id="107"/>
      <w:bookmarkEnd w:id="108"/>
      <w:bookmarkEnd w:id="109"/>
      <w:bookmarkEnd w:id="110"/>
      <w:bookmarkEnd w:id="111"/>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中标人需根据采购人要求负责设备安装工程验收工作。工程验收分工程实物验收和</w:t>
      </w:r>
      <w:r>
        <w:rPr>
          <w:rStyle w:val="58"/>
          <w:rFonts w:hint="eastAsia" w:hAnsi="宋体" w:cs="宋体"/>
          <w:color w:val="auto"/>
          <w:highlight w:val="none"/>
        </w:rPr>
        <w:t>性能验收，工程实物验收包括工程资料、建筑工程、安装工程和消防、环保、劳动保护设施等工程验收。性能验收以运行检测为主，检测及考核其性能保证状况。</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中标人还需配合采购人与业主方对整体工程的竣工验收。</w:t>
      </w:r>
    </w:p>
    <w:p>
      <w:pPr>
        <w:pStyle w:val="6"/>
        <w:numPr>
          <w:ilvl w:val="1"/>
          <w:numId w:val="9"/>
        </w:numPr>
        <w:adjustRightInd/>
        <w:spacing w:line="360" w:lineRule="auto"/>
        <w:ind w:left="992" w:hanging="567"/>
        <w:jc w:val="both"/>
        <w:rPr>
          <w:rFonts w:ascii="宋体" w:hAnsi="宋体" w:eastAsia="宋体" w:cs="宋体"/>
          <w:color w:val="auto"/>
          <w:sz w:val="21"/>
          <w:szCs w:val="21"/>
          <w:highlight w:val="none"/>
        </w:rPr>
      </w:pPr>
      <w:bookmarkStart w:id="112" w:name="_Toc144892882"/>
      <w:bookmarkStart w:id="113" w:name="_Toc21072"/>
      <w:r>
        <w:rPr>
          <w:rFonts w:hint="eastAsia" w:ascii="宋体" w:hAnsi="宋体" w:eastAsia="宋体" w:cs="宋体"/>
          <w:color w:val="auto"/>
          <w:sz w:val="21"/>
          <w:szCs w:val="21"/>
          <w:highlight w:val="none"/>
        </w:rPr>
        <w:t>采购人职责</w:t>
      </w:r>
      <w:bookmarkEnd w:id="112"/>
      <w:bookmarkEnd w:id="113"/>
    </w:p>
    <w:p>
      <w:pPr>
        <w:pStyle w:val="7"/>
        <w:numPr>
          <w:ilvl w:val="2"/>
          <w:numId w:val="16"/>
        </w:numPr>
        <w:adjustRightInd/>
        <w:spacing w:line="360" w:lineRule="auto"/>
        <w:jc w:val="both"/>
        <w:rPr>
          <w:rFonts w:ascii="宋体" w:hAnsi="宋体" w:cs="宋体"/>
          <w:color w:val="auto"/>
          <w:sz w:val="21"/>
          <w:szCs w:val="21"/>
          <w:highlight w:val="none"/>
        </w:rPr>
      </w:pPr>
      <w:bookmarkStart w:id="114" w:name="_Toc16112"/>
      <w:bookmarkStart w:id="115" w:name="_Toc524985806"/>
      <w:bookmarkStart w:id="116" w:name="_Toc144892883"/>
      <w:bookmarkStart w:id="117" w:name="_Toc524875750"/>
      <w:bookmarkStart w:id="118" w:name="_Toc14040247"/>
      <w:bookmarkStart w:id="119" w:name="_Toc525687435"/>
      <w:r>
        <w:rPr>
          <w:rFonts w:hint="eastAsia" w:ascii="宋体" w:hAnsi="宋体" w:cs="宋体"/>
          <w:color w:val="auto"/>
          <w:sz w:val="21"/>
          <w:szCs w:val="21"/>
          <w:highlight w:val="none"/>
        </w:rPr>
        <w:t>采购人的职责</w:t>
      </w:r>
      <w:bookmarkEnd w:id="114"/>
      <w:bookmarkEnd w:id="115"/>
      <w:bookmarkEnd w:id="116"/>
      <w:bookmarkEnd w:id="117"/>
      <w:bookmarkEnd w:id="118"/>
      <w:bookmarkEnd w:id="119"/>
    </w:p>
    <w:p>
      <w:pPr>
        <w:pStyle w:val="2"/>
        <w:numPr>
          <w:ilvl w:val="0"/>
          <w:numId w:val="17"/>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采购人在履行合同过程中应遵守法律，并保证中标人免于承担因采购人违反法律而引起的任何责任。</w:t>
      </w:r>
    </w:p>
    <w:p>
      <w:pPr>
        <w:pStyle w:val="2"/>
        <w:numPr>
          <w:ilvl w:val="0"/>
          <w:numId w:val="17"/>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中标人办妥开工手续后发出开始工作通知。</w:t>
      </w:r>
    </w:p>
    <w:p>
      <w:pPr>
        <w:pStyle w:val="2"/>
        <w:numPr>
          <w:ilvl w:val="0"/>
          <w:numId w:val="17"/>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采购人应向中标人提供施工场地及进场施工条件，并明确与中标人的交接界面。</w:t>
      </w:r>
    </w:p>
    <w:p>
      <w:pPr>
        <w:pStyle w:val="2"/>
        <w:numPr>
          <w:ilvl w:val="0"/>
          <w:numId w:val="17"/>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合同价款由采购人支付给本次招标中标人。专用合同条款对采购人工程款支付担保有约定的，从其约定。</w:t>
      </w:r>
    </w:p>
    <w:p>
      <w:pPr>
        <w:pStyle w:val="2"/>
        <w:numPr>
          <w:ilvl w:val="0"/>
          <w:numId w:val="17"/>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采购人应履行合同约定的其他义务。</w:t>
      </w:r>
    </w:p>
    <w:p>
      <w:pPr>
        <w:pStyle w:val="7"/>
        <w:numPr>
          <w:ilvl w:val="2"/>
          <w:numId w:val="16"/>
        </w:numPr>
        <w:adjustRightInd/>
        <w:spacing w:line="360" w:lineRule="auto"/>
        <w:jc w:val="both"/>
        <w:rPr>
          <w:rFonts w:ascii="宋体" w:hAnsi="宋体" w:cs="宋体"/>
          <w:color w:val="auto"/>
          <w:sz w:val="21"/>
          <w:szCs w:val="21"/>
          <w:highlight w:val="none"/>
        </w:rPr>
      </w:pPr>
      <w:bookmarkStart w:id="120" w:name="_Toc524875751"/>
      <w:bookmarkStart w:id="121" w:name="_Toc9066"/>
      <w:bookmarkStart w:id="122" w:name="_Toc14040248"/>
      <w:bookmarkStart w:id="123" w:name="_Toc524985807"/>
      <w:bookmarkStart w:id="124" w:name="_Toc144892884"/>
      <w:bookmarkStart w:id="125" w:name="_Toc525687436"/>
      <w:r>
        <w:rPr>
          <w:rFonts w:hint="eastAsia" w:ascii="宋体" w:hAnsi="宋体" w:cs="宋体"/>
          <w:color w:val="auto"/>
          <w:sz w:val="21"/>
          <w:szCs w:val="21"/>
          <w:highlight w:val="none"/>
        </w:rPr>
        <w:t>由采购人提供的材料</w:t>
      </w:r>
      <w:bookmarkEnd w:id="120"/>
      <w:bookmarkEnd w:id="121"/>
      <w:bookmarkEnd w:id="122"/>
      <w:bookmarkEnd w:id="123"/>
      <w:bookmarkEnd w:id="124"/>
      <w:bookmarkEnd w:id="125"/>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除特别注明外，采购人不为本工程提供材料。</w:t>
      </w:r>
    </w:p>
    <w:p>
      <w:pPr>
        <w:pStyle w:val="7"/>
        <w:numPr>
          <w:ilvl w:val="2"/>
          <w:numId w:val="16"/>
        </w:numPr>
        <w:adjustRightInd/>
        <w:spacing w:line="360" w:lineRule="auto"/>
        <w:jc w:val="both"/>
        <w:rPr>
          <w:rFonts w:ascii="宋体" w:hAnsi="宋体" w:cs="宋体"/>
          <w:color w:val="auto"/>
          <w:sz w:val="21"/>
          <w:szCs w:val="21"/>
          <w:highlight w:val="none"/>
        </w:rPr>
      </w:pPr>
      <w:bookmarkStart w:id="126" w:name="_Toc524875752"/>
      <w:bookmarkStart w:id="127" w:name="_Toc5596"/>
      <w:bookmarkStart w:id="128" w:name="_Toc144892885"/>
      <w:bookmarkStart w:id="129" w:name="_Toc14040249"/>
      <w:bookmarkStart w:id="130" w:name="_Toc524985808"/>
      <w:bookmarkStart w:id="131" w:name="_Toc525687437"/>
      <w:r>
        <w:rPr>
          <w:rFonts w:hint="eastAsia" w:ascii="宋体" w:hAnsi="宋体" w:cs="宋体"/>
          <w:color w:val="auto"/>
          <w:sz w:val="21"/>
          <w:szCs w:val="21"/>
          <w:highlight w:val="none"/>
        </w:rPr>
        <w:t>采购人提供的技术文件</w:t>
      </w:r>
      <w:bookmarkEnd w:id="126"/>
      <w:bookmarkEnd w:id="127"/>
      <w:bookmarkEnd w:id="128"/>
      <w:bookmarkEnd w:id="129"/>
      <w:bookmarkEnd w:id="130"/>
      <w:bookmarkEnd w:id="131"/>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除另有批准外，中标人的工作需要遵照采购人的下列技术文件：</w:t>
      </w:r>
    </w:p>
    <w:p>
      <w:pPr>
        <w:pStyle w:val="2"/>
        <w:numPr>
          <w:ilvl w:val="0"/>
          <w:numId w:val="18"/>
        </w:numPr>
        <w:adjustRightInd/>
        <w:spacing w:before="60" w:after="60"/>
        <w:ind w:right="113"/>
        <w:jc w:val="both"/>
        <w:rPr>
          <w:color w:val="auto"/>
          <w:sz w:val="21"/>
          <w:szCs w:val="21"/>
          <w:highlight w:val="none"/>
        </w:rPr>
      </w:pPr>
      <w:r>
        <w:rPr>
          <w:rFonts w:hint="eastAsia"/>
          <w:color w:val="auto"/>
          <w:sz w:val="21"/>
          <w:szCs w:val="21"/>
          <w:highlight w:val="none"/>
        </w:rPr>
        <w:t>项目的前期批文；</w:t>
      </w:r>
    </w:p>
    <w:p>
      <w:pPr>
        <w:pStyle w:val="2"/>
        <w:numPr>
          <w:ilvl w:val="0"/>
          <w:numId w:val="18"/>
        </w:numPr>
        <w:adjustRightInd/>
        <w:spacing w:before="60" w:after="60"/>
        <w:ind w:right="113"/>
        <w:jc w:val="both"/>
        <w:rPr>
          <w:color w:val="auto"/>
          <w:sz w:val="21"/>
          <w:szCs w:val="21"/>
          <w:highlight w:val="none"/>
        </w:rPr>
      </w:pPr>
      <w:r>
        <w:rPr>
          <w:rFonts w:hint="eastAsia"/>
          <w:color w:val="auto"/>
          <w:sz w:val="21"/>
          <w:szCs w:val="21"/>
          <w:highlight w:val="none"/>
        </w:rPr>
        <w:t>前期设计资料。</w:t>
      </w:r>
      <w:bookmarkStart w:id="132" w:name="_Toc523432272"/>
    </w:p>
    <w:p>
      <w:pPr>
        <w:pStyle w:val="6"/>
        <w:numPr>
          <w:ilvl w:val="1"/>
          <w:numId w:val="9"/>
        </w:numPr>
        <w:adjustRightInd/>
        <w:spacing w:line="360" w:lineRule="auto"/>
        <w:ind w:left="992" w:hanging="567"/>
        <w:jc w:val="both"/>
        <w:rPr>
          <w:rFonts w:ascii="宋体" w:hAnsi="宋体" w:eastAsia="宋体" w:cs="宋体"/>
          <w:color w:val="auto"/>
          <w:sz w:val="21"/>
          <w:szCs w:val="21"/>
          <w:highlight w:val="none"/>
        </w:rPr>
      </w:pPr>
      <w:bookmarkStart w:id="133" w:name="_Toc144892886"/>
      <w:bookmarkStart w:id="134" w:name="_Toc16919"/>
      <w:r>
        <w:rPr>
          <w:rFonts w:hint="eastAsia" w:ascii="宋体" w:hAnsi="宋体" w:eastAsia="宋体" w:cs="宋体"/>
          <w:color w:val="auto"/>
          <w:sz w:val="21"/>
          <w:szCs w:val="21"/>
          <w:highlight w:val="none"/>
        </w:rPr>
        <w:t>边界条件</w:t>
      </w:r>
      <w:bookmarkEnd w:id="133"/>
      <w:bookmarkEnd w:id="134"/>
    </w:p>
    <w:tbl>
      <w:tblPr>
        <w:tblStyle w:val="34"/>
        <w:tblpPr w:leftFromText="181" w:rightFromText="181" w:vertAnchor="text" w:tblpXSpec="center" w:tblpY="1"/>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883"/>
        <w:gridCol w:w="1285"/>
        <w:gridCol w:w="3655"/>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516" w:type="dxa"/>
            <w:vAlign w:val="center"/>
          </w:tcPr>
          <w:p>
            <w:pPr>
              <w:pStyle w:val="2"/>
              <w:adjustRightInd/>
              <w:ind w:left="0"/>
              <w:jc w:val="center"/>
              <w:rPr>
                <w:b/>
                <w:bCs/>
                <w:color w:val="auto"/>
                <w:sz w:val="21"/>
                <w:szCs w:val="21"/>
                <w:highlight w:val="none"/>
              </w:rPr>
            </w:pPr>
            <w:r>
              <w:rPr>
                <w:rFonts w:hint="eastAsia"/>
                <w:b/>
                <w:bCs/>
                <w:color w:val="auto"/>
                <w:sz w:val="21"/>
                <w:szCs w:val="21"/>
                <w:highlight w:val="none"/>
              </w:rPr>
              <w:t>序号</w:t>
            </w:r>
          </w:p>
        </w:tc>
        <w:tc>
          <w:tcPr>
            <w:tcW w:w="2168" w:type="dxa"/>
            <w:gridSpan w:val="2"/>
            <w:vAlign w:val="center"/>
          </w:tcPr>
          <w:p>
            <w:pPr>
              <w:pStyle w:val="2"/>
              <w:adjustRightInd/>
              <w:ind w:left="0"/>
              <w:jc w:val="center"/>
              <w:rPr>
                <w:b/>
                <w:bCs/>
                <w:color w:val="auto"/>
                <w:sz w:val="21"/>
                <w:szCs w:val="21"/>
                <w:highlight w:val="none"/>
              </w:rPr>
            </w:pPr>
            <w:r>
              <w:rPr>
                <w:rFonts w:hint="eastAsia"/>
                <w:b/>
                <w:bCs/>
                <w:color w:val="auto"/>
                <w:sz w:val="21"/>
                <w:szCs w:val="21"/>
                <w:highlight w:val="none"/>
              </w:rPr>
              <w:t>边界条件</w:t>
            </w:r>
          </w:p>
        </w:tc>
        <w:tc>
          <w:tcPr>
            <w:tcW w:w="3655" w:type="dxa"/>
            <w:vAlign w:val="center"/>
          </w:tcPr>
          <w:p>
            <w:pPr>
              <w:pStyle w:val="2"/>
              <w:adjustRightInd/>
              <w:ind w:left="0"/>
              <w:jc w:val="center"/>
              <w:rPr>
                <w:b/>
                <w:bCs/>
                <w:color w:val="auto"/>
                <w:sz w:val="21"/>
                <w:szCs w:val="21"/>
                <w:highlight w:val="none"/>
              </w:rPr>
            </w:pPr>
            <w:r>
              <w:rPr>
                <w:rFonts w:hint="eastAsia"/>
                <w:b/>
                <w:bCs/>
                <w:color w:val="auto"/>
                <w:sz w:val="21"/>
                <w:szCs w:val="21"/>
                <w:highlight w:val="none"/>
              </w:rPr>
              <w:t>边界点(所有界区能源均需考虑计量)</w:t>
            </w:r>
          </w:p>
        </w:tc>
        <w:tc>
          <w:tcPr>
            <w:tcW w:w="2181" w:type="dxa"/>
            <w:vAlign w:val="center"/>
          </w:tcPr>
          <w:p>
            <w:pPr>
              <w:pStyle w:val="2"/>
              <w:adjustRightInd/>
              <w:ind w:left="0"/>
              <w:jc w:val="center"/>
              <w:rPr>
                <w:b/>
                <w:bCs/>
                <w:color w:val="auto"/>
                <w:sz w:val="21"/>
                <w:szCs w:val="21"/>
                <w:highlight w:val="none"/>
              </w:rPr>
            </w:pPr>
            <w:r>
              <w:rPr>
                <w:rFonts w:hint="eastAsia"/>
                <w:b/>
                <w:bCs/>
                <w:color w:val="auto"/>
                <w:sz w:val="21"/>
                <w:szCs w:val="21"/>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2" w:hRule="atLeast"/>
          <w:jc w:val="center"/>
        </w:trPr>
        <w:tc>
          <w:tcPr>
            <w:tcW w:w="516" w:type="dxa"/>
            <w:vMerge w:val="restart"/>
            <w:vAlign w:val="center"/>
          </w:tcPr>
          <w:p>
            <w:pPr>
              <w:pStyle w:val="2"/>
              <w:adjustRightInd/>
              <w:ind w:left="0"/>
              <w:jc w:val="center"/>
              <w:rPr>
                <w:color w:val="auto"/>
                <w:sz w:val="21"/>
                <w:szCs w:val="21"/>
                <w:highlight w:val="none"/>
              </w:rPr>
            </w:pPr>
            <w:r>
              <w:rPr>
                <w:rFonts w:hint="eastAsia"/>
                <w:color w:val="auto"/>
                <w:sz w:val="21"/>
                <w:szCs w:val="21"/>
                <w:highlight w:val="none"/>
              </w:rPr>
              <w:t>1</w:t>
            </w:r>
          </w:p>
        </w:tc>
        <w:tc>
          <w:tcPr>
            <w:tcW w:w="883" w:type="dxa"/>
            <w:vMerge w:val="restart"/>
            <w:vAlign w:val="center"/>
          </w:tcPr>
          <w:p>
            <w:pPr>
              <w:pStyle w:val="2"/>
              <w:adjustRightInd/>
              <w:ind w:left="0"/>
              <w:jc w:val="center"/>
              <w:rPr>
                <w:color w:val="auto"/>
                <w:sz w:val="21"/>
                <w:szCs w:val="21"/>
                <w:highlight w:val="none"/>
              </w:rPr>
            </w:pPr>
            <w:r>
              <w:rPr>
                <w:rFonts w:hint="eastAsia"/>
                <w:color w:val="auto"/>
                <w:sz w:val="21"/>
                <w:szCs w:val="21"/>
                <w:highlight w:val="none"/>
              </w:rPr>
              <w:t>投入接口</w:t>
            </w:r>
          </w:p>
        </w:tc>
        <w:tc>
          <w:tcPr>
            <w:tcW w:w="1285" w:type="dxa"/>
            <w:vAlign w:val="center"/>
          </w:tcPr>
          <w:p>
            <w:pPr>
              <w:pStyle w:val="2"/>
              <w:adjustRightInd/>
              <w:ind w:left="0"/>
              <w:jc w:val="center"/>
              <w:rPr>
                <w:color w:val="auto"/>
                <w:sz w:val="21"/>
                <w:szCs w:val="21"/>
                <w:highlight w:val="none"/>
              </w:rPr>
            </w:pPr>
            <w:r>
              <w:rPr>
                <w:rFonts w:hint="eastAsia"/>
                <w:color w:val="auto"/>
                <w:sz w:val="21"/>
                <w:szCs w:val="21"/>
                <w:highlight w:val="none"/>
              </w:rPr>
              <w:t>自来水</w:t>
            </w:r>
          </w:p>
        </w:tc>
        <w:tc>
          <w:tcPr>
            <w:tcW w:w="3655" w:type="dxa"/>
            <w:vAlign w:val="center"/>
          </w:tcPr>
          <w:p>
            <w:pPr>
              <w:pStyle w:val="2"/>
              <w:adjustRightInd/>
              <w:ind w:left="0"/>
              <w:jc w:val="both"/>
              <w:rPr>
                <w:color w:val="auto"/>
                <w:sz w:val="21"/>
                <w:szCs w:val="21"/>
                <w:highlight w:val="none"/>
              </w:rPr>
            </w:pPr>
            <w:r>
              <w:rPr>
                <w:rFonts w:hint="eastAsia"/>
                <w:color w:val="auto"/>
                <w:sz w:val="21"/>
                <w:szCs w:val="21"/>
                <w:highlight w:val="none"/>
              </w:rPr>
              <w:t>由采购人负责接至污水处理系统红线外1米，具体位置在详细设计时由采购人指定。</w:t>
            </w:r>
          </w:p>
        </w:tc>
        <w:tc>
          <w:tcPr>
            <w:tcW w:w="2181" w:type="dxa"/>
            <w:vAlign w:val="center"/>
          </w:tcPr>
          <w:p>
            <w:pPr>
              <w:pStyle w:val="2"/>
              <w:adjustRightInd/>
              <w:ind w:left="0"/>
              <w:jc w:val="both"/>
              <w:rPr>
                <w:color w:val="auto"/>
                <w:sz w:val="21"/>
                <w:szCs w:val="21"/>
                <w:highlight w:val="none"/>
              </w:rPr>
            </w:pPr>
            <w:r>
              <w:rPr>
                <w:rFonts w:hint="eastAsia"/>
                <w:color w:val="auto"/>
                <w:sz w:val="21"/>
                <w:szCs w:val="21"/>
                <w:highlight w:val="none"/>
              </w:rPr>
              <w:t>生产生活用水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2"/>
              <w:adjustRightInd/>
              <w:ind w:left="0"/>
              <w:jc w:val="center"/>
              <w:rPr>
                <w:color w:val="auto"/>
                <w:sz w:val="21"/>
                <w:szCs w:val="21"/>
                <w:highlight w:val="none"/>
              </w:rPr>
            </w:pPr>
          </w:p>
        </w:tc>
        <w:tc>
          <w:tcPr>
            <w:tcW w:w="883" w:type="dxa"/>
            <w:vMerge w:val="continue"/>
            <w:vAlign w:val="center"/>
          </w:tcPr>
          <w:p>
            <w:pPr>
              <w:pStyle w:val="2"/>
              <w:adjustRightInd/>
              <w:ind w:left="0"/>
              <w:jc w:val="center"/>
              <w:rPr>
                <w:color w:val="auto"/>
                <w:sz w:val="21"/>
                <w:szCs w:val="21"/>
                <w:highlight w:val="none"/>
              </w:rPr>
            </w:pPr>
          </w:p>
        </w:tc>
        <w:tc>
          <w:tcPr>
            <w:tcW w:w="1285" w:type="dxa"/>
            <w:vAlign w:val="center"/>
          </w:tcPr>
          <w:p>
            <w:pPr>
              <w:pStyle w:val="2"/>
              <w:adjustRightInd/>
              <w:ind w:left="0"/>
              <w:jc w:val="center"/>
              <w:rPr>
                <w:color w:val="auto"/>
                <w:sz w:val="21"/>
                <w:szCs w:val="21"/>
                <w:highlight w:val="none"/>
              </w:rPr>
            </w:pPr>
            <w:r>
              <w:rPr>
                <w:rFonts w:hint="eastAsia"/>
                <w:color w:val="auto"/>
                <w:sz w:val="21"/>
                <w:szCs w:val="21"/>
                <w:highlight w:val="none"/>
              </w:rPr>
              <w:t>污水接口</w:t>
            </w:r>
          </w:p>
        </w:tc>
        <w:tc>
          <w:tcPr>
            <w:tcW w:w="3655" w:type="dxa"/>
            <w:vAlign w:val="center"/>
          </w:tcPr>
          <w:p>
            <w:pPr>
              <w:pStyle w:val="2"/>
              <w:adjustRightInd/>
              <w:ind w:left="0"/>
              <w:jc w:val="both"/>
              <w:rPr>
                <w:color w:val="auto"/>
                <w:sz w:val="21"/>
                <w:szCs w:val="21"/>
                <w:highlight w:val="none"/>
              </w:rPr>
            </w:pPr>
            <w:r>
              <w:rPr>
                <w:rFonts w:hint="eastAsia"/>
                <w:color w:val="auto"/>
                <w:sz w:val="21"/>
                <w:szCs w:val="21"/>
                <w:highlight w:val="none"/>
              </w:rPr>
              <w:t>由采购人负责接至污水调节池，具体位置在详细设计时由采购人指定。</w:t>
            </w:r>
          </w:p>
        </w:tc>
        <w:tc>
          <w:tcPr>
            <w:tcW w:w="2181" w:type="dxa"/>
            <w:vAlign w:val="center"/>
          </w:tcPr>
          <w:p>
            <w:pPr>
              <w:pStyle w:val="2"/>
              <w:adjustRightInd/>
              <w:ind w:left="0"/>
              <w:jc w:val="both"/>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2"/>
              <w:adjustRightInd/>
              <w:ind w:left="0"/>
              <w:jc w:val="center"/>
              <w:rPr>
                <w:color w:val="auto"/>
                <w:sz w:val="21"/>
                <w:szCs w:val="21"/>
                <w:highlight w:val="none"/>
              </w:rPr>
            </w:pPr>
          </w:p>
        </w:tc>
        <w:tc>
          <w:tcPr>
            <w:tcW w:w="883" w:type="dxa"/>
            <w:vMerge w:val="continue"/>
            <w:vAlign w:val="center"/>
          </w:tcPr>
          <w:p>
            <w:pPr>
              <w:pStyle w:val="2"/>
              <w:adjustRightInd/>
              <w:ind w:left="0"/>
              <w:jc w:val="center"/>
              <w:rPr>
                <w:color w:val="auto"/>
                <w:sz w:val="21"/>
                <w:szCs w:val="21"/>
                <w:highlight w:val="none"/>
              </w:rPr>
            </w:pPr>
          </w:p>
        </w:tc>
        <w:tc>
          <w:tcPr>
            <w:tcW w:w="1285" w:type="dxa"/>
            <w:shd w:val="clear" w:color="auto" w:fill="auto"/>
            <w:vAlign w:val="center"/>
          </w:tcPr>
          <w:p>
            <w:pPr>
              <w:pStyle w:val="2"/>
              <w:adjustRightInd/>
              <w:ind w:left="0"/>
              <w:jc w:val="center"/>
              <w:rPr>
                <w:color w:val="auto"/>
                <w:sz w:val="21"/>
                <w:szCs w:val="21"/>
                <w:highlight w:val="none"/>
              </w:rPr>
            </w:pPr>
            <w:r>
              <w:rPr>
                <w:rFonts w:hint="eastAsia"/>
                <w:color w:val="auto"/>
                <w:sz w:val="21"/>
                <w:szCs w:val="21"/>
                <w:highlight w:val="none"/>
              </w:rPr>
              <w:t>供电</w:t>
            </w:r>
          </w:p>
        </w:tc>
        <w:tc>
          <w:tcPr>
            <w:tcW w:w="3655" w:type="dxa"/>
            <w:shd w:val="clear" w:color="auto" w:fill="auto"/>
            <w:vAlign w:val="center"/>
          </w:tcPr>
          <w:p>
            <w:pPr>
              <w:pStyle w:val="2"/>
              <w:adjustRightInd/>
              <w:ind w:left="0"/>
              <w:jc w:val="both"/>
              <w:rPr>
                <w:color w:val="auto"/>
                <w:sz w:val="21"/>
                <w:szCs w:val="21"/>
                <w:highlight w:val="none"/>
              </w:rPr>
            </w:pPr>
            <w:r>
              <w:rPr>
                <w:rFonts w:hint="eastAsia"/>
                <w:color w:val="auto"/>
                <w:sz w:val="21"/>
                <w:szCs w:val="21"/>
                <w:highlight w:val="none"/>
              </w:rPr>
              <w:t>采购人提供380V及220V电压等级电源，并按照中标人的技术要求接到就地控制柜配电箱（配电箱、箱内电气元件及配电箱至设备的电缆/保护套管/电缆桥架由中标人负责）</w:t>
            </w:r>
          </w:p>
        </w:tc>
        <w:tc>
          <w:tcPr>
            <w:tcW w:w="2181" w:type="dxa"/>
            <w:vAlign w:val="center"/>
          </w:tcPr>
          <w:p>
            <w:pPr>
              <w:pStyle w:val="2"/>
              <w:adjustRightInd/>
              <w:ind w:left="0"/>
              <w:jc w:val="both"/>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restart"/>
            <w:vAlign w:val="center"/>
          </w:tcPr>
          <w:p>
            <w:pPr>
              <w:pStyle w:val="2"/>
              <w:adjustRightInd/>
              <w:ind w:left="0"/>
              <w:jc w:val="center"/>
              <w:rPr>
                <w:color w:val="auto"/>
                <w:sz w:val="21"/>
                <w:szCs w:val="21"/>
                <w:highlight w:val="none"/>
              </w:rPr>
            </w:pPr>
            <w:r>
              <w:rPr>
                <w:rFonts w:hint="eastAsia"/>
                <w:color w:val="auto"/>
                <w:sz w:val="21"/>
                <w:szCs w:val="21"/>
                <w:highlight w:val="none"/>
              </w:rPr>
              <w:t>2</w:t>
            </w:r>
          </w:p>
        </w:tc>
        <w:tc>
          <w:tcPr>
            <w:tcW w:w="883" w:type="dxa"/>
            <w:vMerge w:val="restart"/>
            <w:vAlign w:val="center"/>
          </w:tcPr>
          <w:p>
            <w:pPr>
              <w:pStyle w:val="2"/>
              <w:adjustRightInd/>
              <w:ind w:left="0"/>
              <w:jc w:val="center"/>
              <w:rPr>
                <w:color w:val="auto"/>
                <w:sz w:val="21"/>
                <w:szCs w:val="21"/>
                <w:highlight w:val="none"/>
              </w:rPr>
            </w:pPr>
            <w:r>
              <w:rPr>
                <w:rFonts w:hint="eastAsia"/>
                <w:color w:val="auto"/>
                <w:sz w:val="21"/>
                <w:szCs w:val="21"/>
                <w:highlight w:val="none"/>
              </w:rPr>
              <w:t>产出接口</w:t>
            </w:r>
          </w:p>
        </w:tc>
        <w:tc>
          <w:tcPr>
            <w:tcW w:w="1285" w:type="dxa"/>
            <w:vAlign w:val="center"/>
          </w:tcPr>
          <w:p>
            <w:pPr>
              <w:pStyle w:val="2"/>
              <w:adjustRightInd/>
              <w:ind w:left="0"/>
              <w:jc w:val="center"/>
              <w:rPr>
                <w:color w:val="auto"/>
                <w:sz w:val="21"/>
                <w:szCs w:val="21"/>
                <w:highlight w:val="none"/>
              </w:rPr>
            </w:pPr>
            <w:r>
              <w:rPr>
                <w:rFonts w:hint="eastAsia"/>
                <w:color w:val="auto"/>
                <w:sz w:val="21"/>
                <w:szCs w:val="21"/>
                <w:highlight w:val="none"/>
              </w:rPr>
              <w:t>外排水</w:t>
            </w:r>
          </w:p>
        </w:tc>
        <w:tc>
          <w:tcPr>
            <w:tcW w:w="3655" w:type="dxa"/>
            <w:vAlign w:val="center"/>
          </w:tcPr>
          <w:p>
            <w:pPr>
              <w:pStyle w:val="2"/>
              <w:adjustRightInd/>
              <w:ind w:left="0"/>
              <w:jc w:val="both"/>
              <w:rPr>
                <w:color w:val="auto"/>
                <w:sz w:val="21"/>
                <w:szCs w:val="21"/>
                <w:highlight w:val="none"/>
              </w:rPr>
            </w:pPr>
            <w:r>
              <w:rPr>
                <w:rFonts w:hint="eastAsia"/>
                <w:color w:val="auto"/>
                <w:sz w:val="21"/>
                <w:szCs w:val="21"/>
                <w:highlight w:val="none"/>
              </w:rPr>
              <w:t>处理后的污水达到纳管标准后纳管排放，由中标人接至污水处理系统红线外1米，具体位置在详细设计时由采购人指定。</w:t>
            </w:r>
          </w:p>
        </w:tc>
        <w:tc>
          <w:tcPr>
            <w:tcW w:w="2181" w:type="dxa"/>
            <w:vAlign w:val="center"/>
          </w:tcPr>
          <w:p>
            <w:pPr>
              <w:pStyle w:val="2"/>
              <w:adjustRightInd/>
              <w:ind w:left="0"/>
              <w:jc w:val="both"/>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3" w:hRule="atLeast"/>
          <w:jc w:val="center"/>
        </w:trPr>
        <w:tc>
          <w:tcPr>
            <w:tcW w:w="516" w:type="dxa"/>
            <w:vMerge w:val="continue"/>
            <w:vAlign w:val="center"/>
          </w:tcPr>
          <w:p>
            <w:pPr>
              <w:pStyle w:val="2"/>
              <w:adjustRightInd/>
              <w:ind w:left="0"/>
              <w:jc w:val="center"/>
              <w:rPr>
                <w:color w:val="auto"/>
                <w:sz w:val="21"/>
                <w:szCs w:val="21"/>
                <w:highlight w:val="none"/>
              </w:rPr>
            </w:pPr>
          </w:p>
        </w:tc>
        <w:tc>
          <w:tcPr>
            <w:tcW w:w="883" w:type="dxa"/>
            <w:vMerge w:val="continue"/>
            <w:vAlign w:val="center"/>
          </w:tcPr>
          <w:p>
            <w:pPr>
              <w:pStyle w:val="2"/>
              <w:adjustRightInd/>
              <w:ind w:left="0"/>
              <w:jc w:val="center"/>
              <w:rPr>
                <w:color w:val="auto"/>
                <w:sz w:val="21"/>
                <w:szCs w:val="21"/>
                <w:highlight w:val="none"/>
              </w:rPr>
            </w:pPr>
          </w:p>
        </w:tc>
        <w:tc>
          <w:tcPr>
            <w:tcW w:w="1285" w:type="dxa"/>
            <w:vAlign w:val="center"/>
          </w:tcPr>
          <w:p>
            <w:pPr>
              <w:pStyle w:val="2"/>
              <w:adjustRightInd/>
              <w:ind w:left="0"/>
              <w:jc w:val="center"/>
              <w:rPr>
                <w:color w:val="auto"/>
                <w:sz w:val="21"/>
                <w:szCs w:val="21"/>
                <w:highlight w:val="none"/>
              </w:rPr>
            </w:pPr>
            <w:r>
              <w:rPr>
                <w:rFonts w:hint="eastAsia"/>
                <w:color w:val="auto"/>
                <w:sz w:val="21"/>
                <w:szCs w:val="21"/>
                <w:highlight w:val="none"/>
              </w:rPr>
              <w:t>回用水</w:t>
            </w:r>
          </w:p>
        </w:tc>
        <w:tc>
          <w:tcPr>
            <w:tcW w:w="3655" w:type="dxa"/>
            <w:vAlign w:val="center"/>
          </w:tcPr>
          <w:p>
            <w:pPr>
              <w:pStyle w:val="2"/>
              <w:adjustRightInd/>
              <w:ind w:left="0"/>
              <w:jc w:val="both"/>
              <w:rPr>
                <w:color w:val="auto"/>
                <w:sz w:val="21"/>
                <w:szCs w:val="21"/>
                <w:highlight w:val="none"/>
              </w:rPr>
            </w:pPr>
            <w:r>
              <w:rPr>
                <w:rFonts w:hint="eastAsia"/>
                <w:color w:val="auto"/>
                <w:sz w:val="21"/>
                <w:szCs w:val="21"/>
                <w:highlight w:val="none"/>
              </w:rPr>
              <w:t>装置纳滤产水考虑回用，由中标人接至车间回用水用户点，具体位置在详细设计时由采购人指定。</w:t>
            </w:r>
          </w:p>
        </w:tc>
        <w:tc>
          <w:tcPr>
            <w:tcW w:w="2181" w:type="dxa"/>
            <w:vAlign w:val="center"/>
          </w:tcPr>
          <w:p>
            <w:pPr>
              <w:pStyle w:val="2"/>
              <w:adjustRightInd/>
              <w:ind w:left="0"/>
              <w:jc w:val="both"/>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restart"/>
            <w:vAlign w:val="center"/>
          </w:tcPr>
          <w:p>
            <w:pPr>
              <w:pStyle w:val="2"/>
              <w:adjustRightInd/>
              <w:ind w:left="0"/>
              <w:jc w:val="center"/>
              <w:rPr>
                <w:color w:val="auto"/>
                <w:sz w:val="21"/>
                <w:szCs w:val="21"/>
                <w:highlight w:val="none"/>
              </w:rPr>
            </w:pPr>
            <w:r>
              <w:rPr>
                <w:rFonts w:hint="eastAsia"/>
                <w:color w:val="auto"/>
                <w:sz w:val="21"/>
                <w:szCs w:val="21"/>
                <w:highlight w:val="none"/>
              </w:rPr>
              <w:t>5</w:t>
            </w:r>
          </w:p>
        </w:tc>
        <w:tc>
          <w:tcPr>
            <w:tcW w:w="883" w:type="dxa"/>
            <w:vMerge w:val="restart"/>
            <w:vAlign w:val="center"/>
          </w:tcPr>
          <w:p>
            <w:pPr>
              <w:pStyle w:val="2"/>
              <w:adjustRightInd/>
              <w:ind w:left="0"/>
              <w:jc w:val="center"/>
              <w:rPr>
                <w:color w:val="auto"/>
                <w:sz w:val="21"/>
                <w:szCs w:val="21"/>
                <w:highlight w:val="none"/>
              </w:rPr>
            </w:pPr>
            <w:r>
              <w:rPr>
                <w:rFonts w:hint="eastAsia"/>
                <w:color w:val="auto"/>
                <w:sz w:val="21"/>
                <w:szCs w:val="21"/>
                <w:highlight w:val="none"/>
              </w:rPr>
              <w:t>土建</w:t>
            </w:r>
          </w:p>
        </w:tc>
        <w:tc>
          <w:tcPr>
            <w:tcW w:w="1285" w:type="dxa"/>
            <w:vAlign w:val="center"/>
          </w:tcPr>
          <w:p>
            <w:pPr>
              <w:pStyle w:val="2"/>
              <w:adjustRightInd/>
              <w:ind w:left="0"/>
              <w:jc w:val="center"/>
              <w:rPr>
                <w:color w:val="auto"/>
                <w:sz w:val="21"/>
                <w:szCs w:val="21"/>
                <w:highlight w:val="none"/>
              </w:rPr>
            </w:pPr>
            <w:r>
              <w:rPr>
                <w:rFonts w:hint="eastAsia"/>
                <w:color w:val="auto"/>
                <w:sz w:val="21"/>
                <w:szCs w:val="21"/>
                <w:highlight w:val="none"/>
              </w:rPr>
              <w:t>土建</w:t>
            </w:r>
          </w:p>
        </w:tc>
        <w:tc>
          <w:tcPr>
            <w:tcW w:w="3655" w:type="dxa"/>
            <w:vAlign w:val="center"/>
          </w:tcPr>
          <w:p>
            <w:pPr>
              <w:pStyle w:val="2"/>
              <w:adjustRightInd/>
              <w:ind w:left="0"/>
              <w:jc w:val="both"/>
              <w:rPr>
                <w:color w:val="auto"/>
                <w:sz w:val="21"/>
                <w:szCs w:val="21"/>
                <w:highlight w:val="none"/>
              </w:rPr>
            </w:pPr>
            <w:r>
              <w:rPr>
                <w:rFonts w:hint="eastAsia"/>
                <w:color w:val="auto"/>
                <w:sz w:val="21"/>
                <w:szCs w:val="21"/>
                <w:highlight w:val="none"/>
              </w:rPr>
              <w:t>中标人负责一次预埋件提资，并对预埋件的施工安装进行现场指导和检查验收。</w:t>
            </w:r>
          </w:p>
          <w:p>
            <w:pPr>
              <w:pStyle w:val="2"/>
              <w:adjustRightInd/>
              <w:ind w:left="0"/>
              <w:jc w:val="both"/>
              <w:rPr>
                <w:color w:val="auto"/>
                <w:sz w:val="21"/>
                <w:szCs w:val="21"/>
                <w:highlight w:val="none"/>
              </w:rPr>
            </w:pPr>
            <w:r>
              <w:rPr>
                <w:rFonts w:hint="eastAsia"/>
                <w:color w:val="auto"/>
                <w:sz w:val="21"/>
                <w:szCs w:val="21"/>
                <w:highlight w:val="none"/>
              </w:rPr>
              <w:t>对于地脚螺栓等非预埋的施工，其二次灌浆的土建施工由中标人负责。</w:t>
            </w:r>
          </w:p>
        </w:tc>
        <w:tc>
          <w:tcPr>
            <w:tcW w:w="2181" w:type="dxa"/>
            <w:vAlign w:val="center"/>
          </w:tcPr>
          <w:p>
            <w:pPr>
              <w:pStyle w:val="2"/>
              <w:adjustRightInd/>
              <w:ind w:left="0"/>
              <w:jc w:val="both"/>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2"/>
              <w:adjustRightInd/>
              <w:ind w:left="0"/>
              <w:jc w:val="center"/>
              <w:rPr>
                <w:color w:val="auto"/>
                <w:sz w:val="21"/>
                <w:szCs w:val="21"/>
                <w:highlight w:val="none"/>
              </w:rPr>
            </w:pPr>
          </w:p>
        </w:tc>
        <w:tc>
          <w:tcPr>
            <w:tcW w:w="883" w:type="dxa"/>
            <w:vMerge w:val="continue"/>
            <w:vAlign w:val="center"/>
          </w:tcPr>
          <w:p>
            <w:pPr>
              <w:pStyle w:val="2"/>
              <w:adjustRightInd/>
              <w:ind w:left="0"/>
              <w:jc w:val="center"/>
              <w:rPr>
                <w:color w:val="auto"/>
                <w:sz w:val="21"/>
                <w:szCs w:val="21"/>
                <w:highlight w:val="none"/>
              </w:rPr>
            </w:pPr>
          </w:p>
        </w:tc>
        <w:tc>
          <w:tcPr>
            <w:tcW w:w="1285" w:type="dxa"/>
            <w:vAlign w:val="center"/>
          </w:tcPr>
          <w:p>
            <w:pPr>
              <w:pStyle w:val="2"/>
              <w:adjustRightInd/>
              <w:ind w:left="0"/>
              <w:jc w:val="center"/>
              <w:rPr>
                <w:color w:val="auto"/>
                <w:sz w:val="21"/>
                <w:szCs w:val="21"/>
                <w:highlight w:val="none"/>
              </w:rPr>
            </w:pPr>
            <w:r>
              <w:rPr>
                <w:rFonts w:hint="eastAsia"/>
                <w:color w:val="auto"/>
                <w:sz w:val="21"/>
                <w:szCs w:val="21"/>
                <w:highlight w:val="none"/>
              </w:rPr>
              <w:t>消防</w:t>
            </w:r>
          </w:p>
        </w:tc>
        <w:tc>
          <w:tcPr>
            <w:tcW w:w="3655" w:type="dxa"/>
            <w:vAlign w:val="center"/>
          </w:tcPr>
          <w:p>
            <w:pPr>
              <w:pStyle w:val="2"/>
              <w:adjustRightInd/>
              <w:ind w:left="0"/>
              <w:jc w:val="both"/>
              <w:rPr>
                <w:color w:val="auto"/>
                <w:sz w:val="21"/>
                <w:szCs w:val="21"/>
                <w:highlight w:val="none"/>
              </w:rPr>
            </w:pPr>
            <w:r>
              <w:rPr>
                <w:rFonts w:hint="eastAsia"/>
                <w:color w:val="auto"/>
                <w:sz w:val="21"/>
                <w:szCs w:val="21"/>
                <w:highlight w:val="none"/>
              </w:rPr>
              <w:t>消防设施的土建不在本次招标范围内。如存在设备消防，中标人应按照有关标准和规范进行配置相关设施。</w:t>
            </w:r>
          </w:p>
        </w:tc>
        <w:tc>
          <w:tcPr>
            <w:tcW w:w="2181" w:type="dxa"/>
            <w:vAlign w:val="center"/>
          </w:tcPr>
          <w:p>
            <w:pPr>
              <w:pStyle w:val="2"/>
              <w:adjustRightInd/>
              <w:ind w:left="0"/>
              <w:jc w:val="both"/>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vMerge w:val="continue"/>
            <w:vAlign w:val="center"/>
          </w:tcPr>
          <w:p>
            <w:pPr>
              <w:pStyle w:val="2"/>
              <w:adjustRightInd/>
              <w:ind w:left="0"/>
              <w:jc w:val="center"/>
              <w:rPr>
                <w:color w:val="auto"/>
                <w:sz w:val="21"/>
                <w:szCs w:val="21"/>
                <w:highlight w:val="none"/>
              </w:rPr>
            </w:pPr>
          </w:p>
        </w:tc>
        <w:tc>
          <w:tcPr>
            <w:tcW w:w="883" w:type="dxa"/>
            <w:vMerge w:val="continue"/>
            <w:vAlign w:val="center"/>
          </w:tcPr>
          <w:p>
            <w:pPr>
              <w:pStyle w:val="2"/>
              <w:adjustRightInd/>
              <w:ind w:left="0"/>
              <w:jc w:val="center"/>
              <w:rPr>
                <w:color w:val="auto"/>
                <w:sz w:val="21"/>
                <w:szCs w:val="21"/>
                <w:highlight w:val="none"/>
              </w:rPr>
            </w:pPr>
          </w:p>
        </w:tc>
        <w:tc>
          <w:tcPr>
            <w:tcW w:w="1285" w:type="dxa"/>
            <w:vAlign w:val="center"/>
          </w:tcPr>
          <w:p>
            <w:pPr>
              <w:pStyle w:val="2"/>
              <w:adjustRightInd/>
              <w:ind w:left="0"/>
              <w:jc w:val="center"/>
              <w:rPr>
                <w:color w:val="auto"/>
                <w:sz w:val="21"/>
                <w:szCs w:val="21"/>
                <w:highlight w:val="none"/>
              </w:rPr>
            </w:pPr>
            <w:r>
              <w:rPr>
                <w:rFonts w:hint="eastAsia"/>
                <w:color w:val="auto"/>
                <w:sz w:val="21"/>
                <w:szCs w:val="21"/>
                <w:highlight w:val="none"/>
              </w:rPr>
              <w:t>建筑、装修</w:t>
            </w:r>
          </w:p>
        </w:tc>
        <w:tc>
          <w:tcPr>
            <w:tcW w:w="3655" w:type="dxa"/>
            <w:vAlign w:val="center"/>
          </w:tcPr>
          <w:p>
            <w:pPr>
              <w:pStyle w:val="2"/>
              <w:adjustRightInd/>
              <w:ind w:left="0"/>
              <w:jc w:val="both"/>
              <w:rPr>
                <w:color w:val="auto"/>
                <w:sz w:val="21"/>
                <w:szCs w:val="21"/>
                <w:highlight w:val="none"/>
              </w:rPr>
            </w:pPr>
            <w:r>
              <w:rPr>
                <w:rFonts w:hint="eastAsia"/>
                <w:color w:val="auto"/>
                <w:sz w:val="21"/>
                <w:szCs w:val="21"/>
                <w:highlight w:val="none"/>
              </w:rPr>
              <w:t>建筑物、装修不在本标范围内。但因设备安装过程中在建构筑物上的开孔、植筋（栓）连接、破除等工程的修复施工由中标人负责，并恢复原貌。</w:t>
            </w:r>
          </w:p>
        </w:tc>
        <w:tc>
          <w:tcPr>
            <w:tcW w:w="2181" w:type="dxa"/>
            <w:vAlign w:val="center"/>
          </w:tcPr>
          <w:p>
            <w:pPr>
              <w:pStyle w:val="2"/>
              <w:adjustRightInd/>
              <w:ind w:left="0"/>
              <w:jc w:val="both"/>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516" w:type="dxa"/>
            <w:vAlign w:val="center"/>
          </w:tcPr>
          <w:p>
            <w:pPr>
              <w:pStyle w:val="2"/>
              <w:adjustRightInd/>
              <w:ind w:left="0"/>
              <w:jc w:val="center"/>
              <w:rPr>
                <w:color w:val="auto"/>
                <w:sz w:val="21"/>
                <w:szCs w:val="21"/>
                <w:highlight w:val="none"/>
              </w:rPr>
            </w:pPr>
            <w:r>
              <w:rPr>
                <w:rFonts w:hint="eastAsia"/>
                <w:color w:val="auto"/>
                <w:sz w:val="21"/>
                <w:szCs w:val="21"/>
                <w:highlight w:val="none"/>
              </w:rPr>
              <w:t>6</w:t>
            </w:r>
          </w:p>
        </w:tc>
        <w:tc>
          <w:tcPr>
            <w:tcW w:w="2168" w:type="dxa"/>
            <w:gridSpan w:val="2"/>
            <w:vAlign w:val="center"/>
          </w:tcPr>
          <w:p>
            <w:pPr>
              <w:pStyle w:val="2"/>
              <w:adjustRightInd/>
              <w:ind w:left="0"/>
              <w:jc w:val="center"/>
              <w:rPr>
                <w:color w:val="auto"/>
                <w:sz w:val="21"/>
                <w:szCs w:val="21"/>
                <w:highlight w:val="none"/>
              </w:rPr>
            </w:pPr>
            <w:r>
              <w:rPr>
                <w:rFonts w:hint="eastAsia"/>
                <w:color w:val="auto"/>
                <w:sz w:val="21"/>
                <w:szCs w:val="21"/>
                <w:highlight w:val="none"/>
              </w:rPr>
              <w:t>通讯接口及要求</w:t>
            </w:r>
          </w:p>
        </w:tc>
        <w:tc>
          <w:tcPr>
            <w:tcW w:w="3655" w:type="dxa"/>
            <w:vAlign w:val="center"/>
          </w:tcPr>
          <w:p>
            <w:pPr>
              <w:pStyle w:val="2"/>
              <w:adjustRightInd/>
              <w:ind w:left="0"/>
              <w:jc w:val="both"/>
              <w:rPr>
                <w:color w:val="auto"/>
                <w:sz w:val="21"/>
                <w:szCs w:val="21"/>
                <w:highlight w:val="none"/>
              </w:rPr>
            </w:pPr>
            <w:r>
              <w:rPr>
                <w:rFonts w:hint="eastAsia"/>
                <w:color w:val="auto"/>
                <w:sz w:val="21"/>
                <w:szCs w:val="21"/>
                <w:highlight w:val="none"/>
              </w:rPr>
              <w:t>控制系统中标人提供工艺控制数据地址列表，采用以太网的方式，通讯协议为profinet。将网络介质敷设至中控室并接入压缩转运系统网络，提供工艺流程图并协助中控系统安装单位完成调试。</w:t>
            </w:r>
          </w:p>
        </w:tc>
        <w:tc>
          <w:tcPr>
            <w:tcW w:w="2181" w:type="dxa"/>
            <w:vAlign w:val="center"/>
          </w:tcPr>
          <w:p>
            <w:pPr>
              <w:pStyle w:val="2"/>
              <w:adjustRightInd/>
              <w:ind w:left="0"/>
              <w:jc w:val="both"/>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7" w:hRule="atLeast"/>
          <w:jc w:val="center"/>
        </w:trPr>
        <w:tc>
          <w:tcPr>
            <w:tcW w:w="516" w:type="dxa"/>
            <w:vAlign w:val="center"/>
          </w:tcPr>
          <w:p>
            <w:pPr>
              <w:pStyle w:val="2"/>
              <w:adjustRightInd/>
              <w:ind w:left="0"/>
              <w:jc w:val="center"/>
              <w:rPr>
                <w:color w:val="auto"/>
                <w:sz w:val="21"/>
                <w:szCs w:val="21"/>
                <w:highlight w:val="none"/>
              </w:rPr>
            </w:pPr>
            <w:r>
              <w:rPr>
                <w:rFonts w:hint="eastAsia"/>
                <w:color w:val="auto"/>
                <w:sz w:val="21"/>
                <w:szCs w:val="21"/>
                <w:highlight w:val="none"/>
              </w:rPr>
              <w:t>7</w:t>
            </w:r>
          </w:p>
        </w:tc>
        <w:tc>
          <w:tcPr>
            <w:tcW w:w="2168" w:type="dxa"/>
            <w:gridSpan w:val="2"/>
            <w:vAlign w:val="center"/>
          </w:tcPr>
          <w:p>
            <w:pPr>
              <w:pStyle w:val="2"/>
              <w:adjustRightInd/>
              <w:ind w:left="0"/>
              <w:jc w:val="center"/>
              <w:rPr>
                <w:color w:val="auto"/>
                <w:sz w:val="21"/>
                <w:szCs w:val="21"/>
                <w:highlight w:val="none"/>
              </w:rPr>
            </w:pPr>
            <w:r>
              <w:rPr>
                <w:rFonts w:hint="eastAsia"/>
                <w:color w:val="auto"/>
                <w:sz w:val="21"/>
                <w:szCs w:val="21"/>
                <w:highlight w:val="none"/>
              </w:rPr>
              <w:t>臭气</w:t>
            </w:r>
          </w:p>
        </w:tc>
        <w:tc>
          <w:tcPr>
            <w:tcW w:w="3655" w:type="dxa"/>
            <w:vAlign w:val="center"/>
          </w:tcPr>
          <w:p>
            <w:pPr>
              <w:pStyle w:val="2"/>
              <w:adjustRightInd/>
              <w:ind w:left="0"/>
              <w:jc w:val="both"/>
              <w:rPr>
                <w:color w:val="auto"/>
                <w:sz w:val="21"/>
                <w:szCs w:val="21"/>
                <w:highlight w:val="none"/>
              </w:rPr>
            </w:pPr>
            <w:r>
              <w:rPr>
                <w:rFonts w:hint="eastAsia"/>
                <w:color w:val="auto"/>
                <w:sz w:val="21"/>
                <w:szCs w:val="21"/>
                <w:highlight w:val="none"/>
              </w:rPr>
              <w:t>由中标人负责预留接口，具体位置在详细设计时由采购人指定。</w:t>
            </w:r>
          </w:p>
        </w:tc>
        <w:tc>
          <w:tcPr>
            <w:tcW w:w="2181" w:type="dxa"/>
            <w:vAlign w:val="center"/>
          </w:tcPr>
          <w:p>
            <w:pPr>
              <w:pStyle w:val="2"/>
              <w:adjustRightInd/>
              <w:ind w:left="0"/>
              <w:jc w:val="both"/>
              <w:rPr>
                <w:color w:val="auto"/>
                <w:sz w:val="21"/>
                <w:szCs w:val="21"/>
                <w:highlight w:val="none"/>
              </w:rPr>
            </w:pPr>
          </w:p>
        </w:tc>
      </w:tr>
    </w:tbl>
    <w:p>
      <w:pPr>
        <w:adjustRightInd/>
        <w:jc w:val="both"/>
        <w:rPr>
          <w:rFonts w:ascii="宋体" w:hAnsi="宋体" w:cs="宋体"/>
          <w:color w:val="auto"/>
          <w:szCs w:val="21"/>
          <w:highlight w:val="none"/>
        </w:rPr>
      </w:pPr>
    </w:p>
    <w:p>
      <w:pPr>
        <w:pStyle w:val="5"/>
        <w:adjustRightInd/>
        <w:spacing w:line="360" w:lineRule="auto"/>
        <w:jc w:val="both"/>
        <w:rPr>
          <w:rFonts w:ascii="宋体" w:hAnsi="宋体" w:cs="宋体"/>
          <w:color w:val="auto"/>
          <w:sz w:val="21"/>
          <w:szCs w:val="21"/>
          <w:highlight w:val="none"/>
        </w:rPr>
      </w:pPr>
      <w:bookmarkStart w:id="135" w:name="_Toc144892887"/>
      <w:bookmarkStart w:id="136" w:name="_Toc18718"/>
      <w:r>
        <w:rPr>
          <w:rFonts w:hint="eastAsia" w:ascii="宋体" w:hAnsi="宋体" w:cs="宋体"/>
          <w:color w:val="auto"/>
          <w:sz w:val="21"/>
          <w:szCs w:val="21"/>
          <w:highlight w:val="none"/>
        </w:rPr>
        <w:t>五、设计条件和要求</w:t>
      </w:r>
      <w:bookmarkEnd w:id="132"/>
      <w:bookmarkEnd w:id="135"/>
      <w:bookmarkEnd w:id="136"/>
    </w:p>
    <w:p>
      <w:pPr>
        <w:pStyle w:val="6"/>
        <w:numPr>
          <w:ilvl w:val="1"/>
          <w:numId w:val="19"/>
        </w:numPr>
        <w:adjustRightInd/>
        <w:spacing w:line="360" w:lineRule="auto"/>
        <w:jc w:val="both"/>
        <w:rPr>
          <w:rFonts w:ascii="宋体" w:hAnsi="宋体" w:eastAsia="宋体" w:cs="宋体"/>
          <w:color w:val="auto"/>
          <w:sz w:val="21"/>
          <w:szCs w:val="21"/>
          <w:highlight w:val="none"/>
        </w:rPr>
      </w:pPr>
      <w:bookmarkStart w:id="137" w:name="_Toc144892888"/>
      <w:bookmarkStart w:id="138" w:name="_Toc3475"/>
      <w:r>
        <w:rPr>
          <w:rFonts w:hint="eastAsia" w:ascii="宋体" w:hAnsi="宋体" w:eastAsia="宋体" w:cs="宋体"/>
          <w:color w:val="auto"/>
          <w:sz w:val="21"/>
          <w:szCs w:val="21"/>
          <w:highlight w:val="none"/>
        </w:rPr>
        <w:t>本项目标准及规范</w:t>
      </w:r>
      <w:bookmarkEnd w:id="137"/>
      <w:bookmarkEnd w:id="138"/>
    </w:p>
    <w:p>
      <w:pPr>
        <w:pStyle w:val="2"/>
        <w:adjustRightInd/>
        <w:spacing w:before="60" w:after="60"/>
        <w:ind w:left="0" w:right="113" w:firstLine="420" w:firstLineChars="200"/>
        <w:jc w:val="both"/>
        <w:rPr>
          <w:color w:val="auto"/>
          <w:sz w:val="21"/>
          <w:szCs w:val="21"/>
          <w:highlight w:val="none"/>
        </w:rPr>
      </w:pPr>
      <w:bookmarkStart w:id="139" w:name="_Toc3801"/>
      <w:r>
        <w:rPr>
          <w:rFonts w:hint="eastAsia"/>
          <w:color w:val="auto"/>
          <w:sz w:val="21"/>
          <w:szCs w:val="21"/>
          <w:highlight w:val="none"/>
        </w:rPr>
        <w:t>本招标项目的材料、设备、施工、验收须达到现行中华人民共和国以及省、自治区、直辖市或行业的工程建设标准、规范的要求。</w:t>
      </w:r>
      <w:bookmarkEnd w:id="139"/>
      <w:r>
        <w:rPr>
          <w:rFonts w:hint="eastAsia"/>
          <w:color w:val="auto"/>
          <w:sz w:val="21"/>
          <w:szCs w:val="21"/>
          <w:highlight w:val="none"/>
        </w:rPr>
        <w:t>以下是主要应用的相关法规、标准和规定（包括但不限于；以下规范如有最新版本，则须以最新版本为准，下同。）：</w:t>
      </w:r>
    </w:p>
    <w:p>
      <w:pPr>
        <w:adjustRightInd/>
        <w:jc w:val="both"/>
        <w:rPr>
          <w:rFonts w:ascii="宋体" w:hAnsi="宋体" w:cs="宋体"/>
          <w:color w:val="auto"/>
          <w:szCs w:val="21"/>
          <w:highlight w:val="none"/>
          <w:lang w:val="zh-CN"/>
        </w:rPr>
      </w:pPr>
      <w:r>
        <w:rPr>
          <w:rFonts w:hint="eastAsia" w:ascii="宋体" w:hAnsi="宋体" w:cs="宋体"/>
          <w:color w:val="auto"/>
          <w:szCs w:val="21"/>
          <w:highlight w:val="none"/>
        </w:rPr>
        <w:t>（1）生活垃圾渗滤液处理技术规范（CJJ150-2010）</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（2）环境卫生技术规范(GB51260-2017)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（3）生活垃圾转运站技术规范(CJJ 47-2016)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（4）生活垃圾收集站技术规程(CJJ 179-2012)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（5）生活垃圾转运站压缩机(CJ/T 338-2010)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（6）城镇环境卫生设施除臭技术标准(CJJ274-2018)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（7）生活垃圾转运站评价标准(建标 117-2009)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（8）生活垃圾转运站评价标准(CJJT156-2010)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（9）生活垃圾产生源分类及其排放(CJ/T 368-2011)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（10）机械安全机械电气设备第 1 部分:通用技术条件(GB 5226.1-2008)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（11）机动车运行安全技术条件(GB 7258-2012) </w:t>
      </w:r>
    </w:p>
    <w:p>
      <w:pPr>
        <w:adjustRightInd/>
        <w:jc w:val="both"/>
        <w:rPr>
          <w:rFonts w:ascii="宋体" w:hAnsi="宋体" w:cs="宋体"/>
          <w:color w:val="auto"/>
          <w:szCs w:val="21"/>
          <w:highlight w:val="none"/>
        </w:rPr>
      </w:pPr>
      <w:r>
        <w:rPr>
          <w:rFonts w:hint="eastAsia" w:ascii="宋体" w:hAnsi="宋体" w:cs="宋体"/>
          <w:color w:val="auto"/>
          <w:szCs w:val="21"/>
          <w:highlight w:val="none"/>
        </w:rPr>
        <w:t>（12）《鼓风曝气系统设计规范》CECS91:97</w:t>
      </w:r>
    </w:p>
    <w:p>
      <w:pPr>
        <w:adjustRightInd/>
        <w:jc w:val="both"/>
        <w:rPr>
          <w:rFonts w:ascii="宋体" w:hAnsi="宋体" w:cs="宋体"/>
          <w:color w:val="auto"/>
          <w:szCs w:val="21"/>
          <w:highlight w:val="none"/>
        </w:rPr>
      </w:pPr>
      <w:r>
        <w:rPr>
          <w:rFonts w:hint="eastAsia" w:ascii="宋体" w:hAnsi="宋体" w:cs="宋体"/>
          <w:color w:val="auto"/>
          <w:szCs w:val="21"/>
          <w:highlight w:val="none"/>
        </w:rPr>
        <w:t>（13）《现场设备、工业管道焊接工程施工及验收规范》GBJ236-82</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（14）危险废物鉴别标准通则(GB5085.7～2019)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（15）市政公用工程设计文件编制深度规定(2013 版) </w:t>
      </w:r>
    </w:p>
    <w:p>
      <w:pPr>
        <w:adjustRightInd/>
        <w:jc w:val="both"/>
        <w:rPr>
          <w:rFonts w:ascii="宋体" w:hAnsi="宋体" w:cs="宋体"/>
          <w:color w:val="auto"/>
          <w:szCs w:val="21"/>
          <w:highlight w:val="none"/>
        </w:rPr>
      </w:pPr>
      <w:r>
        <w:rPr>
          <w:rFonts w:hint="eastAsia" w:ascii="宋体" w:hAnsi="宋体" w:cs="宋体"/>
          <w:color w:val="auto"/>
          <w:szCs w:val="21"/>
          <w:highlight w:val="none"/>
        </w:rPr>
        <w:t>（16）《建筑给水排水设计标准》GB50015-2019</w:t>
      </w:r>
    </w:p>
    <w:p>
      <w:pPr>
        <w:adjustRightInd/>
        <w:jc w:val="both"/>
        <w:rPr>
          <w:rFonts w:ascii="宋体" w:hAnsi="宋体" w:cs="宋体"/>
          <w:color w:val="auto"/>
          <w:szCs w:val="21"/>
          <w:highlight w:val="none"/>
        </w:rPr>
      </w:pPr>
      <w:r>
        <w:rPr>
          <w:rFonts w:hint="eastAsia" w:ascii="宋体" w:hAnsi="宋体" w:cs="宋体"/>
          <w:color w:val="auto"/>
          <w:szCs w:val="21"/>
          <w:highlight w:val="none"/>
        </w:rPr>
        <w:t>（17）《室外给水设计标准》GB50013-2018</w:t>
      </w:r>
    </w:p>
    <w:p>
      <w:pPr>
        <w:adjustRightInd/>
        <w:jc w:val="both"/>
        <w:rPr>
          <w:rFonts w:ascii="宋体" w:hAnsi="宋体" w:cs="宋体"/>
          <w:color w:val="auto"/>
          <w:szCs w:val="21"/>
          <w:highlight w:val="none"/>
        </w:rPr>
      </w:pPr>
      <w:r>
        <w:rPr>
          <w:rFonts w:hint="eastAsia" w:ascii="宋体" w:hAnsi="宋体" w:cs="宋体"/>
          <w:color w:val="auto"/>
          <w:szCs w:val="21"/>
          <w:highlight w:val="none"/>
        </w:rPr>
        <w:t>（18）《室外排水设计标准》GB5014-2021</w:t>
      </w:r>
    </w:p>
    <w:p>
      <w:pPr>
        <w:adjustRightInd/>
        <w:jc w:val="both"/>
        <w:rPr>
          <w:rFonts w:ascii="宋体" w:hAnsi="宋体" w:cs="宋体"/>
          <w:color w:val="auto"/>
          <w:szCs w:val="21"/>
          <w:highlight w:val="none"/>
        </w:rPr>
      </w:pPr>
      <w:r>
        <w:rPr>
          <w:rFonts w:hint="eastAsia" w:ascii="宋体" w:hAnsi="宋体" w:cs="宋体"/>
          <w:color w:val="auto"/>
          <w:szCs w:val="21"/>
          <w:highlight w:val="none"/>
        </w:rPr>
        <w:t>（19）《机械设备安装工程施工及验收规范》GBJ231-82</w:t>
      </w:r>
    </w:p>
    <w:p>
      <w:pPr>
        <w:adjustRightInd/>
        <w:jc w:val="both"/>
        <w:rPr>
          <w:rFonts w:ascii="宋体" w:hAnsi="宋体" w:cs="宋体"/>
          <w:color w:val="auto"/>
          <w:szCs w:val="21"/>
          <w:highlight w:val="none"/>
        </w:rPr>
      </w:pPr>
      <w:r>
        <w:rPr>
          <w:rFonts w:hint="eastAsia" w:ascii="宋体" w:hAnsi="宋体" w:cs="宋体"/>
          <w:color w:val="auto"/>
          <w:szCs w:val="21"/>
          <w:highlight w:val="none"/>
        </w:rPr>
        <w:t>（20）《工业循环冷却水处理设计规范》GB/T 50050-2017</w:t>
      </w:r>
    </w:p>
    <w:p>
      <w:pPr>
        <w:adjustRightInd/>
        <w:jc w:val="both"/>
        <w:rPr>
          <w:rFonts w:ascii="宋体" w:hAnsi="宋体" w:cs="宋体"/>
          <w:color w:val="auto"/>
          <w:szCs w:val="21"/>
          <w:highlight w:val="none"/>
        </w:rPr>
      </w:pPr>
      <w:r>
        <w:rPr>
          <w:rFonts w:hint="eastAsia" w:ascii="宋体" w:hAnsi="宋体" w:cs="宋体"/>
          <w:color w:val="auto"/>
          <w:szCs w:val="21"/>
          <w:highlight w:val="none"/>
        </w:rPr>
        <w:t>（21）《工业循环水冷却设计规范》GB/T50102-2014</w:t>
      </w:r>
    </w:p>
    <w:p>
      <w:pPr>
        <w:adjustRightInd/>
        <w:jc w:val="both"/>
        <w:rPr>
          <w:rFonts w:ascii="宋体" w:hAnsi="宋体" w:cs="宋体"/>
          <w:color w:val="auto"/>
          <w:szCs w:val="21"/>
          <w:highlight w:val="none"/>
        </w:rPr>
      </w:pPr>
      <w:r>
        <w:rPr>
          <w:rFonts w:hint="eastAsia" w:ascii="宋体" w:hAnsi="宋体" w:cs="宋体"/>
          <w:color w:val="auto"/>
          <w:szCs w:val="21"/>
          <w:highlight w:val="none"/>
        </w:rPr>
        <w:t>（22）《建筑给水排水及节水通用规范》GB55020-2021</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（23）恶臭污染物排放标准(GB 14554-93)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（24）工业企业厂界环境噪声排放标准(GB 12348-2008)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（25）大气环境质量标准(GB 3095-2012)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（26）地表水环境质量标准(GB 3838-2002)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（27）地下水质量标准(GB/T 14848-2017)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（28）民用建筑设计统一标准(GB 50352-2019)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（29）建筑设计防火规范(GB 50016-2014（2018 版）)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（30）低压配电设计规范(GB 50054-2011)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（31）20kV 及以下变电所设计规范(GB 50053-2013)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（32）通用用电设备配电设计规范(GB 50055-2011)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（33）建筑物防雷设计规范(GB 50057-2010)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（34）民用建筑电气设计规范(JGJ/T16-2008) </w:t>
      </w:r>
    </w:p>
    <w:p>
      <w:pPr>
        <w:adjustRightInd/>
        <w:jc w:val="both"/>
        <w:rPr>
          <w:rFonts w:ascii="宋体" w:hAnsi="宋体" w:cs="宋体"/>
          <w:color w:val="auto"/>
          <w:szCs w:val="21"/>
          <w:highlight w:val="none"/>
        </w:rPr>
      </w:pPr>
      <w:r>
        <w:rPr>
          <w:rFonts w:hint="eastAsia" w:ascii="宋体" w:hAnsi="宋体" w:cs="宋体"/>
          <w:color w:val="auto"/>
          <w:szCs w:val="21"/>
          <w:highlight w:val="none"/>
        </w:rPr>
        <w:t xml:space="preserve">（35）供配电系统设计规范(GB 50052-2009) </w:t>
      </w:r>
    </w:p>
    <w:p>
      <w:pPr>
        <w:pStyle w:val="6"/>
        <w:numPr>
          <w:ilvl w:val="1"/>
          <w:numId w:val="19"/>
        </w:numPr>
        <w:adjustRightInd/>
        <w:spacing w:line="360" w:lineRule="auto"/>
        <w:jc w:val="both"/>
        <w:rPr>
          <w:rFonts w:ascii="宋体" w:hAnsi="宋体" w:eastAsia="宋体" w:cs="宋体"/>
          <w:color w:val="auto"/>
          <w:sz w:val="21"/>
          <w:szCs w:val="21"/>
          <w:highlight w:val="none"/>
        </w:rPr>
      </w:pPr>
      <w:bookmarkStart w:id="140" w:name="_Toc144892889"/>
      <w:bookmarkStart w:id="141" w:name="_Toc32135"/>
      <w:r>
        <w:rPr>
          <w:rFonts w:hint="eastAsia" w:ascii="宋体" w:hAnsi="宋体" w:eastAsia="宋体" w:cs="宋体"/>
          <w:color w:val="auto"/>
          <w:sz w:val="21"/>
          <w:szCs w:val="21"/>
          <w:highlight w:val="none"/>
        </w:rPr>
        <w:t>设计能力</w:t>
      </w:r>
      <w:bookmarkEnd w:id="140"/>
      <w:bookmarkEnd w:id="141"/>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根据项目设计要求，配套一套规模不小于140吨/日的污水处理系统。主要处理对象为垃圾压缩渗滤液及卸料平台、地面冲洗水等，系统应能承受水质波动，并能耐10%的冲击负荷。系统年运行时长365天。主设备使用年限不少于15年。</w:t>
      </w:r>
    </w:p>
    <w:p>
      <w:pPr>
        <w:pStyle w:val="6"/>
        <w:numPr>
          <w:ilvl w:val="1"/>
          <w:numId w:val="19"/>
        </w:numPr>
        <w:adjustRightInd/>
        <w:spacing w:line="360" w:lineRule="auto"/>
        <w:jc w:val="both"/>
        <w:rPr>
          <w:rFonts w:ascii="宋体" w:hAnsi="宋体" w:eastAsia="宋体" w:cs="宋体"/>
          <w:color w:val="auto"/>
          <w:sz w:val="21"/>
          <w:szCs w:val="21"/>
          <w:highlight w:val="none"/>
        </w:rPr>
      </w:pPr>
      <w:bookmarkStart w:id="142" w:name="_Toc144892890"/>
      <w:bookmarkStart w:id="143" w:name="_Toc22497"/>
      <w:r>
        <w:rPr>
          <w:rFonts w:hint="eastAsia" w:ascii="宋体" w:hAnsi="宋体" w:eastAsia="宋体" w:cs="宋体"/>
          <w:color w:val="auto"/>
          <w:sz w:val="21"/>
          <w:szCs w:val="21"/>
          <w:highlight w:val="none"/>
        </w:rPr>
        <w:t>进水水质</w:t>
      </w:r>
      <w:bookmarkEnd w:id="142"/>
      <w:bookmarkEnd w:id="143"/>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根据《生活垃圾渗滤液处理技术规范（CJJ150-2010）》等有关规定，结合现有水质情况和对未来水质的预测，并参考国内其他类似垃圾污水处理站项目的进水水质，确定本项目进水主要水质指标如下：</w:t>
      </w:r>
    </w:p>
    <w:tbl>
      <w:tblPr>
        <w:tblStyle w:val="3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2057"/>
        <w:gridCol w:w="2357"/>
        <w:gridCol w:w="2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1563" w:type="dxa"/>
            <w:vAlign w:val="center"/>
          </w:tcPr>
          <w:p>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057" w:type="dxa"/>
            <w:vAlign w:val="center"/>
          </w:tcPr>
          <w:p>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项目</w:t>
            </w:r>
          </w:p>
        </w:tc>
        <w:tc>
          <w:tcPr>
            <w:tcW w:w="2357" w:type="dxa"/>
            <w:vAlign w:val="center"/>
          </w:tcPr>
          <w:p>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数值</w:t>
            </w:r>
          </w:p>
        </w:tc>
        <w:tc>
          <w:tcPr>
            <w:tcW w:w="2545" w:type="dxa"/>
            <w:vAlign w:val="center"/>
          </w:tcPr>
          <w:p>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3"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w:t>
            </w:r>
          </w:p>
        </w:tc>
        <w:tc>
          <w:tcPr>
            <w:tcW w:w="20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CODCr</w:t>
            </w:r>
          </w:p>
        </w:tc>
        <w:tc>
          <w:tcPr>
            <w:tcW w:w="23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20000</w:t>
            </w:r>
          </w:p>
        </w:tc>
        <w:tc>
          <w:tcPr>
            <w:tcW w:w="2545"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3"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w:t>
            </w:r>
          </w:p>
        </w:tc>
        <w:tc>
          <w:tcPr>
            <w:tcW w:w="20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BOD5</w:t>
            </w:r>
          </w:p>
        </w:tc>
        <w:tc>
          <w:tcPr>
            <w:tcW w:w="23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12000</w:t>
            </w:r>
          </w:p>
        </w:tc>
        <w:tc>
          <w:tcPr>
            <w:tcW w:w="2545"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3"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w:t>
            </w:r>
          </w:p>
        </w:tc>
        <w:tc>
          <w:tcPr>
            <w:tcW w:w="20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氨氮</w:t>
            </w:r>
          </w:p>
        </w:tc>
        <w:tc>
          <w:tcPr>
            <w:tcW w:w="23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500</w:t>
            </w:r>
          </w:p>
        </w:tc>
        <w:tc>
          <w:tcPr>
            <w:tcW w:w="2545"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3"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4</w:t>
            </w:r>
          </w:p>
        </w:tc>
        <w:tc>
          <w:tcPr>
            <w:tcW w:w="20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总氮</w:t>
            </w:r>
          </w:p>
        </w:tc>
        <w:tc>
          <w:tcPr>
            <w:tcW w:w="23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1000</w:t>
            </w:r>
          </w:p>
        </w:tc>
        <w:tc>
          <w:tcPr>
            <w:tcW w:w="2545"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3"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5</w:t>
            </w:r>
          </w:p>
        </w:tc>
        <w:tc>
          <w:tcPr>
            <w:tcW w:w="20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SS</w:t>
            </w:r>
          </w:p>
        </w:tc>
        <w:tc>
          <w:tcPr>
            <w:tcW w:w="23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3000</w:t>
            </w:r>
          </w:p>
        </w:tc>
        <w:tc>
          <w:tcPr>
            <w:tcW w:w="2545"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3"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6</w:t>
            </w:r>
          </w:p>
        </w:tc>
        <w:tc>
          <w:tcPr>
            <w:tcW w:w="20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电导率</w:t>
            </w:r>
          </w:p>
        </w:tc>
        <w:tc>
          <w:tcPr>
            <w:tcW w:w="23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20000</w:t>
            </w:r>
          </w:p>
        </w:tc>
        <w:tc>
          <w:tcPr>
            <w:tcW w:w="2545"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μS/cm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3"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7</w:t>
            </w:r>
          </w:p>
        </w:tc>
        <w:tc>
          <w:tcPr>
            <w:tcW w:w="20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pH</w:t>
            </w:r>
          </w:p>
        </w:tc>
        <w:tc>
          <w:tcPr>
            <w:tcW w:w="2357"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3～5</w:t>
            </w:r>
          </w:p>
        </w:tc>
        <w:tc>
          <w:tcPr>
            <w:tcW w:w="2545" w:type="dxa"/>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无量纲</w:t>
            </w:r>
          </w:p>
        </w:tc>
      </w:tr>
    </w:tbl>
    <w:p>
      <w:pPr>
        <w:pStyle w:val="6"/>
        <w:numPr>
          <w:ilvl w:val="1"/>
          <w:numId w:val="19"/>
        </w:numPr>
        <w:adjustRightInd/>
        <w:spacing w:line="360" w:lineRule="auto"/>
        <w:jc w:val="both"/>
        <w:rPr>
          <w:rFonts w:ascii="宋体" w:hAnsi="宋体" w:eastAsia="宋体" w:cs="宋体"/>
          <w:color w:val="auto"/>
          <w:sz w:val="21"/>
          <w:szCs w:val="21"/>
          <w:highlight w:val="none"/>
        </w:rPr>
      </w:pPr>
      <w:bookmarkStart w:id="144" w:name="_Toc25501"/>
      <w:bookmarkStart w:id="145" w:name="_Toc144892891"/>
      <w:r>
        <w:rPr>
          <w:rFonts w:hint="eastAsia" w:ascii="宋体" w:hAnsi="宋体" w:eastAsia="宋体" w:cs="宋体"/>
          <w:color w:val="auto"/>
          <w:sz w:val="21"/>
          <w:szCs w:val="21"/>
          <w:highlight w:val="none"/>
        </w:rPr>
        <w:t>出水水质</w:t>
      </w:r>
      <w:bookmarkEnd w:id="144"/>
      <w:bookmarkEnd w:id="145"/>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项目污水处理达标的尾水达到广东省《水污染物排放限值》(DB44/26-2001) 第二时段三级标准和《污水排入城镇下水道水质标准》（GB/T31962-2015）B 等级标准中较严值后经由市政管网，引至寮步竹园污水处理厂处理达标后，再排入东莞运河，相关指标详见下表：</w:t>
      </w:r>
    </w:p>
    <w:tbl>
      <w:tblPr>
        <w:tblStyle w:val="35"/>
        <w:tblW w:w="88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2200"/>
        <w:gridCol w:w="2201"/>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2200" w:type="dxa"/>
            <w:vAlign w:val="center"/>
          </w:tcPr>
          <w:p>
            <w:pPr>
              <w:pStyle w:val="19"/>
              <w:adjustRightInd/>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污染物指标</w:t>
            </w:r>
          </w:p>
        </w:tc>
        <w:tc>
          <w:tcPr>
            <w:tcW w:w="2200" w:type="dxa"/>
            <w:vAlign w:val="center"/>
          </w:tcPr>
          <w:p>
            <w:pPr>
              <w:pStyle w:val="19"/>
              <w:adjustRightInd/>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DB44/26-2001</w:t>
            </w:r>
          </w:p>
        </w:tc>
        <w:tc>
          <w:tcPr>
            <w:tcW w:w="2201" w:type="dxa"/>
            <w:vAlign w:val="center"/>
          </w:tcPr>
          <w:p>
            <w:pPr>
              <w:pStyle w:val="19"/>
              <w:adjustRightInd/>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GB/T31962-2015</w:t>
            </w:r>
          </w:p>
        </w:tc>
        <w:tc>
          <w:tcPr>
            <w:tcW w:w="2201" w:type="dxa"/>
            <w:vAlign w:val="center"/>
          </w:tcPr>
          <w:p>
            <w:pPr>
              <w:pStyle w:val="19"/>
              <w:adjustRightInd/>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项目最终排放标准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CODCr</w:t>
            </w:r>
          </w:p>
        </w:tc>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500</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500</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BOD5</w:t>
            </w:r>
          </w:p>
        </w:tc>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300</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350</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SS</w:t>
            </w:r>
          </w:p>
        </w:tc>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400</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400</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氨氮</w:t>
            </w:r>
          </w:p>
        </w:tc>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45</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总磷</w:t>
            </w:r>
          </w:p>
        </w:tc>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8</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动植物油</w:t>
            </w:r>
          </w:p>
        </w:tc>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100</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100</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总氮</w:t>
            </w:r>
          </w:p>
        </w:tc>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70</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LAS</w:t>
            </w:r>
          </w:p>
        </w:tc>
        <w:tc>
          <w:tcPr>
            <w:tcW w:w="2200"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20</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20</w:t>
            </w:r>
          </w:p>
        </w:tc>
        <w:tc>
          <w:tcPr>
            <w:tcW w:w="2201" w:type="dxa"/>
            <w:vAlign w:val="center"/>
          </w:tcPr>
          <w:p>
            <w:pPr>
              <w:pStyle w:val="19"/>
              <w:adjustRightInd/>
              <w:jc w:val="center"/>
              <w:rPr>
                <w:rFonts w:ascii="宋体" w:hAnsi="宋体" w:cs="宋体"/>
                <w:color w:val="auto"/>
                <w:sz w:val="21"/>
                <w:szCs w:val="21"/>
                <w:highlight w:val="none"/>
              </w:rPr>
            </w:pPr>
            <w:r>
              <w:rPr>
                <w:rFonts w:hint="eastAsia" w:ascii="宋体" w:hAnsi="宋体" w:cs="宋体"/>
                <w:color w:val="auto"/>
                <w:sz w:val="21"/>
                <w:szCs w:val="21"/>
                <w:highlight w:val="none"/>
              </w:rPr>
              <w:t>20</w:t>
            </w:r>
          </w:p>
        </w:tc>
      </w:tr>
    </w:tbl>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污水指标单位为mg/L。</w:t>
      </w:r>
    </w:p>
    <w:p>
      <w:pPr>
        <w:pStyle w:val="6"/>
        <w:numPr>
          <w:ilvl w:val="1"/>
          <w:numId w:val="19"/>
        </w:numPr>
        <w:adjustRightInd/>
        <w:spacing w:line="360" w:lineRule="auto"/>
        <w:jc w:val="both"/>
        <w:rPr>
          <w:rFonts w:ascii="宋体" w:hAnsi="宋体" w:eastAsia="宋体" w:cs="宋体"/>
          <w:color w:val="auto"/>
          <w:sz w:val="21"/>
          <w:szCs w:val="21"/>
          <w:highlight w:val="none"/>
        </w:rPr>
      </w:pPr>
      <w:bookmarkStart w:id="146" w:name="_Toc25535"/>
      <w:bookmarkStart w:id="147" w:name="_Toc144892892"/>
      <w:r>
        <w:rPr>
          <w:rFonts w:hint="eastAsia" w:ascii="宋体" w:hAnsi="宋体" w:eastAsia="宋体" w:cs="宋体"/>
          <w:color w:val="auto"/>
          <w:sz w:val="21"/>
          <w:szCs w:val="21"/>
          <w:highlight w:val="none"/>
        </w:rPr>
        <w:t>工艺流程</w:t>
      </w:r>
      <w:bookmarkEnd w:id="146"/>
      <w:bookmarkEnd w:id="147"/>
    </w:p>
    <w:p>
      <w:pPr>
        <w:adjustRightInd/>
        <w:ind w:firstLine="420" w:firstLineChars="200"/>
        <w:rPr>
          <w:rFonts w:ascii="宋体" w:hAnsi="宋体" w:cs="宋体"/>
          <w:color w:val="auto"/>
          <w:szCs w:val="21"/>
          <w:highlight w:val="none"/>
        </w:rPr>
      </w:pPr>
      <w:r>
        <w:rPr>
          <w:rFonts w:hint="eastAsia" w:ascii="宋体" w:hAnsi="宋体" w:cs="宋体"/>
          <w:color w:val="auto"/>
          <w:szCs w:val="21"/>
          <w:highlight w:val="none"/>
        </w:rPr>
        <w:t>污水处理流程详见下图：</w:t>
      </w:r>
    </w:p>
    <w:p>
      <w:pPr>
        <w:pStyle w:val="2"/>
        <w:adjustRightInd/>
        <w:spacing w:before="60" w:after="60"/>
        <w:ind w:left="0" w:right="113"/>
        <w:jc w:val="center"/>
        <w:rPr>
          <w:color w:val="auto"/>
          <w:sz w:val="21"/>
          <w:szCs w:val="21"/>
          <w:highlight w:val="none"/>
        </w:rPr>
      </w:pPr>
      <w:r>
        <w:rPr>
          <w:rFonts w:hint="eastAsia"/>
          <w:color w:val="auto"/>
          <w:sz w:val="21"/>
          <w:szCs w:val="21"/>
          <w:highlight w:val="none"/>
          <w:lang w:val="en-US" w:bidi="ar-SA"/>
        </w:rPr>
        <w:drawing>
          <wp:inline distT="0" distB="0" distL="0" distR="0">
            <wp:extent cx="4700905" cy="6855460"/>
            <wp:effectExtent l="0" t="0" r="4445" b="2540"/>
            <wp:docPr id="820735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35926"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17422" cy="6879250"/>
                    </a:xfrm>
                    <a:prstGeom prst="rect">
                      <a:avLst/>
                    </a:prstGeom>
                    <a:noFill/>
                    <a:ln>
                      <a:noFill/>
                    </a:ln>
                  </pic:spPr>
                </pic:pic>
              </a:graphicData>
            </a:graphic>
          </wp:inline>
        </w:drawing>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工艺简介：</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本项目采用“</w:t>
      </w:r>
      <w:r>
        <w:rPr>
          <w:rFonts w:hint="eastAsia"/>
          <w:b/>
          <w:bCs/>
          <w:color w:val="auto"/>
          <w:sz w:val="21"/>
          <w:szCs w:val="21"/>
          <w:highlight w:val="none"/>
        </w:rPr>
        <w:t>格栅+隔油沉渣+调节池+混凝沉淀+水解酸化+两级A/O+超滤+纳滤</w:t>
      </w:r>
      <w:r>
        <w:rPr>
          <w:rFonts w:hint="eastAsia"/>
          <w:color w:val="auto"/>
          <w:sz w:val="21"/>
          <w:szCs w:val="21"/>
          <w:highlight w:val="none"/>
        </w:rPr>
        <w:t>”的处理工艺。其中隔油池主要是去除污水中大部分的动植物油、石油类污染物，改善污水水质，便于后续工艺处理。混凝沉淀可以有效去除洗车渗滤液中的悬浮物、CODcr等，提高了污水处理设备抗冲击负荷的能力，有利于降低污水处理成本。通过硝化/反硝化处理工艺，有效分解水中的有机物、氨氮，使出水达标。纳滤出水消毒后用于洗车、洗地等回用，同时纳滤也作为出水的最终保障单元，能确保出水的稳定。出水水质达到广东省《水污染物排放限值》(DB44/26-2001) 第二时段三级标准和《污水排入城镇下水道水质标准》（GB/T31962-2015）B 等级标准中较严值后外排。</w:t>
      </w:r>
    </w:p>
    <w:p>
      <w:pPr>
        <w:pStyle w:val="3"/>
        <w:adjustRightInd/>
        <w:jc w:val="both"/>
        <w:rPr>
          <w:rFonts w:cs="宋体"/>
          <w:color w:val="auto"/>
          <w:szCs w:val="21"/>
          <w:highlight w:val="none"/>
        </w:rPr>
      </w:pPr>
      <w:r>
        <w:rPr>
          <w:rFonts w:hint="eastAsia" w:cs="宋体"/>
          <w:color w:val="auto"/>
          <w:szCs w:val="21"/>
          <w:highlight w:val="none"/>
        </w:rPr>
        <w:t>污泥经脱水处理后，滤液返回污水处理系统，污泥随垃圾外运。</w:t>
      </w:r>
    </w:p>
    <w:p>
      <w:pPr>
        <w:pStyle w:val="6"/>
        <w:numPr>
          <w:ilvl w:val="1"/>
          <w:numId w:val="19"/>
        </w:numPr>
        <w:adjustRightInd/>
        <w:spacing w:line="360" w:lineRule="auto"/>
        <w:jc w:val="both"/>
        <w:rPr>
          <w:rFonts w:ascii="宋体" w:hAnsi="宋体" w:eastAsia="宋体" w:cs="宋体"/>
          <w:color w:val="auto"/>
          <w:sz w:val="21"/>
          <w:szCs w:val="21"/>
          <w:highlight w:val="none"/>
        </w:rPr>
      </w:pPr>
      <w:bookmarkStart w:id="148" w:name="_Toc63167155"/>
      <w:bookmarkStart w:id="149" w:name="_Toc24139"/>
      <w:bookmarkStart w:id="150" w:name="_Toc144892893"/>
      <w:r>
        <w:rPr>
          <w:rFonts w:hint="eastAsia" w:ascii="宋体" w:hAnsi="宋体" w:eastAsia="宋体" w:cs="宋体"/>
          <w:color w:val="auto"/>
          <w:sz w:val="21"/>
          <w:szCs w:val="21"/>
          <w:highlight w:val="none"/>
        </w:rPr>
        <w:t>工艺技术要求</w:t>
      </w:r>
      <w:bookmarkEnd w:id="148"/>
      <w:bookmarkEnd w:id="149"/>
      <w:bookmarkEnd w:id="150"/>
    </w:p>
    <w:p>
      <w:pPr>
        <w:pStyle w:val="7"/>
        <w:numPr>
          <w:ilvl w:val="255"/>
          <w:numId w:val="0"/>
        </w:numPr>
        <w:adjustRightInd/>
        <w:spacing w:line="360" w:lineRule="auto"/>
        <w:jc w:val="both"/>
        <w:rPr>
          <w:rFonts w:ascii="宋体" w:hAnsi="宋体" w:cs="宋体"/>
          <w:color w:val="auto"/>
          <w:sz w:val="21"/>
          <w:szCs w:val="21"/>
          <w:highlight w:val="none"/>
        </w:rPr>
      </w:pPr>
      <w:bookmarkStart w:id="151" w:name="_Toc3839"/>
      <w:bookmarkStart w:id="152" w:name="_Toc144892894"/>
      <w:r>
        <w:rPr>
          <w:rFonts w:hint="eastAsia" w:ascii="宋体" w:hAnsi="宋体" w:cs="宋体"/>
          <w:color w:val="auto"/>
          <w:sz w:val="21"/>
          <w:szCs w:val="21"/>
          <w:highlight w:val="none"/>
        </w:rPr>
        <w:t>5.6.1 预处理系统</w:t>
      </w:r>
      <w:bookmarkEnd w:id="151"/>
      <w:bookmarkEnd w:id="152"/>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预处理调节池有效容积不得少于140立方米（1天）的污水储量，事故池有效容积不得少于230立方米。预处理系统应提具的主要设计参数包括但不限于：</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a）预处理所需水池的池体尺寸、有效容积与水力停留时间；</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b）预处理设备设计参数；</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c）预处理设备、阀门、计量、测量仪表及电气仪控清单等。</w:t>
      </w:r>
    </w:p>
    <w:p>
      <w:pPr>
        <w:pStyle w:val="7"/>
        <w:numPr>
          <w:ilvl w:val="255"/>
          <w:numId w:val="0"/>
        </w:numPr>
        <w:adjustRightInd/>
        <w:spacing w:line="360" w:lineRule="auto"/>
        <w:jc w:val="both"/>
        <w:rPr>
          <w:rFonts w:ascii="宋体" w:hAnsi="宋体" w:cs="宋体"/>
          <w:color w:val="auto"/>
          <w:sz w:val="21"/>
          <w:szCs w:val="21"/>
          <w:highlight w:val="none"/>
        </w:rPr>
      </w:pPr>
      <w:bookmarkStart w:id="153" w:name="_Toc10314"/>
      <w:bookmarkStart w:id="154" w:name="_Toc144892895"/>
      <w:r>
        <w:rPr>
          <w:rFonts w:hint="eastAsia" w:ascii="宋体" w:hAnsi="宋体" w:cs="宋体"/>
          <w:color w:val="auto"/>
          <w:sz w:val="21"/>
          <w:szCs w:val="21"/>
          <w:highlight w:val="none"/>
        </w:rPr>
        <w:t>5.6.2 生化系统</w:t>
      </w:r>
      <w:bookmarkEnd w:id="153"/>
      <w:bookmarkEnd w:id="154"/>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生化处理段是污水处理工艺中必不可少的一个重要组成部分，生化处理系统运行的可靠性和稳定性是整个污水处理系统运行的关键。投标人在其投标设计方案中对该部分的设计应充分依据和考虑来及中转站压缩产生污水的水质特征，并结合以往的设计经验和成功案例。</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项目污水属高浓度有机污水，其生化处理主要是依靠微生物新陈代谢过程中的同化与异化作用，以及微生物絮体对污染物的吸附作用来去除污水中的有机污染物，生化处理分为厌氧与好氧两种。本技术规格书下的污水生化处理工艺采用“两级A/O好氧”工艺，如采用其他工艺，则必须在方案中充分阐述所采用方案的技术可靠性与合理性。</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好氧工艺基本技术要求：</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其主要目的即去除有机物和脱氮。污水好氧处理的核心是硝化/反硝化机理，该过程将去除COD和NH</w:t>
      </w:r>
      <w:r>
        <w:rPr>
          <w:rFonts w:hint="eastAsia" w:ascii="宋体" w:hAnsi="宋体" w:cs="宋体"/>
          <w:color w:val="auto"/>
          <w:szCs w:val="21"/>
          <w:highlight w:val="none"/>
          <w:vertAlign w:val="subscript"/>
        </w:rPr>
        <w:t>3</w:t>
      </w:r>
      <w:r>
        <w:rPr>
          <w:rFonts w:hint="eastAsia" w:ascii="宋体" w:hAnsi="宋体" w:cs="宋体"/>
          <w:color w:val="auto"/>
          <w:szCs w:val="21"/>
          <w:highlight w:val="none"/>
        </w:rPr>
        <w:t xml:space="preserve">-N有机地结合起来。 </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硝化/反硝化工艺分为好氧段和缺氧段，或在运行时段上分为缺氧时段和好氧时段。在好氧段内发生碳氧化过程和硝化过程，通过回流混合液至缺氧段或进入缺氧生化反应时段，来发生反硝化过程，完成硝化/反硝化脱氮工艺过程。好氧曝气系统应采用变频控制，根据好氧段末端出水的DO（溶解氧）浓度，连续调节曝气系统曝气量，以确保好氧硝化功能的实现。</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好氧处理工艺应提具的主要设计参数包括但不限于：</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a）好氧工艺的形式；</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b）好氧工艺的功能段划分（若有）与池体容积尺寸；</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c）好氧工艺的设计污泥回流比与污泥浓度；</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d）好氧工艺各功能段的设计水力停留时间；</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e）好氧工艺各功能段的容积负荷与污泥负荷；</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f）好氧工艺的曝气量与曝气形式；</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g）好氧工艺的剩余污泥量；</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h）好氧工艺对各污染物指标的处理效率；</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j）缺氧段的设计水力停留时间；</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k）缺氧段的容积负荷与污泥负荷；</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l）缺氧段的均化搅拌形式与设计；</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m）缺氧段对各污染物指标的处理效率；</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n）好氧段向缺氧段的回流量与回流比；</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o）缺氧-好氧生化处理系统设备、阀门、仪控仪表清单。</w:t>
      </w:r>
    </w:p>
    <w:p>
      <w:pPr>
        <w:pStyle w:val="7"/>
        <w:numPr>
          <w:ilvl w:val="255"/>
          <w:numId w:val="0"/>
        </w:numPr>
        <w:adjustRightInd/>
        <w:spacing w:line="360" w:lineRule="auto"/>
        <w:jc w:val="both"/>
        <w:rPr>
          <w:rFonts w:ascii="宋体" w:hAnsi="宋体" w:cs="宋体"/>
          <w:color w:val="auto"/>
          <w:sz w:val="21"/>
          <w:szCs w:val="21"/>
          <w:highlight w:val="none"/>
        </w:rPr>
      </w:pPr>
      <w:bookmarkStart w:id="155" w:name="_Toc144892896"/>
      <w:bookmarkStart w:id="156" w:name="_Toc29924"/>
      <w:r>
        <w:rPr>
          <w:rFonts w:hint="eastAsia" w:ascii="宋体" w:hAnsi="宋体" w:cs="宋体"/>
          <w:color w:val="auto"/>
          <w:sz w:val="21"/>
          <w:szCs w:val="21"/>
          <w:highlight w:val="none"/>
        </w:rPr>
        <w:t>5.6.3 超滤系统</w:t>
      </w:r>
      <w:bookmarkEnd w:id="155"/>
      <w:bookmarkEnd w:id="156"/>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本项目超滤采用MBR系统，</w:t>
      </w:r>
      <w:r>
        <w:rPr>
          <w:rFonts w:hint="eastAsia" w:ascii="宋体" w:hAnsi="宋体" w:cs="宋体"/>
          <w:b/>
          <w:bCs/>
          <w:color w:val="auto"/>
          <w:szCs w:val="21"/>
          <w:highlight w:val="none"/>
        </w:rPr>
        <w:t>超滤膜寿命需不低于5年</w:t>
      </w:r>
      <w:r>
        <w:rPr>
          <w:rFonts w:hint="eastAsia" w:ascii="宋体" w:hAnsi="宋体" w:cs="宋体"/>
          <w:color w:val="auto"/>
          <w:szCs w:val="21"/>
          <w:highlight w:val="none"/>
        </w:rPr>
        <w:t>；</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 xml:space="preserve">由于膜工艺用于好氧生化处理的末端，所以MBR工艺的设计除提供如上文所述好氧处理工艺参数外，仍需提供如下设计参数，包括但不限于： </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a）MBR膜在好氧处理末端的安装方式；</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b）MBR膜类型的选取，膜材质（高耐腐蚀性能）、规格型号、品牌、设计通量、设计使用面积、运行压力及各项参数；</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c）列出MBR膜壳的选取，规格型号、材质、及各项参数；</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 xml:space="preserve">d）MBR膜的清洗条件、周期、清洗方式与设置； </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e）MBR膜组件的配置清单、MBR工艺设备、阀门、仪控仪表清单。</w:t>
      </w:r>
    </w:p>
    <w:p>
      <w:pPr>
        <w:pStyle w:val="7"/>
        <w:numPr>
          <w:ilvl w:val="255"/>
          <w:numId w:val="0"/>
        </w:numPr>
        <w:adjustRightInd/>
        <w:spacing w:line="360" w:lineRule="auto"/>
        <w:jc w:val="both"/>
        <w:rPr>
          <w:rFonts w:ascii="宋体" w:hAnsi="宋体" w:cs="宋体"/>
          <w:color w:val="auto"/>
          <w:sz w:val="21"/>
          <w:szCs w:val="21"/>
          <w:highlight w:val="none"/>
        </w:rPr>
      </w:pPr>
      <w:bookmarkStart w:id="157" w:name="_Toc144892897"/>
      <w:bookmarkStart w:id="158" w:name="_Toc13716"/>
      <w:r>
        <w:rPr>
          <w:rFonts w:hint="eastAsia" w:ascii="宋体" w:hAnsi="宋体" w:cs="宋体"/>
          <w:color w:val="auto"/>
          <w:sz w:val="21"/>
          <w:szCs w:val="21"/>
          <w:highlight w:val="none"/>
        </w:rPr>
        <w:t>5.6.4 纳滤系统</w:t>
      </w:r>
      <w:bookmarkEnd w:id="157"/>
      <w:bookmarkEnd w:id="158"/>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由于本项目对处理出水的水质要求较高，当MBR工艺的出水水质无法满足出水水质达标要求时，必须对MBR工艺的产水做进一步的深度处理，即更微细膜孔径的膜分离处理，本项目采用纳滤（NF）系统对超滤出水进一步处理。膜处理系统的基本要求如下：</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rPr>
        <w:tab/>
      </w:r>
      <w:r>
        <w:rPr>
          <w:rFonts w:hint="eastAsia" w:ascii="宋体" w:hAnsi="宋体" w:cs="宋体"/>
          <w:color w:val="auto"/>
          <w:szCs w:val="21"/>
          <w:highlight w:val="none"/>
        </w:rPr>
        <w:t>系统应具有高负荷污水处理能力，能够适应不同季节污水浓度的波动；</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rPr>
        <w:tab/>
      </w:r>
      <w:r>
        <w:rPr>
          <w:rFonts w:hint="eastAsia" w:ascii="宋体" w:hAnsi="宋体" w:cs="宋体"/>
          <w:color w:val="auto"/>
          <w:szCs w:val="21"/>
          <w:highlight w:val="none"/>
        </w:rPr>
        <w:t>系统应能连续自动运行；</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rPr>
        <w:tab/>
      </w:r>
      <w:r>
        <w:rPr>
          <w:rFonts w:hint="eastAsia" w:ascii="宋体" w:hAnsi="宋体" w:cs="宋体"/>
          <w:b/>
          <w:color w:val="auto"/>
          <w:szCs w:val="21"/>
          <w:highlight w:val="none"/>
        </w:rPr>
        <w:t>纳滤设计膜通量要求不大于18L/(m²·h)，</w:t>
      </w:r>
      <w:r>
        <w:rPr>
          <w:rFonts w:hint="eastAsia" w:ascii="宋体" w:hAnsi="宋体" w:cs="宋体"/>
          <w:color w:val="auto"/>
          <w:szCs w:val="21"/>
          <w:highlight w:val="none"/>
        </w:rPr>
        <w:t>所采用的膜寿命需保证不低于2年，质保时间内任何膜质量问题均由投标方承担解决，并保证2年内的膜通量；</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rPr>
        <w:tab/>
      </w:r>
      <w:r>
        <w:rPr>
          <w:rFonts w:hint="eastAsia" w:ascii="宋体" w:hAnsi="宋体" w:cs="宋体"/>
          <w:b/>
          <w:bCs/>
          <w:color w:val="auto"/>
          <w:szCs w:val="21"/>
          <w:highlight w:val="none"/>
        </w:rPr>
        <w:t>膜处理系统须保证纳滤清液得率不低于80%</w:t>
      </w:r>
      <w:r>
        <w:rPr>
          <w:rFonts w:hint="eastAsia" w:ascii="宋体" w:hAnsi="宋体" w:cs="宋体"/>
          <w:color w:val="auto"/>
          <w:szCs w:val="21"/>
          <w:highlight w:val="none"/>
        </w:rPr>
        <w:t>，并且需对产水率和操作压力进行详尽说明。</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rPr>
        <w:tab/>
      </w:r>
      <w:r>
        <w:rPr>
          <w:rFonts w:hint="eastAsia" w:ascii="宋体" w:hAnsi="宋体" w:cs="宋体"/>
          <w:color w:val="auto"/>
          <w:szCs w:val="21"/>
          <w:highlight w:val="none"/>
        </w:rPr>
        <w:t>膜处理系统需设置完善的自控系统，自控仪表、PLC。</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rPr>
        <w:tab/>
      </w:r>
      <w:r>
        <w:rPr>
          <w:rFonts w:hint="eastAsia" w:ascii="宋体" w:hAnsi="宋体" w:cs="宋体"/>
          <w:color w:val="auto"/>
          <w:szCs w:val="21"/>
          <w:highlight w:val="none"/>
        </w:rPr>
        <w:t>膜处理系统高压过流部件须采用不锈钢材质。</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纳滤（NF）工艺应提具以下主要设计参数，包括但不限于：</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a）纳滤（NF）膜的选取，膜材质（高耐腐蚀性能）、规格型号、品牌、设计通量、设计使用面积、运行压力及各项参数；</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b）列出NF膜壳的选取，规格型号、材质、各项参数；</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c）NF膜的设计组建方式，须最大程度体现对浓水产生量的缩减；</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d）NF膜的清洗条件与清洗设置；</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e）NF膜组件配置清单，纳滤工艺的设备、阀门、仪控仪表清单；</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f）NF工艺生产运行及维护过程中药剂选择。</w:t>
      </w:r>
    </w:p>
    <w:p>
      <w:pPr>
        <w:pStyle w:val="7"/>
        <w:numPr>
          <w:ilvl w:val="255"/>
          <w:numId w:val="0"/>
        </w:numPr>
        <w:adjustRightInd/>
        <w:spacing w:line="360" w:lineRule="auto"/>
        <w:jc w:val="both"/>
        <w:rPr>
          <w:rFonts w:ascii="宋体" w:hAnsi="宋体" w:cs="宋体"/>
          <w:color w:val="auto"/>
          <w:sz w:val="21"/>
          <w:szCs w:val="21"/>
          <w:highlight w:val="none"/>
        </w:rPr>
      </w:pPr>
      <w:bookmarkStart w:id="159" w:name="_Toc28729"/>
      <w:bookmarkStart w:id="160" w:name="_Toc144892898"/>
      <w:r>
        <w:rPr>
          <w:rFonts w:hint="eastAsia" w:ascii="宋体" w:hAnsi="宋体" w:cs="宋体"/>
          <w:color w:val="auto"/>
          <w:sz w:val="21"/>
          <w:szCs w:val="21"/>
          <w:highlight w:val="none"/>
        </w:rPr>
        <w:t>5.6.5 清液外排</w:t>
      </w:r>
      <w:bookmarkEnd w:id="159"/>
      <w:r>
        <w:rPr>
          <w:rFonts w:hint="eastAsia" w:ascii="宋体" w:hAnsi="宋体" w:cs="宋体"/>
          <w:color w:val="auto"/>
          <w:sz w:val="21"/>
          <w:szCs w:val="21"/>
          <w:highlight w:val="none"/>
        </w:rPr>
        <w:t>单元</w:t>
      </w:r>
      <w:bookmarkEnd w:id="160"/>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处理系统处理至满足排放标准后，排入市政截污管网，引至城镇污水处理厂处理。出水排放系统设有流量计，用于监测排放污水量。</w:t>
      </w:r>
    </w:p>
    <w:p>
      <w:pPr>
        <w:pStyle w:val="7"/>
        <w:numPr>
          <w:ilvl w:val="255"/>
          <w:numId w:val="0"/>
        </w:numPr>
        <w:adjustRightInd/>
        <w:spacing w:line="360" w:lineRule="auto"/>
        <w:jc w:val="both"/>
        <w:rPr>
          <w:rFonts w:ascii="宋体" w:hAnsi="宋体" w:cs="宋体"/>
          <w:color w:val="auto"/>
          <w:sz w:val="21"/>
          <w:szCs w:val="21"/>
          <w:highlight w:val="none"/>
        </w:rPr>
      </w:pPr>
      <w:bookmarkStart w:id="161" w:name="_Toc14747"/>
      <w:bookmarkStart w:id="162" w:name="_Toc144892899"/>
      <w:r>
        <w:rPr>
          <w:rFonts w:hint="eastAsia" w:ascii="宋体" w:hAnsi="宋体" w:cs="宋体"/>
          <w:color w:val="auto"/>
          <w:sz w:val="21"/>
          <w:szCs w:val="21"/>
          <w:highlight w:val="none"/>
        </w:rPr>
        <w:t>5.6.6 污泥处理</w:t>
      </w:r>
      <w:bookmarkEnd w:id="161"/>
      <w:r>
        <w:rPr>
          <w:rFonts w:hint="eastAsia" w:ascii="宋体" w:hAnsi="宋体" w:cs="宋体"/>
          <w:color w:val="auto"/>
          <w:sz w:val="21"/>
          <w:szCs w:val="21"/>
          <w:highlight w:val="none"/>
        </w:rPr>
        <w:t>单元</w:t>
      </w:r>
      <w:bookmarkEnd w:id="162"/>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污泥的来源一般包括来自生化工艺段的生化污泥和来自物化工艺段的物化污泥，污泥的产生量与所选用的工艺设计参数有关。生化、物化污泥的含水率高，投标方须在其投标设计方案中给出污泥脱水方案。</w:t>
      </w:r>
      <w:r>
        <w:rPr>
          <w:rFonts w:hint="eastAsia" w:ascii="宋体" w:hAnsi="宋体" w:cs="宋体"/>
          <w:b/>
          <w:bCs/>
          <w:color w:val="auto"/>
          <w:szCs w:val="21"/>
          <w:highlight w:val="none"/>
        </w:rPr>
        <w:t>脱水污泥含水率不高于85%，污泥脱水后厂内压缩处理后外运</w:t>
      </w:r>
      <w:r>
        <w:rPr>
          <w:rFonts w:hint="eastAsia" w:ascii="宋体" w:hAnsi="宋体" w:cs="宋体"/>
          <w:color w:val="auto"/>
          <w:szCs w:val="21"/>
          <w:highlight w:val="none"/>
        </w:rPr>
        <w:t>。</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污泥处理工艺应提具以下主要设计参数，包括但不限于：</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a）污泥产生量；</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b）污泥脱水机规格型号参数与处理量。</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c）污泥脱水加药药品名称，投加浓度与投加量。</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d）污泥脱水系统设备清单。</w:t>
      </w:r>
    </w:p>
    <w:p>
      <w:pPr>
        <w:pStyle w:val="7"/>
        <w:numPr>
          <w:ilvl w:val="255"/>
          <w:numId w:val="0"/>
        </w:numPr>
        <w:adjustRightInd/>
        <w:spacing w:line="360" w:lineRule="auto"/>
        <w:jc w:val="both"/>
        <w:rPr>
          <w:rFonts w:ascii="宋体" w:hAnsi="宋体" w:cs="宋体"/>
          <w:color w:val="auto"/>
          <w:sz w:val="21"/>
          <w:szCs w:val="21"/>
          <w:highlight w:val="none"/>
        </w:rPr>
      </w:pPr>
      <w:bookmarkStart w:id="163" w:name="_Toc144892900"/>
      <w:bookmarkStart w:id="164" w:name="_Toc25395"/>
      <w:r>
        <w:rPr>
          <w:rFonts w:hint="eastAsia" w:ascii="宋体" w:hAnsi="宋体" w:cs="宋体"/>
          <w:color w:val="auto"/>
          <w:sz w:val="21"/>
          <w:szCs w:val="21"/>
          <w:highlight w:val="none"/>
        </w:rPr>
        <w:t>5.6.7 加药系统</w:t>
      </w:r>
      <w:bookmarkEnd w:id="163"/>
      <w:bookmarkEnd w:id="164"/>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加药系统设计，要求投标方对需进行投加的药剂在所投加的处理单元中的功能与投加位置进行描述，包括并不限于：</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a）需进行投加的药剂在所投加的处理单元中的功能。</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b）药剂品名、成分、溶配浓度、投加量。</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c）投加条件与控制。</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d）加药系统设备清单。</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加药系统中所采用的药剂若具有毒性、挥发性、可燃性等危险性时，按我国电力及相关行业有关生产安全规范的要求设置必要的隔离、通风措施，并设置符合规范的警示标志。</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加药系统的设计应考虑药剂渗漏的保护措施和收集处理措施，不得将泄漏药剂直接排放。</w:t>
      </w:r>
      <w:bookmarkStart w:id="165" w:name="_Toc48659983"/>
    </w:p>
    <w:bookmarkEnd w:id="165"/>
    <w:p>
      <w:pPr>
        <w:pStyle w:val="6"/>
        <w:numPr>
          <w:ilvl w:val="1"/>
          <w:numId w:val="19"/>
        </w:numPr>
        <w:adjustRightInd/>
        <w:spacing w:line="360" w:lineRule="auto"/>
        <w:jc w:val="both"/>
        <w:rPr>
          <w:rFonts w:ascii="宋体" w:hAnsi="宋体" w:eastAsia="宋体" w:cs="宋体"/>
          <w:color w:val="auto"/>
          <w:sz w:val="21"/>
          <w:szCs w:val="21"/>
          <w:highlight w:val="none"/>
        </w:rPr>
      </w:pPr>
      <w:bookmarkStart w:id="166" w:name="_Toc63167156"/>
      <w:bookmarkStart w:id="167" w:name="_Toc144892901"/>
      <w:bookmarkStart w:id="168" w:name="_Toc16417"/>
      <w:r>
        <w:rPr>
          <w:rFonts w:hint="eastAsia" w:ascii="宋体" w:hAnsi="宋体" w:eastAsia="宋体" w:cs="宋体"/>
          <w:color w:val="auto"/>
          <w:sz w:val="21"/>
          <w:szCs w:val="21"/>
          <w:highlight w:val="none"/>
        </w:rPr>
        <w:t>主要设备技术要求</w:t>
      </w:r>
      <w:bookmarkEnd w:id="166"/>
      <w:bookmarkEnd w:id="167"/>
      <w:bookmarkEnd w:id="168"/>
    </w:p>
    <w:p>
      <w:pPr>
        <w:pStyle w:val="7"/>
        <w:adjustRightInd/>
        <w:spacing w:line="360" w:lineRule="auto"/>
        <w:jc w:val="both"/>
        <w:rPr>
          <w:rFonts w:ascii="宋体" w:hAnsi="宋体" w:cs="宋体"/>
          <w:color w:val="auto"/>
          <w:sz w:val="21"/>
          <w:szCs w:val="21"/>
          <w:highlight w:val="none"/>
        </w:rPr>
      </w:pPr>
      <w:bookmarkStart w:id="169" w:name="_Toc63167157"/>
      <w:bookmarkStart w:id="170" w:name="_Toc522634481"/>
      <w:bookmarkStart w:id="171" w:name="_Toc7013"/>
      <w:bookmarkStart w:id="172" w:name="_Toc144892902"/>
      <w:r>
        <w:rPr>
          <w:rFonts w:hint="eastAsia" w:ascii="宋体" w:hAnsi="宋体" w:cs="宋体"/>
          <w:color w:val="auto"/>
          <w:sz w:val="21"/>
          <w:szCs w:val="21"/>
          <w:highlight w:val="none"/>
        </w:rPr>
        <w:t>5.7.1 设备一般技术要求</w:t>
      </w:r>
      <w:bookmarkEnd w:id="169"/>
      <w:bookmarkEnd w:id="170"/>
      <w:bookmarkEnd w:id="171"/>
      <w:bookmarkEnd w:id="172"/>
    </w:p>
    <w:p>
      <w:pPr>
        <w:pStyle w:val="8"/>
        <w:adjustRightInd/>
        <w:jc w:val="both"/>
        <w:rPr>
          <w:rFonts w:ascii="宋体" w:hAnsi="宋体" w:cs="宋体"/>
          <w:color w:val="auto"/>
          <w:sz w:val="21"/>
          <w:szCs w:val="21"/>
          <w:highlight w:val="none"/>
        </w:rPr>
      </w:pPr>
      <w:bookmarkStart w:id="173" w:name="_Toc522634507"/>
      <w:bookmarkStart w:id="174" w:name="_Toc522634482"/>
      <w:r>
        <w:rPr>
          <w:rFonts w:hint="eastAsia" w:ascii="宋体" w:hAnsi="宋体" w:cs="宋体"/>
          <w:color w:val="auto"/>
          <w:sz w:val="21"/>
          <w:szCs w:val="21"/>
          <w:highlight w:val="none"/>
        </w:rPr>
        <w:t>5.7.1.1 使用年限要求</w:t>
      </w:r>
      <w:bookmarkEnd w:id="173"/>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技术方应设计和选择优质的设备和材料，确保施工质量，满足在每天24小时连续运行的条件下，装置的设计使用寿命至少达到规定年限和最少的维护要求（系统连续工作时间</w:t>
      </w:r>
      <w:bookmarkStart w:id="175" w:name="_Hlk61280021"/>
      <w:r>
        <w:rPr>
          <w:rFonts w:hint="eastAsia" w:ascii="宋体" w:hAnsi="宋体" w:cs="宋体"/>
          <w:color w:val="auto"/>
          <w:szCs w:val="21"/>
          <w:highlight w:val="none"/>
        </w:rPr>
        <w:t>≥7200h/年</w:t>
      </w:r>
      <w:bookmarkEnd w:id="175"/>
      <w:r>
        <w:rPr>
          <w:rFonts w:hint="eastAsia" w:ascii="宋体" w:hAnsi="宋体" w:cs="宋体"/>
          <w:color w:val="auto"/>
          <w:szCs w:val="21"/>
          <w:highlight w:val="none"/>
        </w:rPr>
        <w:t>，系统总运行时间≥7920h/年）。</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中标人应提供类似设备的运行记录或测试证明以证明投标的所有设备均符合使用年限的要求。</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管道以及其他工程相关要素的使用年限≥20年。</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机电设备和工艺设备应连续运转，大型泵、阀设备≥15年；通用泵、阀、起重、运输设备≥10年；污水、污泥处理等专用机械设备≥15年。</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管件及支架的设计使用寿命期应超过20年。</w:t>
      </w:r>
    </w:p>
    <w:p>
      <w:pPr>
        <w:pStyle w:val="8"/>
        <w:adjustRightInd/>
        <w:jc w:val="both"/>
        <w:rPr>
          <w:rFonts w:ascii="宋体" w:hAnsi="宋体" w:cs="宋体"/>
          <w:color w:val="auto"/>
          <w:sz w:val="21"/>
          <w:szCs w:val="21"/>
          <w:highlight w:val="none"/>
        </w:rPr>
      </w:pPr>
      <w:r>
        <w:rPr>
          <w:rFonts w:hint="eastAsia" w:ascii="宋体" w:hAnsi="宋体" w:cs="宋体"/>
          <w:color w:val="auto"/>
          <w:sz w:val="21"/>
          <w:szCs w:val="21"/>
          <w:highlight w:val="none"/>
        </w:rPr>
        <w:t>5.7.1.2 材料</w:t>
      </w:r>
      <w:bookmarkEnd w:id="174"/>
      <w:r>
        <w:rPr>
          <w:rFonts w:hint="eastAsia" w:ascii="宋体" w:hAnsi="宋体" w:cs="宋体"/>
          <w:color w:val="auto"/>
          <w:sz w:val="21"/>
          <w:szCs w:val="21"/>
          <w:highlight w:val="none"/>
        </w:rPr>
        <w:t>要求</w:t>
      </w:r>
    </w:p>
    <w:p>
      <w:pPr>
        <w:adjustRightInd/>
        <w:ind w:firstLine="560"/>
        <w:jc w:val="both"/>
        <w:rPr>
          <w:rFonts w:ascii="宋体" w:hAnsi="宋体" w:cs="宋体"/>
          <w:color w:val="auto"/>
          <w:szCs w:val="21"/>
          <w:highlight w:val="none"/>
        </w:rPr>
      </w:pPr>
      <w:r>
        <w:rPr>
          <w:rFonts w:hint="eastAsia" w:ascii="宋体" w:hAnsi="宋体" w:cs="宋体"/>
          <w:color w:val="auto"/>
          <w:szCs w:val="21"/>
          <w:highlight w:val="none"/>
        </w:rPr>
        <w:t>机械与设备所用材料应采用与其工作条件和功能最为切合的品号，并应是新的、无缺陷的、一流的商业质量，且应选择使用寿命长、维护要求低的材料。</w:t>
      </w:r>
    </w:p>
    <w:p>
      <w:pPr>
        <w:adjustRightInd/>
        <w:ind w:firstLine="560"/>
        <w:jc w:val="both"/>
        <w:rPr>
          <w:rFonts w:ascii="宋体" w:hAnsi="宋体" w:cs="宋体"/>
          <w:color w:val="auto"/>
          <w:szCs w:val="21"/>
          <w:highlight w:val="none"/>
        </w:rPr>
      </w:pPr>
      <w:r>
        <w:rPr>
          <w:rFonts w:hint="eastAsia" w:ascii="宋体" w:hAnsi="宋体" w:cs="宋体"/>
          <w:color w:val="auto"/>
          <w:szCs w:val="21"/>
          <w:highlight w:val="none"/>
        </w:rPr>
        <w:t>与污水、污泥或周围腐蚀性空气直接接触的部分应能够完全抵抗此类环境中产生的腐蚀或磨耗，并且能保证其性能不因时间推移、日光照射或其它任何原因而引起老化现象。</w:t>
      </w:r>
    </w:p>
    <w:p>
      <w:pPr>
        <w:adjustRightInd/>
        <w:ind w:firstLine="560"/>
        <w:jc w:val="both"/>
        <w:rPr>
          <w:rFonts w:ascii="宋体" w:hAnsi="宋体" w:cs="宋体"/>
          <w:color w:val="auto"/>
          <w:szCs w:val="21"/>
          <w:highlight w:val="none"/>
        </w:rPr>
      </w:pPr>
      <w:r>
        <w:rPr>
          <w:rFonts w:hint="eastAsia" w:ascii="宋体" w:hAnsi="宋体" w:cs="宋体"/>
          <w:color w:val="auto"/>
          <w:szCs w:val="21"/>
          <w:highlight w:val="none"/>
        </w:rPr>
        <w:t>在规定使用“不锈钢”时，其抗腐蚀能力不得低于GB /T1220-2007或其它相应标准对不锈钢的规定。需要焊接的不锈钢应采用不受晶间腐蚀影响的不锈钢类型，并应采用等级合适的低碳不锈钢焊条。</w:t>
      </w:r>
    </w:p>
    <w:p>
      <w:pPr>
        <w:adjustRightInd/>
        <w:ind w:firstLine="560"/>
        <w:jc w:val="both"/>
        <w:rPr>
          <w:rFonts w:ascii="宋体" w:hAnsi="宋体" w:cs="宋体"/>
          <w:color w:val="auto"/>
          <w:szCs w:val="21"/>
          <w:highlight w:val="none"/>
        </w:rPr>
      </w:pPr>
      <w:r>
        <w:rPr>
          <w:rFonts w:hint="eastAsia" w:ascii="宋体" w:hAnsi="宋体" w:cs="宋体"/>
          <w:color w:val="auto"/>
          <w:szCs w:val="21"/>
          <w:highlight w:val="none"/>
        </w:rPr>
        <w:t>应特别注意防止因不同类金属接触而产生的腐蚀。当两种异类金属必须接触时，应谨慎选择金属，尽量降低出现双金属腐蚀的可能性。在合适情况下应使用橡胶、四氟板或其它批准材料隔离不同类型的金属。</w:t>
      </w:r>
    </w:p>
    <w:p>
      <w:pPr>
        <w:adjustRightInd/>
        <w:ind w:firstLine="560"/>
        <w:jc w:val="both"/>
        <w:rPr>
          <w:rFonts w:ascii="宋体" w:hAnsi="宋体" w:cs="宋体"/>
          <w:color w:val="auto"/>
          <w:szCs w:val="21"/>
          <w:highlight w:val="none"/>
        </w:rPr>
      </w:pPr>
      <w:r>
        <w:rPr>
          <w:rFonts w:hint="eastAsia" w:ascii="宋体" w:hAnsi="宋体" w:cs="宋体"/>
          <w:color w:val="auto"/>
          <w:szCs w:val="21"/>
          <w:highlight w:val="none"/>
        </w:rPr>
        <w:t>如果合同要求提交样品，则在工程开工前至少30天提交材料样品，并承担与之有关的一切费用，交给招标方代表批准，批准前不得对此样品所代表的材料进行制造或在本工程中使用。</w:t>
      </w:r>
    </w:p>
    <w:p>
      <w:pPr>
        <w:adjustRightInd/>
        <w:ind w:firstLine="560"/>
        <w:jc w:val="both"/>
        <w:rPr>
          <w:rFonts w:ascii="宋体" w:hAnsi="宋体" w:cs="宋体"/>
          <w:color w:val="auto"/>
          <w:szCs w:val="21"/>
          <w:highlight w:val="none"/>
        </w:rPr>
      </w:pPr>
      <w:r>
        <w:rPr>
          <w:rFonts w:hint="eastAsia" w:ascii="宋体" w:hAnsi="宋体" w:cs="宋体"/>
          <w:color w:val="auto"/>
          <w:szCs w:val="21"/>
          <w:highlight w:val="none"/>
        </w:rPr>
        <w:t>主体管道材质选用要求：</w:t>
      </w:r>
    </w:p>
    <w:p>
      <w:pPr>
        <w:adjustRightInd/>
        <w:ind w:firstLine="560"/>
        <w:jc w:val="both"/>
        <w:rPr>
          <w:rFonts w:ascii="宋体" w:hAnsi="宋体" w:cs="宋体"/>
          <w:color w:val="auto"/>
          <w:szCs w:val="21"/>
          <w:highlight w:val="none"/>
        </w:rPr>
      </w:pPr>
      <w:r>
        <w:rPr>
          <w:rFonts w:hint="eastAsia" w:ascii="宋体" w:hAnsi="宋体" w:cs="宋体"/>
          <w:color w:val="auto"/>
          <w:szCs w:val="21"/>
          <w:highlight w:val="none"/>
        </w:rPr>
        <w:t>不锈钢、碳钢材料均采用国内知名品牌，UPVC/PPR非金属材料采用国内知名品牌。所有材料均需要出厂检验证明及材料检测报告并符合国家标准。</w:t>
      </w:r>
    </w:p>
    <w:p>
      <w:pPr>
        <w:adjustRightInd/>
        <w:ind w:firstLine="560"/>
        <w:jc w:val="both"/>
        <w:rPr>
          <w:rFonts w:ascii="宋体" w:hAnsi="宋体" w:cs="宋体"/>
          <w:color w:val="auto"/>
          <w:szCs w:val="21"/>
          <w:highlight w:val="none"/>
        </w:rPr>
      </w:pPr>
      <w:r>
        <w:rPr>
          <w:rFonts w:hint="eastAsia" w:ascii="宋体" w:hAnsi="宋体" w:cs="宋体"/>
          <w:color w:val="auto"/>
          <w:szCs w:val="21"/>
          <w:highlight w:val="none"/>
        </w:rPr>
        <w:t>栏杆、外露管道、集线盒、仪表箱、支架、桥架等钢制易腐蚀部分采用SS304材料，液位以下部分采用SS316L材料或高抗腐蚀性材料。</w:t>
      </w:r>
    </w:p>
    <w:p>
      <w:pPr>
        <w:adjustRightInd/>
        <w:ind w:firstLine="560"/>
        <w:jc w:val="both"/>
        <w:rPr>
          <w:rFonts w:ascii="宋体" w:hAnsi="宋体" w:cs="宋体"/>
          <w:color w:val="auto"/>
          <w:szCs w:val="21"/>
          <w:highlight w:val="none"/>
        </w:rPr>
      </w:pPr>
      <w:r>
        <w:rPr>
          <w:rFonts w:hint="eastAsia" w:ascii="宋体" w:hAnsi="宋体" w:cs="宋体"/>
          <w:color w:val="auto"/>
          <w:szCs w:val="21"/>
          <w:highlight w:val="none"/>
        </w:rPr>
        <w:t>管材说明：工艺污水管中除膜系统部分高压管道采用SS316L及以上材质外其余采用HDPE/PPR管材；空气管液面以上部分采用无缝钢管，液位以下部分采用UPVC材质；污泥管采用UPVC管；药剂管采用UPVC管。</w:t>
      </w:r>
    </w:p>
    <w:p>
      <w:pPr>
        <w:pStyle w:val="8"/>
        <w:adjustRightInd/>
        <w:jc w:val="both"/>
        <w:rPr>
          <w:rFonts w:ascii="宋体" w:hAnsi="宋体" w:cs="宋体"/>
          <w:color w:val="auto"/>
          <w:sz w:val="21"/>
          <w:szCs w:val="21"/>
          <w:highlight w:val="none"/>
        </w:rPr>
      </w:pPr>
      <w:bookmarkStart w:id="176" w:name="_Toc522634483"/>
      <w:r>
        <w:rPr>
          <w:rFonts w:hint="eastAsia" w:ascii="宋体" w:hAnsi="宋体" w:cs="宋体"/>
          <w:color w:val="auto"/>
          <w:sz w:val="21"/>
          <w:szCs w:val="21"/>
          <w:highlight w:val="none"/>
        </w:rPr>
        <w:t>5.7.1.3 管道</w:t>
      </w:r>
      <w:bookmarkEnd w:id="176"/>
      <w:r>
        <w:rPr>
          <w:rFonts w:hint="eastAsia" w:ascii="宋体" w:hAnsi="宋体" w:cs="宋体"/>
          <w:color w:val="auto"/>
          <w:sz w:val="21"/>
          <w:szCs w:val="21"/>
          <w:highlight w:val="none"/>
        </w:rPr>
        <w:t>要求</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（1）按照国家的相关标准对厂区雨水、污水、供水、污泥、热力管线进行设计，在设计报告中，应对各种管线和管沟进行说明。</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（2）管道工程的布置和设计必须便于安装、拆卸、维修。</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（3）所有管道均设有支承和锚固装置。钢支承件应在使用前在工厂加工，并经采购人批准。钢支承件应为热浸锌。</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（4）本工程所有管道在保证使用年限的基础上，按相应国家标准、规范要求的管材进行选择。对于规范规定之外的管道材料参照国内同类工程同类标准选择管材、管件品牌需经招标方认可方能使用。</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（5）管道应配有各种规格的螺母、螺栓、垫圈、连接环、特殊型式的节头、托架、四氟乙烯密封垫片、吊钩、锚固件、支撑件等附件。</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（6）管道及其支架的设置应不妨碍设备或其它部件。高架的管道至少应（在人行过道上面）有2.3m的净空。</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7）管道的吊架和支架，应包括锚固件、导向装置、振动阻尼装置、支座、托架、管夹以及正确支撑管道所需的其它设施，要求吊架和支架对管道、相连接的设备及支撑结构不会产生过度的应力（应该考虑管道的热胀冷缩）。</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（8）吊架和支架的布置应对污水处理系统的运行区域和维护区域运行人员或建筑物及照明灯具、各类管道、钢梯、人行过道、平台没有妨碍或干扰。</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（9）管道附件及夹具的尺寸应有很充分的余量，以便在管道隔热保护以后，吊架和支架能正常使用，并相对于管道和隔热层保持其刚性。</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（10）下列各种介质的最大流速是指在最大通流量时不得超过的流速（除非另有规定）：</w:t>
      </w:r>
    </w:p>
    <w:p>
      <w:pPr>
        <w:adjustRightInd/>
        <w:spacing w:before="180" w:beforeLines="50" w:after="180" w:afterLines="50"/>
        <w:jc w:val="center"/>
        <w:rPr>
          <w:rFonts w:ascii="宋体" w:hAnsi="宋体" w:cs="宋体"/>
          <w:b/>
          <w:color w:val="auto"/>
          <w:szCs w:val="21"/>
          <w:highlight w:val="none"/>
        </w:rPr>
      </w:pPr>
      <w:r>
        <w:rPr>
          <w:rFonts w:hint="eastAsia" w:ascii="宋体" w:hAnsi="宋体" w:cs="宋体"/>
          <w:b/>
          <w:color w:val="auto"/>
          <w:szCs w:val="21"/>
          <w:highlight w:val="none"/>
        </w:rPr>
        <w:t>表5-1管道最大流速表</w:t>
      </w:r>
    </w:p>
    <w:tbl>
      <w:tblPr>
        <w:tblStyle w:val="34"/>
        <w:tblW w:w="852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364"/>
        <w:gridCol w:w="51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trPr>
        <w:tc>
          <w:tcPr>
            <w:tcW w:w="3364" w:type="dxa"/>
            <w:vAlign w:val="center"/>
          </w:tcPr>
          <w:p>
            <w:pPr>
              <w:pStyle w:val="93"/>
              <w:adjustRightInd/>
              <w:spacing w:line="360" w:lineRule="auto"/>
              <w:ind w:firstLine="422"/>
              <w:jc w:val="both"/>
              <w:rPr>
                <w:rFonts w:cs="宋体"/>
                <w:b/>
                <w:color w:val="auto"/>
                <w:szCs w:val="21"/>
                <w:highlight w:val="none"/>
              </w:rPr>
            </w:pPr>
            <w:r>
              <w:rPr>
                <w:rFonts w:hint="eastAsia" w:cs="宋体"/>
                <w:b/>
                <w:color w:val="auto"/>
                <w:szCs w:val="21"/>
                <w:highlight w:val="none"/>
              </w:rPr>
              <w:t>管道形式</w:t>
            </w:r>
          </w:p>
        </w:tc>
        <w:tc>
          <w:tcPr>
            <w:tcW w:w="5158" w:type="dxa"/>
            <w:vAlign w:val="center"/>
          </w:tcPr>
          <w:p>
            <w:pPr>
              <w:pStyle w:val="93"/>
              <w:adjustRightInd/>
              <w:spacing w:line="360" w:lineRule="auto"/>
              <w:ind w:firstLine="422"/>
              <w:jc w:val="both"/>
              <w:rPr>
                <w:rFonts w:cs="宋体"/>
                <w:b/>
                <w:color w:val="auto"/>
                <w:szCs w:val="21"/>
                <w:highlight w:val="none"/>
              </w:rPr>
            </w:pPr>
            <w:r>
              <w:rPr>
                <w:rFonts w:hint="eastAsia" w:cs="宋体"/>
                <w:b/>
                <w:color w:val="auto"/>
                <w:szCs w:val="21"/>
                <w:highlight w:val="none"/>
              </w:rPr>
              <w:t>最大流速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trPr>
        <w:tc>
          <w:tcPr>
            <w:tcW w:w="3364"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给水吸入管道</w:t>
            </w:r>
          </w:p>
        </w:tc>
        <w:tc>
          <w:tcPr>
            <w:tcW w:w="5158"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1.5m/s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trPr>
        <w:tc>
          <w:tcPr>
            <w:tcW w:w="3364"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给水排出管道</w:t>
            </w:r>
          </w:p>
        </w:tc>
        <w:tc>
          <w:tcPr>
            <w:tcW w:w="5158"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3～5m/s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trPr>
        <w:tc>
          <w:tcPr>
            <w:tcW w:w="3364"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辅助冷却水进水管道</w:t>
            </w:r>
          </w:p>
        </w:tc>
        <w:tc>
          <w:tcPr>
            <w:tcW w:w="5158"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1.5m/s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trPr>
        <w:tc>
          <w:tcPr>
            <w:tcW w:w="3364"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辅助冷却水排出管道</w:t>
            </w:r>
          </w:p>
        </w:tc>
        <w:tc>
          <w:tcPr>
            <w:tcW w:w="5158"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2.0m/s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trPr>
        <w:tc>
          <w:tcPr>
            <w:tcW w:w="3364"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主冷却水管道</w:t>
            </w:r>
          </w:p>
        </w:tc>
        <w:tc>
          <w:tcPr>
            <w:tcW w:w="5158"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2.2m/s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trPr>
        <w:tc>
          <w:tcPr>
            <w:tcW w:w="3364"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风机入口管</w:t>
            </w:r>
          </w:p>
        </w:tc>
        <w:tc>
          <w:tcPr>
            <w:tcW w:w="5158"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12m/s（标准温度、压力下）</w:t>
            </w:r>
          </w:p>
          <w:p>
            <w:pPr>
              <w:pStyle w:val="95"/>
              <w:ind w:firstLine="480"/>
              <w:jc w:val="both"/>
              <w:rPr>
                <w:rFonts w:ascii="宋体" w:hAnsi="宋体" w:eastAsia="宋体" w:cs="宋体"/>
                <w:color w:val="auto"/>
                <w:ker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trPr>
        <w:tc>
          <w:tcPr>
            <w:tcW w:w="3364"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风机出口管</w:t>
            </w:r>
          </w:p>
        </w:tc>
        <w:tc>
          <w:tcPr>
            <w:tcW w:w="5158" w:type="dxa"/>
            <w:vAlign w:val="center"/>
          </w:tcPr>
          <w:p>
            <w:pPr>
              <w:pStyle w:val="95"/>
              <w:ind w:firstLine="480"/>
              <w:jc w:val="both"/>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15m/s（标准温度、压力下）</w:t>
            </w:r>
          </w:p>
        </w:tc>
      </w:tr>
    </w:tbl>
    <w:p>
      <w:pPr>
        <w:pStyle w:val="8"/>
        <w:adjustRightInd/>
        <w:jc w:val="both"/>
        <w:rPr>
          <w:rFonts w:ascii="宋体" w:hAnsi="宋体" w:cs="宋体"/>
          <w:color w:val="auto"/>
          <w:sz w:val="21"/>
          <w:szCs w:val="21"/>
          <w:highlight w:val="none"/>
        </w:rPr>
      </w:pPr>
      <w:bookmarkStart w:id="177" w:name="_Toc522634484"/>
    </w:p>
    <w:p>
      <w:pPr>
        <w:pStyle w:val="8"/>
        <w:adjustRightInd/>
        <w:jc w:val="both"/>
        <w:rPr>
          <w:rFonts w:ascii="宋体" w:hAnsi="宋体" w:cs="宋体"/>
          <w:color w:val="auto"/>
          <w:sz w:val="21"/>
          <w:szCs w:val="21"/>
          <w:highlight w:val="none"/>
        </w:rPr>
      </w:pPr>
      <w:r>
        <w:rPr>
          <w:rFonts w:hint="eastAsia" w:ascii="宋体" w:hAnsi="宋体" w:cs="宋体"/>
          <w:color w:val="auto"/>
          <w:sz w:val="21"/>
          <w:szCs w:val="21"/>
          <w:highlight w:val="none"/>
        </w:rPr>
        <w:t>5.7.1.4 阀门</w:t>
      </w:r>
      <w:bookmarkEnd w:id="177"/>
      <w:r>
        <w:rPr>
          <w:rFonts w:hint="eastAsia" w:ascii="宋体" w:hAnsi="宋体" w:cs="宋体"/>
          <w:color w:val="auto"/>
          <w:sz w:val="21"/>
          <w:szCs w:val="21"/>
          <w:highlight w:val="none"/>
        </w:rPr>
        <w:t>要求</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（1）所有阀门注明阀门的品牌及产地、型号，适合于使用条件，同规格阀门应能互换。</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（2）所有阀门的材料、设计与具体结构都应符合有关标准。任何阀门的最低设计压力应不小于0.1MPa（表压）。</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（3）手轮离地面或平台约1m的高度，以便操作阀门，设置刚性好的阀门支座。阀门所用的齿轮均用铸钢或锻钢经机加工而成。</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4）所有阀门如果是依靠转动手轮进行（开）关闭：对着手轮看时，手轮顺时针方向转动为关。如果手轮不是直接与阀杆相连，则需使用适当的齿轮传动装置，但应保证顺时针方向为关闭。每一手轮的面上应有清晰地标志“开”和“关”及表示旋转方向的箭头。</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（5）所有阀门均应装置铭牌。</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（6）所有手操作的阀门应方便地由一人操作，其手操作力不得大于150N（15kgf）。若一人没法操作的阀门，需要设置执行元件进行开与关。</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（7）所有阀门均应设置易于直视的开度指示器。当阀门需要接长的阀杆时，在阀杆和接长的阀杆上都要设置指示器。</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（8）室外使用的阀门杆和导向支承，应有保护措施。</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9）阀门中各零件的其它材料必须按要求选择。化学成份、机械强度及热处理条件均应符合有关的标准。对于螺钉、螺栓和螺母的材料，必须严格遵守其使用温度极限。所有暴露的螺母、螺栓（用于密封压盖、阀盖）均应用不锈钢制造。</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（10）阀门连接法兰应按有关标准中的连接尺寸及材料最小厚度执行。</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（11）钢制阀门优先采用富乐、中核苏阀、沪工，塑料阀门优先采用环琪、武峰、联塑品牌。</w:t>
      </w:r>
    </w:p>
    <w:p>
      <w:pPr>
        <w:pStyle w:val="8"/>
        <w:adjustRightInd/>
        <w:jc w:val="both"/>
        <w:rPr>
          <w:rFonts w:ascii="宋体" w:hAnsi="宋体" w:cs="宋体"/>
          <w:color w:val="auto"/>
          <w:sz w:val="21"/>
          <w:szCs w:val="21"/>
          <w:highlight w:val="none"/>
        </w:rPr>
      </w:pPr>
      <w:bookmarkStart w:id="178" w:name="_Toc522634485"/>
      <w:r>
        <w:rPr>
          <w:rFonts w:hint="eastAsia" w:ascii="宋体" w:hAnsi="宋体" w:cs="宋体"/>
          <w:color w:val="auto"/>
          <w:sz w:val="21"/>
          <w:szCs w:val="21"/>
          <w:highlight w:val="none"/>
        </w:rPr>
        <w:t>5.7.1.5 防腐</w:t>
      </w:r>
      <w:bookmarkEnd w:id="178"/>
      <w:r>
        <w:rPr>
          <w:rFonts w:hint="eastAsia" w:ascii="宋体" w:hAnsi="宋体" w:cs="宋体"/>
          <w:color w:val="auto"/>
          <w:sz w:val="21"/>
          <w:szCs w:val="21"/>
          <w:highlight w:val="none"/>
        </w:rPr>
        <w:t>要求</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shd w:val="clear" w:color="auto" w:fill="FFFFFF"/>
        </w:rPr>
        <w:t>为保证整个系统的长期有效运行，杜绝因设备、阀门、管道的腐蚀造成系统部分或全部停运，提高整个系统的运行可靠性，</w:t>
      </w:r>
      <w:r>
        <w:rPr>
          <w:rFonts w:hint="eastAsia" w:ascii="宋体" w:hAnsi="宋体" w:cs="宋体"/>
          <w:b/>
          <w:color w:val="auto"/>
          <w:szCs w:val="21"/>
          <w:highlight w:val="none"/>
          <w:shd w:val="clear" w:color="auto" w:fill="FFFFFF"/>
        </w:rPr>
        <w:t>所有过流介质为垃圾渗滤液的设备、阀门、仪表、电缆、管道、管件必须具备防腐蚀性能；所有设备、阀门、仪表、管材必须具备足够的耐压等级、防渗漏等级；设备电机具有足够的防护等级、绝缘等级和防爆等级；</w:t>
      </w:r>
      <w:r>
        <w:rPr>
          <w:rFonts w:hint="eastAsia" w:ascii="宋体" w:hAnsi="宋体" w:cs="宋体"/>
          <w:color w:val="auto"/>
          <w:szCs w:val="21"/>
          <w:highlight w:val="none"/>
          <w:shd w:val="clear" w:color="auto" w:fill="FFFFFF"/>
        </w:rPr>
        <w:t>以上所述材料及等级要求应在投标文件中的设备与材料清单中明示，并经招标方认可。</w:t>
      </w:r>
    </w:p>
    <w:p>
      <w:pPr>
        <w:pStyle w:val="8"/>
        <w:adjustRightInd/>
        <w:jc w:val="both"/>
        <w:rPr>
          <w:rFonts w:ascii="宋体" w:hAnsi="宋体" w:cs="宋体"/>
          <w:color w:val="auto"/>
          <w:sz w:val="21"/>
          <w:szCs w:val="21"/>
          <w:highlight w:val="none"/>
        </w:rPr>
      </w:pPr>
      <w:bookmarkStart w:id="179" w:name="_Toc522634486"/>
      <w:r>
        <w:rPr>
          <w:rFonts w:hint="eastAsia" w:ascii="宋体" w:hAnsi="宋体" w:cs="宋体"/>
          <w:color w:val="auto"/>
          <w:sz w:val="21"/>
          <w:szCs w:val="21"/>
          <w:highlight w:val="none"/>
        </w:rPr>
        <w:t>5.7.1.6 焊接</w:t>
      </w:r>
      <w:bookmarkEnd w:id="179"/>
      <w:r>
        <w:rPr>
          <w:rFonts w:hint="eastAsia" w:ascii="宋体" w:hAnsi="宋体" w:cs="宋体"/>
          <w:color w:val="auto"/>
          <w:sz w:val="21"/>
          <w:szCs w:val="21"/>
          <w:highlight w:val="none"/>
        </w:rPr>
        <w:t>要求</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在工厂内制造和现场安装期间进行的一切焊接工作应按DL5190.7-2012或相关规范、标准要求及已认可的图纸进行。</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拟定的现场焊接程序细节与详图应同时交给招标方批准，施工前应制定焊接工艺卡，交招标方批准。焊工上岗上应通过招标方的考试方可上岗。并应有焊接上岗证的技术工人完成。</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在进行机械加工之前，焊接件均应予以消除应力。</w:t>
      </w:r>
    </w:p>
    <w:p>
      <w:pPr>
        <w:pStyle w:val="8"/>
        <w:adjustRightInd/>
        <w:jc w:val="both"/>
        <w:rPr>
          <w:rFonts w:ascii="宋体" w:hAnsi="宋体" w:cs="宋体"/>
          <w:color w:val="auto"/>
          <w:sz w:val="21"/>
          <w:szCs w:val="21"/>
          <w:highlight w:val="none"/>
        </w:rPr>
      </w:pPr>
      <w:bookmarkStart w:id="180" w:name="_Toc227744866"/>
      <w:bookmarkStart w:id="181" w:name="_Toc522634487"/>
      <w:bookmarkStart w:id="182" w:name="_Toc210213626"/>
      <w:bookmarkStart w:id="183" w:name="_Toc27127532"/>
      <w:bookmarkStart w:id="184" w:name="_Toc345506777"/>
      <w:r>
        <w:rPr>
          <w:rFonts w:hint="eastAsia" w:ascii="宋体" w:hAnsi="宋体" w:cs="宋体"/>
          <w:color w:val="auto"/>
          <w:sz w:val="21"/>
          <w:szCs w:val="21"/>
          <w:highlight w:val="none"/>
        </w:rPr>
        <w:t>5.7.1.7 铸件与锻件</w:t>
      </w:r>
      <w:bookmarkEnd w:id="180"/>
      <w:bookmarkEnd w:id="181"/>
      <w:bookmarkEnd w:id="182"/>
      <w:bookmarkEnd w:id="183"/>
      <w:bookmarkEnd w:id="184"/>
      <w:r>
        <w:rPr>
          <w:rFonts w:hint="eastAsia" w:ascii="宋体" w:hAnsi="宋体" w:cs="宋体"/>
          <w:color w:val="auto"/>
          <w:sz w:val="21"/>
          <w:szCs w:val="21"/>
          <w:highlight w:val="none"/>
        </w:rPr>
        <w:t>要求</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所有的铸件与锻件都应没有孔隙、裂缝、瑕疵、砂眼或激冷硬块的金属。</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所有的机加工表面无瑕疵，浇铸件洁净、准确、轮廓鲜明，所有形状与尺寸的变化处都应做成渐变的，带合适的圆角与倒角。</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可锻铸铁不能用于任何需要承受工作应力的地方，有拉伸应力之处可使用铸钢。</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根据规定，所有的浇铸件都应仔细地嵌填和揩擦，直到它具有一个良好的平滑表面，用以接受最后一道油漆工序。对那些不会影响铸件的强度和使用功能的小于总厚度12.5%的次要缺陷，则经过许可，可用焊接来修补。对那些大的缺陷应报告招标方代表，在未得到许可之前，不得使用焊接来修补缺陷。</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用焊接来修补铸件的主要缺陷时，应在焊接之后进行热处理以消除内应力。</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对任何含有不能被判明缺陷程度的铸件，以及确定焊接修补是否适当时，则必须对该铸件进行非破坏性的测试。</w:t>
      </w:r>
    </w:p>
    <w:p>
      <w:pPr>
        <w:pStyle w:val="8"/>
        <w:adjustRightInd/>
        <w:jc w:val="both"/>
        <w:rPr>
          <w:rFonts w:ascii="宋体" w:hAnsi="宋体" w:cs="宋体"/>
          <w:color w:val="auto"/>
          <w:sz w:val="21"/>
          <w:szCs w:val="21"/>
          <w:highlight w:val="none"/>
        </w:rPr>
      </w:pPr>
      <w:bookmarkStart w:id="185" w:name="_Toc522634489"/>
      <w:bookmarkStart w:id="186" w:name="_Toc27127538"/>
      <w:bookmarkStart w:id="187" w:name="_Toc227744872"/>
      <w:bookmarkStart w:id="188" w:name="_Toc345506783"/>
      <w:bookmarkStart w:id="189" w:name="_Toc210213632"/>
      <w:r>
        <w:rPr>
          <w:rFonts w:hint="eastAsia" w:ascii="宋体" w:hAnsi="宋体" w:cs="宋体"/>
          <w:color w:val="auto"/>
          <w:sz w:val="21"/>
          <w:szCs w:val="21"/>
          <w:highlight w:val="none"/>
        </w:rPr>
        <w:t>5.7.1.8 螺母、螺钉、垫圈和螺栓</w:t>
      </w:r>
      <w:bookmarkEnd w:id="185"/>
      <w:bookmarkEnd w:id="186"/>
      <w:bookmarkEnd w:id="187"/>
      <w:bookmarkEnd w:id="188"/>
      <w:bookmarkEnd w:id="189"/>
      <w:r>
        <w:rPr>
          <w:rFonts w:hint="eastAsia" w:ascii="宋体" w:hAnsi="宋体" w:cs="宋体"/>
          <w:color w:val="auto"/>
          <w:sz w:val="21"/>
          <w:szCs w:val="21"/>
          <w:highlight w:val="none"/>
        </w:rPr>
        <w:t>要求</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粗制螺栓、螺钉和螺母应符合ISO 225，ISO 272，ISO 885，ISO 888和ISO4759/1等相关标准。</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精制六角螺栓、螺钉和螺母应符合ISO272，ISO4759/1等相关标准。</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垫圈应符合ISO/R887等相关标准，可与粗制、精制的所有螺母、六角螺栓和螺钉配套。</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所有暴露在大气中或处在潮湿室内的螺栓、螺钉、螺母及垫圈应采用采用不锈钢材料。</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具有锌保护层的M10以及较大的坚固件应进行热镀锌和离心处理。</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螺母的螺纹应过量切削，符合ISO 1459、ISO 1460 和ISO1461等相关标准规定。</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螺栓应有足够长度以确保螺母旋紧，螺纹露出螺母2～4扣。</w:t>
      </w:r>
    </w:p>
    <w:p>
      <w:pPr>
        <w:adjustRightInd/>
        <w:jc w:val="both"/>
        <w:rPr>
          <w:rFonts w:ascii="宋体" w:hAnsi="宋体" w:cs="宋体"/>
          <w:color w:val="auto"/>
          <w:szCs w:val="21"/>
          <w:highlight w:val="none"/>
        </w:rPr>
      </w:pPr>
      <w:r>
        <w:rPr>
          <w:rFonts w:hint="eastAsia" w:ascii="宋体" w:hAnsi="宋体" w:cs="宋体"/>
          <w:color w:val="auto"/>
          <w:szCs w:val="21"/>
          <w:highlight w:val="none"/>
        </w:rPr>
        <w:t>其他普通螺栓采用有效防腐措施。</w:t>
      </w:r>
    </w:p>
    <w:p>
      <w:pPr>
        <w:pStyle w:val="8"/>
        <w:adjustRightInd/>
        <w:jc w:val="both"/>
        <w:rPr>
          <w:rFonts w:ascii="宋体" w:hAnsi="宋体" w:cs="宋体"/>
          <w:color w:val="auto"/>
          <w:sz w:val="21"/>
          <w:szCs w:val="21"/>
          <w:highlight w:val="none"/>
        </w:rPr>
      </w:pPr>
      <w:bookmarkStart w:id="190" w:name="_Toc210213633"/>
      <w:bookmarkStart w:id="191" w:name="_Toc345506784"/>
      <w:bookmarkStart w:id="192" w:name="_Toc522634490"/>
      <w:bookmarkStart w:id="193" w:name="_Toc227744873"/>
      <w:bookmarkStart w:id="194" w:name="_Toc27127539"/>
      <w:r>
        <w:rPr>
          <w:rFonts w:hint="eastAsia" w:ascii="宋体" w:hAnsi="宋体" w:cs="宋体"/>
          <w:color w:val="auto"/>
          <w:sz w:val="21"/>
          <w:szCs w:val="21"/>
          <w:highlight w:val="none"/>
        </w:rPr>
        <w:t>5.7.1.9 地脚螺栓</w:t>
      </w:r>
      <w:bookmarkEnd w:id="190"/>
      <w:bookmarkEnd w:id="191"/>
      <w:bookmarkEnd w:id="192"/>
      <w:bookmarkEnd w:id="193"/>
      <w:bookmarkEnd w:id="194"/>
      <w:r>
        <w:rPr>
          <w:rFonts w:hint="eastAsia" w:ascii="宋体" w:hAnsi="宋体" w:cs="宋体"/>
          <w:color w:val="auto"/>
          <w:sz w:val="21"/>
          <w:szCs w:val="21"/>
          <w:highlight w:val="none"/>
        </w:rPr>
        <w:t>要求</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设备的安装应使用标准的预埋地脚螺栓。中标人施工前应提前施工方案，采购人同意后方可施工。</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递交所建议使用的螺栓类型的详细资料，包括制造商的产品规格，给招标方批准。</w:t>
      </w:r>
    </w:p>
    <w:p>
      <w:pPr>
        <w:pStyle w:val="8"/>
        <w:adjustRightInd/>
        <w:jc w:val="both"/>
        <w:rPr>
          <w:rFonts w:ascii="宋体" w:hAnsi="宋体" w:cs="宋体"/>
          <w:color w:val="auto"/>
          <w:sz w:val="21"/>
          <w:szCs w:val="21"/>
          <w:highlight w:val="none"/>
        </w:rPr>
      </w:pPr>
      <w:bookmarkStart w:id="195" w:name="_Toc522634491"/>
      <w:r>
        <w:rPr>
          <w:rFonts w:hint="eastAsia" w:ascii="宋体" w:hAnsi="宋体" w:cs="宋体"/>
          <w:color w:val="auto"/>
          <w:sz w:val="21"/>
          <w:szCs w:val="21"/>
          <w:highlight w:val="none"/>
        </w:rPr>
        <w:t>5.7.1.10 润滑</w:t>
      </w:r>
      <w:bookmarkEnd w:id="195"/>
      <w:r>
        <w:rPr>
          <w:rFonts w:hint="eastAsia" w:ascii="宋体" w:hAnsi="宋体" w:cs="宋体"/>
          <w:color w:val="auto"/>
          <w:sz w:val="21"/>
          <w:szCs w:val="21"/>
          <w:highlight w:val="none"/>
        </w:rPr>
        <w:t>要求</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需要润滑的部件应有一定的安全裕量，在设备维修周期拖延的情况下也应能无损害运行。</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同一种机械设备在各种气候条件下宜采用同一种润滑剂，尽可能减少润滑剂的种类。</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应列出所需润滑剂特性，至少包括：润滑剂的名称及成份、润滑剂的使用位置和期限、类型及制造商、耗量并提供油品的MSDS等。</w:t>
      </w:r>
    </w:p>
    <w:p>
      <w:pPr>
        <w:pStyle w:val="8"/>
        <w:adjustRightInd/>
        <w:jc w:val="both"/>
        <w:rPr>
          <w:rFonts w:ascii="宋体" w:hAnsi="宋体" w:cs="宋体"/>
          <w:color w:val="auto"/>
          <w:sz w:val="21"/>
          <w:szCs w:val="21"/>
          <w:highlight w:val="none"/>
        </w:rPr>
      </w:pPr>
      <w:bookmarkStart w:id="196" w:name="_Toc522634492"/>
      <w:r>
        <w:rPr>
          <w:rFonts w:hint="eastAsia" w:ascii="宋体" w:hAnsi="宋体" w:cs="宋体"/>
          <w:color w:val="auto"/>
          <w:sz w:val="21"/>
          <w:szCs w:val="21"/>
          <w:highlight w:val="none"/>
        </w:rPr>
        <w:t>5.7.1.11 油漆</w:t>
      </w:r>
      <w:bookmarkEnd w:id="196"/>
      <w:r>
        <w:rPr>
          <w:rFonts w:hint="eastAsia" w:ascii="宋体" w:hAnsi="宋体" w:cs="宋体"/>
          <w:color w:val="auto"/>
          <w:sz w:val="21"/>
          <w:szCs w:val="21"/>
          <w:highlight w:val="none"/>
        </w:rPr>
        <w:t>要求</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（1）设备及金属结构件预处理除锈等级达到Sa2.5级，表面粗糙度控制在25～60μm之间，并采取防锈措施，焊接后的焊缝部位打磨后再用底漆和面漆涂装。</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（2）设备内部涂层为底漆涂环氧富锌底漆两道，环氧面煤沥青两道，涂层总厚度不小于125μm。</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（3）设备外部涂层为底漆涂环氧富锌底漆一道，中间漆涂环氧云铁中间漆一道，氯磺化聚乙烯面漆两道，涂层总厚度不小于150μm。</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（4）油漆质量要达到：“漆膜均匀，不得有气泡、夹杂、龟裂、杂色、剥落、皱皮等缺陷”的要求，控制柜应采用烤漆工艺。</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（5）中标人对涂层的附着力、硬度和厚度进行检测。</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（6）中标人提供用于现场修复的底漆和面漆。</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（7）中标人提供的所有设备、管道、阀门、开关柜、控制柜等油漆颜色、工艺要求按全厂统一标准执行，具体要求在设计联络会时确定。</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（8）碳钢管道、钢材、支架、设备等应在进场前喷砂处理并达Sa2.5级，喷涂底漆、中间漆，施工完成后再涂面漆。不允许未喷砂的钢材、管道、支架等安装后再进行除锈。</w:t>
      </w:r>
    </w:p>
    <w:p>
      <w:pPr>
        <w:pStyle w:val="7"/>
        <w:adjustRightInd/>
        <w:spacing w:line="360" w:lineRule="auto"/>
        <w:jc w:val="both"/>
        <w:rPr>
          <w:rFonts w:ascii="宋体" w:hAnsi="宋体" w:cs="宋体"/>
          <w:color w:val="auto"/>
          <w:sz w:val="21"/>
          <w:szCs w:val="21"/>
          <w:highlight w:val="none"/>
        </w:rPr>
      </w:pPr>
      <w:bookmarkStart w:id="197" w:name="_Toc63167158"/>
      <w:bookmarkStart w:id="198" w:name="_Toc144892903"/>
      <w:bookmarkStart w:id="199" w:name="_Toc30176"/>
      <w:r>
        <w:rPr>
          <w:rFonts w:hint="eastAsia" w:ascii="宋体" w:hAnsi="宋体" w:cs="宋体"/>
          <w:color w:val="auto"/>
          <w:sz w:val="21"/>
          <w:szCs w:val="21"/>
          <w:highlight w:val="none"/>
        </w:rPr>
        <w:t>5.7.2 设备专用技术要求</w:t>
      </w:r>
      <w:bookmarkEnd w:id="197"/>
      <w:bookmarkEnd w:id="198"/>
      <w:bookmarkEnd w:id="199"/>
    </w:p>
    <w:p>
      <w:pPr>
        <w:pStyle w:val="8"/>
        <w:adjustRightInd/>
        <w:jc w:val="both"/>
        <w:rPr>
          <w:rFonts w:ascii="宋体" w:hAnsi="宋体" w:cs="宋体"/>
          <w:color w:val="auto"/>
          <w:sz w:val="21"/>
          <w:szCs w:val="21"/>
          <w:highlight w:val="none"/>
        </w:rPr>
      </w:pPr>
      <w:bookmarkStart w:id="200" w:name="_Toc522634476"/>
      <w:r>
        <w:rPr>
          <w:rFonts w:hint="eastAsia" w:ascii="宋体" w:hAnsi="宋体" w:cs="宋体"/>
          <w:color w:val="auto"/>
          <w:sz w:val="21"/>
          <w:szCs w:val="21"/>
          <w:highlight w:val="none"/>
        </w:rPr>
        <w:t>5.7.2.1 品牌要求</w:t>
      </w:r>
      <w:bookmarkEnd w:id="200"/>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系统内主要设备如：反应罐、储罐、阀门件、换热器、压滤机、水泵、风机等，需选用国内知名品牌。</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超滤系统的主要设备如：循环泵、清洗泵、膜组件、化学剂添加泵等，均需选用国际知名品牌。</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超滤膜系统采用外置式PVDF膜，必须采用业界知名品牌（进口），能够承担活性污泥混合液的分离。</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NF系统、物料膜系统的主要设备如：进水泵、高压泵、增压泵、清洗泵、膜元件、化学剂添加泵等，均需选用国际知名品牌。</w:t>
      </w:r>
    </w:p>
    <w:p>
      <w:pPr>
        <w:adjustRightInd/>
        <w:spacing w:before="180" w:beforeLines="50" w:after="180" w:afterLines="50"/>
        <w:jc w:val="center"/>
        <w:rPr>
          <w:rFonts w:ascii="宋体" w:hAnsi="宋体" w:cs="宋体"/>
          <w:b/>
          <w:color w:val="auto"/>
          <w:szCs w:val="21"/>
          <w:highlight w:val="none"/>
        </w:rPr>
      </w:pPr>
      <w:r>
        <w:rPr>
          <w:rFonts w:hint="eastAsia" w:ascii="宋体" w:hAnsi="宋体" w:cs="宋体"/>
          <w:b/>
          <w:color w:val="auto"/>
          <w:szCs w:val="21"/>
          <w:highlight w:val="none"/>
        </w:rPr>
        <w:t>表5-2供货清单与参考品牌要求</w:t>
      </w:r>
    </w:p>
    <w:tbl>
      <w:tblPr>
        <w:tblStyle w:val="34"/>
        <w:tblW w:w="8522" w:type="dxa"/>
        <w:tblInd w:w="0" w:type="dxa"/>
        <w:tblLayout w:type="fixed"/>
        <w:tblCellMar>
          <w:top w:w="0" w:type="dxa"/>
          <w:left w:w="108" w:type="dxa"/>
          <w:bottom w:w="0" w:type="dxa"/>
          <w:right w:w="108" w:type="dxa"/>
        </w:tblCellMar>
      </w:tblPr>
      <w:tblGrid>
        <w:gridCol w:w="675"/>
        <w:gridCol w:w="1981"/>
        <w:gridCol w:w="2251"/>
        <w:gridCol w:w="3615"/>
      </w:tblGrid>
      <w:tr>
        <w:tblPrEx>
          <w:tblLayout w:type="fixed"/>
          <w:tblCellMar>
            <w:top w:w="0" w:type="dxa"/>
            <w:left w:w="108" w:type="dxa"/>
            <w:bottom w:w="0" w:type="dxa"/>
            <w:right w:w="108" w:type="dxa"/>
          </w:tblCellMar>
        </w:tblPrEx>
        <w:trPr>
          <w:trHeight w:val="290" w:hRule="atLeast"/>
        </w:trPr>
        <w:tc>
          <w:tcPr>
            <w:tcW w:w="675" w:type="dxa"/>
            <w:tcBorders>
              <w:top w:val="single" w:color="auto" w:sz="12" w:space="0"/>
              <w:left w:val="single" w:color="auto" w:sz="12" w:space="0"/>
              <w:bottom w:val="single" w:color="auto" w:sz="4" w:space="0"/>
              <w:right w:val="single" w:color="auto" w:sz="4" w:space="0"/>
            </w:tcBorders>
            <w:vAlign w:val="center"/>
          </w:tcPr>
          <w:p>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981" w:type="dxa"/>
            <w:tcBorders>
              <w:top w:val="single" w:color="auto" w:sz="12" w:space="0"/>
              <w:left w:val="nil"/>
              <w:bottom w:val="single" w:color="auto" w:sz="4" w:space="0"/>
              <w:right w:val="single" w:color="auto" w:sz="4" w:space="0"/>
            </w:tcBorders>
            <w:vAlign w:val="center"/>
          </w:tcPr>
          <w:p>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设备</w:t>
            </w:r>
          </w:p>
        </w:tc>
        <w:tc>
          <w:tcPr>
            <w:tcW w:w="2251" w:type="dxa"/>
            <w:tcBorders>
              <w:top w:val="single" w:color="auto" w:sz="12" w:space="0"/>
              <w:left w:val="nil"/>
              <w:bottom w:val="single" w:color="auto" w:sz="4" w:space="0"/>
              <w:right w:val="single" w:color="auto" w:sz="4" w:space="0"/>
            </w:tcBorders>
            <w:vAlign w:val="center"/>
          </w:tcPr>
          <w:p>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品牌要求</w:t>
            </w:r>
          </w:p>
        </w:tc>
        <w:tc>
          <w:tcPr>
            <w:tcW w:w="3615" w:type="dxa"/>
            <w:tcBorders>
              <w:top w:val="single" w:color="auto" w:sz="12" w:space="0"/>
              <w:left w:val="nil"/>
              <w:bottom w:val="single" w:color="auto" w:sz="4" w:space="0"/>
              <w:right w:val="single" w:color="auto" w:sz="12" w:space="0"/>
            </w:tcBorders>
            <w:vAlign w:val="center"/>
          </w:tcPr>
          <w:p>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Layout w:type="fixed"/>
          <w:tblCellMar>
            <w:top w:w="0" w:type="dxa"/>
            <w:left w:w="108" w:type="dxa"/>
            <w:bottom w:w="0" w:type="dxa"/>
            <w:right w:w="108" w:type="dxa"/>
          </w:tblCellMar>
        </w:tblPrEx>
        <w:trPr>
          <w:trHeight w:val="280" w:hRule="atLeast"/>
        </w:trPr>
        <w:tc>
          <w:tcPr>
            <w:tcW w:w="675" w:type="dxa"/>
            <w:tcBorders>
              <w:top w:val="nil"/>
              <w:left w:val="single" w:color="auto" w:sz="12" w:space="0"/>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w:t>
            </w:r>
          </w:p>
        </w:tc>
        <w:tc>
          <w:tcPr>
            <w:tcW w:w="198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潜水搅拌机</w:t>
            </w:r>
          </w:p>
        </w:tc>
        <w:tc>
          <w:tcPr>
            <w:tcW w:w="225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蓝深、贝特、南蓝</w:t>
            </w:r>
          </w:p>
        </w:tc>
        <w:tc>
          <w:tcPr>
            <w:tcW w:w="3615" w:type="dxa"/>
            <w:tcBorders>
              <w:top w:val="nil"/>
              <w:left w:val="nil"/>
              <w:bottom w:val="single" w:color="auto" w:sz="4" w:space="0"/>
              <w:right w:val="single" w:color="auto" w:sz="12" w:space="0"/>
            </w:tcBorders>
            <w:vAlign w:val="center"/>
          </w:tcPr>
          <w:p>
            <w:pPr>
              <w:adjustRightInd/>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280" w:hRule="atLeast"/>
        </w:trPr>
        <w:tc>
          <w:tcPr>
            <w:tcW w:w="675" w:type="dxa"/>
            <w:tcBorders>
              <w:top w:val="nil"/>
              <w:left w:val="single" w:color="auto" w:sz="12" w:space="0"/>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2</w:t>
            </w:r>
          </w:p>
        </w:tc>
        <w:tc>
          <w:tcPr>
            <w:tcW w:w="198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卧式离心泵</w:t>
            </w:r>
          </w:p>
        </w:tc>
        <w:tc>
          <w:tcPr>
            <w:tcW w:w="225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广一、凯泉、川源</w:t>
            </w:r>
          </w:p>
        </w:tc>
        <w:tc>
          <w:tcPr>
            <w:tcW w:w="3615" w:type="dxa"/>
            <w:tcBorders>
              <w:top w:val="nil"/>
              <w:left w:val="single" w:color="auto" w:sz="4" w:space="0"/>
              <w:bottom w:val="single" w:color="auto" w:sz="4" w:space="0"/>
              <w:right w:val="single" w:color="auto" w:sz="12" w:space="0"/>
            </w:tcBorders>
            <w:vAlign w:val="center"/>
          </w:tcPr>
          <w:p>
            <w:pPr>
              <w:adjustRightInd/>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280" w:hRule="atLeast"/>
        </w:trPr>
        <w:tc>
          <w:tcPr>
            <w:tcW w:w="675" w:type="dxa"/>
            <w:tcBorders>
              <w:top w:val="nil"/>
              <w:left w:val="single" w:color="auto" w:sz="12" w:space="0"/>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3</w:t>
            </w:r>
          </w:p>
        </w:tc>
        <w:tc>
          <w:tcPr>
            <w:tcW w:w="198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立式离心泵</w:t>
            </w:r>
          </w:p>
        </w:tc>
        <w:tc>
          <w:tcPr>
            <w:tcW w:w="225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南方、凯泉、川源</w:t>
            </w:r>
          </w:p>
        </w:tc>
        <w:tc>
          <w:tcPr>
            <w:tcW w:w="3615" w:type="dxa"/>
            <w:tcBorders>
              <w:top w:val="single" w:color="auto" w:sz="4" w:space="0"/>
              <w:left w:val="single" w:color="auto" w:sz="4" w:space="0"/>
              <w:bottom w:val="single" w:color="000000" w:sz="4" w:space="0"/>
              <w:right w:val="single" w:color="auto" w:sz="12" w:space="0"/>
            </w:tcBorders>
            <w:vAlign w:val="center"/>
          </w:tcPr>
          <w:p>
            <w:pPr>
              <w:adjustRightInd/>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280" w:hRule="atLeast"/>
        </w:trPr>
        <w:tc>
          <w:tcPr>
            <w:tcW w:w="675" w:type="dxa"/>
            <w:tcBorders>
              <w:top w:val="nil"/>
              <w:left w:val="single" w:color="auto" w:sz="12" w:space="0"/>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4</w:t>
            </w:r>
          </w:p>
        </w:tc>
        <w:tc>
          <w:tcPr>
            <w:tcW w:w="198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潜污泵</w:t>
            </w:r>
          </w:p>
        </w:tc>
        <w:tc>
          <w:tcPr>
            <w:tcW w:w="225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广一、凯泉、川源</w:t>
            </w:r>
          </w:p>
        </w:tc>
        <w:tc>
          <w:tcPr>
            <w:tcW w:w="3615" w:type="dxa"/>
            <w:tcBorders>
              <w:top w:val="nil"/>
              <w:left w:val="nil"/>
              <w:bottom w:val="single" w:color="auto" w:sz="4" w:space="0"/>
              <w:right w:val="single" w:color="auto" w:sz="12" w:space="0"/>
            </w:tcBorders>
            <w:vAlign w:val="center"/>
          </w:tcPr>
          <w:p>
            <w:pPr>
              <w:adjustRightInd/>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290" w:hRule="atLeast"/>
        </w:trPr>
        <w:tc>
          <w:tcPr>
            <w:tcW w:w="675" w:type="dxa"/>
            <w:tcBorders>
              <w:top w:val="nil"/>
              <w:left w:val="single" w:color="auto" w:sz="12" w:space="0"/>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5</w:t>
            </w:r>
          </w:p>
        </w:tc>
        <w:tc>
          <w:tcPr>
            <w:tcW w:w="198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空气悬浮鼓风机</w:t>
            </w:r>
          </w:p>
        </w:tc>
        <w:tc>
          <w:tcPr>
            <w:tcW w:w="225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川源、百事德、雷茨</w:t>
            </w:r>
          </w:p>
        </w:tc>
        <w:tc>
          <w:tcPr>
            <w:tcW w:w="3615" w:type="dxa"/>
            <w:tcBorders>
              <w:top w:val="nil"/>
              <w:left w:val="nil"/>
              <w:bottom w:val="single" w:color="auto" w:sz="4" w:space="0"/>
              <w:right w:val="single" w:color="auto" w:sz="12" w:space="0"/>
            </w:tcBorders>
            <w:vAlign w:val="center"/>
          </w:tcPr>
          <w:p>
            <w:pPr>
              <w:adjustRightInd/>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290" w:hRule="atLeast"/>
        </w:trPr>
        <w:tc>
          <w:tcPr>
            <w:tcW w:w="675" w:type="dxa"/>
            <w:tcBorders>
              <w:top w:val="nil"/>
              <w:left w:val="single" w:color="auto" w:sz="12" w:space="0"/>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6</w:t>
            </w:r>
          </w:p>
        </w:tc>
        <w:tc>
          <w:tcPr>
            <w:tcW w:w="198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加药泵</w:t>
            </w:r>
          </w:p>
        </w:tc>
        <w:tc>
          <w:tcPr>
            <w:tcW w:w="225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普罗名特、米顿罗、帕斯菲达</w:t>
            </w:r>
          </w:p>
        </w:tc>
        <w:tc>
          <w:tcPr>
            <w:tcW w:w="3615" w:type="dxa"/>
            <w:tcBorders>
              <w:top w:val="nil"/>
              <w:left w:val="nil"/>
              <w:bottom w:val="single" w:color="auto" w:sz="4" w:space="0"/>
              <w:right w:val="single" w:color="auto" w:sz="12" w:space="0"/>
            </w:tcBorders>
            <w:vAlign w:val="center"/>
          </w:tcPr>
          <w:p>
            <w:pPr>
              <w:adjustRightInd/>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290" w:hRule="atLeast"/>
        </w:trPr>
        <w:tc>
          <w:tcPr>
            <w:tcW w:w="675" w:type="dxa"/>
            <w:tcBorders>
              <w:top w:val="nil"/>
              <w:left w:val="single" w:color="auto" w:sz="12" w:space="0"/>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7</w:t>
            </w:r>
          </w:p>
        </w:tc>
        <w:tc>
          <w:tcPr>
            <w:tcW w:w="198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超滤膜</w:t>
            </w:r>
          </w:p>
        </w:tc>
        <w:tc>
          <w:tcPr>
            <w:tcW w:w="225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特里高、MEMOS</w:t>
            </w:r>
          </w:p>
        </w:tc>
        <w:tc>
          <w:tcPr>
            <w:tcW w:w="3615" w:type="dxa"/>
            <w:tcBorders>
              <w:top w:val="nil"/>
              <w:left w:val="nil"/>
              <w:bottom w:val="single" w:color="auto" w:sz="4" w:space="0"/>
              <w:right w:val="single" w:color="auto" w:sz="12" w:space="0"/>
            </w:tcBorders>
            <w:vAlign w:val="center"/>
          </w:tcPr>
          <w:p>
            <w:pPr>
              <w:adjustRightInd/>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290" w:hRule="atLeast"/>
        </w:trPr>
        <w:tc>
          <w:tcPr>
            <w:tcW w:w="675" w:type="dxa"/>
            <w:tcBorders>
              <w:top w:val="nil"/>
              <w:left w:val="single" w:color="auto" w:sz="12" w:space="0"/>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8</w:t>
            </w:r>
          </w:p>
        </w:tc>
        <w:tc>
          <w:tcPr>
            <w:tcW w:w="198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纳滤膜</w:t>
            </w:r>
          </w:p>
        </w:tc>
        <w:tc>
          <w:tcPr>
            <w:tcW w:w="2251" w:type="dxa"/>
            <w:tcBorders>
              <w:top w:val="nil"/>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陶氏、GE、海德能</w:t>
            </w:r>
          </w:p>
        </w:tc>
        <w:tc>
          <w:tcPr>
            <w:tcW w:w="3615" w:type="dxa"/>
            <w:tcBorders>
              <w:top w:val="nil"/>
              <w:left w:val="nil"/>
              <w:bottom w:val="single" w:color="auto" w:sz="4" w:space="0"/>
              <w:right w:val="single" w:color="auto" w:sz="12" w:space="0"/>
            </w:tcBorders>
            <w:vAlign w:val="center"/>
          </w:tcPr>
          <w:p>
            <w:pPr>
              <w:adjustRightInd/>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29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9</w:t>
            </w:r>
          </w:p>
        </w:tc>
        <w:tc>
          <w:tcPr>
            <w:tcW w:w="1981" w:type="dxa"/>
            <w:tcBorders>
              <w:top w:val="single" w:color="auto" w:sz="4" w:space="0"/>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电缆</w:t>
            </w:r>
          </w:p>
        </w:tc>
        <w:tc>
          <w:tcPr>
            <w:tcW w:w="2251" w:type="dxa"/>
            <w:tcBorders>
              <w:top w:val="single" w:color="auto" w:sz="4" w:space="0"/>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远东电缆、宝胜电缆、广州南洋</w:t>
            </w:r>
          </w:p>
        </w:tc>
        <w:tc>
          <w:tcPr>
            <w:tcW w:w="3615" w:type="dxa"/>
            <w:tcBorders>
              <w:top w:val="single" w:color="auto" w:sz="4" w:space="0"/>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同级品牌</w:t>
            </w:r>
          </w:p>
        </w:tc>
      </w:tr>
      <w:tr>
        <w:tblPrEx>
          <w:tblLayout w:type="fixed"/>
          <w:tblCellMar>
            <w:top w:w="0" w:type="dxa"/>
            <w:left w:w="108" w:type="dxa"/>
            <w:bottom w:w="0" w:type="dxa"/>
            <w:right w:w="108" w:type="dxa"/>
          </w:tblCellMar>
        </w:tblPrEx>
        <w:trPr>
          <w:trHeight w:val="29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10</w:t>
            </w:r>
          </w:p>
        </w:tc>
        <w:tc>
          <w:tcPr>
            <w:tcW w:w="1981" w:type="dxa"/>
            <w:tcBorders>
              <w:top w:val="single" w:color="auto" w:sz="4" w:space="0"/>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电气元器件</w:t>
            </w:r>
          </w:p>
        </w:tc>
        <w:tc>
          <w:tcPr>
            <w:tcW w:w="2251" w:type="dxa"/>
            <w:tcBorders>
              <w:top w:val="single" w:color="auto" w:sz="4" w:space="0"/>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ABB、西门子、施耐德</w:t>
            </w:r>
          </w:p>
        </w:tc>
        <w:tc>
          <w:tcPr>
            <w:tcW w:w="3615" w:type="dxa"/>
            <w:tcBorders>
              <w:top w:val="single" w:color="auto" w:sz="4" w:space="0"/>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29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11</w:t>
            </w:r>
          </w:p>
        </w:tc>
        <w:tc>
          <w:tcPr>
            <w:tcW w:w="1981" w:type="dxa"/>
            <w:tcBorders>
              <w:top w:val="single" w:color="auto" w:sz="4" w:space="0"/>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变频器</w:t>
            </w:r>
          </w:p>
        </w:tc>
        <w:tc>
          <w:tcPr>
            <w:tcW w:w="2251" w:type="dxa"/>
            <w:tcBorders>
              <w:top w:val="single" w:color="auto" w:sz="4" w:space="0"/>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AB、ABB、西门子</w:t>
            </w:r>
          </w:p>
        </w:tc>
        <w:tc>
          <w:tcPr>
            <w:tcW w:w="3615" w:type="dxa"/>
            <w:tcBorders>
              <w:top w:val="single" w:color="auto" w:sz="4" w:space="0"/>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29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12</w:t>
            </w:r>
          </w:p>
        </w:tc>
        <w:tc>
          <w:tcPr>
            <w:tcW w:w="1981" w:type="dxa"/>
            <w:tcBorders>
              <w:top w:val="single" w:color="auto" w:sz="4" w:space="0"/>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PLC</w:t>
            </w:r>
          </w:p>
        </w:tc>
        <w:tc>
          <w:tcPr>
            <w:tcW w:w="2251" w:type="dxa"/>
            <w:tcBorders>
              <w:top w:val="single" w:color="auto" w:sz="4" w:space="0"/>
              <w:left w:val="nil"/>
              <w:bottom w:val="single" w:color="auto" w:sz="4" w:space="0"/>
              <w:right w:val="single" w:color="auto" w:sz="4" w:space="0"/>
            </w:tcBorders>
            <w:vAlign w:val="center"/>
          </w:tcPr>
          <w:p>
            <w:pPr>
              <w:adjustRightInd/>
              <w:jc w:val="center"/>
              <w:rPr>
                <w:rFonts w:ascii="宋体" w:hAnsi="宋体" w:cs="宋体"/>
                <w:color w:val="auto"/>
                <w:szCs w:val="21"/>
                <w:highlight w:val="none"/>
              </w:rPr>
            </w:pPr>
            <w:r>
              <w:rPr>
                <w:rFonts w:hint="eastAsia" w:ascii="宋体" w:hAnsi="宋体" w:cs="宋体"/>
                <w:color w:val="auto"/>
                <w:szCs w:val="21"/>
                <w:highlight w:val="none"/>
              </w:rPr>
              <w:t>西门子S7-1200</w:t>
            </w:r>
          </w:p>
        </w:tc>
        <w:tc>
          <w:tcPr>
            <w:tcW w:w="3615" w:type="dxa"/>
            <w:tcBorders>
              <w:top w:val="single" w:color="auto" w:sz="4" w:space="0"/>
              <w:left w:val="nil"/>
              <w:bottom w:val="single" w:color="auto" w:sz="4" w:space="0"/>
              <w:right w:val="single" w:color="auto" w:sz="4" w:space="0"/>
            </w:tcBorders>
            <w:vAlign w:val="center"/>
          </w:tcPr>
          <w:p>
            <w:pPr>
              <w:adjustRightInd/>
              <w:rPr>
                <w:rFonts w:ascii="宋体" w:hAnsi="宋体" w:cs="宋体"/>
                <w:color w:val="auto"/>
                <w:szCs w:val="21"/>
                <w:highlight w:val="none"/>
              </w:rPr>
            </w:pPr>
            <w:r>
              <w:rPr>
                <w:rFonts w:hint="eastAsia" w:ascii="宋体" w:hAnsi="宋体" w:cs="宋体"/>
                <w:color w:val="auto"/>
                <w:szCs w:val="21"/>
                <w:highlight w:val="none"/>
              </w:rPr>
              <w:t>控制系统留有2个以太网通信接口， 1个给本项目提供触摸屏通讯，另1个预留给SCADA上位机通讯</w:t>
            </w:r>
          </w:p>
        </w:tc>
      </w:tr>
    </w:tbl>
    <w:p>
      <w:pPr>
        <w:pStyle w:val="8"/>
        <w:adjustRightInd/>
        <w:jc w:val="both"/>
        <w:rPr>
          <w:rFonts w:ascii="宋体" w:hAnsi="宋体" w:cs="宋体"/>
          <w:color w:val="auto"/>
          <w:sz w:val="21"/>
          <w:szCs w:val="21"/>
          <w:highlight w:val="none"/>
        </w:rPr>
      </w:pPr>
    </w:p>
    <w:p>
      <w:pPr>
        <w:pStyle w:val="8"/>
        <w:adjustRightInd/>
        <w:jc w:val="both"/>
        <w:rPr>
          <w:rFonts w:ascii="宋体" w:hAnsi="宋体" w:cs="宋体"/>
          <w:color w:val="auto"/>
          <w:sz w:val="21"/>
          <w:szCs w:val="21"/>
          <w:highlight w:val="none"/>
        </w:rPr>
      </w:pPr>
      <w:r>
        <w:rPr>
          <w:rFonts w:hint="eastAsia" w:ascii="宋体" w:hAnsi="宋体" w:cs="宋体"/>
          <w:color w:val="auto"/>
          <w:sz w:val="21"/>
          <w:szCs w:val="21"/>
          <w:highlight w:val="none"/>
        </w:rPr>
        <w:t>5.7.2.2 超滤设备技术要求</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超滤设备主要作用是对生化池内的泥水混合物进行泥水分离。超滤冲洗、清洗设备及自控系统需满足全部超滤膜组件清洗及冲洗要求。</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（1）供货范围</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超滤膜组件为系统中膜分离系统的核心设备，供货范围为满足投标技术文件及设备提资使用要求需要的整套系统。主要包括但不限于以下设备：</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管式膜组件</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配套的循环泵、进料泵、加药泵及清洗泵</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配套的管道阀门</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配套的自控仪表</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配套的清洗系统</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配套的控制系统</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配套的储罐、加药罐</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配套的支架</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配套电气设备</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连接管道、管件、附件、负责设备安装用的紧固件；</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电力电缆、控制电缆等。</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（2）设备性能要求</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本系统主要以满足整个系统的要求为主，膜通量不大于18L/(m</w:t>
      </w:r>
      <w:r>
        <w:rPr>
          <w:rFonts w:hint="eastAsia" w:ascii="宋体" w:hAnsi="宋体" w:eastAsia="宋体" w:cs="宋体"/>
          <w:color w:val="auto"/>
          <w:sz w:val="21"/>
          <w:szCs w:val="21"/>
          <w:highlight w:val="none"/>
          <w:vertAlign w:val="superscript"/>
          <w:lang w:eastAsia="zh-CN"/>
        </w:rPr>
        <w:t>2</w:t>
      </w:r>
      <w:r>
        <w:rPr>
          <w:rFonts w:hint="eastAsia" w:ascii="宋体" w:hAnsi="宋体" w:eastAsia="宋体" w:cs="宋体"/>
          <w:color w:val="auto"/>
          <w:sz w:val="21"/>
          <w:szCs w:val="21"/>
          <w:highlight w:val="none"/>
          <w:lang w:eastAsia="zh-CN"/>
        </w:rPr>
        <w:t xml:space="preserve"> h)，同时须考虑一定的裕度以保证膜通量衰减后系统产量仍可满足系统要求。</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超滤膜组件在清洗和检修时，必须便于现场拆卸，且清洗检修时整体处理工艺能力必须达到设备提资进水水量，确保工艺连续运行。</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系统所采用设备须具有较强的抗腐蚀能力，保证系统的使用寿命。</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系统所采用的膜须具有较强的抗污染能力和抗氧化能力。</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（3）主要部件材质</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管式膜：PVDF</w:t>
      </w:r>
    </w:p>
    <w:p>
      <w:pPr>
        <w:pStyle w:val="91"/>
        <w:spacing w:line="360" w:lineRule="auto"/>
        <w:ind w:firstLine="444"/>
        <w:jc w:val="both"/>
        <w:rPr>
          <w:rFonts w:ascii="宋体" w:hAnsi="宋体" w:eastAsia="宋体" w:cs="宋体"/>
          <w:color w:val="auto"/>
          <w:sz w:val="21"/>
          <w:szCs w:val="21"/>
          <w:highlight w:val="none"/>
          <w:lang w:eastAsia="zh-CN"/>
        </w:rPr>
      </w:pPr>
      <w:r>
        <w:rPr>
          <w:rFonts w:hint="eastAsia" w:ascii="宋体" w:hAnsi="宋体" w:eastAsia="宋体" w:cs="宋体"/>
          <w:color w:val="auto"/>
          <w:spacing w:val="6"/>
          <w:sz w:val="21"/>
          <w:szCs w:val="21"/>
          <w:highlight w:val="none"/>
          <w:lang w:eastAsia="zh-CN"/>
        </w:rPr>
        <w:t>离心泵：满足“主要设备技术要求中卧式离心泵”中所述要求</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支架：优质碳素钢</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底座：优质碳素钢</w:t>
      </w:r>
    </w:p>
    <w:p>
      <w:pPr>
        <w:pStyle w:val="91"/>
        <w:spacing w:line="360" w:lineRule="auto"/>
        <w:ind w:firstLine="420"/>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管道：UPVC/ SS316</w:t>
      </w:r>
    </w:p>
    <w:p>
      <w:pPr>
        <w:pStyle w:val="8"/>
        <w:adjustRightInd/>
        <w:jc w:val="both"/>
        <w:rPr>
          <w:rFonts w:ascii="宋体" w:hAnsi="宋体" w:cs="宋体"/>
          <w:color w:val="auto"/>
          <w:sz w:val="21"/>
          <w:szCs w:val="21"/>
          <w:highlight w:val="none"/>
        </w:rPr>
      </w:pPr>
      <w:r>
        <w:rPr>
          <w:rFonts w:hint="eastAsia" w:ascii="宋体" w:hAnsi="宋体" w:cs="宋体"/>
          <w:color w:val="auto"/>
          <w:sz w:val="21"/>
          <w:szCs w:val="21"/>
          <w:highlight w:val="none"/>
        </w:rPr>
        <w:t>5.7.2.3 纳滤设备技术要求</w:t>
      </w:r>
    </w:p>
    <w:p>
      <w:pPr>
        <w:numPr>
          <w:ilvl w:val="0"/>
          <w:numId w:val="20"/>
        </w:numPr>
        <w:adjustRightInd/>
        <w:ind w:left="630" w:leftChars="300" w:firstLine="420" w:firstLineChars="200"/>
        <w:jc w:val="both"/>
        <w:rPr>
          <w:rFonts w:ascii="宋体" w:hAnsi="宋体" w:cs="宋体"/>
          <w:color w:val="auto"/>
          <w:szCs w:val="21"/>
          <w:highlight w:val="none"/>
        </w:rPr>
      </w:pPr>
      <w:r>
        <w:rPr>
          <w:rFonts w:hint="eastAsia" w:ascii="宋体" w:hAnsi="宋体" w:cs="宋体"/>
          <w:color w:val="auto"/>
          <w:szCs w:val="21"/>
          <w:highlight w:val="none"/>
        </w:rPr>
        <w:t>设备描述：</w:t>
      </w:r>
    </w:p>
    <w:p>
      <w:pPr>
        <w:tabs>
          <w:tab w:val="left" w:pos="851"/>
        </w:tabs>
        <w:adjustRightInd/>
        <w:ind w:left="630" w:leftChars="300"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本设备主要作用是对超滤出水进行深度处理，须为集成式一体化设备，主要包括但不限于以下设备：</w:t>
      </w:r>
    </w:p>
    <w:p>
      <w:pPr>
        <w:numPr>
          <w:ilvl w:val="0"/>
          <w:numId w:val="21"/>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膜组件</w:t>
      </w:r>
    </w:p>
    <w:p>
      <w:pPr>
        <w:numPr>
          <w:ilvl w:val="0"/>
          <w:numId w:val="21"/>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配套的循环加压泵、循环泵、进料泵、加药泵及清洗泵</w:t>
      </w:r>
    </w:p>
    <w:p>
      <w:pPr>
        <w:numPr>
          <w:ilvl w:val="0"/>
          <w:numId w:val="21"/>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配套的管道阀门</w:t>
      </w:r>
    </w:p>
    <w:p>
      <w:pPr>
        <w:numPr>
          <w:ilvl w:val="0"/>
          <w:numId w:val="21"/>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配套的自控仪表</w:t>
      </w:r>
    </w:p>
    <w:p>
      <w:pPr>
        <w:numPr>
          <w:ilvl w:val="0"/>
          <w:numId w:val="21"/>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配套的清洗系统</w:t>
      </w:r>
    </w:p>
    <w:p>
      <w:pPr>
        <w:numPr>
          <w:ilvl w:val="0"/>
          <w:numId w:val="21"/>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配套的控制系统</w:t>
      </w:r>
    </w:p>
    <w:p>
      <w:pPr>
        <w:numPr>
          <w:ilvl w:val="0"/>
          <w:numId w:val="21"/>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配套的储罐</w:t>
      </w:r>
    </w:p>
    <w:p>
      <w:pPr>
        <w:numPr>
          <w:ilvl w:val="0"/>
          <w:numId w:val="21"/>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配套的支架</w:t>
      </w:r>
    </w:p>
    <w:p>
      <w:pPr>
        <w:numPr>
          <w:ilvl w:val="0"/>
          <w:numId w:val="21"/>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每组膜单独检测处理量设计</w:t>
      </w:r>
    </w:p>
    <w:p>
      <w:pPr>
        <w:numPr>
          <w:ilvl w:val="0"/>
          <w:numId w:val="21"/>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连接附件、安装用的紧固件</w:t>
      </w:r>
    </w:p>
    <w:p>
      <w:pPr>
        <w:numPr>
          <w:ilvl w:val="0"/>
          <w:numId w:val="20"/>
        </w:numPr>
        <w:adjustRightInd/>
        <w:ind w:left="630" w:leftChars="300" w:firstLine="420" w:firstLineChars="200"/>
        <w:jc w:val="both"/>
        <w:rPr>
          <w:rFonts w:ascii="宋体" w:hAnsi="宋体" w:cs="宋体"/>
          <w:color w:val="auto"/>
          <w:szCs w:val="21"/>
          <w:highlight w:val="none"/>
        </w:rPr>
      </w:pPr>
      <w:r>
        <w:rPr>
          <w:rFonts w:hint="eastAsia" w:ascii="宋体" w:hAnsi="宋体" w:cs="宋体"/>
          <w:color w:val="auto"/>
          <w:szCs w:val="21"/>
          <w:highlight w:val="none"/>
        </w:rPr>
        <w:t>技术要求：</w:t>
      </w:r>
    </w:p>
    <w:p>
      <w:pPr>
        <w:numPr>
          <w:ilvl w:val="0"/>
          <w:numId w:val="22"/>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本系统主要以满足整个系统的要求为主，各投标方可根据自己的工艺路线确定系统的处理能力，但须考虑具有一定的抗冲击能力，可以满足不同时期时系统要求。</w:t>
      </w:r>
    </w:p>
    <w:p>
      <w:pPr>
        <w:numPr>
          <w:ilvl w:val="0"/>
          <w:numId w:val="22"/>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系统所采用设备须具有较强的抗腐蚀能力，保证系统的使用寿命。</w:t>
      </w:r>
    </w:p>
    <w:p>
      <w:pPr>
        <w:numPr>
          <w:ilvl w:val="0"/>
          <w:numId w:val="22"/>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系统所采用的膜须具有较强的抗污染能力，采用宽通道、可以适用于工业物料分离的膜组件。</w:t>
      </w:r>
    </w:p>
    <w:p>
      <w:pPr>
        <w:numPr>
          <w:ilvl w:val="0"/>
          <w:numId w:val="20"/>
        </w:numPr>
        <w:adjustRightInd/>
        <w:ind w:left="630" w:leftChars="30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主要设备及材料要求：</w:t>
      </w:r>
    </w:p>
    <w:p>
      <w:pPr>
        <w:numPr>
          <w:ilvl w:val="0"/>
          <w:numId w:val="23"/>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膜组件：有机复合膜</w:t>
      </w:r>
    </w:p>
    <w:p>
      <w:pPr>
        <w:numPr>
          <w:ilvl w:val="0"/>
          <w:numId w:val="23"/>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离心泵：满足“主要设备技术要求中立式离心泵”中所述要求</w:t>
      </w:r>
    </w:p>
    <w:p>
      <w:pPr>
        <w:numPr>
          <w:ilvl w:val="0"/>
          <w:numId w:val="23"/>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支架：</w:t>
      </w:r>
      <w:r>
        <w:rPr>
          <w:rFonts w:hint="eastAsia" w:ascii="宋体" w:hAnsi="宋体" w:cs="宋体"/>
          <w:color w:val="auto"/>
          <w:szCs w:val="21"/>
          <w:highlight w:val="none"/>
        </w:rPr>
        <w:t>碳钢防腐</w:t>
      </w:r>
    </w:p>
    <w:p>
      <w:pPr>
        <w:numPr>
          <w:ilvl w:val="0"/>
          <w:numId w:val="23"/>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底座：</w:t>
      </w:r>
      <w:r>
        <w:rPr>
          <w:rFonts w:hint="eastAsia" w:ascii="宋体" w:hAnsi="宋体" w:cs="宋体"/>
          <w:color w:val="auto"/>
          <w:szCs w:val="21"/>
          <w:highlight w:val="none"/>
        </w:rPr>
        <w:t>碳钢防腐</w:t>
      </w:r>
    </w:p>
    <w:p>
      <w:pPr>
        <w:numPr>
          <w:ilvl w:val="0"/>
          <w:numId w:val="23"/>
        </w:numPr>
        <w:tabs>
          <w:tab w:val="left" w:pos="851"/>
          <w:tab w:val="clear" w:pos="720"/>
        </w:tabs>
        <w:adjustRightInd/>
        <w:ind w:left="630" w:leftChars="300" w:firstLine="444" w:firstLineChars="200"/>
        <w:jc w:val="both"/>
        <w:rPr>
          <w:rFonts w:ascii="宋体" w:hAnsi="宋体" w:cs="宋体"/>
          <w:color w:val="auto"/>
          <w:spacing w:val="6"/>
          <w:szCs w:val="21"/>
          <w:highlight w:val="none"/>
        </w:rPr>
      </w:pPr>
      <w:r>
        <w:rPr>
          <w:rFonts w:hint="eastAsia" w:ascii="宋体" w:hAnsi="宋体" w:cs="宋体"/>
          <w:color w:val="auto"/>
          <w:spacing w:val="6"/>
          <w:szCs w:val="21"/>
          <w:highlight w:val="none"/>
        </w:rPr>
        <w:t>管道：</w:t>
      </w:r>
      <w:r>
        <w:rPr>
          <w:rFonts w:hint="eastAsia" w:ascii="宋体" w:hAnsi="宋体" w:cs="宋体"/>
          <w:color w:val="auto"/>
          <w:szCs w:val="21"/>
          <w:highlight w:val="none"/>
        </w:rPr>
        <w:t>UPVC/ SS316</w:t>
      </w:r>
    </w:p>
    <w:p>
      <w:pPr>
        <w:pStyle w:val="8"/>
        <w:adjustRightInd/>
        <w:jc w:val="both"/>
        <w:rPr>
          <w:rFonts w:ascii="宋体" w:hAnsi="宋体" w:cs="宋体"/>
          <w:color w:val="auto"/>
          <w:sz w:val="21"/>
          <w:szCs w:val="21"/>
          <w:highlight w:val="none"/>
        </w:rPr>
      </w:pPr>
      <w:bookmarkStart w:id="201" w:name="_Toc522634477"/>
      <w:r>
        <w:rPr>
          <w:rFonts w:hint="eastAsia" w:ascii="宋体" w:hAnsi="宋体" w:cs="宋体"/>
          <w:color w:val="auto"/>
          <w:sz w:val="21"/>
          <w:szCs w:val="21"/>
          <w:highlight w:val="none"/>
        </w:rPr>
        <w:t>5.7.2.4 泵类技术要求</w:t>
      </w:r>
      <w:bookmarkEnd w:id="201"/>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通用水泵的选用应根据泵的使用介质、流量范围、扬程、工况点效率、NPSHr、固形物通过能力等现场条件，须与本工程工艺设计的要求相符。</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所有泵的强度应按最高扬程或泵零流量扬程（二者中较高者）的1.5倍设计。</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所有泵均应具有防干运行、防过载等保护，应能长期无限制地运转，流量和压头的曲线特性应平稳地随流量的减少而压头递增。泵轴与联轴器尺寸应使得轴的最大许用转矩比联轴器传递来的最大转矩要高。</w:t>
      </w:r>
    </w:p>
    <w:p>
      <w:pPr>
        <w:adjustRightInd/>
        <w:jc w:val="both"/>
        <w:rPr>
          <w:rFonts w:ascii="宋体" w:hAnsi="宋体" w:cs="宋体"/>
          <w:color w:val="auto"/>
          <w:szCs w:val="21"/>
          <w:highlight w:val="none"/>
        </w:rPr>
      </w:pPr>
      <w:r>
        <w:rPr>
          <w:rFonts w:hint="eastAsia" w:ascii="宋体" w:hAnsi="宋体" w:cs="宋体"/>
          <w:color w:val="auto"/>
          <w:szCs w:val="21"/>
          <w:highlight w:val="none"/>
        </w:rPr>
        <w:t>除非另有规定，泵的进口流速应为1~3m/s，配置电机功率均应有10% 超负荷余量。所有轴承应有足够大的尺寸，轴承的基本额定寿命（L10）应不低于100000h。</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泵的附件应根据工艺设计的要求作相应的配套，如耦合导轨、井筒、防涡流锥、电缆或潜水电缆、基座、潜水电机、电机、联轴节、辅助管路和接头、接轴、连接件、基础螺栓等。为减少泵的震动应在泵进出口安装膨胀节。</w:t>
      </w:r>
    </w:p>
    <w:p>
      <w:pPr>
        <w:pStyle w:val="8"/>
        <w:adjustRightInd/>
        <w:jc w:val="both"/>
        <w:rPr>
          <w:rFonts w:ascii="宋体" w:hAnsi="宋体" w:cs="宋体"/>
          <w:color w:val="auto"/>
          <w:sz w:val="21"/>
          <w:szCs w:val="21"/>
          <w:highlight w:val="none"/>
        </w:rPr>
      </w:pPr>
      <w:bookmarkStart w:id="202" w:name="_Toc522634478"/>
      <w:r>
        <w:rPr>
          <w:rFonts w:hint="eastAsia" w:ascii="宋体" w:hAnsi="宋体" w:cs="宋体"/>
          <w:color w:val="auto"/>
          <w:sz w:val="21"/>
          <w:szCs w:val="21"/>
          <w:highlight w:val="none"/>
        </w:rPr>
        <w:t>5.7.2.5 空气悬浮风机技术要求</w:t>
      </w:r>
      <w:bookmarkEnd w:id="202"/>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1、空气悬浮离心风机系统包括风机、电机、变频控制柜、阀门、消音器、压力表等，所有附件应齐全；各部件合格证、使用维护说明书、图纸、电气原理图、质量证明资料等书面资料齐全。</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空气悬浮离心风机采用一体化紧凑型设计。电机为高速永磁同步电机，采用变频器调速，风机由电机直接驱动，轴承采用空气悬浮轴承，叶轮为高效率径流式压气机轮，叶轮与电机通过空气轴承采取直联方式连接，风机本身对转速、压力、温度、流量等进行自检，必须具备防止喘振功能。</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3、风机本身集成控制系统，可由远程中央控制室控制。在风机的工作区域内，根据外部控制信号可自由调节风机风量、风压的输出，实现自动控制作业。</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4、风机采用铝合金铸造的涡壳，风机叶轮选用高强度航空铝材加工而成，必须具有良好的耐磨、抗变形能力；空气悬浮轴承必须符合技术要求和制造精度；电机绝缘等级为H级，防护等级IP54，并配调速装置。</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5、电机定子和转子以及空气轴承都配有空气冷却系统。电机轴末端配有冷却风扇，轴承座及电机壳体上内设有独立的冷却风道，冷却系统内置于主机部件中，采用热传导性强的铝合金材质。</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6、主机柜和变频控制柜要求集成，不单独设立变频柜及操作柜，主控制盘通过电脑CPU可以自动连续调整转速、压力、流量、控制开启、问题报警等。</w:t>
      </w:r>
    </w:p>
    <w:p>
      <w:pPr>
        <w:pStyle w:val="8"/>
        <w:adjustRightInd/>
        <w:jc w:val="both"/>
        <w:rPr>
          <w:rFonts w:ascii="宋体" w:hAnsi="宋体" w:cs="宋体"/>
          <w:color w:val="auto"/>
          <w:sz w:val="21"/>
          <w:szCs w:val="21"/>
          <w:highlight w:val="none"/>
        </w:rPr>
      </w:pPr>
      <w:bookmarkStart w:id="203" w:name="_Toc522634479"/>
      <w:r>
        <w:rPr>
          <w:rFonts w:hint="eastAsia" w:ascii="宋体" w:hAnsi="宋体" w:cs="宋体"/>
          <w:color w:val="auto"/>
          <w:sz w:val="21"/>
          <w:szCs w:val="21"/>
          <w:highlight w:val="none"/>
        </w:rPr>
        <w:t>5.7.2.6 潜水搅拌机技术要求</w:t>
      </w:r>
      <w:bookmarkEnd w:id="203"/>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每台潜水搅拌器应成套地配备安全、有效及可靠运行所需的附件、紧固件、备品备件、就地接线箱和按钮箱以及所需电缆，每台搅拌器应带有提升装置如提升导轨、提升链、手柄、支架及葫芦。</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为了获得标准化的外观、运行维修、备品备件以及制造商的服务，所提供的设备必须是一个制造商的最终产品。</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本工程所选潜水搅拌器安装在通用导轨系统上，以适应不同的液面深度，避免池中出现搅拌死区。即使当池中充满液体的情况下，导轨系统也可以轻易地提升或放入潜水搅拌机，方便维修或替换。</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搅拌器全部的重量受力在一个支架上，并且这个支架可承受搅拌器形成的推力。搅拌器、附件和电缆可24小时持续潜水运行、间歇运行和长期停止状态后恢复运行。在整个运行过程中性能稳定，无故障运行时间可达10000小时以上。</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电机壳体：搅拌机的电机壳体材质为不锈钢，壳体厚度足以承受荷载，表面加工平整光滑无缺陷。</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螺旋桨：螺旋桨是不锈钢材质，水力平衡的无堵塞的后扫式设计。</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螺旋桨执行严格的制造程序，出厂前经严格的动平衡试验。螺旋桨与轴之间装有锁定装置，可以防止转动时松动，螺旋桨为三片式，具自清洁，免振功能。</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轴：水泵和电机的轴是连续无间断的轴，轴在油脂润滑的三个轴承上转动。上轴承包括一个滚珠轴承承担径向力及一个角接触球轴承来承担轴向力。主轴承是一个角接触球轴承用于承担轴向力和径向力。所有轴承的设计寿命最小为100000 小时。螺旋浆和电机的轴是同一个，螺旋桨所的轴是电机轴的延伸。不采用耦联方式。轴的材料为不锈钢（AISI420）。螺旋桨轴完全与搅拌介质隔离。</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轴封：每个搅拌器有一个油腔，油能容易从外部进行更换。每台搅拌器配有一个插入式的机械密封。密封在一个油腔内运行，该油腔能以一稳定的流速对密封面进行润滑。外机械密封为耐腐蚀烧结碳化钨，避免搅拌液进入油腔。内机械密封为耐腐蚀烧结碳化钨，避免油腔中的油进入电机。内外机械密封各自独立地运行。</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弹簧位于油腔中的油内，不暴露在搅拌液中。密封只靠机械扭矩锁定和扭矩传输，O型环（腈橡胶或氟橡胶）的摩擦扭矩锁定密封。密封不需要维护和调整，并且在不影响或失去密封功能的情况下，可以顺时针或逆时针转动。对于特殊的应用场合，密封的动静环还可以选用其他材质。不采用别的机封类型或等同于上述的两个独立的机封。机械密封的使用寿命不低于25000小时。</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潜水搅拌器电机：多极电机直接形成螺旋桨转速（200-500）rpm。</w:t>
      </w:r>
    </w:p>
    <w:p>
      <w:pPr>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采用潜水型三相鼠笼异步电机，装在充气的防水的壳内，防护等级为IP68。定子绕组和定子导线的绝缘等级为H级180℃。定子通过滴注法绝缘，使得绕组满充率至少达到95%。定子热缩嵌入铸铁定子室中。不采用需在定子壳上钻孔的螺栓、针和其它连接装置。电机设计成可连续处理搅拌 40℃的介质，每小时可至少起动15次。为监控每相绕组上的温度，在定子进线线圈中装有热敏开关，热敏开关的设定打开温度为140℃，闭合温度为95℃，可以与电机过载保护相连接，并与控制柜连接。</w:t>
      </w:r>
    </w:p>
    <w:p>
      <w:pPr>
        <w:numPr>
          <w:ilvl w:val="255"/>
          <w:numId w:val="0"/>
        </w:numPr>
        <w:adjustRightInd/>
        <w:jc w:val="both"/>
        <w:rPr>
          <w:rFonts w:ascii="宋体" w:hAnsi="宋体" w:cs="宋体"/>
          <w:color w:val="auto"/>
          <w:szCs w:val="21"/>
          <w:highlight w:val="none"/>
        </w:rPr>
      </w:pPr>
    </w:p>
    <w:p>
      <w:pPr>
        <w:pStyle w:val="6"/>
        <w:numPr>
          <w:ilvl w:val="1"/>
          <w:numId w:val="19"/>
        </w:numPr>
        <w:adjustRightInd/>
        <w:spacing w:line="360" w:lineRule="auto"/>
        <w:jc w:val="both"/>
        <w:rPr>
          <w:rFonts w:ascii="宋体" w:hAnsi="宋体" w:eastAsia="宋体" w:cs="宋体"/>
          <w:color w:val="auto"/>
          <w:sz w:val="21"/>
          <w:szCs w:val="21"/>
          <w:highlight w:val="none"/>
        </w:rPr>
      </w:pPr>
      <w:bookmarkStart w:id="204" w:name="_Toc6731"/>
      <w:bookmarkStart w:id="205" w:name="_Toc144892904"/>
      <w:r>
        <w:rPr>
          <w:rFonts w:hint="eastAsia" w:ascii="宋体" w:hAnsi="宋体" w:eastAsia="宋体" w:cs="宋体"/>
          <w:color w:val="auto"/>
          <w:sz w:val="21"/>
          <w:szCs w:val="21"/>
          <w:highlight w:val="none"/>
        </w:rPr>
        <w:t>系统布置要求</w:t>
      </w:r>
      <w:bookmarkEnd w:id="204"/>
      <w:bookmarkEnd w:id="205"/>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需根据提供的土建方案布置图设计文件，按总图区域占地进行设备的布置和设计。设备布局应科学合理，确保系统的布置不突破车间内部的空间尺寸，并需配合建筑设计一同确保满足建筑物限高要求，并需预留巡视、检修及消防等的通道与空间。</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中标人须根据土建方案布置图进行设备布置，并满足框架桩基图和基础图的要求，避免额外增加补桩或者改变基础图的设计。设备布置考虑桩位置，设备基础布局尽量布置在现有桩位上或者基础梁上。</w:t>
      </w:r>
    </w:p>
    <w:p>
      <w:pPr>
        <w:pStyle w:val="6"/>
        <w:numPr>
          <w:ilvl w:val="1"/>
          <w:numId w:val="19"/>
        </w:numPr>
        <w:adjustRightInd/>
        <w:spacing w:line="360" w:lineRule="auto"/>
        <w:jc w:val="both"/>
        <w:rPr>
          <w:rFonts w:ascii="宋体" w:hAnsi="宋体" w:eastAsia="宋体" w:cs="宋体"/>
          <w:color w:val="auto"/>
          <w:sz w:val="21"/>
          <w:szCs w:val="21"/>
          <w:highlight w:val="none"/>
        </w:rPr>
      </w:pPr>
      <w:bookmarkStart w:id="206" w:name="_Toc10026"/>
      <w:bookmarkStart w:id="207" w:name="_Toc144892905"/>
      <w:bookmarkStart w:id="208" w:name="_Toc30080"/>
      <w:bookmarkStart w:id="209" w:name="_Toc523432273"/>
      <w:r>
        <w:rPr>
          <w:rFonts w:hint="eastAsia" w:ascii="宋体" w:hAnsi="宋体" w:eastAsia="宋体" w:cs="宋体"/>
          <w:color w:val="auto"/>
          <w:sz w:val="21"/>
          <w:szCs w:val="21"/>
          <w:highlight w:val="none"/>
        </w:rPr>
        <w:t>控制系统设备</w:t>
      </w:r>
      <w:bookmarkEnd w:id="206"/>
      <w:bookmarkEnd w:id="207"/>
      <w:bookmarkEnd w:id="208"/>
    </w:p>
    <w:p>
      <w:pPr>
        <w:pStyle w:val="3"/>
        <w:adjustRightInd/>
        <w:ind w:left="0" w:leftChars="0" w:firstLine="422" w:firstLineChars="200"/>
        <w:jc w:val="both"/>
        <w:rPr>
          <w:rFonts w:cs="宋体"/>
          <w:color w:val="auto"/>
          <w:szCs w:val="21"/>
          <w:highlight w:val="none"/>
        </w:rPr>
      </w:pPr>
      <w:r>
        <w:rPr>
          <w:rFonts w:hint="eastAsia" w:cs="宋体"/>
          <w:color w:val="auto"/>
          <w:szCs w:val="21"/>
          <w:highlight w:val="none"/>
        </w:rPr>
        <w:t>（1）概述</w:t>
      </w:r>
    </w:p>
    <w:p>
      <w:pPr>
        <w:pStyle w:val="3"/>
        <w:adjustRightInd/>
        <w:ind w:left="0" w:leftChars="0" w:firstLine="422" w:firstLineChars="200"/>
        <w:jc w:val="both"/>
        <w:rPr>
          <w:rFonts w:cs="宋体"/>
          <w:color w:val="auto"/>
          <w:szCs w:val="21"/>
          <w:highlight w:val="none"/>
        </w:rPr>
      </w:pPr>
      <w:r>
        <w:rPr>
          <w:rFonts w:hint="eastAsia" w:cs="宋体"/>
          <w:color w:val="auto"/>
          <w:szCs w:val="21"/>
          <w:highlight w:val="none"/>
        </w:rPr>
        <w:t>污水</w:t>
      </w:r>
      <w:bookmarkStart w:id="210" w:name="_Hlk145334881"/>
      <w:r>
        <w:rPr>
          <w:rFonts w:hint="eastAsia" w:cs="宋体"/>
          <w:color w:val="auto"/>
          <w:szCs w:val="21"/>
          <w:highlight w:val="none"/>
        </w:rPr>
        <w:t>系统采用1套西门子S7-1200 PLC和配套触摸屏控制，需将污水系统与压缩站系统必要的联锁控制逻辑，以及整套污水处理系统的控制地址和工艺流畅图提供给压缩站供应商，通讯协议采用西门子基于以太网的标准S7通讯协议，同时将网络布线连接按压缩站系统供应商要求连接到指定设备连接点，由压缩站系统供应商对该系统进行上位机组态，并配合调试。PLC和触摸屏不得设置密码阻止发标方对其进行编程和组态操作。</w:t>
      </w:r>
    </w:p>
    <w:p>
      <w:pPr>
        <w:pStyle w:val="2"/>
        <w:adjustRightInd/>
        <w:spacing w:before="60" w:after="60"/>
        <w:ind w:left="0" w:firstLine="420" w:firstLineChars="200"/>
        <w:jc w:val="both"/>
        <w:rPr>
          <w:color w:val="auto"/>
          <w:sz w:val="21"/>
          <w:szCs w:val="21"/>
          <w:highlight w:val="none"/>
        </w:rPr>
      </w:pPr>
      <w:r>
        <w:rPr>
          <w:rFonts w:hint="eastAsia"/>
          <w:color w:val="auto"/>
          <w:sz w:val="21"/>
          <w:szCs w:val="21"/>
          <w:highlight w:val="none"/>
        </w:rPr>
        <w:t>（2）PLC控制系统：触摸屏控制界面需能显示该污水系统所有设备的状态，并可在上位机和触摸屏界面上自动控制，可进行手动和全自动操作。包括了数据采集、过程监视、操作控制、故障报警、生产数据管理等功能。</w:t>
      </w:r>
    </w:p>
    <w:p>
      <w:pPr>
        <w:pStyle w:val="2"/>
        <w:adjustRightInd/>
        <w:spacing w:before="60" w:after="60"/>
        <w:ind w:left="0" w:firstLine="420" w:firstLineChars="200"/>
        <w:jc w:val="both"/>
        <w:rPr>
          <w:color w:val="auto"/>
          <w:sz w:val="21"/>
          <w:szCs w:val="21"/>
          <w:highlight w:val="none"/>
        </w:rPr>
      </w:pPr>
      <w:r>
        <w:rPr>
          <w:rFonts w:hint="eastAsia"/>
          <w:color w:val="auto"/>
          <w:sz w:val="21"/>
          <w:szCs w:val="21"/>
          <w:highlight w:val="none"/>
        </w:rPr>
        <w:t xml:space="preserve">1）数据采集：采集车间各个生产过程的工艺参数、电气设备运行状态和电气参数等信息。 </w:t>
      </w:r>
    </w:p>
    <w:p>
      <w:pPr>
        <w:pStyle w:val="2"/>
        <w:adjustRightInd/>
        <w:spacing w:before="60" w:after="60"/>
        <w:ind w:left="0" w:firstLine="420" w:firstLineChars="200"/>
        <w:jc w:val="both"/>
        <w:rPr>
          <w:color w:val="auto"/>
          <w:sz w:val="21"/>
          <w:szCs w:val="21"/>
          <w:highlight w:val="none"/>
        </w:rPr>
      </w:pPr>
      <w:r>
        <w:rPr>
          <w:rFonts w:hint="eastAsia"/>
          <w:color w:val="auto"/>
          <w:sz w:val="21"/>
          <w:szCs w:val="21"/>
          <w:highlight w:val="none"/>
        </w:rPr>
        <w:t xml:space="preserve">2）生产过程监视功能：通过监控管理计算机的实时动态，以流程图或其他图文形式，显示设备状态、物料流向等各类生产过程的综合信息。 </w:t>
      </w:r>
    </w:p>
    <w:p>
      <w:pPr>
        <w:pStyle w:val="2"/>
        <w:adjustRightInd/>
        <w:spacing w:before="60" w:after="60"/>
        <w:ind w:left="0" w:firstLine="420" w:firstLineChars="200"/>
        <w:jc w:val="both"/>
        <w:rPr>
          <w:color w:val="auto"/>
          <w:sz w:val="21"/>
          <w:szCs w:val="21"/>
          <w:highlight w:val="none"/>
        </w:rPr>
      </w:pPr>
      <w:r>
        <w:rPr>
          <w:rFonts w:hint="eastAsia"/>
          <w:color w:val="auto"/>
          <w:sz w:val="21"/>
          <w:szCs w:val="21"/>
          <w:highlight w:val="none"/>
        </w:rPr>
        <w:t xml:space="preserve">3）控制功能：通过操作站可实现对相关设备的即时管控，控制方式需可采用远程上位机控制和现场控制。正常生产情况下，各设备可按设定好的工艺参数实现自动控制。多层级控制时，现场操作层级需优先于远程控制。 </w:t>
      </w:r>
    </w:p>
    <w:p>
      <w:pPr>
        <w:pStyle w:val="2"/>
        <w:adjustRightInd/>
        <w:spacing w:before="60" w:after="60"/>
        <w:ind w:left="0" w:firstLine="420" w:firstLineChars="200"/>
        <w:jc w:val="both"/>
        <w:rPr>
          <w:color w:val="auto"/>
          <w:sz w:val="21"/>
          <w:szCs w:val="21"/>
          <w:highlight w:val="none"/>
        </w:rPr>
      </w:pPr>
      <w:r>
        <w:rPr>
          <w:rFonts w:hint="eastAsia"/>
          <w:color w:val="auto"/>
          <w:sz w:val="21"/>
          <w:szCs w:val="21"/>
          <w:highlight w:val="none"/>
        </w:rPr>
        <w:t xml:space="preserve">4）报警功能：系统对实时数据进行监控分析，生产过程中的监控点数据一旦超出设定范围值，即刻会发出故障报警，并显示故障点和故障状态，方便及时处理。并可记录故障信息，提供的报警日志，对相应内容进行归档方便事后复盘。 </w:t>
      </w:r>
    </w:p>
    <w:p>
      <w:pPr>
        <w:adjustRightInd/>
        <w:spacing w:after="200"/>
        <w:jc w:val="both"/>
        <w:rPr>
          <w:rFonts w:ascii="宋体" w:hAnsi="宋体" w:cs="宋体"/>
          <w:b/>
          <w:color w:val="auto"/>
          <w:szCs w:val="21"/>
          <w:highlight w:val="none"/>
        </w:rPr>
      </w:pPr>
      <w:r>
        <w:rPr>
          <w:rFonts w:hint="eastAsia" w:ascii="宋体" w:hAnsi="宋体" w:cs="宋体"/>
          <w:color w:val="auto"/>
          <w:szCs w:val="21"/>
          <w:highlight w:val="none"/>
        </w:rPr>
        <w:t>5）生产数据管理：建立各种信息数据库，保存各类工艺电气参数，设备运行记录、控制、报警、故障等数据，自动生产历史数据库。完成数据传送和报表打印</w:t>
      </w:r>
      <w:bookmarkEnd w:id="210"/>
      <w:r>
        <w:rPr>
          <w:rFonts w:hint="eastAsia" w:ascii="宋体" w:hAnsi="宋体" w:cs="宋体"/>
          <w:color w:val="auto"/>
          <w:szCs w:val="21"/>
          <w:highlight w:val="none"/>
        </w:rPr>
        <w:t>。</w:t>
      </w:r>
    </w:p>
    <w:bookmarkEnd w:id="209"/>
    <w:p>
      <w:pPr>
        <w:pStyle w:val="5"/>
        <w:adjustRightInd/>
        <w:spacing w:line="360" w:lineRule="auto"/>
        <w:jc w:val="both"/>
        <w:rPr>
          <w:rFonts w:ascii="宋体" w:hAnsi="宋体" w:cs="宋体"/>
          <w:color w:val="auto"/>
          <w:sz w:val="21"/>
          <w:szCs w:val="21"/>
          <w:highlight w:val="none"/>
        </w:rPr>
      </w:pPr>
      <w:bookmarkStart w:id="211" w:name="_Toc26469"/>
      <w:bookmarkStart w:id="212" w:name="_Toc144892906"/>
      <w:bookmarkStart w:id="213" w:name="_Toc523432274"/>
      <w:r>
        <w:rPr>
          <w:rFonts w:hint="eastAsia" w:ascii="宋体" w:hAnsi="宋体" w:cs="宋体"/>
          <w:color w:val="auto"/>
          <w:sz w:val="21"/>
          <w:szCs w:val="21"/>
          <w:highlight w:val="none"/>
        </w:rPr>
        <w:t>六、技术资料与文件</w:t>
      </w:r>
      <w:bookmarkEnd w:id="211"/>
      <w:bookmarkEnd w:id="212"/>
      <w:bookmarkEnd w:id="213"/>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本项目所有的技术资料与文件采用中文编制，单位采用国际单位制。</w:t>
      </w:r>
    </w:p>
    <w:p>
      <w:pPr>
        <w:pStyle w:val="3"/>
        <w:adjustRightInd/>
        <w:ind w:left="0" w:leftChars="0" w:firstLine="422" w:firstLineChars="200"/>
        <w:jc w:val="both"/>
        <w:rPr>
          <w:rFonts w:cs="宋体"/>
          <w:color w:val="auto"/>
          <w:szCs w:val="21"/>
          <w:highlight w:val="none"/>
        </w:rPr>
      </w:pPr>
      <w:r>
        <w:rPr>
          <w:rFonts w:hint="eastAsia" w:cs="宋体"/>
          <w:color w:val="auto"/>
          <w:szCs w:val="21"/>
          <w:highlight w:val="none"/>
        </w:rPr>
        <w:t>投标文件技术部分按以下三个分册编制：投标文件技术部分、技术部分附图、项目实施建议书。</w:t>
      </w:r>
    </w:p>
    <w:p>
      <w:pPr>
        <w:pStyle w:val="6"/>
        <w:numPr>
          <w:ilvl w:val="1"/>
          <w:numId w:val="24"/>
        </w:numPr>
        <w:adjustRightInd/>
        <w:spacing w:line="360" w:lineRule="auto"/>
        <w:jc w:val="both"/>
        <w:rPr>
          <w:rFonts w:ascii="宋体" w:hAnsi="宋体" w:eastAsia="宋体" w:cs="宋体"/>
          <w:color w:val="auto"/>
          <w:sz w:val="21"/>
          <w:szCs w:val="21"/>
          <w:highlight w:val="none"/>
        </w:rPr>
      </w:pPr>
      <w:bookmarkStart w:id="214" w:name="_Toc11680778"/>
      <w:bookmarkStart w:id="215" w:name="_Toc14040287"/>
      <w:bookmarkStart w:id="216" w:name="_Toc525687475"/>
      <w:bookmarkStart w:id="217" w:name="_Toc524875790"/>
      <w:bookmarkStart w:id="218" w:name="_Toc144892907"/>
      <w:bookmarkStart w:id="219" w:name="_Toc3896"/>
      <w:bookmarkStart w:id="220" w:name="_Toc524985845"/>
      <w:r>
        <w:rPr>
          <w:rFonts w:hint="eastAsia" w:ascii="宋体" w:hAnsi="宋体" w:eastAsia="宋体" w:cs="宋体"/>
          <w:color w:val="auto"/>
          <w:sz w:val="21"/>
          <w:szCs w:val="21"/>
          <w:highlight w:val="none"/>
        </w:rPr>
        <w:t>投标文件技术部分</w:t>
      </w:r>
      <w:bookmarkEnd w:id="214"/>
      <w:bookmarkEnd w:id="215"/>
      <w:bookmarkEnd w:id="216"/>
      <w:bookmarkEnd w:id="217"/>
      <w:bookmarkEnd w:id="218"/>
      <w:bookmarkEnd w:id="219"/>
      <w:bookmarkEnd w:id="220"/>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投标文件技术部分内容应包括但不局限于以下章节和内容：</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项目介绍</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项目工作范围</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设计依据与引用标准</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公用工程需求条件</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主设备性能参数说明</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系统性能承诺指标及保障措施</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公用工程与化学品消耗需求量及承诺值</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三废（污水、废气、废固）排放量表及保证方案</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工艺描述</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设备选型与计算</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辅料化学品规格</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仪表与自控技术方案</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电气技术方案</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钢结构、平台和通道设计方案</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保温与防腐</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设备供货清单</w:t>
      </w:r>
    </w:p>
    <w:p>
      <w:pPr>
        <w:pStyle w:val="2"/>
        <w:numPr>
          <w:ilvl w:val="1"/>
          <w:numId w:val="26"/>
        </w:numPr>
        <w:adjustRightInd/>
        <w:spacing w:before="60" w:after="60"/>
        <w:jc w:val="both"/>
        <w:rPr>
          <w:color w:val="auto"/>
          <w:sz w:val="21"/>
          <w:szCs w:val="21"/>
          <w:highlight w:val="none"/>
        </w:rPr>
      </w:pPr>
      <w:r>
        <w:rPr>
          <w:rFonts w:hint="eastAsia"/>
          <w:color w:val="auto"/>
          <w:sz w:val="21"/>
          <w:szCs w:val="21"/>
          <w:highlight w:val="none"/>
        </w:rPr>
        <w:t>工艺设备供货清单</w:t>
      </w:r>
    </w:p>
    <w:p>
      <w:pPr>
        <w:pStyle w:val="2"/>
        <w:numPr>
          <w:ilvl w:val="1"/>
          <w:numId w:val="26"/>
        </w:numPr>
        <w:adjustRightInd/>
        <w:spacing w:before="60" w:after="60"/>
        <w:jc w:val="both"/>
        <w:rPr>
          <w:color w:val="auto"/>
          <w:sz w:val="21"/>
          <w:szCs w:val="21"/>
          <w:highlight w:val="none"/>
        </w:rPr>
      </w:pPr>
      <w:r>
        <w:rPr>
          <w:rFonts w:hint="eastAsia"/>
          <w:color w:val="auto"/>
          <w:sz w:val="21"/>
          <w:szCs w:val="21"/>
          <w:highlight w:val="none"/>
        </w:rPr>
        <w:t>仪表设备供货清单</w:t>
      </w:r>
    </w:p>
    <w:p>
      <w:pPr>
        <w:pStyle w:val="2"/>
        <w:numPr>
          <w:ilvl w:val="1"/>
          <w:numId w:val="26"/>
        </w:numPr>
        <w:adjustRightInd/>
        <w:spacing w:before="60" w:after="60"/>
        <w:jc w:val="both"/>
        <w:rPr>
          <w:color w:val="auto"/>
          <w:sz w:val="21"/>
          <w:szCs w:val="21"/>
          <w:highlight w:val="none"/>
        </w:rPr>
      </w:pPr>
      <w:r>
        <w:rPr>
          <w:rFonts w:hint="eastAsia"/>
          <w:color w:val="auto"/>
          <w:sz w:val="21"/>
          <w:szCs w:val="21"/>
          <w:highlight w:val="none"/>
        </w:rPr>
        <w:t>电气设备供货清单</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材料供货清单</w:t>
      </w:r>
    </w:p>
    <w:p>
      <w:pPr>
        <w:pStyle w:val="2"/>
        <w:numPr>
          <w:ilvl w:val="1"/>
          <w:numId w:val="27"/>
        </w:numPr>
        <w:adjustRightInd/>
        <w:spacing w:before="60" w:after="60"/>
        <w:jc w:val="both"/>
        <w:rPr>
          <w:color w:val="auto"/>
          <w:sz w:val="21"/>
          <w:szCs w:val="21"/>
          <w:highlight w:val="none"/>
        </w:rPr>
      </w:pPr>
      <w:r>
        <w:rPr>
          <w:rFonts w:hint="eastAsia"/>
          <w:color w:val="auto"/>
          <w:sz w:val="21"/>
          <w:szCs w:val="21"/>
          <w:highlight w:val="none"/>
        </w:rPr>
        <w:t>管道材料供货清单</w:t>
      </w:r>
    </w:p>
    <w:p>
      <w:pPr>
        <w:pStyle w:val="2"/>
        <w:numPr>
          <w:ilvl w:val="1"/>
          <w:numId w:val="27"/>
        </w:numPr>
        <w:adjustRightInd/>
        <w:spacing w:before="60" w:after="60"/>
        <w:jc w:val="both"/>
        <w:rPr>
          <w:color w:val="auto"/>
          <w:sz w:val="21"/>
          <w:szCs w:val="21"/>
          <w:highlight w:val="none"/>
        </w:rPr>
      </w:pPr>
      <w:r>
        <w:rPr>
          <w:rFonts w:hint="eastAsia"/>
          <w:color w:val="auto"/>
          <w:sz w:val="21"/>
          <w:szCs w:val="21"/>
          <w:highlight w:val="none"/>
        </w:rPr>
        <w:t>仪表材料供货清单</w:t>
      </w:r>
    </w:p>
    <w:p>
      <w:pPr>
        <w:pStyle w:val="2"/>
        <w:numPr>
          <w:ilvl w:val="1"/>
          <w:numId w:val="27"/>
        </w:numPr>
        <w:adjustRightInd/>
        <w:spacing w:before="60" w:after="60"/>
        <w:jc w:val="both"/>
        <w:rPr>
          <w:color w:val="auto"/>
          <w:sz w:val="21"/>
          <w:szCs w:val="21"/>
          <w:highlight w:val="none"/>
        </w:rPr>
      </w:pPr>
      <w:r>
        <w:rPr>
          <w:rFonts w:hint="eastAsia"/>
          <w:color w:val="auto"/>
          <w:sz w:val="21"/>
          <w:szCs w:val="21"/>
          <w:highlight w:val="none"/>
        </w:rPr>
        <w:t>电气材料供货清单</w:t>
      </w:r>
    </w:p>
    <w:p>
      <w:pPr>
        <w:pStyle w:val="2"/>
        <w:numPr>
          <w:ilvl w:val="1"/>
          <w:numId w:val="27"/>
        </w:numPr>
        <w:adjustRightInd/>
        <w:spacing w:before="60" w:after="60"/>
        <w:jc w:val="both"/>
        <w:rPr>
          <w:color w:val="auto"/>
          <w:sz w:val="21"/>
          <w:szCs w:val="21"/>
          <w:highlight w:val="none"/>
        </w:rPr>
      </w:pPr>
      <w:r>
        <w:rPr>
          <w:rFonts w:hint="eastAsia"/>
          <w:color w:val="auto"/>
          <w:sz w:val="21"/>
          <w:szCs w:val="21"/>
          <w:highlight w:val="none"/>
        </w:rPr>
        <w:t>备品备件供货清单</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安装说明</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工程进度计划</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项目拟配置人员信息</w:t>
      </w:r>
    </w:p>
    <w:p>
      <w:pPr>
        <w:pStyle w:val="2"/>
        <w:numPr>
          <w:ilvl w:val="0"/>
          <w:numId w:val="25"/>
        </w:numPr>
        <w:adjustRightInd/>
        <w:spacing w:before="60" w:after="60"/>
        <w:ind w:right="113"/>
        <w:jc w:val="both"/>
        <w:rPr>
          <w:color w:val="auto"/>
          <w:sz w:val="21"/>
          <w:szCs w:val="21"/>
          <w:highlight w:val="none"/>
        </w:rPr>
      </w:pPr>
      <w:r>
        <w:rPr>
          <w:rFonts w:hint="eastAsia"/>
          <w:color w:val="auto"/>
          <w:sz w:val="21"/>
          <w:szCs w:val="21"/>
          <w:highlight w:val="none"/>
        </w:rPr>
        <w:t>其他</w:t>
      </w:r>
    </w:p>
    <w:p>
      <w:pPr>
        <w:pStyle w:val="6"/>
        <w:numPr>
          <w:ilvl w:val="1"/>
          <w:numId w:val="24"/>
        </w:numPr>
        <w:adjustRightInd/>
        <w:spacing w:line="360" w:lineRule="auto"/>
        <w:jc w:val="both"/>
        <w:rPr>
          <w:rFonts w:ascii="宋体" w:hAnsi="宋体" w:eastAsia="宋体" w:cs="宋体"/>
          <w:color w:val="auto"/>
          <w:sz w:val="21"/>
          <w:szCs w:val="21"/>
          <w:highlight w:val="none"/>
        </w:rPr>
      </w:pPr>
      <w:bookmarkStart w:id="221" w:name="_Toc28617"/>
      <w:bookmarkStart w:id="222" w:name="_Toc525687476"/>
      <w:bookmarkStart w:id="223" w:name="_Toc524985846"/>
      <w:bookmarkStart w:id="224" w:name="_Toc524875791"/>
      <w:bookmarkStart w:id="225" w:name="_Toc14040288"/>
      <w:bookmarkStart w:id="226" w:name="_Toc144892908"/>
      <w:bookmarkStart w:id="227" w:name="_Toc11680779"/>
      <w:r>
        <w:rPr>
          <w:rFonts w:hint="eastAsia" w:ascii="宋体" w:hAnsi="宋体" w:eastAsia="宋体" w:cs="宋体"/>
          <w:color w:val="auto"/>
          <w:sz w:val="21"/>
          <w:szCs w:val="21"/>
          <w:highlight w:val="none"/>
        </w:rPr>
        <w:t>技术部分附图</w:t>
      </w:r>
      <w:bookmarkEnd w:id="221"/>
      <w:bookmarkEnd w:id="222"/>
      <w:bookmarkEnd w:id="223"/>
      <w:bookmarkEnd w:id="224"/>
      <w:bookmarkEnd w:id="225"/>
      <w:bookmarkEnd w:id="226"/>
      <w:bookmarkEnd w:id="227"/>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技术建议书附图应包括但不局限于以下图纸：</w:t>
      </w:r>
    </w:p>
    <w:p>
      <w:pPr>
        <w:pStyle w:val="2"/>
        <w:numPr>
          <w:ilvl w:val="0"/>
          <w:numId w:val="28"/>
        </w:numPr>
        <w:adjustRightInd/>
        <w:spacing w:before="60" w:after="60"/>
        <w:ind w:right="113"/>
        <w:jc w:val="both"/>
        <w:rPr>
          <w:color w:val="auto"/>
          <w:sz w:val="21"/>
          <w:szCs w:val="21"/>
          <w:highlight w:val="none"/>
        </w:rPr>
      </w:pPr>
      <w:r>
        <w:rPr>
          <w:rFonts w:hint="eastAsia"/>
          <w:color w:val="auto"/>
          <w:sz w:val="21"/>
          <w:szCs w:val="21"/>
          <w:highlight w:val="none"/>
        </w:rPr>
        <w:t>流程框图；</w:t>
      </w:r>
    </w:p>
    <w:p>
      <w:pPr>
        <w:pStyle w:val="2"/>
        <w:numPr>
          <w:ilvl w:val="0"/>
          <w:numId w:val="28"/>
        </w:numPr>
        <w:adjustRightInd/>
        <w:spacing w:before="60" w:after="60"/>
        <w:ind w:right="113"/>
        <w:jc w:val="both"/>
        <w:rPr>
          <w:color w:val="auto"/>
          <w:sz w:val="21"/>
          <w:szCs w:val="21"/>
          <w:highlight w:val="none"/>
        </w:rPr>
      </w:pPr>
      <w:r>
        <w:rPr>
          <w:rFonts w:hint="eastAsia"/>
          <w:color w:val="auto"/>
          <w:sz w:val="21"/>
          <w:szCs w:val="21"/>
          <w:highlight w:val="none"/>
        </w:rPr>
        <w:t>工艺管道及仪表控制流程图（PID）；</w:t>
      </w:r>
    </w:p>
    <w:p>
      <w:pPr>
        <w:pStyle w:val="2"/>
        <w:numPr>
          <w:ilvl w:val="0"/>
          <w:numId w:val="28"/>
        </w:numPr>
        <w:adjustRightInd/>
        <w:spacing w:before="60" w:after="60"/>
        <w:ind w:right="113"/>
        <w:jc w:val="both"/>
        <w:rPr>
          <w:color w:val="auto"/>
          <w:sz w:val="21"/>
          <w:szCs w:val="21"/>
          <w:highlight w:val="none"/>
        </w:rPr>
      </w:pPr>
      <w:r>
        <w:rPr>
          <w:rFonts w:hint="eastAsia"/>
          <w:color w:val="auto"/>
          <w:sz w:val="21"/>
          <w:szCs w:val="21"/>
          <w:highlight w:val="none"/>
        </w:rPr>
        <w:t>设备平图布置图（含工艺设备尺寸、定位、荷载等）；</w:t>
      </w:r>
    </w:p>
    <w:p>
      <w:pPr>
        <w:pStyle w:val="2"/>
        <w:numPr>
          <w:ilvl w:val="0"/>
          <w:numId w:val="28"/>
        </w:numPr>
        <w:adjustRightInd/>
        <w:spacing w:before="60" w:after="60"/>
        <w:ind w:right="113"/>
        <w:jc w:val="both"/>
        <w:rPr>
          <w:color w:val="auto"/>
          <w:sz w:val="21"/>
          <w:szCs w:val="21"/>
          <w:highlight w:val="none"/>
        </w:rPr>
      </w:pPr>
      <w:r>
        <w:rPr>
          <w:rFonts w:hint="eastAsia"/>
          <w:color w:val="auto"/>
          <w:sz w:val="21"/>
          <w:szCs w:val="21"/>
          <w:highlight w:val="none"/>
        </w:rPr>
        <w:t>动力配电系统图</w:t>
      </w:r>
    </w:p>
    <w:p>
      <w:pPr>
        <w:pStyle w:val="2"/>
        <w:numPr>
          <w:ilvl w:val="0"/>
          <w:numId w:val="28"/>
        </w:numPr>
        <w:adjustRightInd/>
        <w:spacing w:before="60" w:after="60"/>
        <w:ind w:right="113"/>
        <w:jc w:val="both"/>
        <w:rPr>
          <w:color w:val="auto"/>
          <w:sz w:val="21"/>
          <w:szCs w:val="21"/>
          <w:highlight w:val="none"/>
        </w:rPr>
      </w:pPr>
      <w:r>
        <w:rPr>
          <w:rFonts w:hint="eastAsia"/>
          <w:color w:val="auto"/>
          <w:sz w:val="21"/>
          <w:szCs w:val="21"/>
          <w:highlight w:val="none"/>
        </w:rPr>
        <w:t>控制系统网络结构图；</w:t>
      </w:r>
    </w:p>
    <w:p>
      <w:pPr>
        <w:pStyle w:val="6"/>
        <w:numPr>
          <w:ilvl w:val="1"/>
          <w:numId w:val="24"/>
        </w:numPr>
        <w:adjustRightInd/>
        <w:spacing w:line="360" w:lineRule="auto"/>
        <w:jc w:val="both"/>
        <w:rPr>
          <w:rFonts w:ascii="宋体" w:hAnsi="宋体" w:eastAsia="宋体" w:cs="宋体"/>
          <w:color w:val="auto"/>
          <w:sz w:val="21"/>
          <w:szCs w:val="21"/>
          <w:highlight w:val="none"/>
        </w:rPr>
      </w:pPr>
      <w:bookmarkStart w:id="228" w:name="_Toc525687477"/>
      <w:bookmarkStart w:id="229" w:name="_Toc11680780"/>
      <w:bookmarkStart w:id="230" w:name="_Toc524985847"/>
      <w:bookmarkStart w:id="231" w:name="_Toc144892909"/>
      <w:bookmarkStart w:id="232" w:name="_Toc524875792"/>
      <w:bookmarkStart w:id="233" w:name="_Toc30124"/>
      <w:bookmarkStart w:id="234" w:name="_Toc14040289"/>
      <w:r>
        <w:rPr>
          <w:rFonts w:hint="eastAsia" w:ascii="宋体" w:hAnsi="宋体" w:eastAsia="宋体" w:cs="宋体"/>
          <w:color w:val="auto"/>
          <w:sz w:val="21"/>
          <w:szCs w:val="21"/>
          <w:highlight w:val="none"/>
        </w:rPr>
        <w:t>项目实施建议书</w:t>
      </w:r>
      <w:bookmarkEnd w:id="228"/>
      <w:bookmarkEnd w:id="229"/>
      <w:bookmarkEnd w:id="230"/>
      <w:bookmarkEnd w:id="231"/>
      <w:bookmarkEnd w:id="232"/>
      <w:bookmarkEnd w:id="233"/>
      <w:bookmarkEnd w:id="234"/>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项目实施建议书应包括但不局限于以下内容：</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项目概述</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项目范围</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项目目标</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项目实施管理策略</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项目组织机构与人力资源投入计划</w:t>
      </w:r>
      <w:r>
        <w:rPr>
          <w:rFonts w:hint="eastAsia"/>
          <w:color w:val="auto"/>
          <w:sz w:val="21"/>
          <w:szCs w:val="21"/>
          <w:highlight w:val="none"/>
        </w:rPr>
        <w:br w:type="textWrapping"/>
      </w:r>
      <w:r>
        <w:rPr>
          <w:rFonts w:hint="eastAsia"/>
          <w:color w:val="auto"/>
          <w:sz w:val="21"/>
          <w:szCs w:val="21"/>
          <w:highlight w:val="none"/>
        </w:rPr>
        <w:t>包括但不局限于：项目组织机构，设计、设备监检、安装、调试及保运阶段拟投入本项目的人员资源，专业负责人及以上管理人员的简历等；</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项目EHS管理；</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项目质量管理质量保证措施；</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项目进度控制管理与进度保证措施；</w:t>
      </w:r>
      <w:r>
        <w:rPr>
          <w:rFonts w:hint="eastAsia"/>
          <w:color w:val="auto"/>
          <w:sz w:val="21"/>
          <w:szCs w:val="21"/>
          <w:highlight w:val="none"/>
        </w:rPr>
        <w:br w:type="textWrapping"/>
      </w:r>
      <w:r>
        <w:rPr>
          <w:rFonts w:hint="eastAsia"/>
          <w:color w:val="auto"/>
          <w:sz w:val="21"/>
          <w:szCs w:val="21"/>
          <w:highlight w:val="none"/>
        </w:rPr>
        <w:t>包括但不限于：进度目标，详细的进度进度表（横道图表示的），进度保证的具体措施等。</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项目费用管理、控制要点及保障措施</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项目沟通与汇报机制</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项目文件档管理计划</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项目设计管理计划</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项目采购管理计划</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项目施工管理计划</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调试管理与系统调试方案</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培训服务方案（包括现场培训及同类项目在岗培训）</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性能考核、验收与项目移交</w:t>
      </w:r>
    </w:p>
    <w:p>
      <w:pPr>
        <w:pStyle w:val="2"/>
        <w:numPr>
          <w:ilvl w:val="0"/>
          <w:numId w:val="29"/>
        </w:numPr>
        <w:adjustRightInd/>
        <w:spacing w:before="60" w:after="60"/>
        <w:ind w:right="113"/>
        <w:jc w:val="both"/>
        <w:rPr>
          <w:color w:val="auto"/>
          <w:sz w:val="21"/>
          <w:szCs w:val="21"/>
          <w:highlight w:val="none"/>
        </w:rPr>
      </w:pPr>
      <w:r>
        <w:rPr>
          <w:rFonts w:hint="eastAsia"/>
          <w:color w:val="auto"/>
          <w:sz w:val="21"/>
          <w:szCs w:val="21"/>
          <w:highlight w:val="none"/>
        </w:rPr>
        <w:t>售后服务方案与售后服务承诺</w:t>
      </w:r>
    </w:p>
    <w:p>
      <w:pPr>
        <w:pStyle w:val="6"/>
        <w:numPr>
          <w:ilvl w:val="1"/>
          <w:numId w:val="24"/>
        </w:numPr>
        <w:adjustRightInd/>
        <w:spacing w:line="360" w:lineRule="auto"/>
        <w:jc w:val="both"/>
        <w:rPr>
          <w:rFonts w:ascii="宋体" w:hAnsi="宋体" w:eastAsia="宋体" w:cs="宋体"/>
          <w:color w:val="auto"/>
          <w:sz w:val="21"/>
          <w:szCs w:val="21"/>
          <w:highlight w:val="none"/>
        </w:rPr>
      </w:pPr>
      <w:bookmarkStart w:id="235" w:name="_Toc7726"/>
      <w:bookmarkStart w:id="236" w:name="_Toc144892910"/>
      <w:bookmarkStart w:id="237" w:name="_Toc525687478"/>
      <w:bookmarkStart w:id="238" w:name="_Toc524985848"/>
      <w:bookmarkStart w:id="239" w:name="_Toc524875793"/>
      <w:bookmarkStart w:id="240" w:name="_Toc14040290"/>
      <w:bookmarkStart w:id="241" w:name="_Toc11680781"/>
      <w:r>
        <w:rPr>
          <w:rFonts w:hint="eastAsia" w:ascii="宋体" w:hAnsi="宋体" w:eastAsia="宋体" w:cs="宋体"/>
          <w:color w:val="auto"/>
          <w:sz w:val="21"/>
          <w:szCs w:val="21"/>
          <w:highlight w:val="none"/>
        </w:rPr>
        <w:t>其他</w:t>
      </w:r>
      <w:bookmarkEnd w:id="235"/>
      <w:bookmarkEnd w:id="236"/>
      <w:bookmarkEnd w:id="237"/>
      <w:bookmarkEnd w:id="238"/>
      <w:bookmarkEnd w:id="239"/>
      <w:bookmarkEnd w:id="240"/>
      <w:bookmarkEnd w:id="241"/>
    </w:p>
    <w:p>
      <w:pPr>
        <w:pStyle w:val="2"/>
        <w:numPr>
          <w:ilvl w:val="0"/>
          <w:numId w:val="30"/>
        </w:numPr>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投标人应在投标文件中提供文件，确认除偏差表中特别提及的除外，完全接受技术规范的要求。</w:t>
      </w:r>
    </w:p>
    <w:p>
      <w:pPr>
        <w:pStyle w:val="5"/>
        <w:adjustRightInd/>
        <w:spacing w:line="360" w:lineRule="auto"/>
        <w:jc w:val="both"/>
        <w:rPr>
          <w:rFonts w:ascii="宋体" w:hAnsi="宋体" w:cs="宋体"/>
          <w:color w:val="auto"/>
          <w:sz w:val="21"/>
          <w:szCs w:val="21"/>
          <w:highlight w:val="none"/>
        </w:rPr>
      </w:pPr>
      <w:bookmarkStart w:id="242" w:name="_Toc144892911"/>
      <w:bookmarkStart w:id="243" w:name="_Toc9051"/>
      <w:r>
        <w:rPr>
          <w:rFonts w:hint="eastAsia" w:ascii="宋体" w:hAnsi="宋体" w:cs="宋体"/>
          <w:color w:val="auto"/>
          <w:sz w:val="21"/>
          <w:szCs w:val="21"/>
          <w:highlight w:val="none"/>
        </w:rPr>
        <w:t>七、其他要求</w:t>
      </w:r>
      <w:bookmarkEnd w:id="242"/>
      <w:bookmarkEnd w:id="243"/>
    </w:p>
    <w:p>
      <w:pPr>
        <w:pStyle w:val="6"/>
        <w:numPr>
          <w:ilvl w:val="1"/>
          <w:numId w:val="31"/>
        </w:numPr>
        <w:adjustRightInd/>
        <w:spacing w:line="360" w:lineRule="auto"/>
        <w:jc w:val="both"/>
        <w:rPr>
          <w:rFonts w:ascii="宋体" w:hAnsi="宋体" w:eastAsia="宋体" w:cs="宋体"/>
          <w:color w:val="auto"/>
          <w:sz w:val="21"/>
          <w:szCs w:val="21"/>
          <w:highlight w:val="none"/>
        </w:rPr>
      </w:pPr>
      <w:bookmarkStart w:id="244" w:name="_Toc20521"/>
      <w:bookmarkStart w:id="245" w:name="_Toc144892912"/>
      <w:r>
        <w:rPr>
          <w:rFonts w:hint="eastAsia" w:ascii="宋体" w:hAnsi="宋体" w:eastAsia="宋体" w:cs="宋体"/>
          <w:color w:val="auto"/>
          <w:sz w:val="21"/>
          <w:szCs w:val="21"/>
          <w:highlight w:val="none"/>
        </w:rPr>
        <w:t>中标后提交的文件资料</w:t>
      </w:r>
      <w:bookmarkEnd w:id="244"/>
      <w:bookmarkEnd w:id="245"/>
    </w:p>
    <w:p>
      <w:pPr>
        <w:pStyle w:val="2"/>
        <w:numPr>
          <w:ilvl w:val="0"/>
          <w:numId w:val="32"/>
        </w:numPr>
        <w:tabs>
          <w:tab w:val="left" w:pos="336"/>
        </w:tabs>
        <w:adjustRightInd/>
        <w:spacing w:before="60" w:after="60"/>
        <w:ind w:right="113"/>
        <w:jc w:val="both"/>
        <w:rPr>
          <w:color w:val="auto"/>
          <w:sz w:val="21"/>
          <w:szCs w:val="21"/>
          <w:highlight w:val="none"/>
        </w:rPr>
      </w:pPr>
      <w:r>
        <w:rPr>
          <w:rFonts w:hint="eastAsia"/>
          <w:color w:val="auto"/>
          <w:sz w:val="21"/>
          <w:szCs w:val="21"/>
          <w:highlight w:val="none"/>
        </w:rPr>
        <w:tab/>
      </w:r>
      <w:r>
        <w:rPr>
          <w:rFonts w:hint="eastAsia"/>
          <w:color w:val="auto"/>
          <w:sz w:val="21"/>
          <w:szCs w:val="21"/>
          <w:highlight w:val="none"/>
        </w:rPr>
        <w:t>中标人提交的图纸及其他资料</w:t>
      </w:r>
    </w:p>
    <w:tbl>
      <w:tblPr>
        <w:tblStyle w:val="34"/>
        <w:tblW w:w="88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6"/>
        <w:gridCol w:w="3119"/>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3276" w:type="dxa"/>
            <w:vAlign w:val="center"/>
          </w:tcPr>
          <w:p>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图纸/文件</w:t>
            </w:r>
          </w:p>
        </w:tc>
        <w:tc>
          <w:tcPr>
            <w:tcW w:w="3119" w:type="dxa"/>
            <w:vAlign w:val="center"/>
          </w:tcPr>
          <w:p>
            <w:pPr>
              <w:adjustRightInd/>
              <w:ind w:firstLine="422" w:firstLineChars="200"/>
              <w:jc w:val="center"/>
              <w:rPr>
                <w:rFonts w:ascii="宋体" w:hAnsi="宋体" w:cs="宋体"/>
                <w:b/>
                <w:bCs/>
                <w:color w:val="auto"/>
                <w:szCs w:val="21"/>
                <w:highlight w:val="none"/>
              </w:rPr>
            </w:pPr>
            <w:r>
              <w:rPr>
                <w:rFonts w:hint="eastAsia" w:ascii="宋体" w:hAnsi="宋体" w:cs="宋体"/>
                <w:b/>
                <w:bCs/>
                <w:color w:val="auto"/>
                <w:szCs w:val="21"/>
                <w:highlight w:val="none"/>
              </w:rPr>
              <w:t>数量（套）</w:t>
            </w:r>
          </w:p>
        </w:tc>
        <w:tc>
          <w:tcPr>
            <w:tcW w:w="2461" w:type="dxa"/>
            <w:vAlign w:val="center"/>
          </w:tcPr>
          <w:p>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adjustRightInd/>
              <w:jc w:val="both"/>
              <w:rPr>
                <w:rFonts w:ascii="宋体" w:hAnsi="宋体" w:cs="宋体"/>
                <w:color w:val="auto"/>
                <w:szCs w:val="21"/>
                <w:highlight w:val="none"/>
              </w:rPr>
            </w:pPr>
            <w:r>
              <w:rPr>
                <w:rFonts w:hint="eastAsia" w:ascii="宋体" w:hAnsi="宋体" w:cs="宋体"/>
                <w:color w:val="auto"/>
                <w:szCs w:val="21"/>
                <w:highlight w:val="none"/>
              </w:rPr>
              <w:t>制作/安装等施工图纸</w:t>
            </w:r>
          </w:p>
        </w:tc>
        <w:tc>
          <w:tcPr>
            <w:tcW w:w="3119" w:type="dxa"/>
            <w:vAlign w:val="center"/>
          </w:tcPr>
          <w:p>
            <w:pPr>
              <w:adjustRightInd/>
              <w:jc w:val="both"/>
              <w:rPr>
                <w:rFonts w:ascii="宋体" w:hAnsi="宋体" w:cs="宋体"/>
                <w:color w:val="auto"/>
                <w:szCs w:val="21"/>
                <w:highlight w:val="none"/>
              </w:rPr>
            </w:pPr>
            <w:r>
              <w:rPr>
                <w:rFonts w:hint="eastAsia" w:ascii="宋体" w:hAnsi="宋体" w:cs="宋体"/>
                <w:color w:val="auto"/>
                <w:szCs w:val="21"/>
                <w:highlight w:val="none"/>
              </w:rPr>
              <w:t>4套纸质版，1套电子版（备份U盘一个）</w:t>
            </w:r>
          </w:p>
        </w:tc>
        <w:tc>
          <w:tcPr>
            <w:tcW w:w="2461" w:type="dxa"/>
            <w:vAlign w:val="center"/>
          </w:tcPr>
          <w:p>
            <w:pPr>
              <w:adjustRightInd/>
              <w:jc w:val="both"/>
              <w:rPr>
                <w:rFonts w:ascii="宋体" w:hAnsi="宋体" w:cs="宋体"/>
                <w:color w:val="auto"/>
                <w:szCs w:val="21"/>
                <w:highlight w:val="none"/>
              </w:rPr>
            </w:pPr>
            <w:r>
              <w:rPr>
                <w:rFonts w:hint="eastAsia" w:ascii="宋体" w:hAnsi="宋体" w:cs="宋体"/>
                <w:color w:val="auto"/>
                <w:szCs w:val="21"/>
                <w:highlight w:val="none"/>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adjustRightInd/>
              <w:jc w:val="both"/>
              <w:rPr>
                <w:rFonts w:ascii="宋体" w:hAnsi="宋体" w:cs="宋体"/>
                <w:color w:val="auto"/>
                <w:szCs w:val="21"/>
                <w:highlight w:val="none"/>
              </w:rPr>
            </w:pPr>
            <w:r>
              <w:rPr>
                <w:rFonts w:hint="eastAsia" w:ascii="宋体" w:hAnsi="宋体" w:cs="宋体"/>
                <w:color w:val="auto"/>
                <w:szCs w:val="21"/>
                <w:highlight w:val="none"/>
              </w:rPr>
              <w:t>中标人施工记录表</w:t>
            </w:r>
          </w:p>
        </w:tc>
        <w:tc>
          <w:tcPr>
            <w:tcW w:w="3119" w:type="dxa"/>
            <w:vAlign w:val="center"/>
          </w:tcPr>
          <w:p>
            <w:pPr>
              <w:adjustRightInd/>
              <w:jc w:val="both"/>
              <w:rPr>
                <w:rFonts w:ascii="宋体" w:hAnsi="宋体" w:cs="宋体"/>
                <w:color w:val="auto"/>
                <w:szCs w:val="21"/>
                <w:highlight w:val="none"/>
              </w:rPr>
            </w:pPr>
            <w:r>
              <w:rPr>
                <w:rFonts w:hint="eastAsia" w:ascii="宋体" w:hAnsi="宋体" w:cs="宋体"/>
                <w:color w:val="auto"/>
                <w:szCs w:val="21"/>
                <w:highlight w:val="none"/>
              </w:rPr>
              <w:t>4套纸质版含原件及复印件</w:t>
            </w:r>
          </w:p>
        </w:tc>
        <w:tc>
          <w:tcPr>
            <w:tcW w:w="2461" w:type="dxa"/>
            <w:vAlign w:val="center"/>
          </w:tcPr>
          <w:p>
            <w:pPr>
              <w:adjustRightInd/>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adjustRightInd/>
              <w:jc w:val="both"/>
              <w:rPr>
                <w:rFonts w:ascii="宋体" w:hAnsi="宋体" w:cs="宋体"/>
                <w:color w:val="auto"/>
                <w:szCs w:val="21"/>
                <w:highlight w:val="none"/>
              </w:rPr>
            </w:pPr>
            <w:r>
              <w:rPr>
                <w:rFonts w:hint="eastAsia" w:ascii="宋体" w:hAnsi="宋体" w:cs="宋体"/>
                <w:color w:val="auto"/>
                <w:szCs w:val="21"/>
                <w:highlight w:val="none"/>
              </w:rPr>
              <w:t>设备操作手册和维修手册</w:t>
            </w:r>
          </w:p>
        </w:tc>
        <w:tc>
          <w:tcPr>
            <w:tcW w:w="3119" w:type="dxa"/>
            <w:vAlign w:val="center"/>
          </w:tcPr>
          <w:p>
            <w:pPr>
              <w:adjustRightInd/>
              <w:jc w:val="both"/>
              <w:rPr>
                <w:rFonts w:ascii="宋体" w:hAnsi="宋体" w:cs="宋体"/>
                <w:color w:val="auto"/>
                <w:szCs w:val="21"/>
                <w:highlight w:val="none"/>
              </w:rPr>
            </w:pPr>
            <w:r>
              <w:rPr>
                <w:rFonts w:hint="eastAsia" w:ascii="宋体" w:hAnsi="宋体" w:cs="宋体"/>
                <w:color w:val="auto"/>
                <w:szCs w:val="21"/>
                <w:highlight w:val="none"/>
              </w:rPr>
              <w:t>4套纸质版，1套电子版（备份U盘一个）</w:t>
            </w:r>
          </w:p>
        </w:tc>
        <w:tc>
          <w:tcPr>
            <w:tcW w:w="2461" w:type="dxa"/>
            <w:vAlign w:val="center"/>
          </w:tcPr>
          <w:p>
            <w:pPr>
              <w:adjustRightInd/>
              <w:jc w:val="both"/>
              <w:rPr>
                <w:rFonts w:ascii="宋体" w:hAnsi="宋体" w:cs="宋体"/>
                <w:color w:val="auto"/>
                <w:szCs w:val="21"/>
                <w:highlight w:val="none"/>
              </w:rPr>
            </w:pPr>
            <w:r>
              <w:rPr>
                <w:rFonts w:hint="eastAsia" w:ascii="宋体" w:hAnsi="宋体" w:cs="宋体"/>
                <w:color w:val="auto"/>
                <w:szCs w:val="21"/>
                <w:highlight w:val="none"/>
              </w:rPr>
              <w:t>签字盖章确认版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adjustRightInd/>
              <w:jc w:val="both"/>
              <w:rPr>
                <w:rFonts w:ascii="宋体" w:hAnsi="宋体" w:cs="宋体"/>
                <w:color w:val="auto"/>
                <w:szCs w:val="21"/>
                <w:highlight w:val="none"/>
              </w:rPr>
            </w:pPr>
            <w:r>
              <w:rPr>
                <w:rFonts w:hint="eastAsia" w:ascii="宋体" w:hAnsi="宋体" w:cs="宋体"/>
                <w:color w:val="auto"/>
                <w:szCs w:val="21"/>
                <w:highlight w:val="none"/>
              </w:rPr>
              <w:t>制造商的试验证明书</w:t>
            </w:r>
          </w:p>
        </w:tc>
        <w:tc>
          <w:tcPr>
            <w:tcW w:w="3119" w:type="dxa"/>
            <w:vAlign w:val="center"/>
          </w:tcPr>
          <w:p>
            <w:pPr>
              <w:adjustRightInd/>
              <w:jc w:val="both"/>
              <w:rPr>
                <w:rFonts w:ascii="宋体" w:hAnsi="宋体" w:cs="宋体"/>
                <w:color w:val="auto"/>
                <w:szCs w:val="21"/>
                <w:highlight w:val="none"/>
              </w:rPr>
            </w:pPr>
            <w:r>
              <w:rPr>
                <w:rFonts w:hint="eastAsia" w:ascii="宋体" w:hAnsi="宋体" w:cs="宋体"/>
                <w:color w:val="auto"/>
                <w:szCs w:val="21"/>
                <w:highlight w:val="none"/>
              </w:rPr>
              <w:t>1套纸质版</w:t>
            </w:r>
          </w:p>
        </w:tc>
        <w:tc>
          <w:tcPr>
            <w:tcW w:w="2461" w:type="dxa"/>
            <w:vAlign w:val="center"/>
          </w:tcPr>
          <w:p>
            <w:pPr>
              <w:adjustRightInd/>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3276" w:type="dxa"/>
            <w:vAlign w:val="center"/>
          </w:tcPr>
          <w:p>
            <w:pPr>
              <w:adjustRightInd/>
              <w:jc w:val="both"/>
              <w:rPr>
                <w:rFonts w:ascii="宋体" w:hAnsi="宋体" w:cs="宋体"/>
                <w:color w:val="auto"/>
                <w:szCs w:val="21"/>
                <w:highlight w:val="none"/>
              </w:rPr>
            </w:pPr>
            <w:r>
              <w:rPr>
                <w:rFonts w:hint="eastAsia" w:ascii="宋体" w:hAnsi="宋体" w:cs="宋体"/>
                <w:color w:val="auto"/>
                <w:szCs w:val="21"/>
                <w:highlight w:val="none"/>
              </w:rPr>
              <w:t>原材料的出厂检验报告</w:t>
            </w:r>
          </w:p>
        </w:tc>
        <w:tc>
          <w:tcPr>
            <w:tcW w:w="3119" w:type="dxa"/>
            <w:vAlign w:val="center"/>
          </w:tcPr>
          <w:p>
            <w:pPr>
              <w:adjustRightInd/>
              <w:jc w:val="both"/>
              <w:rPr>
                <w:rFonts w:ascii="宋体" w:hAnsi="宋体" w:cs="宋体"/>
                <w:color w:val="auto"/>
                <w:szCs w:val="21"/>
                <w:highlight w:val="none"/>
              </w:rPr>
            </w:pPr>
            <w:r>
              <w:rPr>
                <w:rFonts w:hint="eastAsia" w:ascii="宋体" w:hAnsi="宋体" w:cs="宋体"/>
                <w:color w:val="auto"/>
                <w:szCs w:val="21"/>
                <w:highlight w:val="none"/>
              </w:rPr>
              <w:t>每批次提供</w:t>
            </w:r>
          </w:p>
        </w:tc>
        <w:tc>
          <w:tcPr>
            <w:tcW w:w="2461" w:type="dxa"/>
            <w:vAlign w:val="center"/>
          </w:tcPr>
          <w:p>
            <w:pPr>
              <w:adjustRightInd/>
              <w:jc w:val="both"/>
              <w:rPr>
                <w:rFonts w:ascii="宋体" w:hAnsi="宋体" w:cs="宋体"/>
                <w:color w:val="auto"/>
                <w:szCs w:val="21"/>
                <w:highlight w:val="none"/>
              </w:rPr>
            </w:pPr>
          </w:p>
        </w:tc>
      </w:tr>
    </w:tbl>
    <w:p>
      <w:pPr>
        <w:pStyle w:val="2"/>
        <w:numPr>
          <w:ilvl w:val="0"/>
          <w:numId w:val="32"/>
        </w:numPr>
        <w:tabs>
          <w:tab w:val="left" w:pos="336"/>
        </w:tabs>
        <w:adjustRightInd/>
        <w:spacing w:before="60" w:after="60"/>
        <w:ind w:right="113"/>
        <w:jc w:val="both"/>
        <w:rPr>
          <w:color w:val="auto"/>
          <w:sz w:val="21"/>
          <w:szCs w:val="21"/>
          <w:highlight w:val="none"/>
        </w:rPr>
      </w:pPr>
      <w:r>
        <w:rPr>
          <w:rFonts w:hint="eastAsia"/>
          <w:color w:val="auto"/>
          <w:sz w:val="21"/>
          <w:szCs w:val="21"/>
          <w:highlight w:val="none"/>
        </w:rPr>
        <w:t>其他要求</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中标人必须向采购人和业主提供数量充足的（≥8）纸质和电子副本。在合同开始执行时，采购人就应限定数据格式。该条款尤其适用于 CAD、office文件。</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中标人所提交的文件应在接收之日后 15 天内经采购人校核、评审和批准。评审意见应书面下达给中标人。中标人应将评审意见纳入其文件中。</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根据评审意见的性质和重要性，中标人必须在下一个合同文件提交日之前重新编写文件和在文件中包含评审意见。批准书将与评审意见同时下达（若评审意见不重要）或在文件按评审意见重新编写之后下达。</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对任何文件的批准都不会减轻中标人的合同职责或以任何方式把责任转嫁给采购人。如果任何文件须符合中国或其他标准（GB，ASME，BS， DIN，EN，VDE 等），投标人有责任了解相关标准。</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在合同开始执行时，采购人应提供标准模板清单和其他文件。必须使用这些模板。中标人必须保留所有文件的更新直到采购人最终接收。</w:t>
      </w:r>
    </w:p>
    <w:p>
      <w:pPr>
        <w:pStyle w:val="6"/>
        <w:numPr>
          <w:ilvl w:val="1"/>
          <w:numId w:val="31"/>
        </w:numPr>
        <w:adjustRightInd/>
        <w:spacing w:line="360" w:lineRule="auto"/>
        <w:jc w:val="both"/>
        <w:rPr>
          <w:rFonts w:ascii="宋体" w:hAnsi="宋体" w:eastAsia="宋体" w:cs="宋体"/>
          <w:color w:val="auto"/>
          <w:sz w:val="21"/>
          <w:szCs w:val="21"/>
          <w:highlight w:val="none"/>
        </w:rPr>
      </w:pPr>
      <w:bookmarkStart w:id="246" w:name="_Toc144892913"/>
      <w:bookmarkStart w:id="247" w:name="_Toc11118"/>
      <w:r>
        <w:rPr>
          <w:rFonts w:hint="eastAsia" w:ascii="宋体" w:hAnsi="宋体" w:eastAsia="宋体" w:cs="宋体"/>
          <w:color w:val="auto"/>
          <w:sz w:val="21"/>
          <w:szCs w:val="21"/>
          <w:highlight w:val="none"/>
        </w:rPr>
        <w:t>变更</w:t>
      </w:r>
      <w:bookmarkEnd w:id="246"/>
      <w:bookmarkEnd w:id="247"/>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没有采购人的通知和同意，中标人不得擅自对经采购人批准的永久性工程作任何设计变更。在采购人认为有必要对某永久性工程作设计变更，收到书面设计变更通知后，中标人应按设计变更通知单指示进行施工。</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所有的设计变更指令和设计变更通知单，应作为竣工资料一起提交。</w:t>
      </w:r>
    </w:p>
    <w:p>
      <w:pPr>
        <w:pStyle w:val="6"/>
        <w:numPr>
          <w:ilvl w:val="1"/>
          <w:numId w:val="31"/>
        </w:numPr>
        <w:adjustRightInd/>
        <w:spacing w:line="360" w:lineRule="auto"/>
        <w:jc w:val="both"/>
        <w:rPr>
          <w:rFonts w:ascii="宋体" w:hAnsi="宋体" w:eastAsia="宋体" w:cs="宋体"/>
          <w:color w:val="auto"/>
          <w:sz w:val="21"/>
          <w:szCs w:val="21"/>
          <w:highlight w:val="none"/>
        </w:rPr>
      </w:pPr>
      <w:bookmarkStart w:id="248" w:name="_Toc144892914"/>
      <w:bookmarkStart w:id="249" w:name="_Toc28804"/>
      <w:r>
        <w:rPr>
          <w:rFonts w:hint="eastAsia" w:ascii="宋体" w:hAnsi="宋体" w:eastAsia="宋体" w:cs="宋体"/>
          <w:color w:val="auto"/>
          <w:sz w:val="21"/>
          <w:szCs w:val="21"/>
          <w:highlight w:val="none"/>
        </w:rPr>
        <w:t>竣工图及竣工资料</w:t>
      </w:r>
      <w:bookmarkEnd w:id="248"/>
      <w:bookmarkEnd w:id="249"/>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中标人应在合同条款规定的工程完工检验之前，向采购人提交4套完整的竣工图和4套完整的竣工资料。竣工资料必须是一套原件，三套复印件。</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竣工图的质量必须符合采购人的要求。图纸整洁,线条清晰，原设计图修改处必须做出明显的标记，以标出正确的尺寸、位置、大小、设备细部等,以便为永久性工程提供一套完整、准确的记录。涉及前期、设计、施工和竣工不同阶段的文件图纸归入相应各阶段的电子竣工文档。</w:t>
      </w:r>
    </w:p>
    <w:p>
      <w:pPr>
        <w:pStyle w:val="6"/>
        <w:numPr>
          <w:ilvl w:val="1"/>
          <w:numId w:val="31"/>
        </w:numPr>
        <w:adjustRightInd/>
        <w:spacing w:line="360" w:lineRule="auto"/>
        <w:jc w:val="both"/>
        <w:rPr>
          <w:rFonts w:ascii="宋体" w:hAnsi="宋体" w:eastAsia="宋体" w:cs="宋体"/>
          <w:color w:val="auto"/>
          <w:sz w:val="21"/>
          <w:szCs w:val="21"/>
          <w:highlight w:val="none"/>
        </w:rPr>
      </w:pPr>
      <w:bookmarkStart w:id="250" w:name="_Toc26817"/>
      <w:bookmarkStart w:id="251" w:name="_Toc144892915"/>
      <w:r>
        <w:rPr>
          <w:rFonts w:hint="eastAsia" w:ascii="宋体" w:hAnsi="宋体" w:eastAsia="宋体" w:cs="宋体"/>
          <w:color w:val="auto"/>
          <w:sz w:val="21"/>
          <w:szCs w:val="21"/>
          <w:highlight w:val="none"/>
        </w:rPr>
        <w:t>操作维修手册</w:t>
      </w:r>
      <w:bookmarkEnd w:id="250"/>
      <w:bookmarkEnd w:id="251"/>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中标人应根据采购人的指令,在工程完工之前提供设备操作手册、设备保养维修手册，还应对防腐蚀系统及材料，检查井盖、扶梯等有关工程部件作技术说明，手册应详述检查和修理步骤及要求。</w:t>
      </w:r>
    </w:p>
    <w:p>
      <w:pPr>
        <w:pStyle w:val="6"/>
        <w:numPr>
          <w:ilvl w:val="1"/>
          <w:numId w:val="31"/>
        </w:numPr>
        <w:adjustRightInd/>
        <w:spacing w:line="360" w:lineRule="auto"/>
        <w:jc w:val="both"/>
        <w:rPr>
          <w:rFonts w:ascii="宋体" w:hAnsi="宋体" w:eastAsia="宋体" w:cs="宋体"/>
          <w:color w:val="auto"/>
          <w:sz w:val="21"/>
          <w:szCs w:val="21"/>
          <w:highlight w:val="none"/>
        </w:rPr>
      </w:pPr>
      <w:bookmarkStart w:id="252" w:name="_Toc144892916"/>
      <w:bookmarkStart w:id="253" w:name="_Toc1273"/>
      <w:r>
        <w:rPr>
          <w:rFonts w:hint="eastAsia" w:ascii="宋体" w:hAnsi="宋体" w:eastAsia="宋体" w:cs="宋体"/>
          <w:color w:val="auto"/>
          <w:sz w:val="21"/>
          <w:szCs w:val="21"/>
          <w:highlight w:val="none"/>
        </w:rPr>
        <w:t>工程进度管理</w:t>
      </w:r>
      <w:bookmarkEnd w:id="252"/>
      <w:bookmarkEnd w:id="253"/>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在工程开工前中标人应根据合同条款要求，把工程进度计划提交给采购人。计划可用条状图或其他采购人同意的方式。</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中标人必须根据合同条款规定，提供月报表。表格须按采购人规定格式打印。月报表内容需完整详细。</w:t>
      </w:r>
    </w:p>
    <w:p>
      <w:pPr>
        <w:pStyle w:val="6"/>
        <w:numPr>
          <w:ilvl w:val="1"/>
          <w:numId w:val="31"/>
        </w:numPr>
        <w:adjustRightInd/>
        <w:spacing w:line="360" w:lineRule="auto"/>
        <w:jc w:val="both"/>
        <w:rPr>
          <w:rFonts w:ascii="宋体" w:hAnsi="宋体" w:eastAsia="宋体" w:cs="宋体"/>
          <w:color w:val="auto"/>
          <w:sz w:val="21"/>
          <w:szCs w:val="21"/>
          <w:highlight w:val="none"/>
        </w:rPr>
      </w:pPr>
      <w:bookmarkStart w:id="254" w:name="_Toc20275"/>
      <w:bookmarkStart w:id="255" w:name="_Toc144892917"/>
      <w:r>
        <w:rPr>
          <w:rFonts w:hint="eastAsia" w:ascii="宋体" w:hAnsi="宋体" w:eastAsia="宋体" w:cs="宋体"/>
          <w:color w:val="auto"/>
          <w:sz w:val="21"/>
          <w:szCs w:val="21"/>
          <w:highlight w:val="none"/>
        </w:rPr>
        <w:t>质量保证和控制</w:t>
      </w:r>
      <w:bookmarkEnd w:id="254"/>
      <w:bookmarkEnd w:id="255"/>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必须建立并执行一套完整的质量保证体系。它应涉及包括(但不限于)：设计、采购、生产等在内的工程各个方面。该质量体系必须符合国际ISO9000系列标准。质量保证体系中关键的部分是监督投标人的供货(包括材料和服务)。为确保项目的质量，中标人必须保证所有供货商都全面执行一套质量保证体系，并收到外部监督机构的监督和审查。</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项目开工后的一个月内，中标人应向采购人提交一份详细的质量保证计划，并且获得采购人的同意。并且作为合同的一个组成部分，主要涉及以下几个方面：</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项目质量保证基础服务期为验收合格之日起一年。</w:t>
      </w:r>
    </w:p>
    <w:p>
      <w:pPr>
        <w:pStyle w:val="2"/>
        <w:numPr>
          <w:ilvl w:val="0"/>
          <w:numId w:val="33"/>
        </w:numPr>
        <w:adjustRightInd/>
        <w:ind w:left="0" w:firstLine="420" w:firstLineChars="200"/>
        <w:jc w:val="both"/>
        <w:rPr>
          <w:color w:val="auto"/>
          <w:sz w:val="21"/>
          <w:szCs w:val="21"/>
          <w:highlight w:val="none"/>
        </w:rPr>
      </w:pPr>
      <w:r>
        <w:rPr>
          <w:rFonts w:hint="eastAsia"/>
          <w:color w:val="auto"/>
          <w:sz w:val="21"/>
          <w:szCs w:val="21"/>
          <w:highlight w:val="none"/>
        </w:rPr>
        <w:t>管理质量计划</w:t>
      </w:r>
    </w:p>
    <w:p>
      <w:pPr>
        <w:pStyle w:val="2"/>
        <w:numPr>
          <w:ilvl w:val="0"/>
          <w:numId w:val="33"/>
        </w:numPr>
        <w:adjustRightInd/>
        <w:ind w:left="0" w:firstLine="420" w:firstLineChars="200"/>
        <w:jc w:val="both"/>
        <w:rPr>
          <w:color w:val="auto"/>
          <w:sz w:val="21"/>
          <w:szCs w:val="21"/>
          <w:highlight w:val="none"/>
        </w:rPr>
      </w:pPr>
      <w:r>
        <w:rPr>
          <w:rFonts w:hint="eastAsia"/>
          <w:color w:val="auto"/>
          <w:sz w:val="21"/>
          <w:szCs w:val="21"/>
          <w:highlight w:val="none"/>
        </w:rPr>
        <w:t>设计质量计划</w:t>
      </w:r>
    </w:p>
    <w:p>
      <w:pPr>
        <w:pStyle w:val="2"/>
        <w:numPr>
          <w:ilvl w:val="0"/>
          <w:numId w:val="33"/>
        </w:numPr>
        <w:adjustRightInd/>
        <w:ind w:left="0" w:firstLine="420" w:firstLineChars="200"/>
        <w:jc w:val="both"/>
        <w:rPr>
          <w:color w:val="auto"/>
          <w:sz w:val="21"/>
          <w:szCs w:val="21"/>
          <w:highlight w:val="none"/>
        </w:rPr>
      </w:pPr>
      <w:r>
        <w:rPr>
          <w:rFonts w:hint="eastAsia"/>
          <w:color w:val="auto"/>
          <w:sz w:val="21"/>
          <w:szCs w:val="21"/>
          <w:highlight w:val="none"/>
        </w:rPr>
        <w:t>生产质量计划</w:t>
      </w:r>
    </w:p>
    <w:p>
      <w:pPr>
        <w:pStyle w:val="2"/>
        <w:numPr>
          <w:ilvl w:val="0"/>
          <w:numId w:val="33"/>
        </w:numPr>
        <w:adjustRightInd/>
        <w:ind w:left="0" w:firstLine="420" w:firstLineChars="200"/>
        <w:jc w:val="both"/>
        <w:rPr>
          <w:color w:val="auto"/>
          <w:sz w:val="21"/>
          <w:szCs w:val="21"/>
          <w:highlight w:val="none"/>
        </w:rPr>
      </w:pPr>
      <w:r>
        <w:rPr>
          <w:rFonts w:hint="eastAsia"/>
          <w:color w:val="auto"/>
          <w:sz w:val="21"/>
          <w:szCs w:val="21"/>
          <w:highlight w:val="none"/>
        </w:rPr>
        <w:t>设备质量计划</w:t>
      </w:r>
    </w:p>
    <w:p>
      <w:pPr>
        <w:pStyle w:val="6"/>
        <w:numPr>
          <w:ilvl w:val="1"/>
          <w:numId w:val="31"/>
        </w:numPr>
        <w:adjustRightInd/>
        <w:spacing w:line="360" w:lineRule="auto"/>
        <w:jc w:val="both"/>
        <w:rPr>
          <w:rFonts w:ascii="宋体" w:hAnsi="宋体" w:eastAsia="宋体" w:cs="宋体"/>
          <w:color w:val="auto"/>
          <w:sz w:val="21"/>
          <w:szCs w:val="21"/>
          <w:highlight w:val="none"/>
        </w:rPr>
      </w:pPr>
      <w:bookmarkStart w:id="256" w:name="_Toc144892918"/>
      <w:bookmarkStart w:id="257" w:name="_Toc19156"/>
      <w:r>
        <w:rPr>
          <w:rFonts w:hint="eastAsia" w:ascii="宋体" w:hAnsi="宋体" w:eastAsia="宋体" w:cs="宋体"/>
          <w:color w:val="auto"/>
          <w:sz w:val="21"/>
          <w:szCs w:val="21"/>
          <w:highlight w:val="none"/>
        </w:rPr>
        <w:t>材料检测与测试</w:t>
      </w:r>
      <w:bookmarkEnd w:id="256"/>
      <w:bookmarkEnd w:id="257"/>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凡合同中规定要求提供样品的，这些样品须在它们所代表的材料用于工程28天之前送采购人所委托的检测机构进行检测。样品须经采购人的验审批准方可使用。</w:t>
      </w:r>
      <w:bookmarkStart w:id="258" w:name="_Toc524875822"/>
      <w:bookmarkStart w:id="259" w:name="_Toc524985877"/>
      <w:bookmarkStart w:id="260" w:name="_Toc525687507"/>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材料生产商和供应商的测试证明书</w:t>
      </w:r>
      <w:bookmarkEnd w:id="258"/>
      <w:bookmarkEnd w:id="259"/>
      <w:bookmarkEnd w:id="260"/>
      <w:r>
        <w:rPr>
          <w:rFonts w:hint="eastAsia"/>
          <w:color w:val="auto"/>
          <w:sz w:val="21"/>
          <w:szCs w:val="21"/>
          <w:highlight w:val="none"/>
        </w:rPr>
        <w:t>：当技术规范或有关的参照标准要求有材料生产商和供应商的测试证明书时，必须由投标人提供每份证明书的原件或复印件。</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中标人应为全部材料的取样和测试，施工工艺，设备和量测装置进行日常检查，以控制其质量并保证它们与技术规定和批准的试样相一致。</w:t>
      </w:r>
    </w:p>
    <w:p>
      <w:pPr>
        <w:pStyle w:val="2"/>
        <w:adjustRightInd/>
        <w:spacing w:before="60" w:after="60"/>
        <w:ind w:left="0" w:right="113" w:firstLine="420" w:firstLineChars="200"/>
        <w:jc w:val="both"/>
        <w:rPr>
          <w:color w:val="auto"/>
          <w:sz w:val="21"/>
          <w:szCs w:val="21"/>
          <w:highlight w:val="none"/>
        </w:rPr>
      </w:pPr>
      <w:r>
        <w:rPr>
          <w:rFonts w:hint="eastAsia"/>
          <w:color w:val="auto"/>
          <w:sz w:val="21"/>
          <w:szCs w:val="21"/>
          <w:highlight w:val="none"/>
        </w:rPr>
        <w:t>材料和试样的试验、检测业务由采购人委托具有相应资质和能力的检测机构进行，检测费用由中标人承担。如检测结果不合格，中标人继续提供样品进行测试直至符合技术规格书要求，这些费用均由中标人承担。</w:t>
      </w:r>
    </w:p>
    <w:p>
      <w:pPr>
        <w:pStyle w:val="6"/>
        <w:numPr>
          <w:ilvl w:val="1"/>
          <w:numId w:val="31"/>
        </w:numPr>
        <w:adjustRightInd/>
        <w:spacing w:line="360" w:lineRule="auto"/>
        <w:jc w:val="both"/>
        <w:rPr>
          <w:rFonts w:ascii="宋体" w:hAnsi="宋体" w:eastAsia="宋体" w:cs="宋体"/>
          <w:color w:val="auto"/>
          <w:sz w:val="21"/>
          <w:szCs w:val="21"/>
          <w:highlight w:val="none"/>
        </w:rPr>
      </w:pPr>
      <w:bookmarkStart w:id="261" w:name="_Toc144892919"/>
      <w:bookmarkStart w:id="262" w:name="_Toc25657"/>
      <w:r>
        <w:rPr>
          <w:rFonts w:hint="eastAsia" w:ascii="宋体" w:hAnsi="宋体" w:eastAsia="宋体" w:cs="宋体"/>
          <w:color w:val="auto"/>
          <w:sz w:val="21"/>
          <w:szCs w:val="21"/>
          <w:highlight w:val="none"/>
        </w:rPr>
        <w:t>安装和检验</w:t>
      </w:r>
      <w:bookmarkEnd w:id="261"/>
      <w:bookmarkEnd w:id="262"/>
    </w:p>
    <w:p>
      <w:pPr>
        <w:pStyle w:val="7"/>
        <w:numPr>
          <w:ilvl w:val="2"/>
          <w:numId w:val="34"/>
        </w:numPr>
        <w:adjustRightInd/>
        <w:spacing w:line="360" w:lineRule="auto"/>
        <w:jc w:val="both"/>
        <w:rPr>
          <w:rFonts w:ascii="宋体" w:hAnsi="宋体" w:cs="宋体"/>
          <w:color w:val="auto"/>
          <w:sz w:val="21"/>
          <w:szCs w:val="21"/>
          <w:highlight w:val="none"/>
        </w:rPr>
      </w:pPr>
      <w:bookmarkStart w:id="263" w:name="_Toc24992"/>
      <w:bookmarkStart w:id="264" w:name="_Toc144892920"/>
      <w:r>
        <w:rPr>
          <w:rFonts w:hint="eastAsia" w:ascii="宋体" w:hAnsi="宋体" w:cs="宋体"/>
          <w:color w:val="auto"/>
          <w:sz w:val="21"/>
          <w:szCs w:val="21"/>
          <w:highlight w:val="none"/>
        </w:rPr>
        <w:t>工厂检验</w:t>
      </w:r>
      <w:bookmarkEnd w:id="263"/>
      <w:bookmarkEnd w:id="264"/>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1.中标人提供的所有设备和其备件、附件都应经过工厂检测。产品合格证、检测记录和检测报告应提交采购人。上述产品合格证应由设备制造商确认并签字。所有检测费用由设备制造商或</w:t>
      </w:r>
      <w:r>
        <w:rPr>
          <w:rFonts w:hint="eastAsia"/>
          <w:color w:val="auto"/>
          <w:sz w:val="21"/>
          <w:szCs w:val="21"/>
          <w:highlight w:val="none"/>
        </w:rPr>
        <w:t>中</w:t>
      </w:r>
      <w:r>
        <w:rPr>
          <w:rStyle w:val="58"/>
          <w:rFonts w:hint="eastAsia" w:hAnsi="宋体" w:cs="宋体"/>
          <w:color w:val="auto"/>
          <w:highlight w:val="none"/>
        </w:rPr>
        <w:t>标人承担。</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2.设备的工厂检验不能代替货物到现场的最终检验。</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3.采购人在设备生产过程中有权观察、检查，或者监督材料、工艺、所有设备性能的试验。</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4.当设备测试在国内进行时，中标人应提前15天书面通知采购人，试验报告送交采购人。当设备试验在国外进行时，</w:t>
      </w:r>
      <w:r>
        <w:rPr>
          <w:rFonts w:hint="eastAsia"/>
          <w:color w:val="auto"/>
          <w:sz w:val="21"/>
          <w:szCs w:val="21"/>
          <w:highlight w:val="none"/>
        </w:rPr>
        <w:t>中</w:t>
      </w:r>
      <w:r>
        <w:rPr>
          <w:rStyle w:val="58"/>
          <w:rFonts w:hint="eastAsia" w:hAnsi="宋体" w:cs="宋体"/>
          <w:color w:val="auto"/>
          <w:highlight w:val="none"/>
        </w:rPr>
        <w:t>标人应提前60天书面通知采购人。采购人提前3天通知投标人是否要监督试验情况，如果试验未按原定时间或地点进行而导致采购人未能到场，该试验应在采购人到场的情况下重新做。</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5.系统中主要设备应做无损试验，规定做的无损试验应符合国内和国际相应的标准要求。检测范围应按有关制作标准的要求，如无明确要求，应由采购人决定。无损试验应在弯曲、焊接、热处理和水力试验等完成后进行。</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6.所有无损试验，包括超声波、放射线、穿透检测和保护涂层测试，以及一切无损试验，应由经采购人同意的第三方检测机构承担。</w:t>
      </w:r>
      <w:r>
        <w:rPr>
          <w:rFonts w:hint="eastAsia"/>
          <w:color w:val="auto"/>
          <w:sz w:val="21"/>
          <w:szCs w:val="21"/>
          <w:highlight w:val="none"/>
        </w:rPr>
        <w:t>中</w:t>
      </w:r>
      <w:r>
        <w:rPr>
          <w:rStyle w:val="58"/>
          <w:rFonts w:hint="eastAsia" w:hAnsi="宋体" w:cs="宋体"/>
          <w:color w:val="auto"/>
          <w:highlight w:val="none"/>
        </w:rPr>
        <w:t>标人应在计划试验开始之前4周向采购人提交详细的试验方案和试验期内拟进行的程序。应包括获准部门试验人员姓名，及其专业经验以及按规定的无损试验要求进行的步骤和方法。如有试验未能通过,</w:t>
      </w:r>
      <w:r>
        <w:rPr>
          <w:rFonts w:hint="eastAsia"/>
          <w:color w:val="auto"/>
          <w:sz w:val="21"/>
          <w:szCs w:val="21"/>
          <w:highlight w:val="none"/>
        </w:rPr>
        <w:t xml:space="preserve"> 中</w:t>
      </w:r>
      <w:r>
        <w:rPr>
          <w:rStyle w:val="58"/>
          <w:rFonts w:hint="eastAsia" w:hAnsi="宋体" w:cs="宋体"/>
          <w:color w:val="auto"/>
          <w:highlight w:val="none"/>
        </w:rPr>
        <w:t>标人应进行重新试验,且应在合适的时间内按同样规定和条件进行。如</w:t>
      </w:r>
      <w:r>
        <w:rPr>
          <w:rFonts w:hint="eastAsia"/>
          <w:color w:val="auto"/>
          <w:sz w:val="21"/>
          <w:szCs w:val="21"/>
          <w:highlight w:val="none"/>
        </w:rPr>
        <w:t>中</w:t>
      </w:r>
      <w:r>
        <w:rPr>
          <w:rStyle w:val="58"/>
          <w:rFonts w:hint="eastAsia" w:hAnsi="宋体" w:cs="宋体"/>
          <w:color w:val="auto"/>
          <w:highlight w:val="none"/>
        </w:rPr>
        <w:t>标人改变测试时间未预先通知采购人，则所有重新测试的费用由</w:t>
      </w:r>
      <w:r>
        <w:rPr>
          <w:rFonts w:hint="eastAsia"/>
          <w:color w:val="auto"/>
          <w:sz w:val="21"/>
          <w:szCs w:val="21"/>
          <w:highlight w:val="none"/>
        </w:rPr>
        <w:t>中</w:t>
      </w:r>
      <w:r>
        <w:rPr>
          <w:rStyle w:val="58"/>
          <w:rFonts w:hint="eastAsia" w:hAnsi="宋体" w:cs="宋体"/>
          <w:color w:val="auto"/>
          <w:highlight w:val="none"/>
        </w:rPr>
        <w:t>标人负担。</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7.工厂检验报告应在设备发货之前提交给采购人，并经采购人审批确认后方可发货。</w:t>
      </w:r>
    </w:p>
    <w:p>
      <w:pPr>
        <w:pStyle w:val="7"/>
        <w:numPr>
          <w:ilvl w:val="2"/>
          <w:numId w:val="34"/>
        </w:numPr>
        <w:adjustRightInd/>
        <w:spacing w:line="360" w:lineRule="auto"/>
        <w:jc w:val="both"/>
        <w:rPr>
          <w:rFonts w:ascii="宋体" w:hAnsi="宋体" w:cs="宋体"/>
          <w:color w:val="auto"/>
          <w:sz w:val="21"/>
          <w:szCs w:val="21"/>
          <w:highlight w:val="none"/>
        </w:rPr>
      </w:pPr>
      <w:bookmarkStart w:id="265" w:name="_Toc346"/>
      <w:bookmarkStart w:id="266" w:name="_Toc144892921"/>
      <w:bookmarkStart w:id="267" w:name="_Toc525687511"/>
      <w:bookmarkStart w:id="268" w:name="_Toc12474451"/>
      <w:bookmarkStart w:id="269" w:name="_Toc524875826"/>
      <w:bookmarkStart w:id="270" w:name="_Toc524985881"/>
      <w:r>
        <w:rPr>
          <w:rFonts w:hint="eastAsia" w:ascii="宋体" w:hAnsi="宋体" w:cs="宋体"/>
          <w:color w:val="auto"/>
          <w:sz w:val="21"/>
          <w:szCs w:val="21"/>
          <w:highlight w:val="none"/>
        </w:rPr>
        <w:t>现场检验</w:t>
      </w:r>
      <w:bookmarkEnd w:id="265"/>
      <w:bookmarkEnd w:id="266"/>
      <w:bookmarkEnd w:id="267"/>
      <w:bookmarkEnd w:id="268"/>
      <w:bookmarkEnd w:id="269"/>
      <w:bookmarkEnd w:id="270"/>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1.所有设备和部件均应采取适当的保护，以避免运输或其他原因造成损坏。</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2.现场验收必须在工况下进行。</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3.系统运行结果符合相关标准、技术规格书及合同要求。</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4.系统在性能测试和指导运行过程中出现的所有缺陷已被消除，并得到的认可。</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5.当供货范围内货物均已提供，且性能符合或优于规定要求。</w:t>
      </w:r>
    </w:p>
    <w:p>
      <w:pPr>
        <w:pStyle w:val="7"/>
        <w:numPr>
          <w:ilvl w:val="2"/>
          <w:numId w:val="34"/>
        </w:numPr>
        <w:adjustRightInd/>
        <w:spacing w:line="360" w:lineRule="auto"/>
        <w:jc w:val="both"/>
        <w:rPr>
          <w:rFonts w:ascii="宋体" w:hAnsi="宋体" w:cs="宋体"/>
          <w:color w:val="auto"/>
          <w:sz w:val="21"/>
          <w:szCs w:val="21"/>
          <w:highlight w:val="none"/>
        </w:rPr>
      </w:pPr>
      <w:bookmarkStart w:id="271" w:name="_Toc15438"/>
      <w:bookmarkStart w:id="272" w:name="_Toc525687512"/>
      <w:bookmarkStart w:id="273" w:name="_Toc524875827"/>
      <w:bookmarkStart w:id="274" w:name="_Toc524985882"/>
      <w:bookmarkStart w:id="275" w:name="_Toc12474452"/>
      <w:bookmarkStart w:id="276" w:name="_Toc144892922"/>
      <w:r>
        <w:rPr>
          <w:rFonts w:hint="eastAsia" w:ascii="宋体" w:hAnsi="宋体" w:cs="宋体"/>
          <w:color w:val="auto"/>
          <w:sz w:val="21"/>
          <w:szCs w:val="21"/>
          <w:highlight w:val="none"/>
        </w:rPr>
        <w:t>安装</w:t>
      </w:r>
      <w:bookmarkEnd w:id="271"/>
      <w:bookmarkEnd w:id="272"/>
      <w:bookmarkEnd w:id="273"/>
      <w:bookmarkEnd w:id="274"/>
      <w:bookmarkEnd w:id="275"/>
      <w:bookmarkEnd w:id="276"/>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1.在设备安装前，中标人应对设备基础进行检查，检查合格后方可进行设备的安装工作。</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2.如系统关键设备需要在现场进行加工、组装和焊接，</w:t>
      </w:r>
      <w:r>
        <w:rPr>
          <w:rFonts w:hint="eastAsia"/>
          <w:color w:val="auto"/>
          <w:sz w:val="21"/>
          <w:szCs w:val="21"/>
          <w:highlight w:val="none"/>
        </w:rPr>
        <w:t>中</w:t>
      </w:r>
      <w:r>
        <w:rPr>
          <w:rStyle w:val="58"/>
          <w:rFonts w:hint="eastAsia" w:hAnsi="宋体" w:cs="宋体"/>
          <w:color w:val="auto"/>
          <w:highlight w:val="none"/>
        </w:rPr>
        <w:t>标人应对所需操作工人的技术水平进行说明。如现场组装和焊接工作须设备制造厂有经验的人员参与完成，由此造成设备不能满足要求的后果及所发生的费用将由中标人负担。</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3.管道的连接法兰应符合ISO标准，并采用与设计图纸相适应的压力等级。所有与外部空气连通的管道均应安装适宜的排气口。穿过屋顶的通风管应装配防腐蚀和防水管口，并带有与屋顶结构形式匹配的连接件。</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4.管道支架的材料可根据其安装位置的环境条件选择用不锈钢或镀锌钢。</w:t>
      </w:r>
    </w:p>
    <w:p>
      <w:pPr>
        <w:pStyle w:val="6"/>
        <w:numPr>
          <w:ilvl w:val="1"/>
          <w:numId w:val="31"/>
        </w:numPr>
        <w:adjustRightInd/>
        <w:spacing w:line="360" w:lineRule="auto"/>
        <w:jc w:val="both"/>
        <w:rPr>
          <w:rFonts w:ascii="宋体" w:hAnsi="宋体" w:eastAsia="宋体" w:cs="宋体"/>
          <w:color w:val="auto"/>
          <w:sz w:val="21"/>
          <w:szCs w:val="21"/>
          <w:highlight w:val="none"/>
        </w:rPr>
      </w:pPr>
      <w:bookmarkStart w:id="277" w:name="_Toc19710719"/>
      <w:bookmarkStart w:id="278" w:name="_Toc144892923"/>
      <w:bookmarkStart w:id="279" w:name="_Toc12474453"/>
      <w:bookmarkStart w:id="280" w:name="_Toc22335"/>
      <w:r>
        <w:rPr>
          <w:rFonts w:hint="eastAsia" w:ascii="宋体" w:hAnsi="宋体" w:eastAsia="宋体" w:cs="宋体"/>
          <w:color w:val="auto"/>
          <w:sz w:val="21"/>
          <w:szCs w:val="21"/>
          <w:highlight w:val="none"/>
        </w:rPr>
        <w:t>调试和指导运行</w:t>
      </w:r>
      <w:bookmarkEnd w:id="277"/>
      <w:bookmarkEnd w:id="278"/>
      <w:bookmarkEnd w:id="279"/>
      <w:bookmarkEnd w:id="280"/>
    </w:p>
    <w:p>
      <w:pPr>
        <w:pStyle w:val="7"/>
        <w:numPr>
          <w:ilvl w:val="2"/>
          <w:numId w:val="35"/>
        </w:numPr>
        <w:adjustRightInd/>
        <w:spacing w:line="360" w:lineRule="auto"/>
        <w:jc w:val="both"/>
        <w:rPr>
          <w:rFonts w:ascii="宋体" w:hAnsi="宋体" w:cs="宋体"/>
          <w:color w:val="auto"/>
          <w:sz w:val="21"/>
          <w:szCs w:val="21"/>
          <w:highlight w:val="none"/>
        </w:rPr>
      </w:pPr>
      <w:bookmarkStart w:id="281" w:name="_Toc5234"/>
      <w:bookmarkStart w:id="282" w:name="_Toc12474454"/>
      <w:bookmarkStart w:id="283" w:name="_Toc524985884"/>
      <w:bookmarkStart w:id="284" w:name="_Toc524875829"/>
      <w:bookmarkStart w:id="285" w:name="_Toc525687514"/>
      <w:bookmarkStart w:id="286" w:name="_Toc144892924"/>
      <w:r>
        <w:rPr>
          <w:rFonts w:hint="eastAsia" w:ascii="宋体" w:hAnsi="宋体" w:cs="宋体"/>
          <w:color w:val="auto"/>
          <w:sz w:val="21"/>
          <w:szCs w:val="21"/>
          <w:highlight w:val="none"/>
        </w:rPr>
        <w:t>调试准备</w:t>
      </w:r>
      <w:bookmarkEnd w:id="281"/>
      <w:bookmarkEnd w:id="282"/>
      <w:bookmarkEnd w:id="283"/>
      <w:bookmarkEnd w:id="284"/>
      <w:bookmarkEnd w:id="285"/>
      <w:bookmarkEnd w:id="286"/>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调试小组：安装完成后中标人负责组织成立调试专门小组，小组成员包括</w:t>
      </w:r>
      <w:r>
        <w:rPr>
          <w:rFonts w:hint="eastAsia"/>
          <w:color w:val="auto"/>
          <w:sz w:val="21"/>
          <w:szCs w:val="21"/>
          <w:highlight w:val="none"/>
        </w:rPr>
        <w:t>中</w:t>
      </w:r>
      <w:r>
        <w:rPr>
          <w:rStyle w:val="58"/>
          <w:rFonts w:hint="eastAsia" w:hAnsi="宋体" w:cs="宋体"/>
          <w:color w:val="auto"/>
          <w:highlight w:val="none"/>
        </w:rPr>
        <w:t>标人设备、电气、管线、施工人员以及采购人等共同参与。</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单机调试手册：中标人应编制所有单机调试方案、检查和测试的计划并组织施。在单机调试前一个月，</w:t>
      </w:r>
      <w:r>
        <w:rPr>
          <w:rFonts w:hint="eastAsia"/>
          <w:color w:val="auto"/>
          <w:sz w:val="21"/>
          <w:szCs w:val="21"/>
          <w:highlight w:val="none"/>
        </w:rPr>
        <w:t>中</w:t>
      </w:r>
      <w:r>
        <w:rPr>
          <w:rStyle w:val="58"/>
          <w:rFonts w:hint="eastAsia" w:hAnsi="宋体" w:cs="宋体"/>
          <w:color w:val="auto"/>
          <w:highlight w:val="none"/>
        </w:rPr>
        <w:t>标人向采购人提交单机调试手册和完成测试的计划。</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调试手册应包括所实施的测试，使用的详细程序，采取的具体方法，临时和永久使用的仪器和仪表和每一次测试预期的日期、时间和持续时间以及</w:t>
      </w:r>
      <w:r>
        <w:rPr>
          <w:rFonts w:hint="eastAsia"/>
          <w:color w:val="auto"/>
          <w:sz w:val="21"/>
          <w:szCs w:val="21"/>
          <w:highlight w:val="none"/>
        </w:rPr>
        <w:t>中</w:t>
      </w:r>
      <w:r>
        <w:rPr>
          <w:rStyle w:val="58"/>
          <w:rFonts w:hint="eastAsia" w:hAnsi="宋体" w:cs="宋体"/>
          <w:color w:val="auto"/>
          <w:highlight w:val="none"/>
        </w:rPr>
        <w:t>标人进行所有单机调试测试的标准检查清单，但不限于此。在单机调试测试之后，</w:t>
      </w:r>
      <w:r>
        <w:rPr>
          <w:rFonts w:hint="eastAsia"/>
          <w:color w:val="auto"/>
          <w:sz w:val="21"/>
          <w:szCs w:val="21"/>
          <w:highlight w:val="none"/>
        </w:rPr>
        <w:t>中</w:t>
      </w:r>
      <w:r>
        <w:rPr>
          <w:rStyle w:val="58"/>
          <w:rFonts w:hint="eastAsia" w:hAnsi="宋体" w:cs="宋体"/>
          <w:color w:val="auto"/>
          <w:highlight w:val="none"/>
        </w:rPr>
        <w:t>标人须提供单机测试报告供采购人存档。</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联动调试手册：中标人应编制本系统所有设施的联动调试（可以分系统调试）的计划和实施方案。在调试测试前一个月，投标人应向采购人提交调试手册和完成测试的计划。</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手册应规定所实施的测试，使用的详细程序，采取的具体方法，临时和永久使用的仪器和仪表和每次测试预期的日期、时间和持续时间，以及测试期间的维护计划。</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联动调试手册包括以下内容（但不限于）：调试计划；调试组织机构以及人员安排；调试用检测仪器；检测方法及其引用规范；调试程序；调试的技术依据；性能监控；取样和测试程序；安全措施；调试记录表；分系统调试方案；联动调试方案；调试应急预案；工艺控制逻辑方案；操作手册等。</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指导运行调试手册：投标人应编写系统的指导运行调试手册。</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人员：单机调试、联动调试、带料调试、性能考核所需要的技术人员、运行管理人员和维护人员由</w:t>
      </w:r>
      <w:r>
        <w:rPr>
          <w:rFonts w:hint="eastAsia"/>
          <w:color w:val="auto"/>
          <w:sz w:val="21"/>
          <w:szCs w:val="21"/>
          <w:highlight w:val="none"/>
        </w:rPr>
        <w:t>中</w:t>
      </w:r>
      <w:r>
        <w:rPr>
          <w:rStyle w:val="58"/>
          <w:rFonts w:hint="eastAsia" w:hAnsi="宋体" w:cs="宋体"/>
          <w:color w:val="auto"/>
          <w:highlight w:val="none"/>
        </w:rPr>
        <w:t>标人提供，采购人提供班组操作人员，经培训合格后上岗。</w:t>
      </w:r>
    </w:p>
    <w:p>
      <w:pPr>
        <w:pStyle w:val="7"/>
        <w:numPr>
          <w:ilvl w:val="2"/>
          <w:numId w:val="35"/>
        </w:numPr>
        <w:adjustRightInd/>
        <w:spacing w:line="360" w:lineRule="auto"/>
        <w:jc w:val="both"/>
        <w:rPr>
          <w:rFonts w:ascii="宋体" w:hAnsi="宋体" w:cs="宋体"/>
          <w:color w:val="auto"/>
          <w:sz w:val="21"/>
          <w:szCs w:val="21"/>
          <w:highlight w:val="none"/>
        </w:rPr>
      </w:pPr>
      <w:bookmarkStart w:id="287" w:name="_Toc525687515"/>
      <w:bookmarkStart w:id="288" w:name="_Toc7797"/>
      <w:bookmarkStart w:id="289" w:name="_Toc144892925"/>
      <w:bookmarkStart w:id="290" w:name="_Toc12474455"/>
      <w:bookmarkStart w:id="291" w:name="_Toc524875830"/>
      <w:bookmarkStart w:id="292" w:name="_Toc524985885"/>
      <w:r>
        <w:rPr>
          <w:rFonts w:hint="eastAsia" w:ascii="宋体" w:hAnsi="宋体" w:cs="宋体"/>
          <w:color w:val="auto"/>
          <w:sz w:val="21"/>
          <w:szCs w:val="21"/>
          <w:highlight w:val="none"/>
        </w:rPr>
        <w:t>调试和指导运行工作流程</w:t>
      </w:r>
      <w:bookmarkEnd w:id="287"/>
      <w:bookmarkEnd w:id="288"/>
      <w:bookmarkEnd w:id="289"/>
      <w:bookmarkEnd w:id="290"/>
      <w:bookmarkEnd w:id="291"/>
      <w:bookmarkEnd w:id="292"/>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调试准备：对于施工过程中剩余的材料，</w:t>
      </w:r>
      <w:r>
        <w:rPr>
          <w:rFonts w:hint="eastAsia"/>
          <w:color w:val="auto"/>
          <w:sz w:val="21"/>
          <w:szCs w:val="21"/>
          <w:highlight w:val="none"/>
        </w:rPr>
        <w:t>中</w:t>
      </w:r>
      <w:r>
        <w:rPr>
          <w:rStyle w:val="58"/>
          <w:rFonts w:hint="eastAsia" w:hAnsi="宋体" w:cs="宋体"/>
          <w:color w:val="auto"/>
          <w:highlight w:val="none"/>
        </w:rPr>
        <w:t>标人应在单机调试前运离工程场地。施工过程中所产生的废弃材料，</w:t>
      </w:r>
      <w:r>
        <w:rPr>
          <w:rFonts w:hint="eastAsia"/>
          <w:color w:val="auto"/>
          <w:sz w:val="21"/>
          <w:szCs w:val="21"/>
          <w:highlight w:val="none"/>
        </w:rPr>
        <w:t>中</w:t>
      </w:r>
      <w:r>
        <w:rPr>
          <w:rStyle w:val="58"/>
          <w:rFonts w:hint="eastAsia" w:hAnsi="宋体" w:cs="宋体"/>
          <w:color w:val="auto"/>
          <w:highlight w:val="none"/>
        </w:rPr>
        <w:t>标人运至当地管理机构和采购人同意的地点，所发生的运输费用由</w:t>
      </w:r>
      <w:r>
        <w:rPr>
          <w:rFonts w:hint="eastAsia"/>
          <w:color w:val="auto"/>
          <w:sz w:val="21"/>
          <w:szCs w:val="21"/>
          <w:highlight w:val="none"/>
        </w:rPr>
        <w:t>中</w:t>
      </w:r>
      <w:r>
        <w:rPr>
          <w:rStyle w:val="58"/>
          <w:rFonts w:hint="eastAsia" w:hAnsi="宋体" w:cs="宋体"/>
          <w:color w:val="auto"/>
          <w:highlight w:val="none"/>
        </w:rPr>
        <w:t>标人负担。</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单机调试：设备安装完成后可进行单机调试，单机调试应按照下列程序进行：</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lang w:val="en-US" w:bidi="ar-SA"/>
        </w:rPr>
        <w:drawing>
          <wp:inline distT="0" distB="0" distL="0" distR="0">
            <wp:extent cx="3750310" cy="1263650"/>
            <wp:effectExtent l="0" t="0" r="254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5943" cy="1265388"/>
                    </a:xfrm>
                    <a:prstGeom prst="rect">
                      <a:avLst/>
                    </a:prstGeom>
                  </pic:spPr>
                </pic:pic>
              </a:graphicData>
            </a:graphic>
          </wp:inline>
        </w:drawing>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联动调试：所有设备单机调试完成后，可进行联动调试，如非采购人原因，中标人应在设备安装完成后1个月内完成联动调试，联动调试应按照下列程序进行：</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lang w:val="en-US" w:bidi="ar-SA"/>
        </w:rPr>
        <w:drawing>
          <wp:inline distT="0" distB="0" distL="0" distR="0">
            <wp:extent cx="4780280" cy="1257300"/>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0808" cy="1257439"/>
                    </a:xfrm>
                    <a:prstGeom prst="rect">
                      <a:avLst/>
                    </a:prstGeom>
                  </pic:spPr>
                </pic:pic>
              </a:graphicData>
            </a:graphic>
          </wp:inline>
        </w:drawing>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带料调试：联动调试后，可试生产调试工作。如非采购人原因，中标人应在中转站投入使用后1个月内完成带料调试，带料调试按照下列程序进行：</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lang w:val="en-US" w:bidi="ar-SA"/>
        </w:rPr>
        <w:drawing>
          <wp:inline distT="0" distB="0" distL="0" distR="0">
            <wp:extent cx="4982845" cy="2026920"/>
            <wp:effectExtent l="0" t="0" r="8255" b="1143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8" cstate="print"/>
                    <a:stretch>
                      <a:fillRect/>
                    </a:stretch>
                  </pic:blipFill>
                  <pic:spPr>
                    <a:xfrm>
                      <a:off x="0" y="0"/>
                      <a:ext cx="4992490" cy="2031322"/>
                    </a:xfrm>
                    <a:prstGeom prst="rect">
                      <a:avLst/>
                    </a:prstGeom>
                  </pic:spPr>
                </pic:pic>
              </a:graphicData>
            </a:graphic>
          </wp:inline>
        </w:drawing>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整个工程性能保证的性能测试：投料试车调试完成后，可进行整个工程功能测试。</w:t>
      </w:r>
    </w:p>
    <w:p>
      <w:pPr>
        <w:pStyle w:val="7"/>
        <w:numPr>
          <w:ilvl w:val="2"/>
          <w:numId w:val="35"/>
        </w:numPr>
        <w:adjustRightInd/>
        <w:spacing w:line="360" w:lineRule="auto"/>
        <w:jc w:val="both"/>
        <w:rPr>
          <w:rFonts w:ascii="宋体" w:hAnsi="宋体" w:cs="宋体"/>
          <w:color w:val="auto"/>
          <w:sz w:val="21"/>
          <w:szCs w:val="21"/>
          <w:highlight w:val="none"/>
        </w:rPr>
      </w:pPr>
      <w:bookmarkStart w:id="293" w:name="_Toc525687516"/>
      <w:bookmarkStart w:id="294" w:name="_Toc12474456"/>
      <w:bookmarkStart w:id="295" w:name="_Toc524875831"/>
      <w:bookmarkStart w:id="296" w:name="_Toc14475"/>
      <w:bookmarkStart w:id="297" w:name="_Toc524985886"/>
      <w:bookmarkStart w:id="298" w:name="_Toc144892926"/>
      <w:r>
        <w:rPr>
          <w:rFonts w:hint="eastAsia" w:ascii="宋体" w:hAnsi="宋体" w:cs="宋体"/>
          <w:color w:val="auto"/>
          <w:sz w:val="21"/>
          <w:szCs w:val="21"/>
          <w:highlight w:val="none"/>
        </w:rPr>
        <w:t>竣工验收合格条件</w:t>
      </w:r>
      <w:bookmarkEnd w:id="293"/>
      <w:bookmarkEnd w:id="294"/>
      <w:bookmarkEnd w:id="295"/>
      <w:bookmarkEnd w:id="296"/>
      <w:bookmarkEnd w:id="297"/>
      <w:bookmarkEnd w:id="298"/>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1.在设计条件范围内，系统性能须完全满足合同要求。</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2.自系统安装、单体调试、联动调试、带料调试及性能保证测试过程中出现的问题已被解决并得到采购人认可。</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3.已提供了合同规定的全部货物和资料。</w:t>
      </w:r>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4.设备在交付采购人使用前，需经采购人、监理单位、设计单位、技术质量监督单位等验收通过，并获得使用证明。</w:t>
      </w:r>
    </w:p>
    <w:p>
      <w:pPr>
        <w:pStyle w:val="7"/>
        <w:numPr>
          <w:ilvl w:val="2"/>
          <w:numId w:val="35"/>
        </w:numPr>
        <w:adjustRightInd/>
        <w:spacing w:line="360" w:lineRule="auto"/>
        <w:jc w:val="both"/>
        <w:rPr>
          <w:rFonts w:ascii="宋体" w:hAnsi="宋体" w:cs="宋体"/>
          <w:color w:val="auto"/>
          <w:sz w:val="21"/>
          <w:szCs w:val="21"/>
          <w:highlight w:val="none"/>
        </w:rPr>
      </w:pPr>
      <w:bookmarkStart w:id="299" w:name="_Toc2840"/>
      <w:bookmarkStart w:id="300" w:name="_Toc144892927"/>
      <w:bookmarkStart w:id="301" w:name="_Toc12474460"/>
      <w:bookmarkStart w:id="302" w:name="_Toc525687520"/>
      <w:bookmarkStart w:id="303" w:name="_Toc524875835"/>
      <w:bookmarkStart w:id="304" w:name="_Toc524985890"/>
      <w:r>
        <w:rPr>
          <w:rFonts w:hint="eastAsia" w:ascii="宋体" w:hAnsi="宋体" w:cs="宋体"/>
          <w:color w:val="auto"/>
          <w:sz w:val="21"/>
          <w:szCs w:val="21"/>
          <w:highlight w:val="none"/>
        </w:rPr>
        <w:t>指导运行</w:t>
      </w:r>
      <w:bookmarkEnd w:id="299"/>
      <w:bookmarkEnd w:id="300"/>
      <w:bookmarkEnd w:id="301"/>
      <w:bookmarkEnd w:id="302"/>
      <w:bookmarkEnd w:id="303"/>
      <w:bookmarkEnd w:id="304"/>
    </w:p>
    <w:p>
      <w:pPr>
        <w:pStyle w:val="2"/>
        <w:adjustRightInd/>
        <w:spacing w:before="60" w:after="60"/>
        <w:ind w:left="0" w:right="113" w:firstLine="420" w:firstLineChars="200"/>
        <w:jc w:val="both"/>
        <w:rPr>
          <w:rStyle w:val="58"/>
          <w:rFonts w:hAnsi="宋体" w:cs="宋体"/>
          <w:color w:val="auto"/>
          <w:highlight w:val="none"/>
        </w:rPr>
      </w:pPr>
      <w:r>
        <w:rPr>
          <w:rStyle w:val="58"/>
          <w:rFonts w:hint="eastAsia" w:hAnsi="宋体" w:cs="宋体"/>
          <w:color w:val="auto"/>
          <w:highlight w:val="none"/>
        </w:rPr>
        <w:t>在项目性能考核完成后，</w:t>
      </w:r>
      <w:r>
        <w:rPr>
          <w:rFonts w:hint="eastAsia"/>
          <w:color w:val="auto"/>
          <w:sz w:val="21"/>
          <w:szCs w:val="21"/>
          <w:highlight w:val="none"/>
        </w:rPr>
        <w:t>中</w:t>
      </w:r>
      <w:r>
        <w:rPr>
          <w:rStyle w:val="58"/>
          <w:rFonts w:hint="eastAsia" w:hAnsi="宋体" w:cs="宋体"/>
          <w:color w:val="auto"/>
          <w:highlight w:val="none"/>
        </w:rPr>
        <w:t>标人承担1年的指导运行工作。指导运行期间，由运行单位负责全厂的运行管理和操作，中标人派遣有经验的专业人员对全厂的运行进行指导。运行指导期间，</w:t>
      </w:r>
      <w:r>
        <w:rPr>
          <w:rFonts w:hint="eastAsia"/>
          <w:color w:val="auto"/>
          <w:sz w:val="21"/>
          <w:szCs w:val="21"/>
          <w:highlight w:val="none"/>
        </w:rPr>
        <w:t>中</w:t>
      </w:r>
      <w:r>
        <w:rPr>
          <w:rStyle w:val="58"/>
          <w:rFonts w:hint="eastAsia" w:hAnsi="宋体" w:cs="宋体"/>
          <w:color w:val="auto"/>
          <w:highlight w:val="none"/>
        </w:rPr>
        <w:t>标人仅承担自己派遣的指导运行人员相关费用。</w:t>
      </w:r>
    </w:p>
    <w:p>
      <w:pPr>
        <w:rPr>
          <w:color w:val="auto"/>
          <w:highlight w:val="none"/>
        </w:rPr>
      </w:pPr>
      <w:bookmarkStart w:id="305" w:name="_Toc144892928"/>
      <w:bookmarkStart w:id="306" w:name="_Toc523432286"/>
      <w:bookmarkStart w:id="307" w:name="_Toc5494"/>
    </w:p>
    <w:p>
      <w:pPr>
        <w:pStyle w:val="5"/>
        <w:adjustRightInd/>
        <w:spacing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八、附录</w:t>
      </w:r>
      <w:bookmarkEnd w:id="305"/>
      <w:bookmarkEnd w:id="306"/>
      <w:bookmarkEnd w:id="307"/>
    </w:p>
    <w:p>
      <w:pPr>
        <w:pStyle w:val="2"/>
        <w:adjustRightInd/>
        <w:spacing w:before="60" w:after="60"/>
        <w:ind w:left="425" w:right="113"/>
        <w:jc w:val="both"/>
        <w:rPr>
          <w:color w:val="auto"/>
          <w:sz w:val="21"/>
          <w:szCs w:val="21"/>
          <w:highlight w:val="none"/>
        </w:rPr>
      </w:pPr>
      <w:r>
        <w:rPr>
          <w:rFonts w:hint="eastAsia"/>
          <w:color w:val="auto"/>
          <w:sz w:val="21"/>
          <w:szCs w:val="21"/>
          <w:highlight w:val="none"/>
        </w:rPr>
        <w:t>附件1：总平面图</w:t>
      </w:r>
    </w:p>
    <w:p>
      <w:pPr>
        <w:pStyle w:val="2"/>
        <w:adjustRightInd/>
        <w:spacing w:before="60" w:after="60"/>
        <w:ind w:left="368" w:leftChars="175" w:right="113"/>
        <w:jc w:val="both"/>
        <w:rPr>
          <w:color w:val="auto"/>
          <w:szCs w:val="21"/>
          <w:highlight w:val="none"/>
        </w:rPr>
      </w:pPr>
      <w:r>
        <w:rPr>
          <w:rFonts w:hint="eastAsia"/>
          <w:color w:val="auto"/>
          <w:sz w:val="21"/>
          <w:szCs w:val="21"/>
          <w:highlight w:val="none"/>
        </w:rPr>
        <w:t>附件2：车间土建方案布置图</w:t>
      </w:r>
    </w:p>
    <w:p>
      <w:pPr>
        <w:pStyle w:val="2"/>
        <w:adjustRightInd/>
        <w:spacing w:before="60" w:after="60"/>
        <w:ind w:left="368" w:leftChars="175" w:right="113"/>
        <w:jc w:val="both"/>
        <w:rPr>
          <w:color w:val="auto"/>
          <w:szCs w:val="21"/>
          <w:highlight w:val="none"/>
        </w:rPr>
      </w:pPr>
      <w:r>
        <w:rPr>
          <w:rFonts w:hint="eastAsia"/>
          <w:color w:val="auto"/>
          <w:sz w:val="21"/>
          <w:szCs w:val="21"/>
          <w:highlight w:val="none"/>
        </w:rPr>
        <w:t>附件3：给排水、电气接驳点布置图</w:t>
      </w:r>
    </w:p>
    <w:p>
      <w:pPr>
        <w:adjustRightInd/>
        <w:rPr>
          <w:rFonts w:ascii="宋体" w:hAnsi="宋体" w:cs="宋体"/>
          <w:color w:val="auto"/>
          <w:szCs w:val="21"/>
          <w:highlight w:val="none"/>
        </w:rPr>
      </w:pPr>
    </w:p>
    <w:p>
      <w:pPr>
        <w:rPr>
          <w:rFonts w:ascii="Noto Sans CJK JP Regular" w:hAnsi="Noto Sans CJK JP Regular" w:eastAsia="Noto Sans CJK JP Regular" w:cs="Noto Sans CJK JP Regular"/>
          <w:color w:val="auto"/>
          <w:szCs w:val="21"/>
          <w:highlight w:val="none"/>
        </w:rPr>
      </w:pPr>
      <w:r>
        <w:rPr>
          <w:rFonts w:ascii="Noto Sans CJK JP Regular" w:hAnsi="Noto Sans CJK JP Regular" w:eastAsia="Noto Sans CJK JP Regular" w:cs="Noto Sans CJK JP Regular"/>
          <w:color w:val="auto"/>
          <w:szCs w:val="21"/>
          <w:highlight w:val="none"/>
        </w:rPr>
        <w:br w:type="page"/>
      </w:r>
    </w:p>
    <w:p>
      <w:pPr>
        <w:widowControl w:val="0"/>
        <w:tabs>
          <w:tab w:val="left" w:pos="640"/>
        </w:tabs>
        <w:autoSpaceDE w:val="0"/>
        <w:autoSpaceDN w:val="0"/>
        <w:jc w:val="center"/>
        <w:outlineLvl w:val="0"/>
        <w:rPr>
          <w:rFonts w:ascii="宋体" w:hAnsi="宋体" w:cs="宋体"/>
          <w:b/>
          <w:bCs/>
          <w:color w:val="auto"/>
          <w:kern w:val="44"/>
          <w:sz w:val="32"/>
          <w:szCs w:val="32"/>
          <w:highlight w:val="none"/>
        </w:rPr>
      </w:pPr>
      <w:bookmarkStart w:id="308" w:name="_Toc5729"/>
      <w:bookmarkStart w:id="309" w:name="_Toc10346"/>
      <w:r>
        <w:rPr>
          <w:rFonts w:ascii="宋体" w:hAnsi="宋体" w:cs="宋体"/>
          <w:b/>
          <w:bCs/>
          <w:color w:val="auto"/>
          <w:kern w:val="44"/>
          <w:sz w:val="32"/>
          <w:szCs w:val="32"/>
          <w:highlight w:val="none"/>
        </w:rPr>
        <w:t>B</w:t>
      </w:r>
      <w:r>
        <w:rPr>
          <w:rFonts w:hint="eastAsia" w:ascii="宋体" w:hAnsi="宋体" w:cs="宋体"/>
          <w:b/>
          <w:bCs/>
          <w:color w:val="auto"/>
          <w:kern w:val="44"/>
          <w:sz w:val="32"/>
          <w:szCs w:val="32"/>
          <w:highlight w:val="none"/>
        </w:rPr>
        <w:t>包：</w:t>
      </w:r>
      <w:bookmarkEnd w:id="308"/>
      <w:bookmarkEnd w:id="309"/>
      <w:r>
        <w:rPr>
          <w:rFonts w:hint="eastAsia" w:ascii="宋体" w:hAnsi="宋体" w:cs="宋体"/>
          <w:b/>
          <w:bCs/>
          <w:color w:val="auto"/>
          <w:kern w:val="44"/>
          <w:sz w:val="32"/>
          <w:szCs w:val="32"/>
          <w:highlight w:val="none"/>
        </w:rPr>
        <w:t>生活垃圾压缩系统和大件垃圾处理系统采购及安装</w:t>
      </w:r>
    </w:p>
    <w:p>
      <w:pPr>
        <w:pStyle w:val="2"/>
        <w:rPr>
          <w:color w:val="auto"/>
          <w:highlight w:val="none"/>
          <w:lang w:val="en-US"/>
        </w:rPr>
      </w:pPr>
    </w:p>
    <w:p>
      <w:pPr>
        <w:rPr>
          <w:rFonts w:ascii="宋体" w:hAnsi="宋体"/>
          <w:b/>
          <w:bCs/>
          <w:color w:val="auto"/>
          <w:szCs w:val="21"/>
          <w:highlight w:val="none"/>
        </w:rPr>
      </w:pPr>
      <w:r>
        <w:rPr>
          <w:rFonts w:hint="eastAsia" w:ascii="宋体" w:hAnsi="宋体"/>
          <w:b/>
          <w:bCs/>
          <w:color w:val="auto"/>
          <w:szCs w:val="21"/>
          <w:highlight w:val="none"/>
        </w:rPr>
        <w:t>说明：</w:t>
      </w:r>
    </w:p>
    <w:p>
      <w:pPr>
        <w:rPr>
          <w:rFonts w:ascii="宋体" w:hAnsi="宋体"/>
          <w:b/>
          <w:bCs/>
          <w:color w:val="auto"/>
          <w:szCs w:val="21"/>
          <w:highlight w:val="none"/>
        </w:rPr>
      </w:pPr>
      <w:r>
        <w:rPr>
          <w:rFonts w:hint="eastAsia" w:ascii="宋体" w:hAnsi="宋体"/>
          <w:b/>
          <w:bCs/>
          <w:color w:val="auto"/>
          <w:szCs w:val="21"/>
          <w:highlight w:val="none"/>
        </w:rPr>
        <w:t>1.采购需求中并未对品牌进行限定，投标人可自行选用符合本项目服务要求的品牌进行响应，但应确保其拟投货物不得低于采购需求所提出的规格或标准。</w:t>
      </w:r>
    </w:p>
    <w:p>
      <w:pPr>
        <w:pStyle w:val="2"/>
        <w:spacing w:before="0"/>
        <w:ind w:left="0"/>
        <w:rPr>
          <w:b/>
          <w:bCs/>
          <w:color w:val="auto"/>
          <w:sz w:val="21"/>
          <w:szCs w:val="21"/>
          <w:highlight w:val="none"/>
          <w:lang w:val="en-US" w:bidi="ar-SA"/>
        </w:rPr>
      </w:pPr>
      <w:r>
        <w:rPr>
          <w:rFonts w:hint="eastAsia"/>
          <w:b/>
          <w:bCs/>
          <w:color w:val="auto"/>
          <w:sz w:val="21"/>
          <w:szCs w:val="21"/>
          <w:highlight w:val="none"/>
          <w:lang w:val="en-US" w:bidi="ar-SA"/>
        </w:rPr>
        <w:t>2.标有“★”的地方均被视为重要的采购需求，投标人要特别加以注意，必须对此响应并完全满足这些要求，否则若有一项带“★”的要求未响应或不满足，将按无效投标处理。</w:t>
      </w:r>
    </w:p>
    <w:p>
      <w:pPr>
        <w:pStyle w:val="2"/>
        <w:ind w:left="0"/>
        <w:rPr>
          <w:b/>
          <w:bCs/>
          <w:color w:val="auto"/>
          <w:sz w:val="21"/>
          <w:szCs w:val="21"/>
          <w:highlight w:val="none"/>
          <w:lang w:val="en-US" w:bidi="ar-SA"/>
        </w:rPr>
      </w:pPr>
      <w:r>
        <w:rPr>
          <w:rFonts w:hint="eastAsia"/>
          <w:b/>
          <w:bCs/>
          <w:color w:val="auto"/>
          <w:sz w:val="21"/>
          <w:szCs w:val="21"/>
          <w:highlight w:val="none"/>
          <w:lang w:val="en-US" w:bidi="ar-SA"/>
        </w:rPr>
        <w:t>3.标有“▲”符号的内容为采购需求重点技术参数，若未能响应，则在评审过程中将根据评审内容作扣分处理。</w:t>
      </w:r>
    </w:p>
    <w:p>
      <w:pPr>
        <w:rPr>
          <w:color w:val="auto"/>
          <w:highlight w:val="none"/>
        </w:rPr>
      </w:pPr>
      <w:bookmarkStart w:id="310" w:name="_Toc12736"/>
      <w:bookmarkStart w:id="311" w:name="_Toc16103"/>
      <w:bookmarkStart w:id="312" w:name="_Toc145063526"/>
      <w:bookmarkStart w:id="313" w:name="_Toc4022"/>
      <w:bookmarkStart w:id="314" w:name="_Toc138017281"/>
    </w:p>
    <w:p>
      <w:pPr>
        <w:widowControl w:val="0"/>
        <w:autoSpaceDE w:val="0"/>
        <w:autoSpaceDN w:val="0"/>
        <w:jc w:val="both"/>
        <w:outlineLvl w:val="0"/>
        <w:rPr>
          <w:rFonts w:ascii="宋体" w:hAnsi="宋体" w:cs="宋体"/>
          <w:b/>
          <w:color w:val="auto"/>
          <w:szCs w:val="21"/>
          <w:highlight w:val="none"/>
        </w:rPr>
      </w:pPr>
      <w:bookmarkStart w:id="315" w:name="_Toc146535714"/>
      <w:r>
        <w:rPr>
          <w:rFonts w:hint="eastAsia" w:ascii="宋体" w:hAnsi="宋体" w:cs="宋体"/>
          <w:b/>
          <w:bCs/>
          <w:color w:val="auto"/>
          <w:szCs w:val="21"/>
          <w:highlight w:val="none"/>
        </w:rPr>
        <w:t>一、总则</w:t>
      </w:r>
      <w:bookmarkEnd w:id="315"/>
    </w:p>
    <w:p>
      <w:pPr>
        <w:widowControl w:val="0"/>
        <w:numPr>
          <w:ilvl w:val="0"/>
          <w:numId w:val="3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本《</w:t>
      </w:r>
      <w:r>
        <w:rPr>
          <w:rFonts w:hint="eastAsia" w:ascii="宋体" w:hAnsi="宋体" w:cs="宋体"/>
          <w:color w:val="auto"/>
          <w:kern w:val="2"/>
          <w:szCs w:val="21"/>
          <w:highlight w:val="none"/>
          <w:lang w:val="en-GB"/>
        </w:rPr>
        <w:t>技术规格</w:t>
      </w:r>
      <w:r>
        <w:rPr>
          <w:rFonts w:hint="eastAsia" w:ascii="宋体" w:hAnsi="宋体" w:cs="宋体"/>
          <w:color w:val="auto"/>
          <w:kern w:val="2"/>
          <w:szCs w:val="21"/>
          <w:highlight w:val="none"/>
        </w:rPr>
        <w:t>书》中对服务要求所作的说明只是概括性的，不能理解为所需要的全部服务的要求，也未充分引述有关标准和规范条文，中标人应保证提供符合国家标准、相关国际标准和规范要求的优质产品及其相应的服务。中标人应按国家、行业相关技术标准、规范和以往的服务经验，合格优质的完成采购内容和包含的全部服务</w:t>
      </w:r>
      <w:r>
        <w:rPr>
          <w:rFonts w:hint="eastAsia" w:ascii="宋体" w:hAnsi="宋体" w:cs="宋体"/>
          <w:color w:val="auto"/>
          <w:kern w:val="2"/>
          <w:szCs w:val="21"/>
          <w:highlight w:val="none"/>
          <w:lang w:val="en-GB"/>
        </w:rPr>
        <w:t>,</w:t>
      </w:r>
      <w:r>
        <w:rPr>
          <w:rFonts w:hint="eastAsia" w:ascii="宋体" w:hAnsi="宋体" w:cs="宋体"/>
          <w:color w:val="auto"/>
          <w:kern w:val="2"/>
          <w:szCs w:val="21"/>
          <w:highlight w:val="none"/>
        </w:rPr>
        <w:t>对国家有关的安全、环保、职业卫生健康等强制性标准，均能满足其要求。实施过程中如出现违反安全、环保、职业卫生健康的措施要求，中标人应无条件纠正及整改。</w:t>
      </w:r>
    </w:p>
    <w:p>
      <w:pPr>
        <w:widowControl w:val="0"/>
        <w:numPr>
          <w:ilvl w:val="0"/>
          <w:numId w:val="3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投标人所选用的技术应先进可靠</w:t>
      </w:r>
      <w:r>
        <w:rPr>
          <w:rFonts w:hint="eastAsia" w:ascii="宋体" w:hAnsi="宋体" w:cs="宋体"/>
          <w:color w:val="auto"/>
          <w:kern w:val="2"/>
          <w:szCs w:val="21"/>
          <w:highlight w:val="none"/>
          <w:lang w:val="en-GB"/>
        </w:rPr>
        <w:t>,</w:t>
      </w:r>
      <w:r>
        <w:rPr>
          <w:rFonts w:hint="eastAsia" w:ascii="宋体" w:hAnsi="宋体" w:cs="宋体"/>
          <w:color w:val="auto"/>
          <w:kern w:val="2"/>
          <w:szCs w:val="21"/>
          <w:highlight w:val="none"/>
        </w:rPr>
        <w:t>且已有运行项目中使用证明是先进可靠的，能确保系统长周期稳定运行。</w:t>
      </w:r>
    </w:p>
    <w:p>
      <w:pPr>
        <w:widowControl w:val="0"/>
        <w:numPr>
          <w:ilvl w:val="0"/>
          <w:numId w:val="3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本技术规格书所引用的标准若与中标人所执行的标准发生矛盾时，则按较严格的标准执行。</w:t>
      </w:r>
    </w:p>
    <w:p>
      <w:pPr>
        <w:widowControl w:val="0"/>
        <w:numPr>
          <w:ilvl w:val="0"/>
          <w:numId w:val="3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本技术规格书内所有技术要求，如出现前后不统一的描述，应以从严选择，以最高要求为准。</w:t>
      </w:r>
    </w:p>
    <w:p>
      <w:pPr>
        <w:widowControl w:val="0"/>
        <w:numPr>
          <w:ilvl w:val="0"/>
          <w:numId w:val="3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本技术规格书要求中标人应根据技术要求，择优选择供货品牌，以确保项目建设的成功以及承诺指标的可靠性；同类型设备的选型，应尽可能考虑选型优化，减少采购人备品备件的种类，降低采购人设备维护成本。</w:t>
      </w:r>
    </w:p>
    <w:p>
      <w:pPr>
        <w:widowControl w:val="0"/>
        <w:numPr>
          <w:ilvl w:val="0"/>
          <w:numId w:val="3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系统设备采用的专利涉及到的全部费用均被认为已包含在设备报价中，中标人应保证采购人不承担有关工艺、设备专利的一切责任。在本项目实施全过程中，中标人不得侵犯第三方知识产权。一旦发生侵权行为，中标人承担全部法律责任和所有的经济赔偿责任，并承担由于中标人侵权无法继续执行本合约而对采购人造成的工期延误、设备更换、设备拆卸清理、设计修改、施工返工等经济赔偿责任。在项目实施过程中所产生的专利专有技术归采购人所有，中标人在其它项目中使用需征得采购人同意。</w:t>
      </w:r>
    </w:p>
    <w:p>
      <w:pPr>
        <w:widowControl w:val="0"/>
        <w:numPr>
          <w:ilvl w:val="0"/>
          <w:numId w:val="3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中标人应对成套设备（含辅助系统与设备）负有全责，即包括分包（或采购）的产品。分包（或采购）的产品，制造商应事先征得采购人的认可，且分包单位应具有满足国家要求的相应资质条件；涉及特种设备或压力管道应具有特种设备安装改造维修许可证；如有进口设备，要求中标人在技术协议书中逐项列出进口设备清单。</w:t>
      </w:r>
    </w:p>
    <w:p>
      <w:pPr>
        <w:widowControl w:val="0"/>
        <w:numPr>
          <w:ilvl w:val="0"/>
          <w:numId w:val="3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中标人的供货应遵循本文件所提出的要求，如有偏离必须取得采购人的书面认可并完成变更流程方可采纳执行。当投标人认为采购人的采购文件有相互矛盾时，应尽快以书面形式通知采购人，以便及时澄清。投标人如果没有以书面形式对本技术文件的条文提出异议，采购人可以认为投标人提供的产品完全符合本技术文件的要求。</w:t>
      </w:r>
    </w:p>
    <w:p>
      <w:pPr>
        <w:widowControl w:val="0"/>
        <w:numPr>
          <w:ilvl w:val="0"/>
          <w:numId w:val="3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采购人如发现中标人所提供的设备和材料低于本采购文件规定的标准或要求时，有权要求中标人进行更换，产生的费用及造成的影响由中标人负责。</w:t>
      </w:r>
    </w:p>
    <w:p>
      <w:pPr>
        <w:widowControl w:val="0"/>
        <w:numPr>
          <w:ilvl w:val="0"/>
          <w:numId w:val="3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投标人所选用的技术方案和设备，应与本技术规格书中要求保持一致或更优，如不满足条件应单独做偏离说明，偏离内容按格式填写《技术偏离表》。凡未在《技术偏离表》中说明的事项，则采购人认为投标人已实质响应。</w:t>
      </w:r>
    </w:p>
    <w:p>
      <w:pPr>
        <w:widowControl w:val="0"/>
        <w:numPr>
          <w:ilvl w:val="0"/>
          <w:numId w:val="3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投标人应根据已完成的土建方案布置图，对非标设备的外形尺寸和设备参数进行优化以满足设备和工艺设计的要求，同时要保证在不改变土建方案布置图的前提下仍能出水达标。</w:t>
      </w:r>
    </w:p>
    <w:p>
      <w:pPr>
        <w:widowControl w:val="0"/>
        <w:numPr>
          <w:ilvl w:val="0"/>
          <w:numId w:val="3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投标人选择品牌时，应已充分考虑政策风险。不应以国家政策导向变化为由，造成相应费用的变更。</w:t>
      </w:r>
    </w:p>
    <w:p>
      <w:pPr>
        <w:widowControl w:val="0"/>
        <w:numPr>
          <w:ilvl w:val="0"/>
          <w:numId w:val="3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本技术规格书的最终解释权归</w:t>
      </w:r>
      <w:r>
        <w:rPr>
          <w:rFonts w:hint="eastAsia" w:ascii="宋体" w:hAnsi="宋体" w:cs="宋体"/>
          <w:color w:val="auto"/>
          <w:kern w:val="2"/>
          <w:szCs w:val="21"/>
          <w:highlight w:val="none"/>
          <w:lang w:eastAsia="zh-CN"/>
        </w:rPr>
        <w:t>东莞市东实城市环境服务有限公司</w:t>
      </w:r>
      <w:r>
        <w:rPr>
          <w:rFonts w:hint="eastAsia" w:ascii="宋体" w:hAnsi="宋体" w:cs="宋体"/>
          <w:color w:val="auto"/>
          <w:kern w:val="2"/>
          <w:szCs w:val="21"/>
          <w:highlight w:val="none"/>
        </w:rPr>
        <w:t>。</w:t>
      </w:r>
    </w:p>
    <w:p>
      <w:pPr>
        <w:widowControl w:val="0"/>
        <w:autoSpaceDE w:val="0"/>
        <w:autoSpaceDN w:val="0"/>
        <w:adjustRightInd/>
        <w:snapToGrid/>
        <w:rPr>
          <w:rFonts w:ascii="Noto Sans CJK JP Regular" w:hAnsi="Noto Sans CJK JP Regular" w:eastAsia="Noto Sans CJK JP Regular" w:cs="Noto Sans CJK JP Regular"/>
          <w:color w:val="auto"/>
          <w:sz w:val="24"/>
          <w:highlight w:val="none"/>
        </w:rPr>
      </w:pPr>
      <w:bookmarkStart w:id="316" w:name="_Toc146535715"/>
    </w:p>
    <w:p>
      <w:pPr>
        <w:widowControl w:val="0"/>
        <w:autoSpaceDE w:val="0"/>
        <w:autoSpaceDN w:val="0"/>
        <w:jc w:val="both"/>
        <w:outlineLvl w:val="0"/>
        <w:rPr>
          <w:rFonts w:ascii="宋体" w:hAnsi="宋体" w:cs="宋体"/>
          <w:b/>
          <w:bCs/>
          <w:color w:val="auto"/>
          <w:szCs w:val="21"/>
          <w:highlight w:val="none"/>
        </w:rPr>
      </w:pPr>
      <w:r>
        <w:rPr>
          <w:rFonts w:hint="eastAsia" w:ascii="宋体" w:hAnsi="宋体" w:cs="宋体"/>
          <w:b/>
          <w:bCs/>
          <w:color w:val="auto"/>
          <w:szCs w:val="21"/>
          <w:highlight w:val="none"/>
        </w:rPr>
        <w:t>二、名词解释</w:t>
      </w:r>
      <w:bookmarkEnd w:id="316"/>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本文件和附件中所用下列名词的含义在此予以确定。</w:t>
      </w:r>
    </w:p>
    <w:p>
      <w:pPr>
        <w:widowControl w:val="0"/>
        <w:numPr>
          <w:ilvl w:val="0"/>
          <w:numId w:val="37"/>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采购人是指</w:t>
      </w:r>
      <w:r>
        <w:rPr>
          <w:rFonts w:hint="eastAsia" w:ascii="宋体" w:hAnsi="宋体" w:cs="宋体"/>
          <w:color w:val="auto"/>
          <w:kern w:val="2"/>
          <w:szCs w:val="21"/>
          <w:highlight w:val="none"/>
          <w:lang w:eastAsia="zh-CN"/>
        </w:rPr>
        <w:t>东莞市东实城市环境服务有限公司</w:t>
      </w:r>
      <w:r>
        <w:rPr>
          <w:rFonts w:hint="eastAsia" w:ascii="宋体" w:hAnsi="宋体" w:cs="宋体"/>
          <w:color w:val="auto"/>
          <w:kern w:val="2"/>
          <w:szCs w:val="21"/>
          <w:highlight w:val="none"/>
        </w:rPr>
        <w:t>，包括该法人的法定代表人、法人的继任方和法人的受让方。</w:t>
      </w:r>
    </w:p>
    <w:p>
      <w:pPr>
        <w:widowControl w:val="0"/>
        <w:numPr>
          <w:ilvl w:val="0"/>
          <w:numId w:val="37"/>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投标人是指（乙方法定名称），包括该法人的法定代表人、法人的继任方和法人的受让方。</w:t>
      </w:r>
    </w:p>
    <w:p>
      <w:pPr>
        <w:widowControl w:val="0"/>
        <w:numPr>
          <w:ilvl w:val="0"/>
          <w:numId w:val="37"/>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“技术资料”是包括但不限于本项目相关的设计、采购技术协议、制造、监造、检验、安装、调试、验收、性能测试、培训、技术指导、规程、设备说明书等（包括图纸各种文字说明、标准、各种软件）</w:t>
      </w:r>
    </w:p>
    <w:p>
      <w:pPr>
        <w:widowControl w:val="0"/>
        <w:numPr>
          <w:ilvl w:val="0"/>
          <w:numId w:val="37"/>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“监造”是指在合同设备的制造过程中，由采购人派出代表对中标人提供的合同设备的关键部位进行质量监督，实行文件见证和现场见证。此种监造不构成中标人对合同设备所负的质量责任的任何减免。</w:t>
      </w:r>
    </w:p>
    <w:p>
      <w:pPr>
        <w:widowControl w:val="0"/>
        <w:numPr>
          <w:ilvl w:val="0"/>
          <w:numId w:val="37"/>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“日、月、年”是指公历的日、月、年；“天”是指24小时；“周”是指7天。</w:t>
      </w:r>
    </w:p>
    <w:p>
      <w:pPr>
        <w:widowControl w:val="0"/>
        <w:numPr>
          <w:ilvl w:val="0"/>
          <w:numId w:val="37"/>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“技术服务”是指由中标人提供的与本项目有关的工程设计、设备供货、监造、检验、安装、调试、性能验收试验、运行、检修时相应的技术指导、技术配合、技术培训等全过程的服务。</w:t>
      </w:r>
    </w:p>
    <w:p>
      <w:pPr>
        <w:widowControl w:val="0"/>
        <w:numPr>
          <w:ilvl w:val="0"/>
          <w:numId w:val="37"/>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“现场” 是指本项目建设工地，为中标人安装本项目设备设施所在地。</w:t>
      </w:r>
    </w:p>
    <w:p>
      <w:pPr>
        <w:widowControl w:val="0"/>
        <w:numPr>
          <w:ilvl w:val="0"/>
          <w:numId w:val="37"/>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“备品备件”是指本项目的备用部件，包括随机备品备件、专用工器具等。</w:t>
      </w:r>
    </w:p>
    <w:p>
      <w:pPr>
        <w:widowControl w:val="0"/>
        <w:numPr>
          <w:ilvl w:val="0"/>
          <w:numId w:val="37"/>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“试运行”是指设备完成移交之前的运行阶段。</w:t>
      </w:r>
    </w:p>
    <w:p>
      <w:pPr>
        <w:widowControl w:val="0"/>
        <w:numPr>
          <w:ilvl w:val="0"/>
          <w:numId w:val="37"/>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“书面文件”是指手稿、打字或印刷的有印章和／或签名的文件。</w:t>
      </w:r>
    </w:p>
    <w:p>
      <w:pPr>
        <w:widowControl w:val="0"/>
        <w:numPr>
          <w:ilvl w:val="0"/>
          <w:numId w:val="37"/>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“设备缺陷”是指中标人因设计、制造错误或疏忽所引起的本项目设备（包括部件、原材料、铸锻件、原器件等）达不到本项目规定的性能、质量标准要求的状态。</w:t>
      </w:r>
    </w:p>
    <w:p>
      <w:pPr>
        <w:widowControl w:val="0"/>
        <w:numPr>
          <w:ilvl w:val="0"/>
          <w:numId w:val="37"/>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“性能验收”是指为检验本项目技术规格书（包括与本项目设备相关的其它资料）规定的性能保证值按本项目技术规格书规定所进行的试验。</w:t>
      </w:r>
    </w:p>
    <w:p>
      <w:pPr>
        <w:rPr>
          <w:color w:val="auto"/>
          <w:highlight w:val="none"/>
        </w:rPr>
      </w:pPr>
      <w:bookmarkStart w:id="317" w:name="_Toc146535716"/>
    </w:p>
    <w:p>
      <w:pPr>
        <w:widowControl w:val="0"/>
        <w:autoSpaceDE w:val="0"/>
        <w:autoSpaceDN w:val="0"/>
        <w:jc w:val="both"/>
        <w:outlineLvl w:val="0"/>
        <w:rPr>
          <w:rFonts w:ascii="宋体" w:hAnsi="宋体" w:cs="宋体"/>
          <w:b/>
          <w:bCs/>
          <w:color w:val="auto"/>
          <w:szCs w:val="21"/>
          <w:highlight w:val="none"/>
        </w:rPr>
      </w:pPr>
      <w:r>
        <w:rPr>
          <w:rFonts w:hint="eastAsia" w:ascii="宋体" w:hAnsi="宋体" w:cs="宋体"/>
          <w:b/>
          <w:bCs/>
          <w:color w:val="auto"/>
          <w:szCs w:val="21"/>
          <w:highlight w:val="none"/>
        </w:rPr>
        <w:t>三、工程概况</w:t>
      </w:r>
      <w:bookmarkEnd w:id="317"/>
    </w:p>
    <w:p>
      <w:pPr>
        <w:widowControl w:val="0"/>
        <w:numPr>
          <w:ilvl w:val="1"/>
          <w:numId w:val="38"/>
        </w:numPr>
        <w:autoSpaceDE w:val="0"/>
        <w:autoSpaceDN w:val="0"/>
        <w:jc w:val="both"/>
        <w:outlineLvl w:val="1"/>
        <w:rPr>
          <w:rFonts w:ascii="宋体" w:hAnsi="宋体" w:cs="宋体"/>
          <w:b/>
          <w:color w:val="auto"/>
          <w:szCs w:val="21"/>
          <w:highlight w:val="none"/>
          <w:lang w:eastAsia="en-US"/>
        </w:rPr>
      </w:pPr>
      <w:bookmarkStart w:id="318" w:name="_Toc146535717"/>
      <w:r>
        <w:rPr>
          <w:rFonts w:hint="eastAsia" w:ascii="宋体" w:hAnsi="宋体" w:cs="宋体"/>
          <w:b/>
          <w:color w:val="auto"/>
          <w:szCs w:val="21"/>
          <w:highlight w:val="none"/>
          <w:lang w:eastAsia="en-US"/>
        </w:rPr>
        <w:t>项目名称</w:t>
      </w:r>
      <w:bookmarkEnd w:id="318"/>
    </w:p>
    <w:p>
      <w:pPr>
        <w:widowControl w:val="0"/>
        <w:autoSpaceDE w:val="0"/>
        <w:autoSpaceDN w:val="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东莞市寮步镇生活垃圾压缩系统和大件垃圾处理系统</w:t>
      </w:r>
    </w:p>
    <w:p>
      <w:pPr>
        <w:widowControl w:val="0"/>
        <w:numPr>
          <w:ilvl w:val="1"/>
          <w:numId w:val="38"/>
        </w:numPr>
        <w:autoSpaceDE w:val="0"/>
        <w:autoSpaceDN w:val="0"/>
        <w:jc w:val="both"/>
        <w:outlineLvl w:val="1"/>
        <w:rPr>
          <w:rFonts w:ascii="宋体" w:hAnsi="宋体" w:cs="宋体"/>
          <w:b/>
          <w:color w:val="auto"/>
          <w:szCs w:val="21"/>
          <w:highlight w:val="none"/>
          <w:lang w:eastAsia="en-US"/>
        </w:rPr>
      </w:pPr>
      <w:r>
        <w:rPr>
          <w:rFonts w:hint="eastAsia" w:ascii="宋体" w:hAnsi="宋体" w:cs="宋体"/>
          <w:b/>
          <w:color w:val="auto"/>
          <w:szCs w:val="21"/>
          <w:highlight w:val="none"/>
        </w:rPr>
        <w:t>采购人</w:t>
      </w:r>
    </w:p>
    <w:p>
      <w:pPr>
        <w:widowControl w:val="0"/>
        <w:autoSpaceDE w:val="0"/>
        <w:autoSpaceDN w:val="0"/>
        <w:ind w:right="113" w:firstLine="420" w:firstLineChars="200"/>
        <w:jc w:val="both"/>
        <w:rPr>
          <w:rFonts w:hint="eastAsia" w:ascii="宋体" w:hAnsi="宋体" w:eastAsia="宋体" w:cs="宋体"/>
          <w:color w:val="auto"/>
          <w:szCs w:val="21"/>
          <w:highlight w:val="none"/>
          <w:lang w:eastAsia="zh-CN"/>
        </w:rPr>
      </w:pPr>
      <w:r>
        <w:rPr>
          <w:rFonts w:hint="eastAsia" w:ascii="宋体" w:hAnsi="宋体" w:cs="宋体"/>
          <w:color w:val="auto"/>
          <w:kern w:val="2"/>
          <w:szCs w:val="21"/>
          <w:highlight w:val="none"/>
          <w:lang w:eastAsia="zh-CN"/>
        </w:rPr>
        <w:t>东莞市东实城市环境服务有限公司</w:t>
      </w:r>
    </w:p>
    <w:p>
      <w:pPr>
        <w:widowControl w:val="0"/>
        <w:numPr>
          <w:ilvl w:val="1"/>
          <w:numId w:val="38"/>
        </w:numPr>
        <w:autoSpaceDE w:val="0"/>
        <w:autoSpaceDN w:val="0"/>
        <w:jc w:val="both"/>
        <w:outlineLvl w:val="1"/>
        <w:rPr>
          <w:rFonts w:ascii="宋体" w:hAnsi="宋体" w:cs="宋体"/>
          <w:b/>
          <w:color w:val="auto"/>
          <w:szCs w:val="21"/>
          <w:highlight w:val="none"/>
          <w:lang w:eastAsia="en-US"/>
        </w:rPr>
      </w:pPr>
      <w:bookmarkStart w:id="319" w:name="_Toc146535719"/>
      <w:r>
        <w:rPr>
          <w:rFonts w:hint="eastAsia" w:ascii="宋体" w:hAnsi="宋体" w:cs="宋体"/>
          <w:b/>
          <w:color w:val="auto"/>
          <w:szCs w:val="21"/>
          <w:highlight w:val="none"/>
          <w:lang w:eastAsia="en-US"/>
        </w:rPr>
        <w:t>建设地点</w:t>
      </w:r>
      <w:bookmarkEnd w:id="319"/>
    </w:p>
    <w:p>
      <w:pPr>
        <w:widowControl w:val="0"/>
        <w:autoSpaceDE w:val="0"/>
        <w:autoSpaceDN w:val="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东莞市寮步镇金富二路</w:t>
      </w:r>
    </w:p>
    <w:p>
      <w:pPr>
        <w:widowControl w:val="0"/>
        <w:numPr>
          <w:ilvl w:val="1"/>
          <w:numId w:val="38"/>
        </w:numPr>
        <w:autoSpaceDE w:val="0"/>
        <w:autoSpaceDN w:val="0"/>
        <w:jc w:val="both"/>
        <w:outlineLvl w:val="1"/>
        <w:rPr>
          <w:rFonts w:ascii="宋体" w:hAnsi="宋体" w:cs="宋体"/>
          <w:b/>
          <w:color w:val="auto"/>
          <w:szCs w:val="21"/>
          <w:highlight w:val="none"/>
          <w:lang w:eastAsia="en-US"/>
        </w:rPr>
      </w:pPr>
      <w:bookmarkStart w:id="320" w:name="_Toc146535720"/>
      <w:r>
        <w:rPr>
          <w:rFonts w:hint="eastAsia" w:ascii="宋体" w:hAnsi="宋体" w:cs="宋体"/>
          <w:b/>
          <w:color w:val="auto"/>
          <w:szCs w:val="21"/>
          <w:highlight w:val="none"/>
          <w:lang w:eastAsia="en-US"/>
        </w:rPr>
        <w:t>工程概述</w:t>
      </w:r>
      <w:bookmarkEnd w:id="320"/>
    </w:p>
    <w:p>
      <w:pPr>
        <w:widowControl w:val="0"/>
        <w:autoSpaceDE w:val="0"/>
        <w:autoSpaceDN w:val="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本项目新建 1 座生活垃圾综合处理中心，规划用地面积约 10379.55 平方米，包括垃圾压缩车间、大件/园林绿化垃圾处理车间、厨余垃圾处理车间、修车间、污水处理站、保安室和办公楼等。生活垃圾转运规模为近期 530t/d（远期1000t/d），大件垃圾/园林绿化垃圾设计处理规模近期24t/d（远期31t/d），厨余垃圾设计处理规模近期60t/d（远期80t/d）。其中，近期指2023年，远期指2032年。</w:t>
      </w:r>
    </w:p>
    <w:p>
      <w:pPr>
        <w:widowControl w:val="0"/>
        <w:autoSpaceDE w:val="0"/>
        <w:autoSpaceDN w:val="0"/>
        <w:ind w:right="113" w:firstLine="420" w:firstLineChars="200"/>
        <w:jc w:val="both"/>
        <w:rPr>
          <w:rFonts w:ascii="宋体" w:hAnsi="宋体" w:cs="宋体"/>
          <w:b/>
          <w:color w:val="auto"/>
          <w:szCs w:val="21"/>
          <w:highlight w:val="none"/>
        </w:rPr>
      </w:pPr>
      <w:r>
        <w:rPr>
          <w:rFonts w:hint="eastAsia" w:ascii="宋体" w:hAnsi="宋体" w:cs="宋体"/>
          <w:color w:val="auto"/>
          <w:szCs w:val="21"/>
          <w:highlight w:val="none"/>
        </w:rPr>
        <w:t>本次招标范围为东莞市寮步镇生活垃圾综合处理中心项目</w:t>
      </w:r>
      <w:r>
        <w:rPr>
          <w:rFonts w:hint="eastAsia" w:ascii="宋体" w:hAnsi="宋体" w:cs="宋体"/>
          <w:color w:val="auto"/>
          <w:kern w:val="2"/>
          <w:szCs w:val="21"/>
          <w:highlight w:val="none"/>
        </w:rPr>
        <w:t>生活垃圾压缩系统和大件垃圾处理系统</w:t>
      </w:r>
      <w:r>
        <w:rPr>
          <w:rFonts w:hint="eastAsia" w:ascii="宋体" w:hAnsi="宋体" w:cs="宋体"/>
          <w:b/>
          <w:color w:val="auto"/>
          <w:szCs w:val="21"/>
          <w:highlight w:val="none"/>
        </w:rPr>
        <w:t>。</w:t>
      </w:r>
    </w:p>
    <w:p>
      <w:pPr>
        <w:widowControl w:val="0"/>
        <w:numPr>
          <w:ilvl w:val="1"/>
          <w:numId w:val="38"/>
        </w:numPr>
        <w:autoSpaceDE w:val="0"/>
        <w:autoSpaceDN w:val="0"/>
        <w:jc w:val="both"/>
        <w:outlineLvl w:val="1"/>
        <w:rPr>
          <w:rFonts w:ascii="宋体" w:hAnsi="宋体" w:cs="宋体"/>
          <w:b/>
          <w:color w:val="auto"/>
          <w:szCs w:val="21"/>
          <w:highlight w:val="none"/>
        </w:rPr>
      </w:pPr>
      <w:bookmarkStart w:id="321" w:name="_Toc146535721"/>
      <w:r>
        <w:rPr>
          <w:rFonts w:hint="eastAsia" w:ascii="宋体" w:hAnsi="宋体" w:cs="宋体"/>
          <w:b/>
          <w:color w:val="auto"/>
          <w:szCs w:val="21"/>
          <w:highlight w:val="none"/>
        </w:rPr>
        <w:t>项目工期与主要节点</w:t>
      </w:r>
      <w:bookmarkEnd w:id="321"/>
    </w:p>
    <w:tbl>
      <w:tblPr>
        <w:tblStyle w:val="35"/>
        <w:tblW w:w="85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142"/>
        <w:gridCol w:w="2924"/>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971" w:type="dxa"/>
            <w:vAlign w:val="center"/>
          </w:tcPr>
          <w:p>
            <w:pPr>
              <w:widowControl w:val="0"/>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142" w:type="dxa"/>
            <w:vAlign w:val="center"/>
          </w:tcPr>
          <w:p>
            <w:pPr>
              <w:widowControl w:val="0"/>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rPr>
              <w:t>主要节点</w:t>
            </w:r>
          </w:p>
        </w:tc>
        <w:tc>
          <w:tcPr>
            <w:tcW w:w="2924" w:type="dxa"/>
            <w:vAlign w:val="center"/>
          </w:tcPr>
          <w:p>
            <w:pPr>
              <w:widowControl w:val="0"/>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rPr>
              <w:t>日期</w:t>
            </w:r>
          </w:p>
        </w:tc>
        <w:tc>
          <w:tcPr>
            <w:tcW w:w="2495" w:type="dxa"/>
            <w:vAlign w:val="center"/>
          </w:tcPr>
          <w:p>
            <w:pPr>
              <w:widowControl w:val="0"/>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9" w:hRule="atLeast"/>
          <w:jc w:val="center"/>
        </w:trPr>
        <w:tc>
          <w:tcPr>
            <w:tcW w:w="97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w:t>
            </w:r>
          </w:p>
        </w:tc>
        <w:tc>
          <w:tcPr>
            <w:tcW w:w="2142"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土建设计条件提资</w:t>
            </w:r>
          </w:p>
        </w:tc>
        <w:tc>
          <w:tcPr>
            <w:tcW w:w="2924" w:type="dxa"/>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中标通知书发出后一周内</w:t>
            </w:r>
          </w:p>
        </w:tc>
        <w:tc>
          <w:tcPr>
            <w:tcW w:w="2495" w:type="dxa"/>
            <w:vAlign w:val="center"/>
          </w:tcPr>
          <w:p>
            <w:pPr>
              <w:widowControl w:val="0"/>
              <w:autoSpaceDE w:val="0"/>
              <w:autoSpaceDN w:val="0"/>
              <w:adjustRightInd/>
              <w:snapToGrid/>
              <w:jc w:val="both"/>
              <w:rPr>
                <w:rFonts w:ascii="宋体" w:hAnsi="宋体" w:cs="宋体"/>
                <w:bCs/>
                <w:color w:val="auto"/>
                <w:szCs w:val="21"/>
                <w:highlight w:val="none"/>
              </w:rPr>
            </w:pPr>
            <w:r>
              <w:rPr>
                <w:rFonts w:hint="eastAsia" w:ascii="宋体" w:hAnsi="宋体" w:cs="宋体"/>
                <w:bCs/>
                <w:color w:val="auto"/>
                <w:szCs w:val="21"/>
                <w:highlight w:val="none"/>
              </w:rPr>
              <w:t>根据车间土建方案图结合设备进行微调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w:t>
            </w:r>
          </w:p>
        </w:tc>
        <w:tc>
          <w:tcPr>
            <w:tcW w:w="2142"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设备到货</w:t>
            </w:r>
          </w:p>
        </w:tc>
        <w:tc>
          <w:tcPr>
            <w:tcW w:w="2924" w:type="dxa"/>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收到采购人进场通知后一周</w:t>
            </w:r>
          </w:p>
        </w:tc>
        <w:tc>
          <w:tcPr>
            <w:tcW w:w="2495" w:type="dxa"/>
            <w:vAlign w:val="center"/>
          </w:tcPr>
          <w:p>
            <w:pPr>
              <w:widowControl w:val="0"/>
              <w:autoSpaceDE w:val="0"/>
              <w:autoSpaceDN w:val="0"/>
              <w:adjustRightInd/>
              <w:snapToGrid/>
              <w:jc w:val="center"/>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97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w:t>
            </w:r>
          </w:p>
        </w:tc>
        <w:tc>
          <w:tcPr>
            <w:tcW w:w="2142"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设备安装完成</w:t>
            </w:r>
          </w:p>
        </w:tc>
        <w:tc>
          <w:tcPr>
            <w:tcW w:w="2924" w:type="dxa"/>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设备到货后一个半月内</w:t>
            </w:r>
          </w:p>
        </w:tc>
        <w:tc>
          <w:tcPr>
            <w:tcW w:w="2495" w:type="dxa"/>
            <w:vAlign w:val="center"/>
          </w:tcPr>
          <w:p>
            <w:pPr>
              <w:widowControl w:val="0"/>
              <w:autoSpaceDE w:val="0"/>
              <w:autoSpaceDN w:val="0"/>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97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4</w:t>
            </w:r>
          </w:p>
        </w:tc>
        <w:tc>
          <w:tcPr>
            <w:tcW w:w="2142"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设备调试</w:t>
            </w:r>
          </w:p>
        </w:tc>
        <w:tc>
          <w:tcPr>
            <w:tcW w:w="2924" w:type="dxa"/>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设备安装完成后一个月内</w:t>
            </w:r>
          </w:p>
        </w:tc>
        <w:tc>
          <w:tcPr>
            <w:tcW w:w="2495" w:type="dxa"/>
            <w:vAlign w:val="center"/>
          </w:tcPr>
          <w:p>
            <w:pPr>
              <w:widowControl w:val="0"/>
              <w:autoSpaceDE w:val="0"/>
              <w:autoSpaceDN w:val="0"/>
              <w:adjustRightInd/>
              <w:snapToGrid/>
              <w:jc w:val="center"/>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97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5</w:t>
            </w:r>
          </w:p>
        </w:tc>
        <w:tc>
          <w:tcPr>
            <w:tcW w:w="2142"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性能测试完成</w:t>
            </w:r>
          </w:p>
        </w:tc>
        <w:tc>
          <w:tcPr>
            <w:tcW w:w="2924" w:type="dxa"/>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中转站投入使用后一个月内</w:t>
            </w:r>
          </w:p>
        </w:tc>
        <w:tc>
          <w:tcPr>
            <w:tcW w:w="2495" w:type="dxa"/>
            <w:vAlign w:val="center"/>
          </w:tcPr>
          <w:p>
            <w:pPr>
              <w:widowControl w:val="0"/>
              <w:autoSpaceDE w:val="0"/>
              <w:autoSpaceDN w:val="0"/>
              <w:adjustRightInd/>
              <w:snapToGrid/>
              <w:jc w:val="center"/>
              <w:rPr>
                <w:rFonts w:ascii="宋体" w:hAnsi="宋体" w:cs="宋体"/>
                <w:color w:val="auto"/>
                <w:szCs w:val="21"/>
                <w:highlight w:val="none"/>
              </w:rPr>
            </w:pPr>
          </w:p>
        </w:tc>
      </w:tr>
    </w:tbl>
    <w:p>
      <w:pPr>
        <w:widowControl w:val="0"/>
        <w:autoSpaceDE w:val="0"/>
        <w:autoSpaceDN w:val="0"/>
        <w:jc w:val="both"/>
        <w:outlineLvl w:val="0"/>
        <w:rPr>
          <w:rFonts w:ascii="宋体" w:hAnsi="宋体" w:cs="宋体"/>
          <w:b/>
          <w:bCs/>
          <w:color w:val="auto"/>
          <w:szCs w:val="21"/>
          <w:highlight w:val="none"/>
        </w:rPr>
      </w:pPr>
      <w:bookmarkStart w:id="322" w:name="_Toc146535722"/>
    </w:p>
    <w:p>
      <w:pPr>
        <w:widowControl w:val="0"/>
        <w:autoSpaceDE w:val="0"/>
        <w:autoSpaceDN w:val="0"/>
        <w:jc w:val="both"/>
        <w:outlineLvl w:val="0"/>
        <w:rPr>
          <w:rFonts w:ascii="宋体" w:hAnsi="宋体" w:cs="宋体"/>
          <w:b/>
          <w:color w:val="auto"/>
          <w:szCs w:val="21"/>
          <w:highlight w:val="none"/>
          <w:lang w:eastAsia="en-US"/>
        </w:rPr>
      </w:pPr>
      <w:r>
        <w:rPr>
          <w:rFonts w:hint="eastAsia" w:ascii="宋体" w:hAnsi="宋体" w:cs="宋体"/>
          <w:b/>
          <w:bCs/>
          <w:color w:val="auto"/>
          <w:szCs w:val="21"/>
          <w:highlight w:val="none"/>
        </w:rPr>
        <w:t>四、采购范围与职责</w:t>
      </w:r>
      <w:bookmarkEnd w:id="322"/>
    </w:p>
    <w:p>
      <w:pPr>
        <w:widowControl w:val="0"/>
        <w:numPr>
          <w:ilvl w:val="1"/>
          <w:numId w:val="39"/>
        </w:numPr>
        <w:autoSpaceDE w:val="0"/>
        <w:autoSpaceDN w:val="0"/>
        <w:ind w:left="992" w:hanging="567"/>
        <w:jc w:val="both"/>
        <w:outlineLvl w:val="1"/>
        <w:rPr>
          <w:rFonts w:ascii="宋体" w:hAnsi="宋体" w:cs="宋体"/>
          <w:b/>
          <w:color w:val="auto"/>
          <w:szCs w:val="21"/>
          <w:highlight w:val="none"/>
          <w:lang w:eastAsia="en-US"/>
        </w:rPr>
      </w:pPr>
      <w:bookmarkStart w:id="323" w:name="_Toc146535723"/>
      <w:r>
        <w:rPr>
          <w:rFonts w:hint="eastAsia" w:ascii="宋体" w:hAnsi="宋体" w:cs="宋体"/>
          <w:b/>
          <w:color w:val="auto"/>
          <w:szCs w:val="21"/>
          <w:highlight w:val="none"/>
        </w:rPr>
        <w:t>项目范围</w:t>
      </w:r>
      <w:bookmarkEnd w:id="323"/>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本次采购为东莞市寮步镇</w:t>
      </w:r>
      <w:r>
        <w:rPr>
          <w:rFonts w:hint="eastAsia" w:ascii="宋体" w:hAnsi="宋体" w:cs="宋体"/>
          <w:color w:val="auto"/>
          <w:kern w:val="2"/>
          <w:szCs w:val="21"/>
          <w:highlight w:val="none"/>
        </w:rPr>
        <w:t>生活垃圾压缩系统和大件垃圾处理系统</w:t>
      </w:r>
      <w:r>
        <w:rPr>
          <w:rFonts w:hint="eastAsia" w:ascii="宋体" w:hAnsi="宋体" w:cs="宋体"/>
          <w:color w:val="auto"/>
          <w:szCs w:val="21"/>
          <w:highlight w:val="none"/>
        </w:rPr>
        <w:t>。</w:t>
      </w:r>
      <w:r>
        <w:rPr>
          <w:rFonts w:hint="eastAsia" w:ascii="宋体" w:hAnsi="宋体" w:cs="宋体"/>
          <w:color w:val="auto"/>
          <w:kern w:val="2"/>
          <w:szCs w:val="21"/>
          <w:highlight w:val="none"/>
        </w:rPr>
        <w:t>生活垃圾压缩</w:t>
      </w:r>
      <w:r>
        <w:rPr>
          <w:rFonts w:hint="eastAsia" w:ascii="宋体" w:hAnsi="宋体" w:cs="宋体"/>
          <w:color w:val="auto"/>
          <w:szCs w:val="21"/>
          <w:highlight w:val="none"/>
        </w:rPr>
        <w:t>设备和大件垃圾破碎设备的</w:t>
      </w:r>
      <w:r>
        <w:rPr>
          <w:rFonts w:hint="eastAsia" w:ascii="宋体" w:hAnsi="宋体" w:cs="宋体"/>
          <w:color w:val="auto"/>
          <w:kern w:val="2"/>
          <w:szCs w:val="21"/>
          <w:highlight w:val="none"/>
        </w:rPr>
        <w:t>供货和安装，包括但不限于以下内容：</w:t>
      </w:r>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 界限范围内的设备、管道、管件、阀门、其他连接部件、密封系统、防腐、电气系统（设备端配电系统、电动机控制、检修电源、电气二次保护、设备照明等）、自控系统（就地及远程仪器仪表、为实现电气化和自动化而必须配备的PLC\单片机等）。</w:t>
      </w:r>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2.招标及供货范围内各系统一年期的备品备件（含易损件），投标文件中应列出备品备件清单及单价。</w:t>
      </w:r>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3.为达到本技术规格书规定的安全、环保、消防、职业健康等要求所必需的配套设施。</w:t>
      </w:r>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4.设备钢框架、钢支架及钢平台（包括二次预埋件、基础框架、地脚螺栓、焊接、螺钉等连接件和紧固件、油漆）、扶梯、移动操作平台。</w:t>
      </w:r>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5.中标人须提交包括地脚螺栓、预埋件等土建条件资料，以便采购人完成土建设计和施工。</w:t>
      </w:r>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6.设备及管道连接件及紧固件（例如：法兰、垫圈、螺栓、焊接、螺钉等）、保温材料、油漆、外保护层及紧固件、管道支撑、吊架，热力管道还应提供固定架和滑动架。</w:t>
      </w:r>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7.运行维护（包括仪表校正所需首批标准气）和检修所需的专用工具，同时提供对应清单。</w:t>
      </w:r>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8.中标人需在项目现场配套项目经理部，项目经理部人员至少包括项目管理负责人（施工驻场）、QC专员和安全管理人员，各成员不允许相互兼职。</w:t>
      </w:r>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9.施工期间(包括施工、单体设备调试、冷态空载联动调试)的动力、水及其他辅料的消耗费用由中标人承担；冷态空载联动调试完成，系统保护逻辑、顺控逻辑满足使用要求，具备带料调试条件后，采购人确定具体带料调试和系统性能保证测试时间。</w:t>
      </w:r>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10.中标人应将全部设备首次润滑油、液压油等充满合格，并预留运行一年期内的更换量。</w:t>
      </w:r>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11.转运站内中标人提供的全部设备、仪表制作统一标识牌，现场管线要有色环标识（注明管线内介质名称、介质走向），管线颜色要根据其内部介质不同加以区分，各类标示牌、管线标识环等制作方案需征得采购人同意。</w:t>
      </w:r>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12.土建、装修等工程正常情况下不在本次招标范围内。中标人的设备安装过程如有需要在建构筑物上开孔等，应提前提资明确，由土建单位施工预留。但对于中标人未在设备土建提资中明确的，需在建构筑物上的开孔、植筋（栓）连接、破除等工程，其施工由中标人自行负责，并负责恢复原貌。</w:t>
      </w:r>
    </w:p>
    <w:p>
      <w:pPr>
        <w:widowControl w:val="0"/>
        <w:numPr>
          <w:ilvl w:val="1"/>
          <w:numId w:val="39"/>
        </w:numPr>
        <w:autoSpaceDE w:val="0"/>
        <w:autoSpaceDN w:val="0"/>
        <w:ind w:left="0" w:firstLine="422" w:firstLineChars="200"/>
        <w:jc w:val="both"/>
        <w:outlineLvl w:val="1"/>
        <w:rPr>
          <w:rFonts w:ascii="宋体" w:hAnsi="宋体" w:cs="宋体"/>
          <w:b/>
          <w:color w:val="auto"/>
          <w:szCs w:val="21"/>
          <w:highlight w:val="none"/>
        </w:rPr>
      </w:pPr>
      <w:r>
        <w:rPr>
          <w:rFonts w:hint="eastAsia" w:ascii="宋体" w:hAnsi="宋体" w:cs="宋体"/>
          <w:b/>
          <w:color w:val="auto"/>
          <w:szCs w:val="21"/>
          <w:highlight w:val="none"/>
        </w:rPr>
        <w:t xml:space="preserve"> </w:t>
      </w:r>
      <w:bookmarkStart w:id="324" w:name="_Toc146535724"/>
      <w:r>
        <w:rPr>
          <w:rFonts w:hint="eastAsia" w:ascii="宋体" w:hAnsi="宋体" w:cs="宋体"/>
          <w:b/>
          <w:color w:val="auto"/>
          <w:szCs w:val="21"/>
          <w:highlight w:val="none"/>
        </w:rPr>
        <w:t>采购主设备清单</w:t>
      </w:r>
      <w:bookmarkEnd w:id="324"/>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包括但不限于下表清单所列设备，投标单位可在此基础上进行优化，但不能低于此配置。</w:t>
      </w:r>
    </w:p>
    <w:tbl>
      <w:tblPr>
        <w:tblStyle w:val="34"/>
        <w:tblW w:w="8825" w:type="dxa"/>
        <w:jc w:val="center"/>
        <w:tblInd w:w="0" w:type="dxa"/>
        <w:tblLayout w:type="fixed"/>
        <w:tblCellMar>
          <w:top w:w="0" w:type="dxa"/>
          <w:left w:w="108" w:type="dxa"/>
          <w:bottom w:w="0" w:type="dxa"/>
          <w:right w:w="108" w:type="dxa"/>
        </w:tblCellMar>
      </w:tblPr>
      <w:tblGrid>
        <w:gridCol w:w="907"/>
        <w:gridCol w:w="2892"/>
        <w:gridCol w:w="1177"/>
        <w:gridCol w:w="3849"/>
      </w:tblGrid>
      <w:tr>
        <w:tblPrEx>
          <w:tblLayout w:type="fixed"/>
          <w:tblCellMar>
            <w:top w:w="0" w:type="dxa"/>
            <w:left w:w="108" w:type="dxa"/>
            <w:bottom w:w="0" w:type="dxa"/>
            <w:right w:w="108" w:type="dxa"/>
          </w:tblCellMar>
        </w:tblPrEx>
        <w:trPr>
          <w:trHeight w:val="678" w:hRule="atLeast"/>
          <w:jc w:val="center"/>
        </w:trPr>
        <w:tc>
          <w:tcPr>
            <w:tcW w:w="8825" w:type="dxa"/>
            <w:gridSpan w:val="4"/>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生活垃圾压缩</w:t>
            </w:r>
          </w:p>
        </w:tc>
      </w:tr>
      <w:tr>
        <w:tblPrEx>
          <w:tblLayout w:type="fixed"/>
          <w:tblCellMar>
            <w:top w:w="0" w:type="dxa"/>
            <w:left w:w="108" w:type="dxa"/>
            <w:bottom w:w="0" w:type="dxa"/>
            <w:right w:w="108" w:type="dxa"/>
          </w:tblCellMar>
        </w:tblPrEx>
        <w:trPr>
          <w:trHeight w:val="546" w:hRule="atLeast"/>
          <w:jc w:val="center"/>
        </w:trPr>
        <w:tc>
          <w:tcPr>
            <w:tcW w:w="90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序号</w:t>
            </w:r>
          </w:p>
        </w:tc>
        <w:tc>
          <w:tcPr>
            <w:tcW w:w="289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设备名称</w:t>
            </w:r>
          </w:p>
        </w:tc>
        <w:tc>
          <w:tcPr>
            <w:tcW w:w="117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数量</w:t>
            </w:r>
          </w:p>
        </w:tc>
        <w:tc>
          <w:tcPr>
            <w:tcW w:w="3849"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rPr>
              <w:t>技术参数</w:t>
            </w:r>
          </w:p>
        </w:tc>
      </w:tr>
      <w:tr>
        <w:tblPrEx>
          <w:tblLayout w:type="fixed"/>
          <w:tblCellMar>
            <w:top w:w="0" w:type="dxa"/>
            <w:left w:w="108" w:type="dxa"/>
            <w:bottom w:w="0" w:type="dxa"/>
            <w:right w:w="108" w:type="dxa"/>
          </w:tblCellMar>
        </w:tblPrEx>
        <w:trPr>
          <w:trHeight w:val="870" w:hRule="atLeast"/>
          <w:jc w:val="center"/>
        </w:trPr>
        <w:tc>
          <w:tcPr>
            <w:tcW w:w="90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rPr>
              <w:t>1</w:t>
            </w:r>
          </w:p>
        </w:tc>
        <w:tc>
          <w:tcPr>
            <w:tcW w:w="289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水平直压式垃圾压缩机（含卸料斗及链接机构）</w:t>
            </w:r>
          </w:p>
        </w:tc>
        <w:tc>
          <w:tcPr>
            <w:tcW w:w="117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w:t>
            </w:r>
            <w:r>
              <w:rPr>
                <w:rFonts w:hint="eastAsia" w:ascii="宋体" w:hAnsi="宋体" w:cs="宋体"/>
                <w:color w:val="auto"/>
                <w:szCs w:val="21"/>
                <w:highlight w:val="none"/>
              </w:rPr>
              <w:t>台</w:t>
            </w:r>
          </w:p>
        </w:tc>
        <w:tc>
          <w:tcPr>
            <w:tcW w:w="3849"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单机位小时处理量40t/h，</w:t>
            </w:r>
          </w:p>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卸料平台高度4500mm</w:t>
            </w:r>
          </w:p>
        </w:tc>
      </w:tr>
      <w:tr>
        <w:tblPrEx>
          <w:tblLayout w:type="fixed"/>
          <w:tblCellMar>
            <w:top w:w="0" w:type="dxa"/>
            <w:left w:w="108" w:type="dxa"/>
            <w:bottom w:w="0" w:type="dxa"/>
            <w:right w:w="108" w:type="dxa"/>
          </w:tblCellMar>
        </w:tblPrEx>
        <w:trPr>
          <w:trHeight w:val="312" w:hRule="atLeast"/>
          <w:jc w:val="center"/>
        </w:trPr>
        <w:tc>
          <w:tcPr>
            <w:tcW w:w="907" w:type="dxa"/>
            <w:tcBorders>
              <w:top w:val="nil"/>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w:t>
            </w:r>
          </w:p>
        </w:tc>
        <w:tc>
          <w:tcPr>
            <w:tcW w:w="2892"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移箱平台</w:t>
            </w:r>
          </w:p>
        </w:tc>
        <w:tc>
          <w:tcPr>
            <w:tcW w:w="1177"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w:t>
            </w:r>
            <w:r>
              <w:rPr>
                <w:rFonts w:hint="eastAsia" w:ascii="宋体" w:hAnsi="宋体" w:cs="宋体"/>
                <w:color w:val="auto"/>
                <w:szCs w:val="21"/>
                <w:highlight w:val="none"/>
              </w:rPr>
              <w:t>个</w:t>
            </w:r>
          </w:p>
        </w:tc>
        <w:tc>
          <w:tcPr>
            <w:tcW w:w="3849"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两箱三工位</w:t>
            </w:r>
          </w:p>
        </w:tc>
      </w:tr>
      <w:tr>
        <w:tblPrEx>
          <w:tblLayout w:type="fixed"/>
          <w:tblCellMar>
            <w:top w:w="0" w:type="dxa"/>
            <w:left w:w="108" w:type="dxa"/>
            <w:bottom w:w="0" w:type="dxa"/>
            <w:right w:w="108" w:type="dxa"/>
          </w:tblCellMar>
        </w:tblPrEx>
        <w:trPr>
          <w:trHeight w:val="312" w:hRule="atLeast"/>
          <w:jc w:val="center"/>
        </w:trPr>
        <w:tc>
          <w:tcPr>
            <w:tcW w:w="907" w:type="dxa"/>
            <w:tcBorders>
              <w:top w:val="nil"/>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3</w:t>
            </w:r>
          </w:p>
        </w:tc>
        <w:tc>
          <w:tcPr>
            <w:tcW w:w="2892"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地磅（车辆称重系统）</w:t>
            </w:r>
          </w:p>
        </w:tc>
        <w:tc>
          <w:tcPr>
            <w:tcW w:w="1177"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w:t>
            </w:r>
            <w:r>
              <w:rPr>
                <w:rFonts w:hint="eastAsia" w:ascii="宋体" w:hAnsi="宋体" w:cs="宋体"/>
                <w:color w:val="auto"/>
                <w:szCs w:val="21"/>
                <w:highlight w:val="none"/>
              </w:rPr>
              <w:t>套</w:t>
            </w:r>
          </w:p>
        </w:tc>
        <w:tc>
          <w:tcPr>
            <w:tcW w:w="3849"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单台≥50吨，长度10米</w:t>
            </w:r>
          </w:p>
        </w:tc>
      </w:tr>
      <w:tr>
        <w:tblPrEx>
          <w:tblLayout w:type="fixed"/>
          <w:tblCellMar>
            <w:top w:w="0" w:type="dxa"/>
            <w:left w:w="108" w:type="dxa"/>
            <w:bottom w:w="0" w:type="dxa"/>
            <w:right w:w="108" w:type="dxa"/>
          </w:tblCellMar>
        </w:tblPrEx>
        <w:trPr>
          <w:trHeight w:val="312" w:hRule="atLeast"/>
          <w:jc w:val="center"/>
        </w:trPr>
        <w:tc>
          <w:tcPr>
            <w:tcW w:w="90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p>
        </w:tc>
        <w:tc>
          <w:tcPr>
            <w:tcW w:w="289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中央控制系统</w:t>
            </w:r>
          </w:p>
        </w:tc>
        <w:tc>
          <w:tcPr>
            <w:tcW w:w="117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r>
              <w:rPr>
                <w:rFonts w:hint="eastAsia" w:ascii="宋体" w:hAnsi="宋体" w:cs="宋体"/>
                <w:color w:val="auto"/>
                <w:szCs w:val="21"/>
                <w:highlight w:val="none"/>
              </w:rPr>
              <w:t>套</w:t>
            </w:r>
          </w:p>
        </w:tc>
        <w:tc>
          <w:tcPr>
            <w:tcW w:w="3849"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全厂范围内，上位机控制系统、视频监视系统、交通指挥系统、语音通信系统</w:t>
            </w:r>
          </w:p>
        </w:tc>
      </w:tr>
      <w:tr>
        <w:tblPrEx>
          <w:tblLayout w:type="fixed"/>
          <w:tblCellMar>
            <w:top w:w="0" w:type="dxa"/>
            <w:left w:w="108" w:type="dxa"/>
            <w:bottom w:w="0" w:type="dxa"/>
            <w:right w:w="108" w:type="dxa"/>
          </w:tblCellMar>
        </w:tblPrEx>
        <w:trPr>
          <w:trHeight w:val="324" w:hRule="atLeast"/>
          <w:jc w:val="center"/>
        </w:trPr>
        <w:tc>
          <w:tcPr>
            <w:tcW w:w="907" w:type="dxa"/>
            <w:tcBorders>
              <w:top w:val="nil"/>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5</w:t>
            </w:r>
          </w:p>
        </w:tc>
        <w:tc>
          <w:tcPr>
            <w:tcW w:w="2892"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卸料口快速卷帘门</w:t>
            </w:r>
          </w:p>
        </w:tc>
        <w:tc>
          <w:tcPr>
            <w:tcW w:w="1177"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5个</w:t>
            </w:r>
          </w:p>
        </w:tc>
        <w:tc>
          <w:tcPr>
            <w:tcW w:w="3849"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trHeight w:val="324" w:hRule="atLeast"/>
          <w:jc w:val="center"/>
        </w:trPr>
        <w:tc>
          <w:tcPr>
            <w:tcW w:w="907" w:type="dxa"/>
            <w:tcBorders>
              <w:top w:val="nil"/>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2892"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转运口快速卷帘门</w:t>
            </w:r>
          </w:p>
        </w:tc>
        <w:tc>
          <w:tcPr>
            <w:tcW w:w="1177"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10个</w:t>
            </w:r>
          </w:p>
        </w:tc>
        <w:tc>
          <w:tcPr>
            <w:tcW w:w="3849" w:type="dxa"/>
            <w:tcBorders>
              <w:top w:val="nil"/>
              <w:left w:val="nil"/>
              <w:bottom w:val="single" w:color="auto" w:sz="4" w:space="0"/>
              <w:right w:val="single" w:color="auto" w:sz="4" w:space="0"/>
            </w:tcBorders>
            <w:shd w:val="clear" w:color="000000"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开关速度：最大开启速度1.5m/s，最大关闭速度1.2m/s；材质：内夹网状高强纤维的进口PCV涂层布，厚度1.0mm；配备红外安全保护装置、雷达感应及控制装置，应实现车辆倒入和离开后的自动开关功能</w:t>
            </w:r>
          </w:p>
        </w:tc>
      </w:tr>
      <w:tr>
        <w:tblPrEx>
          <w:tblLayout w:type="fixed"/>
          <w:tblCellMar>
            <w:top w:w="0" w:type="dxa"/>
            <w:left w:w="108" w:type="dxa"/>
            <w:bottom w:w="0" w:type="dxa"/>
            <w:right w:w="108" w:type="dxa"/>
          </w:tblCellMar>
        </w:tblPrEx>
        <w:trPr>
          <w:trHeight w:val="312" w:hRule="atLeast"/>
          <w:jc w:val="center"/>
        </w:trPr>
        <w:tc>
          <w:tcPr>
            <w:tcW w:w="90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p>
        </w:tc>
        <w:tc>
          <w:tcPr>
            <w:tcW w:w="289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高压清洗机</w:t>
            </w:r>
          </w:p>
        </w:tc>
        <w:tc>
          <w:tcPr>
            <w:tcW w:w="117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4台</w:t>
            </w:r>
          </w:p>
        </w:tc>
        <w:tc>
          <w:tcPr>
            <w:tcW w:w="3849"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　</w:t>
            </w:r>
          </w:p>
        </w:tc>
      </w:tr>
      <w:tr>
        <w:tblPrEx>
          <w:tblLayout w:type="fixed"/>
          <w:tblCellMar>
            <w:top w:w="0" w:type="dxa"/>
            <w:left w:w="108" w:type="dxa"/>
            <w:bottom w:w="0" w:type="dxa"/>
            <w:right w:w="108" w:type="dxa"/>
          </w:tblCellMar>
        </w:tblPrEx>
        <w:trPr>
          <w:trHeight w:val="312" w:hRule="atLeast"/>
          <w:jc w:val="center"/>
        </w:trPr>
        <w:tc>
          <w:tcPr>
            <w:tcW w:w="90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289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背负式消杀喷雾器</w:t>
            </w:r>
          </w:p>
        </w:tc>
        <w:tc>
          <w:tcPr>
            <w:tcW w:w="117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4台</w:t>
            </w:r>
          </w:p>
        </w:tc>
        <w:tc>
          <w:tcPr>
            <w:tcW w:w="3849"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trHeight w:val="312" w:hRule="atLeast"/>
          <w:jc w:val="center"/>
        </w:trPr>
        <w:tc>
          <w:tcPr>
            <w:tcW w:w="8825" w:type="dxa"/>
            <w:gridSpan w:val="4"/>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大件垃圾处理</w:t>
            </w:r>
          </w:p>
        </w:tc>
      </w:tr>
      <w:tr>
        <w:tblPrEx>
          <w:tblLayout w:type="fixed"/>
          <w:tblCellMar>
            <w:top w:w="0" w:type="dxa"/>
            <w:left w:w="108" w:type="dxa"/>
            <w:bottom w:w="0" w:type="dxa"/>
            <w:right w:w="108" w:type="dxa"/>
          </w:tblCellMar>
        </w:tblPrEx>
        <w:trPr>
          <w:trHeight w:val="312" w:hRule="atLeast"/>
          <w:jc w:val="center"/>
        </w:trPr>
        <w:tc>
          <w:tcPr>
            <w:tcW w:w="90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w:t>
            </w:r>
          </w:p>
        </w:tc>
        <w:tc>
          <w:tcPr>
            <w:tcW w:w="289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双轴破碎机</w:t>
            </w:r>
          </w:p>
        </w:tc>
        <w:tc>
          <w:tcPr>
            <w:tcW w:w="117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r>
              <w:rPr>
                <w:rFonts w:hint="eastAsia" w:ascii="宋体" w:hAnsi="宋体" w:cs="宋体"/>
                <w:color w:val="auto"/>
                <w:szCs w:val="21"/>
                <w:highlight w:val="none"/>
              </w:rPr>
              <w:t>台</w:t>
            </w:r>
          </w:p>
        </w:tc>
        <w:tc>
          <w:tcPr>
            <w:tcW w:w="3849"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trHeight w:val="312" w:hRule="atLeast"/>
          <w:jc w:val="center"/>
        </w:trPr>
        <w:tc>
          <w:tcPr>
            <w:tcW w:w="90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w:t>
            </w:r>
          </w:p>
        </w:tc>
        <w:tc>
          <w:tcPr>
            <w:tcW w:w="289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链板输送机</w:t>
            </w:r>
          </w:p>
        </w:tc>
        <w:tc>
          <w:tcPr>
            <w:tcW w:w="117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r>
              <w:rPr>
                <w:rFonts w:hint="eastAsia" w:ascii="宋体" w:hAnsi="宋体" w:cs="宋体"/>
                <w:color w:val="auto"/>
                <w:szCs w:val="21"/>
                <w:highlight w:val="none"/>
              </w:rPr>
              <w:t>台</w:t>
            </w:r>
          </w:p>
        </w:tc>
        <w:tc>
          <w:tcPr>
            <w:tcW w:w="3849"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trHeight w:val="312" w:hRule="atLeast"/>
          <w:jc w:val="center"/>
        </w:trPr>
        <w:tc>
          <w:tcPr>
            <w:tcW w:w="90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w:t>
            </w:r>
          </w:p>
        </w:tc>
        <w:tc>
          <w:tcPr>
            <w:tcW w:w="289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皮带输送机</w:t>
            </w:r>
          </w:p>
        </w:tc>
        <w:tc>
          <w:tcPr>
            <w:tcW w:w="117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r>
              <w:rPr>
                <w:rFonts w:hint="eastAsia" w:ascii="宋体" w:hAnsi="宋体" w:cs="宋体"/>
                <w:color w:val="auto"/>
                <w:szCs w:val="21"/>
                <w:highlight w:val="none"/>
              </w:rPr>
              <w:t>台</w:t>
            </w:r>
          </w:p>
        </w:tc>
        <w:tc>
          <w:tcPr>
            <w:tcW w:w="3849"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trHeight w:val="312" w:hRule="atLeast"/>
          <w:jc w:val="center"/>
        </w:trPr>
        <w:tc>
          <w:tcPr>
            <w:tcW w:w="90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4</w:t>
            </w:r>
          </w:p>
        </w:tc>
        <w:tc>
          <w:tcPr>
            <w:tcW w:w="289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除铁器</w:t>
            </w:r>
          </w:p>
        </w:tc>
        <w:tc>
          <w:tcPr>
            <w:tcW w:w="117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r>
              <w:rPr>
                <w:rFonts w:hint="eastAsia" w:ascii="宋体" w:hAnsi="宋体" w:cs="宋体"/>
                <w:color w:val="auto"/>
                <w:szCs w:val="21"/>
                <w:highlight w:val="none"/>
              </w:rPr>
              <w:t>台</w:t>
            </w:r>
          </w:p>
        </w:tc>
        <w:tc>
          <w:tcPr>
            <w:tcW w:w="3849"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trHeight w:val="312" w:hRule="atLeast"/>
          <w:jc w:val="center"/>
        </w:trPr>
        <w:tc>
          <w:tcPr>
            <w:tcW w:w="90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5</w:t>
            </w:r>
          </w:p>
        </w:tc>
        <w:tc>
          <w:tcPr>
            <w:tcW w:w="289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大件垃圾</w:t>
            </w:r>
            <w:r>
              <w:rPr>
                <w:rFonts w:hint="eastAsia" w:ascii="宋体" w:hAnsi="宋体" w:cs="宋体"/>
                <w:color w:val="auto"/>
                <w:szCs w:val="21"/>
                <w:highlight w:val="none"/>
              </w:rPr>
              <w:t>出料收集箱</w:t>
            </w:r>
          </w:p>
        </w:tc>
        <w:tc>
          <w:tcPr>
            <w:tcW w:w="117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w:t>
            </w:r>
            <w:r>
              <w:rPr>
                <w:rFonts w:hint="eastAsia" w:ascii="宋体" w:hAnsi="宋体" w:cs="宋体"/>
                <w:color w:val="auto"/>
                <w:szCs w:val="21"/>
                <w:highlight w:val="none"/>
              </w:rPr>
              <w:t>个</w:t>
            </w:r>
          </w:p>
        </w:tc>
        <w:tc>
          <w:tcPr>
            <w:tcW w:w="3849"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p>
        </w:tc>
      </w:tr>
    </w:tbl>
    <w:p>
      <w:pPr>
        <w:widowControl w:val="0"/>
        <w:autoSpaceDE w:val="0"/>
        <w:autoSpaceDN w:val="0"/>
        <w:adjustRightInd/>
        <w:snapToGrid/>
        <w:jc w:val="both"/>
        <w:rPr>
          <w:rFonts w:ascii="宋体" w:hAnsi="宋体" w:cs="宋体"/>
          <w:color w:val="auto"/>
          <w:szCs w:val="21"/>
          <w:highlight w:val="none"/>
        </w:rPr>
      </w:pPr>
    </w:p>
    <w:p>
      <w:pPr>
        <w:widowControl w:val="0"/>
        <w:autoSpaceDE w:val="0"/>
        <w:autoSpaceDN w:val="0"/>
        <w:adjustRightInd/>
        <w:snapToGrid/>
        <w:outlineLvl w:val="2"/>
        <w:rPr>
          <w:rFonts w:ascii="宋体" w:hAnsi="宋体" w:cs="宋体"/>
          <w:b/>
          <w:color w:val="auto"/>
          <w:szCs w:val="21"/>
          <w:highlight w:val="none"/>
        </w:rPr>
      </w:pPr>
      <w:bookmarkStart w:id="325" w:name="_Toc23312"/>
      <w:bookmarkStart w:id="326" w:name="_Toc9107"/>
      <w:bookmarkStart w:id="327" w:name="_Toc31473"/>
      <w:bookmarkStart w:id="328" w:name="_Toc146535725"/>
      <w:r>
        <w:rPr>
          <w:rFonts w:hint="eastAsia" w:ascii="宋体" w:hAnsi="宋体" w:cs="宋体"/>
          <w:b/>
          <w:color w:val="auto"/>
          <w:szCs w:val="21"/>
          <w:highlight w:val="none"/>
        </w:rPr>
        <w:t>4.2.1生活垃圾压缩系统</w:t>
      </w:r>
      <w:bookmarkEnd w:id="325"/>
      <w:bookmarkEnd w:id="326"/>
      <w:bookmarkEnd w:id="327"/>
      <w:bookmarkEnd w:id="328"/>
    </w:p>
    <w:p>
      <w:pPr>
        <w:widowControl w:val="0"/>
        <w:autoSpaceDE w:val="0"/>
        <w:autoSpaceDN w:val="0"/>
        <w:adjustRightInd/>
        <w:snapToGrid/>
        <w:ind w:firstLine="211" w:firstLineChars="100"/>
        <w:outlineLvl w:val="3"/>
        <w:rPr>
          <w:rFonts w:ascii="宋体" w:hAnsi="宋体" w:cs="宋体"/>
          <w:b/>
          <w:bCs/>
          <w:color w:val="auto"/>
          <w:szCs w:val="21"/>
          <w:highlight w:val="none"/>
        </w:rPr>
      </w:pPr>
      <w:r>
        <w:rPr>
          <w:rFonts w:hint="eastAsia" w:ascii="宋体" w:hAnsi="宋体" w:cs="宋体"/>
          <w:b/>
          <w:bCs/>
          <w:color w:val="auto"/>
          <w:szCs w:val="21"/>
          <w:highlight w:val="none"/>
        </w:rPr>
        <w:t>1. 水平直压压缩机（含卸料斗及链接机构）</w:t>
      </w:r>
    </w:p>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 xml:space="preserve">        本次生活垃圾转运站采用后平台投料式压缩系统，主要由垃圾压缩机、料槽及防尘罩、箱体移位装置、液压动力装置、电控系统等几部分组成。</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其中垃圾压缩机是垃圾压缩转运站的主要设备，用于垃圾压缩装载；料槽及防尘罩用于接收卸料车卸料并防止灰尘外溢；箱体移位装置用来缩短换箱时间；液压动力装置是所有设备的动力源；电控系统用于全套设备的现场控制。</w:t>
      </w:r>
    </w:p>
    <w:tbl>
      <w:tblPr>
        <w:tblStyle w:val="34"/>
        <w:tblW w:w="91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817"/>
        <w:gridCol w:w="3118"/>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序号</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参数名称</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rPr>
              <w:t>技术</w:t>
            </w:r>
            <w:r>
              <w:rPr>
                <w:rFonts w:hint="eastAsia" w:ascii="宋体" w:hAnsi="宋体" w:cs="宋体"/>
                <w:color w:val="auto"/>
                <w:szCs w:val="21"/>
                <w:highlight w:val="none"/>
                <w:lang w:eastAsia="en-US"/>
              </w:rPr>
              <w:t>参数</w:t>
            </w:r>
          </w:p>
        </w:tc>
        <w:tc>
          <w:tcPr>
            <w:tcW w:w="2439"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eastAsia" w:ascii="宋体" w:hAnsi="宋体" w:cs="宋体"/>
                <w:color w:val="auto"/>
                <w:szCs w:val="21"/>
                <w:highlight w:val="none"/>
                <w:lang w:eastAsia="en-US"/>
              </w:rPr>
            </w:pPr>
            <w:r>
              <w:rPr>
                <w:rFonts w:hint="eastAsia" w:ascii="宋体" w:hAnsi="宋体" w:cs="宋体"/>
                <w:color w:val="auto"/>
                <w:szCs w:val="21"/>
                <w:highlight w:val="none"/>
                <w:lang w:val="en-US" w:eastAsia="zh-CN"/>
              </w:rPr>
              <w:t>1</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每日垃圾处理量</w:t>
            </w:r>
          </w:p>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（单机）</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≥200t/d</w:t>
            </w:r>
          </w:p>
        </w:tc>
        <w:tc>
          <w:tcPr>
            <w:tcW w:w="2439"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★单机每小时垃圾处理量</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≥40t/h</w:t>
            </w:r>
          </w:p>
        </w:tc>
        <w:tc>
          <w:tcPr>
            <w:tcW w:w="2439"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需提供具有CNAS资质的质量监督检验中心出具的有效检验报告证明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垃圾压缩方式</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水平直压式</w:t>
            </w:r>
          </w:p>
        </w:tc>
        <w:tc>
          <w:tcPr>
            <w:tcW w:w="2439"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压缩腔容积</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≥4.5m³</w:t>
            </w:r>
          </w:p>
        </w:tc>
        <w:tc>
          <w:tcPr>
            <w:tcW w:w="2439" w:type="dxa"/>
            <w:tcBorders>
              <w:top w:val="nil"/>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卸料槽容积</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≥20m³</w:t>
            </w:r>
          </w:p>
        </w:tc>
        <w:tc>
          <w:tcPr>
            <w:tcW w:w="2439"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推头入箱距离</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≥800mm</w:t>
            </w:r>
          </w:p>
        </w:tc>
        <w:tc>
          <w:tcPr>
            <w:tcW w:w="2439" w:type="dxa"/>
            <w:tcBorders>
              <w:top w:val="nil"/>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rPr>
              <w:t>▲</w:t>
            </w:r>
            <w:r>
              <w:rPr>
                <w:rFonts w:hint="eastAsia" w:ascii="宋体" w:hAnsi="宋体" w:cs="宋体"/>
                <w:color w:val="auto"/>
                <w:szCs w:val="21"/>
                <w:highlight w:val="none"/>
                <w:lang w:eastAsia="en-US"/>
              </w:rPr>
              <w:t>最大压缩力</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≥630kN</w:t>
            </w:r>
          </w:p>
        </w:tc>
        <w:tc>
          <w:tcPr>
            <w:tcW w:w="2439" w:type="dxa"/>
            <w:tcBorders>
              <w:top w:val="nil"/>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811" w:type="dxa"/>
            <w:tcBorders>
              <w:top w:val="single" w:color="auto" w:sz="4" w:space="0"/>
              <w:left w:val="single" w:color="auto" w:sz="4" w:space="0"/>
              <w:right w:val="single" w:color="auto" w:sz="4" w:space="0"/>
            </w:tcBorders>
            <w:vAlign w:val="center"/>
          </w:tcPr>
          <w:p>
            <w:pPr>
              <w:widowControl w:val="0"/>
              <w:autoSpaceDE w:val="0"/>
              <w:autoSpaceDN w:val="0"/>
              <w:adjustRightInd/>
              <w:snapToGrid/>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2817" w:type="dxa"/>
            <w:tcBorders>
              <w:top w:val="single" w:color="auto" w:sz="4" w:space="0"/>
              <w:left w:val="nil"/>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压缩比</w:t>
            </w:r>
          </w:p>
        </w:tc>
        <w:tc>
          <w:tcPr>
            <w:tcW w:w="3118" w:type="dxa"/>
            <w:tcBorders>
              <w:top w:val="single" w:color="auto" w:sz="4" w:space="0"/>
              <w:left w:val="nil"/>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1:2-1:3</w:t>
            </w:r>
          </w:p>
        </w:tc>
        <w:tc>
          <w:tcPr>
            <w:tcW w:w="2439" w:type="dxa"/>
            <w:tcBorders>
              <w:top w:val="nil"/>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空载压缩循环时间</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≤50s</w:t>
            </w:r>
          </w:p>
        </w:tc>
        <w:tc>
          <w:tcPr>
            <w:tcW w:w="2439" w:type="dxa"/>
            <w:tcBorders>
              <w:top w:val="nil"/>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工作循环时间</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≤26min/车</w:t>
            </w:r>
          </w:p>
        </w:tc>
        <w:tc>
          <w:tcPr>
            <w:tcW w:w="2439" w:type="dxa"/>
            <w:tcBorders>
              <w:top w:val="nil"/>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额定工作压力</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≥19MPa</w:t>
            </w:r>
          </w:p>
        </w:tc>
        <w:tc>
          <w:tcPr>
            <w:tcW w:w="2439"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外形尺寸</w:t>
            </w:r>
          </w:p>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（长×宽×高）</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以满足设计图纸尺寸为准</w:t>
            </w:r>
          </w:p>
        </w:tc>
        <w:tc>
          <w:tcPr>
            <w:tcW w:w="2439"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14</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电源</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3相，50Hz，380V</w:t>
            </w:r>
          </w:p>
        </w:tc>
        <w:tc>
          <w:tcPr>
            <w:tcW w:w="2439"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15</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操作方式</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自动、手动、遥控</w:t>
            </w:r>
          </w:p>
        </w:tc>
        <w:tc>
          <w:tcPr>
            <w:tcW w:w="2439"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16</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压缩系统安全配置</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具有压满报警和超压报警功能</w:t>
            </w:r>
          </w:p>
        </w:tc>
        <w:tc>
          <w:tcPr>
            <w:tcW w:w="2439"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17</w:t>
            </w:r>
          </w:p>
        </w:tc>
        <w:tc>
          <w:tcPr>
            <w:tcW w:w="2817"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rPr>
              <w:t>★</w:t>
            </w:r>
            <w:r>
              <w:rPr>
                <w:rFonts w:hint="eastAsia" w:ascii="宋体" w:hAnsi="宋体" w:cs="宋体"/>
                <w:color w:val="auto"/>
                <w:szCs w:val="21"/>
                <w:highlight w:val="none"/>
                <w:lang w:eastAsia="en-US"/>
              </w:rPr>
              <w:t>装机平台高度</w:t>
            </w:r>
          </w:p>
        </w:tc>
        <w:tc>
          <w:tcPr>
            <w:tcW w:w="3118"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4500mm</w:t>
            </w:r>
          </w:p>
        </w:tc>
        <w:tc>
          <w:tcPr>
            <w:tcW w:w="2439" w:type="dxa"/>
            <w:tcBorders>
              <w:top w:val="single" w:color="auto" w:sz="4" w:space="0"/>
              <w:left w:val="nil"/>
              <w:bottom w:val="single" w:color="auto" w:sz="4" w:space="0"/>
              <w:right w:val="single" w:color="auto" w:sz="4" w:space="0"/>
            </w:tcBorders>
            <w:vAlign w:val="center"/>
          </w:tcPr>
          <w:p>
            <w:pPr>
              <w:widowControl w:val="0"/>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以实际图纸为准</w:t>
            </w:r>
          </w:p>
        </w:tc>
      </w:tr>
    </w:tbl>
    <w:p>
      <w:pPr>
        <w:widowControl w:val="0"/>
        <w:autoSpaceDE w:val="0"/>
        <w:autoSpaceDN w:val="0"/>
        <w:adjustRightInd/>
        <w:snapToGrid/>
        <w:rPr>
          <w:rFonts w:ascii="宋体" w:hAnsi="宋体" w:cs="宋体"/>
          <w:color w:val="auto"/>
          <w:szCs w:val="21"/>
          <w:highlight w:val="none"/>
          <w:lang w:eastAsia="en-US"/>
        </w:rPr>
      </w:pPr>
    </w:p>
    <w:p>
      <w:pPr>
        <w:widowControl w:val="0"/>
        <w:autoSpaceDE w:val="0"/>
        <w:autoSpaceDN w:val="0"/>
        <w:ind w:left="638"/>
        <w:rPr>
          <w:rFonts w:ascii="宋体" w:hAnsi="宋体" w:cs="宋体"/>
          <w:color w:val="auto"/>
          <w:szCs w:val="21"/>
          <w:highlight w:val="none"/>
          <w:lang w:eastAsia="en-US"/>
        </w:rPr>
      </w:pPr>
      <w:r>
        <w:rPr>
          <w:rFonts w:hint="eastAsia" w:ascii="宋体" w:hAnsi="宋体" w:cs="宋体"/>
          <w:color w:val="auto"/>
          <w:szCs w:val="21"/>
          <w:highlight w:val="none"/>
        </w:rPr>
        <w:t>技术要求：</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★（1）压缩机必须与本次招标的垃圾箱、移箱平台及可卸式垃圾车必须完全匹配，且与现有土建房体及平台匹配。</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（2）机箱分离后（推拉钩完全伸出）机、箱距离≤400mm，防止人员误入机箱对接区域，保证人员安全。</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▲（3）压缩机与垃圾箱锁紧牢靠，接合紧密，锁箱、松箱自如。锁紧装置</w:t>
      </w:r>
      <w:r>
        <w:rPr>
          <w:rFonts w:hint="eastAsia" w:ascii="宋体" w:hAnsi="宋体" w:cs="宋体"/>
          <w:color w:val="auto"/>
          <w:szCs w:val="21"/>
          <w:highlight w:val="none"/>
          <w:lang w:val="en-US" w:eastAsia="zh-CN"/>
        </w:rPr>
        <w:t>需</w:t>
      </w:r>
      <w:r>
        <w:rPr>
          <w:rFonts w:hint="eastAsia" w:ascii="宋体" w:hAnsi="宋体" w:cs="宋体"/>
          <w:color w:val="auto"/>
          <w:szCs w:val="21"/>
          <w:highlight w:val="none"/>
        </w:rPr>
        <w:t>采用机构死点进行锁紧（锁紧时油缸不受力），且锁钩具有沿滑槽水平移动拉紧、松开箱体的功能。（需提供实物照片及技术说明）</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（4）须设置提门装置，液压油缸驱动，油缸外置安装，便于维护保养。</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▲（5）压缩腔底板厚度≧12mm，侧板厚度≧10mm，硬度≧450HB，屈服强度≧1200MPa。</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（6）为便于设备检修及清理方便，机体后半身两侧及尾部应设置检修门。</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（7）推头采用滚轮滚动运行方式，并在推头两侧设置导向滚轮，减小了推头和机体运动磨损，延长了整机使用寿命。</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▲（8）压缩推头直接与垃圾接触，中间无其他机构，提高压缩效率，减小设备故障率。（需提供实物照片及技术说明）</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▲（9）推头顶部及两侧与机体之间设置有弹性密闭装置，用于填充推头四周与压缩机体内腔的间隙，该装置</w:t>
      </w:r>
      <w:r>
        <w:rPr>
          <w:rFonts w:hint="eastAsia" w:ascii="宋体" w:hAnsi="宋体" w:cs="宋体"/>
          <w:color w:val="auto"/>
          <w:szCs w:val="21"/>
          <w:highlight w:val="none"/>
          <w:lang w:val="en-US" w:eastAsia="zh-CN"/>
        </w:rPr>
        <w:t>须</w:t>
      </w:r>
      <w:r>
        <w:rPr>
          <w:rFonts w:hint="eastAsia" w:ascii="宋体" w:hAnsi="宋体" w:cs="宋体"/>
          <w:color w:val="auto"/>
          <w:szCs w:val="21"/>
          <w:highlight w:val="none"/>
        </w:rPr>
        <w:t>随着推头无规则摆动而柔性浮动，贴合压缩腔内壁，确保推头运动过程中四周持续的密闭性，最大限度减少残余垃圾。（需提供实物照片及技术说明）</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▲（10）压缩机后腔应设置污水导流装置，该装置</w:t>
      </w:r>
      <w:r>
        <w:rPr>
          <w:rFonts w:hint="eastAsia" w:ascii="宋体" w:hAnsi="宋体" w:cs="宋体"/>
          <w:color w:val="auto"/>
          <w:szCs w:val="21"/>
          <w:highlight w:val="none"/>
          <w:lang w:val="en-US" w:eastAsia="zh-CN"/>
        </w:rPr>
        <w:t>须</w:t>
      </w:r>
      <w:r>
        <w:rPr>
          <w:rFonts w:hint="eastAsia" w:ascii="宋体" w:hAnsi="宋体" w:cs="宋体"/>
          <w:color w:val="auto"/>
          <w:szCs w:val="21"/>
          <w:highlight w:val="none"/>
        </w:rPr>
        <w:t>采用全密闭式设计，避免污水发酵后臭味溢散；内部设置格栅篓式滤渣装置，过滤大件垃圾避免堵塞排水管道；该过滤装置作业状态下</w:t>
      </w:r>
      <w:r>
        <w:rPr>
          <w:rFonts w:hint="eastAsia" w:ascii="宋体" w:hAnsi="宋体" w:cs="宋体"/>
          <w:color w:val="auto"/>
          <w:szCs w:val="21"/>
          <w:highlight w:val="none"/>
          <w:lang w:val="en-US" w:eastAsia="zh-CN"/>
        </w:rPr>
        <w:t>须</w:t>
      </w:r>
      <w:r>
        <w:rPr>
          <w:rFonts w:hint="eastAsia" w:ascii="宋体" w:hAnsi="宋体" w:cs="宋体"/>
          <w:color w:val="auto"/>
          <w:szCs w:val="21"/>
          <w:highlight w:val="none"/>
        </w:rPr>
        <w:t>完全置于污水收集装置内，密闭无外露，清理时为可拆卸式，配合维护门清洁维护方便；滤渣篓容积≥50L，以便承接残渣定期清理。（需提供实物照片及技术说明）</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▲（11）主压缩油缸采用偏摆弹性自补偿技术或更优技术方案，确保油缸受到冲击、偏载时有一定的缓冲能力。（需提供实物照片及技术说明）</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（12）液压泵站设计充分考虑结构紧凑，运动平稳，流量均匀，低噪音等性能，使用双联叶片泵。</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（13）液压泵站须设置防护罩，整体美观，保护泵站元器件，减少污染，降低噪音。</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（14）主压缩油缸缸径≥160mm。</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（15）液压系统散热器额定流量≥120L/min，以保证散热效果及散热器寿命。</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（16）液压油泵及吸油过滤器须采用外置式，便于维修及更换滤芯等。</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（17）液压系统油箱回油管采用大管径设计，直径≥50mm，确保回油流畅，背压小，降低功耗。</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▲（18）推头压缩垃圾采取柔性压缩技术或更优技术方案，根据垃圾装箱程度可自动调节推头行程、移动速度、压缩力等，</w:t>
      </w:r>
      <w:r>
        <w:rPr>
          <w:rFonts w:hint="eastAsia" w:ascii="宋体" w:hAnsi="宋体" w:cs="宋体"/>
          <w:color w:val="auto"/>
          <w:szCs w:val="21"/>
          <w:highlight w:val="none"/>
          <w:lang w:val="en-US" w:eastAsia="zh-CN"/>
        </w:rPr>
        <w:t>须</w:t>
      </w:r>
      <w:r>
        <w:rPr>
          <w:rFonts w:hint="eastAsia" w:ascii="宋体" w:hAnsi="宋体" w:cs="宋体"/>
          <w:color w:val="auto"/>
          <w:szCs w:val="21"/>
          <w:highlight w:val="none"/>
        </w:rPr>
        <w:t>保证压装密实，</w:t>
      </w:r>
      <w:r>
        <w:rPr>
          <w:rFonts w:hint="eastAsia" w:ascii="宋体" w:hAnsi="宋体" w:cs="宋体"/>
          <w:color w:val="auto"/>
          <w:szCs w:val="21"/>
          <w:highlight w:val="none"/>
          <w:lang w:val="en-US" w:eastAsia="zh-CN"/>
        </w:rPr>
        <w:t>且</w:t>
      </w:r>
      <w:r>
        <w:rPr>
          <w:rFonts w:hint="eastAsia" w:ascii="宋体" w:hAnsi="宋体" w:cs="宋体"/>
          <w:color w:val="auto"/>
          <w:szCs w:val="21"/>
          <w:highlight w:val="none"/>
        </w:rPr>
        <w:t>垃圾箱尾门不夹渣。（需提供实物照片及技术说明）</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（19）推头运行采用光电技术对推头进行全行程感应。</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（20）中控系统应采用高级编程语言（C#、JAVA、DELPHI）开发，以便于后续功能拓展开发应用；具有登陆密码和权限管理，便于系统管理。</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（21）电控柜设置可现场操作的触摸屏，要求技术参数：尺寸≥10’;分辨率（长X宽）：≥800 x 480  16:9 宽屏显示;额定工作电源电压：DC24V;使用环境温度：0~50℃;防护等级：前面IP65 背面IP20;背光平均无故障时间：≥20000小时。</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（22）电控系统采用先进的PLC控制，要求PLC、传感器、触摸屏、低压电器元件等采用进口品牌。</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（23）电气控制系统应是独立开发的，并有完全的自主产权。</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（24）界面生动、流程清晰、易于使用；界面布置相关子系统起停按钮和指示灯，方便生产控制；运用三维动画实时显示主要机构动作，生动实现设备运行状态在线实时监控。</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25）现场配置系统声光报警器，根据系统作业状态作出相应指示，分别有黄灯，红灯，绿灯，蜂鸣四个功能；正常作业状态显示为绿灯，维修状态显示黄灯并报警，故障信息亮红灯并蜂鸣，给作业者提供警示作用。</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▲（26）</w:t>
      </w:r>
      <w:r>
        <w:rPr>
          <w:rFonts w:hint="eastAsia" w:ascii="宋体" w:hAnsi="宋体" w:cs="宋体"/>
          <w:color w:val="auto"/>
          <w:szCs w:val="21"/>
          <w:highlight w:val="none"/>
          <w:lang w:val="en-US" w:eastAsia="zh-CN"/>
        </w:rPr>
        <w:t>须</w:t>
      </w:r>
      <w:r>
        <w:rPr>
          <w:rFonts w:hint="eastAsia" w:ascii="宋体" w:hAnsi="宋体" w:cs="宋体"/>
          <w:color w:val="auto"/>
          <w:szCs w:val="21"/>
          <w:highlight w:val="none"/>
        </w:rPr>
        <w:t>采用中门分离切割技术，保证机箱分离时，少或无垃圾掉落。（需提供实物照片及技术说明）</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▲（27）机箱锁紧</w:t>
      </w:r>
      <w:r>
        <w:rPr>
          <w:rFonts w:hint="eastAsia" w:ascii="宋体" w:hAnsi="宋体" w:cs="宋体"/>
          <w:color w:val="auto"/>
          <w:szCs w:val="21"/>
          <w:highlight w:val="none"/>
          <w:lang w:val="en-US" w:eastAsia="zh-CN"/>
        </w:rPr>
        <w:t>须</w:t>
      </w:r>
      <w:r>
        <w:rPr>
          <w:rFonts w:hint="eastAsia" w:ascii="宋体" w:hAnsi="宋体" w:cs="宋体"/>
          <w:color w:val="auto"/>
          <w:szCs w:val="21"/>
          <w:highlight w:val="none"/>
        </w:rPr>
        <w:t>采用四杆机构技术或更优方案，利用机构死点使得锁紧可靠，机构</w:t>
      </w:r>
      <w:r>
        <w:rPr>
          <w:rFonts w:hint="eastAsia" w:ascii="宋体" w:hAnsi="宋体" w:cs="宋体"/>
          <w:color w:val="auto"/>
          <w:szCs w:val="21"/>
          <w:highlight w:val="none"/>
          <w:lang w:val="en-US" w:eastAsia="zh-CN"/>
        </w:rPr>
        <w:t>须</w:t>
      </w:r>
      <w:r>
        <w:rPr>
          <w:rFonts w:hint="eastAsia" w:ascii="宋体" w:hAnsi="宋体" w:cs="宋体"/>
          <w:color w:val="auto"/>
          <w:szCs w:val="21"/>
          <w:highlight w:val="none"/>
        </w:rPr>
        <w:t>具备推拉功能，使得锁箱、松箱操作自如。（需提供实物照片及技术说明）。</w:t>
      </w:r>
    </w:p>
    <w:p>
      <w:pPr>
        <w:widowControl w:val="0"/>
        <w:autoSpaceDE w:val="0"/>
        <w:autoSpaceDN w:val="0"/>
        <w:ind w:left="638"/>
        <w:rPr>
          <w:rFonts w:ascii="宋体" w:hAnsi="宋体" w:cs="宋体"/>
          <w:color w:val="auto"/>
          <w:szCs w:val="21"/>
          <w:highlight w:val="none"/>
        </w:rPr>
      </w:pPr>
      <w:r>
        <w:rPr>
          <w:rFonts w:hint="eastAsia" w:ascii="宋体" w:hAnsi="宋体" w:cs="宋体"/>
          <w:color w:val="auto"/>
          <w:szCs w:val="21"/>
          <w:highlight w:val="none"/>
        </w:rPr>
        <w:t>（28）卸料斗采用错筋结构，具有容积大、满足连续卸料等特点。</w:t>
      </w:r>
    </w:p>
    <w:p>
      <w:pPr>
        <w:widowControl w:val="0"/>
        <w:autoSpaceDE w:val="0"/>
        <w:autoSpaceDN w:val="0"/>
        <w:ind w:left="638"/>
        <w:rPr>
          <w:rFonts w:ascii="宋体" w:hAnsi="宋体" w:cs="宋体"/>
          <w:color w:val="auto"/>
          <w:szCs w:val="21"/>
          <w:highlight w:val="none"/>
        </w:rPr>
      </w:pPr>
    </w:p>
    <w:p>
      <w:pPr>
        <w:widowControl w:val="0"/>
        <w:autoSpaceDE w:val="0"/>
        <w:autoSpaceDN w:val="0"/>
        <w:adjustRightInd/>
        <w:snapToGrid/>
        <w:ind w:firstLine="211" w:firstLineChars="100"/>
        <w:outlineLvl w:val="3"/>
        <w:rPr>
          <w:rFonts w:ascii="宋体" w:hAnsi="宋体" w:cs="宋体"/>
          <w:b/>
          <w:bCs/>
          <w:color w:val="auto"/>
          <w:szCs w:val="21"/>
          <w:highlight w:val="none"/>
        </w:rPr>
      </w:pPr>
      <w:r>
        <w:rPr>
          <w:rFonts w:hint="eastAsia" w:ascii="宋体" w:hAnsi="宋体" w:cs="宋体"/>
          <w:b/>
          <w:bCs/>
          <w:color w:val="auto"/>
          <w:szCs w:val="21"/>
          <w:highlight w:val="none"/>
        </w:rPr>
        <w:t xml:space="preserve">2. </w:t>
      </w:r>
      <w:bookmarkStart w:id="329" w:name="_Toc30613"/>
      <w:bookmarkStart w:id="330" w:name="_Toc14428"/>
      <w:r>
        <w:rPr>
          <w:rFonts w:hint="eastAsia" w:ascii="宋体" w:hAnsi="宋体" w:cs="宋体"/>
          <w:b/>
          <w:bCs/>
          <w:color w:val="auto"/>
          <w:szCs w:val="21"/>
          <w:highlight w:val="none"/>
        </w:rPr>
        <w:t>移箱平台</w:t>
      </w:r>
      <w:bookmarkEnd w:id="329"/>
      <w:bookmarkEnd w:id="330"/>
    </w:p>
    <w:p>
      <w:pPr>
        <w:widowControl w:val="0"/>
        <w:autoSpaceDE w:val="0"/>
        <w:autoSpaceDN w:val="0"/>
        <w:ind w:firstLine="420" w:firstLineChars="200"/>
        <w:rPr>
          <w:rFonts w:ascii="宋体" w:hAnsi="宋体" w:cs="宋体"/>
          <w:color w:val="auto"/>
          <w:szCs w:val="21"/>
          <w:highlight w:val="none"/>
        </w:rPr>
      </w:pPr>
      <w:r>
        <w:rPr>
          <w:rFonts w:hint="eastAsia" w:ascii="宋体" w:hAnsi="宋体" w:cs="宋体"/>
          <w:color w:val="auto"/>
          <w:szCs w:val="21"/>
          <w:highlight w:val="none"/>
        </w:rPr>
        <w:t>移箱平台是为配套水平直压式垃圾中转站成套设备之一。通过它实现与水平直压压缩机与垃圾箱对接和箱体移位功能，保证压缩站连续运作，有效地提高压缩站工作效率。</w:t>
      </w:r>
    </w:p>
    <w:tbl>
      <w:tblPr>
        <w:tblStyle w:val="34"/>
        <w:tblW w:w="917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2309"/>
        <w:gridCol w:w="2322"/>
        <w:gridCol w:w="45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4631"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b/>
                <w:color w:val="auto"/>
                <w:szCs w:val="21"/>
                <w:highlight w:val="none"/>
                <w:lang w:eastAsia="en-US"/>
              </w:rPr>
            </w:pPr>
            <w:r>
              <w:rPr>
                <w:rFonts w:hint="eastAsia" w:ascii="宋体" w:hAnsi="宋体" w:cs="宋体"/>
                <w:b/>
                <w:color w:val="auto"/>
                <w:szCs w:val="21"/>
                <w:highlight w:val="none"/>
                <w:lang w:eastAsia="en-US"/>
              </w:rPr>
              <w:t>项         目</w:t>
            </w:r>
          </w:p>
        </w:tc>
        <w:tc>
          <w:tcPr>
            <w:tcW w:w="453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技术参数（最终由厂家确定）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Ex>
        <w:trPr>
          <w:trHeight w:val="567" w:hRule="atLeast"/>
          <w:jc w:val="center"/>
        </w:trPr>
        <w:tc>
          <w:tcPr>
            <w:tcW w:w="4631"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轻轨中心距 mm</w:t>
            </w:r>
          </w:p>
        </w:tc>
        <w:tc>
          <w:tcPr>
            <w:tcW w:w="453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≤5500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Ex>
        <w:trPr>
          <w:trHeight w:val="567" w:hRule="atLeast"/>
          <w:jc w:val="center"/>
        </w:trPr>
        <w:tc>
          <w:tcPr>
            <w:tcW w:w="4631"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两机架中心间距mm</w:t>
            </w:r>
          </w:p>
        </w:tc>
        <w:tc>
          <w:tcPr>
            <w:tcW w:w="453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≤2950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Ex>
        <w:trPr>
          <w:trHeight w:val="567" w:hRule="atLeast"/>
          <w:jc w:val="center"/>
        </w:trPr>
        <w:tc>
          <w:tcPr>
            <w:tcW w:w="4631"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平移速度 mm/s</w:t>
            </w:r>
          </w:p>
        </w:tc>
        <w:tc>
          <w:tcPr>
            <w:tcW w:w="453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4631"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平移距离 mm</w:t>
            </w:r>
          </w:p>
        </w:tc>
        <w:tc>
          <w:tcPr>
            <w:tcW w:w="453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rPr>
              <w:t>≤</w:t>
            </w:r>
            <w:r>
              <w:rPr>
                <w:rFonts w:hint="eastAsia" w:ascii="宋体" w:hAnsi="宋体" w:cs="宋体"/>
                <w:color w:val="auto"/>
                <w:szCs w:val="21"/>
                <w:highlight w:val="none"/>
                <w:lang w:eastAsia="en-US"/>
              </w:rPr>
              <w:t>2950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Ex>
        <w:trPr>
          <w:trHeight w:val="567" w:hRule="atLeast"/>
          <w:jc w:val="center"/>
        </w:trPr>
        <w:tc>
          <w:tcPr>
            <w:tcW w:w="2309" w:type="dxa"/>
            <w:vMerge w:val="restart"/>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外廓尺寸mm</w:t>
            </w:r>
          </w:p>
        </w:tc>
        <w:tc>
          <w:tcPr>
            <w:tcW w:w="2322"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长</w:t>
            </w:r>
          </w:p>
        </w:tc>
        <w:tc>
          <w:tcPr>
            <w:tcW w:w="453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≤8900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Ex>
        <w:trPr>
          <w:trHeight w:val="567" w:hRule="atLeast"/>
          <w:jc w:val="center"/>
        </w:trPr>
        <w:tc>
          <w:tcPr>
            <w:tcW w:w="230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snapToGrid/>
              <w:jc w:val="center"/>
              <w:rPr>
                <w:rFonts w:ascii="宋体" w:hAnsi="宋体" w:cs="宋体"/>
                <w:color w:val="auto"/>
                <w:szCs w:val="21"/>
                <w:highlight w:val="none"/>
                <w:lang w:eastAsia="en-US"/>
              </w:rPr>
            </w:pPr>
          </w:p>
        </w:tc>
        <w:tc>
          <w:tcPr>
            <w:tcW w:w="2322"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宽</w:t>
            </w:r>
          </w:p>
        </w:tc>
        <w:tc>
          <w:tcPr>
            <w:tcW w:w="453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≤7000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Ex>
        <w:trPr>
          <w:trHeight w:val="567" w:hRule="atLeast"/>
          <w:jc w:val="center"/>
        </w:trPr>
        <w:tc>
          <w:tcPr>
            <w:tcW w:w="230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snapToGrid/>
              <w:jc w:val="center"/>
              <w:rPr>
                <w:rFonts w:ascii="宋体" w:hAnsi="宋体" w:cs="宋体"/>
                <w:color w:val="auto"/>
                <w:szCs w:val="21"/>
                <w:highlight w:val="none"/>
                <w:lang w:eastAsia="en-US"/>
              </w:rPr>
            </w:pPr>
          </w:p>
        </w:tc>
        <w:tc>
          <w:tcPr>
            <w:tcW w:w="2322"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高</w:t>
            </w:r>
          </w:p>
        </w:tc>
        <w:tc>
          <w:tcPr>
            <w:tcW w:w="453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≤560</w:t>
            </w:r>
          </w:p>
        </w:tc>
      </w:tr>
    </w:tbl>
    <w:p>
      <w:pPr>
        <w:widowControl w:val="0"/>
        <w:autoSpaceDE w:val="0"/>
        <w:autoSpaceDN w:val="0"/>
        <w:spacing w:after="120"/>
        <w:ind w:left="420" w:leftChars="200"/>
        <w:rPr>
          <w:rFonts w:ascii="宋体" w:hAnsi="宋体" w:cs="宋体"/>
          <w:color w:val="auto"/>
          <w:szCs w:val="21"/>
          <w:highlight w:val="none"/>
          <w:lang w:eastAsia="en-US"/>
        </w:rPr>
      </w:pPr>
    </w:p>
    <w:p>
      <w:pPr>
        <w:widowControl w:val="0"/>
        <w:autoSpaceDE w:val="0"/>
        <w:autoSpaceDN w:val="0"/>
        <w:spacing w:after="120"/>
        <w:rPr>
          <w:rFonts w:ascii="宋体" w:hAnsi="宋体" w:cs="宋体"/>
          <w:color w:val="auto"/>
          <w:szCs w:val="21"/>
          <w:highlight w:val="none"/>
        </w:rPr>
      </w:pPr>
      <w:r>
        <w:rPr>
          <w:rFonts w:hint="eastAsia" w:ascii="宋体" w:hAnsi="宋体" w:cs="宋体"/>
          <w:color w:val="auto"/>
          <w:szCs w:val="21"/>
          <w:highlight w:val="none"/>
        </w:rPr>
        <w:t>技术要求：</w:t>
      </w:r>
    </w:p>
    <w:p>
      <w:pPr>
        <w:widowControl w:val="0"/>
        <w:autoSpaceDE w:val="0"/>
        <w:autoSpaceDN w:val="0"/>
        <w:spacing w:after="120"/>
        <w:rPr>
          <w:rFonts w:ascii="宋体" w:hAnsi="宋体" w:cs="宋体"/>
          <w:color w:val="auto"/>
          <w:szCs w:val="21"/>
          <w:highlight w:val="none"/>
        </w:rPr>
      </w:pPr>
      <w:r>
        <w:rPr>
          <w:rFonts w:hint="eastAsia" w:ascii="宋体" w:hAnsi="宋体" w:cs="宋体"/>
          <w:color w:val="auto"/>
          <w:szCs w:val="21"/>
          <w:highlight w:val="none"/>
        </w:rPr>
        <w:t>（1）采用液压驱动，可以实现精确定位，自动化程度高；</w:t>
      </w:r>
    </w:p>
    <w:p>
      <w:pPr>
        <w:widowControl w:val="0"/>
        <w:autoSpaceDE w:val="0"/>
        <w:autoSpaceDN w:val="0"/>
        <w:spacing w:after="120"/>
        <w:rPr>
          <w:rFonts w:ascii="宋体" w:hAnsi="宋体" w:cs="宋体"/>
          <w:color w:val="auto"/>
          <w:szCs w:val="21"/>
          <w:highlight w:val="none"/>
        </w:rPr>
      </w:pPr>
      <w:r>
        <w:rPr>
          <w:rFonts w:hint="eastAsia" w:ascii="宋体" w:hAnsi="宋体" w:cs="宋体"/>
          <w:color w:val="auto"/>
          <w:szCs w:val="21"/>
          <w:highlight w:val="none"/>
        </w:rPr>
        <w:t>（2）可承接来自压缩设备和垃圾箱在作业过程中所产生的所有残余垃圾和污水，实现残余垃圾集中清理和污水密闭排放，有效保证垃圾站内环境，免受大面积污染。</w:t>
      </w:r>
    </w:p>
    <w:p>
      <w:pPr>
        <w:widowControl w:val="0"/>
        <w:autoSpaceDE w:val="0"/>
        <w:autoSpaceDN w:val="0"/>
        <w:spacing w:after="120"/>
        <w:rPr>
          <w:rFonts w:ascii="宋体" w:hAnsi="宋体" w:cs="宋体"/>
          <w:color w:val="auto"/>
          <w:szCs w:val="21"/>
          <w:highlight w:val="none"/>
        </w:rPr>
      </w:pPr>
      <w:r>
        <w:rPr>
          <w:rFonts w:hint="eastAsia" w:ascii="宋体" w:hAnsi="宋体" w:cs="宋体"/>
          <w:color w:val="auto"/>
          <w:szCs w:val="21"/>
          <w:highlight w:val="none"/>
        </w:rPr>
        <w:t>（3）结构简单，承载能力强，可以承受28立方箱体满载的重量，可靠性高，应有防腐措施；</w:t>
      </w:r>
    </w:p>
    <w:p>
      <w:pPr>
        <w:widowControl w:val="0"/>
        <w:autoSpaceDE w:val="0"/>
        <w:autoSpaceDN w:val="0"/>
        <w:spacing w:after="120"/>
        <w:rPr>
          <w:rFonts w:ascii="宋体" w:hAnsi="宋体" w:cs="宋体"/>
          <w:color w:val="auto"/>
          <w:szCs w:val="21"/>
          <w:highlight w:val="none"/>
        </w:rPr>
      </w:pPr>
      <w:r>
        <w:rPr>
          <w:rFonts w:hint="eastAsia" w:ascii="宋体" w:hAnsi="宋体" w:cs="宋体"/>
          <w:color w:val="auto"/>
          <w:szCs w:val="21"/>
          <w:highlight w:val="none"/>
        </w:rPr>
        <w:t>（4）操纵方便、灵活，具有较高的人性化设计。</w:t>
      </w:r>
    </w:p>
    <w:p>
      <w:pPr>
        <w:widowControl w:val="0"/>
        <w:autoSpaceDE w:val="0"/>
        <w:autoSpaceDN w:val="0"/>
        <w:rPr>
          <w:rFonts w:ascii="宋体" w:hAnsi="宋体" w:cs="宋体"/>
          <w:color w:val="auto"/>
          <w:szCs w:val="21"/>
          <w:highlight w:val="none"/>
        </w:rPr>
      </w:pPr>
    </w:p>
    <w:p>
      <w:pPr>
        <w:widowControl w:val="0"/>
        <w:autoSpaceDE w:val="0"/>
        <w:autoSpaceDN w:val="0"/>
        <w:adjustRightInd/>
        <w:snapToGrid/>
        <w:ind w:firstLine="211" w:firstLineChars="100"/>
        <w:outlineLvl w:val="3"/>
        <w:rPr>
          <w:rFonts w:ascii="宋体" w:hAnsi="宋体" w:cs="宋体"/>
          <w:b/>
          <w:bCs/>
          <w:color w:val="auto"/>
          <w:szCs w:val="21"/>
          <w:highlight w:val="none"/>
        </w:rPr>
      </w:pPr>
      <w:r>
        <w:rPr>
          <w:rFonts w:hint="eastAsia" w:ascii="宋体" w:hAnsi="宋体" w:cs="宋体"/>
          <w:b/>
          <w:bCs/>
          <w:color w:val="auto"/>
          <w:szCs w:val="21"/>
          <w:highlight w:val="none"/>
        </w:rPr>
        <w:t>3.地磅（车辆称重系统）</w:t>
      </w:r>
    </w:p>
    <w:tbl>
      <w:tblPr>
        <w:tblStyle w:val="34"/>
        <w:tblW w:w="91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6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9" w:type="dxa"/>
          </w:tcPr>
          <w:p>
            <w:pPr>
              <w:widowControl w:val="0"/>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项目</w:t>
            </w:r>
          </w:p>
        </w:tc>
        <w:tc>
          <w:tcPr>
            <w:tcW w:w="6987" w:type="dxa"/>
            <w:vAlign w:val="center"/>
          </w:tcPr>
          <w:p>
            <w:pPr>
              <w:widowControl w:val="0"/>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9" w:type="dxa"/>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★尺寸</w:t>
            </w:r>
          </w:p>
        </w:tc>
        <w:tc>
          <w:tcPr>
            <w:tcW w:w="6987"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地磅尺寸≤3x10m，能满足垃圾勾臂转运车过磅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9" w:type="dxa"/>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★形式</w:t>
            </w:r>
          </w:p>
        </w:tc>
        <w:tc>
          <w:tcPr>
            <w:tcW w:w="6987" w:type="dxa"/>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双向双地磅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9" w:type="dxa"/>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★量程</w:t>
            </w:r>
          </w:p>
        </w:tc>
        <w:tc>
          <w:tcPr>
            <w:tcW w:w="6987" w:type="dxa"/>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单台地磅≥50吨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9" w:type="dxa"/>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功能</w:t>
            </w:r>
          </w:p>
        </w:tc>
        <w:tc>
          <w:tcPr>
            <w:tcW w:w="6987"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称重闪现表面：具有置零、去皮、零点跟踪、闪现毛重、毛重、皮重、打印日期、品名、重量等功能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9" w:type="dxa"/>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其他要求</w:t>
            </w:r>
          </w:p>
        </w:tc>
        <w:tc>
          <w:tcPr>
            <w:tcW w:w="6987"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称重传感器：全钢性规划、防水、可露天设备使用</w:t>
            </w:r>
          </w:p>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地磅UNC防水接线盒：选用防浪式描绘，防水功能</w:t>
            </w:r>
          </w:p>
        </w:tc>
      </w:tr>
    </w:tbl>
    <w:p>
      <w:pPr>
        <w:widowControl w:val="0"/>
        <w:autoSpaceDE w:val="0"/>
        <w:autoSpaceDN w:val="0"/>
        <w:ind w:left="638"/>
        <w:rPr>
          <w:rFonts w:ascii="宋体" w:hAnsi="宋体" w:cs="宋体"/>
          <w:color w:val="auto"/>
          <w:szCs w:val="21"/>
          <w:highlight w:val="none"/>
        </w:rPr>
      </w:pPr>
    </w:p>
    <w:p>
      <w:pPr>
        <w:widowControl w:val="0"/>
        <w:autoSpaceDE w:val="0"/>
        <w:autoSpaceDN w:val="0"/>
        <w:adjustRightInd/>
        <w:snapToGrid/>
        <w:ind w:firstLine="211" w:firstLineChars="100"/>
        <w:outlineLvl w:val="3"/>
        <w:rPr>
          <w:rFonts w:ascii="宋体" w:hAnsi="宋体" w:cs="宋体"/>
          <w:b/>
          <w:bCs/>
          <w:color w:val="auto"/>
          <w:szCs w:val="21"/>
          <w:highlight w:val="none"/>
        </w:rPr>
      </w:pPr>
      <w:r>
        <w:rPr>
          <w:rFonts w:hint="eastAsia" w:ascii="宋体" w:hAnsi="宋体" w:cs="宋体"/>
          <w:b/>
          <w:bCs/>
          <w:color w:val="auto"/>
          <w:szCs w:val="21"/>
          <w:highlight w:val="none"/>
        </w:rPr>
        <w:t>4.中央控制系统（全厂区）</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整个转运站的控制系统主要由SCADA监控系统、PLC控制系统、称重控制系统、视频监控系统、交通指挥系统等子系统构成。系统能够自动的操作设备，显示主要设备的运行工况，具有一定的自动调度、自动分析、自动诊断等功能。而操作人员在中央控制室内可以完成设备（不含车辆）的远程控制，作业面或点的监视。系统预留与环卫管理部门的数据传输以太网接口，OPC通讯协议，便于将数据上传至环卫监控网，数据接口应为上位机SCADA监控系统，转运站控制系统数据库应具有 ODBC 和 SQL 接口，并容易与其他应用软件交换数据。</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系统包括：上位机控制系统、视频监视系统、交通指挥系统、语音通信系统。对转运站主要设备集中监视控制，LCD显示屏，语音广播。</w:t>
      </w:r>
    </w:p>
    <w:tbl>
      <w:tblPr>
        <w:tblStyle w:val="3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5115"/>
        <w:gridCol w:w="709"/>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1928" w:type="dxa"/>
            <w:shd w:val="clear" w:color="auto" w:fill="auto"/>
            <w:noWrap/>
            <w:vAlign w:val="center"/>
          </w:tcPr>
          <w:p>
            <w:pPr>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子项目</w:t>
            </w:r>
          </w:p>
        </w:tc>
        <w:tc>
          <w:tcPr>
            <w:tcW w:w="5115" w:type="dxa"/>
            <w:shd w:val="clear" w:color="auto" w:fill="auto"/>
            <w:vAlign w:val="center"/>
          </w:tcPr>
          <w:p>
            <w:pPr>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参数</w:t>
            </w:r>
          </w:p>
        </w:tc>
        <w:tc>
          <w:tcPr>
            <w:tcW w:w="709" w:type="dxa"/>
          </w:tcPr>
          <w:p>
            <w:pPr>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单位</w:t>
            </w:r>
          </w:p>
        </w:tc>
        <w:tc>
          <w:tcPr>
            <w:tcW w:w="767" w:type="dxa"/>
          </w:tcPr>
          <w:p>
            <w:pPr>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1928" w:type="dxa"/>
            <w:shd w:val="clear" w:color="auto" w:fill="auto"/>
            <w:noWrap/>
            <w:vAlign w:val="center"/>
          </w:tcPr>
          <w:p>
            <w:pPr>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rPr>
              <w:t>4</w:t>
            </w:r>
            <w:r>
              <w:rPr>
                <w:rFonts w:hint="eastAsia" w:ascii="宋体" w:hAnsi="宋体" w:cs="宋体"/>
                <w:b/>
                <w:bCs/>
                <w:color w:val="auto"/>
                <w:szCs w:val="21"/>
                <w:highlight w:val="none"/>
                <w:lang w:eastAsia="en-US"/>
              </w:rPr>
              <w:t>.1上位机控制系统</w:t>
            </w:r>
          </w:p>
        </w:tc>
        <w:tc>
          <w:tcPr>
            <w:tcW w:w="5115" w:type="dxa"/>
            <w:shd w:val="clear" w:color="auto" w:fill="auto"/>
            <w:vAlign w:val="center"/>
          </w:tcPr>
          <w:p>
            <w:pPr>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rPr>
              <w:t>在控制系统中应包含在中央控制室内实现对压缩设备到辅助设备自动控制；实现工作点或面的监视、显示运行数据和作业状态画面、统计分析表、提供故障显示查询、数据记录和传输、汇总分析；实现站内作业车辆的调度功能；并预留与环卫管理部门的数据传输接口。</w:t>
            </w:r>
          </w:p>
        </w:tc>
        <w:tc>
          <w:tcPr>
            <w:tcW w:w="709" w:type="dxa"/>
            <w:vAlign w:val="center"/>
          </w:tcPr>
          <w:p>
            <w:pPr>
              <w:autoSpaceDE w:val="0"/>
              <w:autoSpaceDN w:val="0"/>
              <w:adjustRightInd/>
              <w:snapToGrid/>
              <w:jc w:val="center"/>
              <w:rPr>
                <w:rFonts w:ascii="宋体" w:hAnsi="宋体" w:cs="宋体"/>
                <w:b/>
                <w:bCs/>
                <w:color w:val="auto"/>
                <w:szCs w:val="21"/>
                <w:highlight w:val="none"/>
              </w:rPr>
            </w:pPr>
            <w:r>
              <w:rPr>
                <w:rFonts w:hint="eastAsia" w:ascii="宋体" w:hAnsi="宋体" w:cs="宋体"/>
                <w:color w:val="auto"/>
                <w:szCs w:val="21"/>
                <w:highlight w:val="none"/>
              </w:rPr>
              <w:t>　</w:t>
            </w:r>
          </w:p>
        </w:tc>
        <w:tc>
          <w:tcPr>
            <w:tcW w:w="767" w:type="dxa"/>
            <w:vAlign w:val="center"/>
          </w:tcPr>
          <w:p>
            <w:pPr>
              <w:autoSpaceDE w:val="0"/>
              <w:autoSpaceDN w:val="0"/>
              <w:adjustRightInd/>
              <w:snapToGrid/>
              <w:jc w:val="center"/>
              <w:rPr>
                <w:rFonts w:ascii="宋体" w:hAns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中控计算机</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CPU：i5处理器；内存：16GB；硬盘：1TB+256G SSD</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台</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彩色液晶显示器</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27寸；响应时间≤5ms；平均亮度≥300cd/㎡；分辨率≥1920*1080</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台</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打印机</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黑白激光打印机，纸张幅面为A4</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台</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UPS不间断电源</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在线式，保障中控室电脑在停电后能工作1小时</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台</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交换机</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企业级24口，千兆</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台</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操作台</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用于集中放置计算机、打印机、UPS、录像机等设备，6工位+打印机工位，配6把座椅</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监控软件</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成水平垃圾压缩系统各工艺设备监控，实现生产数据管理，生成各类报表、趋势图，供统计、分析，集成各类数据交换接口</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1928" w:type="dxa"/>
            <w:shd w:val="clear" w:color="auto" w:fill="auto"/>
            <w:noWrap/>
            <w:vAlign w:val="center"/>
          </w:tcPr>
          <w:p>
            <w:pPr>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rPr>
              <w:t>4</w:t>
            </w:r>
            <w:r>
              <w:rPr>
                <w:rFonts w:hint="eastAsia" w:ascii="宋体" w:hAnsi="宋体" w:cs="宋体"/>
                <w:b/>
                <w:bCs/>
                <w:color w:val="auto"/>
                <w:szCs w:val="21"/>
                <w:highlight w:val="none"/>
                <w:lang w:eastAsia="en-US"/>
              </w:rPr>
              <w:t>.2视频监视系统</w:t>
            </w:r>
          </w:p>
        </w:tc>
        <w:tc>
          <w:tcPr>
            <w:tcW w:w="5115" w:type="dxa"/>
            <w:shd w:val="clear" w:color="auto" w:fill="auto"/>
            <w:vAlign w:val="center"/>
          </w:tcPr>
          <w:p>
            <w:pPr>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rPr>
              <w:t>系统主要对站内设备关键位置进行监视，所有画面都可在控制室里的监视器上显示。设备监视系统主要通过对关键部位监视，以实现对整套设备的集中操作，可通过光纤或网线接入全厂视频监控系统</w:t>
            </w:r>
          </w:p>
        </w:tc>
        <w:tc>
          <w:tcPr>
            <w:tcW w:w="709" w:type="dxa"/>
            <w:vAlign w:val="center"/>
          </w:tcPr>
          <w:p>
            <w:pPr>
              <w:autoSpaceDE w:val="0"/>
              <w:autoSpaceDN w:val="0"/>
              <w:adjustRightInd/>
              <w:snapToGrid/>
              <w:jc w:val="center"/>
              <w:rPr>
                <w:rFonts w:ascii="宋体" w:hAnsi="宋体" w:cs="宋体"/>
                <w:b/>
                <w:bCs/>
                <w:color w:val="auto"/>
                <w:szCs w:val="21"/>
                <w:highlight w:val="none"/>
              </w:rPr>
            </w:pPr>
            <w:r>
              <w:rPr>
                <w:rFonts w:hint="eastAsia" w:ascii="宋体" w:hAnsi="宋体" w:cs="宋体"/>
                <w:color w:val="auto"/>
                <w:szCs w:val="21"/>
                <w:highlight w:val="none"/>
              </w:rPr>
              <w:t>　</w:t>
            </w:r>
          </w:p>
        </w:tc>
        <w:tc>
          <w:tcPr>
            <w:tcW w:w="767" w:type="dxa"/>
            <w:vAlign w:val="center"/>
          </w:tcPr>
          <w:p>
            <w:pPr>
              <w:autoSpaceDE w:val="0"/>
              <w:autoSpaceDN w:val="0"/>
              <w:adjustRightInd/>
              <w:snapToGrid/>
              <w:jc w:val="center"/>
              <w:rPr>
                <w:rFonts w:ascii="宋体" w:hAnsi="宋体" w:cs="宋体"/>
                <w:b/>
                <w:bCs/>
                <w:color w:val="auto"/>
                <w:szCs w:val="21"/>
                <w:highlight w:val="none"/>
              </w:rPr>
            </w:pPr>
            <w:r>
              <w:rPr>
                <w:rFonts w:hint="eastAsia" w:ascii="宋体" w:hAnsi="宋体" w:cs="宋体"/>
                <w:color w:val="auto"/>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高清红外一体</w:t>
            </w:r>
          </w:p>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枪机</w:t>
            </w:r>
          </w:p>
        </w:tc>
        <w:tc>
          <w:tcPr>
            <w:tcW w:w="5115" w:type="dxa"/>
            <w:shd w:val="clear" w:color="auto" w:fill="auto"/>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 xml:space="preserve">不低于200万像素（最大分辨率为1080P），红外有效距离不少于50米；支持ICR自动彩转黑功能，实现昼夜监控；支持3种以上码流输出；支持ONVIF、GB28181；视频压缩标准至少采用H.264及以上标准，同时也支持MJPEG压缩方式，提供灵活选择；支持自动电子快门功能，适应不同监控环境；符合IP66级防尘防水设计，可靠性高 </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高清红外一体</w:t>
            </w:r>
          </w:p>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球机</w:t>
            </w:r>
          </w:p>
        </w:tc>
        <w:tc>
          <w:tcPr>
            <w:tcW w:w="5115" w:type="dxa"/>
            <w:shd w:val="clear" w:color="auto" w:fill="auto"/>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 xml:space="preserve">不低于200万像素（最大分辨率为1080P），红外有效距离不少于50米；支持ICR自动彩转黑功能，实现昼夜监控；支持3种以上码流输出；支持ONVIF、GB28181；视频压缩标准至少采用H.264及以上标准，同时也支持MJPEG压缩方式，提供灵活选择；支持自动电子快门功能，适应不同监控环境；符合IP66级防尘防水设计，可靠性高 </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数字硬盘录像机</w:t>
            </w:r>
          </w:p>
        </w:tc>
        <w:tc>
          <w:tcPr>
            <w:tcW w:w="5115" w:type="dxa"/>
            <w:shd w:val="clear" w:color="auto" w:fill="auto"/>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32路视频接入通道，硬盘4TB；支持1080P网络视频预览、存储与回放，可接驳ONVIF/RTSP及众多主流厂商网络摄像机；支持HDMI、VGA同时输出，最高分辨率≥1920x1080；</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彩色液晶显示器</w:t>
            </w:r>
          </w:p>
        </w:tc>
        <w:tc>
          <w:tcPr>
            <w:tcW w:w="5115" w:type="dxa"/>
            <w:shd w:val="clear" w:color="auto" w:fill="auto"/>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27寸；响应时间≤5ms；平均亮度≥300cd/㎡；分辨率≥1920*1080</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交换机</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32口全千兆</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1928" w:type="dxa"/>
            <w:shd w:val="clear" w:color="auto" w:fill="auto"/>
            <w:noWrap/>
            <w:vAlign w:val="center"/>
          </w:tcPr>
          <w:p>
            <w:pPr>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rPr>
              <w:t>4</w:t>
            </w:r>
            <w:r>
              <w:rPr>
                <w:rFonts w:hint="eastAsia" w:ascii="宋体" w:hAnsi="宋体" w:cs="宋体"/>
                <w:b/>
                <w:bCs/>
                <w:color w:val="auto"/>
                <w:szCs w:val="21"/>
                <w:highlight w:val="none"/>
                <w:lang w:eastAsia="en-US"/>
              </w:rPr>
              <w:t>.3交通指挥系统</w:t>
            </w:r>
          </w:p>
        </w:tc>
        <w:tc>
          <w:tcPr>
            <w:tcW w:w="5115" w:type="dxa"/>
            <w:shd w:val="clear" w:color="auto" w:fill="auto"/>
            <w:vAlign w:val="center"/>
          </w:tcPr>
          <w:p>
            <w:pPr>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rPr>
              <w:t>用于垃圾收集车及垃圾转运车的指挥调度，其交通指挥信号可以在控制室显示。引导收集车进入相应的卸料口。利用系统对站内车辆进行智能调度，引导车辆有序入场、出场，提高了工作效率。</w:t>
            </w:r>
          </w:p>
        </w:tc>
        <w:tc>
          <w:tcPr>
            <w:tcW w:w="709" w:type="dxa"/>
            <w:vAlign w:val="center"/>
          </w:tcPr>
          <w:p>
            <w:pPr>
              <w:autoSpaceDE w:val="0"/>
              <w:autoSpaceDN w:val="0"/>
              <w:adjustRightInd/>
              <w:snapToGrid/>
              <w:jc w:val="center"/>
              <w:rPr>
                <w:rFonts w:ascii="宋体" w:hAnsi="宋体" w:cs="宋体"/>
                <w:b/>
                <w:bCs/>
                <w:color w:val="auto"/>
                <w:szCs w:val="21"/>
                <w:highlight w:val="none"/>
              </w:rPr>
            </w:pPr>
            <w:r>
              <w:rPr>
                <w:rFonts w:hint="eastAsia" w:ascii="宋体" w:hAnsi="宋体" w:cs="宋体"/>
                <w:color w:val="auto"/>
                <w:szCs w:val="21"/>
                <w:highlight w:val="none"/>
              </w:rPr>
              <w:t>　</w:t>
            </w:r>
          </w:p>
        </w:tc>
        <w:tc>
          <w:tcPr>
            <w:tcW w:w="767" w:type="dxa"/>
            <w:vAlign w:val="center"/>
          </w:tcPr>
          <w:p>
            <w:pPr>
              <w:autoSpaceDE w:val="0"/>
              <w:autoSpaceDN w:val="0"/>
              <w:adjustRightInd/>
              <w:snapToGrid/>
              <w:jc w:val="center"/>
              <w:rPr>
                <w:rFonts w:ascii="宋体" w:hAns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计算机</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CPU：i5处理器；内存：8GB；硬盘：1TB</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台</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彩色液晶显示器</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27寸；响应时间≤5ms；平均亮度≥300cd/㎡；最佳分辨率：1920*1080；</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台</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大厅LED屏</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室外红绿双色，2m*4m（高*宽）</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控制终端</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系统配套</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控制软件</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集成生活垃圾作业车辆站内派位管理、转运管理、生产数据管理、数据交换接口；</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交通指示灯</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显示红、绿色</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928" w:type="dxa"/>
            <w:shd w:val="clear" w:color="auto" w:fill="auto"/>
            <w:noWrap/>
            <w:vAlign w:val="center"/>
          </w:tcPr>
          <w:p>
            <w:pPr>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rPr>
              <w:t>4</w:t>
            </w:r>
            <w:r>
              <w:rPr>
                <w:rFonts w:hint="eastAsia" w:ascii="宋体" w:hAnsi="宋体" w:cs="宋体"/>
                <w:b/>
                <w:bCs/>
                <w:color w:val="auto"/>
                <w:szCs w:val="21"/>
                <w:highlight w:val="none"/>
                <w:lang w:eastAsia="en-US"/>
              </w:rPr>
              <w:t>.4语音通信系统</w:t>
            </w:r>
          </w:p>
        </w:tc>
        <w:tc>
          <w:tcPr>
            <w:tcW w:w="5115" w:type="dxa"/>
            <w:shd w:val="clear" w:color="auto" w:fill="auto"/>
            <w:noWrap/>
            <w:vAlign w:val="center"/>
          </w:tcPr>
          <w:p>
            <w:pPr>
              <w:autoSpaceDE w:val="0"/>
              <w:autoSpaceDN w:val="0"/>
              <w:adjustRightInd/>
              <w:snapToGrid/>
              <w:rPr>
                <w:rFonts w:ascii="宋体" w:hAnsi="宋体" w:cs="宋体"/>
                <w:b/>
                <w:bCs/>
                <w:color w:val="auto"/>
                <w:szCs w:val="21"/>
                <w:highlight w:val="none"/>
              </w:rPr>
            </w:pPr>
            <w:r>
              <w:rPr>
                <w:rFonts w:hint="eastAsia" w:ascii="宋体" w:hAnsi="宋体" w:cs="宋体"/>
                <w:b/>
                <w:bCs/>
                <w:color w:val="auto"/>
                <w:szCs w:val="21"/>
                <w:highlight w:val="none"/>
              </w:rPr>
              <w:t>系统主要应用于广播通知、对讲及背景音乐等使用功能。</w:t>
            </w:r>
          </w:p>
        </w:tc>
        <w:tc>
          <w:tcPr>
            <w:tcW w:w="709" w:type="dxa"/>
            <w:vAlign w:val="center"/>
          </w:tcPr>
          <w:p>
            <w:pPr>
              <w:autoSpaceDE w:val="0"/>
              <w:autoSpaceDN w:val="0"/>
              <w:adjustRightInd/>
              <w:snapToGrid/>
              <w:rPr>
                <w:rFonts w:ascii="宋体" w:hAnsi="宋体" w:cs="宋体"/>
                <w:b/>
                <w:bCs/>
                <w:color w:val="auto"/>
                <w:szCs w:val="21"/>
                <w:highlight w:val="none"/>
              </w:rPr>
            </w:pPr>
            <w:r>
              <w:rPr>
                <w:rFonts w:hint="eastAsia" w:ascii="宋体" w:hAnsi="宋体" w:cs="宋体"/>
                <w:color w:val="auto"/>
                <w:szCs w:val="21"/>
                <w:highlight w:val="none"/>
              </w:rPr>
              <w:t>　</w:t>
            </w:r>
          </w:p>
        </w:tc>
        <w:tc>
          <w:tcPr>
            <w:tcW w:w="767" w:type="dxa"/>
            <w:vAlign w:val="center"/>
          </w:tcPr>
          <w:p>
            <w:pPr>
              <w:autoSpaceDE w:val="0"/>
              <w:autoSpaceDN w:val="0"/>
              <w:adjustRightInd/>
              <w:snapToGrid/>
              <w:rPr>
                <w:rFonts w:ascii="宋体" w:hAnsi="宋体" w:cs="宋体"/>
                <w:b/>
                <w:bCs/>
                <w:color w:val="auto"/>
                <w:szCs w:val="21"/>
                <w:highlight w:val="none"/>
              </w:rPr>
            </w:pPr>
            <w:r>
              <w:rPr>
                <w:rFonts w:hint="eastAsia" w:ascii="宋体" w:hAnsi="宋体" w:cs="宋体"/>
                <w:color w:val="auto"/>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广播话筒</w:t>
            </w:r>
          </w:p>
        </w:tc>
        <w:tc>
          <w:tcPr>
            <w:tcW w:w="5115"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频率响应40Hz-16KHz</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合并式功放</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输出功率：240W；定压型输出70/100V</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928" w:type="dxa"/>
            <w:shd w:val="clear" w:color="auto" w:fill="auto"/>
            <w:noWrap/>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防水音柱</w:t>
            </w:r>
          </w:p>
        </w:tc>
        <w:tc>
          <w:tcPr>
            <w:tcW w:w="5115" w:type="dxa"/>
            <w:shd w:val="clear" w:color="auto" w:fill="auto"/>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可满足转运车回转坪30m×20m范围内入耳可听，音效清晰。功率:30W；定压输入:70V-100V；</w:t>
            </w:r>
          </w:p>
        </w:tc>
        <w:tc>
          <w:tcPr>
            <w:tcW w:w="709"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套</w:t>
            </w:r>
          </w:p>
        </w:tc>
        <w:tc>
          <w:tcPr>
            <w:tcW w:w="76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6</w:t>
            </w:r>
          </w:p>
        </w:tc>
      </w:tr>
    </w:tbl>
    <w:p>
      <w:pPr>
        <w:widowControl w:val="0"/>
        <w:autoSpaceDE w:val="0"/>
        <w:autoSpaceDN w:val="0"/>
        <w:rPr>
          <w:rFonts w:ascii="宋体" w:hAnsi="宋体" w:cs="宋体"/>
          <w:color w:val="auto"/>
          <w:szCs w:val="21"/>
          <w:highlight w:val="none"/>
          <w:lang w:eastAsia="en-US"/>
        </w:rPr>
      </w:pPr>
    </w:p>
    <w:p>
      <w:pPr>
        <w:widowControl w:val="0"/>
        <w:autoSpaceDE w:val="0"/>
        <w:autoSpaceDN w:val="0"/>
        <w:adjustRightInd/>
        <w:snapToGrid/>
        <w:ind w:firstLine="211" w:firstLineChars="100"/>
        <w:outlineLvl w:val="3"/>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5.卸料口快速卷帘门</w:t>
      </w:r>
    </w:p>
    <w:tbl>
      <w:tblPr>
        <w:tblStyle w:val="34"/>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项目</w:t>
            </w:r>
          </w:p>
        </w:tc>
        <w:tc>
          <w:tcPr>
            <w:tcW w:w="6053" w:type="dxa"/>
          </w:tcPr>
          <w:p>
            <w:pPr>
              <w:widowControl w:val="0"/>
              <w:autoSpaceDE w:val="0"/>
              <w:autoSpaceDN w:val="0"/>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产品配置</w:t>
            </w:r>
          </w:p>
        </w:tc>
        <w:tc>
          <w:tcPr>
            <w:tcW w:w="6053"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双面按钮+自动地磁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开启速度</w:t>
            </w:r>
          </w:p>
        </w:tc>
        <w:tc>
          <w:tcPr>
            <w:tcW w:w="6053"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0.8-1.5m/s(可调节速度)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尺寸</w:t>
            </w:r>
          </w:p>
        </w:tc>
        <w:tc>
          <w:tcPr>
            <w:tcW w:w="6053"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W3.5m×H6.5m(具体尺寸可定制)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控制形式</w:t>
            </w:r>
          </w:p>
        </w:tc>
        <w:tc>
          <w:tcPr>
            <w:tcW w:w="6053" w:type="dxa"/>
          </w:tcPr>
          <w:p>
            <w:pPr>
              <w:widowControl w:val="0"/>
              <w:autoSpaceDE w:val="0"/>
              <w:autoSpaceDN w:val="0"/>
              <w:snapToGrid/>
              <w:jc w:val="center"/>
              <w:rPr>
                <w:rFonts w:ascii="宋体" w:hAnsi="宋体" w:cs="宋体"/>
                <w:color w:val="auto"/>
                <w:szCs w:val="21"/>
                <w:highlight w:val="none"/>
              </w:rPr>
            </w:pPr>
            <w:r>
              <w:rPr>
                <w:rFonts w:hint="eastAsia" w:ascii="宋体" w:hAnsi="宋体" w:cs="宋体"/>
                <w:color w:val="auto"/>
                <w:szCs w:val="21"/>
                <w:highlight w:val="none"/>
              </w:rPr>
              <w:t>地磁感应，PLC自动控制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门布颜色</w:t>
            </w:r>
          </w:p>
        </w:tc>
        <w:tc>
          <w:tcPr>
            <w:tcW w:w="6053"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灰色（可定制）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门体颜色</w:t>
            </w:r>
          </w:p>
        </w:tc>
        <w:tc>
          <w:tcPr>
            <w:tcW w:w="6053"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灰色（可定制）</w:t>
            </w:r>
          </w:p>
        </w:tc>
      </w:tr>
    </w:tbl>
    <w:p>
      <w:pPr>
        <w:widowControl w:val="0"/>
        <w:autoSpaceDE w:val="0"/>
        <w:autoSpaceDN w:val="0"/>
        <w:adjustRightInd/>
        <w:snapToGrid/>
        <w:rPr>
          <w:rFonts w:ascii="宋体" w:hAnsi="宋体" w:cs="宋体"/>
          <w:color w:val="auto"/>
          <w:szCs w:val="21"/>
          <w:highlight w:val="none"/>
          <w:lang w:eastAsia="en-US"/>
        </w:rPr>
      </w:pPr>
    </w:p>
    <w:p>
      <w:pPr>
        <w:widowControl w:val="0"/>
        <w:autoSpaceDE w:val="0"/>
        <w:autoSpaceDN w:val="0"/>
        <w:adjustRightInd/>
        <w:snapToGrid/>
        <w:ind w:firstLine="211" w:firstLineChars="100"/>
        <w:outlineLvl w:val="3"/>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6.转运口快速卷帘门</w:t>
      </w:r>
    </w:p>
    <w:tbl>
      <w:tblPr>
        <w:tblStyle w:val="34"/>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项目</w:t>
            </w:r>
          </w:p>
        </w:tc>
        <w:tc>
          <w:tcPr>
            <w:tcW w:w="6053" w:type="dxa"/>
          </w:tcPr>
          <w:p>
            <w:pPr>
              <w:widowControl w:val="0"/>
              <w:autoSpaceDE w:val="0"/>
              <w:autoSpaceDN w:val="0"/>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产品配置</w:t>
            </w:r>
          </w:p>
        </w:tc>
        <w:tc>
          <w:tcPr>
            <w:tcW w:w="6053"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双面按钮+自动地磁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开启速度</w:t>
            </w:r>
          </w:p>
        </w:tc>
        <w:tc>
          <w:tcPr>
            <w:tcW w:w="6053"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0.8-1.5m/s(可调节速度)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尺寸</w:t>
            </w:r>
          </w:p>
        </w:tc>
        <w:tc>
          <w:tcPr>
            <w:tcW w:w="6053"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W5.0m×H6.7m(具体尺寸可定制)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控制形式</w:t>
            </w:r>
          </w:p>
        </w:tc>
        <w:tc>
          <w:tcPr>
            <w:tcW w:w="6053" w:type="dxa"/>
          </w:tcPr>
          <w:p>
            <w:pPr>
              <w:widowControl w:val="0"/>
              <w:autoSpaceDE w:val="0"/>
              <w:autoSpaceDN w:val="0"/>
              <w:snapToGrid/>
              <w:jc w:val="center"/>
              <w:rPr>
                <w:rFonts w:ascii="宋体" w:hAnsi="宋体" w:cs="宋体"/>
                <w:color w:val="auto"/>
                <w:szCs w:val="21"/>
                <w:highlight w:val="none"/>
              </w:rPr>
            </w:pPr>
            <w:r>
              <w:rPr>
                <w:rFonts w:hint="eastAsia" w:ascii="宋体" w:hAnsi="宋体" w:cs="宋体"/>
                <w:color w:val="auto"/>
                <w:szCs w:val="21"/>
                <w:highlight w:val="none"/>
              </w:rPr>
              <w:t>地磁感应，PLC自动控制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门布颜色</w:t>
            </w:r>
          </w:p>
        </w:tc>
        <w:tc>
          <w:tcPr>
            <w:tcW w:w="6053"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灰色（可定制）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67"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门体颜色</w:t>
            </w:r>
          </w:p>
        </w:tc>
        <w:tc>
          <w:tcPr>
            <w:tcW w:w="6053" w:type="dxa"/>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灰色（可定制）</w:t>
            </w:r>
          </w:p>
        </w:tc>
      </w:tr>
    </w:tbl>
    <w:p>
      <w:pPr>
        <w:widowControl w:val="0"/>
        <w:autoSpaceDE w:val="0"/>
        <w:autoSpaceDN w:val="0"/>
        <w:ind w:left="638"/>
        <w:rPr>
          <w:rFonts w:ascii="宋体" w:hAnsi="宋体" w:cs="宋体"/>
          <w:color w:val="auto"/>
          <w:szCs w:val="21"/>
          <w:highlight w:val="none"/>
          <w:lang w:eastAsia="en-US"/>
        </w:rPr>
      </w:pPr>
    </w:p>
    <w:p>
      <w:pPr>
        <w:widowControl w:val="0"/>
        <w:autoSpaceDE w:val="0"/>
        <w:autoSpaceDN w:val="0"/>
        <w:adjustRightInd/>
        <w:snapToGrid/>
        <w:ind w:firstLine="211" w:firstLineChars="100"/>
        <w:outlineLvl w:val="3"/>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7.高压清洗机</w:t>
      </w:r>
    </w:p>
    <w:tbl>
      <w:tblPr>
        <w:tblStyle w:val="34"/>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项目</w:t>
            </w:r>
          </w:p>
        </w:tc>
        <w:tc>
          <w:tcPr>
            <w:tcW w:w="6053" w:type="dxa"/>
            <w:vAlign w:val="center"/>
          </w:tcPr>
          <w:p>
            <w:pPr>
              <w:widowControl w:val="0"/>
              <w:autoSpaceDE w:val="0"/>
              <w:autoSpaceDN w:val="0"/>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额定电压（V）</w:t>
            </w:r>
          </w:p>
        </w:tc>
        <w:tc>
          <w:tcPr>
            <w:tcW w:w="6053"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压力（bar）</w:t>
            </w:r>
          </w:p>
        </w:tc>
        <w:tc>
          <w:tcPr>
            <w:tcW w:w="6053"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最大流量（L/H）</w:t>
            </w:r>
          </w:p>
        </w:tc>
        <w:tc>
          <w:tcPr>
            <w:tcW w:w="6053"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高压泵</w:t>
            </w:r>
          </w:p>
        </w:tc>
        <w:tc>
          <w:tcPr>
            <w:tcW w:w="6053" w:type="dxa"/>
            <w:vAlign w:val="center"/>
          </w:tcPr>
          <w:p>
            <w:pPr>
              <w:widowControl w:val="0"/>
              <w:autoSpaceDE w:val="0"/>
              <w:autoSpaceDN w:val="0"/>
              <w:snapToGrid/>
              <w:jc w:val="center"/>
              <w:rPr>
                <w:rFonts w:ascii="宋体" w:hAnsi="宋体" w:cs="宋体"/>
                <w:color w:val="auto"/>
                <w:szCs w:val="21"/>
                <w:highlight w:val="none"/>
              </w:rPr>
            </w:pPr>
            <w:r>
              <w:rPr>
                <w:rFonts w:hint="eastAsia" w:ascii="宋体" w:hAnsi="宋体" w:cs="宋体"/>
                <w:color w:val="auto"/>
                <w:szCs w:val="21"/>
                <w:highlight w:val="none"/>
              </w:rPr>
              <w:t>进口纯铜泵或更优</w:t>
            </w:r>
          </w:p>
          <w:p>
            <w:pPr>
              <w:widowControl w:val="0"/>
              <w:autoSpaceDE w:val="0"/>
              <w:autoSpaceDN w:val="0"/>
              <w:ind w:left="638"/>
              <w:jc w:val="center"/>
              <w:rPr>
                <w:rFonts w:ascii="宋体" w:hAnsi="宋体" w:cs="宋体"/>
                <w:color w:val="auto"/>
                <w:szCs w:val="21"/>
                <w:highlight w:val="none"/>
              </w:rPr>
            </w:pPr>
            <w:r>
              <w:rPr>
                <w:rFonts w:hint="eastAsia" w:ascii="宋体" w:hAnsi="宋体" w:cs="宋体"/>
                <w:color w:val="auto"/>
                <w:szCs w:val="21"/>
                <w:highlight w:val="none"/>
              </w:rPr>
              <w:t>流量≥20L/min；工作压力1～6MPa；</w:t>
            </w:r>
          </w:p>
          <w:p>
            <w:pPr>
              <w:widowControl w:val="0"/>
              <w:autoSpaceDE w:val="0"/>
              <w:autoSpaceDN w:val="0"/>
              <w:ind w:left="638"/>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转速≥1450rpm/min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ind w:left="638"/>
              <w:rPr>
                <w:rFonts w:ascii="宋体" w:hAnsi="宋体" w:cs="宋体"/>
                <w:color w:val="auto"/>
                <w:szCs w:val="21"/>
                <w:highlight w:val="none"/>
                <w:lang w:eastAsia="en-US"/>
              </w:rPr>
            </w:pPr>
            <w:r>
              <w:rPr>
                <w:rFonts w:hint="eastAsia" w:ascii="宋体" w:hAnsi="宋体" w:cs="宋体"/>
                <w:color w:val="auto"/>
                <w:szCs w:val="21"/>
                <w:highlight w:val="none"/>
                <w:lang w:eastAsia="en-US"/>
              </w:rPr>
              <w:t>高压水枪</w:t>
            </w:r>
          </w:p>
        </w:tc>
        <w:tc>
          <w:tcPr>
            <w:tcW w:w="6053"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280短枪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ind w:left="638"/>
              <w:rPr>
                <w:rFonts w:ascii="宋体" w:hAnsi="宋体" w:cs="宋体"/>
                <w:color w:val="auto"/>
                <w:szCs w:val="21"/>
                <w:highlight w:val="none"/>
                <w:lang w:eastAsia="en-US"/>
              </w:rPr>
            </w:pPr>
            <w:r>
              <w:rPr>
                <w:rFonts w:hint="eastAsia" w:ascii="宋体" w:hAnsi="宋体" w:cs="宋体"/>
                <w:color w:val="auto"/>
                <w:szCs w:val="21"/>
                <w:highlight w:val="none"/>
                <w:lang w:eastAsia="en-US"/>
              </w:rPr>
              <w:t>进水管</w:t>
            </w:r>
          </w:p>
        </w:tc>
        <w:tc>
          <w:tcPr>
            <w:tcW w:w="6053"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带过滤网透明水管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高压出水管</w:t>
            </w:r>
          </w:p>
        </w:tc>
        <w:tc>
          <w:tcPr>
            <w:tcW w:w="6053" w:type="dxa"/>
            <w:vAlign w:val="center"/>
          </w:tcPr>
          <w:p>
            <w:pPr>
              <w:widowControl w:val="0"/>
              <w:autoSpaceDE w:val="0"/>
              <w:autoSpaceDN w:val="0"/>
              <w:snapToGrid/>
              <w:jc w:val="center"/>
              <w:rPr>
                <w:rFonts w:ascii="宋体" w:hAnsi="宋体" w:cs="宋体"/>
                <w:color w:val="auto"/>
                <w:szCs w:val="21"/>
                <w:highlight w:val="none"/>
              </w:rPr>
            </w:pPr>
            <w:r>
              <w:rPr>
                <w:rFonts w:hint="eastAsia" w:ascii="宋体" w:hAnsi="宋体" w:cs="宋体"/>
                <w:color w:val="auto"/>
                <w:szCs w:val="21"/>
                <w:highlight w:val="none"/>
              </w:rPr>
              <w:t>8mm*10m；树脂耐磨高压管</w:t>
            </w:r>
          </w:p>
        </w:tc>
      </w:tr>
    </w:tbl>
    <w:p>
      <w:pPr>
        <w:widowControl w:val="0"/>
        <w:autoSpaceDE w:val="0"/>
        <w:autoSpaceDN w:val="0"/>
        <w:rPr>
          <w:rFonts w:ascii="宋体" w:hAnsi="宋体" w:cs="宋体"/>
          <w:color w:val="auto"/>
          <w:szCs w:val="21"/>
          <w:highlight w:val="none"/>
        </w:rPr>
      </w:pPr>
    </w:p>
    <w:p>
      <w:pPr>
        <w:widowControl w:val="0"/>
        <w:autoSpaceDE w:val="0"/>
        <w:autoSpaceDN w:val="0"/>
        <w:adjustRightInd/>
        <w:snapToGrid/>
        <w:ind w:firstLine="211" w:firstLineChars="100"/>
        <w:outlineLvl w:val="3"/>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8.背负式消杀喷雾器</w:t>
      </w:r>
    </w:p>
    <w:tbl>
      <w:tblPr>
        <w:tblStyle w:val="34"/>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项目</w:t>
            </w:r>
          </w:p>
        </w:tc>
        <w:tc>
          <w:tcPr>
            <w:tcW w:w="6053" w:type="dxa"/>
            <w:vAlign w:val="center"/>
          </w:tcPr>
          <w:p>
            <w:pPr>
              <w:widowControl w:val="0"/>
              <w:autoSpaceDE w:val="0"/>
              <w:autoSpaceDN w:val="0"/>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额定电压（V）</w:t>
            </w:r>
          </w:p>
        </w:tc>
        <w:tc>
          <w:tcPr>
            <w:tcW w:w="6053"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输入功率（W）</w:t>
            </w:r>
          </w:p>
        </w:tc>
        <w:tc>
          <w:tcPr>
            <w:tcW w:w="6053"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外形尺寸（cm）</w:t>
            </w:r>
          </w:p>
        </w:tc>
        <w:tc>
          <w:tcPr>
            <w:tcW w:w="6053"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≥38*20*49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药箱容积（L）</w:t>
            </w:r>
          </w:p>
        </w:tc>
        <w:tc>
          <w:tcPr>
            <w:tcW w:w="6053"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color w:val="auto"/>
                <w:szCs w:val="21"/>
                <w:highlight w:val="none"/>
              </w:rPr>
            </w:pPr>
            <w:r>
              <w:rPr>
                <w:rFonts w:hint="eastAsia" w:ascii="宋体" w:hAnsi="宋体" w:cs="宋体"/>
                <w:color w:val="auto"/>
                <w:szCs w:val="21"/>
                <w:highlight w:val="none"/>
              </w:rPr>
              <w:t>最大药液输出量（L/h）</w:t>
            </w:r>
          </w:p>
        </w:tc>
        <w:tc>
          <w:tcPr>
            <w:tcW w:w="6053"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雾粒直径（μm）</w:t>
            </w:r>
          </w:p>
        </w:tc>
        <w:tc>
          <w:tcPr>
            <w:tcW w:w="6053"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电机调速</w:t>
            </w:r>
          </w:p>
        </w:tc>
        <w:tc>
          <w:tcPr>
            <w:tcW w:w="6053"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高速挡和低速挡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7"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工作动力</w:t>
            </w:r>
          </w:p>
        </w:tc>
        <w:tc>
          <w:tcPr>
            <w:tcW w:w="6053"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锂电池</w:t>
            </w:r>
          </w:p>
        </w:tc>
      </w:tr>
    </w:tbl>
    <w:p>
      <w:pPr>
        <w:widowControl w:val="0"/>
        <w:autoSpaceDE w:val="0"/>
        <w:autoSpaceDN w:val="0"/>
        <w:adjustRightInd/>
        <w:snapToGrid/>
        <w:outlineLvl w:val="2"/>
        <w:rPr>
          <w:rFonts w:ascii="宋体" w:hAnsi="宋体" w:cs="宋体"/>
          <w:b/>
          <w:color w:val="auto"/>
          <w:szCs w:val="21"/>
          <w:highlight w:val="none"/>
          <w:lang w:eastAsia="en-US"/>
        </w:rPr>
      </w:pPr>
      <w:bookmarkStart w:id="331" w:name="_Toc31720"/>
      <w:bookmarkStart w:id="332" w:name="_Toc10632"/>
      <w:bookmarkStart w:id="333" w:name="_Toc18359"/>
      <w:bookmarkStart w:id="334" w:name="_Toc146535726"/>
      <w:r>
        <w:rPr>
          <w:rFonts w:hint="eastAsia" w:ascii="宋体" w:hAnsi="宋体" w:cs="宋体"/>
          <w:b/>
          <w:color w:val="auto"/>
          <w:szCs w:val="21"/>
          <w:highlight w:val="none"/>
        </w:rPr>
        <w:t>4.2.2</w:t>
      </w:r>
      <w:r>
        <w:rPr>
          <w:rFonts w:hint="eastAsia" w:ascii="宋体" w:hAnsi="宋体" w:cs="宋体"/>
          <w:b/>
          <w:color w:val="auto"/>
          <w:szCs w:val="21"/>
          <w:highlight w:val="none"/>
          <w:lang w:eastAsia="en-US"/>
        </w:rPr>
        <w:t>大件垃圾破碎系统</w:t>
      </w:r>
      <w:bookmarkEnd w:id="331"/>
      <w:bookmarkEnd w:id="332"/>
      <w:bookmarkEnd w:id="333"/>
      <w:bookmarkEnd w:id="334"/>
    </w:p>
    <w:p>
      <w:pPr>
        <w:widowControl w:val="0"/>
        <w:autoSpaceDE w:val="0"/>
        <w:autoSpaceDN w:val="0"/>
        <w:snapToGrid/>
        <w:rPr>
          <w:rFonts w:ascii="宋体" w:hAnsi="宋体" w:cs="宋体"/>
          <w:color w:val="auto"/>
          <w:szCs w:val="21"/>
          <w:highlight w:val="none"/>
        </w:rPr>
      </w:pPr>
      <w:r>
        <w:rPr>
          <w:rFonts w:hint="eastAsia" w:ascii="宋体" w:hAnsi="宋体" w:cs="宋体"/>
          <w:color w:val="auto"/>
          <w:szCs w:val="21"/>
          <w:highlight w:val="none"/>
        </w:rPr>
        <w:t>主要设备技术参数如下：</w:t>
      </w:r>
    </w:p>
    <w:p>
      <w:pPr>
        <w:widowControl w:val="0"/>
        <w:autoSpaceDE w:val="0"/>
        <w:autoSpaceDN w:val="0"/>
        <w:adjustRightInd/>
        <w:snapToGrid/>
        <w:ind w:firstLine="211" w:firstLineChars="100"/>
        <w:outlineLvl w:val="3"/>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1.双轴破碎机</w:t>
      </w:r>
    </w:p>
    <w:tbl>
      <w:tblPr>
        <w:tblStyle w:val="34"/>
        <w:tblW w:w="83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8"/>
        <w:gridCol w:w="2080"/>
        <w:gridCol w:w="5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restart"/>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双轴破碎机技术参数</w:t>
            </w: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机台重量</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≥20吨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vAlign w:val="center"/>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轴承密封形式</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四重密封或更优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vAlign w:val="center"/>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驱动方式</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双电机+双减速机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9"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破碎物料</w:t>
            </w:r>
          </w:p>
        </w:tc>
        <w:tc>
          <w:tcPr>
            <w:tcW w:w="5266" w:type="dxa"/>
            <w:vAlign w:val="center"/>
          </w:tcPr>
          <w:p>
            <w:pPr>
              <w:widowControl w:val="0"/>
              <w:autoSpaceDE w:val="0"/>
              <w:autoSpaceDN w:val="0"/>
              <w:adjustRightInd/>
              <w:snapToGrid/>
              <w:rPr>
                <w:rFonts w:ascii="宋体" w:hAnsi="宋体" w:cs="宋体"/>
                <w:bCs/>
                <w:color w:val="auto"/>
                <w:szCs w:val="21"/>
                <w:highlight w:val="none"/>
              </w:rPr>
            </w:pPr>
            <w:r>
              <w:rPr>
                <w:rFonts w:hint="eastAsia" w:ascii="宋体" w:hAnsi="宋体" w:cs="宋体"/>
                <w:bCs/>
                <w:color w:val="auto"/>
                <w:szCs w:val="21"/>
                <w:highlight w:val="none"/>
              </w:rPr>
              <w:t>大件垃圾和园林垃圾（床垫、沙发、树枝、家具）等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★处理量</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≥5t/h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破碎方式</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双轴剪切式或更优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破碎后粒径</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85%≤300mm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破碎后尺寸</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≤60×300mm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电机功率/KW</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≥90kW/台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电机数量/台</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电机防护等级</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≥IP55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减速机品牌</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通力或博能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32"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减速机扭矩</w:t>
            </w:r>
          </w:p>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安全系数</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电机电源</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AC380V三相，50Hz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启动方式</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变频启动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刀箱可破碎区域</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≥1800mm*1000mm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刀具直径×厚度/mm</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≥Φ460*60mm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刀具数量/件</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刀片齿数</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9"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刀具材料</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进口CrNiMo高强度合金钢刀具，Hardox、XAR、DILLIDUR等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刀具可修复性</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刀具可堆焊修复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主轴材质</w:t>
            </w:r>
          </w:p>
        </w:tc>
        <w:tc>
          <w:tcPr>
            <w:tcW w:w="5266" w:type="dxa"/>
            <w:vAlign w:val="center"/>
          </w:tcPr>
          <w:p>
            <w:pPr>
              <w:widowControl w:val="0"/>
              <w:autoSpaceDE w:val="0"/>
              <w:autoSpaceDN w:val="0"/>
              <w:adjustRightInd/>
              <w:snapToGrid/>
              <w:rPr>
                <w:rFonts w:ascii="宋体" w:hAnsi="宋体" w:cs="宋体"/>
                <w:bCs/>
                <w:color w:val="auto"/>
                <w:szCs w:val="21"/>
                <w:highlight w:val="none"/>
              </w:rPr>
            </w:pPr>
            <w:bookmarkStart w:id="335" w:name="Φ400"/>
            <w:bookmarkEnd w:id="335"/>
            <w:r>
              <w:rPr>
                <w:rFonts w:hint="eastAsia" w:ascii="宋体" w:hAnsi="宋体" w:cs="宋体"/>
                <w:bCs/>
                <w:color w:val="auto"/>
                <w:szCs w:val="21"/>
                <w:highlight w:val="none"/>
              </w:rPr>
              <w:t>40Cr或42CrMo调质处理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刀轴单轴最大扭矩</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≥70000Nm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压料器结构形式</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摆臂式压料结构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压料器驱动功率</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≥4kW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压料器系统压强</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≥5MPa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外形尺寸/mm</w:t>
            </w:r>
          </w:p>
        </w:tc>
        <w:tc>
          <w:tcPr>
            <w:tcW w:w="5266"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≥5500mm×2000mm×6000mm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968" w:type="dxa"/>
            <w:vMerge w:val="restart"/>
            <w:vAlign w:val="center"/>
          </w:tcPr>
          <w:p>
            <w:pPr>
              <w:widowControl w:val="0"/>
              <w:autoSpaceDE w:val="0"/>
              <w:autoSpaceDN w:val="0"/>
              <w:adjustRightInd/>
              <w:snapToGrid/>
              <w:rPr>
                <w:rFonts w:ascii="宋体" w:hAnsi="宋体" w:cs="宋体"/>
                <w:bCs/>
                <w:color w:val="auto"/>
                <w:szCs w:val="21"/>
                <w:highlight w:val="none"/>
                <w:lang w:eastAsia="en-US"/>
              </w:rPr>
            </w:pPr>
          </w:p>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电控系统</w:t>
            </w:r>
          </w:p>
        </w:tc>
        <w:tc>
          <w:tcPr>
            <w:tcW w:w="2080" w:type="dxa"/>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PLC</w:t>
            </w:r>
          </w:p>
        </w:tc>
        <w:tc>
          <w:tcPr>
            <w:tcW w:w="5266" w:type="dxa"/>
            <w:vAlign w:val="center"/>
          </w:tcPr>
          <w:p>
            <w:pPr>
              <w:widowControl w:val="0"/>
              <w:autoSpaceDE w:val="0"/>
              <w:autoSpaceDN w:val="0"/>
              <w:adjustRightInd/>
              <w:snapToGrid/>
              <w:rPr>
                <w:rFonts w:ascii="宋体" w:hAnsi="宋体" w:cs="宋体"/>
                <w:bCs/>
                <w:color w:val="auto"/>
                <w:szCs w:val="21"/>
                <w:highlight w:val="none"/>
              </w:rPr>
            </w:pPr>
            <w:r>
              <w:rPr>
                <w:rFonts w:hint="eastAsia" w:ascii="宋体" w:hAnsi="宋体" w:cs="宋体"/>
                <w:bCs/>
                <w:color w:val="auto"/>
                <w:szCs w:val="21"/>
                <w:highlight w:val="none"/>
                <w:lang w:eastAsia="en-US"/>
              </w:rPr>
              <w:t>西门子</w:t>
            </w:r>
            <w:r>
              <w:rPr>
                <w:rFonts w:hint="eastAsia" w:ascii="宋体" w:hAnsi="宋体" w:cs="宋体"/>
                <w:bCs/>
                <w:color w:val="auto"/>
                <w:szCs w:val="21"/>
                <w:highlight w:val="none"/>
              </w:rPr>
              <w:t>S7-1200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tcBorders>
              <w:bottom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供电要求</w:t>
            </w:r>
          </w:p>
        </w:tc>
        <w:tc>
          <w:tcPr>
            <w:tcW w:w="5266" w:type="dxa"/>
            <w:tcBorders>
              <w:bottom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三相五线制380 V / 50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主要低压控制元器件</w:t>
            </w:r>
          </w:p>
        </w:tc>
        <w:tc>
          <w:tcPr>
            <w:tcW w:w="526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rPr>
            </w:pPr>
            <w:r>
              <w:rPr>
                <w:rFonts w:hint="eastAsia" w:ascii="宋体" w:hAnsi="宋体" w:cs="宋体"/>
                <w:bCs/>
                <w:color w:val="auto"/>
                <w:szCs w:val="21"/>
                <w:highlight w:val="none"/>
              </w:rPr>
              <w:t>施耐德、西门子、ABB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968" w:type="dxa"/>
            <w:vMerge w:val="continue"/>
          </w:tcPr>
          <w:p>
            <w:pPr>
              <w:widowControl w:val="0"/>
              <w:autoSpaceDE w:val="0"/>
              <w:autoSpaceDN w:val="0"/>
              <w:adjustRightInd/>
              <w:snapToGrid/>
              <w:rPr>
                <w:rFonts w:ascii="宋体" w:hAnsi="宋体" w:cs="宋体"/>
                <w:bCs/>
                <w:color w:val="auto"/>
                <w:szCs w:val="21"/>
                <w:highlight w:val="none"/>
              </w:rPr>
            </w:pPr>
          </w:p>
        </w:tc>
        <w:tc>
          <w:tcPr>
            <w:tcW w:w="208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触摸屏品牌</w:t>
            </w:r>
          </w:p>
        </w:tc>
        <w:tc>
          <w:tcPr>
            <w:tcW w:w="526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主控柜重量</w:t>
            </w:r>
          </w:p>
        </w:tc>
        <w:tc>
          <w:tcPr>
            <w:tcW w:w="526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约0.5t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主控柜尺寸(长宽高)</w:t>
            </w:r>
          </w:p>
        </w:tc>
        <w:tc>
          <w:tcPr>
            <w:tcW w:w="526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≤1000x500x2000mm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监控区域</w:t>
            </w:r>
          </w:p>
        </w:tc>
        <w:tc>
          <w:tcPr>
            <w:tcW w:w="526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rPr>
            </w:pPr>
            <w:r>
              <w:rPr>
                <w:rFonts w:hint="eastAsia" w:ascii="宋体" w:hAnsi="宋体" w:cs="宋体"/>
                <w:bCs/>
                <w:color w:val="auto"/>
                <w:szCs w:val="21"/>
                <w:highlight w:val="none"/>
              </w:rPr>
              <w:t>破碎腔、出料区、上料区、磁选区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968" w:type="dxa"/>
            <w:vMerge w:val="continue"/>
          </w:tcPr>
          <w:p>
            <w:pPr>
              <w:widowControl w:val="0"/>
              <w:autoSpaceDE w:val="0"/>
              <w:autoSpaceDN w:val="0"/>
              <w:adjustRightInd/>
              <w:snapToGrid/>
              <w:rPr>
                <w:rFonts w:ascii="宋体" w:hAnsi="宋体" w:cs="宋体"/>
                <w:bCs/>
                <w:color w:val="auto"/>
                <w:szCs w:val="21"/>
                <w:highlight w:val="none"/>
              </w:rPr>
            </w:pPr>
          </w:p>
        </w:tc>
        <w:tc>
          <w:tcPr>
            <w:tcW w:w="208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摄像头数量</w:t>
            </w:r>
          </w:p>
        </w:tc>
        <w:tc>
          <w:tcPr>
            <w:tcW w:w="526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968" w:type="dxa"/>
            <w:vMerge w:val="continue"/>
          </w:tcPr>
          <w:p>
            <w:pPr>
              <w:widowControl w:val="0"/>
              <w:autoSpaceDE w:val="0"/>
              <w:autoSpaceDN w:val="0"/>
              <w:adjustRightInd/>
              <w:snapToGrid/>
              <w:rPr>
                <w:rFonts w:ascii="宋体" w:hAnsi="宋体" w:cs="宋体"/>
                <w:bCs/>
                <w:color w:val="auto"/>
                <w:szCs w:val="21"/>
                <w:highlight w:val="none"/>
                <w:lang w:eastAsia="en-US"/>
              </w:rPr>
            </w:pPr>
          </w:p>
        </w:tc>
        <w:tc>
          <w:tcPr>
            <w:tcW w:w="208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监控摄像头品牌</w:t>
            </w:r>
          </w:p>
        </w:tc>
        <w:tc>
          <w:tcPr>
            <w:tcW w:w="526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海康威视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968" w:type="dxa"/>
            <w:vMerge w:val="continue"/>
            <w:tcBorders>
              <w:bottom w:val="single" w:color="auto" w:sz="4" w:space="0"/>
            </w:tcBorders>
          </w:tcPr>
          <w:p>
            <w:pPr>
              <w:widowControl w:val="0"/>
              <w:autoSpaceDE w:val="0"/>
              <w:autoSpaceDN w:val="0"/>
              <w:adjustRightInd/>
              <w:snapToGrid/>
              <w:rPr>
                <w:rFonts w:ascii="宋体" w:hAnsi="宋体" w:cs="宋体"/>
                <w:bCs/>
                <w:color w:val="auto"/>
                <w:szCs w:val="21"/>
                <w:highlight w:val="none"/>
                <w:lang w:eastAsia="en-US"/>
              </w:rPr>
            </w:pPr>
          </w:p>
        </w:tc>
        <w:tc>
          <w:tcPr>
            <w:tcW w:w="208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显示器</w:t>
            </w:r>
          </w:p>
        </w:tc>
        <w:tc>
          <w:tcPr>
            <w:tcW w:w="526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rPr>
            </w:pPr>
            <w:r>
              <w:rPr>
                <w:rFonts w:hint="eastAsia" w:ascii="宋体" w:hAnsi="宋体" w:cs="宋体"/>
                <w:color w:val="auto"/>
                <w:szCs w:val="21"/>
                <w:highlight w:val="none"/>
              </w:rPr>
              <w:t>监控大屏≥42寸，分辨率≥1920*1080，标配壁装支架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968" w:type="dxa"/>
            <w:vMerge w:val="continue"/>
            <w:tcBorders>
              <w:bottom w:val="single" w:color="auto" w:sz="4" w:space="0"/>
            </w:tcBorders>
          </w:tcPr>
          <w:p>
            <w:pPr>
              <w:widowControl w:val="0"/>
              <w:autoSpaceDE w:val="0"/>
              <w:autoSpaceDN w:val="0"/>
              <w:adjustRightInd/>
              <w:snapToGrid/>
              <w:rPr>
                <w:rFonts w:ascii="宋体" w:hAnsi="宋体" w:cs="宋体"/>
                <w:bCs/>
                <w:color w:val="auto"/>
                <w:szCs w:val="21"/>
                <w:highlight w:val="none"/>
              </w:rPr>
            </w:pPr>
          </w:p>
        </w:tc>
        <w:tc>
          <w:tcPr>
            <w:tcW w:w="208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lang w:eastAsia="en-US"/>
              </w:rPr>
            </w:pPr>
            <w:r>
              <w:rPr>
                <w:rFonts w:hint="eastAsia" w:ascii="宋体" w:hAnsi="宋体" w:cs="宋体"/>
                <w:bCs/>
                <w:color w:val="auto"/>
                <w:szCs w:val="21"/>
                <w:highlight w:val="none"/>
                <w:lang w:eastAsia="en-US"/>
              </w:rPr>
              <w:t>操作台</w:t>
            </w:r>
          </w:p>
        </w:tc>
        <w:tc>
          <w:tcPr>
            <w:tcW w:w="526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snapToGrid/>
              <w:rPr>
                <w:rFonts w:ascii="宋体" w:hAnsi="宋体" w:cs="宋体"/>
                <w:bCs/>
                <w:color w:val="auto"/>
                <w:szCs w:val="21"/>
                <w:highlight w:val="none"/>
              </w:rPr>
            </w:pPr>
            <w:r>
              <w:rPr>
                <w:rFonts w:hint="eastAsia" w:ascii="宋体" w:hAnsi="宋体" w:cs="宋体"/>
                <w:color w:val="auto"/>
                <w:szCs w:val="21"/>
                <w:highlight w:val="none"/>
              </w:rPr>
              <w:t>配备集成式操作台一个</w:t>
            </w:r>
          </w:p>
        </w:tc>
      </w:tr>
    </w:tbl>
    <w:p>
      <w:pPr>
        <w:widowControl w:val="0"/>
        <w:autoSpaceDE w:val="0"/>
        <w:autoSpaceDN w:val="0"/>
        <w:adjustRightInd/>
        <w:snapToGrid/>
        <w:rPr>
          <w:rFonts w:ascii="宋体" w:hAnsi="宋体" w:cs="宋体"/>
          <w:color w:val="auto"/>
          <w:szCs w:val="21"/>
          <w:highlight w:val="none"/>
        </w:rPr>
      </w:pPr>
    </w:p>
    <w:p>
      <w:pPr>
        <w:widowControl w:val="0"/>
        <w:autoSpaceDE w:val="0"/>
        <w:autoSpaceDN w:val="0"/>
        <w:adjustRightInd/>
        <w:snapToGrid/>
        <w:ind w:firstLine="211" w:firstLineChars="100"/>
        <w:outlineLvl w:val="3"/>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2.链板输送机</w:t>
      </w:r>
    </w:p>
    <w:tbl>
      <w:tblPr>
        <w:tblStyle w:val="34"/>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5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830" w:type="dxa"/>
            <w:vAlign w:val="center"/>
          </w:tcPr>
          <w:p>
            <w:pPr>
              <w:autoSpaceDE w:val="0"/>
              <w:autoSpaceDN w:val="0"/>
              <w:adjustRightInd/>
              <w:snapToGrid/>
              <w:jc w:val="center"/>
              <w:textAlignment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项目</w:t>
            </w:r>
          </w:p>
        </w:tc>
        <w:tc>
          <w:tcPr>
            <w:tcW w:w="5690" w:type="dxa"/>
            <w:vAlign w:val="center"/>
          </w:tcPr>
          <w:p>
            <w:pPr>
              <w:autoSpaceDE w:val="0"/>
              <w:autoSpaceDN w:val="0"/>
              <w:adjustRightInd/>
              <w:snapToGrid/>
              <w:jc w:val="center"/>
              <w:textAlignment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链板宽度</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≥2000mm（满足现场需求）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链板长度</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≥12.5m（满足现场需求）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输送能力</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≥10吨/小时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链板机速度</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0～15 m/min（变频调速）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输送载荷</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≥500kg/m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链板材质</w:t>
            </w:r>
          </w:p>
        </w:tc>
        <w:tc>
          <w:tcPr>
            <w:tcW w:w="5690"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材质为Q345B或更优，厚度≥4mm。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输送角度</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输送角度为≤25°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动力安装方式</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右手机（由进料端看）.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减速电机</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val="zh-CN"/>
              </w:rPr>
              <w:t>通力、博能、国贸等国产优质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轴承</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WGB等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电压</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380V 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30" w:type="dxa"/>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bCs/>
                <w:color w:val="auto"/>
                <w:szCs w:val="21"/>
                <w:highlight w:val="none"/>
                <w:lang w:eastAsia="en-US"/>
              </w:rPr>
              <w:t>变频器</w:t>
            </w:r>
          </w:p>
        </w:tc>
        <w:tc>
          <w:tcPr>
            <w:tcW w:w="5690" w:type="dxa"/>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bCs/>
                <w:color w:val="auto"/>
                <w:szCs w:val="21"/>
                <w:highlight w:val="none"/>
                <w:lang w:eastAsia="en-US"/>
              </w:rPr>
              <w:t>ABB/施耐德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驱动功率</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7.5KW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传动方式</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电机→减速机→链板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机架</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采用Q235或更优型材，合理的框架焊接结构，优良的生产加工工艺，确保设备在长时间重负荷中的稳定性。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283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控制方式</w:t>
            </w:r>
          </w:p>
        </w:tc>
        <w:tc>
          <w:tcPr>
            <w:tcW w:w="5690"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rPr>
              <w:t>集成至破碎机电气控制柜。</w:t>
            </w:r>
            <w:r>
              <w:rPr>
                <w:rFonts w:hint="eastAsia" w:ascii="宋体" w:hAnsi="宋体" w:cs="宋体"/>
                <w:color w:val="auto"/>
                <w:szCs w:val="21"/>
                <w:highlight w:val="none"/>
                <w:lang w:eastAsia="en-US"/>
              </w:rPr>
              <w:t>采取联动控制方式。</w:t>
            </w:r>
          </w:p>
        </w:tc>
      </w:tr>
    </w:tbl>
    <w:p>
      <w:pPr>
        <w:widowControl w:val="0"/>
        <w:autoSpaceDE w:val="0"/>
        <w:autoSpaceDN w:val="0"/>
        <w:adjustRightInd/>
        <w:snapToGrid/>
        <w:rPr>
          <w:rFonts w:ascii="宋体" w:hAnsi="宋体" w:cs="宋体"/>
          <w:color w:val="auto"/>
          <w:szCs w:val="21"/>
          <w:highlight w:val="none"/>
          <w:lang w:eastAsia="en-US"/>
        </w:rPr>
      </w:pP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技术要求：</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▲（1）链板输送机主机架采用优质碳素结构钢焊接而成，承重力性能好，抗变形能力优良,确保设备在长时间重负荷中的稳定性。</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（2）负载链板耐酸碱、耐腐蚀，使用寿命长，能在垃圾破碎过程中承受多种物料的冲击与破坏，且链板材质符合国家通用标准，承载大，性能稳定。</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（3）采用变频电机+减速机的驱动方式；</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（4）出料位置应安装拨料装置，均匀把物料输送到破碎机中。</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（5）输送机表面配备防滑间隔装置，可通过调速，平稳地将货品爬升或下送至指定位置。</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（6）输送能力大。能满足集中来料时的超大载荷。</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（7）结构通用性强，安装方式灵活，方便更换与维护，输送线路布置灵活。</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（8）链板式输送机可在较大的倾角和较小的弯曲半径的条件下输送，布置的灵活性应较大。</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（9）应满足连续或间断运行、频繁启停和在满载情况下启动运行的各种工况要求，并保证出力达到前列工况的设计要求。</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（10）设备保证正常运行，不跑偏，按严重冲击和骤变载荷设计。张紧装置调节方便，设备可适应不同大小的物料而不至于造成困难或运行终止。保证出力最大时仍能正常工作，而设备各部件不损坏，不变形。</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11）尾部张紧装置调节灵活，采用丝杆张紧方式，丝杆相对滑动自如。行走轨道的中心线与输送机机槽对称中心线的对称度≤4mm。链条张紧装置位于底部机壳外，采用自动张紧设计，张紧力恒定、张紧行程长。</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（12）头部其头轮轴自由端留有自由膨胀的余地，非自由端有牢固定位措施。头轮、尾轮应转动灵活（手扳即动）。轴承座在机壳上安装调试并紧固之后，轮齿对称中心面对壳体对称中心面的对称度≤2mm。</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（13）链条型式可采用板式套筒滚子链，其材料的硬度值 HRC≥45。链条组件的使用寿命≥5年。</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（14）设备尾端输出结构应保证环境清洁。</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（15）尾轮上设置转速传感器，监测尾轮转速，尾轮转速降低为零时，自动切断电动机电源停机。</w:t>
      </w:r>
    </w:p>
    <w:p>
      <w:pPr>
        <w:widowControl w:val="0"/>
        <w:autoSpaceDE w:val="0"/>
        <w:autoSpaceDN w:val="0"/>
        <w:adjustRightInd/>
        <w:snapToGrid/>
        <w:rPr>
          <w:rFonts w:ascii="宋体" w:hAnsi="宋体" w:cs="宋体"/>
          <w:color w:val="auto"/>
          <w:szCs w:val="21"/>
          <w:highlight w:val="none"/>
        </w:rPr>
      </w:pPr>
    </w:p>
    <w:p>
      <w:pPr>
        <w:widowControl w:val="0"/>
        <w:autoSpaceDE w:val="0"/>
        <w:autoSpaceDN w:val="0"/>
        <w:adjustRightInd/>
        <w:snapToGrid/>
        <w:ind w:firstLine="211" w:firstLineChars="100"/>
        <w:outlineLvl w:val="3"/>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3.皮带输送机</w:t>
      </w:r>
    </w:p>
    <w:tbl>
      <w:tblPr>
        <w:tblStyle w:val="34"/>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5"/>
        <w:gridCol w:w="6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2515" w:type="dxa"/>
            <w:vAlign w:val="center"/>
          </w:tcPr>
          <w:p>
            <w:pPr>
              <w:autoSpaceDE w:val="0"/>
              <w:autoSpaceDN w:val="0"/>
              <w:adjustRightInd/>
              <w:snapToGrid/>
              <w:jc w:val="center"/>
              <w:textAlignment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项目</w:t>
            </w:r>
          </w:p>
        </w:tc>
        <w:tc>
          <w:tcPr>
            <w:tcW w:w="6005" w:type="dxa"/>
            <w:vAlign w:val="center"/>
          </w:tcPr>
          <w:p>
            <w:pPr>
              <w:autoSpaceDE w:val="0"/>
              <w:autoSpaceDN w:val="0"/>
              <w:adjustRightInd/>
              <w:snapToGrid/>
              <w:jc w:val="center"/>
              <w:textAlignment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输送能力</w:t>
            </w:r>
          </w:p>
        </w:tc>
        <w:tc>
          <w:tcPr>
            <w:tcW w:w="600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≥8吨/小时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运行速度</w:t>
            </w:r>
          </w:p>
        </w:tc>
        <w:tc>
          <w:tcPr>
            <w:tcW w:w="600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0-30m/min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输送载荷</w:t>
            </w:r>
          </w:p>
        </w:tc>
        <w:tc>
          <w:tcPr>
            <w:tcW w:w="600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≥200kg/m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皮带</w:t>
            </w:r>
          </w:p>
        </w:tc>
        <w:tc>
          <w:tcPr>
            <w:tcW w:w="6005"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材质为阻燃橡胶，宽度1200mm，厚度为10mm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输送角度</w:t>
            </w:r>
          </w:p>
        </w:tc>
        <w:tc>
          <w:tcPr>
            <w:tcW w:w="600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输送角度为≤20°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动力安装方式</w:t>
            </w:r>
          </w:p>
        </w:tc>
        <w:tc>
          <w:tcPr>
            <w:tcW w:w="6005" w:type="dxa"/>
            <w:vAlign w:val="center"/>
          </w:tcPr>
          <w:p>
            <w:pPr>
              <w:autoSpaceDE w:val="0"/>
              <w:autoSpaceDN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右手机（由进料端看）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减速机</w:t>
            </w:r>
          </w:p>
        </w:tc>
        <w:tc>
          <w:tcPr>
            <w:tcW w:w="6005" w:type="dxa"/>
            <w:vAlign w:val="center"/>
          </w:tcPr>
          <w:p>
            <w:pPr>
              <w:autoSpaceDE w:val="0"/>
              <w:autoSpaceDN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val="zh-CN"/>
              </w:rPr>
              <w:t>通力、博能、国贸等国产优质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轴承</w:t>
            </w:r>
          </w:p>
        </w:tc>
        <w:tc>
          <w:tcPr>
            <w:tcW w:w="600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WGB等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电机</w:t>
            </w:r>
          </w:p>
        </w:tc>
        <w:tc>
          <w:tcPr>
            <w:tcW w:w="600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val="zh-CN" w:eastAsia="en-US"/>
              </w:rPr>
              <w:t>国产优质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电压</w:t>
            </w:r>
          </w:p>
        </w:tc>
        <w:tc>
          <w:tcPr>
            <w:tcW w:w="600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380V 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驱动功率</w:t>
            </w:r>
          </w:p>
        </w:tc>
        <w:tc>
          <w:tcPr>
            <w:tcW w:w="600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5.5kW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传动方式</w:t>
            </w:r>
          </w:p>
        </w:tc>
        <w:tc>
          <w:tcPr>
            <w:tcW w:w="600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电机→减速机→皮带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8"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机架</w:t>
            </w:r>
          </w:p>
        </w:tc>
        <w:tc>
          <w:tcPr>
            <w:tcW w:w="6005" w:type="dxa"/>
            <w:vAlign w:val="center"/>
          </w:tcPr>
          <w:p>
            <w:pPr>
              <w:autoSpaceDE w:val="0"/>
              <w:autoSpaceDN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采用Q235或更优型材，合理的框架焊接结构，优良的生产加工工艺，确保设备在长时间重负荷中的稳定性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2515" w:type="dxa"/>
            <w:vAlign w:val="center"/>
          </w:tcPr>
          <w:p>
            <w:pPr>
              <w:autoSpaceDE w:val="0"/>
              <w:autoSpaceDN w:val="0"/>
              <w:adjustRightInd/>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控制方式</w:t>
            </w:r>
          </w:p>
        </w:tc>
        <w:tc>
          <w:tcPr>
            <w:tcW w:w="6005" w:type="dxa"/>
            <w:vAlign w:val="center"/>
          </w:tcPr>
          <w:p>
            <w:pPr>
              <w:autoSpaceDE w:val="0"/>
              <w:autoSpaceDN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集成至破碎机电气控制柜，采取联动控制方式</w:t>
            </w:r>
          </w:p>
        </w:tc>
      </w:tr>
    </w:tbl>
    <w:p>
      <w:pPr>
        <w:widowControl w:val="0"/>
        <w:autoSpaceDE w:val="0"/>
        <w:autoSpaceDN w:val="0"/>
        <w:adjustRightInd/>
        <w:snapToGrid/>
        <w:rPr>
          <w:rFonts w:ascii="宋体" w:hAnsi="宋体" w:cs="宋体"/>
          <w:color w:val="auto"/>
          <w:szCs w:val="21"/>
          <w:highlight w:val="none"/>
        </w:rPr>
      </w:pPr>
    </w:p>
    <w:p>
      <w:pPr>
        <w:widowControl w:val="0"/>
        <w:autoSpaceDE w:val="0"/>
        <w:autoSpaceDN w:val="0"/>
        <w:adjustRightInd/>
        <w:snapToGrid/>
        <w:ind w:firstLine="211" w:firstLineChars="100"/>
        <w:outlineLvl w:val="3"/>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4.除铁器</w:t>
      </w:r>
    </w:p>
    <w:tbl>
      <w:tblPr>
        <w:tblStyle w:val="34"/>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8"/>
        <w:gridCol w:w="6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68" w:type="dxa"/>
            <w:vAlign w:val="center"/>
          </w:tcPr>
          <w:p>
            <w:pPr>
              <w:autoSpaceDE w:val="0"/>
              <w:autoSpaceDN w:val="0"/>
              <w:adjustRightInd/>
              <w:snapToGrid/>
              <w:textAlignment w:val="baseline"/>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项目</w:t>
            </w:r>
          </w:p>
        </w:tc>
        <w:tc>
          <w:tcPr>
            <w:tcW w:w="6052" w:type="dxa"/>
            <w:vAlign w:val="center"/>
          </w:tcPr>
          <w:p>
            <w:pPr>
              <w:autoSpaceDE w:val="0"/>
              <w:autoSpaceDN w:val="0"/>
              <w:adjustRightInd/>
              <w:snapToGrid/>
              <w:textAlignment w:val="baseline"/>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68"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适应带宽</w:t>
            </w:r>
          </w:p>
        </w:tc>
        <w:tc>
          <w:tcPr>
            <w:tcW w:w="6052"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1200mm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68"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额定吊高</w:t>
            </w:r>
          </w:p>
        </w:tc>
        <w:tc>
          <w:tcPr>
            <w:tcW w:w="6052"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68"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磁场有效长度</w:t>
            </w:r>
          </w:p>
        </w:tc>
        <w:tc>
          <w:tcPr>
            <w:tcW w:w="6052"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≥1500mm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68"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物料厚度</w:t>
            </w:r>
          </w:p>
        </w:tc>
        <w:tc>
          <w:tcPr>
            <w:tcW w:w="6052"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≤250mm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68"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磁场强度</w:t>
            </w:r>
          </w:p>
        </w:tc>
        <w:tc>
          <w:tcPr>
            <w:tcW w:w="6052"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≥70mT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68"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驱动功率</w:t>
            </w:r>
          </w:p>
        </w:tc>
        <w:tc>
          <w:tcPr>
            <w:tcW w:w="6052"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4kW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68"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适应带速</w:t>
            </w:r>
          </w:p>
        </w:tc>
        <w:tc>
          <w:tcPr>
            <w:tcW w:w="6052"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≥2250mm/s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68"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电压</w:t>
            </w:r>
          </w:p>
        </w:tc>
        <w:tc>
          <w:tcPr>
            <w:tcW w:w="6052"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380V 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68"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lang w:eastAsia="en-US"/>
              </w:rPr>
              <w:t>控制方式</w:t>
            </w:r>
          </w:p>
        </w:tc>
        <w:tc>
          <w:tcPr>
            <w:tcW w:w="6052" w:type="dxa"/>
            <w:vAlign w:val="center"/>
          </w:tcPr>
          <w:p>
            <w:pPr>
              <w:autoSpaceDE w:val="0"/>
              <w:autoSpaceDN w:val="0"/>
              <w:adjustRightInd/>
              <w:snapToGrid/>
              <w:textAlignment w:val="baseline"/>
              <w:rPr>
                <w:rFonts w:ascii="宋体" w:hAnsi="宋体" w:cs="宋体"/>
                <w:color w:val="auto"/>
                <w:szCs w:val="21"/>
                <w:highlight w:val="none"/>
                <w:lang w:eastAsia="en-US"/>
              </w:rPr>
            </w:pPr>
            <w:r>
              <w:rPr>
                <w:rFonts w:hint="eastAsia" w:ascii="宋体" w:hAnsi="宋体" w:cs="宋体"/>
                <w:color w:val="auto"/>
                <w:szCs w:val="21"/>
                <w:highlight w:val="none"/>
              </w:rPr>
              <w:t>集成至破碎机电气控制柜。</w:t>
            </w:r>
            <w:r>
              <w:rPr>
                <w:rFonts w:hint="eastAsia" w:ascii="宋体" w:hAnsi="宋体" w:cs="宋体"/>
                <w:color w:val="auto"/>
                <w:szCs w:val="21"/>
                <w:highlight w:val="none"/>
                <w:lang w:eastAsia="en-US"/>
              </w:rPr>
              <w:t>采取联动控制方式。</w:t>
            </w:r>
          </w:p>
        </w:tc>
      </w:tr>
    </w:tbl>
    <w:p>
      <w:pPr>
        <w:widowControl w:val="0"/>
        <w:autoSpaceDE w:val="0"/>
        <w:autoSpaceDN w:val="0"/>
        <w:ind w:left="638"/>
        <w:rPr>
          <w:rFonts w:ascii="宋体" w:hAnsi="宋体" w:cs="宋体"/>
          <w:color w:val="auto"/>
          <w:szCs w:val="21"/>
          <w:highlight w:val="none"/>
          <w:lang w:eastAsia="en-US"/>
        </w:rPr>
      </w:pPr>
      <w:r>
        <w:rPr>
          <w:rFonts w:hint="eastAsia" w:ascii="宋体" w:hAnsi="宋体" w:cs="宋体"/>
          <w:color w:val="auto"/>
          <w:szCs w:val="21"/>
          <w:highlight w:val="none"/>
        </w:rPr>
        <w:t>技术要求：</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（1）采用高强度稀土钕铁硼组成强力磁芯，具有高强磁场。</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（2）结构简单，方便维护，部件精简，降低维护成本。</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（3）采用轴驱动电机，有效解决链轮链条驱动的断链、掉链或皮带驱动的断带、跑滑故障。</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（4）自动卸铁胶带采用高强度环形一体橡胶带，一体自带的刮板轻松完成卸铁作业。</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（5）可支撑安装支架，既能满足不同的安装方式，又能保护皮带不受外来破坏影响，延长皮带寿命。</w:t>
      </w:r>
    </w:p>
    <w:p>
      <w:pPr>
        <w:widowControl w:val="0"/>
        <w:autoSpaceDE w:val="0"/>
        <w:autoSpaceDN w:val="0"/>
        <w:ind w:left="638"/>
        <w:rPr>
          <w:rFonts w:ascii="宋体" w:hAnsi="宋体" w:cs="宋体"/>
          <w:color w:val="auto"/>
          <w:szCs w:val="21"/>
          <w:highlight w:val="none"/>
        </w:rPr>
      </w:pPr>
    </w:p>
    <w:p>
      <w:pPr>
        <w:widowControl w:val="0"/>
        <w:autoSpaceDE w:val="0"/>
        <w:autoSpaceDN w:val="0"/>
        <w:adjustRightInd/>
        <w:snapToGrid/>
        <w:ind w:firstLine="211" w:firstLineChars="100"/>
        <w:outlineLvl w:val="3"/>
        <w:rPr>
          <w:rFonts w:ascii="宋体" w:hAnsi="宋体" w:cs="宋体"/>
          <w:b/>
          <w:bCs/>
          <w:color w:val="auto"/>
          <w:szCs w:val="21"/>
          <w:highlight w:val="none"/>
        </w:rPr>
      </w:pPr>
      <w:r>
        <w:rPr>
          <w:rFonts w:hint="eastAsia" w:ascii="宋体" w:hAnsi="宋体" w:cs="宋体"/>
          <w:b/>
          <w:bCs/>
          <w:color w:val="auto"/>
          <w:szCs w:val="21"/>
          <w:highlight w:val="none"/>
        </w:rPr>
        <w:t>5.大件垃圾出料收集箱</w:t>
      </w:r>
    </w:p>
    <w:tbl>
      <w:tblPr>
        <w:tblStyle w:val="35"/>
        <w:tblW w:w="85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9"/>
        <w:gridCol w:w="4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9" w:type="dxa"/>
          </w:tcPr>
          <w:p>
            <w:pPr>
              <w:widowControl w:val="0"/>
              <w:autoSpaceDE w:val="0"/>
              <w:autoSpaceDN w:val="0"/>
              <w:rPr>
                <w:rFonts w:ascii="宋体" w:hAnsi="宋体" w:cs="宋体"/>
                <w:b/>
                <w:bCs/>
                <w:color w:val="auto"/>
                <w:szCs w:val="21"/>
                <w:highlight w:val="none"/>
              </w:rPr>
            </w:pPr>
            <w:r>
              <w:rPr>
                <w:rFonts w:hint="eastAsia" w:ascii="宋体" w:hAnsi="宋体" w:cs="宋体"/>
                <w:b/>
                <w:bCs/>
                <w:color w:val="auto"/>
                <w:szCs w:val="21"/>
                <w:highlight w:val="none"/>
              </w:rPr>
              <w:t>项目</w:t>
            </w:r>
          </w:p>
        </w:tc>
        <w:tc>
          <w:tcPr>
            <w:tcW w:w="4359" w:type="dxa"/>
          </w:tcPr>
          <w:p>
            <w:pPr>
              <w:widowControl w:val="0"/>
              <w:autoSpaceDE w:val="0"/>
              <w:autoSpaceDN w:val="0"/>
              <w:rPr>
                <w:rFonts w:ascii="宋体" w:hAnsi="宋体" w:cs="宋体"/>
                <w:b/>
                <w:bCs/>
                <w:color w:val="auto"/>
                <w:szCs w:val="21"/>
                <w:highlight w:val="none"/>
              </w:rPr>
            </w:pPr>
            <w:r>
              <w:rPr>
                <w:rFonts w:hint="eastAsia" w:ascii="宋体" w:hAnsi="宋体" w:cs="宋体"/>
                <w:b/>
                <w:bCs/>
                <w:color w:val="auto"/>
                <w:szCs w:val="21"/>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尺寸</w:t>
            </w:r>
          </w:p>
        </w:tc>
        <w:tc>
          <w:tcPr>
            <w:tcW w:w="435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≥5000*2500*2100mm</w:t>
            </w:r>
          </w:p>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（最终根据实际需要调整）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匹配勾臂车</w:t>
            </w:r>
          </w:p>
        </w:tc>
        <w:tc>
          <w:tcPr>
            <w:tcW w:w="435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18吨或25吨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箱体底板和侧板厚度</w:t>
            </w:r>
          </w:p>
        </w:tc>
        <w:tc>
          <w:tcPr>
            <w:tcW w:w="435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顶盖门和尾门开启方式</w:t>
            </w:r>
          </w:p>
        </w:tc>
        <w:tc>
          <w:tcPr>
            <w:tcW w:w="435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液压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钩心高度</w:t>
            </w:r>
          </w:p>
        </w:tc>
        <w:tc>
          <w:tcPr>
            <w:tcW w:w="435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≥1570mm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箱体板材材质</w:t>
            </w:r>
          </w:p>
        </w:tc>
        <w:tc>
          <w:tcPr>
            <w:tcW w:w="435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热轧钢Q235或更优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容积</w:t>
            </w:r>
          </w:p>
        </w:tc>
        <w:tc>
          <w:tcPr>
            <w:tcW w:w="435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≥15m³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备注</w:t>
            </w:r>
          </w:p>
        </w:tc>
        <w:tc>
          <w:tcPr>
            <w:tcW w:w="4359" w:type="dxa"/>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无压缩机头</w:t>
            </w:r>
          </w:p>
        </w:tc>
      </w:tr>
    </w:tbl>
    <w:p>
      <w:pPr>
        <w:widowControl w:val="0"/>
        <w:autoSpaceDE w:val="0"/>
        <w:autoSpaceDN w:val="0"/>
        <w:ind w:left="638"/>
        <w:rPr>
          <w:rFonts w:ascii="宋体" w:hAnsi="宋体" w:cs="宋体"/>
          <w:color w:val="auto"/>
          <w:szCs w:val="21"/>
          <w:highlight w:val="none"/>
        </w:rPr>
      </w:pPr>
    </w:p>
    <w:p>
      <w:pPr>
        <w:widowControl w:val="0"/>
        <w:autoSpaceDE w:val="0"/>
        <w:autoSpaceDN w:val="0"/>
        <w:ind w:left="638"/>
        <w:rPr>
          <w:rFonts w:ascii="宋体" w:hAnsi="宋体" w:cs="宋体"/>
          <w:color w:val="auto"/>
          <w:szCs w:val="21"/>
          <w:highlight w:val="none"/>
        </w:rPr>
      </w:pPr>
    </w:p>
    <w:p>
      <w:pPr>
        <w:widowControl w:val="0"/>
        <w:numPr>
          <w:ilvl w:val="1"/>
          <w:numId w:val="39"/>
        </w:numPr>
        <w:autoSpaceDE w:val="0"/>
        <w:autoSpaceDN w:val="0"/>
        <w:ind w:left="992" w:hanging="567"/>
        <w:jc w:val="both"/>
        <w:outlineLvl w:val="1"/>
        <w:rPr>
          <w:rFonts w:ascii="宋体" w:hAnsi="宋体" w:cs="宋体"/>
          <w:b/>
          <w:color w:val="auto"/>
          <w:szCs w:val="21"/>
          <w:highlight w:val="none"/>
          <w:lang w:eastAsia="en-US"/>
        </w:rPr>
      </w:pPr>
      <w:bookmarkStart w:id="336" w:name="_Toc146535727"/>
      <w:r>
        <w:rPr>
          <w:rFonts w:hint="eastAsia" w:ascii="宋体" w:hAnsi="宋体" w:cs="宋体"/>
          <w:b/>
          <w:color w:val="auto"/>
          <w:szCs w:val="21"/>
          <w:highlight w:val="none"/>
          <w:lang w:eastAsia="en-US"/>
        </w:rPr>
        <w:t>工作范围</w:t>
      </w:r>
      <w:bookmarkEnd w:id="336"/>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中标人的工作范围包括但不限于下表4-1所列内容。</w:t>
      </w:r>
    </w:p>
    <w:p>
      <w:pPr>
        <w:widowControl w:val="0"/>
        <w:autoSpaceDE w:val="0"/>
        <w:autoSpaceDN w:val="0"/>
        <w:adjustRightInd/>
        <w:snapToGrid/>
        <w:ind w:left="368" w:hanging="367" w:hangingChars="175"/>
        <w:jc w:val="center"/>
        <w:rPr>
          <w:rFonts w:ascii="宋体" w:hAnsi="宋体" w:cs="宋体"/>
          <w:color w:val="auto"/>
          <w:szCs w:val="21"/>
          <w:highlight w:val="none"/>
        </w:rPr>
      </w:pPr>
      <w:r>
        <w:rPr>
          <w:rFonts w:hint="eastAsia" w:ascii="宋体" w:hAnsi="宋体" w:cs="宋体"/>
          <w:color w:val="auto"/>
          <w:kern w:val="2"/>
          <w:szCs w:val="21"/>
          <w:highlight w:val="none"/>
        </w:rPr>
        <w:t>表4-1 工作服务范围一览表</w:t>
      </w:r>
    </w:p>
    <w:tbl>
      <w:tblPr>
        <w:tblStyle w:val="34"/>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034"/>
        <w:gridCol w:w="2719"/>
        <w:gridCol w:w="1030"/>
        <w:gridCol w:w="1030"/>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tblHeader/>
          <w:jc w:val="center"/>
        </w:trPr>
        <w:tc>
          <w:tcPr>
            <w:tcW w:w="1034" w:type="dxa"/>
            <w:shd w:val="clear" w:color="auto" w:fill="FFFFFF"/>
            <w:vAlign w:val="center"/>
          </w:tcPr>
          <w:p>
            <w:pPr>
              <w:widowControl w:val="0"/>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719" w:type="dxa"/>
            <w:shd w:val="clear" w:color="auto" w:fill="FFFFFF"/>
            <w:vAlign w:val="center"/>
          </w:tcPr>
          <w:p>
            <w:pPr>
              <w:widowControl w:val="0"/>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rPr>
              <w:t>工作描述</w:t>
            </w:r>
          </w:p>
        </w:tc>
        <w:tc>
          <w:tcPr>
            <w:tcW w:w="1030" w:type="dxa"/>
            <w:shd w:val="clear" w:color="auto" w:fill="FFFFFF"/>
            <w:vAlign w:val="center"/>
          </w:tcPr>
          <w:p>
            <w:pPr>
              <w:widowControl w:val="0"/>
              <w:autoSpaceDE w:val="0"/>
              <w:autoSpaceDN w:val="0"/>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采购人</w:t>
            </w:r>
          </w:p>
        </w:tc>
        <w:tc>
          <w:tcPr>
            <w:tcW w:w="1030" w:type="dxa"/>
            <w:shd w:val="clear" w:color="auto" w:fill="FFFFFF"/>
            <w:vAlign w:val="center"/>
          </w:tcPr>
          <w:p>
            <w:pPr>
              <w:widowControl w:val="0"/>
              <w:autoSpaceDE w:val="0"/>
              <w:autoSpaceDN w:val="0"/>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中标人</w:t>
            </w:r>
          </w:p>
        </w:tc>
        <w:tc>
          <w:tcPr>
            <w:tcW w:w="2706" w:type="dxa"/>
            <w:shd w:val="clear" w:color="auto" w:fill="FFFFFF"/>
            <w:vAlign w:val="center"/>
          </w:tcPr>
          <w:p>
            <w:pPr>
              <w:widowControl w:val="0"/>
              <w:autoSpaceDE w:val="0"/>
              <w:autoSpaceDN w:val="0"/>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一</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基本工作内容</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设备设计</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设备供货，含保险、运输等</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施工安装</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1.4</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调试、性能测试</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1.5</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二次预埋件</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1.6</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技术资料</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1.6.1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设备说明书</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1.6.2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操作维护手册</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二</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设备供货范围</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生活垃圾压缩转运系统</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2.1.1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水平直压式垃圾压缩机（含卸料斗及链接机构）</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2.1.2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移箱平台</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2.1.3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地磅（车辆称重系统）</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2.1.4</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中央控制系统</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2.1.5</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卸料口快速卷帘门</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2.1.6</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转运口快速卷帘门</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2.1.7</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高压清洗机</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2.1.8</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背负式消杀喷雾器</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大件垃圾处理</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2.2.1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双轴破碎机</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2.2.2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链板输送机</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2.2.3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皮带输送机</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2.2.4</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除铁器</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2.2.5</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大件垃圾出料收集箱</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备品备件</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一年期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2.4</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专用工具</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三</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施工安装</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施工、安装</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设备材料装卸、安装</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设备接收、卸车至指定场地</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设备及材料现场存放管理</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存放至安装现场的二次转运</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3.2.4</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所有临时及永久性设施的吊装</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3.2.5</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组装、定位、螺栓锚固、灌浆、找平</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90"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3.2.6</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检验与校准</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检验测试</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调试/测试计划</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启动前检查</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点动试验</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3.3.4</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单机测试</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现场安全管理</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现场清理，废物处理外运</w:t>
            </w:r>
          </w:p>
        </w:tc>
        <w:tc>
          <w:tcPr>
            <w:tcW w:w="1030" w:type="dxa"/>
            <w:shd w:val="clear" w:color="auto" w:fill="FFFFFF"/>
            <w:vAlign w:val="center"/>
          </w:tcPr>
          <w:p>
            <w:pPr>
              <w:adjustRightInd/>
              <w:snapToGrid/>
              <w:ind w:firstLine="420" w:firstLineChars="200"/>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项目管理</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进度计划</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3.4.4</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记录</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3.4.5</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月/周报告</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3.4.6</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照片</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3.4.7</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往来函件</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3.4.8</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竣工图纸</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3.5</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质量保证</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3.5.1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质量体系与质量计划</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3.5.2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质量程序</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3.5.3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生产过程检测</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3.5.4</w:t>
            </w:r>
          </w:p>
        </w:tc>
        <w:tc>
          <w:tcPr>
            <w:tcW w:w="2719"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承包商计划（如项目管理计划，人力资源计划，设计计划，生产计划，质量计划，安全健康计划，应急响应计划）</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现场设施与现场管理</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临时办公室（空）的搭设与拆除</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临时会议室</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家具及办公设施、用品</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3.7</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其它设施</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3.7.1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项目临时堆场、通道、工地</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3.7.2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爬梯，脚手架，工作平台</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3.7.3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现场照明</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3.7.4</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广告牌，临时围闭，标示牌，公告板</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3.7.5</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现场清理与整洁，含清运费</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3.7.6</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每日清理</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3.7.7</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每周整洁</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3.7.8</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施工结束时拆除，回收现场所有临时设施</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3.7.9</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施工结束时清理现场</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现场保安</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3.8.1</w:t>
            </w:r>
          </w:p>
        </w:tc>
        <w:tc>
          <w:tcPr>
            <w:tcW w:w="2719"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全场保安室，机动车栏杆，现场进出通道控制，大门</w:t>
            </w: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存放/预制组装区域防盗围栏保安</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已完工设施的保护</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3.9</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安全与环境管理</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3.9.1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安全专员与监督员</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3.9.2</w:t>
            </w:r>
          </w:p>
        </w:tc>
        <w:tc>
          <w:tcPr>
            <w:tcW w:w="2719"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现场雇员及劳工安全防护设备</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3.9.3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安全健康计划</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3.9.4</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参加现场每周安全巡检</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提供安全培训</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安全入场培训</w:t>
            </w: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安全三级教育</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安全工具箱会议</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3.10.4</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环境影响缓解措施</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3.10.5</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环境污染处理措施</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3.10.6</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垃圾管理</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3.10.7</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参加每周环境巡检</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3.10.8</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提供环境培训</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3.10.9</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环境保护入场培训</w:t>
            </w: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3.10.10</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环境保护三级教育</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连接与消耗</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3.11.1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临时电连接</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至一级配电箱（含），采购人提供箱变接入位置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3.11.2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临时生活用水连接</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至现场临时生活水连接点，采购人提供接驳点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3.11.3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临时污水连接</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至现场临时污水排放连接点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3.11.4</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施工用电消耗</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3.11.5</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施工用水消耗</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3.11.6</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首次润滑油、液压油</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3.11.7</w:t>
            </w:r>
          </w:p>
        </w:tc>
        <w:tc>
          <w:tcPr>
            <w:tcW w:w="2719"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调试用公用工程（水、电、气、汽等）</w:t>
            </w: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3.11.8</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调试过程中的垃圾</w:t>
            </w: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3.11.9</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施工现场临时消防器具</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3.11.10</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首次测量仪表标定</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3.11.11</w:t>
            </w:r>
          </w:p>
        </w:tc>
        <w:tc>
          <w:tcPr>
            <w:tcW w:w="2719"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进口设备/材料法定检验（如果有）</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3.11.12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技术文档</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培训</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3.12.1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作为人力资源计划的一部分，提交培训计划</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3.12.2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采购人操作及维修人员培训</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商务</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3.13.1</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保险</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3.13.2</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建筑安装工程一切保险</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3.13.3</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第三方责任险</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3.13.4</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机动车保险</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中标人车辆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3.13.5</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货物运输保险</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3.13.6</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员工人身意外险</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中标人员工及供货商设施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34"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3.13.7</w:t>
            </w:r>
          </w:p>
        </w:tc>
        <w:tc>
          <w:tcPr>
            <w:tcW w:w="2719"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税，规费和其它费用</w:t>
            </w:r>
          </w:p>
        </w:tc>
        <w:tc>
          <w:tcPr>
            <w:tcW w:w="1030" w:type="dxa"/>
            <w:shd w:val="clear" w:color="auto" w:fill="FFFFFF"/>
            <w:vAlign w:val="center"/>
          </w:tcPr>
          <w:p>
            <w:pPr>
              <w:adjustRightInd/>
              <w:snapToGrid/>
              <w:jc w:val="center"/>
              <w:rPr>
                <w:rFonts w:ascii="宋体" w:hAnsi="宋体" w:cs="宋体"/>
                <w:color w:val="auto"/>
                <w:szCs w:val="21"/>
                <w:highlight w:val="none"/>
              </w:rPr>
            </w:pPr>
          </w:p>
        </w:tc>
        <w:tc>
          <w:tcPr>
            <w:tcW w:w="103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2706" w:type="dxa"/>
            <w:shd w:val="clear" w:color="auto" w:fill="FFFFFF"/>
            <w:vAlign w:val="center"/>
          </w:tcPr>
          <w:p>
            <w:pPr>
              <w:adjustRightInd/>
              <w:snapToGrid/>
              <w:jc w:val="center"/>
              <w:rPr>
                <w:rFonts w:ascii="宋体" w:hAnsi="宋体" w:cs="宋体"/>
                <w:color w:val="auto"/>
                <w:szCs w:val="21"/>
                <w:highlight w:val="none"/>
              </w:rPr>
            </w:pPr>
          </w:p>
        </w:tc>
      </w:tr>
    </w:tbl>
    <w:p>
      <w:pPr>
        <w:widowControl w:val="0"/>
        <w:numPr>
          <w:ilvl w:val="1"/>
          <w:numId w:val="39"/>
        </w:numPr>
        <w:autoSpaceDE w:val="0"/>
        <w:autoSpaceDN w:val="0"/>
        <w:ind w:left="992" w:hanging="567"/>
        <w:jc w:val="both"/>
        <w:outlineLvl w:val="1"/>
        <w:rPr>
          <w:rFonts w:ascii="宋体" w:hAnsi="宋体" w:cs="宋体"/>
          <w:b/>
          <w:color w:val="auto"/>
          <w:szCs w:val="21"/>
          <w:highlight w:val="none"/>
          <w:lang w:eastAsia="en-US"/>
        </w:rPr>
      </w:pPr>
      <w:bookmarkStart w:id="337" w:name="_Toc146535728"/>
      <w:r>
        <w:rPr>
          <w:rFonts w:hint="eastAsia" w:ascii="宋体" w:hAnsi="宋体" w:cs="宋体"/>
          <w:b/>
          <w:color w:val="auto"/>
          <w:szCs w:val="21"/>
          <w:highlight w:val="none"/>
          <w:lang w:eastAsia="en-US"/>
        </w:rPr>
        <w:t>中标人职责</w:t>
      </w:r>
      <w:bookmarkEnd w:id="337"/>
    </w:p>
    <w:p>
      <w:pPr>
        <w:widowControl w:val="0"/>
        <w:numPr>
          <w:ilvl w:val="2"/>
          <w:numId w:val="40"/>
        </w:numPr>
        <w:autoSpaceDE w:val="0"/>
        <w:autoSpaceDN w:val="0"/>
        <w:jc w:val="both"/>
        <w:outlineLvl w:val="2"/>
        <w:rPr>
          <w:rFonts w:ascii="宋体" w:hAnsi="宋体" w:cs="宋体"/>
          <w:b/>
          <w:color w:val="auto"/>
          <w:szCs w:val="21"/>
          <w:highlight w:val="none"/>
        </w:rPr>
      </w:pPr>
      <w:bookmarkStart w:id="338" w:name="_Toc146535729"/>
      <w:r>
        <w:rPr>
          <w:rFonts w:hint="eastAsia" w:ascii="宋体" w:hAnsi="宋体" w:cs="宋体"/>
          <w:b/>
          <w:color w:val="auto"/>
          <w:szCs w:val="21"/>
          <w:highlight w:val="none"/>
        </w:rPr>
        <w:t>中标人的职责</w:t>
      </w:r>
      <w:bookmarkEnd w:id="338"/>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本合同中标人需按合同文件的各条款履行合同，其中至少包括如下职责：</w:t>
      </w:r>
    </w:p>
    <w:p>
      <w:pPr>
        <w:widowControl w:val="0"/>
        <w:numPr>
          <w:ilvl w:val="0"/>
          <w:numId w:val="41"/>
        </w:numPr>
        <w:tabs>
          <w:tab w:val="left" w:pos="-200"/>
        </w:tabs>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中标人需服从采购人的总体管理，配合采购人完成各项工作，共同实现项目的总体目标。</w:t>
      </w:r>
    </w:p>
    <w:p>
      <w:pPr>
        <w:widowControl w:val="0"/>
        <w:numPr>
          <w:ilvl w:val="0"/>
          <w:numId w:val="41"/>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中标人在履行合同过程中应遵守法律，并保证采购人免于承担因中标人违反法律而引起的任何责任。</w:t>
      </w:r>
    </w:p>
    <w:p>
      <w:pPr>
        <w:widowControl w:val="0"/>
        <w:numPr>
          <w:ilvl w:val="0"/>
          <w:numId w:val="41"/>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中标人应根据其最佳知识和经验来完成系统集成和设备供货，同时适当考虑同类项目业绩的性能结果。无论本技术说明如何描述，中标人应对集成功能保证范围内系统的功能负责。</w:t>
      </w:r>
    </w:p>
    <w:p>
      <w:pPr>
        <w:widowControl w:val="0"/>
        <w:numPr>
          <w:ilvl w:val="0"/>
          <w:numId w:val="41"/>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中标人须对本合同内全部设备、工程材料的质量品质负责；按国家法律和标准规范要求须送检样品由中标人负责，并承担相关费用；中标人按采购人要求提供设备技术协议。</w:t>
      </w:r>
    </w:p>
    <w:p>
      <w:pPr>
        <w:widowControl w:val="0"/>
        <w:numPr>
          <w:ilvl w:val="0"/>
          <w:numId w:val="41"/>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中标人须对本合同内全部设备、合同内各系统联动运行的可靠性和各系统的处理效果负责，确保功能的实现。</w:t>
      </w:r>
    </w:p>
    <w:p>
      <w:pPr>
        <w:widowControl w:val="0"/>
        <w:numPr>
          <w:ilvl w:val="0"/>
          <w:numId w:val="41"/>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由于设备质量缺项、电气控制设施等缺陷造成系统达不到采购文件规定的要求时，中标人应负其责任。</w:t>
      </w:r>
    </w:p>
    <w:p>
      <w:pPr>
        <w:widowControl w:val="0"/>
        <w:numPr>
          <w:ilvl w:val="0"/>
          <w:numId w:val="41"/>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必须确保集成功能保证范围内系统良好联动运行（包括自动控制），应确保集成功能保证范围内系统功能的实现，并提供属于本合同的所有设备附件及备件。如果中标人在投标时发现本采购文件和招标图纸中的技术规范存在缺陷，并将妨碍上述要求的实现，中标人有义务明确提出修正建议，但必须征得采购人的同意，决定是否采纳。</w:t>
      </w:r>
    </w:p>
    <w:p>
      <w:pPr>
        <w:widowControl w:val="0"/>
        <w:numPr>
          <w:ilvl w:val="0"/>
          <w:numId w:val="41"/>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中标人必须对设备的制造、供货、工厂测试、油漆、包装和运输负责，并需负责设备安装、检查和验收。</w:t>
      </w:r>
    </w:p>
    <w:p>
      <w:pPr>
        <w:widowControl w:val="0"/>
        <w:numPr>
          <w:ilvl w:val="0"/>
          <w:numId w:val="41"/>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中标人需负责对不合格的设备进行更换。</w:t>
      </w:r>
    </w:p>
    <w:p>
      <w:pPr>
        <w:widowControl w:val="0"/>
        <w:numPr>
          <w:ilvl w:val="0"/>
          <w:numId w:val="41"/>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中标人需对设备交付验收、工程验收负责。</w:t>
      </w:r>
    </w:p>
    <w:p>
      <w:pPr>
        <w:widowControl w:val="0"/>
        <w:numPr>
          <w:ilvl w:val="0"/>
          <w:numId w:val="41"/>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中标人需负责设备的单机调试、联动调试、带料调试、系统性能保证测试以及在此期间内的设备检测、维护， 保证系统的运行达到采购文件的要求。</w:t>
      </w:r>
    </w:p>
    <w:p>
      <w:pPr>
        <w:widowControl w:val="0"/>
        <w:numPr>
          <w:ilvl w:val="0"/>
          <w:numId w:val="41"/>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中标人需负责设备考察、工厂验收、设计联络等。</w:t>
      </w:r>
    </w:p>
    <w:p>
      <w:pPr>
        <w:widowControl w:val="0"/>
        <w:numPr>
          <w:ilvl w:val="2"/>
          <w:numId w:val="40"/>
        </w:numPr>
        <w:autoSpaceDE w:val="0"/>
        <w:autoSpaceDN w:val="0"/>
        <w:jc w:val="both"/>
        <w:outlineLvl w:val="2"/>
        <w:rPr>
          <w:rFonts w:ascii="宋体" w:hAnsi="宋体" w:cs="宋体"/>
          <w:b/>
          <w:color w:val="auto"/>
          <w:szCs w:val="21"/>
          <w:highlight w:val="none"/>
        </w:rPr>
      </w:pPr>
      <w:bookmarkStart w:id="339" w:name="_Toc146535730"/>
      <w:r>
        <w:rPr>
          <w:rFonts w:hint="eastAsia" w:ascii="宋体" w:hAnsi="宋体" w:cs="宋体"/>
          <w:b/>
          <w:color w:val="auto"/>
          <w:szCs w:val="21"/>
          <w:highlight w:val="none"/>
        </w:rPr>
        <w:t>设备提供</w:t>
      </w:r>
      <w:bookmarkEnd w:id="339"/>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中标人需提供本采购文件中指明供货范围内的所有机械设备、电气设备、自动控制设备、仪表、闸门和阀门及其他附属部件，及在采购文件中虽没有指明，但仍属于设备配套运行不可缺少的所有附件。</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凡为达到工程目的所需的招标范围内的各项设备及其有关部件，虽未详列在本技术规范中，仍应包括在各项设备中。中标人不得借故予以变更或要求增加费用。中标人应在无追加费用的条件下，完善承包的合同内容，高质量地完成整个承包合同。</w:t>
      </w:r>
    </w:p>
    <w:p>
      <w:pPr>
        <w:widowControl w:val="0"/>
        <w:numPr>
          <w:ilvl w:val="2"/>
          <w:numId w:val="40"/>
        </w:numPr>
        <w:autoSpaceDE w:val="0"/>
        <w:autoSpaceDN w:val="0"/>
        <w:jc w:val="both"/>
        <w:outlineLvl w:val="2"/>
        <w:rPr>
          <w:rFonts w:ascii="宋体" w:hAnsi="宋体" w:cs="宋体"/>
          <w:b/>
          <w:color w:val="auto"/>
          <w:szCs w:val="21"/>
          <w:highlight w:val="none"/>
        </w:rPr>
      </w:pPr>
      <w:bookmarkStart w:id="340" w:name="_Toc146535731"/>
      <w:r>
        <w:rPr>
          <w:rFonts w:hint="eastAsia" w:ascii="宋体" w:hAnsi="宋体" w:cs="宋体"/>
          <w:b/>
          <w:color w:val="auto"/>
          <w:szCs w:val="21"/>
          <w:highlight w:val="none"/>
        </w:rPr>
        <w:t>专用工具、易损件、备品备件</w:t>
      </w:r>
      <w:bookmarkEnd w:id="340"/>
    </w:p>
    <w:p>
      <w:pPr>
        <w:widowControl w:val="0"/>
        <w:numPr>
          <w:ilvl w:val="0"/>
          <w:numId w:val="42"/>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随机备品、备件和专用工具是生产厂家根据其产品的实际情况，随产品一起向采购人提供，其价格包含在设备的出厂价内的。要求提供的备品、备件和专用工具是采购人根据今后购买备品、备件和专用工具的方便性及可能性而在随机备品、备件和专用工具之外，另外提出的附加购置要求。中标人应确保要求提供的备品、备件和专用工具备有足够的存货，以保证设备和备品、备件及易损件的仓库供货，并承诺质量保证期内保证以不高于本表列明的价格提供备品、备件和专用工具，如果市场价格下调，则按下调的价格提供备品、备件。</w:t>
      </w:r>
    </w:p>
    <w:p>
      <w:pPr>
        <w:widowControl w:val="0"/>
        <w:numPr>
          <w:ilvl w:val="0"/>
          <w:numId w:val="42"/>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如设备维修和保养需要特殊专用工具，则需提供至少两套专用工具；另根据工作需要提供至少两套通用维修工具。维修工具应放置在专用工具包内。维修工具的价格计入投标报价。</w:t>
      </w:r>
    </w:p>
    <w:p>
      <w:pPr>
        <w:widowControl w:val="0"/>
        <w:numPr>
          <w:ilvl w:val="0"/>
          <w:numId w:val="42"/>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附件和工具应是新的、从未使用过，并应与设备同时交付给采购人。除非采购人特殊要求，中标人应示范工具与附件的使用方法。执行合同所需的附件和工具由中标人提供。</w:t>
      </w:r>
    </w:p>
    <w:p>
      <w:pPr>
        <w:widowControl w:val="0"/>
        <w:numPr>
          <w:ilvl w:val="0"/>
          <w:numId w:val="42"/>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在完成供货、安装和取得验收证书之前，中标人应更换或修理好由于其安装而造成磨损或损坏的部件。</w:t>
      </w:r>
    </w:p>
    <w:p>
      <w:pPr>
        <w:widowControl w:val="0"/>
        <w:numPr>
          <w:ilvl w:val="0"/>
          <w:numId w:val="42"/>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附件应与主要设备分开包装，或置于设计为在规定的环境条件下能保存很长时间的箱子内。任何不能按照以上方式包装的部件则应涂装临时保护层以防腐，并避免机械损害。所有附件应用简要的描述和部件号标识清楚。</w:t>
      </w:r>
    </w:p>
    <w:p>
      <w:pPr>
        <w:widowControl w:val="0"/>
        <w:numPr>
          <w:ilvl w:val="0"/>
          <w:numId w:val="42"/>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法兰、密封垫、管接头、螺栓和螺母、电缆接头、接线箱等所有附件均包括在供货范围内。所有连接件应按 ISO 标准制造，所有附件的材料、密封垫片的厚度应确保其密封性、耐用性、耐腐蚀和抗老化。密封垫应适当剪切，无多余边露出法兰。</w:t>
      </w:r>
    </w:p>
    <w:p>
      <w:pPr>
        <w:widowControl w:val="0"/>
        <w:numPr>
          <w:ilvl w:val="0"/>
          <w:numId w:val="42"/>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在设备质量保证期内如果由于设备缺陷造成设备零部件磨损，中标人应免费负责更换。明确由于采购人误操作等采购人人为因素导致的设备损坏，不在此范围内。</w:t>
      </w:r>
    </w:p>
    <w:p>
      <w:pPr>
        <w:widowControl w:val="0"/>
        <w:numPr>
          <w:ilvl w:val="0"/>
          <w:numId w:val="42"/>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严格按照招标需求及投标文件中所列备品备件清单供货。</w:t>
      </w:r>
    </w:p>
    <w:p>
      <w:pPr>
        <w:widowControl w:val="0"/>
        <w:numPr>
          <w:ilvl w:val="2"/>
          <w:numId w:val="40"/>
        </w:numPr>
        <w:autoSpaceDE w:val="0"/>
        <w:autoSpaceDN w:val="0"/>
        <w:jc w:val="both"/>
        <w:outlineLvl w:val="2"/>
        <w:rPr>
          <w:rFonts w:ascii="宋体" w:hAnsi="宋体" w:cs="宋体"/>
          <w:b/>
          <w:color w:val="auto"/>
          <w:szCs w:val="21"/>
          <w:highlight w:val="none"/>
        </w:rPr>
      </w:pPr>
      <w:bookmarkStart w:id="341" w:name="_Toc146535732"/>
      <w:r>
        <w:rPr>
          <w:rFonts w:hint="eastAsia" w:ascii="宋体" w:hAnsi="宋体" w:cs="宋体"/>
          <w:b/>
          <w:color w:val="auto"/>
          <w:szCs w:val="21"/>
          <w:highlight w:val="none"/>
        </w:rPr>
        <w:t>设备考察、工厂验收和设计联络</w:t>
      </w:r>
      <w:bookmarkEnd w:id="341"/>
    </w:p>
    <w:p>
      <w:pPr>
        <w:widowControl w:val="0"/>
        <w:numPr>
          <w:ilvl w:val="0"/>
          <w:numId w:val="43"/>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中标人所有外购设备厂家，必须经ISO9001质量管理体系和ISO14001环境管理体系认证，以确保产品质量，供货时须提供相关资格文件。</w:t>
      </w:r>
    </w:p>
    <w:p>
      <w:pPr>
        <w:widowControl w:val="0"/>
        <w:numPr>
          <w:ilvl w:val="0"/>
          <w:numId w:val="43"/>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如采购人需要，中标人需安排采购人及其代表对主要设备的运行进行实地考察，了解类似已运行工程中上述设备的安装及运行情况。</w:t>
      </w:r>
    </w:p>
    <w:p>
      <w:pPr>
        <w:widowControl w:val="0"/>
        <w:numPr>
          <w:ilvl w:val="0"/>
          <w:numId w:val="43"/>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的设备应按本合同要求在制造厂检查和试验，以表明其运行性能以及设备、材料和结构的完整性。采购人有权派员参加工厂监造及验收。工厂验收应在设备制造厂进行了充分的检查、校正和试验之后实施。工厂验收合格仅表示采购人同意设备出厂运至使用现场，而非最终验收，中标人应提交设备的具体测试合格证书。采购人参加国内设备的工厂验收人数和时间由中标人提出，经采购人同意。中标人应根据设备制造进度，在工厂验收前一周向采购人发出工厂验收时间和安排。</w:t>
      </w:r>
    </w:p>
    <w:p>
      <w:pPr>
        <w:widowControl w:val="0"/>
        <w:numPr>
          <w:ilvl w:val="0"/>
          <w:numId w:val="43"/>
        </w:numPr>
        <w:autoSpaceDE w:val="0"/>
        <w:autoSpaceDN w:val="0"/>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在施工图设计阶段，中标人根据采购人要求组织召开设计联络会议。</w:t>
      </w:r>
    </w:p>
    <w:p>
      <w:pPr>
        <w:widowControl w:val="0"/>
        <w:numPr>
          <w:ilvl w:val="2"/>
          <w:numId w:val="44"/>
        </w:numPr>
        <w:autoSpaceDE w:val="0"/>
        <w:autoSpaceDN w:val="0"/>
        <w:jc w:val="both"/>
        <w:outlineLvl w:val="2"/>
        <w:rPr>
          <w:rFonts w:ascii="宋体" w:hAnsi="宋体" w:cs="宋体"/>
          <w:b/>
          <w:color w:val="auto"/>
          <w:szCs w:val="21"/>
          <w:highlight w:val="none"/>
        </w:rPr>
      </w:pPr>
      <w:bookmarkStart w:id="342" w:name="_Toc146535733"/>
      <w:r>
        <w:rPr>
          <w:rFonts w:hint="eastAsia" w:ascii="宋体" w:hAnsi="宋体" w:cs="宋体"/>
          <w:b/>
          <w:color w:val="auto"/>
          <w:szCs w:val="21"/>
          <w:highlight w:val="none"/>
        </w:rPr>
        <w:t>设备的制造、运输、安装</w:t>
      </w:r>
      <w:bookmarkEnd w:id="342"/>
    </w:p>
    <w:p>
      <w:pPr>
        <w:widowControl w:val="0"/>
        <w:numPr>
          <w:ilvl w:val="0"/>
          <w:numId w:val="45"/>
        </w:numPr>
        <w:autoSpaceDE/>
        <w:autoSpaceDN/>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计划与进度报告</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中标人在中标通知书发出后 7 个日历日内，应向采购人提交一份详细的工作计划，说明有关设备的制造、运输等具体进度日程。</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本工作计划应与规定的总进度相一致。</w:t>
      </w:r>
    </w:p>
    <w:p>
      <w:pPr>
        <w:widowControl w:val="0"/>
        <w:numPr>
          <w:ilvl w:val="0"/>
          <w:numId w:val="45"/>
        </w:numPr>
        <w:autoSpaceDE/>
        <w:autoSpaceDN/>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设备制造中的检验与测试</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提供的所有设备和部件均由中标人及生产厂家用标准的测控仪器进行完整的检验和测试，并应提交给采购人产品制造质量合格证书以及检验和测试记录。上述质量合格证书应由中标人和生产厂家确认并签署，并须经采购人审查。有关检验和测试的所有费用由中标人承担。在设备产地进行的检验和测试不是对该设备的最后验收。</w:t>
      </w:r>
    </w:p>
    <w:p>
      <w:pPr>
        <w:widowControl w:val="0"/>
        <w:numPr>
          <w:ilvl w:val="0"/>
          <w:numId w:val="45"/>
        </w:numPr>
        <w:autoSpaceDE/>
        <w:autoSpaceDN/>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包装、标志和运输</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产品启运前必须进行严格防腐、防损处理，包括防止害虫、暴晒、雨淋、霜冻、高温、潮湿、盐分和海水等造成的损害。</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凡设备上需油漆部分均需按规定进行处理，会腐蚀的、未油漆的部分需用经批准的保护剂全部涂抹，该保护剂在设备安装期间或在安装后应是易于抹去。</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另外，对所有设备应采取恰当的防腐、防损措施。</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所有设备的包装须足以承受陆上和海上的运输、搬运和码头的露天存放。中标人应对包装的设备负责，使其达到目的地后完整无缺。</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所有包装箱上应正确地标注下列内容：</w:t>
      </w:r>
    </w:p>
    <w:p>
      <w:pPr>
        <w:widowControl w:val="0"/>
        <w:numPr>
          <w:ilvl w:val="0"/>
          <w:numId w:val="15"/>
        </w:numPr>
        <w:autoSpaceDE w:val="0"/>
        <w:autoSpaceDN w:val="0"/>
        <w:spacing w:before="60" w:after="60"/>
        <w:ind w:left="638" w:right="113"/>
        <w:jc w:val="both"/>
        <w:rPr>
          <w:rFonts w:ascii="宋体" w:hAnsi="宋体" w:cs="宋体"/>
          <w:color w:val="auto"/>
          <w:szCs w:val="21"/>
          <w:highlight w:val="none"/>
        </w:rPr>
      </w:pPr>
      <w:r>
        <w:rPr>
          <w:rFonts w:hint="eastAsia" w:ascii="宋体" w:hAnsi="宋体" w:cs="宋体"/>
          <w:color w:val="auto"/>
          <w:szCs w:val="21"/>
          <w:highlight w:val="none"/>
        </w:rPr>
        <w:t>合同号；</w:t>
      </w:r>
    </w:p>
    <w:p>
      <w:pPr>
        <w:widowControl w:val="0"/>
        <w:numPr>
          <w:ilvl w:val="0"/>
          <w:numId w:val="15"/>
        </w:numPr>
        <w:autoSpaceDE w:val="0"/>
        <w:autoSpaceDN w:val="0"/>
        <w:spacing w:before="60" w:after="60"/>
        <w:ind w:left="638" w:right="113"/>
        <w:jc w:val="both"/>
        <w:rPr>
          <w:rFonts w:ascii="宋体" w:hAnsi="宋体" w:cs="宋体"/>
          <w:color w:val="auto"/>
          <w:szCs w:val="21"/>
          <w:highlight w:val="none"/>
        </w:rPr>
      </w:pPr>
      <w:r>
        <w:rPr>
          <w:rFonts w:hint="eastAsia" w:ascii="宋体" w:hAnsi="宋体" w:cs="宋体"/>
          <w:color w:val="auto"/>
          <w:szCs w:val="21"/>
          <w:highlight w:val="none"/>
        </w:rPr>
        <w:t>设备及备件的名称、代号；</w:t>
      </w:r>
    </w:p>
    <w:p>
      <w:pPr>
        <w:widowControl w:val="0"/>
        <w:numPr>
          <w:ilvl w:val="0"/>
          <w:numId w:val="15"/>
        </w:numPr>
        <w:autoSpaceDE w:val="0"/>
        <w:autoSpaceDN w:val="0"/>
        <w:spacing w:before="60" w:after="60"/>
        <w:ind w:left="638" w:right="113"/>
        <w:jc w:val="both"/>
        <w:rPr>
          <w:rFonts w:ascii="宋体" w:hAnsi="宋体" w:cs="宋体"/>
          <w:color w:val="auto"/>
          <w:szCs w:val="21"/>
          <w:highlight w:val="none"/>
        </w:rPr>
      </w:pPr>
      <w:r>
        <w:rPr>
          <w:rFonts w:hint="eastAsia" w:ascii="宋体" w:hAnsi="宋体" w:cs="宋体"/>
          <w:color w:val="auto"/>
          <w:szCs w:val="21"/>
          <w:highlight w:val="none"/>
        </w:rPr>
        <w:t>设备安装构、建筑物名称；</w:t>
      </w:r>
    </w:p>
    <w:p>
      <w:pPr>
        <w:widowControl w:val="0"/>
        <w:numPr>
          <w:ilvl w:val="0"/>
          <w:numId w:val="15"/>
        </w:numPr>
        <w:autoSpaceDE w:val="0"/>
        <w:autoSpaceDN w:val="0"/>
        <w:spacing w:before="60" w:after="60"/>
        <w:ind w:left="638" w:right="113"/>
        <w:jc w:val="both"/>
        <w:rPr>
          <w:rFonts w:ascii="宋体" w:hAnsi="宋体" w:cs="宋体"/>
          <w:color w:val="auto"/>
          <w:szCs w:val="21"/>
          <w:highlight w:val="none"/>
        </w:rPr>
      </w:pPr>
      <w:r>
        <w:rPr>
          <w:rFonts w:hint="eastAsia" w:ascii="宋体" w:hAnsi="宋体" w:cs="宋体"/>
          <w:color w:val="auto"/>
          <w:szCs w:val="21"/>
          <w:highlight w:val="none"/>
        </w:rPr>
        <w:t>通用的商务标志。</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内有危险品或易碎物品的包装箱应按当地或国际惯例对待。</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按照采购人的要求，中标人应随时告知设备的运输情况，在航寄给采购人的托运清单中应有质量合格证书和检测合格证。</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中标人应对设备运至现场的整个过程负责，包括保险、搬运和安全措施。</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中标人对采购人不予接受的、遭到缺损的任何设备及附件，应立即运走，予以更换，并根据合同条款和保险公司谈判索赔事宜。</w:t>
      </w:r>
    </w:p>
    <w:p>
      <w:pPr>
        <w:widowControl w:val="0"/>
        <w:numPr>
          <w:ilvl w:val="0"/>
          <w:numId w:val="45"/>
        </w:numPr>
        <w:autoSpaceDE/>
        <w:autoSpaceDN/>
        <w:spacing w:before="60" w:after="60"/>
        <w:ind w:left="21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安装</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在安装工作开始前，中标人应向采购人提供安装等工作的说明书和标准。采购人、中标人及监理单位共同校核土建工程质量，并出具检测记录内容或报告，保证设备安装质量。</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按照现行行业标准进行设备设计及安装；采购人有明确品牌要求的材料及设备，中标单位必须按指定品牌采购，未经采购人同意擅自采购、使用的非指定品牌的，采购人有权要求中标人重新采购并返工，由此造成的经济及工期损失等由中标人承担</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中标人应对所有计量仪器、仪表（压力表、温度计、在线监测仪等）、安全附件（安全阀等），在安装前送到具有相应资质的当地检验单位检验，经检验合格并出具正规的检验报告之后才能安装。</w:t>
      </w:r>
    </w:p>
    <w:p>
      <w:pPr>
        <w:widowControl w:val="0"/>
        <w:numPr>
          <w:ilvl w:val="2"/>
          <w:numId w:val="44"/>
        </w:numPr>
        <w:autoSpaceDE w:val="0"/>
        <w:autoSpaceDN w:val="0"/>
        <w:jc w:val="both"/>
        <w:outlineLvl w:val="2"/>
        <w:rPr>
          <w:rFonts w:ascii="宋体" w:hAnsi="宋体" w:cs="宋体"/>
          <w:b/>
          <w:color w:val="auto"/>
          <w:szCs w:val="21"/>
          <w:highlight w:val="none"/>
        </w:rPr>
      </w:pPr>
      <w:bookmarkStart w:id="343" w:name="_Toc146535734"/>
      <w:r>
        <w:rPr>
          <w:rFonts w:hint="eastAsia" w:ascii="宋体" w:hAnsi="宋体" w:cs="宋体"/>
          <w:b/>
          <w:color w:val="auto"/>
          <w:szCs w:val="21"/>
          <w:highlight w:val="none"/>
        </w:rPr>
        <w:t>设备安装、运行、维护手册</w:t>
      </w:r>
      <w:bookmarkEnd w:id="343"/>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中标人在设备交货的同时，应提供最终设备的全套中文版书面资料（含电子版）。所有单位和尺寸均应使用国际单位制。</w:t>
      </w:r>
    </w:p>
    <w:p>
      <w:pPr>
        <w:widowControl w:val="0"/>
        <w:numPr>
          <w:ilvl w:val="2"/>
          <w:numId w:val="44"/>
        </w:numPr>
        <w:autoSpaceDE w:val="0"/>
        <w:autoSpaceDN w:val="0"/>
        <w:jc w:val="both"/>
        <w:outlineLvl w:val="2"/>
        <w:rPr>
          <w:rFonts w:ascii="宋体" w:hAnsi="宋体" w:cs="宋体"/>
          <w:b/>
          <w:color w:val="auto"/>
          <w:szCs w:val="21"/>
          <w:highlight w:val="none"/>
        </w:rPr>
      </w:pPr>
      <w:bookmarkStart w:id="344" w:name="_Toc146535735"/>
      <w:r>
        <w:rPr>
          <w:rFonts w:hint="eastAsia" w:ascii="宋体" w:hAnsi="宋体" w:cs="宋体"/>
          <w:b/>
          <w:color w:val="auto"/>
          <w:szCs w:val="21"/>
          <w:highlight w:val="none"/>
        </w:rPr>
        <w:t>工艺及设备运行操作手册</w:t>
      </w:r>
      <w:bookmarkEnd w:id="344"/>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在项目运行前应提交全套中文版各设备、装备的《操作说明手册》及岗位安全规程（含可编辑WORD电子版）。文件中所有单位和尺寸均应使用国际单位制。手册内容应包括但不限如下：各系统详设备操作指导、重要监控点指标、相关的设备参数、通常问题及处理措施、操作注意事项、设备维护保养说明，自动化仪表运行软件的详细操作说明，电气详细操作说明等相关技术文件。</w:t>
      </w:r>
    </w:p>
    <w:p>
      <w:pPr>
        <w:widowControl w:val="0"/>
        <w:numPr>
          <w:ilvl w:val="2"/>
          <w:numId w:val="44"/>
        </w:numPr>
        <w:autoSpaceDE w:val="0"/>
        <w:autoSpaceDN w:val="0"/>
        <w:jc w:val="both"/>
        <w:outlineLvl w:val="2"/>
        <w:rPr>
          <w:rFonts w:ascii="宋体" w:hAnsi="宋体" w:cs="宋体"/>
          <w:b/>
          <w:color w:val="auto"/>
          <w:szCs w:val="21"/>
          <w:highlight w:val="none"/>
        </w:rPr>
      </w:pPr>
      <w:bookmarkStart w:id="345" w:name="_Toc146535736"/>
      <w:r>
        <w:rPr>
          <w:rFonts w:hint="eastAsia" w:ascii="宋体" w:hAnsi="宋体" w:cs="宋体"/>
          <w:b/>
          <w:color w:val="auto"/>
          <w:szCs w:val="21"/>
          <w:highlight w:val="none"/>
        </w:rPr>
        <w:t>工程验收</w:t>
      </w:r>
      <w:bookmarkEnd w:id="345"/>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中标人需根据采购人要求负责设备安装工程验收工作。工程验收分工程实物验收和</w:t>
      </w:r>
      <w:r>
        <w:rPr>
          <w:rFonts w:hint="eastAsia" w:ascii="宋体" w:hAnsi="宋体" w:cs="宋体"/>
          <w:color w:val="auto"/>
          <w:kern w:val="2"/>
          <w:szCs w:val="21"/>
          <w:highlight w:val="none"/>
        </w:rPr>
        <w:t>性能验收，工程实物验收包括工程资料、建筑工程、安装工程和消防、环保、劳动保护设施等工程验收。性能验收以运行检测为主，检测及考核其性能保证状况。</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中标人还需配合采购人与业主方对整体工程的竣工验收。</w:t>
      </w:r>
    </w:p>
    <w:p>
      <w:pPr>
        <w:widowControl w:val="0"/>
        <w:numPr>
          <w:ilvl w:val="1"/>
          <w:numId w:val="39"/>
        </w:numPr>
        <w:autoSpaceDE w:val="0"/>
        <w:autoSpaceDN w:val="0"/>
        <w:ind w:left="992" w:hanging="567"/>
        <w:jc w:val="both"/>
        <w:outlineLvl w:val="1"/>
        <w:rPr>
          <w:rFonts w:ascii="宋体" w:hAnsi="宋体" w:cs="宋体"/>
          <w:b/>
          <w:color w:val="auto"/>
          <w:szCs w:val="21"/>
          <w:highlight w:val="none"/>
          <w:lang w:eastAsia="en-US"/>
        </w:rPr>
      </w:pPr>
      <w:bookmarkStart w:id="346" w:name="_Toc146535737"/>
      <w:r>
        <w:rPr>
          <w:rFonts w:hint="eastAsia" w:ascii="宋体" w:hAnsi="宋体" w:cs="宋体"/>
          <w:b/>
          <w:color w:val="auto"/>
          <w:szCs w:val="21"/>
          <w:highlight w:val="none"/>
        </w:rPr>
        <w:t>采购人</w:t>
      </w:r>
      <w:r>
        <w:rPr>
          <w:rFonts w:hint="eastAsia" w:ascii="宋体" w:hAnsi="宋体" w:cs="宋体"/>
          <w:b/>
          <w:color w:val="auto"/>
          <w:szCs w:val="21"/>
          <w:highlight w:val="none"/>
          <w:lang w:eastAsia="en-US"/>
        </w:rPr>
        <w:t>职责</w:t>
      </w:r>
      <w:bookmarkEnd w:id="346"/>
    </w:p>
    <w:p>
      <w:pPr>
        <w:widowControl w:val="0"/>
        <w:numPr>
          <w:ilvl w:val="2"/>
          <w:numId w:val="46"/>
        </w:numPr>
        <w:autoSpaceDE w:val="0"/>
        <w:autoSpaceDN w:val="0"/>
        <w:jc w:val="both"/>
        <w:outlineLvl w:val="2"/>
        <w:rPr>
          <w:rFonts w:ascii="宋体" w:hAnsi="宋体" w:cs="宋体"/>
          <w:b/>
          <w:color w:val="auto"/>
          <w:szCs w:val="21"/>
          <w:highlight w:val="none"/>
        </w:rPr>
      </w:pPr>
      <w:bookmarkStart w:id="347" w:name="_Toc146535738"/>
      <w:r>
        <w:rPr>
          <w:rFonts w:hint="eastAsia" w:ascii="宋体" w:hAnsi="宋体" w:cs="宋体"/>
          <w:b/>
          <w:color w:val="auto"/>
          <w:szCs w:val="21"/>
          <w:highlight w:val="none"/>
        </w:rPr>
        <w:t>采购人的职责</w:t>
      </w:r>
      <w:bookmarkEnd w:id="347"/>
    </w:p>
    <w:p>
      <w:pPr>
        <w:widowControl w:val="0"/>
        <w:numPr>
          <w:ilvl w:val="0"/>
          <w:numId w:val="47"/>
        </w:numPr>
        <w:autoSpaceDE w:val="0"/>
        <w:autoSpaceDN w:val="0"/>
        <w:spacing w:before="60" w:after="60"/>
        <w:ind w:left="0"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 xml:space="preserve"> 采购人在履行合同过程中应遵守法律，并保证中标人免于承担因采购人违反法律而引起的任何责任。</w:t>
      </w:r>
    </w:p>
    <w:p>
      <w:pPr>
        <w:widowControl w:val="0"/>
        <w:numPr>
          <w:ilvl w:val="0"/>
          <w:numId w:val="47"/>
        </w:numPr>
        <w:autoSpaceDE w:val="0"/>
        <w:autoSpaceDN w:val="0"/>
        <w:spacing w:before="60" w:after="60"/>
        <w:ind w:left="0"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 xml:space="preserve"> 中标人办妥开工手续后发出开始工作通知。</w:t>
      </w:r>
    </w:p>
    <w:p>
      <w:pPr>
        <w:widowControl w:val="0"/>
        <w:numPr>
          <w:ilvl w:val="0"/>
          <w:numId w:val="47"/>
        </w:numPr>
        <w:autoSpaceDE w:val="0"/>
        <w:autoSpaceDN w:val="0"/>
        <w:spacing w:before="60" w:after="60"/>
        <w:ind w:left="0"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 xml:space="preserve"> 采购人应向中标人提供施工场地及进场施工条件，并明确与中标人的交接界面。</w:t>
      </w:r>
    </w:p>
    <w:p>
      <w:pPr>
        <w:widowControl w:val="0"/>
        <w:numPr>
          <w:ilvl w:val="0"/>
          <w:numId w:val="47"/>
        </w:numPr>
        <w:autoSpaceDE w:val="0"/>
        <w:autoSpaceDN w:val="0"/>
        <w:spacing w:before="60" w:after="60"/>
        <w:ind w:left="0"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 xml:space="preserve"> 合同价款由采购人支付给本次招标中标人。专用合同条款对采购人工程款支付担保有约定的，从其约定。</w:t>
      </w:r>
    </w:p>
    <w:p>
      <w:pPr>
        <w:widowControl w:val="0"/>
        <w:numPr>
          <w:ilvl w:val="0"/>
          <w:numId w:val="47"/>
        </w:numPr>
        <w:autoSpaceDE w:val="0"/>
        <w:autoSpaceDN w:val="0"/>
        <w:spacing w:before="60" w:after="60"/>
        <w:ind w:left="0"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 xml:space="preserve"> 采购人应履行合同约定的其他义务。</w:t>
      </w:r>
    </w:p>
    <w:p>
      <w:pPr>
        <w:widowControl w:val="0"/>
        <w:numPr>
          <w:ilvl w:val="2"/>
          <w:numId w:val="46"/>
        </w:numPr>
        <w:autoSpaceDE w:val="0"/>
        <w:autoSpaceDN w:val="0"/>
        <w:jc w:val="both"/>
        <w:outlineLvl w:val="2"/>
        <w:rPr>
          <w:rFonts w:ascii="宋体" w:hAnsi="宋体" w:cs="宋体"/>
          <w:b/>
          <w:color w:val="auto"/>
          <w:szCs w:val="21"/>
          <w:highlight w:val="none"/>
        </w:rPr>
      </w:pPr>
      <w:bookmarkStart w:id="348" w:name="_Toc146535739"/>
      <w:r>
        <w:rPr>
          <w:rFonts w:hint="eastAsia" w:ascii="宋体" w:hAnsi="宋体" w:cs="宋体"/>
          <w:b/>
          <w:color w:val="auto"/>
          <w:szCs w:val="21"/>
          <w:highlight w:val="none"/>
        </w:rPr>
        <w:t>由采购人提供的材料</w:t>
      </w:r>
      <w:bookmarkEnd w:id="348"/>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除特别注明外，采购人不为本工程提供材料。</w:t>
      </w:r>
    </w:p>
    <w:p>
      <w:pPr>
        <w:widowControl w:val="0"/>
        <w:numPr>
          <w:ilvl w:val="2"/>
          <w:numId w:val="46"/>
        </w:numPr>
        <w:autoSpaceDE w:val="0"/>
        <w:autoSpaceDN w:val="0"/>
        <w:jc w:val="both"/>
        <w:outlineLvl w:val="2"/>
        <w:rPr>
          <w:rFonts w:ascii="宋体" w:hAnsi="宋体" w:cs="宋体"/>
          <w:b/>
          <w:color w:val="auto"/>
          <w:szCs w:val="21"/>
          <w:highlight w:val="none"/>
        </w:rPr>
      </w:pPr>
      <w:bookmarkStart w:id="349" w:name="_Toc146535740"/>
      <w:r>
        <w:rPr>
          <w:rFonts w:hint="eastAsia" w:ascii="宋体" w:hAnsi="宋体" w:cs="宋体"/>
          <w:b/>
          <w:color w:val="auto"/>
          <w:szCs w:val="21"/>
          <w:highlight w:val="none"/>
        </w:rPr>
        <w:t>采购人提供的技术文件</w:t>
      </w:r>
      <w:bookmarkEnd w:id="349"/>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除另有批准外，中标人的工作需要遵照采购人的下列技术文件：</w:t>
      </w:r>
    </w:p>
    <w:p>
      <w:pPr>
        <w:widowControl w:val="0"/>
        <w:numPr>
          <w:ilvl w:val="0"/>
          <w:numId w:val="48"/>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项目的前期批文；</w:t>
      </w:r>
    </w:p>
    <w:p>
      <w:pPr>
        <w:widowControl w:val="0"/>
        <w:numPr>
          <w:ilvl w:val="0"/>
          <w:numId w:val="48"/>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前期设计资料。</w:t>
      </w:r>
    </w:p>
    <w:p>
      <w:pPr>
        <w:widowControl w:val="0"/>
        <w:numPr>
          <w:ilvl w:val="1"/>
          <w:numId w:val="39"/>
        </w:numPr>
        <w:autoSpaceDE w:val="0"/>
        <w:autoSpaceDN w:val="0"/>
        <w:ind w:left="992" w:hanging="567"/>
        <w:jc w:val="both"/>
        <w:outlineLvl w:val="1"/>
        <w:rPr>
          <w:rFonts w:ascii="宋体" w:hAnsi="宋体" w:cs="宋体"/>
          <w:b/>
          <w:color w:val="auto"/>
          <w:szCs w:val="21"/>
          <w:highlight w:val="none"/>
        </w:rPr>
      </w:pPr>
      <w:bookmarkStart w:id="350" w:name="_Toc146535741"/>
      <w:r>
        <w:rPr>
          <w:rFonts w:hint="eastAsia" w:ascii="宋体" w:hAnsi="宋体" w:cs="宋体"/>
          <w:b/>
          <w:color w:val="auto"/>
          <w:szCs w:val="21"/>
          <w:highlight w:val="none"/>
        </w:rPr>
        <w:t>边界条件</w:t>
      </w:r>
      <w:bookmarkEnd w:id="350"/>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1.生活垃圾压缩系统：</w:t>
      </w:r>
    </w:p>
    <w:tbl>
      <w:tblPr>
        <w:tblStyle w:val="34"/>
        <w:tblpPr w:leftFromText="181" w:rightFromText="181" w:vertAnchor="text" w:tblpXSpec="center" w:tblpY="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752"/>
        <w:gridCol w:w="1285"/>
        <w:gridCol w:w="4356"/>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640" w:type="dxa"/>
            <w:vAlign w:val="center"/>
          </w:tcPr>
          <w:p>
            <w:pPr>
              <w:widowControl w:val="0"/>
              <w:autoSpaceDE w:val="0"/>
              <w:autoSpaceDN w:val="0"/>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序号</w:t>
            </w:r>
          </w:p>
        </w:tc>
        <w:tc>
          <w:tcPr>
            <w:tcW w:w="2037" w:type="dxa"/>
            <w:gridSpan w:val="2"/>
            <w:vAlign w:val="center"/>
          </w:tcPr>
          <w:p>
            <w:pPr>
              <w:widowControl w:val="0"/>
              <w:autoSpaceDE w:val="0"/>
              <w:autoSpaceDN w:val="0"/>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边界条件</w:t>
            </w:r>
          </w:p>
        </w:tc>
        <w:tc>
          <w:tcPr>
            <w:tcW w:w="4356" w:type="dxa"/>
            <w:vAlign w:val="center"/>
          </w:tcPr>
          <w:p>
            <w:pPr>
              <w:widowControl w:val="0"/>
              <w:autoSpaceDE w:val="0"/>
              <w:autoSpaceDN w:val="0"/>
              <w:jc w:val="center"/>
              <w:rPr>
                <w:rFonts w:ascii="宋体" w:hAnsi="宋体" w:cs="宋体"/>
                <w:b/>
                <w:bCs/>
                <w:color w:val="auto"/>
                <w:szCs w:val="21"/>
                <w:highlight w:val="none"/>
              </w:rPr>
            </w:pPr>
            <w:r>
              <w:rPr>
                <w:rFonts w:hint="eastAsia" w:ascii="宋体" w:hAnsi="宋体" w:cs="宋体"/>
                <w:b/>
                <w:bCs/>
                <w:color w:val="auto"/>
                <w:szCs w:val="21"/>
                <w:highlight w:val="none"/>
              </w:rPr>
              <w:t>边界点(所有界区能源均需考虑计量)</w:t>
            </w:r>
          </w:p>
        </w:tc>
        <w:tc>
          <w:tcPr>
            <w:tcW w:w="1486" w:type="dxa"/>
            <w:vAlign w:val="center"/>
          </w:tcPr>
          <w:p>
            <w:pPr>
              <w:widowControl w:val="0"/>
              <w:autoSpaceDE w:val="0"/>
              <w:autoSpaceDN w:val="0"/>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2" w:hRule="atLeast"/>
        </w:trPr>
        <w:tc>
          <w:tcPr>
            <w:tcW w:w="640" w:type="dxa"/>
            <w:vMerge w:val="restart"/>
            <w:vAlign w:val="center"/>
          </w:tcPr>
          <w:p>
            <w:pPr>
              <w:widowControl w:val="0"/>
              <w:autoSpaceDE w:val="0"/>
              <w:autoSpaceDN w:val="0"/>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c>
          <w:tcPr>
            <w:tcW w:w="752" w:type="dxa"/>
            <w:vMerge w:val="restart"/>
            <w:vAlign w:val="center"/>
          </w:tcPr>
          <w:p>
            <w:pPr>
              <w:widowControl w:val="0"/>
              <w:autoSpaceDE w:val="0"/>
              <w:autoSpaceDN w:val="0"/>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投入</w:t>
            </w:r>
            <w:r>
              <w:rPr>
                <w:rFonts w:hint="eastAsia" w:ascii="宋体" w:hAnsi="宋体" w:cs="宋体"/>
                <w:color w:val="auto"/>
                <w:szCs w:val="21"/>
                <w:highlight w:val="none"/>
              </w:rPr>
              <w:t>接口</w:t>
            </w:r>
          </w:p>
        </w:tc>
        <w:tc>
          <w:tcPr>
            <w:tcW w:w="1285" w:type="dxa"/>
            <w:vAlign w:val="center"/>
          </w:tcPr>
          <w:p>
            <w:pPr>
              <w:widowControl w:val="0"/>
              <w:autoSpaceDE w:val="0"/>
              <w:autoSpaceDN w:val="0"/>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自来水</w:t>
            </w:r>
          </w:p>
        </w:tc>
        <w:tc>
          <w:tcPr>
            <w:tcW w:w="4356"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由采购人负责接至系统边界，具体位置在详细设计时由采购人指定。</w:t>
            </w:r>
          </w:p>
        </w:tc>
        <w:tc>
          <w:tcPr>
            <w:tcW w:w="1486"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生产用水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vAlign w:val="center"/>
          </w:tcPr>
          <w:p>
            <w:pPr>
              <w:widowControl w:val="0"/>
              <w:autoSpaceDE w:val="0"/>
              <w:autoSpaceDN w:val="0"/>
              <w:jc w:val="center"/>
              <w:rPr>
                <w:rFonts w:ascii="宋体" w:hAnsi="宋体" w:cs="宋体"/>
                <w:color w:val="auto"/>
                <w:szCs w:val="21"/>
                <w:highlight w:val="none"/>
                <w:lang w:eastAsia="en-US"/>
              </w:rPr>
            </w:pPr>
          </w:p>
        </w:tc>
        <w:tc>
          <w:tcPr>
            <w:tcW w:w="752" w:type="dxa"/>
            <w:vMerge w:val="continue"/>
            <w:vAlign w:val="center"/>
          </w:tcPr>
          <w:p>
            <w:pPr>
              <w:widowControl w:val="0"/>
              <w:autoSpaceDE w:val="0"/>
              <w:autoSpaceDN w:val="0"/>
              <w:jc w:val="center"/>
              <w:rPr>
                <w:rFonts w:ascii="宋体" w:hAnsi="宋体" w:cs="宋体"/>
                <w:color w:val="auto"/>
                <w:szCs w:val="21"/>
                <w:highlight w:val="none"/>
                <w:lang w:eastAsia="en-US"/>
              </w:rPr>
            </w:pPr>
          </w:p>
        </w:tc>
        <w:tc>
          <w:tcPr>
            <w:tcW w:w="1285"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生活垃圾</w:t>
            </w:r>
          </w:p>
        </w:tc>
        <w:tc>
          <w:tcPr>
            <w:tcW w:w="4356"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生活垃圾通过后置压缩车运往卸料大厅，在卸料口卸入料仓。后压车在大厅洗车。</w:t>
            </w:r>
          </w:p>
        </w:tc>
        <w:tc>
          <w:tcPr>
            <w:tcW w:w="1486"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vAlign w:val="center"/>
          </w:tcPr>
          <w:p>
            <w:pPr>
              <w:widowControl w:val="0"/>
              <w:autoSpaceDE w:val="0"/>
              <w:autoSpaceDN w:val="0"/>
              <w:jc w:val="center"/>
              <w:rPr>
                <w:rFonts w:ascii="宋体" w:hAnsi="宋体" w:cs="宋体"/>
                <w:color w:val="auto"/>
                <w:szCs w:val="21"/>
                <w:highlight w:val="none"/>
              </w:rPr>
            </w:pPr>
          </w:p>
        </w:tc>
        <w:tc>
          <w:tcPr>
            <w:tcW w:w="752" w:type="dxa"/>
            <w:vMerge w:val="continue"/>
            <w:vAlign w:val="center"/>
          </w:tcPr>
          <w:p>
            <w:pPr>
              <w:widowControl w:val="0"/>
              <w:autoSpaceDE w:val="0"/>
              <w:autoSpaceDN w:val="0"/>
              <w:jc w:val="center"/>
              <w:rPr>
                <w:rFonts w:ascii="宋体" w:hAnsi="宋体" w:cs="宋体"/>
                <w:color w:val="auto"/>
                <w:szCs w:val="21"/>
                <w:highlight w:val="none"/>
              </w:rPr>
            </w:pPr>
          </w:p>
        </w:tc>
        <w:tc>
          <w:tcPr>
            <w:tcW w:w="1285" w:type="dxa"/>
            <w:shd w:val="clear" w:color="auto" w:fill="auto"/>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供电</w:t>
            </w:r>
          </w:p>
        </w:tc>
        <w:tc>
          <w:tcPr>
            <w:tcW w:w="4356" w:type="dxa"/>
            <w:shd w:val="clear" w:color="auto" w:fill="auto"/>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供电电压为380V，采购人接至设备电控柜预留接口，中标人应考虑设备端接入电控柜。</w:t>
            </w:r>
          </w:p>
        </w:tc>
        <w:tc>
          <w:tcPr>
            <w:tcW w:w="1486"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中标人提资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restart"/>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2</w:t>
            </w:r>
          </w:p>
        </w:tc>
        <w:tc>
          <w:tcPr>
            <w:tcW w:w="752" w:type="dxa"/>
            <w:vMerge w:val="restart"/>
            <w:vAlign w:val="center"/>
          </w:tcPr>
          <w:p>
            <w:pPr>
              <w:widowControl w:val="0"/>
              <w:autoSpaceDE w:val="0"/>
              <w:autoSpaceDN w:val="0"/>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产出</w:t>
            </w:r>
            <w:r>
              <w:rPr>
                <w:rFonts w:hint="eastAsia" w:ascii="宋体" w:hAnsi="宋体" w:cs="宋体"/>
                <w:color w:val="auto"/>
                <w:szCs w:val="21"/>
                <w:highlight w:val="none"/>
              </w:rPr>
              <w:t>接口</w:t>
            </w:r>
          </w:p>
        </w:tc>
        <w:tc>
          <w:tcPr>
            <w:tcW w:w="1285"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生活垃圾</w:t>
            </w:r>
          </w:p>
        </w:tc>
        <w:tc>
          <w:tcPr>
            <w:tcW w:w="4356"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生活垃圾经压缩后进入配套转运箱，由勾臂车拉走运往电厂。</w:t>
            </w:r>
          </w:p>
        </w:tc>
        <w:tc>
          <w:tcPr>
            <w:tcW w:w="1486"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3" w:hRule="atLeast"/>
        </w:trPr>
        <w:tc>
          <w:tcPr>
            <w:tcW w:w="640" w:type="dxa"/>
            <w:vMerge w:val="continue"/>
            <w:vAlign w:val="center"/>
          </w:tcPr>
          <w:p>
            <w:pPr>
              <w:widowControl w:val="0"/>
              <w:autoSpaceDE w:val="0"/>
              <w:autoSpaceDN w:val="0"/>
              <w:jc w:val="center"/>
              <w:rPr>
                <w:rFonts w:ascii="宋体" w:hAnsi="宋体" w:cs="宋体"/>
                <w:color w:val="auto"/>
                <w:szCs w:val="21"/>
                <w:highlight w:val="none"/>
              </w:rPr>
            </w:pPr>
          </w:p>
        </w:tc>
        <w:tc>
          <w:tcPr>
            <w:tcW w:w="752" w:type="dxa"/>
            <w:vMerge w:val="continue"/>
            <w:vAlign w:val="center"/>
          </w:tcPr>
          <w:p>
            <w:pPr>
              <w:widowControl w:val="0"/>
              <w:autoSpaceDE w:val="0"/>
              <w:autoSpaceDN w:val="0"/>
              <w:jc w:val="center"/>
              <w:rPr>
                <w:rFonts w:ascii="宋体" w:hAnsi="宋体" w:cs="宋体"/>
                <w:color w:val="auto"/>
                <w:szCs w:val="21"/>
                <w:highlight w:val="none"/>
              </w:rPr>
            </w:pPr>
          </w:p>
        </w:tc>
        <w:tc>
          <w:tcPr>
            <w:tcW w:w="1285"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污水</w:t>
            </w:r>
          </w:p>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（渗滤液）</w:t>
            </w:r>
          </w:p>
        </w:tc>
        <w:tc>
          <w:tcPr>
            <w:tcW w:w="4356"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由中标人负责接入污水收集管道，具体位置在详细设计时由采购人指定。</w:t>
            </w:r>
          </w:p>
        </w:tc>
        <w:tc>
          <w:tcPr>
            <w:tcW w:w="1486"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restart"/>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5</w:t>
            </w:r>
          </w:p>
        </w:tc>
        <w:tc>
          <w:tcPr>
            <w:tcW w:w="752" w:type="dxa"/>
            <w:vMerge w:val="restart"/>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土建</w:t>
            </w:r>
          </w:p>
        </w:tc>
        <w:tc>
          <w:tcPr>
            <w:tcW w:w="1285"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土建</w:t>
            </w:r>
          </w:p>
        </w:tc>
        <w:tc>
          <w:tcPr>
            <w:tcW w:w="4356"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中标人负责一次预埋件提资，并对预埋件的施工安装进行现场指导和检查验收。</w:t>
            </w:r>
          </w:p>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对于地脚螺栓等非预埋的施工，其二次灌浆的土建施工由中标人负责。</w:t>
            </w:r>
          </w:p>
        </w:tc>
        <w:tc>
          <w:tcPr>
            <w:tcW w:w="1486"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vAlign w:val="center"/>
          </w:tcPr>
          <w:p>
            <w:pPr>
              <w:widowControl w:val="0"/>
              <w:autoSpaceDE w:val="0"/>
              <w:autoSpaceDN w:val="0"/>
              <w:jc w:val="center"/>
              <w:rPr>
                <w:rFonts w:ascii="宋体" w:hAnsi="宋体" w:cs="宋体"/>
                <w:color w:val="auto"/>
                <w:szCs w:val="21"/>
                <w:highlight w:val="none"/>
              </w:rPr>
            </w:pPr>
          </w:p>
        </w:tc>
        <w:tc>
          <w:tcPr>
            <w:tcW w:w="752" w:type="dxa"/>
            <w:vMerge w:val="continue"/>
            <w:vAlign w:val="center"/>
          </w:tcPr>
          <w:p>
            <w:pPr>
              <w:widowControl w:val="0"/>
              <w:autoSpaceDE w:val="0"/>
              <w:autoSpaceDN w:val="0"/>
              <w:jc w:val="center"/>
              <w:rPr>
                <w:rFonts w:ascii="宋体" w:hAnsi="宋体" w:cs="宋体"/>
                <w:color w:val="auto"/>
                <w:szCs w:val="21"/>
                <w:highlight w:val="none"/>
              </w:rPr>
            </w:pPr>
          </w:p>
        </w:tc>
        <w:tc>
          <w:tcPr>
            <w:tcW w:w="1285"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消防</w:t>
            </w:r>
          </w:p>
        </w:tc>
        <w:tc>
          <w:tcPr>
            <w:tcW w:w="4356"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消防设施的土建不在本次招标范围内。如存在设备消防，中标人应按照有关标准和规范进行配置相关设施。</w:t>
            </w:r>
          </w:p>
        </w:tc>
        <w:tc>
          <w:tcPr>
            <w:tcW w:w="1486"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vAlign w:val="center"/>
          </w:tcPr>
          <w:p>
            <w:pPr>
              <w:widowControl w:val="0"/>
              <w:autoSpaceDE w:val="0"/>
              <w:autoSpaceDN w:val="0"/>
              <w:jc w:val="center"/>
              <w:rPr>
                <w:rFonts w:ascii="宋体" w:hAnsi="宋体" w:cs="宋体"/>
                <w:color w:val="auto"/>
                <w:szCs w:val="21"/>
                <w:highlight w:val="none"/>
              </w:rPr>
            </w:pPr>
          </w:p>
        </w:tc>
        <w:tc>
          <w:tcPr>
            <w:tcW w:w="752" w:type="dxa"/>
            <w:vMerge w:val="continue"/>
            <w:vAlign w:val="center"/>
          </w:tcPr>
          <w:p>
            <w:pPr>
              <w:widowControl w:val="0"/>
              <w:autoSpaceDE w:val="0"/>
              <w:autoSpaceDN w:val="0"/>
              <w:jc w:val="center"/>
              <w:rPr>
                <w:rFonts w:ascii="宋体" w:hAnsi="宋体" w:cs="宋体"/>
                <w:color w:val="auto"/>
                <w:szCs w:val="21"/>
                <w:highlight w:val="none"/>
              </w:rPr>
            </w:pPr>
          </w:p>
        </w:tc>
        <w:tc>
          <w:tcPr>
            <w:tcW w:w="1285"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建筑、装修</w:t>
            </w:r>
          </w:p>
        </w:tc>
        <w:tc>
          <w:tcPr>
            <w:tcW w:w="4356"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建筑物、装修不在本标范围内。但因设备安装过程中在建构筑物上的开孔、植筋（栓）连接、破除等工程的修复施工由中标人负责，并恢复原貌。</w:t>
            </w:r>
          </w:p>
        </w:tc>
        <w:tc>
          <w:tcPr>
            <w:tcW w:w="1486"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640"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6</w:t>
            </w:r>
          </w:p>
        </w:tc>
        <w:tc>
          <w:tcPr>
            <w:tcW w:w="2037" w:type="dxa"/>
            <w:gridSpan w:val="2"/>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通讯接口及要求</w:t>
            </w:r>
          </w:p>
        </w:tc>
        <w:tc>
          <w:tcPr>
            <w:tcW w:w="4356"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中标人负责建设中央控制系统，负责将餐厨垃圾系统、大件垃圾系统、污水和除臭系统集成到本系统中，实现设备监控功能，工艺流程图和通讯地址由对方提过。通讯协议采用基于以太网的标准西门子S7通讯。</w:t>
            </w:r>
          </w:p>
        </w:tc>
        <w:tc>
          <w:tcPr>
            <w:tcW w:w="1486"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7" w:hRule="atLeast"/>
        </w:trPr>
        <w:tc>
          <w:tcPr>
            <w:tcW w:w="640"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7</w:t>
            </w:r>
          </w:p>
        </w:tc>
        <w:tc>
          <w:tcPr>
            <w:tcW w:w="2037" w:type="dxa"/>
            <w:gridSpan w:val="2"/>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臭气</w:t>
            </w:r>
          </w:p>
        </w:tc>
        <w:tc>
          <w:tcPr>
            <w:tcW w:w="4356"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由中标人负责预留接口，具体位置在详细设计时由采购人指定。</w:t>
            </w:r>
          </w:p>
        </w:tc>
        <w:tc>
          <w:tcPr>
            <w:tcW w:w="1486" w:type="dxa"/>
            <w:vAlign w:val="center"/>
          </w:tcPr>
          <w:p>
            <w:pPr>
              <w:widowControl w:val="0"/>
              <w:autoSpaceDE w:val="0"/>
              <w:autoSpaceDN w:val="0"/>
              <w:jc w:val="both"/>
              <w:rPr>
                <w:rFonts w:ascii="宋体" w:hAnsi="宋体" w:cs="宋体"/>
                <w:color w:val="auto"/>
                <w:szCs w:val="21"/>
                <w:highlight w:val="none"/>
              </w:rPr>
            </w:pPr>
          </w:p>
        </w:tc>
      </w:tr>
    </w:tbl>
    <w:p>
      <w:pPr>
        <w:widowControl w:val="0"/>
        <w:autoSpaceDE w:val="0"/>
        <w:autoSpaceDN w:val="0"/>
        <w:ind w:left="638"/>
        <w:rPr>
          <w:rFonts w:ascii="宋体" w:hAnsi="宋体" w:cs="宋体"/>
          <w:color w:val="auto"/>
          <w:szCs w:val="21"/>
          <w:highlight w:val="none"/>
        </w:rPr>
      </w:pP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2.大件垃圾破碎系统：</w:t>
      </w:r>
    </w:p>
    <w:tbl>
      <w:tblPr>
        <w:tblStyle w:val="34"/>
        <w:tblpPr w:leftFromText="181" w:rightFromText="181" w:vertAnchor="text" w:tblpXSpec="center" w:tblpY="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752"/>
        <w:gridCol w:w="1285"/>
        <w:gridCol w:w="4365"/>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643" w:type="dxa"/>
            <w:vAlign w:val="center"/>
          </w:tcPr>
          <w:p>
            <w:pPr>
              <w:widowControl w:val="0"/>
              <w:autoSpaceDE w:val="0"/>
              <w:autoSpaceDN w:val="0"/>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序号</w:t>
            </w:r>
          </w:p>
        </w:tc>
        <w:tc>
          <w:tcPr>
            <w:tcW w:w="2037" w:type="dxa"/>
            <w:gridSpan w:val="2"/>
            <w:vAlign w:val="center"/>
          </w:tcPr>
          <w:p>
            <w:pPr>
              <w:widowControl w:val="0"/>
              <w:autoSpaceDE w:val="0"/>
              <w:autoSpaceDN w:val="0"/>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边界条件</w:t>
            </w:r>
          </w:p>
        </w:tc>
        <w:tc>
          <w:tcPr>
            <w:tcW w:w="4365" w:type="dxa"/>
            <w:vAlign w:val="center"/>
          </w:tcPr>
          <w:p>
            <w:pPr>
              <w:widowControl w:val="0"/>
              <w:autoSpaceDE w:val="0"/>
              <w:autoSpaceDN w:val="0"/>
              <w:jc w:val="center"/>
              <w:rPr>
                <w:rFonts w:ascii="宋体" w:hAnsi="宋体" w:cs="宋体"/>
                <w:b/>
                <w:bCs/>
                <w:color w:val="auto"/>
                <w:szCs w:val="21"/>
                <w:highlight w:val="none"/>
              </w:rPr>
            </w:pPr>
            <w:r>
              <w:rPr>
                <w:rFonts w:hint="eastAsia" w:ascii="宋体" w:hAnsi="宋体" w:cs="宋体"/>
                <w:b/>
                <w:bCs/>
                <w:color w:val="auto"/>
                <w:szCs w:val="21"/>
                <w:highlight w:val="none"/>
              </w:rPr>
              <w:t>边界点(所有界区能源均需考虑计量)</w:t>
            </w:r>
          </w:p>
        </w:tc>
        <w:tc>
          <w:tcPr>
            <w:tcW w:w="1474" w:type="dxa"/>
            <w:vAlign w:val="center"/>
          </w:tcPr>
          <w:p>
            <w:pPr>
              <w:widowControl w:val="0"/>
              <w:autoSpaceDE w:val="0"/>
              <w:autoSpaceDN w:val="0"/>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2" w:hRule="atLeast"/>
        </w:trPr>
        <w:tc>
          <w:tcPr>
            <w:tcW w:w="643" w:type="dxa"/>
            <w:vMerge w:val="restart"/>
            <w:vAlign w:val="center"/>
          </w:tcPr>
          <w:p>
            <w:pPr>
              <w:widowControl w:val="0"/>
              <w:autoSpaceDE w:val="0"/>
              <w:autoSpaceDN w:val="0"/>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c>
          <w:tcPr>
            <w:tcW w:w="752" w:type="dxa"/>
            <w:vMerge w:val="restart"/>
            <w:vAlign w:val="center"/>
          </w:tcPr>
          <w:p>
            <w:pPr>
              <w:widowControl w:val="0"/>
              <w:autoSpaceDE w:val="0"/>
              <w:autoSpaceDN w:val="0"/>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投入</w:t>
            </w:r>
            <w:r>
              <w:rPr>
                <w:rFonts w:hint="eastAsia" w:ascii="宋体" w:hAnsi="宋体" w:cs="宋体"/>
                <w:color w:val="auto"/>
                <w:szCs w:val="21"/>
                <w:highlight w:val="none"/>
              </w:rPr>
              <w:t>接口</w:t>
            </w:r>
          </w:p>
        </w:tc>
        <w:tc>
          <w:tcPr>
            <w:tcW w:w="1285"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大件垃圾</w:t>
            </w:r>
          </w:p>
        </w:tc>
        <w:tc>
          <w:tcPr>
            <w:tcW w:w="4365"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自卸车或其他车辆运往进料口</w:t>
            </w:r>
          </w:p>
        </w:tc>
        <w:tc>
          <w:tcPr>
            <w:tcW w:w="1474"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widowControl w:val="0"/>
              <w:autoSpaceDE w:val="0"/>
              <w:autoSpaceDN w:val="0"/>
              <w:jc w:val="center"/>
              <w:rPr>
                <w:rFonts w:ascii="宋体" w:hAnsi="宋体" w:cs="宋体"/>
                <w:color w:val="auto"/>
                <w:szCs w:val="21"/>
                <w:highlight w:val="none"/>
              </w:rPr>
            </w:pPr>
          </w:p>
        </w:tc>
        <w:tc>
          <w:tcPr>
            <w:tcW w:w="752" w:type="dxa"/>
            <w:vMerge w:val="continue"/>
            <w:vAlign w:val="center"/>
          </w:tcPr>
          <w:p>
            <w:pPr>
              <w:widowControl w:val="0"/>
              <w:autoSpaceDE w:val="0"/>
              <w:autoSpaceDN w:val="0"/>
              <w:jc w:val="center"/>
              <w:rPr>
                <w:rFonts w:ascii="宋体" w:hAnsi="宋体" w:cs="宋体"/>
                <w:color w:val="auto"/>
                <w:szCs w:val="21"/>
                <w:highlight w:val="none"/>
              </w:rPr>
            </w:pPr>
          </w:p>
        </w:tc>
        <w:tc>
          <w:tcPr>
            <w:tcW w:w="1285" w:type="dxa"/>
            <w:shd w:val="clear" w:color="auto" w:fill="auto"/>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供电</w:t>
            </w:r>
          </w:p>
        </w:tc>
        <w:tc>
          <w:tcPr>
            <w:tcW w:w="4365" w:type="dxa"/>
            <w:shd w:val="clear" w:color="auto" w:fill="auto"/>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供电电压为380V，采购人接至设备电控柜预留接口，中标人应考虑设备端接入电控柜。</w:t>
            </w:r>
          </w:p>
        </w:tc>
        <w:tc>
          <w:tcPr>
            <w:tcW w:w="1474"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中标人提资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2</w:t>
            </w:r>
          </w:p>
        </w:tc>
        <w:tc>
          <w:tcPr>
            <w:tcW w:w="752" w:type="dxa"/>
            <w:vAlign w:val="center"/>
          </w:tcPr>
          <w:p>
            <w:pPr>
              <w:widowControl w:val="0"/>
              <w:autoSpaceDE w:val="0"/>
              <w:autoSpaceDN w:val="0"/>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产出</w:t>
            </w:r>
            <w:r>
              <w:rPr>
                <w:rFonts w:hint="eastAsia" w:ascii="宋体" w:hAnsi="宋体" w:cs="宋体"/>
                <w:color w:val="auto"/>
                <w:szCs w:val="21"/>
                <w:highlight w:val="none"/>
              </w:rPr>
              <w:t>接口</w:t>
            </w:r>
          </w:p>
        </w:tc>
        <w:tc>
          <w:tcPr>
            <w:tcW w:w="1285"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破碎后垃圾</w:t>
            </w:r>
          </w:p>
        </w:tc>
        <w:tc>
          <w:tcPr>
            <w:tcW w:w="4365"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自卸车运出</w:t>
            </w:r>
          </w:p>
        </w:tc>
        <w:tc>
          <w:tcPr>
            <w:tcW w:w="1474"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restart"/>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5</w:t>
            </w:r>
          </w:p>
        </w:tc>
        <w:tc>
          <w:tcPr>
            <w:tcW w:w="752" w:type="dxa"/>
            <w:vMerge w:val="restart"/>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土建</w:t>
            </w:r>
          </w:p>
        </w:tc>
        <w:tc>
          <w:tcPr>
            <w:tcW w:w="1285"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土建</w:t>
            </w:r>
          </w:p>
        </w:tc>
        <w:tc>
          <w:tcPr>
            <w:tcW w:w="4365"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中标人负责一次预埋件提资，并对预埋件的施工安装进行现场指导和检查验收。</w:t>
            </w:r>
          </w:p>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对于地脚螺栓等非预埋的施工，其二次灌浆的土建施工由中标人负责。</w:t>
            </w:r>
          </w:p>
        </w:tc>
        <w:tc>
          <w:tcPr>
            <w:tcW w:w="1474"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widowControl w:val="0"/>
              <w:autoSpaceDE w:val="0"/>
              <w:autoSpaceDN w:val="0"/>
              <w:jc w:val="center"/>
              <w:rPr>
                <w:rFonts w:ascii="宋体" w:hAnsi="宋体" w:cs="宋体"/>
                <w:color w:val="auto"/>
                <w:szCs w:val="21"/>
                <w:highlight w:val="none"/>
              </w:rPr>
            </w:pPr>
          </w:p>
        </w:tc>
        <w:tc>
          <w:tcPr>
            <w:tcW w:w="752" w:type="dxa"/>
            <w:vMerge w:val="continue"/>
            <w:vAlign w:val="center"/>
          </w:tcPr>
          <w:p>
            <w:pPr>
              <w:widowControl w:val="0"/>
              <w:autoSpaceDE w:val="0"/>
              <w:autoSpaceDN w:val="0"/>
              <w:jc w:val="center"/>
              <w:rPr>
                <w:rFonts w:ascii="宋体" w:hAnsi="宋体" w:cs="宋体"/>
                <w:color w:val="auto"/>
                <w:szCs w:val="21"/>
                <w:highlight w:val="none"/>
              </w:rPr>
            </w:pPr>
          </w:p>
        </w:tc>
        <w:tc>
          <w:tcPr>
            <w:tcW w:w="1285"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消防</w:t>
            </w:r>
          </w:p>
        </w:tc>
        <w:tc>
          <w:tcPr>
            <w:tcW w:w="4365"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消防设施的土建不在本次招标范围内。如存在设备消防，中标人应按照有关标准和规范进行配置相关设施。</w:t>
            </w:r>
          </w:p>
        </w:tc>
        <w:tc>
          <w:tcPr>
            <w:tcW w:w="1474"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vAlign w:val="center"/>
          </w:tcPr>
          <w:p>
            <w:pPr>
              <w:widowControl w:val="0"/>
              <w:autoSpaceDE w:val="0"/>
              <w:autoSpaceDN w:val="0"/>
              <w:jc w:val="center"/>
              <w:rPr>
                <w:rFonts w:ascii="宋体" w:hAnsi="宋体" w:cs="宋体"/>
                <w:color w:val="auto"/>
                <w:szCs w:val="21"/>
                <w:highlight w:val="none"/>
              </w:rPr>
            </w:pPr>
          </w:p>
        </w:tc>
        <w:tc>
          <w:tcPr>
            <w:tcW w:w="752" w:type="dxa"/>
            <w:vMerge w:val="continue"/>
            <w:vAlign w:val="center"/>
          </w:tcPr>
          <w:p>
            <w:pPr>
              <w:widowControl w:val="0"/>
              <w:autoSpaceDE w:val="0"/>
              <w:autoSpaceDN w:val="0"/>
              <w:jc w:val="center"/>
              <w:rPr>
                <w:rFonts w:ascii="宋体" w:hAnsi="宋体" w:cs="宋体"/>
                <w:color w:val="auto"/>
                <w:szCs w:val="21"/>
                <w:highlight w:val="none"/>
              </w:rPr>
            </w:pPr>
          </w:p>
        </w:tc>
        <w:tc>
          <w:tcPr>
            <w:tcW w:w="1285"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建筑、装修</w:t>
            </w:r>
          </w:p>
        </w:tc>
        <w:tc>
          <w:tcPr>
            <w:tcW w:w="4365"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建筑物、装修不在本标范围内。但因设备安装过程中在建构筑物上的开孔、植筋（栓）连接、破除等工程的修复施工由中标人负责，并恢复原貌。</w:t>
            </w:r>
          </w:p>
        </w:tc>
        <w:tc>
          <w:tcPr>
            <w:tcW w:w="1474"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643"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6</w:t>
            </w:r>
          </w:p>
        </w:tc>
        <w:tc>
          <w:tcPr>
            <w:tcW w:w="2037" w:type="dxa"/>
            <w:gridSpan w:val="2"/>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通讯接口及要求</w:t>
            </w:r>
          </w:p>
        </w:tc>
        <w:tc>
          <w:tcPr>
            <w:tcW w:w="4365"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接入全厂中央控制系统</w:t>
            </w:r>
          </w:p>
        </w:tc>
        <w:tc>
          <w:tcPr>
            <w:tcW w:w="1474"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7" w:hRule="atLeast"/>
        </w:trPr>
        <w:tc>
          <w:tcPr>
            <w:tcW w:w="643"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7</w:t>
            </w:r>
          </w:p>
        </w:tc>
        <w:tc>
          <w:tcPr>
            <w:tcW w:w="2037" w:type="dxa"/>
            <w:gridSpan w:val="2"/>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扬尘</w:t>
            </w:r>
          </w:p>
        </w:tc>
        <w:tc>
          <w:tcPr>
            <w:tcW w:w="4365"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中标人负责预留接口</w:t>
            </w:r>
          </w:p>
        </w:tc>
        <w:tc>
          <w:tcPr>
            <w:tcW w:w="1474" w:type="dxa"/>
            <w:vAlign w:val="center"/>
          </w:tcPr>
          <w:p>
            <w:pPr>
              <w:widowControl w:val="0"/>
              <w:autoSpaceDE w:val="0"/>
              <w:autoSpaceDN w:val="0"/>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7" w:hRule="atLeast"/>
        </w:trPr>
        <w:tc>
          <w:tcPr>
            <w:tcW w:w="643"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8</w:t>
            </w:r>
          </w:p>
        </w:tc>
        <w:tc>
          <w:tcPr>
            <w:tcW w:w="2037" w:type="dxa"/>
            <w:gridSpan w:val="2"/>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噪声</w:t>
            </w:r>
          </w:p>
        </w:tc>
        <w:tc>
          <w:tcPr>
            <w:tcW w:w="4365"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中标人负责进行设备端隔音装置设计与安装</w:t>
            </w:r>
          </w:p>
        </w:tc>
        <w:tc>
          <w:tcPr>
            <w:tcW w:w="1474" w:type="dxa"/>
            <w:vAlign w:val="center"/>
          </w:tcPr>
          <w:p>
            <w:pPr>
              <w:widowControl w:val="0"/>
              <w:autoSpaceDE w:val="0"/>
              <w:autoSpaceDN w:val="0"/>
              <w:jc w:val="both"/>
              <w:rPr>
                <w:rFonts w:ascii="宋体" w:hAnsi="宋体" w:cs="宋体"/>
                <w:color w:val="auto"/>
                <w:szCs w:val="21"/>
                <w:highlight w:val="none"/>
              </w:rPr>
            </w:pPr>
          </w:p>
        </w:tc>
      </w:tr>
    </w:tbl>
    <w:p>
      <w:pPr>
        <w:widowControl w:val="0"/>
        <w:autoSpaceDE w:val="0"/>
        <w:autoSpaceDN w:val="0"/>
        <w:rPr>
          <w:rFonts w:ascii="宋体" w:hAnsi="宋体" w:cs="宋体"/>
          <w:color w:val="auto"/>
          <w:szCs w:val="21"/>
          <w:highlight w:val="none"/>
        </w:rPr>
      </w:pPr>
    </w:p>
    <w:p>
      <w:pPr>
        <w:widowControl w:val="0"/>
        <w:autoSpaceDE w:val="0"/>
        <w:autoSpaceDN w:val="0"/>
        <w:jc w:val="both"/>
        <w:outlineLvl w:val="0"/>
        <w:rPr>
          <w:rFonts w:ascii="宋体" w:hAnsi="宋体" w:cs="宋体"/>
          <w:b/>
          <w:color w:val="auto"/>
          <w:szCs w:val="21"/>
          <w:highlight w:val="none"/>
          <w:lang w:eastAsia="en-US"/>
        </w:rPr>
      </w:pPr>
      <w:bookmarkStart w:id="351" w:name="_Toc146535742"/>
      <w:r>
        <w:rPr>
          <w:rFonts w:hint="eastAsia" w:ascii="宋体" w:hAnsi="宋体" w:cs="宋体"/>
          <w:b/>
          <w:color w:val="auto"/>
          <w:szCs w:val="21"/>
          <w:highlight w:val="none"/>
        </w:rPr>
        <w:t>五、</w:t>
      </w:r>
      <w:r>
        <w:rPr>
          <w:rFonts w:hint="eastAsia" w:ascii="宋体" w:hAnsi="宋体" w:cs="宋体"/>
          <w:b/>
          <w:color w:val="auto"/>
          <w:szCs w:val="21"/>
          <w:highlight w:val="none"/>
          <w:lang w:eastAsia="en-US"/>
        </w:rPr>
        <w:t>设计条件和要求</w:t>
      </w:r>
      <w:bookmarkEnd w:id="351"/>
    </w:p>
    <w:p>
      <w:pPr>
        <w:widowControl w:val="0"/>
        <w:numPr>
          <w:ilvl w:val="1"/>
          <w:numId w:val="49"/>
        </w:numPr>
        <w:autoSpaceDE w:val="0"/>
        <w:autoSpaceDN w:val="0"/>
        <w:jc w:val="both"/>
        <w:outlineLvl w:val="1"/>
        <w:rPr>
          <w:rFonts w:ascii="宋体" w:hAnsi="宋体" w:cs="宋体"/>
          <w:b/>
          <w:color w:val="auto"/>
          <w:szCs w:val="21"/>
          <w:highlight w:val="none"/>
          <w:lang w:eastAsia="en-US"/>
        </w:rPr>
      </w:pPr>
      <w:bookmarkStart w:id="352" w:name="_Toc146535743"/>
      <w:r>
        <w:rPr>
          <w:rFonts w:hint="eastAsia" w:ascii="宋体" w:hAnsi="宋体" w:cs="宋体"/>
          <w:b/>
          <w:color w:val="auto"/>
          <w:szCs w:val="21"/>
          <w:highlight w:val="none"/>
          <w:lang w:eastAsia="en-US"/>
        </w:rPr>
        <w:t>本项目标准及规范</w:t>
      </w:r>
      <w:bookmarkEnd w:id="352"/>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招标项目的材料、设备、施工、验收须达到现行中华人民共和国以及省、自治区、直辖市或行业的工程建设标准、规范的要求。以下是主要应用的相关法规、标准和规定（包括但不限于；以下规范如有最新版本，则须以最新版本为准，下同。）：</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（1）环境卫生技术规范(GB51260-2017)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（2）生活垃圾转运站技术规范(CJJ 47-2016)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（3）生活垃圾收集站技术规程(CJJ 179-2012)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（4）生活垃圾转运站压缩机(CJ/T 338-2010)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（5）城镇环境卫生设施除臭技术标准(CJJ274-2018)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（6）生活垃圾转运站评价标准(建标 117-2009)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（7）生活垃圾转运站评价标准(CJJT156-2010)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（8）生活垃圾产生源分类及其排放(CJ/T 368-2011)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（9）机械安全机械电气设备第 1 部分:通用技术条件(GB 5226.1-2008)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（10）机动车运行安全技术条件(GB 7258-2012)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（11）《鼓风曝气系统设计规范》CECS91:97</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（12）《现场设备、工业管道焊接工程施工及验收规范》GBJ236-82</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（13）市政公用工程设计文件编制深度规定(2013 版)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（14）《建筑给水排水设计标准》GB50015-2019</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（15）《室外给水设计标准》GB50013-2018</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（16）《室外排水设计标准》GB5014-2021</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（17）《机械设备安装工程施工及验收规范》GBJ231-82</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（18）《工业循环冷却水处理设计规范》GB/T 50050-2017</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（19）《工业循环水冷却设计规范》GB/T50102-2014</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（20）《建筑给水排水及节水通用规范》GB55020-2021</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（21）工业企业厂界环境噪声排放标准(GB 12348-2008)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（22）大气环境质量标准(GB 3095-2012)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（23）地表水环境质量标准(GB 3838-2002)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（24）地下水质量标准(GB/T 14848-2017)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（25）民用建筑设计统一标准(GB 50352-2019)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（26）建筑设计防火规范(GB 50016-2014（2018 版）)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（27）低压配电设计规范(GB 50054-2011)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（28）20kV 及以下变电所设计规范(GB 50053-2013)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（29）通用用电设备配电设计规范(GB 50055-2011)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（30）建筑物防雷设计规范(GB 50057-2010)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（31）民用建筑电气设计规范(JGJ/T16-2008) </w:t>
      </w:r>
    </w:p>
    <w:p>
      <w:pPr>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 xml:space="preserve">（32）供配电系统设计规范(GB 50052-2009) </w:t>
      </w:r>
    </w:p>
    <w:p>
      <w:pPr>
        <w:widowControl w:val="0"/>
        <w:numPr>
          <w:ilvl w:val="1"/>
          <w:numId w:val="49"/>
        </w:numPr>
        <w:autoSpaceDE w:val="0"/>
        <w:autoSpaceDN w:val="0"/>
        <w:jc w:val="both"/>
        <w:outlineLvl w:val="1"/>
        <w:rPr>
          <w:rFonts w:ascii="宋体" w:hAnsi="宋体" w:cs="宋体"/>
          <w:b/>
          <w:color w:val="auto"/>
          <w:szCs w:val="21"/>
          <w:highlight w:val="none"/>
          <w:lang w:eastAsia="en-US"/>
        </w:rPr>
      </w:pPr>
      <w:bookmarkStart w:id="353" w:name="_Toc146535744"/>
      <w:r>
        <w:rPr>
          <w:rFonts w:hint="eastAsia" w:ascii="宋体" w:hAnsi="宋体" w:cs="宋体"/>
          <w:b/>
          <w:color w:val="auto"/>
          <w:szCs w:val="21"/>
          <w:highlight w:val="none"/>
          <w:lang w:eastAsia="en-US"/>
        </w:rPr>
        <w:t>设计能力</w:t>
      </w:r>
      <w:bookmarkEnd w:id="353"/>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根据项目设计要求，主要功能为</w:t>
      </w:r>
      <w:r>
        <w:rPr>
          <w:rFonts w:hint="eastAsia" w:ascii="宋体" w:hAnsi="宋体" w:cs="宋体"/>
          <w:color w:val="auto"/>
          <w:kern w:val="2"/>
          <w:szCs w:val="21"/>
          <w:highlight w:val="none"/>
        </w:rPr>
        <w:t>生活垃圾压缩、大件垃圾处理和厨余垃圾收转运</w:t>
      </w:r>
      <w:r>
        <w:rPr>
          <w:rFonts w:hint="eastAsia" w:ascii="宋体" w:hAnsi="宋体" w:cs="宋体"/>
          <w:color w:val="auto"/>
          <w:szCs w:val="21"/>
          <w:highlight w:val="none"/>
        </w:rPr>
        <w:t>等，系统应能负荷生活垃圾转运规模为近期 530t/d（远期1000t/d），大件垃圾/园林绿化垃圾设计处理规模近期24t/d（远期31t/d），厨余垃圾设计处理规模近期60t/d（远期80t/d）。其中，近期指2023年，远期指2032年。系统年运行时长365天。主设备使用年限不少于15年。</w:t>
      </w:r>
    </w:p>
    <w:p>
      <w:pPr>
        <w:widowControl w:val="0"/>
        <w:numPr>
          <w:ilvl w:val="1"/>
          <w:numId w:val="49"/>
        </w:numPr>
        <w:autoSpaceDE w:val="0"/>
        <w:autoSpaceDN w:val="0"/>
        <w:jc w:val="both"/>
        <w:outlineLvl w:val="1"/>
        <w:rPr>
          <w:rFonts w:ascii="宋体" w:hAnsi="宋体" w:cs="宋体"/>
          <w:b/>
          <w:color w:val="auto"/>
          <w:szCs w:val="21"/>
          <w:highlight w:val="none"/>
        </w:rPr>
      </w:pPr>
      <w:bookmarkStart w:id="354" w:name="_Toc146535745"/>
      <w:r>
        <w:rPr>
          <w:rFonts w:hint="eastAsia" w:ascii="宋体" w:hAnsi="宋体" w:cs="宋体"/>
          <w:b/>
          <w:color w:val="auto"/>
          <w:szCs w:val="21"/>
          <w:highlight w:val="none"/>
        </w:rPr>
        <w:t>主要设备技术要求</w:t>
      </w:r>
      <w:bookmarkEnd w:id="354"/>
    </w:p>
    <w:p>
      <w:pPr>
        <w:widowControl w:val="0"/>
        <w:autoSpaceDE w:val="0"/>
        <w:autoSpaceDN w:val="0"/>
        <w:jc w:val="both"/>
        <w:outlineLvl w:val="2"/>
        <w:rPr>
          <w:rFonts w:ascii="宋体" w:hAnsi="宋体" w:cs="宋体"/>
          <w:b/>
          <w:color w:val="auto"/>
          <w:szCs w:val="21"/>
          <w:highlight w:val="none"/>
        </w:rPr>
      </w:pPr>
      <w:bookmarkStart w:id="355" w:name="_Toc146535746"/>
      <w:r>
        <w:rPr>
          <w:rFonts w:hint="eastAsia" w:ascii="宋体" w:hAnsi="宋体" w:cs="宋体"/>
          <w:b/>
          <w:color w:val="auto"/>
          <w:szCs w:val="21"/>
          <w:highlight w:val="none"/>
        </w:rPr>
        <w:t>5.3.1 设备一般技术要求</w:t>
      </w:r>
      <w:bookmarkEnd w:id="355"/>
    </w:p>
    <w:p>
      <w:pPr>
        <w:widowControl w:val="0"/>
        <w:autoSpaceDE w:val="0"/>
        <w:autoSpaceDN w:val="0"/>
        <w:ind w:left="82"/>
        <w:jc w:val="both"/>
        <w:outlineLvl w:val="3"/>
        <w:rPr>
          <w:rFonts w:ascii="宋体" w:hAnsi="宋体" w:cs="宋体"/>
          <w:b/>
          <w:bCs/>
          <w:color w:val="auto"/>
          <w:szCs w:val="21"/>
          <w:highlight w:val="none"/>
        </w:rPr>
      </w:pPr>
      <w:r>
        <w:rPr>
          <w:rFonts w:hint="eastAsia" w:ascii="宋体" w:hAnsi="宋体" w:cs="宋体"/>
          <w:b/>
          <w:bCs/>
          <w:color w:val="auto"/>
          <w:szCs w:val="21"/>
          <w:highlight w:val="none"/>
        </w:rPr>
        <w:t>5.3.1.1 使用年限要求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技术方应设计和选择优质的设备和材料，确保施工质量，满足在每天24小时连续运行的条件下，装置的设计使用寿命至少达到规定年限和最少的维护要求（系统连续工作时间≥7200h/年，系统总运行时间≥7920h/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中标人应提供类似设备的运行记录或测试证明以证明投标的所有设备均符合使用年限的要求。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管道以及其他工程相关要素的使用年限≥20年。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机电设备和工艺设备应连续运转，大型泵、阀设备≥15年；通用泵、阀、起重、运输设备≥10年。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管件及支架的设计使用寿命期应超过20年。</w:t>
      </w:r>
    </w:p>
    <w:p>
      <w:pPr>
        <w:widowControl w:val="0"/>
        <w:autoSpaceDE w:val="0"/>
        <w:autoSpaceDN w:val="0"/>
        <w:ind w:left="82"/>
        <w:jc w:val="both"/>
        <w:outlineLvl w:val="3"/>
        <w:rPr>
          <w:rFonts w:ascii="宋体" w:hAnsi="宋体" w:cs="宋体"/>
          <w:b/>
          <w:bCs/>
          <w:color w:val="auto"/>
          <w:szCs w:val="21"/>
          <w:highlight w:val="none"/>
        </w:rPr>
      </w:pPr>
      <w:r>
        <w:rPr>
          <w:rFonts w:hint="eastAsia" w:ascii="宋体" w:hAnsi="宋体" w:cs="宋体"/>
          <w:b/>
          <w:bCs/>
          <w:color w:val="auto"/>
          <w:szCs w:val="21"/>
          <w:highlight w:val="none"/>
        </w:rPr>
        <w:t>5.3.1.2 材料要求</w:t>
      </w:r>
    </w:p>
    <w:p>
      <w:pPr>
        <w:widowControl w:val="0"/>
        <w:autoSpaceDE w:val="0"/>
        <w:autoSpaceDN w:val="0"/>
        <w:adjustRightInd/>
        <w:snapToGrid/>
        <w:ind w:firstLine="560"/>
        <w:jc w:val="both"/>
        <w:rPr>
          <w:rFonts w:ascii="宋体" w:hAnsi="宋体" w:cs="宋体"/>
          <w:color w:val="auto"/>
          <w:szCs w:val="21"/>
          <w:highlight w:val="none"/>
        </w:rPr>
      </w:pPr>
      <w:r>
        <w:rPr>
          <w:rFonts w:hint="eastAsia" w:ascii="宋体" w:hAnsi="宋体" w:cs="宋体"/>
          <w:color w:val="auto"/>
          <w:szCs w:val="21"/>
          <w:highlight w:val="none"/>
        </w:rPr>
        <w:t>机械与设备所用材料应采用与其工作条件和功能最为切合的品号，并应是新的、无缺陷的、一流的商业质量，且应选择使用寿命长、维护要求低的材料。</w:t>
      </w:r>
    </w:p>
    <w:p>
      <w:pPr>
        <w:widowControl w:val="0"/>
        <w:autoSpaceDE w:val="0"/>
        <w:autoSpaceDN w:val="0"/>
        <w:adjustRightInd/>
        <w:snapToGrid/>
        <w:ind w:firstLine="560"/>
        <w:jc w:val="both"/>
        <w:rPr>
          <w:rFonts w:ascii="宋体" w:hAnsi="宋体" w:cs="宋体"/>
          <w:color w:val="auto"/>
          <w:szCs w:val="21"/>
          <w:highlight w:val="none"/>
        </w:rPr>
      </w:pPr>
      <w:r>
        <w:rPr>
          <w:rFonts w:hint="eastAsia" w:ascii="宋体" w:hAnsi="宋体" w:cs="宋体"/>
          <w:color w:val="auto"/>
          <w:szCs w:val="21"/>
          <w:highlight w:val="none"/>
        </w:rPr>
        <w:t>与污水、污泥或周围腐蚀性空气直接接触的部分应能够完全抵抗此类环境中产生的腐蚀或磨耗，并且能保证其性能不因时间推移、日光照射或其它任何原因而引起老化现象。</w:t>
      </w:r>
    </w:p>
    <w:p>
      <w:pPr>
        <w:widowControl w:val="0"/>
        <w:autoSpaceDE w:val="0"/>
        <w:autoSpaceDN w:val="0"/>
        <w:adjustRightInd/>
        <w:snapToGrid/>
        <w:ind w:firstLine="560"/>
        <w:jc w:val="both"/>
        <w:rPr>
          <w:rFonts w:ascii="宋体" w:hAnsi="宋体" w:cs="宋体"/>
          <w:color w:val="auto"/>
          <w:szCs w:val="21"/>
          <w:highlight w:val="none"/>
        </w:rPr>
      </w:pPr>
      <w:r>
        <w:rPr>
          <w:rFonts w:hint="eastAsia" w:ascii="宋体" w:hAnsi="宋体" w:cs="宋体"/>
          <w:color w:val="auto"/>
          <w:szCs w:val="21"/>
          <w:highlight w:val="none"/>
        </w:rPr>
        <w:t>在规定使用“不锈钢”时，其抗腐蚀能力不得低于GB /T1220-2007或其它相应标准对不锈钢的规定。需要焊接的不锈钢应采用不受晶间腐蚀影响的不锈钢类型，并应采用等级合适的低碳不锈钢焊条。</w:t>
      </w:r>
    </w:p>
    <w:p>
      <w:pPr>
        <w:widowControl w:val="0"/>
        <w:autoSpaceDE w:val="0"/>
        <w:autoSpaceDN w:val="0"/>
        <w:adjustRightInd/>
        <w:snapToGrid/>
        <w:ind w:firstLine="560"/>
        <w:jc w:val="both"/>
        <w:rPr>
          <w:rFonts w:ascii="宋体" w:hAnsi="宋体" w:cs="宋体"/>
          <w:color w:val="auto"/>
          <w:szCs w:val="21"/>
          <w:highlight w:val="none"/>
        </w:rPr>
      </w:pPr>
      <w:r>
        <w:rPr>
          <w:rFonts w:hint="eastAsia" w:ascii="宋体" w:hAnsi="宋体" w:cs="宋体"/>
          <w:color w:val="auto"/>
          <w:szCs w:val="21"/>
          <w:highlight w:val="none"/>
        </w:rPr>
        <w:t>应特别注意防止因不同类金属接触而产生的腐蚀。当两种异类金属必须接触时，应谨慎选择金属，尽量降低出现双金属腐蚀的可能性。在合适情况下应使用橡胶、四氟板或其它批准材料隔离不同类型的金属。</w:t>
      </w:r>
    </w:p>
    <w:p>
      <w:pPr>
        <w:widowControl w:val="0"/>
        <w:autoSpaceDE w:val="0"/>
        <w:autoSpaceDN w:val="0"/>
        <w:adjustRightInd/>
        <w:snapToGrid/>
        <w:ind w:firstLine="560"/>
        <w:jc w:val="both"/>
        <w:rPr>
          <w:rFonts w:ascii="宋体" w:hAnsi="宋体" w:cs="宋体"/>
          <w:color w:val="auto"/>
          <w:szCs w:val="21"/>
          <w:highlight w:val="none"/>
        </w:rPr>
      </w:pPr>
      <w:r>
        <w:rPr>
          <w:rFonts w:hint="eastAsia" w:ascii="宋体" w:hAnsi="宋体" w:cs="宋体"/>
          <w:color w:val="auto"/>
          <w:szCs w:val="21"/>
          <w:highlight w:val="none"/>
        </w:rPr>
        <w:t>如果合同要求提交样品，则在工程开工前至少30天提交材料样品，并承担与之有关的一切费用，交给招标方代表批准，批准前不得对此样品所代表的材料进行制造或在本工程中使用。</w:t>
      </w:r>
    </w:p>
    <w:p>
      <w:pPr>
        <w:widowControl w:val="0"/>
        <w:autoSpaceDE w:val="0"/>
        <w:autoSpaceDN w:val="0"/>
        <w:adjustRightInd/>
        <w:snapToGrid/>
        <w:ind w:firstLine="560"/>
        <w:jc w:val="both"/>
        <w:rPr>
          <w:rFonts w:ascii="宋体" w:hAnsi="宋体" w:cs="宋体"/>
          <w:color w:val="auto"/>
          <w:szCs w:val="21"/>
          <w:highlight w:val="none"/>
        </w:rPr>
      </w:pPr>
      <w:r>
        <w:rPr>
          <w:rFonts w:hint="eastAsia" w:ascii="宋体" w:hAnsi="宋体" w:cs="宋体"/>
          <w:color w:val="auto"/>
          <w:szCs w:val="21"/>
          <w:highlight w:val="none"/>
        </w:rPr>
        <w:t>主体管道材质选用要求：</w:t>
      </w:r>
    </w:p>
    <w:p>
      <w:pPr>
        <w:widowControl w:val="0"/>
        <w:autoSpaceDE w:val="0"/>
        <w:autoSpaceDN w:val="0"/>
        <w:adjustRightInd/>
        <w:snapToGrid/>
        <w:ind w:firstLine="560"/>
        <w:jc w:val="both"/>
        <w:rPr>
          <w:rFonts w:ascii="宋体" w:hAnsi="宋体" w:cs="宋体"/>
          <w:color w:val="auto"/>
          <w:szCs w:val="21"/>
          <w:highlight w:val="none"/>
        </w:rPr>
      </w:pPr>
      <w:r>
        <w:rPr>
          <w:rFonts w:hint="eastAsia" w:ascii="宋体" w:hAnsi="宋体" w:cs="宋体"/>
          <w:color w:val="auto"/>
          <w:szCs w:val="21"/>
          <w:highlight w:val="none"/>
        </w:rPr>
        <w:t>不锈钢、碳钢材料均采用国内知名品牌，UPVC/PPR非金属材料采用国内知名品牌。所有材料均需要出厂检验证明及材料检测报告并符合国家标准。</w:t>
      </w:r>
    </w:p>
    <w:p>
      <w:pPr>
        <w:widowControl w:val="0"/>
        <w:autoSpaceDE w:val="0"/>
        <w:autoSpaceDN w:val="0"/>
        <w:adjustRightInd/>
        <w:snapToGrid/>
        <w:ind w:firstLine="560"/>
        <w:jc w:val="both"/>
        <w:rPr>
          <w:rFonts w:ascii="宋体" w:hAnsi="宋体" w:cs="宋体"/>
          <w:color w:val="auto"/>
          <w:szCs w:val="21"/>
          <w:highlight w:val="none"/>
        </w:rPr>
      </w:pPr>
      <w:r>
        <w:rPr>
          <w:rFonts w:hint="eastAsia" w:ascii="宋体" w:hAnsi="宋体" w:cs="宋体"/>
          <w:color w:val="auto"/>
          <w:szCs w:val="21"/>
          <w:highlight w:val="none"/>
        </w:rPr>
        <w:t>栏杆、外露管道、集线盒、仪表箱、支架、桥架等钢制易腐蚀部分采用SS304材料，液位以下部分采用SS316L材料或高抗腐蚀性材料。</w:t>
      </w:r>
    </w:p>
    <w:p>
      <w:pPr>
        <w:widowControl w:val="0"/>
        <w:autoSpaceDE w:val="0"/>
        <w:autoSpaceDN w:val="0"/>
        <w:ind w:left="82"/>
        <w:jc w:val="both"/>
        <w:outlineLvl w:val="3"/>
        <w:rPr>
          <w:rFonts w:ascii="宋体" w:hAnsi="宋体" w:cs="宋体"/>
          <w:b/>
          <w:bCs/>
          <w:color w:val="auto"/>
          <w:szCs w:val="21"/>
          <w:highlight w:val="none"/>
        </w:rPr>
      </w:pPr>
      <w:r>
        <w:rPr>
          <w:rFonts w:hint="eastAsia" w:ascii="宋体" w:hAnsi="宋体" w:cs="宋体"/>
          <w:b/>
          <w:bCs/>
          <w:color w:val="auto"/>
          <w:szCs w:val="21"/>
          <w:highlight w:val="none"/>
        </w:rPr>
        <w:t>5.3.1.3 防腐要求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shd w:val="clear" w:color="auto" w:fill="FFFFFF"/>
        </w:rPr>
        <w:t>为保证整个系统的长期有效运行，杜绝因设备、阀门、管道的腐蚀造成系统部分或全部停运，提高整个系统的运行可靠性，</w:t>
      </w:r>
      <w:r>
        <w:rPr>
          <w:rFonts w:hint="eastAsia" w:ascii="宋体" w:hAnsi="宋体" w:cs="宋体"/>
          <w:b/>
          <w:color w:val="auto"/>
          <w:szCs w:val="21"/>
          <w:highlight w:val="none"/>
          <w:shd w:val="clear" w:color="auto" w:fill="FFFFFF"/>
        </w:rPr>
        <w:t>所有过流介质为垃圾渗滤液的设备、阀门、仪表、电缆、管道、管件必须具备防腐蚀性能；所有设备、阀门、仪表、管材必须具备足够的耐压等级、防渗漏等级；设备电机具有足够的防护等级、绝缘等级和防爆等级；</w:t>
      </w:r>
      <w:r>
        <w:rPr>
          <w:rFonts w:hint="eastAsia" w:ascii="宋体" w:hAnsi="宋体" w:cs="宋体"/>
          <w:color w:val="auto"/>
          <w:szCs w:val="21"/>
          <w:highlight w:val="none"/>
          <w:shd w:val="clear" w:color="auto" w:fill="FFFFFF"/>
        </w:rPr>
        <w:t>以上所述材料及等级要求应在投标文件中的设备与材料清单中明示，并经招标方认可。</w:t>
      </w:r>
    </w:p>
    <w:p>
      <w:pPr>
        <w:widowControl w:val="0"/>
        <w:autoSpaceDE w:val="0"/>
        <w:autoSpaceDN w:val="0"/>
        <w:ind w:left="82"/>
        <w:jc w:val="both"/>
        <w:outlineLvl w:val="3"/>
        <w:rPr>
          <w:rFonts w:ascii="宋体" w:hAnsi="宋体" w:cs="宋体"/>
          <w:b/>
          <w:bCs/>
          <w:color w:val="auto"/>
          <w:szCs w:val="21"/>
          <w:highlight w:val="none"/>
        </w:rPr>
      </w:pPr>
      <w:r>
        <w:rPr>
          <w:rFonts w:hint="eastAsia" w:ascii="宋体" w:hAnsi="宋体" w:cs="宋体"/>
          <w:b/>
          <w:bCs/>
          <w:color w:val="auto"/>
          <w:szCs w:val="21"/>
          <w:highlight w:val="none"/>
        </w:rPr>
        <w:t>5.3.1.4 焊接要求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在工厂内制造和现场安装期间进行的一切焊接工作应按DL5190.7-2012或相关规范、标准要求及已认可的图纸进行。</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拟定的现场焊接程序细节与详图应同时交给招标方批准，施工前应制定焊接工艺卡，交招标方批准。焊工上岗上应通过招标方的考试方可上岗。并应有焊接上岗证的技术工人完成。</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在进行机械加工之前，焊接件均应予以消除应力。</w:t>
      </w:r>
    </w:p>
    <w:p>
      <w:pPr>
        <w:widowControl w:val="0"/>
        <w:autoSpaceDE w:val="0"/>
        <w:autoSpaceDN w:val="0"/>
        <w:ind w:left="82"/>
        <w:jc w:val="both"/>
        <w:outlineLvl w:val="3"/>
        <w:rPr>
          <w:rFonts w:ascii="宋体" w:hAnsi="宋体" w:cs="宋体"/>
          <w:b/>
          <w:bCs/>
          <w:color w:val="auto"/>
          <w:szCs w:val="21"/>
          <w:highlight w:val="none"/>
        </w:rPr>
      </w:pPr>
      <w:r>
        <w:rPr>
          <w:rFonts w:hint="eastAsia" w:ascii="宋体" w:hAnsi="宋体" w:cs="宋体"/>
          <w:b/>
          <w:bCs/>
          <w:color w:val="auto"/>
          <w:szCs w:val="21"/>
          <w:highlight w:val="none"/>
        </w:rPr>
        <w:t>5.7.1.5 铸件与锻件要求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所有的铸件与锻件都应没有孔隙、裂缝、瑕疵、砂眼或激冷硬块的金属。</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所有的机加工表面无瑕疵，浇铸件洁净、准确、轮廓鲜明，所有形状与尺寸的变化处都应做成渐变的，带合适的圆角与倒角。</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可锻铸铁不能用于任何需要承受工作应力的地方，有拉伸应力之处可使用铸钢。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根据规定，所有的浇铸件都应仔细地嵌填和揩擦，直到它具有一个良好的平滑表面，用以接受最后一道油漆工序。对那些不会影响铸件的强度和使用功能的小于总厚度12.5%的次要缺陷，则经过许可，可用焊接来修补。对那些大的缺陷应报告招标方代表，在未得到许可之前，不得使用焊接来修补缺陷。</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用焊接来修补铸件的主要缺陷时，应在焊接之后进行热处理以消除内应力。</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对任何含有不能被判明缺陷程度的铸件，以及确定焊接修补是否适当时，则必须对该铸件进行非破坏性的测试。</w:t>
      </w:r>
    </w:p>
    <w:p>
      <w:pPr>
        <w:widowControl w:val="0"/>
        <w:autoSpaceDE w:val="0"/>
        <w:autoSpaceDN w:val="0"/>
        <w:ind w:left="82"/>
        <w:jc w:val="both"/>
        <w:outlineLvl w:val="3"/>
        <w:rPr>
          <w:rFonts w:ascii="宋体" w:hAnsi="宋体" w:cs="宋体"/>
          <w:b/>
          <w:bCs/>
          <w:color w:val="auto"/>
          <w:szCs w:val="21"/>
          <w:highlight w:val="none"/>
        </w:rPr>
      </w:pPr>
      <w:r>
        <w:rPr>
          <w:rFonts w:hint="eastAsia" w:ascii="宋体" w:hAnsi="宋体" w:cs="宋体"/>
          <w:b/>
          <w:bCs/>
          <w:color w:val="auto"/>
          <w:szCs w:val="21"/>
          <w:highlight w:val="none"/>
        </w:rPr>
        <w:t>5.3.1.6 螺母、螺钉、垫圈和螺栓要求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粗制螺栓、螺钉和螺母应符合ISO 225，ISO 272，ISO 885，ISO 888和ISO4759/1等相关标准。</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精制六角螺栓、螺钉和螺母应符合ISO272，ISO4759/1等相关标准。</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垫圈应符合ISO/R887等相关标准，可与粗制、精制的所有螺母、六角螺栓和螺钉配套。</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所有暴露在大气中或处在潮湿室内的螺栓、螺钉、螺母及垫圈应采用采用不锈钢材料。</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具有锌保护层的M10以及较大的坚固件应进行热镀锌和离心处理。</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螺母的螺纹应过量切削，符合ISO 1459、ISO 1460 和ISO1461等相关标准规定。</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螺栓应有足够长度以确保螺母旋紧，螺纹露出螺母2～4扣。</w:t>
      </w: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其他普通螺栓采用有效防腐措施。</w:t>
      </w:r>
    </w:p>
    <w:p>
      <w:pPr>
        <w:widowControl w:val="0"/>
        <w:autoSpaceDE w:val="0"/>
        <w:autoSpaceDN w:val="0"/>
        <w:ind w:left="82"/>
        <w:jc w:val="both"/>
        <w:outlineLvl w:val="3"/>
        <w:rPr>
          <w:rFonts w:ascii="宋体" w:hAnsi="宋体" w:cs="宋体"/>
          <w:b/>
          <w:bCs/>
          <w:color w:val="auto"/>
          <w:szCs w:val="21"/>
          <w:highlight w:val="none"/>
        </w:rPr>
      </w:pPr>
      <w:r>
        <w:rPr>
          <w:rFonts w:hint="eastAsia" w:ascii="宋体" w:hAnsi="宋体" w:cs="宋体"/>
          <w:b/>
          <w:bCs/>
          <w:color w:val="auto"/>
          <w:szCs w:val="21"/>
          <w:highlight w:val="none"/>
        </w:rPr>
        <w:t>5.3.1.7 地脚螺栓要求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设备的安装应使用标准的预埋地脚螺栓。中标人施工前应提前施工方案，采购人同意后方可施工。</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递交所建议使用的螺栓类型的详细资料，包括制造商的产品规格，给招标方批准。</w:t>
      </w:r>
    </w:p>
    <w:p>
      <w:pPr>
        <w:widowControl w:val="0"/>
        <w:autoSpaceDE w:val="0"/>
        <w:autoSpaceDN w:val="0"/>
        <w:ind w:left="82"/>
        <w:jc w:val="both"/>
        <w:outlineLvl w:val="3"/>
        <w:rPr>
          <w:rFonts w:ascii="宋体" w:hAnsi="宋体" w:cs="宋体"/>
          <w:b/>
          <w:bCs/>
          <w:color w:val="auto"/>
          <w:szCs w:val="21"/>
          <w:highlight w:val="none"/>
        </w:rPr>
      </w:pPr>
      <w:r>
        <w:rPr>
          <w:rFonts w:hint="eastAsia" w:ascii="宋体" w:hAnsi="宋体" w:cs="宋体"/>
          <w:b/>
          <w:bCs/>
          <w:color w:val="auto"/>
          <w:szCs w:val="21"/>
          <w:highlight w:val="none"/>
        </w:rPr>
        <w:t>5.3.1.8 润滑要求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需要润滑的部件应有一定的安全裕量，在设备维修周期拖延的情况下也应能无损害运行。</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同一种机械设备在各种气候条件下宜采用同一种润滑剂，尽可能减少润滑剂的种类。</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应列出所需润滑剂特性，至少包括：润滑剂的名称及成份、润滑剂的使用位置和期限、类型及制造商、耗量并提供油品的MSDS等。</w:t>
      </w:r>
    </w:p>
    <w:p>
      <w:pPr>
        <w:widowControl w:val="0"/>
        <w:autoSpaceDE w:val="0"/>
        <w:autoSpaceDN w:val="0"/>
        <w:ind w:left="82"/>
        <w:jc w:val="both"/>
        <w:outlineLvl w:val="3"/>
        <w:rPr>
          <w:rFonts w:ascii="宋体" w:hAnsi="宋体" w:cs="宋体"/>
          <w:b/>
          <w:bCs/>
          <w:color w:val="auto"/>
          <w:szCs w:val="21"/>
          <w:highlight w:val="none"/>
        </w:rPr>
      </w:pPr>
      <w:r>
        <w:rPr>
          <w:rFonts w:hint="eastAsia" w:ascii="宋体" w:hAnsi="宋体" w:cs="宋体"/>
          <w:b/>
          <w:bCs/>
          <w:color w:val="auto"/>
          <w:szCs w:val="21"/>
          <w:highlight w:val="none"/>
        </w:rPr>
        <w:t>5.3.1.9 油漆要求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（1）设备及金属结构件预处理除锈等级达到Sa2.5级，表面粗糙度控制在25～60</w:t>
      </w:r>
      <w:r>
        <w:rPr>
          <w:rFonts w:hint="eastAsia" w:ascii="宋体" w:hAnsi="宋体" w:cs="宋体"/>
          <w:color w:val="auto"/>
          <w:szCs w:val="21"/>
          <w:highlight w:val="none"/>
          <w:lang w:eastAsia="en-US"/>
        </w:rPr>
        <w:t>μ</w:t>
      </w:r>
      <w:r>
        <w:rPr>
          <w:rFonts w:hint="eastAsia" w:ascii="宋体" w:hAnsi="宋体" w:cs="宋体"/>
          <w:color w:val="auto"/>
          <w:szCs w:val="21"/>
          <w:highlight w:val="none"/>
        </w:rPr>
        <w:t>m之间，并采取防锈措施，焊接后的焊缝部位打磨后再用底漆和面漆涂装。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（2）设备内部涂层为底漆涂环氧富锌底漆两道，环氧面煤沥青两道，涂层总厚度不小于125</w:t>
      </w:r>
      <w:r>
        <w:rPr>
          <w:rFonts w:hint="eastAsia" w:ascii="宋体" w:hAnsi="宋体" w:cs="宋体"/>
          <w:color w:val="auto"/>
          <w:szCs w:val="21"/>
          <w:highlight w:val="none"/>
          <w:lang w:eastAsia="en-US"/>
        </w:rPr>
        <w:t>μ</w:t>
      </w:r>
      <w:r>
        <w:rPr>
          <w:rFonts w:hint="eastAsia" w:ascii="宋体" w:hAnsi="宋体" w:cs="宋体"/>
          <w:color w:val="auto"/>
          <w:szCs w:val="21"/>
          <w:highlight w:val="none"/>
        </w:rPr>
        <w:t>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（3）设备外部涂层为底漆涂环氧富锌底漆一道，中间漆涂环氧云铁中间漆一道，氯磺化聚乙烯面漆两道，涂层总厚度不小于150</w:t>
      </w:r>
      <w:r>
        <w:rPr>
          <w:rFonts w:hint="eastAsia" w:ascii="宋体" w:hAnsi="宋体" w:cs="宋体"/>
          <w:color w:val="auto"/>
          <w:szCs w:val="21"/>
          <w:highlight w:val="none"/>
          <w:lang w:eastAsia="en-US"/>
        </w:rPr>
        <w:t>μ</w:t>
      </w:r>
      <w:r>
        <w:rPr>
          <w:rFonts w:hint="eastAsia" w:ascii="宋体" w:hAnsi="宋体" w:cs="宋体"/>
          <w:color w:val="auto"/>
          <w:szCs w:val="21"/>
          <w:highlight w:val="none"/>
        </w:rPr>
        <w:t>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（4）油漆质量要达到：“漆膜均匀，不得有气泡、夹杂、龟裂、杂色、剥落、皱皮等缺陷”的要求，控制柜应采用烤漆工艺。</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（5）中标人对涂层的附着力、硬度和厚度进行检测。</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（6）中标人提供用于现场修复的底漆和面漆。</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（7）中标人提供的所有设备、管道、阀门、开关柜、控制柜等油漆颜色、工艺要求按全厂统一标准执行，具体要求在设计联络会时确定。</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（8） 碳钢管道、钢材、支架、设备等应在进场前喷砂处理并达Sa2.5级，喷涂底漆、中间漆，施工完成后再涂面漆。不允许未喷砂的钢材、管道、支架等安装后再进行除锈。</w:t>
      </w:r>
    </w:p>
    <w:p>
      <w:pPr>
        <w:widowControl w:val="0"/>
        <w:numPr>
          <w:ilvl w:val="1"/>
          <w:numId w:val="49"/>
        </w:numPr>
        <w:autoSpaceDE w:val="0"/>
        <w:autoSpaceDN w:val="0"/>
        <w:jc w:val="both"/>
        <w:outlineLvl w:val="1"/>
        <w:rPr>
          <w:rFonts w:ascii="宋体" w:hAnsi="宋体" w:cs="宋体"/>
          <w:b/>
          <w:color w:val="auto"/>
          <w:szCs w:val="21"/>
          <w:highlight w:val="none"/>
          <w:lang w:eastAsia="en-US"/>
        </w:rPr>
      </w:pPr>
      <w:bookmarkStart w:id="356" w:name="_Toc146535747"/>
      <w:r>
        <w:rPr>
          <w:rFonts w:hint="eastAsia" w:ascii="宋体" w:hAnsi="宋体" w:cs="宋体"/>
          <w:b/>
          <w:color w:val="auto"/>
          <w:szCs w:val="21"/>
          <w:highlight w:val="none"/>
          <w:lang w:eastAsia="en-US"/>
        </w:rPr>
        <w:t>系统布置要求</w:t>
      </w:r>
      <w:bookmarkEnd w:id="356"/>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根据提供的土建方案布置图设计文件，按总图区域占地进行设备的布置和设计。设备布局应科学合理，确保系统的布置不突破车间内部的空间尺寸，并需配合建筑设计一同确保满足建筑物限高要求，并需预留巡视、检修及消防等的通道与空间。</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中标人须根据土建方案布置图进行设备布置，并满足框架桩基图和基础图的要求，避免额外增加补桩或者改变基础图的设计。设备布置考虑桩位置，设备基础布局尽量布置在现有桩位上或者基础梁上。</w:t>
      </w:r>
    </w:p>
    <w:p>
      <w:pPr>
        <w:widowControl w:val="0"/>
        <w:autoSpaceDE w:val="0"/>
        <w:autoSpaceDN w:val="0"/>
        <w:jc w:val="both"/>
        <w:outlineLvl w:val="0"/>
        <w:rPr>
          <w:rFonts w:ascii="宋体" w:hAnsi="宋体" w:cs="宋体"/>
          <w:b/>
          <w:color w:val="auto"/>
          <w:szCs w:val="21"/>
          <w:highlight w:val="none"/>
        </w:rPr>
      </w:pPr>
      <w:bookmarkStart w:id="357" w:name="_Toc146535748"/>
      <w:r>
        <w:rPr>
          <w:rFonts w:hint="eastAsia" w:ascii="宋体" w:hAnsi="宋体" w:cs="宋体"/>
          <w:b/>
          <w:color w:val="auto"/>
          <w:szCs w:val="21"/>
          <w:highlight w:val="none"/>
        </w:rPr>
        <w:t>六、技术资料与文件</w:t>
      </w:r>
      <w:bookmarkEnd w:id="357"/>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本项目所有的技术资料与文件采用中文编制，单位采用国际单位制。</w:t>
      </w:r>
    </w:p>
    <w:p>
      <w:pPr>
        <w:widowControl w:val="0"/>
        <w:autoSpaceDE w:val="0"/>
        <w:autoSpaceDN w:val="0"/>
        <w:spacing w:after="120"/>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投标文件技术部分按以下三个分册编制：投标文件技术部分、技术部分附图、项目实施建议书。</w:t>
      </w:r>
    </w:p>
    <w:p>
      <w:pPr>
        <w:widowControl w:val="0"/>
        <w:numPr>
          <w:ilvl w:val="1"/>
          <w:numId w:val="50"/>
        </w:numPr>
        <w:autoSpaceDE w:val="0"/>
        <w:autoSpaceDN w:val="0"/>
        <w:jc w:val="both"/>
        <w:outlineLvl w:val="1"/>
        <w:rPr>
          <w:rFonts w:ascii="宋体" w:hAnsi="宋体" w:cs="宋体"/>
          <w:b/>
          <w:color w:val="auto"/>
          <w:szCs w:val="21"/>
          <w:highlight w:val="none"/>
        </w:rPr>
      </w:pPr>
      <w:bookmarkStart w:id="358" w:name="_Toc146535749"/>
      <w:r>
        <w:rPr>
          <w:rFonts w:hint="eastAsia" w:ascii="宋体" w:hAnsi="宋体" w:cs="宋体"/>
          <w:b/>
          <w:color w:val="auto"/>
          <w:szCs w:val="21"/>
          <w:highlight w:val="none"/>
        </w:rPr>
        <w:t>投标文件技术部分</w:t>
      </w:r>
      <w:bookmarkEnd w:id="358"/>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投标文件技术部分内容应包括但不局限于以下章节和内容：</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项目介绍</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项目工作范围</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设计依据与引用标准</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公用工程需求条件</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主设备性能参数说明</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系统性能承诺指标及保障措施</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公用工程与化学品消耗需求量及承诺值</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三废（污水、废气、废固）排放量表及保证方案</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工艺描述</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设备选型与计算</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辅料化学品规格</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仪表与自控技术方案</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电气技术方案</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钢结构、平台和通道设计方案</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保温与防腐</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设备供货清单</w:t>
      </w:r>
    </w:p>
    <w:p>
      <w:pPr>
        <w:widowControl w:val="0"/>
        <w:numPr>
          <w:ilvl w:val="1"/>
          <w:numId w:val="52"/>
        </w:numPr>
        <w:autoSpaceDE w:val="0"/>
        <w:autoSpaceDN w:val="0"/>
        <w:spacing w:before="60" w:after="60"/>
        <w:jc w:val="both"/>
        <w:rPr>
          <w:rFonts w:ascii="宋体" w:hAnsi="宋体" w:cs="宋体"/>
          <w:color w:val="auto"/>
          <w:szCs w:val="21"/>
          <w:highlight w:val="none"/>
        </w:rPr>
      </w:pPr>
      <w:r>
        <w:rPr>
          <w:rFonts w:hint="eastAsia" w:ascii="宋体" w:hAnsi="宋体" w:cs="宋体"/>
          <w:color w:val="auto"/>
          <w:szCs w:val="21"/>
          <w:highlight w:val="none"/>
        </w:rPr>
        <w:t>工艺设备供货清单</w:t>
      </w:r>
    </w:p>
    <w:p>
      <w:pPr>
        <w:widowControl w:val="0"/>
        <w:numPr>
          <w:ilvl w:val="1"/>
          <w:numId w:val="52"/>
        </w:numPr>
        <w:autoSpaceDE w:val="0"/>
        <w:autoSpaceDN w:val="0"/>
        <w:spacing w:before="60" w:after="60"/>
        <w:jc w:val="both"/>
        <w:rPr>
          <w:rFonts w:ascii="宋体" w:hAnsi="宋体" w:cs="宋体"/>
          <w:color w:val="auto"/>
          <w:szCs w:val="21"/>
          <w:highlight w:val="none"/>
        </w:rPr>
      </w:pPr>
      <w:r>
        <w:rPr>
          <w:rFonts w:hint="eastAsia" w:ascii="宋体" w:hAnsi="宋体" w:cs="宋体"/>
          <w:color w:val="auto"/>
          <w:szCs w:val="21"/>
          <w:highlight w:val="none"/>
        </w:rPr>
        <w:t>仪表设备供货清单</w:t>
      </w:r>
    </w:p>
    <w:p>
      <w:pPr>
        <w:widowControl w:val="0"/>
        <w:numPr>
          <w:ilvl w:val="1"/>
          <w:numId w:val="52"/>
        </w:numPr>
        <w:autoSpaceDE w:val="0"/>
        <w:autoSpaceDN w:val="0"/>
        <w:spacing w:before="60" w:after="60"/>
        <w:jc w:val="both"/>
        <w:rPr>
          <w:rFonts w:ascii="宋体" w:hAnsi="宋体" w:cs="宋体"/>
          <w:color w:val="auto"/>
          <w:szCs w:val="21"/>
          <w:highlight w:val="none"/>
        </w:rPr>
      </w:pPr>
      <w:r>
        <w:rPr>
          <w:rFonts w:hint="eastAsia" w:ascii="宋体" w:hAnsi="宋体" w:cs="宋体"/>
          <w:color w:val="auto"/>
          <w:szCs w:val="21"/>
          <w:highlight w:val="none"/>
        </w:rPr>
        <w:t>电气设备供货清单</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材料供货清单</w:t>
      </w:r>
    </w:p>
    <w:p>
      <w:pPr>
        <w:widowControl w:val="0"/>
        <w:numPr>
          <w:ilvl w:val="1"/>
          <w:numId w:val="53"/>
        </w:numPr>
        <w:autoSpaceDE w:val="0"/>
        <w:autoSpaceDN w:val="0"/>
        <w:spacing w:before="60" w:after="60"/>
        <w:jc w:val="both"/>
        <w:rPr>
          <w:rFonts w:ascii="宋体" w:hAnsi="宋体" w:cs="宋体"/>
          <w:color w:val="auto"/>
          <w:szCs w:val="21"/>
          <w:highlight w:val="none"/>
        </w:rPr>
      </w:pPr>
      <w:r>
        <w:rPr>
          <w:rFonts w:hint="eastAsia" w:ascii="宋体" w:hAnsi="宋体" w:cs="宋体"/>
          <w:color w:val="auto"/>
          <w:szCs w:val="21"/>
          <w:highlight w:val="none"/>
        </w:rPr>
        <w:t>管道材料供货清单</w:t>
      </w:r>
    </w:p>
    <w:p>
      <w:pPr>
        <w:widowControl w:val="0"/>
        <w:numPr>
          <w:ilvl w:val="1"/>
          <w:numId w:val="53"/>
        </w:numPr>
        <w:autoSpaceDE w:val="0"/>
        <w:autoSpaceDN w:val="0"/>
        <w:spacing w:before="60" w:after="60"/>
        <w:jc w:val="both"/>
        <w:rPr>
          <w:rFonts w:ascii="宋体" w:hAnsi="宋体" w:cs="宋体"/>
          <w:color w:val="auto"/>
          <w:szCs w:val="21"/>
          <w:highlight w:val="none"/>
        </w:rPr>
      </w:pPr>
      <w:r>
        <w:rPr>
          <w:rFonts w:hint="eastAsia" w:ascii="宋体" w:hAnsi="宋体" w:cs="宋体"/>
          <w:color w:val="auto"/>
          <w:szCs w:val="21"/>
          <w:highlight w:val="none"/>
        </w:rPr>
        <w:t>仪表材料供货清单</w:t>
      </w:r>
    </w:p>
    <w:p>
      <w:pPr>
        <w:widowControl w:val="0"/>
        <w:numPr>
          <w:ilvl w:val="1"/>
          <w:numId w:val="53"/>
        </w:numPr>
        <w:autoSpaceDE w:val="0"/>
        <w:autoSpaceDN w:val="0"/>
        <w:spacing w:before="60" w:after="60"/>
        <w:jc w:val="both"/>
        <w:rPr>
          <w:rFonts w:ascii="宋体" w:hAnsi="宋体" w:cs="宋体"/>
          <w:color w:val="auto"/>
          <w:szCs w:val="21"/>
          <w:highlight w:val="none"/>
        </w:rPr>
      </w:pPr>
      <w:r>
        <w:rPr>
          <w:rFonts w:hint="eastAsia" w:ascii="宋体" w:hAnsi="宋体" w:cs="宋体"/>
          <w:color w:val="auto"/>
          <w:szCs w:val="21"/>
          <w:highlight w:val="none"/>
        </w:rPr>
        <w:t>电气材料供货清单</w:t>
      </w:r>
    </w:p>
    <w:p>
      <w:pPr>
        <w:widowControl w:val="0"/>
        <w:numPr>
          <w:ilvl w:val="1"/>
          <w:numId w:val="53"/>
        </w:numPr>
        <w:autoSpaceDE w:val="0"/>
        <w:autoSpaceDN w:val="0"/>
        <w:spacing w:before="60" w:after="60"/>
        <w:jc w:val="both"/>
        <w:rPr>
          <w:rFonts w:ascii="宋体" w:hAnsi="宋体" w:cs="宋体"/>
          <w:color w:val="auto"/>
          <w:szCs w:val="21"/>
          <w:highlight w:val="none"/>
        </w:rPr>
      </w:pPr>
      <w:r>
        <w:rPr>
          <w:rFonts w:hint="eastAsia" w:ascii="宋体" w:hAnsi="宋体" w:cs="宋体"/>
          <w:color w:val="auto"/>
          <w:szCs w:val="21"/>
          <w:highlight w:val="none"/>
        </w:rPr>
        <w:t>备品备件供货清单</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安装说明</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工程进度计划</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项目拟配置人员信息</w:t>
      </w:r>
    </w:p>
    <w:p>
      <w:pPr>
        <w:widowControl w:val="0"/>
        <w:numPr>
          <w:ilvl w:val="0"/>
          <w:numId w:val="51"/>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其他</w:t>
      </w:r>
    </w:p>
    <w:p>
      <w:pPr>
        <w:widowControl w:val="0"/>
        <w:numPr>
          <w:ilvl w:val="1"/>
          <w:numId w:val="50"/>
        </w:numPr>
        <w:autoSpaceDE w:val="0"/>
        <w:autoSpaceDN w:val="0"/>
        <w:jc w:val="both"/>
        <w:outlineLvl w:val="1"/>
        <w:rPr>
          <w:rFonts w:ascii="宋体" w:hAnsi="宋体" w:cs="宋体"/>
          <w:b/>
          <w:color w:val="auto"/>
          <w:szCs w:val="21"/>
          <w:highlight w:val="none"/>
        </w:rPr>
      </w:pPr>
      <w:bookmarkStart w:id="359" w:name="_Toc146535750"/>
      <w:r>
        <w:rPr>
          <w:rFonts w:hint="eastAsia" w:ascii="宋体" w:hAnsi="宋体" w:cs="宋体"/>
          <w:b/>
          <w:color w:val="auto"/>
          <w:szCs w:val="21"/>
          <w:highlight w:val="none"/>
        </w:rPr>
        <w:t>技术部分附图</w:t>
      </w:r>
      <w:bookmarkEnd w:id="359"/>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技术建议书附图应包括但不局限于以下图纸：</w:t>
      </w:r>
    </w:p>
    <w:p>
      <w:pPr>
        <w:widowControl w:val="0"/>
        <w:numPr>
          <w:ilvl w:val="0"/>
          <w:numId w:val="54"/>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设备平图布置图（含工艺设备尺寸、定位、荷载等）；</w:t>
      </w:r>
    </w:p>
    <w:p>
      <w:pPr>
        <w:widowControl w:val="0"/>
        <w:numPr>
          <w:ilvl w:val="0"/>
          <w:numId w:val="54"/>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动力配电系统图</w:t>
      </w:r>
    </w:p>
    <w:p>
      <w:pPr>
        <w:widowControl w:val="0"/>
        <w:numPr>
          <w:ilvl w:val="0"/>
          <w:numId w:val="54"/>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控制系统网络结构图；</w:t>
      </w:r>
    </w:p>
    <w:p>
      <w:pPr>
        <w:widowControl w:val="0"/>
        <w:numPr>
          <w:ilvl w:val="1"/>
          <w:numId w:val="50"/>
        </w:numPr>
        <w:autoSpaceDE w:val="0"/>
        <w:autoSpaceDN w:val="0"/>
        <w:jc w:val="both"/>
        <w:outlineLvl w:val="1"/>
        <w:rPr>
          <w:rFonts w:ascii="宋体" w:hAnsi="宋体" w:cs="宋体"/>
          <w:b/>
          <w:color w:val="auto"/>
          <w:szCs w:val="21"/>
          <w:highlight w:val="none"/>
        </w:rPr>
      </w:pPr>
      <w:bookmarkStart w:id="360" w:name="_Toc146535751"/>
      <w:r>
        <w:rPr>
          <w:rFonts w:hint="eastAsia" w:ascii="宋体" w:hAnsi="宋体" w:cs="宋体"/>
          <w:b/>
          <w:color w:val="auto"/>
          <w:szCs w:val="21"/>
          <w:highlight w:val="none"/>
        </w:rPr>
        <w:t>项目实施建议书</w:t>
      </w:r>
      <w:bookmarkEnd w:id="360"/>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项目实施建议书应包括但不局限于以下内容：</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项目概述</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项目范围</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项目目标</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项目实施管理策略</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项目组织机构与人力资源投入计划</w:t>
      </w:r>
      <w:r>
        <w:rPr>
          <w:rFonts w:hint="eastAsia" w:ascii="宋体" w:hAnsi="宋体" w:cs="宋体"/>
          <w:color w:val="auto"/>
          <w:szCs w:val="21"/>
          <w:highlight w:val="none"/>
        </w:rPr>
        <w:br w:type="textWrapping"/>
      </w:r>
      <w:r>
        <w:rPr>
          <w:rFonts w:hint="eastAsia" w:ascii="宋体" w:hAnsi="宋体" w:cs="宋体"/>
          <w:color w:val="auto"/>
          <w:szCs w:val="21"/>
          <w:highlight w:val="none"/>
        </w:rPr>
        <w:t>包括但不局限于：项目组织机构，设计、设备监检、安装、调试及保运阶段拟投入本项目的人员资源，专业负责人及以上管理人员的简历等；</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项目EHS管理；</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项目质量管理质量保证措施；</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项目进度控制管理与进度保证措施；</w:t>
      </w:r>
      <w:r>
        <w:rPr>
          <w:rFonts w:hint="eastAsia" w:ascii="宋体" w:hAnsi="宋体" w:cs="宋体"/>
          <w:color w:val="auto"/>
          <w:szCs w:val="21"/>
          <w:highlight w:val="none"/>
        </w:rPr>
        <w:br w:type="textWrapping"/>
      </w:r>
      <w:r>
        <w:rPr>
          <w:rFonts w:hint="eastAsia" w:ascii="宋体" w:hAnsi="宋体" w:cs="宋体"/>
          <w:color w:val="auto"/>
          <w:szCs w:val="21"/>
          <w:highlight w:val="none"/>
        </w:rPr>
        <w:t>包括但不限于：进度目标，详细的进度进度表（横道图表示的），进度保证的具体措施等。</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项目费用管理、控制要点及保障措施</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项目沟通与汇报机制</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项目文件档管理计划</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项目设计管理计划</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项目采购管理计划</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项目施工管理计划</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调试管理与系统调试方案</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培训服务方案（包括现场培训及同类项目在岗培训）</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性能考核、验收与项目移交</w:t>
      </w:r>
    </w:p>
    <w:p>
      <w:pPr>
        <w:widowControl w:val="0"/>
        <w:numPr>
          <w:ilvl w:val="0"/>
          <w:numId w:val="55"/>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售后服务方案与售后服务承诺</w:t>
      </w:r>
    </w:p>
    <w:p>
      <w:pPr>
        <w:widowControl w:val="0"/>
        <w:numPr>
          <w:ilvl w:val="1"/>
          <w:numId w:val="50"/>
        </w:numPr>
        <w:autoSpaceDE w:val="0"/>
        <w:autoSpaceDN w:val="0"/>
        <w:jc w:val="both"/>
        <w:outlineLvl w:val="1"/>
        <w:rPr>
          <w:rFonts w:ascii="宋体" w:hAnsi="宋体" w:cs="宋体"/>
          <w:b/>
          <w:color w:val="auto"/>
          <w:szCs w:val="21"/>
          <w:highlight w:val="none"/>
        </w:rPr>
      </w:pPr>
      <w:bookmarkStart w:id="361" w:name="_Toc146535752"/>
      <w:r>
        <w:rPr>
          <w:rFonts w:hint="eastAsia" w:ascii="宋体" w:hAnsi="宋体" w:cs="宋体"/>
          <w:b/>
          <w:color w:val="auto"/>
          <w:szCs w:val="21"/>
          <w:highlight w:val="none"/>
        </w:rPr>
        <w:t>其他</w:t>
      </w:r>
      <w:bookmarkEnd w:id="361"/>
    </w:p>
    <w:p>
      <w:pPr>
        <w:widowControl w:val="0"/>
        <w:numPr>
          <w:ilvl w:val="0"/>
          <w:numId w:val="56"/>
        </w:numPr>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投标人应在投标文件中提供文件，确认除偏差表中特别提及的除外，完全接受技术规范的要求。</w:t>
      </w:r>
    </w:p>
    <w:p>
      <w:pPr>
        <w:rPr>
          <w:color w:val="auto"/>
          <w:highlight w:val="none"/>
        </w:rPr>
      </w:pPr>
      <w:bookmarkStart w:id="362" w:name="_Toc146535753"/>
    </w:p>
    <w:p>
      <w:pPr>
        <w:widowControl w:val="0"/>
        <w:autoSpaceDE w:val="0"/>
        <w:autoSpaceDN w:val="0"/>
        <w:jc w:val="both"/>
        <w:outlineLvl w:val="0"/>
        <w:rPr>
          <w:rFonts w:ascii="宋体" w:hAnsi="宋体" w:cs="宋体"/>
          <w:b/>
          <w:color w:val="auto"/>
          <w:szCs w:val="21"/>
          <w:highlight w:val="none"/>
          <w:lang w:eastAsia="en-US"/>
        </w:rPr>
      </w:pPr>
      <w:r>
        <w:rPr>
          <w:rFonts w:hint="eastAsia" w:ascii="宋体" w:hAnsi="宋体" w:cs="宋体"/>
          <w:b/>
          <w:color w:val="auto"/>
          <w:szCs w:val="21"/>
          <w:highlight w:val="none"/>
        </w:rPr>
        <w:t>七、其他要求</w:t>
      </w:r>
      <w:bookmarkEnd w:id="362"/>
    </w:p>
    <w:p>
      <w:pPr>
        <w:widowControl w:val="0"/>
        <w:numPr>
          <w:ilvl w:val="1"/>
          <w:numId w:val="57"/>
        </w:numPr>
        <w:autoSpaceDE w:val="0"/>
        <w:autoSpaceDN w:val="0"/>
        <w:jc w:val="both"/>
        <w:outlineLvl w:val="1"/>
        <w:rPr>
          <w:rFonts w:ascii="宋体" w:hAnsi="宋体" w:cs="宋体"/>
          <w:b/>
          <w:color w:val="auto"/>
          <w:szCs w:val="21"/>
          <w:highlight w:val="none"/>
          <w:lang w:eastAsia="en-US"/>
        </w:rPr>
      </w:pPr>
      <w:bookmarkStart w:id="363" w:name="_Toc146535754"/>
      <w:r>
        <w:rPr>
          <w:rFonts w:hint="eastAsia" w:ascii="宋体" w:hAnsi="宋体" w:cs="宋体"/>
          <w:b/>
          <w:color w:val="auto"/>
          <w:szCs w:val="21"/>
          <w:highlight w:val="none"/>
          <w:lang w:eastAsia="en-US"/>
        </w:rPr>
        <w:t>中标后提交的文件资料</w:t>
      </w:r>
      <w:bookmarkEnd w:id="363"/>
    </w:p>
    <w:p>
      <w:pPr>
        <w:widowControl w:val="0"/>
        <w:numPr>
          <w:ilvl w:val="0"/>
          <w:numId w:val="58"/>
        </w:numPr>
        <w:tabs>
          <w:tab w:val="left" w:pos="336"/>
        </w:tabs>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ab/>
      </w:r>
      <w:r>
        <w:rPr>
          <w:rFonts w:hint="eastAsia" w:ascii="宋体" w:hAnsi="宋体" w:cs="宋体"/>
          <w:color w:val="auto"/>
          <w:szCs w:val="21"/>
          <w:highlight w:val="none"/>
        </w:rPr>
        <w:t>中标人提交的图纸及其他资料</w:t>
      </w:r>
    </w:p>
    <w:tbl>
      <w:tblPr>
        <w:tblStyle w:val="34"/>
        <w:tblW w:w="88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6"/>
        <w:gridCol w:w="3119"/>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3276" w:type="dxa"/>
            <w:vAlign w:val="center"/>
          </w:tcPr>
          <w:p>
            <w:pPr>
              <w:widowControl w:val="0"/>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图纸/文件</w:t>
            </w:r>
          </w:p>
        </w:tc>
        <w:tc>
          <w:tcPr>
            <w:tcW w:w="3119" w:type="dxa"/>
            <w:vAlign w:val="center"/>
          </w:tcPr>
          <w:p>
            <w:pPr>
              <w:widowControl w:val="0"/>
              <w:autoSpaceDE w:val="0"/>
              <w:autoSpaceDN w:val="0"/>
              <w:adjustRightInd/>
              <w:snapToGrid/>
              <w:ind w:firstLine="422" w:firstLineChars="200"/>
              <w:jc w:val="center"/>
              <w:rPr>
                <w:rFonts w:ascii="宋体" w:hAnsi="宋体" w:cs="宋体"/>
                <w:b/>
                <w:bCs/>
                <w:color w:val="auto"/>
                <w:szCs w:val="21"/>
                <w:highlight w:val="none"/>
              </w:rPr>
            </w:pPr>
            <w:r>
              <w:rPr>
                <w:rFonts w:hint="eastAsia" w:ascii="宋体" w:hAnsi="宋体" w:cs="宋体"/>
                <w:b/>
                <w:bCs/>
                <w:color w:val="auto"/>
                <w:szCs w:val="21"/>
                <w:highlight w:val="none"/>
                <w:lang w:eastAsia="en-US"/>
              </w:rPr>
              <w:t>数量（套）</w:t>
            </w:r>
          </w:p>
        </w:tc>
        <w:tc>
          <w:tcPr>
            <w:tcW w:w="2461" w:type="dxa"/>
            <w:vAlign w:val="center"/>
          </w:tcPr>
          <w:p>
            <w:pPr>
              <w:widowControl w:val="0"/>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widowControl w:val="0"/>
              <w:autoSpaceDE w:val="0"/>
              <w:autoSpaceDN w:val="0"/>
              <w:adjustRightInd/>
              <w:snapToGrid/>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制作/安装等施工图纸</w:t>
            </w:r>
          </w:p>
        </w:tc>
        <w:tc>
          <w:tcPr>
            <w:tcW w:w="3119"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4套纸质版，1套电子版（备份U盘一个）</w:t>
            </w:r>
          </w:p>
        </w:tc>
        <w:tc>
          <w:tcPr>
            <w:tcW w:w="2461"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lang w:eastAsia="en-US"/>
              </w:rPr>
              <w:t>中标人施工记录表</w:t>
            </w:r>
          </w:p>
        </w:tc>
        <w:tc>
          <w:tcPr>
            <w:tcW w:w="3119"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4套纸质版含原件及复印件</w:t>
            </w:r>
          </w:p>
        </w:tc>
        <w:tc>
          <w:tcPr>
            <w:tcW w:w="2461" w:type="dxa"/>
            <w:vAlign w:val="center"/>
          </w:tcPr>
          <w:p>
            <w:pPr>
              <w:widowControl w:val="0"/>
              <w:autoSpaceDE w:val="0"/>
              <w:autoSpaceDN w:val="0"/>
              <w:adjustRightInd/>
              <w:snapToGrid/>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设备操作手册和维修手册</w:t>
            </w:r>
          </w:p>
        </w:tc>
        <w:tc>
          <w:tcPr>
            <w:tcW w:w="3119"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4套纸质版，1套电子版（备份U盘一个）</w:t>
            </w:r>
          </w:p>
        </w:tc>
        <w:tc>
          <w:tcPr>
            <w:tcW w:w="2461"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lang w:eastAsia="en-US"/>
              </w:rPr>
              <w:t>签字盖章确认版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lang w:eastAsia="en-US"/>
              </w:rPr>
              <w:t>制造商的试验证明书</w:t>
            </w:r>
          </w:p>
        </w:tc>
        <w:tc>
          <w:tcPr>
            <w:tcW w:w="3119" w:type="dxa"/>
            <w:vAlign w:val="center"/>
          </w:tcPr>
          <w:p>
            <w:pPr>
              <w:widowControl w:val="0"/>
              <w:autoSpaceDE w:val="0"/>
              <w:autoSpaceDN w:val="0"/>
              <w:adjustRightInd/>
              <w:snapToGrid/>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1套纸质版</w:t>
            </w:r>
          </w:p>
        </w:tc>
        <w:tc>
          <w:tcPr>
            <w:tcW w:w="2461" w:type="dxa"/>
            <w:vAlign w:val="center"/>
          </w:tcPr>
          <w:p>
            <w:pPr>
              <w:widowControl w:val="0"/>
              <w:autoSpaceDE w:val="0"/>
              <w:autoSpaceDN w:val="0"/>
              <w:adjustRightInd/>
              <w:snapToGrid/>
              <w:jc w:val="both"/>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3276"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原材料的出厂检验报告</w:t>
            </w:r>
          </w:p>
        </w:tc>
        <w:tc>
          <w:tcPr>
            <w:tcW w:w="3119"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lang w:eastAsia="en-US"/>
              </w:rPr>
              <w:t>每批次提供</w:t>
            </w:r>
          </w:p>
        </w:tc>
        <w:tc>
          <w:tcPr>
            <w:tcW w:w="2461" w:type="dxa"/>
            <w:vAlign w:val="center"/>
          </w:tcPr>
          <w:p>
            <w:pPr>
              <w:widowControl w:val="0"/>
              <w:autoSpaceDE w:val="0"/>
              <w:autoSpaceDN w:val="0"/>
              <w:adjustRightInd/>
              <w:snapToGrid/>
              <w:jc w:val="both"/>
              <w:rPr>
                <w:rFonts w:ascii="宋体" w:hAnsi="宋体" w:cs="宋体"/>
                <w:color w:val="auto"/>
                <w:szCs w:val="21"/>
                <w:highlight w:val="none"/>
                <w:lang w:eastAsia="en-US"/>
              </w:rPr>
            </w:pPr>
          </w:p>
        </w:tc>
      </w:tr>
    </w:tbl>
    <w:p>
      <w:pPr>
        <w:widowControl w:val="0"/>
        <w:numPr>
          <w:ilvl w:val="0"/>
          <w:numId w:val="58"/>
        </w:numPr>
        <w:tabs>
          <w:tab w:val="left" w:pos="336"/>
        </w:tabs>
        <w:autoSpaceDE w:val="0"/>
        <w:autoSpaceDN w:val="0"/>
        <w:spacing w:before="60" w:after="60"/>
        <w:ind w:left="638" w:right="113" w:hanging="420"/>
        <w:jc w:val="both"/>
        <w:rPr>
          <w:rFonts w:ascii="宋体" w:hAnsi="宋体" w:cs="宋体"/>
          <w:color w:val="auto"/>
          <w:szCs w:val="21"/>
          <w:highlight w:val="none"/>
        </w:rPr>
      </w:pPr>
      <w:r>
        <w:rPr>
          <w:rFonts w:hint="eastAsia" w:ascii="宋体" w:hAnsi="宋体" w:cs="宋体"/>
          <w:color w:val="auto"/>
          <w:szCs w:val="21"/>
          <w:highlight w:val="none"/>
        </w:rPr>
        <w:t>其他要求</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中标人必须向采购人和业主提供数量充足的（≥8）纸质和电子副本。在合同开始执行时，采购人就应限定数据格式。该条款尤其适用于 CAD、office文件。</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中标人所提交的文件应在接收之日后 15 天内经采购人校核、评审和批准。评审意见应书面下达给中标人。中标人应将评审意见纳入其文件中。</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根据评审意见的性质和重要性，中标人必须在下一个合同文件提交日之前重新编写文件和在文件中包含评审意见。批准书将与评审意见同时下达（若评审意见不重要）或在文件按评审意见重新编写之后下达。</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对任何文件的批准都不会减轻中标人的合同职责或以任何方式把责任转嫁给采购人。如果任何文件须符合中国或其他标准（GB，ASME，BS， DIN，EN，VDE 等），投标人有责任了解相关标准。</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在合同开始执行时，采购人应提供标准模板清单和其他文件。必须使用这些模板。中标人必须保留所有文件的更新直到采购人最终接收。</w:t>
      </w:r>
    </w:p>
    <w:p>
      <w:pPr>
        <w:widowControl w:val="0"/>
        <w:numPr>
          <w:ilvl w:val="1"/>
          <w:numId w:val="57"/>
        </w:numPr>
        <w:autoSpaceDE w:val="0"/>
        <w:autoSpaceDN w:val="0"/>
        <w:jc w:val="both"/>
        <w:outlineLvl w:val="1"/>
        <w:rPr>
          <w:rFonts w:ascii="宋体" w:hAnsi="宋体" w:cs="宋体"/>
          <w:b/>
          <w:color w:val="auto"/>
          <w:szCs w:val="21"/>
          <w:highlight w:val="none"/>
        </w:rPr>
      </w:pPr>
      <w:bookmarkStart w:id="364" w:name="_Toc146535755"/>
      <w:r>
        <w:rPr>
          <w:rFonts w:hint="eastAsia" w:ascii="宋体" w:hAnsi="宋体" w:cs="宋体"/>
          <w:b/>
          <w:color w:val="auto"/>
          <w:szCs w:val="21"/>
          <w:highlight w:val="none"/>
        </w:rPr>
        <w:t>变更</w:t>
      </w:r>
      <w:bookmarkEnd w:id="364"/>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没有采购人的通知和同意，中标人不得擅自对经采购人批准的永久性工程作任何设计变更。在采购人认为有必要对某永久性工程作设计变更，收到书面设计变更通知后，中标人应按设计变更通知单指示进行施工。</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所有的设计变更指令和设计变更通知单，应作为竣工资料一起提交。</w:t>
      </w:r>
    </w:p>
    <w:p>
      <w:pPr>
        <w:widowControl w:val="0"/>
        <w:numPr>
          <w:ilvl w:val="1"/>
          <w:numId w:val="57"/>
        </w:numPr>
        <w:autoSpaceDE w:val="0"/>
        <w:autoSpaceDN w:val="0"/>
        <w:jc w:val="both"/>
        <w:outlineLvl w:val="1"/>
        <w:rPr>
          <w:rFonts w:ascii="宋体" w:hAnsi="宋体" w:cs="宋体"/>
          <w:b/>
          <w:color w:val="auto"/>
          <w:szCs w:val="21"/>
          <w:highlight w:val="none"/>
        </w:rPr>
      </w:pPr>
      <w:bookmarkStart w:id="365" w:name="_Toc146535756"/>
      <w:r>
        <w:rPr>
          <w:rFonts w:hint="eastAsia" w:ascii="宋体" w:hAnsi="宋体" w:cs="宋体"/>
          <w:b/>
          <w:color w:val="auto"/>
          <w:szCs w:val="21"/>
          <w:highlight w:val="none"/>
        </w:rPr>
        <w:t>竣工图及竣工资料</w:t>
      </w:r>
      <w:bookmarkEnd w:id="365"/>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中标人应在合同条款规定的工程完工检验之前，向采购人提交4套完整的竣工图和4套完整的竣工资料。竣工资料必须是一套原件，三套复印件。</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竣工图的质量必须符合采购人的要求。图纸整洁,线条清晰，原设计图修改处必须做出明显的标记，以标出正确的尺寸、位置、大小、设备细部等,以便为永久性工程提供一套完整、准确的记录。涉及前期、设计、施工和竣工不同阶段的文件图纸归入相应各阶段的电子竣工文档。</w:t>
      </w:r>
    </w:p>
    <w:p>
      <w:pPr>
        <w:widowControl w:val="0"/>
        <w:numPr>
          <w:ilvl w:val="1"/>
          <w:numId w:val="57"/>
        </w:numPr>
        <w:autoSpaceDE w:val="0"/>
        <w:autoSpaceDN w:val="0"/>
        <w:jc w:val="both"/>
        <w:outlineLvl w:val="1"/>
        <w:rPr>
          <w:rFonts w:ascii="宋体" w:hAnsi="宋体" w:cs="宋体"/>
          <w:b/>
          <w:color w:val="auto"/>
          <w:szCs w:val="21"/>
          <w:highlight w:val="none"/>
        </w:rPr>
      </w:pPr>
      <w:bookmarkStart w:id="366" w:name="_Toc146535757"/>
      <w:r>
        <w:rPr>
          <w:rFonts w:hint="eastAsia" w:ascii="宋体" w:hAnsi="宋体" w:cs="宋体"/>
          <w:b/>
          <w:color w:val="auto"/>
          <w:szCs w:val="21"/>
          <w:highlight w:val="none"/>
        </w:rPr>
        <w:t>操作维修手册</w:t>
      </w:r>
      <w:bookmarkEnd w:id="366"/>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中标人应根据采购人的指令,在工程完工之前提供设备操作手册、设备保养维修手册，还应对防腐蚀系统及材料，检查井盖、扶梯等有关工程部件作技术说明，手册应详述检查和修理步骤及要求。</w:t>
      </w:r>
    </w:p>
    <w:p>
      <w:pPr>
        <w:widowControl w:val="0"/>
        <w:numPr>
          <w:ilvl w:val="1"/>
          <w:numId w:val="57"/>
        </w:numPr>
        <w:autoSpaceDE w:val="0"/>
        <w:autoSpaceDN w:val="0"/>
        <w:jc w:val="both"/>
        <w:outlineLvl w:val="1"/>
        <w:rPr>
          <w:rFonts w:ascii="宋体" w:hAnsi="宋体" w:cs="宋体"/>
          <w:b/>
          <w:color w:val="auto"/>
          <w:szCs w:val="21"/>
          <w:highlight w:val="none"/>
        </w:rPr>
      </w:pPr>
      <w:bookmarkStart w:id="367" w:name="_Toc146535758"/>
      <w:r>
        <w:rPr>
          <w:rFonts w:hint="eastAsia" w:ascii="宋体" w:hAnsi="宋体" w:cs="宋体"/>
          <w:b/>
          <w:color w:val="auto"/>
          <w:szCs w:val="21"/>
          <w:highlight w:val="none"/>
        </w:rPr>
        <w:t>工程进度管理</w:t>
      </w:r>
      <w:bookmarkEnd w:id="367"/>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在工程开工前中标人应根据合同条款要求，把工程进度计划提交给采购人。计划可用条状图或其他采购人同意的方式。</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中标人必须根据合同条款规定，提供月报表。表格须按采购人规定格式打印。月报表内容需完整详细。</w:t>
      </w:r>
    </w:p>
    <w:p>
      <w:pPr>
        <w:widowControl w:val="0"/>
        <w:numPr>
          <w:ilvl w:val="1"/>
          <w:numId w:val="57"/>
        </w:numPr>
        <w:autoSpaceDE w:val="0"/>
        <w:autoSpaceDN w:val="0"/>
        <w:jc w:val="both"/>
        <w:outlineLvl w:val="1"/>
        <w:rPr>
          <w:rFonts w:ascii="宋体" w:hAnsi="宋体" w:cs="宋体"/>
          <w:b/>
          <w:color w:val="auto"/>
          <w:szCs w:val="21"/>
          <w:highlight w:val="none"/>
        </w:rPr>
      </w:pPr>
      <w:bookmarkStart w:id="368" w:name="_Toc146535759"/>
      <w:r>
        <w:rPr>
          <w:rFonts w:hint="eastAsia" w:ascii="宋体" w:hAnsi="宋体" w:cs="宋体"/>
          <w:b/>
          <w:color w:val="auto"/>
          <w:szCs w:val="21"/>
          <w:highlight w:val="none"/>
        </w:rPr>
        <w:t>质量保证和控制</w:t>
      </w:r>
      <w:bookmarkEnd w:id="368"/>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必须建立并执行一套完整的质量保证体系。它应涉及包括(但不限于)：设计、采购、生产等在内的工程各个方面。该质量体系必须符合国际ISO9000系列标准。质量保证体系中关键的部分是监督投标人的供货(包括材料和服务)。为确保项目的质量，中标人必须保证所有供货商都全面执行一套质量保证体系，并收到外部监督机构的监督和审查。</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项目开工后的一个月内，中标人应向采购人提交一份详细的质量保证计划，并且获得采购人的同意。并且作为合同的一个组成部分，主要涉及以下几个方面：</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项目质量保证基础服务期为验收合格之日起一年。</w:t>
      </w:r>
    </w:p>
    <w:p>
      <w:pPr>
        <w:widowControl w:val="0"/>
        <w:numPr>
          <w:ilvl w:val="0"/>
          <w:numId w:val="33"/>
        </w:numPr>
        <w:autoSpaceDE w:val="0"/>
        <w:autoSpaceDN w:val="0"/>
        <w:ind w:left="0"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管理质量计划</w:t>
      </w:r>
    </w:p>
    <w:p>
      <w:pPr>
        <w:widowControl w:val="0"/>
        <w:numPr>
          <w:ilvl w:val="0"/>
          <w:numId w:val="33"/>
        </w:numPr>
        <w:autoSpaceDE w:val="0"/>
        <w:autoSpaceDN w:val="0"/>
        <w:ind w:left="0"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设计质量计划</w:t>
      </w:r>
    </w:p>
    <w:p>
      <w:pPr>
        <w:widowControl w:val="0"/>
        <w:numPr>
          <w:ilvl w:val="0"/>
          <w:numId w:val="33"/>
        </w:numPr>
        <w:autoSpaceDE w:val="0"/>
        <w:autoSpaceDN w:val="0"/>
        <w:ind w:left="0"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生产质量计划</w:t>
      </w:r>
    </w:p>
    <w:p>
      <w:pPr>
        <w:widowControl w:val="0"/>
        <w:numPr>
          <w:ilvl w:val="0"/>
          <w:numId w:val="33"/>
        </w:numPr>
        <w:autoSpaceDE w:val="0"/>
        <w:autoSpaceDN w:val="0"/>
        <w:ind w:left="0"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设备质量计划</w:t>
      </w:r>
    </w:p>
    <w:p>
      <w:pPr>
        <w:widowControl w:val="0"/>
        <w:numPr>
          <w:ilvl w:val="1"/>
          <w:numId w:val="57"/>
        </w:numPr>
        <w:autoSpaceDE w:val="0"/>
        <w:autoSpaceDN w:val="0"/>
        <w:jc w:val="both"/>
        <w:outlineLvl w:val="1"/>
        <w:rPr>
          <w:rFonts w:ascii="宋体" w:hAnsi="宋体" w:cs="宋体"/>
          <w:b/>
          <w:color w:val="auto"/>
          <w:szCs w:val="21"/>
          <w:highlight w:val="none"/>
        </w:rPr>
      </w:pPr>
      <w:bookmarkStart w:id="369" w:name="_Toc146535760"/>
      <w:r>
        <w:rPr>
          <w:rFonts w:hint="eastAsia" w:ascii="宋体" w:hAnsi="宋体" w:cs="宋体"/>
          <w:b/>
          <w:color w:val="auto"/>
          <w:szCs w:val="21"/>
          <w:highlight w:val="none"/>
        </w:rPr>
        <w:t>材料检测与测试</w:t>
      </w:r>
      <w:bookmarkEnd w:id="369"/>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凡合同中规定要求提供样品的，这些样品须在它们所代表的材料用于工程28天之前送采购人所委托的检测机构进行检测。样品须经采购人的验审批准方可使用。</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材料生产商和供应商的测试证明书：当技术规范或有关的参照标准要求有材料生产商和供应商的测试证明书时，必须由投标人提供每份证明书的原件或复印件。</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中标人应为全部材料的取样和测试，施工工艺，设备和量测装置进行日常检查，以控制其质量并保证它们与技术规定和批准的试样相一致。</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材料和试样的试验、检测业务由采购人委托具有相应资质和能力的检测机构进行，检测费用由中标人承担。如检测结果不合格，中标人继续提供样品进行测试直至符合技术规格书要求，这些费用均由中标人承担。</w:t>
      </w:r>
    </w:p>
    <w:p>
      <w:pPr>
        <w:widowControl w:val="0"/>
        <w:numPr>
          <w:ilvl w:val="1"/>
          <w:numId w:val="57"/>
        </w:numPr>
        <w:autoSpaceDE w:val="0"/>
        <w:autoSpaceDN w:val="0"/>
        <w:jc w:val="both"/>
        <w:outlineLvl w:val="1"/>
        <w:rPr>
          <w:rFonts w:ascii="宋体" w:hAnsi="宋体" w:cs="宋体"/>
          <w:b/>
          <w:color w:val="auto"/>
          <w:szCs w:val="21"/>
          <w:highlight w:val="none"/>
        </w:rPr>
      </w:pPr>
      <w:bookmarkStart w:id="370" w:name="_Toc146535761"/>
      <w:r>
        <w:rPr>
          <w:rFonts w:hint="eastAsia" w:ascii="宋体" w:hAnsi="宋体" w:cs="宋体"/>
          <w:b/>
          <w:color w:val="auto"/>
          <w:szCs w:val="21"/>
          <w:highlight w:val="none"/>
        </w:rPr>
        <w:t>安装和检验</w:t>
      </w:r>
      <w:bookmarkEnd w:id="370"/>
    </w:p>
    <w:p>
      <w:pPr>
        <w:widowControl w:val="0"/>
        <w:numPr>
          <w:ilvl w:val="2"/>
          <w:numId w:val="59"/>
        </w:numPr>
        <w:autoSpaceDE w:val="0"/>
        <w:autoSpaceDN w:val="0"/>
        <w:jc w:val="both"/>
        <w:outlineLvl w:val="2"/>
        <w:rPr>
          <w:rFonts w:ascii="宋体" w:hAnsi="宋体" w:cs="宋体"/>
          <w:b/>
          <w:color w:val="auto"/>
          <w:szCs w:val="21"/>
          <w:highlight w:val="none"/>
        </w:rPr>
      </w:pPr>
      <w:bookmarkStart w:id="371" w:name="_Toc146535762"/>
      <w:r>
        <w:rPr>
          <w:rFonts w:hint="eastAsia" w:ascii="宋体" w:hAnsi="宋体" w:cs="宋体"/>
          <w:b/>
          <w:color w:val="auto"/>
          <w:szCs w:val="21"/>
          <w:highlight w:val="none"/>
        </w:rPr>
        <w:t>工厂检验</w:t>
      </w:r>
      <w:bookmarkEnd w:id="371"/>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1.中标人提供的所有设备和其备件、附件都应经过工厂检测。产品合格证、检测记录和检测报告应提交采购人。上述产品合格证应由设备制造商确认并签字。所有检测费用由设备制造商或</w:t>
      </w:r>
      <w:r>
        <w:rPr>
          <w:rFonts w:hint="eastAsia" w:ascii="宋体" w:hAnsi="宋体" w:cs="宋体"/>
          <w:color w:val="auto"/>
          <w:szCs w:val="21"/>
          <w:highlight w:val="none"/>
        </w:rPr>
        <w:t>中</w:t>
      </w:r>
      <w:r>
        <w:rPr>
          <w:rFonts w:hint="eastAsia" w:ascii="宋体" w:hAnsi="宋体" w:cs="宋体"/>
          <w:color w:val="auto"/>
          <w:kern w:val="2"/>
          <w:szCs w:val="21"/>
          <w:highlight w:val="none"/>
        </w:rPr>
        <w:t>标人承担。</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2.设备的工厂检验不能代替货物到现场的最终检验。</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3.采购人在设备生产过程中有权观察、检查，或者监督材料、工艺、所有设备性能的试验。</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4.当设备测试在国内进行时，中标人应提前15天书面通知采购人，试验报告送交采购人。当设备试验在国外进行时，</w:t>
      </w:r>
      <w:r>
        <w:rPr>
          <w:rFonts w:hint="eastAsia" w:ascii="宋体" w:hAnsi="宋体" w:cs="宋体"/>
          <w:color w:val="auto"/>
          <w:szCs w:val="21"/>
          <w:highlight w:val="none"/>
        </w:rPr>
        <w:t>中</w:t>
      </w:r>
      <w:r>
        <w:rPr>
          <w:rFonts w:hint="eastAsia" w:ascii="宋体" w:hAnsi="宋体" w:cs="宋体"/>
          <w:color w:val="auto"/>
          <w:kern w:val="2"/>
          <w:szCs w:val="21"/>
          <w:highlight w:val="none"/>
        </w:rPr>
        <w:t>标人应提前60天书面通知采购人。采购人提前3天通知投标人是否要监督试验情况，如果试验未按原定时间或地点进行而导致采购人未能到场，该试验应在采购人到场的情况下重新做。</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5.系统中主要设备应做无损试验，规定做的无损试验应符合国内和国际相应的标准要求。检测范围应按有关制作标准的要求，如无明确要求，应由采购人决定。无损试验应在弯曲、焊接、热处理和水力试验等完成后进行。</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6.所有无损试验，包括超声波、放射线、穿透检测和保护涂层测试，以及一切无损试验，应由经采购人同意的第三方检测机构承担。</w:t>
      </w:r>
      <w:r>
        <w:rPr>
          <w:rFonts w:hint="eastAsia" w:ascii="宋体" w:hAnsi="宋体" w:cs="宋体"/>
          <w:color w:val="auto"/>
          <w:szCs w:val="21"/>
          <w:highlight w:val="none"/>
        </w:rPr>
        <w:t>中</w:t>
      </w:r>
      <w:r>
        <w:rPr>
          <w:rFonts w:hint="eastAsia" w:ascii="宋体" w:hAnsi="宋体" w:cs="宋体"/>
          <w:color w:val="auto"/>
          <w:kern w:val="2"/>
          <w:szCs w:val="21"/>
          <w:highlight w:val="none"/>
        </w:rPr>
        <w:t>标人应在计划试验开始之前4周向采购人提交详细的试验方案和试验期内拟进行的程序。应包括获准部门试验人员姓名，及其专业经验以及按规定的无损试验要求进行的步骤和方法。如有试验未能通过,</w:t>
      </w:r>
      <w:r>
        <w:rPr>
          <w:rFonts w:hint="eastAsia" w:ascii="宋体" w:hAnsi="宋体" w:cs="宋体"/>
          <w:color w:val="auto"/>
          <w:szCs w:val="21"/>
          <w:highlight w:val="none"/>
        </w:rPr>
        <w:t xml:space="preserve"> 中</w:t>
      </w:r>
      <w:r>
        <w:rPr>
          <w:rFonts w:hint="eastAsia" w:ascii="宋体" w:hAnsi="宋体" w:cs="宋体"/>
          <w:color w:val="auto"/>
          <w:kern w:val="2"/>
          <w:szCs w:val="21"/>
          <w:highlight w:val="none"/>
        </w:rPr>
        <w:t>标人应进行重新试验,且应在合适的时间内按同样规定和条件进行。如</w:t>
      </w:r>
      <w:r>
        <w:rPr>
          <w:rFonts w:hint="eastAsia" w:ascii="宋体" w:hAnsi="宋体" w:cs="宋体"/>
          <w:color w:val="auto"/>
          <w:szCs w:val="21"/>
          <w:highlight w:val="none"/>
        </w:rPr>
        <w:t>中</w:t>
      </w:r>
      <w:r>
        <w:rPr>
          <w:rFonts w:hint="eastAsia" w:ascii="宋体" w:hAnsi="宋体" w:cs="宋体"/>
          <w:color w:val="auto"/>
          <w:kern w:val="2"/>
          <w:szCs w:val="21"/>
          <w:highlight w:val="none"/>
        </w:rPr>
        <w:t>标人改变测试时间未预先通知采购人，则所有重新测试的费用由</w:t>
      </w:r>
      <w:r>
        <w:rPr>
          <w:rFonts w:hint="eastAsia" w:ascii="宋体" w:hAnsi="宋体" w:cs="宋体"/>
          <w:color w:val="auto"/>
          <w:szCs w:val="21"/>
          <w:highlight w:val="none"/>
        </w:rPr>
        <w:t>中</w:t>
      </w:r>
      <w:r>
        <w:rPr>
          <w:rFonts w:hint="eastAsia" w:ascii="宋体" w:hAnsi="宋体" w:cs="宋体"/>
          <w:color w:val="auto"/>
          <w:kern w:val="2"/>
          <w:szCs w:val="21"/>
          <w:highlight w:val="none"/>
        </w:rPr>
        <w:t>标人负担。</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7.工厂检验报告应在设备发货之前提交给采购人，并经采购人审批确认后方可发货。</w:t>
      </w:r>
    </w:p>
    <w:p>
      <w:pPr>
        <w:widowControl w:val="0"/>
        <w:numPr>
          <w:ilvl w:val="2"/>
          <w:numId w:val="59"/>
        </w:numPr>
        <w:autoSpaceDE w:val="0"/>
        <w:autoSpaceDN w:val="0"/>
        <w:jc w:val="both"/>
        <w:outlineLvl w:val="2"/>
        <w:rPr>
          <w:rFonts w:ascii="宋体" w:hAnsi="宋体" w:cs="宋体"/>
          <w:b/>
          <w:color w:val="auto"/>
          <w:szCs w:val="21"/>
          <w:highlight w:val="none"/>
        </w:rPr>
      </w:pPr>
      <w:bookmarkStart w:id="372" w:name="_Toc146535763"/>
      <w:r>
        <w:rPr>
          <w:rFonts w:hint="eastAsia" w:ascii="宋体" w:hAnsi="宋体" w:cs="宋体"/>
          <w:b/>
          <w:color w:val="auto"/>
          <w:szCs w:val="21"/>
          <w:highlight w:val="none"/>
        </w:rPr>
        <w:t>现场检验</w:t>
      </w:r>
      <w:bookmarkEnd w:id="372"/>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1.所有设备和部件均应采取适当的保护，以避免运输或其他原因造成损坏。</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2.现场验收必须在工况下进行。</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3.系统运行结果符合相关标准、技术规格书及合同要求。</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4.系统在性能测试和指导运行过程中出现的所有缺陷已被消除，并得到的认可。</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5.当供货范围内货物均已提供，且性能符合或优于规定要求。</w:t>
      </w:r>
    </w:p>
    <w:p>
      <w:pPr>
        <w:widowControl w:val="0"/>
        <w:numPr>
          <w:ilvl w:val="2"/>
          <w:numId w:val="59"/>
        </w:numPr>
        <w:autoSpaceDE w:val="0"/>
        <w:autoSpaceDN w:val="0"/>
        <w:jc w:val="both"/>
        <w:outlineLvl w:val="2"/>
        <w:rPr>
          <w:rFonts w:ascii="宋体" w:hAnsi="宋体" w:cs="宋体"/>
          <w:b/>
          <w:color w:val="auto"/>
          <w:szCs w:val="21"/>
          <w:highlight w:val="none"/>
        </w:rPr>
      </w:pPr>
      <w:bookmarkStart w:id="373" w:name="_Toc146535764"/>
      <w:r>
        <w:rPr>
          <w:rFonts w:hint="eastAsia" w:ascii="宋体" w:hAnsi="宋体" w:cs="宋体"/>
          <w:b/>
          <w:color w:val="auto"/>
          <w:szCs w:val="21"/>
          <w:highlight w:val="none"/>
        </w:rPr>
        <w:t>安装</w:t>
      </w:r>
      <w:bookmarkEnd w:id="373"/>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1.在设备安装前，中标人应对设备基础进行检查，检查合格后方可进行设备的安装工作。</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2.如系统关键设备需要在现场进行加工、组装和焊接，</w:t>
      </w:r>
      <w:r>
        <w:rPr>
          <w:rFonts w:hint="eastAsia" w:ascii="宋体" w:hAnsi="宋体" w:cs="宋体"/>
          <w:color w:val="auto"/>
          <w:szCs w:val="21"/>
          <w:highlight w:val="none"/>
        </w:rPr>
        <w:t>中</w:t>
      </w:r>
      <w:r>
        <w:rPr>
          <w:rFonts w:hint="eastAsia" w:ascii="宋体" w:hAnsi="宋体" w:cs="宋体"/>
          <w:color w:val="auto"/>
          <w:kern w:val="2"/>
          <w:szCs w:val="21"/>
          <w:highlight w:val="none"/>
        </w:rPr>
        <w:t>标人应对所需操作工人的技术水平进行说明。如现场组装和焊接工作须设备制造厂有经验的人员参与完成，由此造成设备不能满足要求的后果及所发生的费用将由中标人负担。</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3.管道的连接法兰应符合ISO标准，并采用与设计图纸相适应的压力等级。所有与外部空气连通的管道均应安装适宜的排气口。穿过屋顶的通风管应装配防腐蚀和防水管口，并带有与屋顶结构形式匹配的连接件。</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4.管道支架的材料可根据其安装位置的环境条件选择用不锈钢或镀锌钢。</w:t>
      </w:r>
    </w:p>
    <w:p>
      <w:pPr>
        <w:widowControl w:val="0"/>
        <w:numPr>
          <w:ilvl w:val="1"/>
          <w:numId w:val="57"/>
        </w:numPr>
        <w:autoSpaceDE w:val="0"/>
        <w:autoSpaceDN w:val="0"/>
        <w:jc w:val="both"/>
        <w:outlineLvl w:val="1"/>
        <w:rPr>
          <w:rFonts w:ascii="宋体" w:hAnsi="宋体" w:cs="宋体"/>
          <w:b/>
          <w:color w:val="auto"/>
          <w:szCs w:val="21"/>
          <w:highlight w:val="none"/>
        </w:rPr>
      </w:pPr>
      <w:bookmarkStart w:id="374" w:name="_Toc146535765"/>
      <w:r>
        <w:rPr>
          <w:rFonts w:hint="eastAsia" w:ascii="宋体" w:hAnsi="宋体" w:cs="宋体"/>
          <w:b/>
          <w:color w:val="auto"/>
          <w:szCs w:val="21"/>
          <w:highlight w:val="none"/>
        </w:rPr>
        <w:t>调试和指导运行</w:t>
      </w:r>
      <w:bookmarkEnd w:id="374"/>
    </w:p>
    <w:p>
      <w:pPr>
        <w:widowControl w:val="0"/>
        <w:numPr>
          <w:ilvl w:val="2"/>
          <w:numId w:val="60"/>
        </w:numPr>
        <w:autoSpaceDE w:val="0"/>
        <w:autoSpaceDN w:val="0"/>
        <w:jc w:val="both"/>
        <w:outlineLvl w:val="2"/>
        <w:rPr>
          <w:rFonts w:ascii="宋体" w:hAnsi="宋体" w:cs="宋体"/>
          <w:b/>
          <w:color w:val="auto"/>
          <w:szCs w:val="21"/>
          <w:highlight w:val="none"/>
        </w:rPr>
      </w:pPr>
      <w:bookmarkStart w:id="375" w:name="_Toc146535766"/>
      <w:r>
        <w:rPr>
          <w:rFonts w:hint="eastAsia" w:ascii="宋体" w:hAnsi="宋体" w:cs="宋体"/>
          <w:b/>
          <w:color w:val="auto"/>
          <w:szCs w:val="21"/>
          <w:highlight w:val="none"/>
        </w:rPr>
        <w:t>调试准备</w:t>
      </w:r>
      <w:bookmarkEnd w:id="375"/>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调试小组：安装完成后中标人负责组织成立调试专门小组，小组成员包括</w:t>
      </w:r>
      <w:r>
        <w:rPr>
          <w:rFonts w:hint="eastAsia" w:ascii="宋体" w:hAnsi="宋体" w:cs="宋体"/>
          <w:color w:val="auto"/>
          <w:szCs w:val="21"/>
          <w:highlight w:val="none"/>
        </w:rPr>
        <w:t>中</w:t>
      </w:r>
      <w:r>
        <w:rPr>
          <w:rFonts w:hint="eastAsia" w:ascii="宋体" w:hAnsi="宋体" w:cs="宋体"/>
          <w:color w:val="auto"/>
          <w:kern w:val="2"/>
          <w:szCs w:val="21"/>
          <w:highlight w:val="none"/>
        </w:rPr>
        <w:t>标人设备、电气、管线、施工人员以及采购人等共同参与。</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单机调试手册：中标人应编制所有单机调试方案、检查和测试的计划并组织施。在单机调试前一个月，</w:t>
      </w:r>
      <w:r>
        <w:rPr>
          <w:rFonts w:hint="eastAsia" w:ascii="宋体" w:hAnsi="宋体" w:cs="宋体"/>
          <w:color w:val="auto"/>
          <w:szCs w:val="21"/>
          <w:highlight w:val="none"/>
        </w:rPr>
        <w:t>中</w:t>
      </w:r>
      <w:r>
        <w:rPr>
          <w:rFonts w:hint="eastAsia" w:ascii="宋体" w:hAnsi="宋体" w:cs="宋体"/>
          <w:color w:val="auto"/>
          <w:kern w:val="2"/>
          <w:szCs w:val="21"/>
          <w:highlight w:val="none"/>
        </w:rPr>
        <w:t>标人向采购人提交单机调试手册和完成测试的计划。</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调试手册应包括所实施的测试，使用的详细程序，采取的具体方法，临时和永久使用的仪器和仪表和每一次测试预期的日期、时间和持续时间以及</w:t>
      </w:r>
      <w:r>
        <w:rPr>
          <w:rFonts w:hint="eastAsia" w:ascii="宋体" w:hAnsi="宋体" w:cs="宋体"/>
          <w:color w:val="auto"/>
          <w:szCs w:val="21"/>
          <w:highlight w:val="none"/>
        </w:rPr>
        <w:t>中</w:t>
      </w:r>
      <w:r>
        <w:rPr>
          <w:rFonts w:hint="eastAsia" w:ascii="宋体" w:hAnsi="宋体" w:cs="宋体"/>
          <w:color w:val="auto"/>
          <w:kern w:val="2"/>
          <w:szCs w:val="21"/>
          <w:highlight w:val="none"/>
        </w:rPr>
        <w:t>标人进行所有单机调试测试的标准检查清单，但不限于此。在单机调试测试之后，</w:t>
      </w:r>
      <w:r>
        <w:rPr>
          <w:rFonts w:hint="eastAsia" w:ascii="宋体" w:hAnsi="宋体" w:cs="宋体"/>
          <w:color w:val="auto"/>
          <w:szCs w:val="21"/>
          <w:highlight w:val="none"/>
        </w:rPr>
        <w:t>中</w:t>
      </w:r>
      <w:r>
        <w:rPr>
          <w:rFonts w:hint="eastAsia" w:ascii="宋体" w:hAnsi="宋体" w:cs="宋体"/>
          <w:color w:val="auto"/>
          <w:kern w:val="2"/>
          <w:szCs w:val="21"/>
          <w:highlight w:val="none"/>
        </w:rPr>
        <w:t>标人须提供单机测试报告供采购人存档。</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联动调试手册：中标人应编制本系统所有设施的联动调试（可以分系统调试）的计划和实施方案。在调试测试前一个月，投标人应向采购人提交调试手册和完成测试的计划。</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手册应规定所实施的测试，使用的详细程序，采取的具体方法，临时和永久使用的仪器和仪表和每次测试预期的日期、时间和持续时间，以及测试期间的维护计划。</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联动调试手册包括以下内容（但不限于）：调试计划；调试组织机构以及人员安排；调试用检测仪器；检测方法及其引用规范；调试程序；调试的技术依据；性能监控；取样和测试程序；安全措施；调试记录表；分系统调试方案；联动调试方案；调试应急预案；工艺控制逻辑方案；操作手册等。</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指导运行调试手册：投标人应编写系统的指导运行调试手册。</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人员：单机调试、联动调试、带料调试、性能考核所需要的技术人员、运行管理人员和维护人员由</w:t>
      </w:r>
      <w:r>
        <w:rPr>
          <w:rFonts w:hint="eastAsia" w:ascii="宋体" w:hAnsi="宋体" w:cs="宋体"/>
          <w:color w:val="auto"/>
          <w:szCs w:val="21"/>
          <w:highlight w:val="none"/>
        </w:rPr>
        <w:t>中</w:t>
      </w:r>
      <w:r>
        <w:rPr>
          <w:rFonts w:hint="eastAsia" w:ascii="宋体" w:hAnsi="宋体" w:cs="宋体"/>
          <w:color w:val="auto"/>
          <w:kern w:val="2"/>
          <w:szCs w:val="21"/>
          <w:highlight w:val="none"/>
        </w:rPr>
        <w:t>标人提供，采购人提供班组操作人员，经培训合格后上岗。</w:t>
      </w:r>
    </w:p>
    <w:p>
      <w:pPr>
        <w:widowControl w:val="0"/>
        <w:numPr>
          <w:ilvl w:val="2"/>
          <w:numId w:val="60"/>
        </w:numPr>
        <w:autoSpaceDE w:val="0"/>
        <w:autoSpaceDN w:val="0"/>
        <w:jc w:val="both"/>
        <w:outlineLvl w:val="2"/>
        <w:rPr>
          <w:rFonts w:ascii="宋体" w:hAnsi="宋体" w:cs="宋体"/>
          <w:b/>
          <w:color w:val="auto"/>
          <w:szCs w:val="21"/>
          <w:highlight w:val="none"/>
        </w:rPr>
      </w:pPr>
      <w:bookmarkStart w:id="376" w:name="_Toc146535767"/>
      <w:r>
        <w:rPr>
          <w:rFonts w:hint="eastAsia" w:ascii="宋体" w:hAnsi="宋体" w:cs="宋体"/>
          <w:b/>
          <w:color w:val="auto"/>
          <w:szCs w:val="21"/>
          <w:highlight w:val="none"/>
        </w:rPr>
        <w:t>调试和指导运行工作流程</w:t>
      </w:r>
      <w:bookmarkEnd w:id="376"/>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调试准备：对于施工过程中剩余的材料，</w:t>
      </w:r>
      <w:r>
        <w:rPr>
          <w:rFonts w:hint="eastAsia" w:ascii="宋体" w:hAnsi="宋体" w:cs="宋体"/>
          <w:color w:val="auto"/>
          <w:szCs w:val="21"/>
          <w:highlight w:val="none"/>
        </w:rPr>
        <w:t>中</w:t>
      </w:r>
      <w:r>
        <w:rPr>
          <w:rFonts w:hint="eastAsia" w:ascii="宋体" w:hAnsi="宋体" w:cs="宋体"/>
          <w:color w:val="auto"/>
          <w:kern w:val="2"/>
          <w:szCs w:val="21"/>
          <w:highlight w:val="none"/>
        </w:rPr>
        <w:t>标人应在单机调试前运离工程场地。施工过程中所产生的废弃材料，</w:t>
      </w:r>
      <w:r>
        <w:rPr>
          <w:rFonts w:hint="eastAsia" w:ascii="宋体" w:hAnsi="宋体" w:cs="宋体"/>
          <w:color w:val="auto"/>
          <w:szCs w:val="21"/>
          <w:highlight w:val="none"/>
        </w:rPr>
        <w:t>中</w:t>
      </w:r>
      <w:r>
        <w:rPr>
          <w:rFonts w:hint="eastAsia" w:ascii="宋体" w:hAnsi="宋体" w:cs="宋体"/>
          <w:color w:val="auto"/>
          <w:kern w:val="2"/>
          <w:szCs w:val="21"/>
          <w:highlight w:val="none"/>
        </w:rPr>
        <w:t>标人运至当地管理机构和采购人同意的地点，所发生的运输费用由</w:t>
      </w:r>
      <w:r>
        <w:rPr>
          <w:rFonts w:hint="eastAsia" w:ascii="宋体" w:hAnsi="宋体" w:cs="宋体"/>
          <w:color w:val="auto"/>
          <w:szCs w:val="21"/>
          <w:highlight w:val="none"/>
        </w:rPr>
        <w:t>中</w:t>
      </w:r>
      <w:r>
        <w:rPr>
          <w:rFonts w:hint="eastAsia" w:ascii="宋体" w:hAnsi="宋体" w:cs="宋体"/>
          <w:color w:val="auto"/>
          <w:kern w:val="2"/>
          <w:szCs w:val="21"/>
          <w:highlight w:val="none"/>
        </w:rPr>
        <w:t>标人负担。</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单机调试：设备安装完成后可进行单机调试，单机调试应按照下列程序进行：</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drawing>
          <wp:inline distT="0" distB="0" distL="0" distR="0">
            <wp:extent cx="3750310" cy="1263650"/>
            <wp:effectExtent l="0" t="0" r="2540"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5943" cy="1265388"/>
                    </a:xfrm>
                    <a:prstGeom prst="rect">
                      <a:avLst/>
                    </a:prstGeom>
                  </pic:spPr>
                </pic:pic>
              </a:graphicData>
            </a:graphic>
          </wp:inline>
        </w:drawing>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联动调试：所有设备单机调试完成后，可进行联动调试，如非采购人原因，中标人应在设备安装完成后1个月内完成联动调试，联动调试应按照下列程序进行：</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drawing>
          <wp:inline distT="0" distB="0" distL="0" distR="0">
            <wp:extent cx="4780280" cy="125730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0808" cy="1257439"/>
                    </a:xfrm>
                    <a:prstGeom prst="rect">
                      <a:avLst/>
                    </a:prstGeom>
                  </pic:spPr>
                </pic:pic>
              </a:graphicData>
            </a:graphic>
          </wp:inline>
        </w:drawing>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带料调试：联动调试后，可试生产调试工作。如非采购人原因，中标人应在中转站投入使用后1个月内完成带料调试，带料调试按照下列程序进行：</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drawing>
          <wp:inline distT="0" distB="0" distL="0" distR="0">
            <wp:extent cx="4982845" cy="2026920"/>
            <wp:effectExtent l="0" t="0" r="8255"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cstate="print"/>
                    <a:stretch>
                      <a:fillRect/>
                    </a:stretch>
                  </pic:blipFill>
                  <pic:spPr>
                    <a:xfrm>
                      <a:off x="0" y="0"/>
                      <a:ext cx="4992490" cy="2031322"/>
                    </a:xfrm>
                    <a:prstGeom prst="rect">
                      <a:avLst/>
                    </a:prstGeom>
                  </pic:spPr>
                </pic:pic>
              </a:graphicData>
            </a:graphic>
          </wp:inline>
        </w:drawing>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整个工程性能保证的性能测试：投料试车调试完成后，可进行整个工程功能测试。</w:t>
      </w:r>
    </w:p>
    <w:p>
      <w:pPr>
        <w:widowControl w:val="0"/>
        <w:numPr>
          <w:ilvl w:val="2"/>
          <w:numId w:val="60"/>
        </w:numPr>
        <w:autoSpaceDE w:val="0"/>
        <w:autoSpaceDN w:val="0"/>
        <w:jc w:val="both"/>
        <w:outlineLvl w:val="2"/>
        <w:rPr>
          <w:rFonts w:ascii="宋体" w:hAnsi="宋体" w:cs="宋体"/>
          <w:b/>
          <w:color w:val="auto"/>
          <w:szCs w:val="21"/>
          <w:highlight w:val="none"/>
        </w:rPr>
      </w:pPr>
      <w:bookmarkStart w:id="377" w:name="_Toc146535768"/>
      <w:r>
        <w:rPr>
          <w:rFonts w:hint="eastAsia" w:ascii="宋体" w:hAnsi="宋体" w:cs="宋体"/>
          <w:b/>
          <w:color w:val="auto"/>
          <w:szCs w:val="21"/>
          <w:highlight w:val="none"/>
        </w:rPr>
        <w:t>竣工验收合格条件</w:t>
      </w:r>
      <w:bookmarkEnd w:id="377"/>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1.在设计条件范围内，系统性能须完全满足合同要求。</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2.自系统安装、单体调试、联动调试、带料调试及性能保证测试过程中出现的问题已被解决并得到采购人认可。</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3.已提供了合同规定的全部货物和资料。</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4.设备在交付采购人使用前，需经采购人、监理单位、设计单位、技术质量监督单位等验收通过，并获得使用证明。</w:t>
      </w:r>
    </w:p>
    <w:p>
      <w:pPr>
        <w:widowControl w:val="0"/>
        <w:numPr>
          <w:ilvl w:val="2"/>
          <w:numId w:val="60"/>
        </w:numPr>
        <w:autoSpaceDE w:val="0"/>
        <w:autoSpaceDN w:val="0"/>
        <w:jc w:val="both"/>
        <w:outlineLvl w:val="2"/>
        <w:rPr>
          <w:rFonts w:ascii="宋体" w:hAnsi="宋体" w:cs="宋体"/>
          <w:b/>
          <w:color w:val="auto"/>
          <w:szCs w:val="21"/>
          <w:highlight w:val="none"/>
        </w:rPr>
      </w:pPr>
      <w:bookmarkStart w:id="378" w:name="_Toc146535769"/>
      <w:r>
        <w:rPr>
          <w:rFonts w:hint="eastAsia" w:ascii="宋体" w:hAnsi="宋体" w:cs="宋体"/>
          <w:b/>
          <w:color w:val="auto"/>
          <w:szCs w:val="21"/>
          <w:highlight w:val="none"/>
        </w:rPr>
        <w:t>指导运行</w:t>
      </w:r>
      <w:bookmarkEnd w:id="378"/>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在项目性能考核完成后，</w:t>
      </w:r>
      <w:r>
        <w:rPr>
          <w:rFonts w:hint="eastAsia" w:ascii="宋体" w:hAnsi="宋体" w:cs="宋体"/>
          <w:color w:val="auto"/>
          <w:szCs w:val="21"/>
          <w:highlight w:val="none"/>
        </w:rPr>
        <w:t>中</w:t>
      </w:r>
      <w:r>
        <w:rPr>
          <w:rFonts w:hint="eastAsia" w:ascii="宋体" w:hAnsi="宋体" w:cs="宋体"/>
          <w:color w:val="auto"/>
          <w:kern w:val="2"/>
          <w:szCs w:val="21"/>
          <w:highlight w:val="none"/>
        </w:rPr>
        <w:t>标人承担1年的指导运行工作。指导运行期间，由运行单位负责全厂的运行管理和操作，中标人派遣有经验的专业人员对全厂的运行进行指导。运行指导期间，</w:t>
      </w:r>
      <w:r>
        <w:rPr>
          <w:rFonts w:hint="eastAsia" w:ascii="宋体" w:hAnsi="宋体" w:cs="宋体"/>
          <w:color w:val="auto"/>
          <w:szCs w:val="21"/>
          <w:highlight w:val="none"/>
        </w:rPr>
        <w:t>中</w:t>
      </w:r>
      <w:r>
        <w:rPr>
          <w:rFonts w:hint="eastAsia" w:ascii="宋体" w:hAnsi="宋体" w:cs="宋体"/>
          <w:color w:val="auto"/>
          <w:kern w:val="2"/>
          <w:szCs w:val="21"/>
          <w:highlight w:val="none"/>
        </w:rPr>
        <w:t>标人仅承担自己派遣的指导运行人员相关费用。</w:t>
      </w:r>
    </w:p>
    <w:p>
      <w:pPr>
        <w:widowControl w:val="0"/>
        <w:autoSpaceDE w:val="0"/>
        <w:autoSpaceDN w:val="0"/>
        <w:adjustRightInd/>
        <w:snapToGrid/>
        <w:jc w:val="both"/>
        <w:rPr>
          <w:rFonts w:ascii="宋体" w:hAnsi="宋体" w:cs="宋体"/>
          <w:color w:val="auto"/>
          <w:szCs w:val="21"/>
          <w:highlight w:val="none"/>
        </w:rPr>
      </w:pPr>
    </w:p>
    <w:p>
      <w:pPr>
        <w:widowControl w:val="0"/>
        <w:autoSpaceDE w:val="0"/>
        <w:autoSpaceDN w:val="0"/>
        <w:jc w:val="both"/>
        <w:outlineLvl w:val="0"/>
        <w:rPr>
          <w:rFonts w:ascii="宋体" w:hAnsi="宋体" w:cs="宋体"/>
          <w:b/>
          <w:color w:val="auto"/>
          <w:szCs w:val="21"/>
          <w:highlight w:val="none"/>
        </w:rPr>
      </w:pPr>
      <w:bookmarkStart w:id="379" w:name="_Toc146535770"/>
      <w:r>
        <w:rPr>
          <w:rFonts w:hint="eastAsia" w:ascii="宋体" w:hAnsi="宋体" w:cs="宋体"/>
          <w:b/>
          <w:color w:val="auto"/>
          <w:szCs w:val="21"/>
          <w:highlight w:val="none"/>
        </w:rPr>
        <w:t>八、附录</w:t>
      </w:r>
      <w:bookmarkEnd w:id="379"/>
    </w:p>
    <w:p>
      <w:pPr>
        <w:widowControl w:val="0"/>
        <w:autoSpaceDE w:val="0"/>
        <w:autoSpaceDN w:val="0"/>
        <w:spacing w:before="60" w:after="60"/>
        <w:ind w:left="425" w:right="113"/>
        <w:jc w:val="both"/>
        <w:rPr>
          <w:rFonts w:ascii="宋体" w:hAnsi="宋体" w:cs="宋体"/>
          <w:color w:val="auto"/>
          <w:szCs w:val="21"/>
          <w:highlight w:val="none"/>
        </w:rPr>
      </w:pPr>
      <w:r>
        <w:rPr>
          <w:rFonts w:hint="eastAsia" w:ascii="宋体" w:hAnsi="宋体" w:cs="宋体"/>
          <w:color w:val="auto"/>
          <w:szCs w:val="21"/>
          <w:highlight w:val="none"/>
        </w:rPr>
        <w:t>附件1：总平面图</w:t>
      </w:r>
    </w:p>
    <w:p>
      <w:pPr>
        <w:widowControl w:val="0"/>
        <w:autoSpaceDE w:val="0"/>
        <w:autoSpaceDN w:val="0"/>
        <w:spacing w:after="120"/>
        <w:ind w:left="368" w:leftChars="175"/>
        <w:rPr>
          <w:rFonts w:ascii="宋体" w:hAnsi="宋体" w:cs="宋体"/>
          <w:color w:val="auto"/>
          <w:szCs w:val="21"/>
          <w:highlight w:val="none"/>
        </w:rPr>
      </w:pPr>
      <w:r>
        <w:rPr>
          <w:rFonts w:hint="eastAsia" w:ascii="宋体" w:hAnsi="宋体" w:cs="宋体"/>
          <w:color w:val="auto"/>
          <w:szCs w:val="21"/>
          <w:highlight w:val="none"/>
        </w:rPr>
        <w:t>附件2：车间方案布置图</w:t>
      </w:r>
    </w:p>
    <w:p>
      <w:pPr>
        <w:widowControl w:val="0"/>
        <w:autoSpaceDE w:val="0"/>
        <w:autoSpaceDN w:val="0"/>
        <w:spacing w:after="120"/>
        <w:ind w:left="368" w:leftChars="175"/>
        <w:rPr>
          <w:rFonts w:ascii="宋体" w:hAnsi="宋体" w:cs="宋体"/>
          <w:color w:val="auto"/>
          <w:szCs w:val="21"/>
          <w:highlight w:val="none"/>
        </w:rPr>
      </w:pPr>
      <w:r>
        <w:rPr>
          <w:rFonts w:hint="eastAsia" w:ascii="宋体" w:hAnsi="宋体" w:cs="宋体"/>
          <w:color w:val="auto"/>
          <w:szCs w:val="21"/>
          <w:highlight w:val="none"/>
        </w:rPr>
        <w:t>附件3：给排水、电气接驳点布置图</w:t>
      </w:r>
    </w:p>
    <w:p>
      <w:pPr>
        <w:widowControl w:val="0"/>
        <w:autoSpaceDE w:val="0"/>
        <w:autoSpaceDN w:val="0"/>
        <w:spacing w:after="120"/>
        <w:ind w:left="368" w:leftChars="175"/>
        <w:rPr>
          <w:rFonts w:ascii="宋体" w:hAnsi="宋体" w:cs="宋体"/>
          <w:color w:val="auto"/>
          <w:szCs w:val="21"/>
          <w:highlight w:val="none"/>
        </w:rPr>
      </w:pPr>
      <w:r>
        <w:rPr>
          <w:rFonts w:hint="eastAsia" w:ascii="宋体" w:hAnsi="宋体" w:cs="宋体"/>
          <w:color w:val="auto"/>
          <w:szCs w:val="21"/>
          <w:highlight w:val="none"/>
        </w:rPr>
        <w:t>附件4：垃圾压缩转运车间监控布点图</w:t>
      </w:r>
    </w:p>
    <w:p>
      <w:pPr>
        <w:spacing w:line="240" w:lineRule="auto"/>
        <w:rPr>
          <w:rFonts w:ascii="宋体" w:hAnsi="宋体" w:cs="宋体"/>
          <w:color w:val="auto"/>
          <w:szCs w:val="21"/>
          <w:highlight w:val="none"/>
        </w:rPr>
      </w:pPr>
      <w:r>
        <w:rPr>
          <w:rFonts w:hint="eastAsia" w:ascii="宋体" w:hAnsi="宋体" w:cs="宋体"/>
          <w:color w:val="auto"/>
          <w:szCs w:val="21"/>
          <w:highlight w:val="none"/>
        </w:rPr>
        <w:br w:type="page"/>
      </w:r>
    </w:p>
    <w:p>
      <w:pPr>
        <w:rPr>
          <w:color w:val="auto"/>
          <w:highlight w:val="none"/>
        </w:rPr>
      </w:pPr>
    </w:p>
    <w:p>
      <w:pPr>
        <w:widowControl w:val="0"/>
        <w:tabs>
          <w:tab w:val="left" w:pos="640"/>
        </w:tabs>
        <w:autoSpaceDE w:val="0"/>
        <w:autoSpaceDN w:val="0"/>
        <w:jc w:val="center"/>
        <w:outlineLvl w:val="0"/>
        <w:rPr>
          <w:rFonts w:ascii="宋体" w:hAnsi="宋体" w:cs="宋体"/>
          <w:b/>
          <w:bCs/>
          <w:color w:val="auto"/>
          <w:kern w:val="44"/>
          <w:sz w:val="32"/>
          <w:szCs w:val="32"/>
          <w:highlight w:val="none"/>
        </w:rPr>
      </w:pPr>
      <w:r>
        <w:rPr>
          <w:rFonts w:hint="eastAsia" w:asciiTheme="minorEastAsia" w:hAnsiTheme="minorEastAsia" w:eastAsiaTheme="minorEastAsia" w:cstheme="minorEastAsia"/>
          <w:b/>
          <w:bCs/>
          <w:color w:val="auto"/>
          <w:sz w:val="32"/>
          <w:szCs w:val="32"/>
          <w:highlight w:val="none"/>
        </w:rPr>
        <w:t>C包：除臭系统采购及安装</w:t>
      </w:r>
    </w:p>
    <w:p>
      <w:pPr>
        <w:rPr>
          <w:rFonts w:ascii="宋体" w:hAnsi="宋体"/>
          <w:b/>
          <w:bCs/>
          <w:color w:val="auto"/>
          <w:szCs w:val="21"/>
          <w:highlight w:val="none"/>
        </w:rPr>
      </w:pPr>
      <w:r>
        <w:rPr>
          <w:rFonts w:hint="eastAsia" w:ascii="宋体" w:hAnsi="宋体"/>
          <w:b/>
          <w:bCs/>
          <w:color w:val="auto"/>
          <w:szCs w:val="21"/>
          <w:highlight w:val="none"/>
        </w:rPr>
        <w:t>说明：</w:t>
      </w:r>
    </w:p>
    <w:p>
      <w:pPr>
        <w:rPr>
          <w:rFonts w:ascii="宋体" w:hAnsi="宋体"/>
          <w:b/>
          <w:bCs/>
          <w:color w:val="auto"/>
          <w:szCs w:val="21"/>
          <w:highlight w:val="none"/>
        </w:rPr>
      </w:pPr>
      <w:r>
        <w:rPr>
          <w:rFonts w:hint="eastAsia" w:ascii="宋体" w:hAnsi="宋体"/>
          <w:b/>
          <w:bCs/>
          <w:color w:val="auto"/>
          <w:szCs w:val="21"/>
          <w:highlight w:val="none"/>
        </w:rPr>
        <w:t>1.采购需求中并未对品牌进行限定，投标人可自行选用符合本项目服务要求的品牌进行响应，但应确保其拟投货物不得低于采购需求所提出的规格或标准。</w:t>
      </w:r>
    </w:p>
    <w:p>
      <w:pPr>
        <w:pStyle w:val="2"/>
        <w:spacing w:before="0"/>
        <w:ind w:left="0"/>
        <w:rPr>
          <w:b/>
          <w:bCs/>
          <w:color w:val="auto"/>
          <w:sz w:val="21"/>
          <w:szCs w:val="21"/>
          <w:highlight w:val="none"/>
          <w:lang w:val="en-US" w:bidi="ar-SA"/>
        </w:rPr>
      </w:pPr>
      <w:r>
        <w:rPr>
          <w:rFonts w:hint="eastAsia"/>
          <w:b/>
          <w:bCs/>
          <w:color w:val="auto"/>
          <w:sz w:val="21"/>
          <w:szCs w:val="21"/>
          <w:highlight w:val="none"/>
          <w:lang w:val="en-US" w:bidi="ar-SA"/>
        </w:rPr>
        <w:t>2.标有“★”的地方均被视为重要的采购需求，投标人要特别加以注意，必须对此响应并完全满足这些要求，否则若有一项带“★”的要求未响应或不满足，将按无效投标处理。</w:t>
      </w:r>
    </w:p>
    <w:p>
      <w:pPr>
        <w:pStyle w:val="2"/>
        <w:spacing w:before="0"/>
        <w:ind w:left="0"/>
        <w:rPr>
          <w:b/>
          <w:bCs/>
          <w:color w:val="auto"/>
          <w:sz w:val="21"/>
          <w:szCs w:val="21"/>
          <w:highlight w:val="none"/>
          <w:lang w:val="en-US" w:bidi="ar-SA"/>
        </w:rPr>
      </w:pPr>
      <w:r>
        <w:rPr>
          <w:rFonts w:hint="eastAsia"/>
          <w:b/>
          <w:bCs/>
          <w:color w:val="auto"/>
          <w:sz w:val="21"/>
          <w:szCs w:val="21"/>
          <w:highlight w:val="none"/>
          <w:lang w:val="en-US" w:bidi="ar-SA"/>
        </w:rPr>
        <w:t>3.标有“▲”符号的内容为采购需求重点技术参数，若未能响应，则在评审过程中将根据评审内容作扣分处理。</w:t>
      </w:r>
    </w:p>
    <w:p>
      <w:pPr>
        <w:rPr>
          <w:color w:val="auto"/>
          <w:highlight w:val="none"/>
        </w:rPr>
      </w:pPr>
    </w:p>
    <w:p>
      <w:pPr>
        <w:widowControl w:val="0"/>
        <w:autoSpaceDE w:val="0"/>
        <w:autoSpaceDN w:val="0"/>
        <w:jc w:val="both"/>
        <w:outlineLvl w:val="0"/>
        <w:rPr>
          <w:rFonts w:hint="eastAsia" w:ascii="宋体" w:hAnsi="宋体" w:eastAsia="宋体" w:cs="宋体"/>
          <w:b/>
          <w:color w:val="auto"/>
          <w:sz w:val="21"/>
          <w:szCs w:val="21"/>
          <w:highlight w:val="none"/>
          <w:lang w:eastAsia="en-US"/>
        </w:rPr>
      </w:pPr>
      <w:bookmarkStart w:id="380" w:name="_Toc21089"/>
      <w:bookmarkStart w:id="381" w:name="_Toc145063524"/>
      <w:bookmarkStart w:id="382" w:name="_Toc138017279"/>
      <w:r>
        <w:rPr>
          <w:rFonts w:hint="eastAsia" w:ascii="宋体" w:hAnsi="宋体" w:cs="宋体"/>
          <w:b/>
          <w:color w:val="auto"/>
          <w:sz w:val="21"/>
          <w:szCs w:val="21"/>
          <w:highlight w:val="none"/>
          <w:lang w:val="en-US" w:eastAsia="zh-CN"/>
        </w:rPr>
        <w:t>一、</w:t>
      </w:r>
      <w:r>
        <w:rPr>
          <w:rFonts w:hint="eastAsia" w:ascii="宋体" w:hAnsi="宋体" w:eastAsia="宋体" w:cs="宋体"/>
          <w:b/>
          <w:color w:val="auto"/>
          <w:sz w:val="21"/>
          <w:szCs w:val="21"/>
          <w:highlight w:val="none"/>
          <w:lang w:eastAsia="en-US"/>
        </w:rPr>
        <w:t>总则</w:t>
      </w:r>
      <w:bookmarkEnd w:id="380"/>
      <w:bookmarkEnd w:id="381"/>
      <w:bookmarkEnd w:id="382"/>
    </w:p>
    <w:p>
      <w:pPr>
        <w:widowControl w:val="0"/>
        <w:numPr>
          <w:ilvl w:val="0"/>
          <w:numId w:val="61"/>
        </w:numPr>
        <w:autoSpaceDE w:val="0"/>
        <w:autoSpaceDN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技术规格书》中对服务要求所作的说明只是概括性的，不能理解为所需要的全部服务的要求，也未充分引述有关标准和规范条文，中标人应保证提供符合国家标准、相关国际标准和规范要求的优质产品及其相应的服务。中标人应按国家、行业相关技术标准、规范和以往的服务经验，合格优质的完成采购内容和包含的全部服务,对国家有关的安全、环保、职业卫生健康等强制性标准，均能满足其要求。实施过程中如出现违反安全、环保、职业卫生健康的措施要求，中标人应无条件纠正及整改。</w:t>
      </w:r>
    </w:p>
    <w:p>
      <w:pPr>
        <w:widowControl w:val="0"/>
        <w:numPr>
          <w:ilvl w:val="0"/>
          <w:numId w:val="61"/>
        </w:numPr>
        <w:autoSpaceDE w:val="0"/>
        <w:autoSpaceDN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投标人所选用的技术应先进可靠,且已有运行项目中使用证明是先进可靠的，能确保系统长周期稳定运行。</w:t>
      </w:r>
    </w:p>
    <w:p>
      <w:pPr>
        <w:widowControl w:val="0"/>
        <w:numPr>
          <w:ilvl w:val="0"/>
          <w:numId w:val="61"/>
        </w:numPr>
        <w:autoSpaceDE w:val="0"/>
        <w:autoSpaceDN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本技术规格书所引用的标准若与中标人所执行的标准发生矛盾时，则按较严格的标准执行。</w:t>
      </w:r>
    </w:p>
    <w:p>
      <w:pPr>
        <w:widowControl w:val="0"/>
        <w:numPr>
          <w:ilvl w:val="0"/>
          <w:numId w:val="61"/>
        </w:numPr>
        <w:autoSpaceDE w:val="0"/>
        <w:autoSpaceDN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本技术规格书内所有技术要求，如出现前后不统一的描述，应以从严选择，以最高要求为准。</w:t>
      </w:r>
    </w:p>
    <w:p>
      <w:pPr>
        <w:widowControl w:val="0"/>
        <w:numPr>
          <w:ilvl w:val="0"/>
          <w:numId w:val="61"/>
        </w:numPr>
        <w:autoSpaceDE w:val="0"/>
        <w:autoSpaceDN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本技术规格书要求中标人应根据技术要求，择优选择供货品牌，以确保项目建设的成功以及承诺指标的可靠性；同类型设备的选型，应尽可能考虑选型优化，减少</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备品备件的种类，降低</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设备维护成本。</w:t>
      </w:r>
    </w:p>
    <w:p>
      <w:pPr>
        <w:widowControl w:val="0"/>
        <w:numPr>
          <w:ilvl w:val="0"/>
          <w:numId w:val="61"/>
        </w:numPr>
        <w:autoSpaceDE w:val="0"/>
        <w:autoSpaceDN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系统设备采用的专利涉及到的全部费用均被认为已包含在设备报价中，中标人应保证</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不承担有关工艺、设备专利的一切责任。在本项目实施全过程中，中标人不得侵犯第三方知识产权。一旦发生侵权行为，中标人承担全部法律责任和所有的经济赔偿责任，并承担由于中标人侵权无法继续执行本合约而对</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造成的工期延误、设备更换、设备拆卸清理、设计修改、施工返工等经济赔偿责任。在项目实施过程中所产生的专利专有技术归</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所有，中标人在其它项目中使用需征得</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同意。</w:t>
      </w:r>
    </w:p>
    <w:p>
      <w:pPr>
        <w:widowControl w:val="0"/>
        <w:numPr>
          <w:ilvl w:val="0"/>
          <w:numId w:val="61"/>
        </w:numPr>
        <w:autoSpaceDE w:val="0"/>
        <w:autoSpaceDN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中标人应对成套设备（含辅助系统与设备）负有全责，即包括分包（或采购）的产品。分包（或采购）的产品，制造商应事先征得</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的认可，且分包单位应具有满足国家要求的相应资质条件；涉及特种设备或压力管道应具有特种设备安装改造维修许可证；如有进口设备，要求中标人在技术协议书中逐项列出进口设备清单。</w:t>
      </w:r>
    </w:p>
    <w:p>
      <w:pPr>
        <w:widowControl w:val="0"/>
        <w:numPr>
          <w:ilvl w:val="0"/>
          <w:numId w:val="61"/>
        </w:numPr>
        <w:autoSpaceDE w:val="0"/>
        <w:autoSpaceDN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中标人的供货应遵循本文件所提出的要求，如有偏离必须取得</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的书面认可并完成变更流程方可采纳执行。当投标人认为</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的招标文件有相互矛盾时，应尽快以书面形式通知</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，以便及时澄清。投标人如果没有以书面形式对本技术文件的条文提出异议，</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可以认为投标人提供的产品完全符合本技术文件的要求。</w:t>
      </w:r>
    </w:p>
    <w:p>
      <w:pPr>
        <w:widowControl w:val="0"/>
        <w:numPr>
          <w:ilvl w:val="0"/>
          <w:numId w:val="61"/>
        </w:numPr>
        <w:autoSpaceDE w:val="0"/>
        <w:autoSpaceDN w:val="0"/>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如发现中标人所提供的设备和材料低于本招标文件规定的标准或要求时，有权要求中标人进行更换，产生的费用及造成的影响由中标人负责。</w:t>
      </w:r>
    </w:p>
    <w:p>
      <w:pPr>
        <w:widowControl w:val="0"/>
        <w:numPr>
          <w:ilvl w:val="0"/>
          <w:numId w:val="61"/>
        </w:numPr>
        <w:autoSpaceDE w:val="0"/>
        <w:autoSpaceDN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投标人所选用的技术方案和设备，应与本技术规格书中要求保持一致或更优，如不满足条件应单独做偏离说明，偏离内容按格式填写《技术偏离表》。凡未在《技术偏离表》中说明的事项，则</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认为投标人已实质响应。</w:t>
      </w:r>
    </w:p>
    <w:p>
      <w:pPr>
        <w:widowControl w:val="0"/>
        <w:numPr>
          <w:ilvl w:val="0"/>
          <w:numId w:val="61"/>
        </w:numPr>
        <w:autoSpaceDE w:val="0"/>
        <w:autoSpaceDN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投标人应根据已完成的土建方案布置图，对非标设备的外形尺寸和设备参数进行优化以满足设备和工艺设计的要求，同时要保证在不改变土建方案布置图的前提下仍能出水达标。</w:t>
      </w:r>
    </w:p>
    <w:p>
      <w:pPr>
        <w:widowControl w:val="0"/>
        <w:numPr>
          <w:ilvl w:val="0"/>
          <w:numId w:val="61"/>
        </w:numPr>
        <w:autoSpaceDE w:val="0"/>
        <w:autoSpaceDN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投标人选择品牌时，应已充分考虑政策风险。不应以国家政策导向变化为由，造成相应费用的变更。</w:t>
      </w:r>
    </w:p>
    <w:p>
      <w:pPr>
        <w:widowControl w:val="0"/>
        <w:numPr>
          <w:ilvl w:val="0"/>
          <w:numId w:val="61"/>
        </w:numPr>
        <w:autoSpaceDE w:val="0"/>
        <w:autoSpaceDN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本技术规格书的最终解释权归</w:t>
      </w:r>
      <w:r>
        <w:rPr>
          <w:rFonts w:hint="eastAsia" w:ascii="宋体" w:hAnsi="宋体" w:cs="宋体"/>
          <w:color w:val="auto"/>
          <w:sz w:val="21"/>
          <w:szCs w:val="21"/>
          <w:highlight w:val="none"/>
          <w:lang w:eastAsia="zh-CN"/>
        </w:rPr>
        <w:t>东莞市东实城市环境服务有限公司</w:t>
      </w:r>
      <w:r>
        <w:rPr>
          <w:rFonts w:hint="eastAsia" w:ascii="宋体" w:hAnsi="宋体" w:eastAsia="宋体" w:cs="宋体"/>
          <w:color w:val="auto"/>
          <w:sz w:val="21"/>
          <w:szCs w:val="21"/>
          <w:highlight w:val="none"/>
          <w:lang w:eastAsia="zh-CN"/>
        </w:rPr>
        <w:t>。</w:t>
      </w:r>
    </w:p>
    <w:p>
      <w:pPr>
        <w:jc w:val="both"/>
        <w:rPr>
          <w:rFonts w:hint="eastAsia" w:asciiTheme="minorEastAsia" w:hAnsiTheme="minorEastAsia" w:eastAsiaTheme="minorEastAsia" w:cstheme="minorEastAsia"/>
          <w:color w:val="auto"/>
          <w:sz w:val="21"/>
          <w:szCs w:val="21"/>
          <w:highlight w:val="none"/>
          <w:lang w:eastAsia="zh-CN"/>
        </w:rPr>
      </w:pPr>
    </w:p>
    <w:p>
      <w:pPr>
        <w:widowControl w:val="0"/>
        <w:autoSpaceDE w:val="0"/>
        <w:autoSpaceDN w:val="0"/>
        <w:jc w:val="both"/>
        <w:outlineLvl w:val="0"/>
        <w:rPr>
          <w:rFonts w:hint="eastAsia" w:ascii="宋体" w:hAnsi="宋体" w:eastAsia="宋体" w:cs="宋体"/>
          <w:b/>
          <w:bCs w:val="0"/>
          <w:color w:val="auto"/>
          <w:sz w:val="21"/>
          <w:szCs w:val="21"/>
          <w:highlight w:val="none"/>
          <w:lang w:eastAsia="zh-CN"/>
        </w:rPr>
      </w:pPr>
      <w:bookmarkStart w:id="383" w:name="_Toc18542"/>
      <w:bookmarkStart w:id="384" w:name="_Toc145063525"/>
      <w:bookmarkStart w:id="385" w:name="_Toc138017280"/>
      <w:r>
        <w:rPr>
          <w:rFonts w:hint="eastAsia" w:ascii="宋体" w:hAnsi="宋体" w:cs="宋体"/>
          <w:b/>
          <w:bCs w:val="0"/>
          <w:color w:val="auto"/>
          <w:sz w:val="21"/>
          <w:szCs w:val="21"/>
          <w:highlight w:val="none"/>
          <w:lang w:val="en-US" w:eastAsia="zh-CN"/>
        </w:rPr>
        <w:t>二、</w:t>
      </w:r>
      <w:r>
        <w:rPr>
          <w:rFonts w:hint="eastAsia" w:ascii="宋体" w:hAnsi="宋体" w:eastAsia="宋体" w:cs="宋体"/>
          <w:b/>
          <w:bCs w:val="0"/>
          <w:color w:val="auto"/>
          <w:sz w:val="21"/>
          <w:szCs w:val="21"/>
          <w:highlight w:val="none"/>
          <w:lang w:eastAsia="zh-CN"/>
        </w:rPr>
        <w:t>名词解释</w:t>
      </w:r>
      <w:bookmarkEnd w:id="383"/>
      <w:bookmarkEnd w:id="384"/>
      <w:bookmarkEnd w:id="385"/>
    </w:p>
    <w:p>
      <w:pPr>
        <w:pStyle w:val="46"/>
        <w:numPr>
          <w:ilvl w:val="0"/>
          <w:numId w:val="62"/>
        </w:numPr>
        <w:ind w:left="0" w:firstLine="400" w:firstLineChars="0"/>
        <w:jc w:val="left"/>
        <w:rPr>
          <w:rStyle w:val="57"/>
          <w:rFonts w:hint="eastAsia" w:asciiTheme="minorEastAsia" w:hAnsiTheme="minorEastAsia" w:eastAsiaTheme="minorEastAsia" w:cstheme="minorEastAsia"/>
          <w:b w:val="0"/>
          <w:bCs/>
          <w:color w:val="auto"/>
          <w:sz w:val="21"/>
          <w:szCs w:val="21"/>
          <w:highlight w:val="none"/>
          <w:lang w:eastAsia="zh-CN"/>
        </w:rPr>
      </w:pPr>
      <w:r>
        <w:rPr>
          <w:rStyle w:val="57"/>
          <w:rFonts w:hint="eastAsia" w:asciiTheme="minorEastAsia" w:hAnsiTheme="minorEastAsia" w:eastAsiaTheme="minorEastAsia" w:cstheme="minorEastAsia"/>
          <w:b w:val="0"/>
          <w:bCs/>
          <w:color w:val="auto"/>
          <w:sz w:val="21"/>
          <w:szCs w:val="21"/>
          <w:highlight w:val="none"/>
          <w:lang w:eastAsia="zh-CN"/>
        </w:rPr>
        <w:t>本文件和附件中所用下列名词的含义在此予以确定。</w:t>
      </w:r>
    </w:p>
    <w:p>
      <w:pPr>
        <w:pStyle w:val="46"/>
        <w:numPr>
          <w:ilvl w:val="0"/>
          <w:numId w:val="62"/>
        </w:numPr>
        <w:ind w:left="0" w:leftChars="0" w:firstLine="400" w:firstLineChars="0"/>
        <w:jc w:val="left"/>
        <w:rPr>
          <w:rStyle w:val="57"/>
          <w:rFonts w:hint="eastAsia" w:asciiTheme="minorEastAsia" w:hAnsiTheme="minorEastAsia" w:eastAsiaTheme="minorEastAsia" w:cstheme="minorEastAsia"/>
          <w:b w:val="0"/>
          <w:bCs/>
          <w:color w:val="auto"/>
          <w:sz w:val="21"/>
          <w:szCs w:val="21"/>
          <w:highlight w:val="none"/>
          <w:lang w:eastAsia="zh-CN"/>
        </w:rPr>
      </w:pPr>
      <w:r>
        <w:rPr>
          <w:rStyle w:val="57"/>
          <w:rFonts w:hint="eastAsia" w:asciiTheme="minorEastAsia" w:hAnsiTheme="minorEastAsia" w:eastAsiaTheme="minorEastAsia" w:cstheme="minorEastAsia"/>
          <w:b w:val="0"/>
          <w:bCs/>
          <w:color w:val="auto"/>
          <w:sz w:val="21"/>
          <w:szCs w:val="21"/>
          <w:highlight w:val="none"/>
          <w:lang w:eastAsia="zh-CN"/>
        </w:rPr>
        <w:t>采购人是指东莞市东实城市环境服务有限公司，包括该法人的法定代表人、法人的继任方和法人的受让方。</w:t>
      </w:r>
    </w:p>
    <w:p>
      <w:pPr>
        <w:pStyle w:val="46"/>
        <w:numPr>
          <w:ilvl w:val="0"/>
          <w:numId w:val="62"/>
        </w:numPr>
        <w:ind w:left="0" w:leftChars="0" w:firstLine="400" w:firstLineChars="0"/>
        <w:jc w:val="left"/>
        <w:rPr>
          <w:rStyle w:val="57"/>
          <w:rFonts w:hint="eastAsia" w:asciiTheme="minorEastAsia" w:hAnsiTheme="minorEastAsia" w:eastAsiaTheme="minorEastAsia" w:cstheme="minorEastAsia"/>
          <w:b w:val="0"/>
          <w:bCs/>
          <w:color w:val="auto"/>
          <w:sz w:val="21"/>
          <w:szCs w:val="21"/>
          <w:highlight w:val="none"/>
          <w:lang w:eastAsia="zh-CN"/>
        </w:rPr>
      </w:pPr>
      <w:r>
        <w:rPr>
          <w:rStyle w:val="57"/>
          <w:rFonts w:hint="eastAsia" w:asciiTheme="minorEastAsia" w:hAnsiTheme="minorEastAsia" w:eastAsiaTheme="minorEastAsia" w:cstheme="minorEastAsia"/>
          <w:b w:val="0"/>
          <w:bCs/>
          <w:color w:val="auto"/>
          <w:sz w:val="21"/>
          <w:szCs w:val="21"/>
          <w:highlight w:val="none"/>
          <w:lang w:eastAsia="zh-CN"/>
        </w:rPr>
        <w:t>投标人是指（乙方法定名称），包括该法人的法定代表人、法人的继任方和法人的受让方。</w:t>
      </w:r>
    </w:p>
    <w:p>
      <w:pPr>
        <w:pStyle w:val="46"/>
        <w:numPr>
          <w:ilvl w:val="0"/>
          <w:numId w:val="62"/>
        </w:numPr>
        <w:ind w:left="0" w:leftChars="0" w:firstLine="400" w:firstLineChars="0"/>
        <w:jc w:val="left"/>
        <w:rPr>
          <w:rStyle w:val="57"/>
          <w:rFonts w:hint="eastAsia" w:asciiTheme="minorEastAsia" w:hAnsiTheme="minorEastAsia" w:eastAsiaTheme="minorEastAsia" w:cstheme="minorEastAsia"/>
          <w:b w:val="0"/>
          <w:bCs/>
          <w:color w:val="auto"/>
          <w:sz w:val="21"/>
          <w:szCs w:val="21"/>
          <w:highlight w:val="none"/>
          <w:lang w:eastAsia="zh-CN"/>
        </w:rPr>
      </w:pPr>
      <w:r>
        <w:rPr>
          <w:rStyle w:val="57"/>
          <w:rFonts w:hint="eastAsia" w:asciiTheme="minorEastAsia" w:hAnsiTheme="minorEastAsia" w:eastAsiaTheme="minorEastAsia" w:cstheme="minorEastAsia"/>
          <w:b w:val="0"/>
          <w:bCs/>
          <w:color w:val="auto"/>
          <w:sz w:val="21"/>
          <w:szCs w:val="21"/>
          <w:highlight w:val="none"/>
          <w:lang w:eastAsia="zh-CN"/>
        </w:rPr>
        <w:t>“技术资料”是包括但不限于本项目相关的设计、采购技术协议、制造、监造、检验、安装、调试、验收、性能测试、培训、技术指导、规程、设备说明书等（包括图纸各种文字说明、标准、各种软件）。</w:t>
      </w:r>
    </w:p>
    <w:p>
      <w:pPr>
        <w:pStyle w:val="46"/>
        <w:numPr>
          <w:ilvl w:val="0"/>
          <w:numId w:val="62"/>
        </w:numPr>
        <w:ind w:left="0" w:leftChars="0" w:firstLine="400" w:firstLineChars="0"/>
        <w:jc w:val="left"/>
        <w:rPr>
          <w:rStyle w:val="57"/>
          <w:rFonts w:hint="eastAsia" w:asciiTheme="minorEastAsia" w:hAnsiTheme="minorEastAsia" w:eastAsiaTheme="minorEastAsia" w:cstheme="minorEastAsia"/>
          <w:b w:val="0"/>
          <w:bCs/>
          <w:color w:val="auto"/>
          <w:sz w:val="21"/>
          <w:szCs w:val="21"/>
          <w:highlight w:val="none"/>
          <w:lang w:eastAsia="zh-CN"/>
        </w:rPr>
      </w:pPr>
      <w:r>
        <w:rPr>
          <w:rStyle w:val="57"/>
          <w:rFonts w:hint="eastAsia" w:asciiTheme="minorEastAsia" w:hAnsiTheme="minorEastAsia" w:eastAsiaTheme="minorEastAsia" w:cstheme="minorEastAsia"/>
          <w:b w:val="0"/>
          <w:bCs/>
          <w:color w:val="auto"/>
          <w:sz w:val="21"/>
          <w:szCs w:val="21"/>
          <w:highlight w:val="none"/>
          <w:lang w:eastAsia="zh-CN"/>
        </w:rPr>
        <w:t>“监造”是指在合同设备的制造过程中，由采购人派出代表对中标人提供的合同设备的关键部位进行质量监督，实行文件见证和现场见证。此种监造不构成中标人对合同设备所负的质量责任的任何减免。</w:t>
      </w:r>
    </w:p>
    <w:p>
      <w:pPr>
        <w:pStyle w:val="46"/>
        <w:numPr>
          <w:ilvl w:val="0"/>
          <w:numId w:val="62"/>
        </w:numPr>
        <w:ind w:left="0" w:leftChars="0" w:firstLine="400" w:firstLineChars="0"/>
        <w:jc w:val="left"/>
        <w:rPr>
          <w:rStyle w:val="57"/>
          <w:rFonts w:hint="eastAsia" w:asciiTheme="minorEastAsia" w:hAnsiTheme="minorEastAsia" w:eastAsiaTheme="minorEastAsia" w:cstheme="minorEastAsia"/>
          <w:b w:val="0"/>
          <w:bCs/>
          <w:color w:val="auto"/>
          <w:sz w:val="21"/>
          <w:szCs w:val="21"/>
          <w:highlight w:val="none"/>
          <w:lang w:eastAsia="zh-CN"/>
        </w:rPr>
      </w:pPr>
      <w:r>
        <w:rPr>
          <w:rStyle w:val="57"/>
          <w:rFonts w:hint="eastAsia" w:asciiTheme="minorEastAsia" w:hAnsiTheme="minorEastAsia" w:eastAsiaTheme="minorEastAsia" w:cstheme="minorEastAsia"/>
          <w:b w:val="0"/>
          <w:bCs/>
          <w:color w:val="auto"/>
          <w:sz w:val="21"/>
          <w:szCs w:val="21"/>
          <w:highlight w:val="none"/>
          <w:lang w:eastAsia="zh-CN"/>
        </w:rPr>
        <w:t>“日、周、月、年”是指公历的日、周、月、年；“日”是指24小时；“周”是指7个日历日；“月”是指30日；“年”是指360日。</w:t>
      </w:r>
    </w:p>
    <w:p>
      <w:pPr>
        <w:pStyle w:val="46"/>
        <w:numPr>
          <w:ilvl w:val="0"/>
          <w:numId w:val="62"/>
        </w:numPr>
        <w:ind w:left="0" w:leftChars="0" w:firstLine="400" w:firstLineChars="0"/>
        <w:jc w:val="left"/>
        <w:rPr>
          <w:rStyle w:val="57"/>
          <w:rFonts w:hint="eastAsia" w:asciiTheme="minorEastAsia" w:hAnsiTheme="minorEastAsia" w:eastAsiaTheme="minorEastAsia" w:cstheme="minorEastAsia"/>
          <w:b w:val="0"/>
          <w:bCs/>
          <w:color w:val="auto"/>
          <w:sz w:val="21"/>
          <w:szCs w:val="21"/>
          <w:highlight w:val="none"/>
          <w:lang w:eastAsia="zh-CN"/>
        </w:rPr>
      </w:pPr>
      <w:r>
        <w:rPr>
          <w:rStyle w:val="57"/>
          <w:rFonts w:hint="eastAsia" w:asciiTheme="minorEastAsia" w:hAnsiTheme="minorEastAsia" w:eastAsiaTheme="minorEastAsia" w:cstheme="minorEastAsia"/>
          <w:b w:val="0"/>
          <w:bCs/>
          <w:color w:val="auto"/>
          <w:sz w:val="21"/>
          <w:szCs w:val="21"/>
          <w:highlight w:val="none"/>
          <w:lang w:eastAsia="zh-CN"/>
        </w:rPr>
        <w:t>“技术服务”是指由中标人提供的与本项目有关的工程设计、设备供货、监造、检验、安装、调试、性能验收试验、运行、检修时相应的技术指导、技术配合、技术培训等全过程的服务。</w:t>
      </w:r>
    </w:p>
    <w:p>
      <w:pPr>
        <w:pStyle w:val="46"/>
        <w:numPr>
          <w:ilvl w:val="0"/>
          <w:numId w:val="62"/>
        </w:numPr>
        <w:ind w:left="0" w:leftChars="0" w:firstLine="400" w:firstLineChars="0"/>
        <w:jc w:val="left"/>
        <w:rPr>
          <w:rStyle w:val="57"/>
          <w:rFonts w:hint="eastAsia" w:asciiTheme="minorEastAsia" w:hAnsiTheme="minorEastAsia" w:eastAsiaTheme="minorEastAsia" w:cstheme="minorEastAsia"/>
          <w:b w:val="0"/>
          <w:bCs/>
          <w:color w:val="auto"/>
          <w:sz w:val="21"/>
          <w:szCs w:val="21"/>
          <w:highlight w:val="none"/>
          <w:lang w:eastAsia="zh-CN"/>
        </w:rPr>
      </w:pPr>
      <w:r>
        <w:rPr>
          <w:rStyle w:val="57"/>
          <w:rFonts w:hint="eastAsia" w:asciiTheme="minorEastAsia" w:hAnsiTheme="minorEastAsia" w:eastAsiaTheme="minorEastAsia" w:cstheme="minorEastAsia"/>
          <w:b w:val="0"/>
          <w:bCs/>
          <w:color w:val="auto"/>
          <w:sz w:val="21"/>
          <w:szCs w:val="21"/>
          <w:highlight w:val="none"/>
          <w:lang w:eastAsia="zh-CN"/>
        </w:rPr>
        <w:t>“现场”是指本项目建设工地，为中标人安装本项目设备设施所在地。</w:t>
      </w:r>
    </w:p>
    <w:p>
      <w:pPr>
        <w:pStyle w:val="46"/>
        <w:numPr>
          <w:ilvl w:val="0"/>
          <w:numId w:val="62"/>
        </w:numPr>
        <w:ind w:left="0" w:leftChars="0" w:firstLine="400" w:firstLineChars="0"/>
        <w:jc w:val="left"/>
        <w:rPr>
          <w:rStyle w:val="57"/>
          <w:rFonts w:hint="eastAsia" w:asciiTheme="minorEastAsia" w:hAnsiTheme="minorEastAsia" w:eastAsiaTheme="minorEastAsia" w:cstheme="minorEastAsia"/>
          <w:b w:val="0"/>
          <w:bCs/>
          <w:color w:val="auto"/>
          <w:sz w:val="21"/>
          <w:szCs w:val="21"/>
          <w:highlight w:val="none"/>
          <w:lang w:eastAsia="zh-CN"/>
        </w:rPr>
      </w:pPr>
      <w:r>
        <w:rPr>
          <w:rStyle w:val="57"/>
          <w:rFonts w:hint="eastAsia" w:asciiTheme="minorEastAsia" w:hAnsiTheme="minorEastAsia" w:eastAsiaTheme="minorEastAsia" w:cstheme="minorEastAsia"/>
          <w:b w:val="0"/>
          <w:bCs/>
          <w:color w:val="auto"/>
          <w:sz w:val="21"/>
          <w:szCs w:val="21"/>
          <w:highlight w:val="none"/>
          <w:lang w:eastAsia="zh-CN"/>
        </w:rPr>
        <w:t>“备品备件”是指本项目的备用部件，包括随机备品备件、专用工器具等。</w:t>
      </w:r>
    </w:p>
    <w:p>
      <w:pPr>
        <w:pStyle w:val="46"/>
        <w:numPr>
          <w:ilvl w:val="0"/>
          <w:numId w:val="62"/>
        </w:numPr>
        <w:ind w:left="0" w:leftChars="0" w:firstLine="400" w:firstLineChars="0"/>
        <w:jc w:val="left"/>
        <w:rPr>
          <w:rStyle w:val="57"/>
          <w:rFonts w:hint="eastAsia" w:asciiTheme="minorEastAsia" w:hAnsiTheme="minorEastAsia" w:eastAsiaTheme="minorEastAsia" w:cstheme="minorEastAsia"/>
          <w:b w:val="0"/>
          <w:bCs/>
          <w:color w:val="auto"/>
          <w:sz w:val="21"/>
          <w:szCs w:val="21"/>
          <w:highlight w:val="none"/>
          <w:lang w:eastAsia="zh-CN"/>
        </w:rPr>
      </w:pPr>
      <w:r>
        <w:rPr>
          <w:rStyle w:val="57"/>
          <w:rFonts w:hint="eastAsia" w:asciiTheme="minorEastAsia" w:hAnsiTheme="minorEastAsia" w:eastAsiaTheme="minorEastAsia" w:cstheme="minorEastAsia"/>
          <w:b w:val="0"/>
          <w:bCs/>
          <w:color w:val="auto"/>
          <w:sz w:val="21"/>
          <w:szCs w:val="21"/>
          <w:highlight w:val="none"/>
          <w:lang w:eastAsia="zh-CN"/>
        </w:rPr>
        <w:t>“试运行”是指设备完成移交之前的运行阶段。</w:t>
      </w:r>
    </w:p>
    <w:p>
      <w:pPr>
        <w:pStyle w:val="46"/>
        <w:numPr>
          <w:ilvl w:val="0"/>
          <w:numId w:val="62"/>
        </w:numPr>
        <w:ind w:left="0" w:leftChars="0" w:firstLine="400" w:firstLineChars="0"/>
        <w:jc w:val="left"/>
        <w:rPr>
          <w:rStyle w:val="57"/>
          <w:rFonts w:hint="eastAsia" w:asciiTheme="minorEastAsia" w:hAnsiTheme="minorEastAsia" w:eastAsiaTheme="minorEastAsia" w:cstheme="minorEastAsia"/>
          <w:b w:val="0"/>
          <w:bCs/>
          <w:color w:val="auto"/>
          <w:sz w:val="21"/>
          <w:szCs w:val="21"/>
          <w:highlight w:val="none"/>
          <w:lang w:eastAsia="zh-CN"/>
        </w:rPr>
      </w:pPr>
      <w:r>
        <w:rPr>
          <w:rStyle w:val="57"/>
          <w:rFonts w:hint="eastAsia" w:asciiTheme="minorEastAsia" w:hAnsiTheme="minorEastAsia" w:eastAsiaTheme="minorEastAsia" w:cstheme="minorEastAsia"/>
          <w:b w:val="0"/>
          <w:bCs/>
          <w:color w:val="auto"/>
          <w:sz w:val="21"/>
          <w:szCs w:val="21"/>
          <w:highlight w:val="none"/>
          <w:lang w:eastAsia="zh-CN"/>
        </w:rPr>
        <w:t>“书面文件”是指手稿、打字或印刷的有印章和／或签名的文件。</w:t>
      </w:r>
    </w:p>
    <w:p>
      <w:pPr>
        <w:pStyle w:val="46"/>
        <w:numPr>
          <w:ilvl w:val="0"/>
          <w:numId w:val="62"/>
        </w:numPr>
        <w:ind w:left="0" w:leftChars="0" w:firstLine="400" w:firstLineChars="0"/>
        <w:jc w:val="left"/>
        <w:rPr>
          <w:rStyle w:val="57"/>
          <w:rFonts w:hint="eastAsia" w:asciiTheme="minorEastAsia" w:hAnsiTheme="minorEastAsia" w:eastAsiaTheme="minorEastAsia" w:cstheme="minorEastAsia"/>
          <w:b w:val="0"/>
          <w:bCs/>
          <w:color w:val="auto"/>
          <w:sz w:val="21"/>
          <w:szCs w:val="21"/>
          <w:highlight w:val="none"/>
          <w:lang w:eastAsia="zh-CN"/>
        </w:rPr>
      </w:pPr>
      <w:r>
        <w:rPr>
          <w:rStyle w:val="57"/>
          <w:rFonts w:hint="eastAsia" w:asciiTheme="minorEastAsia" w:hAnsiTheme="minorEastAsia" w:eastAsiaTheme="minorEastAsia" w:cstheme="minorEastAsia"/>
          <w:b w:val="0"/>
          <w:bCs/>
          <w:color w:val="auto"/>
          <w:sz w:val="21"/>
          <w:szCs w:val="21"/>
          <w:highlight w:val="none"/>
          <w:lang w:eastAsia="zh-CN"/>
        </w:rPr>
        <w:t>“设备缺陷”是指中标人因设计、制造错误或疏忽所引起的本项目设备（包括部件、原材料、铸锻件、原器件等）达不到本项目规定的性能、质量标准要求的状态。</w:t>
      </w:r>
    </w:p>
    <w:p>
      <w:pPr>
        <w:pStyle w:val="46"/>
        <w:numPr>
          <w:ilvl w:val="0"/>
          <w:numId w:val="62"/>
        </w:numPr>
        <w:ind w:left="0" w:leftChars="0" w:firstLine="400" w:firstLineChars="0"/>
        <w:jc w:val="left"/>
        <w:rPr>
          <w:rStyle w:val="57"/>
          <w:rFonts w:hint="eastAsia" w:asciiTheme="minorEastAsia" w:hAnsiTheme="minorEastAsia" w:eastAsiaTheme="minorEastAsia" w:cstheme="minorEastAsia"/>
          <w:b w:val="0"/>
          <w:bCs/>
          <w:color w:val="auto"/>
          <w:sz w:val="21"/>
          <w:szCs w:val="21"/>
          <w:highlight w:val="none"/>
          <w:lang w:eastAsia="zh-CN"/>
        </w:rPr>
      </w:pPr>
      <w:r>
        <w:rPr>
          <w:rStyle w:val="57"/>
          <w:rFonts w:hint="eastAsia" w:asciiTheme="minorEastAsia" w:hAnsiTheme="minorEastAsia" w:eastAsiaTheme="minorEastAsia" w:cstheme="minorEastAsia"/>
          <w:b w:val="0"/>
          <w:bCs/>
          <w:color w:val="auto"/>
          <w:sz w:val="21"/>
          <w:szCs w:val="21"/>
          <w:highlight w:val="none"/>
          <w:lang w:eastAsia="zh-CN"/>
        </w:rPr>
        <w:t>“性能验收”是指为检验本项目技术规格书（包括与本项目设备相关的其它资料）规定的性能保证值按本项目技术规格书规定所进行的试验。</w:t>
      </w:r>
    </w:p>
    <w:p>
      <w:pPr>
        <w:bidi w:val="0"/>
        <w:rPr>
          <w:rFonts w:hint="eastAsia"/>
          <w:color w:val="auto"/>
          <w:highlight w:val="none"/>
          <w:lang w:eastAsia="zh-CN"/>
        </w:rPr>
      </w:pPr>
    </w:p>
    <w:p>
      <w:pPr>
        <w:widowControl w:val="0"/>
        <w:autoSpaceDE w:val="0"/>
        <w:autoSpaceDN w:val="0"/>
        <w:jc w:val="both"/>
        <w:outlineLvl w:val="0"/>
        <w:rPr>
          <w:rFonts w:hint="eastAsia" w:ascii="宋体" w:hAnsi="宋体" w:eastAsia="宋体" w:cs="宋体"/>
          <w:b/>
          <w:bCs w:val="0"/>
          <w:color w:val="auto"/>
          <w:sz w:val="21"/>
          <w:szCs w:val="21"/>
          <w:highlight w:val="none"/>
          <w:lang w:eastAsia="zh-CN"/>
        </w:rPr>
      </w:pPr>
      <w:r>
        <w:rPr>
          <w:rFonts w:hint="eastAsia" w:ascii="宋体" w:hAnsi="宋体" w:cs="宋体"/>
          <w:b/>
          <w:bCs w:val="0"/>
          <w:color w:val="auto"/>
          <w:sz w:val="21"/>
          <w:szCs w:val="21"/>
          <w:highlight w:val="none"/>
          <w:lang w:val="en-US" w:eastAsia="zh-CN"/>
        </w:rPr>
        <w:t>三、</w:t>
      </w:r>
      <w:r>
        <w:rPr>
          <w:rFonts w:hint="eastAsia" w:ascii="宋体" w:hAnsi="宋体" w:eastAsia="宋体" w:cs="宋体"/>
          <w:b/>
          <w:bCs w:val="0"/>
          <w:color w:val="auto"/>
          <w:sz w:val="21"/>
          <w:szCs w:val="21"/>
          <w:highlight w:val="none"/>
          <w:lang w:eastAsia="zh-CN"/>
        </w:rPr>
        <w:t>工程概况</w:t>
      </w:r>
    </w:p>
    <w:p>
      <w:pPr>
        <w:pStyle w:val="6"/>
        <w:numPr>
          <w:ilvl w:val="1"/>
          <w:numId w:val="63"/>
        </w:numPr>
        <w:spacing w:before="0" w:after="0" w:line="360" w:lineRule="auto"/>
        <w:rPr>
          <w:rFonts w:hint="eastAsia" w:asciiTheme="minorEastAsia" w:hAnsiTheme="minorEastAsia" w:eastAsiaTheme="minorEastAsia" w:cstheme="minorEastAsia"/>
          <w:color w:val="auto"/>
          <w:sz w:val="21"/>
          <w:szCs w:val="21"/>
          <w:highlight w:val="none"/>
        </w:rPr>
      </w:pPr>
      <w:bookmarkStart w:id="386" w:name="_Toc4814"/>
      <w:bookmarkStart w:id="387" w:name="_Toc145063527"/>
      <w:bookmarkStart w:id="388" w:name="_Toc138017282"/>
      <w:r>
        <w:rPr>
          <w:rFonts w:hint="eastAsia" w:asciiTheme="minorEastAsia" w:hAnsiTheme="minorEastAsia" w:eastAsiaTheme="minorEastAsia" w:cstheme="minorEastAsia"/>
          <w:color w:val="auto"/>
          <w:sz w:val="21"/>
          <w:szCs w:val="21"/>
          <w:highlight w:val="none"/>
        </w:rPr>
        <w:t>项目名称</w:t>
      </w:r>
      <w:bookmarkEnd w:id="386"/>
      <w:bookmarkEnd w:id="387"/>
      <w:bookmarkEnd w:id="388"/>
    </w:p>
    <w:p>
      <w:pPr>
        <w:pStyle w:val="2"/>
        <w:spacing w:before="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东莞市寮步镇生活垃圾综合处理中心项目臭气处理系统</w:t>
      </w:r>
    </w:p>
    <w:p>
      <w:pPr>
        <w:pStyle w:val="6"/>
        <w:numPr>
          <w:ilvl w:val="1"/>
          <w:numId w:val="63"/>
        </w:numPr>
        <w:spacing w:before="0" w:after="0"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采购人</w:t>
      </w:r>
    </w:p>
    <w:p>
      <w:pPr>
        <w:pStyle w:val="2"/>
        <w:spacing w:before="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Style w:val="57"/>
          <w:rFonts w:hint="eastAsia" w:asciiTheme="minorEastAsia" w:hAnsiTheme="minorEastAsia" w:eastAsiaTheme="minorEastAsia" w:cstheme="minorEastAsia"/>
          <w:color w:val="auto"/>
          <w:sz w:val="21"/>
          <w:szCs w:val="21"/>
          <w:highlight w:val="none"/>
          <w:lang w:eastAsia="zh-CN"/>
        </w:rPr>
        <w:t>东莞市东实城市环境服务有限公司</w:t>
      </w:r>
    </w:p>
    <w:p>
      <w:pPr>
        <w:pStyle w:val="6"/>
        <w:numPr>
          <w:ilvl w:val="1"/>
          <w:numId w:val="63"/>
        </w:numPr>
        <w:spacing w:before="0" w:after="0" w:line="360" w:lineRule="auto"/>
        <w:rPr>
          <w:rFonts w:hint="eastAsia" w:asciiTheme="minorEastAsia" w:hAnsiTheme="minorEastAsia" w:eastAsiaTheme="minorEastAsia" w:cstheme="minorEastAsia"/>
          <w:color w:val="auto"/>
          <w:sz w:val="21"/>
          <w:szCs w:val="21"/>
          <w:highlight w:val="none"/>
        </w:rPr>
      </w:pPr>
      <w:bookmarkStart w:id="389" w:name="_Toc145063529"/>
      <w:bookmarkStart w:id="390" w:name="_Toc138017284"/>
      <w:r>
        <w:rPr>
          <w:rFonts w:hint="eastAsia" w:asciiTheme="minorEastAsia" w:hAnsiTheme="minorEastAsia" w:eastAsiaTheme="minorEastAsia" w:cstheme="minorEastAsia"/>
          <w:color w:val="auto"/>
          <w:sz w:val="21"/>
          <w:szCs w:val="21"/>
          <w:highlight w:val="none"/>
        </w:rPr>
        <w:t>建设地点</w:t>
      </w:r>
      <w:bookmarkEnd w:id="389"/>
      <w:bookmarkEnd w:id="390"/>
    </w:p>
    <w:p>
      <w:pPr>
        <w:pStyle w:val="2"/>
        <w:spacing w:before="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东莞市寮步镇金富二路</w:t>
      </w:r>
    </w:p>
    <w:p>
      <w:pPr>
        <w:pStyle w:val="6"/>
        <w:numPr>
          <w:ilvl w:val="1"/>
          <w:numId w:val="63"/>
        </w:numPr>
        <w:spacing w:before="0" w:after="0" w:line="360" w:lineRule="auto"/>
        <w:rPr>
          <w:rFonts w:hint="eastAsia" w:asciiTheme="minorEastAsia" w:hAnsiTheme="minorEastAsia" w:eastAsiaTheme="minorEastAsia" w:cstheme="minorEastAsia"/>
          <w:color w:val="auto"/>
          <w:sz w:val="21"/>
          <w:szCs w:val="21"/>
          <w:highlight w:val="none"/>
        </w:rPr>
      </w:pPr>
      <w:bookmarkStart w:id="391" w:name="_Toc12053"/>
      <w:bookmarkStart w:id="392" w:name="_Toc145063530"/>
      <w:bookmarkStart w:id="393" w:name="_Toc138017285"/>
      <w:r>
        <w:rPr>
          <w:rFonts w:hint="eastAsia" w:asciiTheme="minorEastAsia" w:hAnsiTheme="minorEastAsia" w:eastAsiaTheme="minorEastAsia" w:cstheme="minorEastAsia"/>
          <w:color w:val="auto"/>
          <w:sz w:val="21"/>
          <w:szCs w:val="21"/>
          <w:highlight w:val="none"/>
        </w:rPr>
        <w:t>工程概述</w:t>
      </w:r>
      <w:bookmarkEnd w:id="391"/>
      <w:bookmarkEnd w:id="392"/>
      <w:bookmarkEnd w:id="393"/>
    </w:p>
    <w:p>
      <w:pPr>
        <w:pStyle w:val="2"/>
        <w:spacing w:before="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本项目新建 1 座生活垃圾综合处理中心，规划用地面积约 10379.55 平方米，包括垃圾压缩车间、大件/园林绿化垃圾破碎车间、厨余垃圾处理车间、修车间、污水处理站、中控室、保安室和办公楼等。生活垃圾转运规模为近期 530t/d（远期1000t/d），大件垃圾/园林绿化垃圾设计处理规模近期24t/d（远期31t/d），厨余垃圾设计处理规模近期60t/d（远期80t/d）。其中，近期指 2023年，远期指 2032年。</w:t>
      </w:r>
    </w:p>
    <w:p>
      <w:pPr>
        <w:pStyle w:val="6"/>
        <w:numPr>
          <w:ilvl w:val="1"/>
          <w:numId w:val="63"/>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394" w:name="_Toc145063531"/>
      <w:bookmarkStart w:id="395" w:name="_Toc22214"/>
      <w:bookmarkStart w:id="396" w:name="_Toc138017286"/>
      <w:r>
        <w:rPr>
          <w:rFonts w:hint="eastAsia" w:asciiTheme="minorEastAsia" w:hAnsiTheme="minorEastAsia" w:eastAsiaTheme="minorEastAsia" w:cstheme="minorEastAsia"/>
          <w:color w:val="auto"/>
          <w:sz w:val="21"/>
          <w:szCs w:val="21"/>
          <w:highlight w:val="none"/>
          <w:lang w:eastAsia="zh-CN"/>
        </w:rPr>
        <w:t>工程质量</w:t>
      </w:r>
      <w:bookmarkEnd w:id="394"/>
      <w:bookmarkEnd w:id="395"/>
      <w:bookmarkEnd w:id="396"/>
    </w:p>
    <w:p>
      <w:pPr>
        <w:pStyle w:val="2"/>
        <w:spacing w:before="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达到国家或行业质量检验评定的合格标准（其中建设工程设计必须严格执行工程建设强制性标准，符合国家有关质量标准现行设计文件编制深度的相关规定）。</w:t>
      </w:r>
    </w:p>
    <w:p>
      <w:pPr>
        <w:pStyle w:val="6"/>
        <w:numPr>
          <w:ilvl w:val="1"/>
          <w:numId w:val="63"/>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397" w:name="_Toc145063532"/>
      <w:r>
        <w:rPr>
          <w:rFonts w:hint="eastAsia" w:asciiTheme="minorEastAsia" w:hAnsiTheme="minorEastAsia" w:eastAsiaTheme="minorEastAsia" w:cstheme="minorEastAsia"/>
          <w:color w:val="auto"/>
          <w:sz w:val="21"/>
          <w:szCs w:val="21"/>
          <w:highlight w:val="none"/>
          <w:lang w:eastAsia="zh-CN"/>
        </w:rPr>
        <w:t>废气排放标准</w:t>
      </w:r>
      <w:bookmarkEnd w:id="397"/>
    </w:p>
    <w:p>
      <w:pPr>
        <w:widowControl/>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    本项目运营过程中产生的污染物类型主要包括 NH3、H2S、臭气浓度和颗粒物。项目生活垃圾卸料和压缩工序，以及厨余垃圾卸料、分拣破碎、压榨脱水等工序产生的 NH3、H2S、臭气浓度有组织排放执行《恶臭污染物排放标准》（GB14554-93）表 2 恶臭污染物排放标准值的要求，无组织排放的 NH3、H2S、臭气浓度执行《恶臭污染物排放标准》（GB14554-93）表 1 中恶臭污染物厂界标准值二级新扩改建标准；项目生活垃圾卸料、压缩以及大件垃圾/园林绿化垃圾破碎过程产生的颗粒物有组织排放执行广东省《大气污染物排放限值》（DB44/27-2001）表 2 第二时段二级标准，无组织排放的颗粒物执行广东省《大气污染物排放限值》（DB44/27-2001）表 2 第二时段无组织排放监控浓度限值。相关标准值见下表：</w:t>
      </w:r>
    </w:p>
    <w:p>
      <w:pPr>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本项目工艺废气排放标准表</w:t>
      </w:r>
    </w:p>
    <w:tbl>
      <w:tblPr>
        <w:tblStyle w:val="35"/>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917"/>
        <w:gridCol w:w="1184"/>
        <w:gridCol w:w="1143"/>
        <w:gridCol w:w="1477"/>
        <w:gridCol w:w="1792"/>
        <w:gridCol w:w="2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680"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398" w:name="_Toc145063533"/>
            <w:r>
              <w:rPr>
                <w:rFonts w:hint="eastAsia" w:asciiTheme="minorEastAsia" w:hAnsiTheme="minorEastAsia" w:eastAsiaTheme="minorEastAsia" w:cstheme="minorEastAsia"/>
                <w:b w:val="0"/>
                <w:color w:val="auto"/>
                <w:sz w:val="21"/>
                <w:szCs w:val="21"/>
                <w:highlight w:val="none"/>
                <w:lang w:eastAsia="zh-CN"/>
              </w:rPr>
              <w:t>序号</w:t>
            </w:r>
            <w:bookmarkEnd w:id="398"/>
          </w:p>
        </w:tc>
        <w:tc>
          <w:tcPr>
            <w:tcW w:w="917" w:type="dxa"/>
            <w:vAlign w:val="center"/>
          </w:tcPr>
          <w:p>
            <w:pPr>
              <w:pStyle w:val="6"/>
              <w:spacing w:before="0" w:after="0" w:line="360" w:lineRule="auto"/>
              <w:ind w:left="0"/>
              <w:jc w:val="both"/>
              <w:rPr>
                <w:rFonts w:hint="eastAsia" w:asciiTheme="minorEastAsia" w:hAnsiTheme="minorEastAsia" w:eastAsiaTheme="minorEastAsia" w:cstheme="minorEastAsia"/>
                <w:b w:val="0"/>
                <w:color w:val="auto"/>
                <w:sz w:val="21"/>
                <w:szCs w:val="21"/>
                <w:highlight w:val="none"/>
                <w:lang w:eastAsia="zh-CN"/>
              </w:rPr>
            </w:pPr>
            <w:bookmarkStart w:id="399" w:name="_Toc145063534"/>
            <w:r>
              <w:rPr>
                <w:rFonts w:hint="eastAsia" w:asciiTheme="minorEastAsia" w:hAnsiTheme="minorEastAsia" w:eastAsiaTheme="minorEastAsia" w:cstheme="minorEastAsia"/>
                <w:b w:val="0"/>
                <w:color w:val="auto"/>
                <w:sz w:val="21"/>
                <w:szCs w:val="21"/>
                <w:highlight w:val="none"/>
                <w:lang w:eastAsia="zh-CN"/>
              </w:rPr>
              <w:t>污染物</w:t>
            </w:r>
            <w:bookmarkEnd w:id="399"/>
          </w:p>
        </w:tc>
        <w:tc>
          <w:tcPr>
            <w:tcW w:w="1184"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00" w:name="_Toc145063535"/>
            <w:r>
              <w:rPr>
                <w:rFonts w:hint="eastAsia" w:asciiTheme="minorEastAsia" w:hAnsiTheme="minorEastAsia" w:eastAsiaTheme="minorEastAsia" w:cstheme="minorEastAsia"/>
                <w:b w:val="0"/>
                <w:color w:val="auto"/>
                <w:sz w:val="21"/>
                <w:szCs w:val="21"/>
                <w:highlight w:val="none"/>
                <w:lang w:eastAsia="zh-CN"/>
              </w:rPr>
              <w:t>排气筒高度（m）</w:t>
            </w:r>
            <w:bookmarkEnd w:id="400"/>
          </w:p>
        </w:tc>
        <w:tc>
          <w:tcPr>
            <w:tcW w:w="1143"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01" w:name="_Toc145063536"/>
            <w:r>
              <w:rPr>
                <w:rFonts w:hint="eastAsia" w:asciiTheme="minorEastAsia" w:hAnsiTheme="minorEastAsia" w:eastAsiaTheme="minorEastAsia" w:cstheme="minorEastAsia"/>
                <w:b w:val="0"/>
                <w:color w:val="auto"/>
                <w:sz w:val="21"/>
                <w:szCs w:val="21"/>
                <w:highlight w:val="none"/>
                <w:lang w:eastAsia="zh-CN"/>
              </w:rPr>
              <w:t>最高允许排放浓度（mg/m3)</w:t>
            </w:r>
            <w:bookmarkEnd w:id="401"/>
          </w:p>
        </w:tc>
        <w:tc>
          <w:tcPr>
            <w:tcW w:w="1477"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02" w:name="_Toc145063537"/>
            <w:r>
              <w:rPr>
                <w:rFonts w:hint="eastAsia" w:asciiTheme="minorEastAsia" w:hAnsiTheme="minorEastAsia" w:eastAsiaTheme="minorEastAsia" w:cstheme="minorEastAsia"/>
                <w:b w:val="0"/>
                <w:color w:val="auto"/>
                <w:sz w:val="21"/>
                <w:szCs w:val="21"/>
                <w:highlight w:val="none"/>
                <w:lang w:eastAsia="zh-CN"/>
              </w:rPr>
              <w:t>最高允许排放浓度速率（kg/h)</w:t>
            </w:r>
            <w:bookmarkEnd w:id="402"/>
          </w:p>
        </w:tc>
        <w:tc>
          <w:tcPr>
            <w:tcW w:w="1792"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03" w:name="_Toc145063538"/>
            <w:r>
              <w:rPr>
                <w:rFonts w:hint="eastAsia" w:asciiTheme="minorEastAsia" w:hAnsiTheme="minorEastAsia" w:eastAsiaTheme="minorEastAsia" w:cstheme="minorEastAsia"/>
                <w:b w:val="0"/>
                <w:color w:val="auto"/>
                <w:sz w:val="21"/>
                <w:szCs w:val="21"/>
                <w:highlight w:val="none"/>
                <w:lang w:eastAsia="zh-CN"/>
              </w:rPr>
              <w:t>无组织排放监控浓度限值监控点（mg/m3)</w:t>
            </w:r>
            <w:bookmarkEnd w:id="403"/>
          </w:p>
        </w:tc>
        <w:tc>
          <w:tcPr>
            <w:tcW w:w="2457"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04" w:name="_Toc145063539"/>
            <w:r>
              <w:rPr>
                <w:rFonts w:hint="eastAsia" w:asciiTheme="minorEastAsia" w:hAnsiTheme="minorEastAsia" w:eastAsiaTheme="minorEastAsia" w:cstheme="minorEastAsia"/>
                <w:b w:val="0"/>
                <w:color w:val="auto"/>
                <w:sz w:val="21"/>
                <w:szCs w:val="21"/>
                <w:highlight w:val="none"/>
                <w:lang w:eastAsia="zh-CN"/>
              </w:rPr>
              <w:t>执行标准</w:t>
            </w:r>
            <w:bookmarkEnd w:id="40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680"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05" w:name="_Toc145063540"/>
            <w:r>
              <w:rPr>
                <w:rFonts w:hint="eastAsia" w:asciiTheme="minorEastAsia" w:hAnsiTheme="minorEastAsia" w:eastAsiaTheme="minorEastAsia" w:cstheme="minorEastAsia"/>
                <w:b w:val="0"/>
                <w:color w:val="auto"/>
                <w:sz w:val="21"/>
                <w:szCs w:val="21"/>
                <w:highlight w:val="none"/>
                <w:lang w:eastAsia="zh-CN"/>
              </w:rPr>
              <w:t>1</w:t>
            </w:r>
            <w:bookmarkEnd w:id="405"/>
          </w:p>
        </w:tc>
        <w:tc>
          <w:tcPr>
            <w:tcW w:w="917"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06" w:name="_Toc145063541"/>
            <w:r>
              <w:rPr>
                <w:rFonts w:hint="eastAsia" w:asciiTheme="minorEastAsia" w:hAnsiTheme="minorEastAsia" w:eastAsiaTheme="minorEastAsia" w:cstheme="minorEastAsia"/>
                <w:b w:val="0"/>
                <w:color w:val="auto"/>
                <w:sz w:val="21"/>
                <w:szCs w:val="21"/>
                <w:highlight w:val="none"/>
                <w:lang w:eastAsia="zh-CN"/>
              </w:rPr>
              <w:t>NH</w:t>
            </w:r>
            <w:r>
              <w:rPr>
                <w:rFonts w:hint="eastAsia" w:asciiTheme="minorEastAsia" w:hAnsiTheme="minorEastAsia" w:eastAsiaTheme="minorEastAsia" w:cstheme="minorEastAsia"/>
                <w:b w:val="0"/>
                <w:color w:val="auto"/>
                <w:sz w:val="21"/>
                <w:szCs w:val="21"/>
                <w:highlight w:val="none"/>
                <w:vertAlign w:val="subscript"/>
                <w:lang w:eastAsia="zh-CN"/>
              </w:rPr>
              <w:t>3</w:t>
            </w:r>
            <w:bookmarkEnd w:id="406"/>
          </w:p>
        </w:tc>
        <w:tc>
          <w:tcPr>
            <w:tcW w:w="1184" w:type="dxa"/>
            <w:vMerge w:val="restart"/>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07" w:name="_Toc145063542"/>
            <w:r>
              <w:rPr>
                <w:rFonts w:hint="eastAsia" w:asciiTheme="minorEastAsia" w:hAnsiTheme="minorEastAsia" w:eastAsiaTheme="minorEastAsia" w:cstheme="minorEastAsia"/>
                <w:b w:val="0"/>
                <w:color w:val="auto"/>
                <w:sz w:val="21"/>
                <w:szCs w:val="21"/>
                <w:highlight w:val="none"/>
                <w:lang w:eastAsia="zh-CN"/>
              </w:rPr>
              <w:t>约25（最终以主管部门要求为准）</w:t>
            </w:r>
            <w:bookmarkEnd w:id="407"/>
          </w:p>
        </w:tc>
        <w:tc>
          <w:tcPr>
            <w:tcW w:w="1143"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08" w:name="_Toc145063543"/>
            <w:r>
              <w:rPr>
                <w:rFonts w:hint="eastAsia" w:asciiTheme="minorEastAsia" w:hAnsiTheme="minorEastAsia" w:eastAsiaTheme="minorEastAsia" w:cstheme="minorEastAsia"/>
                <w:b w:val="0"/>
                <w:color w:val="auto"/>
                <w:sz w:val="21"/>
                <w:szCs w:val="21"/>
                <w:highlight w:val="none"/>
                <w:lang w:eastAsia="zh-CN"/>
              </w:rPr>
              <w:t>/</w:t>
            </w:r>
            <w:bookmarkEnd w:id="408"/>
          </w:p>
        </w:tc>
        <w:tc>
          <w:tcPr>
            <w:tcW w:w="1477"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09" w:name="_Toc145063544"/>
            <w:r>
              <w:rPr>
                <w:rFonts w:hint="eastAsia" w:asciiTheme="minorEastAsia" w:hAnsiTheme="minorEastAsia" w:eastAsiaTheme="minorEastAsia" w:cstheme="minorEastAsia"/>
                <w:b w:val="0"/>
                <w:color w:val="auto"/>
                <w:sz w:val="21"/>
                <w:szCs w:val="21"/>
                <w:highlight w:val="none"/>
                <w:lang w:eastAsia="zh-CN"/>
              </w:rPr>
              <w:t>8.7</w:t>
            </w:r>
            <w:r>
              <w:rPr>
                <w:rFonts w:hint="eastAsia" w:asciiTheme="minorEastAsia" w:hAnsiTheme="minorEastAsia" w:eastAsiaTheme="minorEastAsia" w:cstheme="minorEastAsia"/>
                <w:b w:val="0"/>
                <w:color w:val="auto"/>
                <w:sz w:val="21"/>
                <w:szCs w:val="21"/>
                <w:highlight w:val="none"/>
                <w:vertAlign w:val="superscript"/>
                <w:lang w:eastAsia="zh-CN"/>
              </w:rPr>
              <w:t>［1］</w:t>
            </w:r>
            <w:bookmarkEnd w:id="409"/>
          </w:p>
        </w:tc>
        <w:tc>
          <w:tcPr>
            <w:tcW w:w="1792"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10" w:name="_Toc145063545"/>
            <w:r>
              <w:rPr>
                <w:rFonts w:hint="eastAsia" w:asciiTheme="minorEastAsia" w:hAnsiTheme="minorEastAsia" w:eastAsiaTheme="minorEastAsia" w:cstheme="minorEastAsia"/>
                <w:b w:val="0"/>
                <w:color w:val="auto"/>
                <w:sz w:val="21"/>
                <w:szCs w:val="21"/>
                <w:highlight w:val="none"/>
                <w:lang w:eastAsia="zh-CN"/>
              </w:rPr>
              <w:t>1.5</w:t>
            </w:r>
            <w:bookmarkEnd w:id="410"/>
          </w:p>
        </w:tc>
        <w:tc>
          <w:tcPr>
            <w:tcW w:w="2457" w:type="dxa"/>
            <w:vMerge w:val="restart"/>
            <w:vAlign w:val="center"/>
          </w:tcPr>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《恶臭污染物排放标准》GB14554-93）表1 恶臭污染物厂界标准值二级新改扩建标准限值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680"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11" w:name="_Toc145063546"/>
            <w:r>
              <w:rPr>
                <w:rFonts w:hint="eastAsia" w:asciiTheme="minorEastAsia" w:hAnsiTheme="minorEastAsia" w:eastAsiaTheme="minorEastAsia" w:cstheme="minorEastAsia"/>
                <w:b w:val="0"/>
                <w:color w:val="auto"/>
                <w:sz w:val="21"/>
                <w:szCs w:val="21"/>
                <w:highlight w:val="none"/>
                <w:lang w:eastAsia="zh-CN"/>
              </w:rPr>
              <w:t>2</w:t>
            </w:r>
            <w:bookmarkEnd w:id="411"/>
          </w:p>
        </w:tc>
        <w:tc>
          <w:tcPr>
            <w:tcW w:w="917"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12" w:name="_Toc145063547"/>
            <w:r>
              <w:rPr>
                <w:rFonts w:hint="eastAsia" w:asciiTheme="minorEastAsia" w:hAnsiTheme="minorEastAsia" w:eastAsiaTheme="minorEastAsia" w:cstheme="minorEastAsia"/>
                <w:b w:val="0"/>
                <w:color w:val="auto"/>
                <w:sz w:val="21"/>
                <w:szCs w:val="21"/>
                <w:highlight w:val="none"/>
                <w:lang w:eastAsia="zh-CN"/>
              </w:rPr>
              <w:t>H</w:t>
            </w:r>
            <w:r>
              <w:rPr>
                <w:rFonts w:hint="eastAsia" w:asciiTheme="minorEastAsia" w:hAnsiTheme="minorEastAsia" w:eastAsiaTheme="minorEastAsia" w:cstheme="minorEastAsia"/>
                <w:b w:val="0"/>
                <w:color w:val="auto"/>
                <w:sz w:val="21"/>
                <w:szCs w:val="21"/>
                <w:highlight w:val="none"/>
                <w:vertAlign w:val="subscript"/>
                <w:lang w:eastAsia="zh-CN"/>
              </w:rPr>
              <w:t>2</w:t>
            </w:r>
            <w:r>
              <w:rPr>
                <w:rFonts w:hint="eastAsia" w:asciiTheme="minorEastAsia" w:hAnsiTheme="minorEastAsia" w:eastAsiaTheme="minorEastAsia" w:cstheme="minorEastAsia"/>
                <w:b w:val="0"/>
                <w:color w:val="auto"/>
                <w:sz w:val="21"/>
                <w:szCs w:val="21"/>
                <w:highlight w:val="none"/>
                <w:lang w:eastAsia="zh-CN"/>
              </w:rPr>
              <w:t>S</w:t>
            </w:r>
            <w:bookmarkEnd w:id="412"/>
          </w:p>
        </w:tc>
        <w:tc>
          <w:tcPr>
            <w:tcW w:w="1184" w:type="dxa"/>
            <w:vMerge w:val="continue"/>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p>
        </w:tc>
        <w:tc>
          <w:tcPr>
            <w:tcW w:w="1143"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13" w:name="_Toc145063548"/>
            <w:r>
              <w:rPr>
                <w:rFonts w:hint="eastAsia" w:asciiTheme="minorEastAsia" w:hAnsiTheme="minorEastAsia" w:eastAsiaTheme="minorEastAsia" w:cstheme="minorEastAsia"/>
                <w:b w:val="0"/>
                <w:color w:val="auto"/>
                <w:sz w:val="21"/>
                <w:szCs w:val="21"/>
                <w:highlight w:val="none"/>
                <w:lang w:eastAsia="zh-CN"/>
              </w:rPr>
              <w:t>/</w:t>
            </w:r>
            <w:bookmarkEnd w:id="413"/>
          </w:p>
        </w:tc>
        <w:tc>
          <w:tcPr>
            <w:tcW w:w="1477"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14" w:name="_Toc145063549"/>
            <w:r>
              <w:rPr>
                <w:rFonts w:hint="eastAsia" w:asciiTheme="minorEastAsia" w:hAnsiTheme="minorEastAsia" w:eastAsiaTheme="minorEastAsia" w:cstheme="minorEastAsia"/>
                <w:b w:val="0"/>
                <w:color w:val="auto"/>
                <w:sz w:val="21"/>
                <w:szCs w:val="21"/>
                <w:highlight w:val="none"/>
                <w:lang w:eastAsia="zh-CN"/>
              </w:rPr>
              <w:t>0.29</w:t>
            </w:r>
            <w:r>
              <w:rPr>
                <w:rFonts w:hint="eastAsia" w:asciiTheme="minorEastAsia" w:hAnsiTheme="minorEastAsia" w:eastAsiaTheme="minorEastAsia" w:cstheme="minorEastAsia"/>
                <w:b w:val="0"/>
                <w:color w:val="auto"/>
                <w:sz w:val="21"/>
                <w:szCs w:val="21"/>
                <w:highlight w:val="none"/>
                <w:vertAlign w:val="superscript"/>
                <w:lang w:eastAsia="zh-CN"/>
              </w:rPr>
              <w:t>［1］</w:t>
            </w:r>
            <w:bookmarkEnd w:id="414"/>
          </w:p>
        </w:tc>
        <w:tc>
          <w:tcPr>
            <w:tcW w:w="1792"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15" w:name="_Toc145063550"/>
            <w:r>
              <w:rPr>
                <w:rFonts w:hint="eastAsia" w:asciiTheme="minorEastAsia" w:hAnsiTheme="minorEastAsia" w:eastAsiaTheme="minorEastAsia" w:cstheme="minorEastAsia"/>
                <w:b w:val="0"/>
                <w:color w:val="auto"/>
                <w:sz w:val="21"/>
                <w:szCs w:val="21"/>
                <w:highlight w:val="none"/>
                <w:lang w:eastAsia="zh-CN"/>
              </w:rPr>
              <w:t>0.06</w:t>
            </w:r>
            <w:bookmarkEnd w:id="415"/>
          </w:p>
        </w:tc>
        <w:tc>
          <w:tcPr>
            <w:tcW w:w="2457" w:type="dxa"/>
            <w:vMerge w:val="continue"/>
            <w:vAlign w:val="center"/>
          </w:tcPr>
          <w:p>
            <w:pPr>
              <w:pStyle w:val="6"/>
              <w:spacing w:before="0" w:after="0" w:line="360" w:lineRule="auto"/>
              <w:ind w:left="0"/>
              <w:rPr>
                <w:rFonts w:hint="eastAsia" w:asciiTheme="minorEastAsia" w:hAnsiTheme="minorEastAsia" w:eastAsiaTheme="minorEastAsia" w:cstheme="minorEastAsia"/>
                <w:b w:val="0"/>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jc w:val="center"/>
        </w:trPr>
        <w:tc>
          <w:tcPr>
            <w:tcW w:w="680"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16" w:name="_Toc145063551"/>
            <w:r>
              <w:rPr>
                <w:rFonts w:hint="eastAsia" w:asciiTheme="minorEastAsia" w:hAnsiTheme="minorEastAsia" w:eastAsiaTheme="minorEastAsia" w:cstheme="minorEastAsia"/>
                <w:b w:val="0"/>
                <w:color w:val="auto"/>
                <w:sz w:val="21"/>
                <w:szCs w:val="21"/>
                <w:highlight w:val="none"/>
                <w:lang w:eastAsia="zh-CN"/>
              </w:rPr>
              <w:t>3</w:t>
            </w:r>
            <w:bookmarkEnd w:id="416"/>
          </w:p>
        </w:tc>
        <w:tc>
          <w:tcPr>
            <w:tcW w:w="917"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17" w:name="_Toc145063552"/>
            <w:r>
              <w:rPr>
                <w:rFonts w:hint="eastAsia" w:asciiTheme="minorEastAsia" w:hAnsiTheme="minorEastAsia" w:eastAsiaTheme="minorEastAsia" w:cstheme="minorEastAsia"/>
                <w:b w:val="0"/>
                <w:color w:val="auto"/>
                <w:sz w:val="21"/>
                <w:szCs w:val="21"/>
                <w:highlight w:val="none"/>
                <w:lang w:eastAsia="zh-CN"/>
              </w:rPr>
              <w:t>臭气浓度</w:t>
            </w:r>
            <w:bookmarkEnd w:id="417"/>
          </w:p>
        </w:tc>
        <w:tc>
          <w:tcPr>
            <w:tcW w:w="1184" w:type="dxa"/>
            <w:vMerge w:val="continue"/>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p>
        </w:tc>
        <w:tc>
          <w:tcPr>
            <w:tcW w:w="1143"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18" w:name="_Toc145063553"/>
            <w:r>
              <w:rPr>
                <w:rFonts w:hint="eastAsia" w:asciiTheme="minorEastAsia" w:hAnsiTheme="minorEastAsia" w:eastAsiaTheme="minorEastAsia" w:cstheme="minorEastAsia"/>
                <w:b w:val="0"/>
                <w:color w:val="auto"/>
                <w:sz w:val="21"/>
                <w:szCs w:val="21"/>
                <w:highlight w:val="none"/>
                <w:lang w:eastAsia="zh-CN"/>
              </w:rPr>
              <w:t>/</w:t>
            </w:r>
            <w:bookmarkEnd w:id="418"/>
          </w:p>
        </w:tc>
        <w:tc>
          <w:tcPr>
            <w:tcW w:w="1477"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19" w:name="_Toc145063554"/>
            <w:r>
              <w:rPr>
                <w:rFonts w:hint="eastAsia" w:asciiTheme="minorEastAsia" w:hAnsiTheme="minorEastAsia" w:eastAsiaTheme="minorEastAsia" w:cstheme="minorEastAsia"/>
                <w:b w:val="0"/>
                <w:color w:val="auto"/>
                <w:sz w:val="21"/>
                <w:szCs w:val="21"/>
                <w:highlight w:val="none"/>
                <w:lang w:eastAsia="zh-CN"/>
              </w:rPr>
              <w:t>2000（无量纲）</w:t>
            </w:r>
            <w:bookmarkEnd w:id="419"/>
          </w:p>
        </w:tc>
        <w:tc>
          <w:tcPr>
            <w:tcW w:w="1792" w:type="dxa"/>
            <w:vAlign w:val="center"/>
          </w:tcPr>
          <w:p>
            <w:pPr>
              <w:pStyle w:val="6"/>
              <w:numPr>
                <w:ilvl w:val="1"/>
                <w:numId w:val="0"/>
              </w:numPr>
              <w:spacing w:before="0" w:after="0" w:line="360" w:lineRule="auto"/>
              <w:jc w:val="center"/>
              <w:rPr>
                <w:rFonts w:hint="eastAsia" w:asciiTheme="minorEastAsia" w:hAnsiTheme="minorEastAsia" w:eastAsiaTheme="minorEastAsia" w:cstheme="minorEastAsia"/>
                <w:b w:val="0"/>
                <w:color w:val="auto"/>
                <w:kern w:val="2"/>
                <w:sz w:val="21"/>
                <w:szCs w:val="21"/>
                <w:highlight w:val="none"/>
                <w:lang w:eastAsia="zh-CN"/>
              </w:rPr>
            </w:pPr>
            <w:bookmarkStart w:id="420" w:name="_Toc145063555"/>
            <w:r>
              <w:rPr>
                <w:rFonts w:hint="eastAsia" w:asciiTheme="minorEastAsia" w:hAnsiTheme="minorEastAsia" w:eastAsiaTheme="minorEastAsia" w:cstheme="minorEastAsia"/>
                <w:b w:val="0"/>
                <w:color w:val="auto"/>
                <w:sz w:val="21"/>
                <w:szCs w:val="21"/>
                <w:highlight w:val="none"/>
                <w:lang w:eastAsia="zh-CN"/>
              </w:rPr>
              <w:t>20（无量纲）</w:t>
            </w:r>
            <w:bookmarkEnd w:id="420"/>
          </w:p>
        </w:tc>
        <w:tc>
          <w:tcPr>
            <w:tcW w:w="2457" w:type="dxa"/>
            <w:vMerge w:val="continue"/>
            <w:vAlign w:val="center"/>
          </w:tcPr>
          <w:p>
            <w:pPr>
              <w:pStyle w:val="6"/>
              <w:spacing w:before="0" w:after="0" w:line="360" w:lineRule="auto"/>
              <w:ind w:left="0"/>
              <w:rPr>
                <w:rFonts w:hint="eastAsia" w:asciiTheme="minorEastAsia" w:hAnsiTheme="minorEastAsia" w:eastAsiaTheme="minorEastAsia" w:cstheme="minorEastAsia"/>
                <w:b w:val="0"/>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6" w:hRule="atLeast"/>
          <w:jc w:val="center"/>
        </w:trPr>
        <w:tc>
          <w:tcPr>
            <w:tcW w:w="680"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21" w:name="_Toc145063556"/>
            <w:r>
              <w:rPr>
                <w:rFonts w:hint="eastAsia" w:asciiTheme="minorEastAsia" w:hAnsiTheme="minorEastAsia" w:eastAsiaTheme="minorEastAsia" w:cstheme="minorEastAsia"/>
                <w:b w:val="0"/>
                <w:color w:val="auto"/>
                <w:sz w:val="21"/>
                <w:szCs w:val="21"/>
                <w:highlight w:val="none"/>
                <w:lang w:eastAsia="zh-CN"/>
              </w:rPr>
              <w:t>4</w:t>
            </w:r>
            <w:bookmarkEnd w:id="421"/>
          </w:p>
        </w:tc>
        <w:tc>
          <w:tcPr>
            <w:tcW w:w="917"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22" w:name="_Toc145063557"/>
            <w:r>
              <w:rPr>
                <w:rFonts w:hint="eastAsia" w:asciiTheme="minorEastAsia" w:hAnsiTheme="minorEastAsia" w:eastAsiaTheme="minorEastAsia" w:cstheme="minorEastAsia"/>
                <w:b w:val="0"/>
                <w:color w:val="auto"/>
                <w:sz w:val="21"/>
                <w:szCs w:val="21"/>
                <w:highlight w:val="none"/>
                <w:lang w:eastAsia="zh-CN"/>
              </w:rPr>
              <w:t>颗粒物</w:t>
            </w:r>
            <w:bookmarkEnd w:id="422"/>
          </w:p>
        </w:tc>
        <w:tc>
          <w:tcPr>
            <w:tcW w:w="1184" w:type="dxa"/>
            <w:vMerge w:val="continue"/>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p>
        </w:tc>
        <w:tc>
          <w:tcPr>
            <w:tcW w:w="1143"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23" w:name="_Toc145063558"/>
            <w:r>
              <w:rPr>
                <w:rFonts w:hint="eastAsia" w:asciiTheme="minorEastAsia" w:hAnsiTheme="minorEastAsia" w:eastAsiaTheme="minorEastAsia" w:cstheme="minorEastAsia"/>
                <w:b w:val="0"/>
                <w:color w:val="auto"/>
                <w:sz w:val="21"/>
                <w:szCs w:val="21"/>
                <w:highlight w:val="none"/>
                <w:lang w:eastAsia="zh-CN"/>
              </w:rPr>
              <w:t>120</w:t>
            </w:r>
            <w:bookmarkEnd w:id="423"/>
          </w:p>
        </w:tc>
        <w:tc>
          <w:tcPr>
            <w:tcW w:w="1477"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24" w:name="_Toc145063559"/>
            <w:r>
              <w:rPr>
                <w:rFonts w:hint="eastAsia" w:asciiTheme="minorEastAsia" w:hAnsiTheme="minorEastAsia" w:eastAsiaTheme="minorEastAsia" w:cstheme="minorEastAsia"/>
                <w:b w:val="0"/>
                <w:color w:val="auto"/>
                <w:sz w:val="21"/>
                <w:szCs w:val="21"/>
                <w:highlight w:val="none"/>
                <w:lang w:eastAsia="zh-CN"/>
              </w:rPr>
              <w:t>7.64</w:t>
            </w:r>
            <w:r>
              <w:rPr>
                <w:rFonts w:hint="eastAsia" w:asciiTheme="minorEastAsia" w:hAnsiTheme="minorEastAsia" w:eastAsiaTheme="minorEastAsia" w:cstheme="minorEastAsia"/>
                <w:b w:val="0"/>
                <w:color w:val="auto"/>
                <w:sz w:val="21"/>
                <w:szCs w:val="21"/>
                <w:highlight w:val="none"/>
                <w:vertAlign w:val="superscript"/>
                <w:lang w:eastAsia="zh-CN"/>
              </w:rPr>
              <w:t>［2］</w:t>
            </w:r>
            <w:bookmarkEnd w:id="424"/>
          </w:p>
        </w:tc>
        <w:tc>
          <w:tcPr>
            <w:tcW w:w="1792" w:type="dxa"/>
            <w:vAlign w:val="center"/>
          </w:tcPr>
          <w:p>
            <w:pPr>
              <w:pStyle w:val="6"/>
              <w:spacing w:before="0" w:after="0" w:line="360" w:lineRule="auto"/>
              <w:ind w:left="0"/>
              <w:jc w:val="center"/>
              <w:rPr>
                <w:rFonts w:hint="eastAsia" w:asciiTheme="minorEastAsia" w:hAnsiTheme="minorEastAsia" w:eastAsiaTheme="minorEastAsia" w:cstheme="minorEastAsia"/>
                <w:b w:val="0"/>
                <w:color w:val="auto"/>
                <w:sz w:val="21"/>
                <w:szCs w:val="21"/>
                <w:highlight w:val="none"/>
                <w:lang w:eastAsia="zh-CN"/>
              </w:rPr>
            </w:pPr>
            <w:bookmarkStart w:id="425" w:name="_Toc145063560"/>
            <w:r>
              <w:rPr>
                <w:rFonts w:hint="eastAsia" w:asciiTheme="minorEastAsia" w:hAnsiTheme="minorEastAsia" w:eastAsiaTheme="minorEastAsia" w:cstheme="minorEastAsia"/>
                <w:b w:val="0"/>
                <w:color w:val="auto"/>
                <w:sz w:val="21"/>
                <w:szCs w:val="21"/>
                <w:highlight w:val="none"/>
                <w:lang w:eastAsia="zh-CN"/>
              </w:rPr>
              <w:t>1.0</w:t>
            </w:r>
            <w:bookmarkEnd w:id="425"/>
          </w:p>
        </w:tc>
        <w:tc>
          <w:tcPr>
            <w:tcW w:w="2457" w:type="dxa"/>
            <w:vAlign w:val="center"/>
          </w:tcPr>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广东省地方标准《大气污染物排放限值（DB44/27-2001）</w:t>
            </w:r>
          </w:p>
        </w:tc>
      </w:tr>
    </w:tbl>
    <w:p>
      <w:pPr>
        <w:pStyle w:val="3"/>
        <w:ind w:left="480" w:firstLine="0" w:firstLineChars="0"/>
        <w:rPr>
          <w:rFonts w:hint="eastAsia" w:asciiTheme="minorEastAsia" w:hAnsiTheme="minorEastAsia" w:eastAsiaTheme="minorEastAsia" w:cstheme="minorEastAsia"/>
          <w:color w:val="auto"/>
          <w:sz w:val="21"/>
          <w:szCs w:val="21"/>
          <w:highlight w:val="none"/>
          <w:lang w:eastAsia="zh-CN"/>
        </w:rPr>
      </w:pPr>
    </w:p>
    <w:p>
      <w:pPr>
        <w:pStyle w:val="6"/>
        <w:numPr>
          <w:ilvl w:val="1"/>
          <w:numId w:val="63"/>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426" w:name="_Toc19155"/>
      <w:r>
        <w:rPr>
          <w:rFonts w:hint="eastAsia" w:asciiTheme="minorEastAsia" w:hAnsiTheme="minorEastAsia" w:eastAsiaTheme="minorEastAsia" w:cstheme="minorEastAsia"/>
          <w:color w:val="auto"/>
          <w:sz w:val="21"/>
          <w:szCs w:val="21"/>
          <w:highlight w:val="none"/>
          <w:lang w:eastAsia="zh-CN"/>
        </w:rPr>
        <w:t xml:space="preserve"> </w:t>
      </w:r>
      <w:bookmarkStart w:id="427" w:name="_Toc145063561"/>
      <w:bookmarkStart w:id="428" w:name="_Toc138017288"/>
      <w:r>
        <w:rPr>
          <w:rFonts w:hint="eastAsia" w:asciiTheme="minorEastAsia" w:hAnsiTheme="minorEastAsia" w:eastAsiaTheme="minorEastAsia" w:cstheme="minorEastAsia"/>
          <w:color w:val="auto"/>
          <w:sz w:val="21"/>
          <w:szCs w:val="21"/>
          <w:highlight w:val="none"/>
          <w:lang w:eastAsia="zh-CN"/>
        </w:rPr>
        <w:t>项目工期与主要节点</w:t>
      </w:r>
      <w:bookmarkEnd w:id="426"/>
      <w:bookmarkEnd w:id="427"/>
      <w:bookmarkEnd w:id="428"/>
    </w:p>
    <w:tbl>
      <w:tblPr>
        <w:tblStyle w:val="35"/>
        <w:tblW w:w="84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70"/>
        <w:gridCol w:w="2026"/>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序号</w:t>
            </w:r>
          </w:p>
        </w:tc>
        <w:tc>
          <w:tcPr>
            <w:tcW w:w="2570"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主要节点</w:t>
            </w:r>
          </w:p>
        </w:tc>
        <w:tc>
          <w:tcPr>
            <w:tcW w:w="2026"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日期</w:t>
            </w:r>
          </w:p>
        </w:tc>
        <w:tc>
          <w:tcPr>
            <w:tcW w:w="2867"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2570"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土建设计条件提资</w:t>
            </w:r>
          </w:p>
        </w:tc>
        <w:tc>
          <w:tcPr>
            <w:tcW w:w="2026" w:type="dxa"/>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中标通知书发出后一周内</w:t>
            </w:r>
          </w:p>
        </w:tc>
        <w:tc>
          <w:tcPr>
            <w:tcW w:w="2867" w:type="dxa"/>
            <w:vAlign w:val="center"/>
          </w:tcPr>
          <w:p>
            <w:pPr>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eastAsia="zh-CN"/>
              </w:rPr>
              <w:t>根据设备基础平面调整非标设备尺寸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2570"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设备到货</w:t>
            </w:r>
          </w:p>
        </w:tc>
        <w:tc>
          <w:tcPr>
            <w:tcW w:w="2026" w:type="dxa"/>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具备设备进场后一周</w:t>
            </w:r>
          </w:p>
        </w:tc>
        <w:tc>
          <w:tcPr>
            <w:tcW w:w="2867" w:type="dxa"/>
            <w:vAlign w:val="center"/>
          </w:tcPr>
          <w:p>
            <w:pPr>
              <w:rPr>
                <w:rFonts w:hint="eastAsia" w:asciiTheme="minorEastAsia" w:hAnsiTheme="minorEastAsia" w:eastAsiaTheme="minorEastAsia" w:cstheme="minorEastAsia"/>
                <w:b/>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w:t>
            </w:r>
          </w:p>
        </w:tc>
        <w:tc>
          <w:tcPr>
            <w:tcW w:w="2570"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设备安装完成</w:t>
            </w:r>
          </w:p>
        </w:tc>
        <w:tc>
          <w:tcPr>
            <w:tcW w:w="2026" w:type="dxa"/>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设备到货后一个半月内</w:t>
            </w:r>
          </w:p>
        </w:tc>
        <w:tc>
          <w:tcPr>
            <w:tcW w:w="2867" w:type="dxa"/>
            <w:vAlign w:val="center"/>
          </w:tcPr>
          <w:p>
            <w:pP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4</w:t>
            </w:r>
          </w:p>
        </w:tc>
        <w:tc>
          <w:tcPr>
            <w:tcW w:w="2570"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主要设备调试</w:t>
            </w:r>
          </w:p>
        </w:tc>
        <w:tc>
          <w:tcPr>
            <w:tcW w:w="2026" w:type="dxa"/>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设备安装完成后一个月内</w:t>
            </w:r>
          </w:p>
        </w:tc>
        <w:tc>
          <w:tcPr>
            <w:tcW w:w="2867" w:type="dxa"/>
            <w:vAlign w:val="center"/>
          </w:tcPr>
          <w:p>
            <w:pPr>
              <w:rPr>
                <w:rFonts w:hint="eastAsia" w:asciiTheme="minorEastAsia" w:hAnsiTheme="minorEastAsia" w:eastAsiaTheme="minorEastAsia" w:cstheme="minorEastAsia"/>
                <w:b/>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5</w:t>
            </w:r>
          </w:p>
        </w:tc>
        <w:tc>
          <w:tcPr>
            <w:tcW w:w="2570"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性能测试完成</w:t>
            </w:r>
          </w:p>
        </w:tc>
        <w:tc>
          <w:tcPr>
            <w:tcW w:w="2026" w:type="dxa"/>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中转站投入使用后一个月内</w:t>
            </w:r>
          </w:p>
        </w:tc>
        <w:tc>
          <w:tcPr>
            <w:tcW w:w="2867" w:type="dxa"/>
            <w:vAlign w:val="center"/>
          </w:tcPr>
          <w:p>
            <w:pPr>
              <w:rPr>
                <w:rFonts w:hint="eastAsia" w:asciiTheme="minorEastAsia" w:hAnsiTheme="minorEastAsia" w:eastAsiaTheme="minorEastAsia" w:cstheme="minorEastAsia"/>
                <w:color w:val="auto"/>
                <w:sz w:val="21"/>
                <w:szCs w:val="21"/>
                <w:highlight w:val="none"/>
                <w:lang w:eastAsia="zh-CN"/>
              </w:rPr>
            </w:pPr>
          </w:p>
        </w:tc>
      </w:tr>
    </w:tbl>
    <w:p>
      <w:pPr>
        <w:bidi w:val="0"/>
        <w:rPr>
          <w:rFonts w:hint="eastAsia"/>
          <w:color w:val="auto"/>
          <w:highlight w:val="none"/>
        </w:rPr>
      </w:pPr>
      <w:bookmarkStart w:id="429" w:name="_Toc138017289"/>
      <w:bookmarkStart w:id="430" w:name="_Toc26082"/>
      <w:bookmarkStart w:id="431" w:name="_Toc145063562"/>
    </w:p>
    <w:p>
      <w:pPr>
        <w:widowControl w:val="0"/>
        <w:autoSpaceDE w:val="0"/>
        <w:autoSpaceDN w:val="0"/>
        <w:jc w:val="both"/>
        <w:outlineLvl w:val="0"/>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四、</w:t>
      </w:r>
      <w:r>
        <w:rPr>
          <w:rFonts w:hint="eastAsia" w:ascii="宋体" w:hAnsi="宋体" w:eastAsia="宋体" w:cs="宋体"/>
          <w:b/>
          <w:color w:val="auto"/>
          <w:sz w:val="21"/>
          <w:szCs w:val="21"/>
          <w:highlight w:val="none"/>
        </w:rPr>
        <w:t>招标范围与职责</w:t>
      </w:r>
      <w:bookmarkEnd w:id="429"/>
      <w:bookmarkEnd w:id="430"/>
      <w:bookmarkEnd w:id="431"/>
    </w:p>
    <w:p>
      <w:pPr>
        <w:pStyle w:val="6"/>
        <w:numPr>
          <w:ilvl w:val="1"/>
          <w:numId w:val="64"/>
        </w:numPr>
        <w:spacing w:before="0" w:after="0" w:line="360" w:lineRule="auto"/>
        <w:rPr>
          <w:rFonts w:hint="eastAsia" w:asciiTheme="minorEastAsia" w:hAnsiTheme="minorEastAsia" w:eastAsiaTheme="minorEastAsia" w:cstheme="minorEastAsia"/>
          <w:color w:val="auto"/>
          <w:sz w:val="21"/>
          <w:szCs w:val="21"/>
          <w:highlight w:val="none"/>
        </w:rPr>
      </w:pPr>
      <w:bookmarkStart w:id="432" w:name="_Toc138017290"/>
      <w:bookmarkStart w:id="433" w:name="_Toc145063563"/>
      <w:bookmarkStart w:id="434" w:name="_Toc29938"/>
      <w:r>
        <w:rPr>
          <w:rFonts w:hint="eastAsia" w:asciiTheme="minorEastAsia" w:hAnsiTheme="minorEastAsia" w:eastAsiaTheme="minorEastAsia" w:cstheme="minorEastAsia"/>
          <w:color w:val="auto"/>
          <w:sz w:val="21"/>
          <w:szCs w:val="21"/>
          <w:highlight w:val="none"/>
          <w:lang w:eastAsia="zh-CN"/>
        </w:rPr>
        <w:t>项目范围</w:t>
      </w:r>
      <w:bookmarkEnd w:id="432"/>
      <w:bookmarkEnd w:id="433"/>
      <w:bookmarkEnd w:id="434"/>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本次招标为东莞市寮步镇</w:t>
      </w:r>
      <w:r>
        <w:rPr>
          <w:rFonts w:hint="eastAsia" w:asciiTheme="minorEastAsia" w:hAnsiTheme="minorEastAsia" w:eastAsiaTheme="minorEastAsia" w:cstheme="minorEastAsia"/>
          <w:b/>
          <w:bCs/>
          <w:color w:val="auto"/>
          <w:sz w:val="21"/>
          <w:szCs w:val="21"/>
          <w:highlight w:val="none"/>
          <w:lang w:eastAsia="zh-CN"/>
        </w:rPr>
        <w:t>生活垃圾综合处理中心项目及竹园垃圾压缩收集站臭气处理系统</w:t>
      </w:r>
      <w:r>
        <w:rPr>
          <w:rFonts w:hint="eastAsia" w:asciiTheme="minorEastAsia" w:hAnsiTheme="minorEastAsia" w:eastAsiaTheme="minorEastAsia" w:cstheme="minorEastAsia"/>
          <w:color w:val="auto"/>
          <w:sz w:val="21"/>
          <w:szCs w:val="21"/>
          <w:highlight w:val="none"/>
          <w:lang w:eastAsia="zh-CN"/>
        </w:rPr>
        <w:t>，按照前端分类收集的垃圾分类转运的管理思路，站内设备包括生活垃圾压缩转运系统、餐厨垃圾转运系统和大件垃圾拆解系统，以及为满足转运站日常运营所需的配套系统。臭气处理系统包括</w:t>
      </w:r>
      <w:r>
        <w:rPr>
          <w:rFonts w:hint="eastAsia" w:asciiTheme="minorEastAsia" w:hAnsiTheme="minorEastAsia" w:eastAsiaTheme="minorEastAsia" w:cstheme="minorEastAsia"/>
          <w:b/>
          <w:bCs/>
          <w:color w:val="auto"/>
          <w:sz w:val="21"/>
          <w:szCs w:val="21"/>
          <w:highlight w:val="none"/>
          <w:lang w:eastAsia="zh-CN"/>
        </w:rPr>
        <w:t>负压除臭系统、植物液喷淋除臭系统、卸料口降尘系统、除臭控制系统</w:t>
      </w:r>
      <w:r>
        <w:rPr>
          <w:rFonts w:hint="eastAsia" w:asciiTheme="minorEastAsia" w:hAnsiTheme="minorEastAsia" w:eastAsiaTheme="minorEastAsia" w:cstheme="minorEastAsia"/>
          <w:color w:val="auto"/>
          <w:sz w:val="21"/>
          <w:szCs w:val="21"/>
          <w:highlight w:val="none"/>
          <w:lang w:eastAsia="zh-CN"/>
        </w:rPr>
        <w:t>等。</w:t>
      </w:r>
    </w:p>
    <w:p>
      <w:pPr>
        <w:pStyle w:val="46"/>
        <w:spacing w:line="360" w:lineRule="auto"/>
        <w:ind w:left="0" w:firstLine="0" w:firstLineChars="0"/>
        <w:rPr>
          <w:rStyle w:val="105"/>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东莞市寮步镇生活垃圾综合处理中心项目臭气处理系统的</w:t>
      </w:r>
      <w:r>
        <w:rPr>
          <w:rFonts w:hint="eastAsia" w:asciiTheme="minorEastAsia" w:hAnsiTheme="minorEastAsia" w:eastAsiaTheme="minorEastAsia" w:cstheme="minorEastAsia"/>
          <w:b/>
          <w:bCs/>
          <w:color w:val="auto"/>
          <w:sz w:val="21"/>
          <w:szCs w:val="21"/>
          <w:highlight w:val="none"/>
          <w:lang w:eastAsia="zh-CN"/>
        </w:rPr>
        <w:t>设计、</w:t>
      </w:r>
      <w:r>
        <w:rPr>
          <w:rStyle w:val="105"/>
          <w:rFonts w:hint="eastAsia" w:asciiTheme="minorEastAsia" w:hAnsiTheme="minorEastAsia" w:eastAsiaTheme="minorEastAsia" w:cstheme="minorEastAsia"/>
          <w:b/>
          <w:bCs/>
          <w:color w:val="auto"/>
          <w:sz w:val="21"/>
          <w:szCs w:val="21"/>
          <w:highlight w:val="none"/>
          <w:lang w:eastAsia="zh-CN"/>
        </w:rPr>
        <w:t>供货和安装</w:t>
      </w:r>
      <w:r>
        <w:rPr>
          <w:rStyle w:val="105"/>
          <w:rFonts w:hint="eastAsia" w:asciiTheme="minorEastAsia" w:hAnsiTheme="minorEastAsia" w:eastAsiaTheme="minorEastAsia" w:cstheme="minorEastAsia"/>
          <w:color w:val="auto"/>
          <w:sz w:val="21"/>
          <w:szCs w:val="21"/>
          <w:highlight w:val="none"/>
          <w:lang w:eastAsia="zh-CN"/>
        </w:rPr>
        <w:t>，包括但不限于以下内容：</w:t>
      </w:r>
    </w:p>
    <w:p>
      <w:pPr>
        <w:pStyle w:val="46"/>
        <w:spacing w:line="360" w:lineRule="auto"/>
        <w:ind w:left="0"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1.</w:t>
      </w:r>
      <w:r>
        <w:rPr>
          <w:rFonts w:hint="eastAsia" w:asciiTheme="minorEastAsia" w:hAnsiTheme="minorEastAsia" w:eastAsiaTheme="minorEastAsia" w:cstheme="minorEastAsia"/>
          <w:color w:val="auto"/>
          <w:sz w:val="21"/>
          <w:szCs w:val="21"/>
          <w:highlight w:val="none"/>
          <w:lang w:eastAsia="zh-CN"/>
        </w:rPr>
        <w:t xml:space="preserve"> </w:t>
      </w:r>
      <w:r>
        <w:rPr>
          <w:rStyle w:val="105"/>
          <w:rFonts w:hint="eastAsia" w:asciiTheme="minorEastAsia" w:hAnsiTheme="minorEastAsia" w:eastAsiaTheme="minorEastAsia" w:cstheme="minorEastAsia"/>
          <w:color w:val="auto"/>
          <w:sz w:val="21"/>
          <w:szCs w:val="21"/>
          <w:highlight w:val="none"/>
          <w:lang w:eastAsia="zh-CN"/>
        </w:rPr>
        <w:t>界限范围内的设备、管道、管件、阀门、其他连接部件、密封系统、防腐、电气系统（设备端配电系统、电动机控制、检修电源、电气二次保护、设备照明等）、自控系统（就地及远程仪器仪表、为实现电气化和自动化而必须配备的PLC\单片机等）。</w:t>
      </w:r>
    </w:p>
    <w:p>
      <w:pPr>
        <w:pStyle w:val="46"/>
        <w:spacing w:line="360" w:lineRule="auto"/>
        <w:ind w:left="0"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2.招标及供货范围内各系统一年期的备品备件（含易损件），投标文件中应列出备品备件清单及单价。</w:t>
      </w:r>
    </w:p>
    <w:p>
      <w:pPr>
        <w:pStyle w:val="46"/>
        <w:spacing w:line="360" w:lineRule="auto"/>
        <w:ind w:left="0"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3.为达到本技术规格书规定的安全、环保、消防、职业健康等要求所必需的配套设施。</w:t>
      </w:r>
    </w:p>
    <w:p>
      <w:pPr>
        <w:pStyle w:val="46"/>
        <w:spacing w:line="360" w:lineRule="auto"/>
        <w:ind w:left="0"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4.</w:t>
      </w:r>
      <w:r>
        <w:rPr>
          <w:rFonts w:hint="eastAsia" w:asciiTheme="minorEastAsia" w:hAnsiTheme="minorEastAsia" w:eastAsiaTheme="minorEastAsia" w:cstheme="minorEastAsia"/>
          <w:color w:val="auto"/>
          <w:sz w:val="21"/>
          <w:szCs w:val="21"/>
          <w:highlight w:val="none"/>
          <w:lang w:eastAsia="zh-CN"/>
        </w:rPr>
        <w:t xml:space="preserve"> </w:t>
      </w:r>
      <w:r>
        <w:rPr>
          <w:rStyle w:val="105"/>
          <w:rFonts w:hint="eastAsia" w:asciiTheme="minorEastAsia" w:hAnsiTheme="minorEastAsia" w:eastAsiaTheme="minorEastAsia" w:cstheme="minorEastAsia"/>
          <w:color w:val="auto"/>
          <w:sz w:val="21"/>
          <w:szCs w:val="21"/>
          <w:highlight w:val="none"/>
          <w:lang w:eastAsia="zh-CN"/>
        </w:rPr>
        <w:t>设备钢框架、钢支架及钢平台（包括二次预埋件、基础框架、地脚螺栓、焊接、螺钉等连接件和紧固件、油漆）、扶梯、移动操作平台。</w:t>
      </w:r>
    </w:p>
    <w:p>
      <w:pPr>
        <w:pStyle w:val="46"/>
        <w:spacing w:line="360" w:lineRule="auto"/>
        <w:ind w:left="0"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5.</w:t>
      </w:r>
      <w:r>
        <w:rPr>
          <w:rStyle w:val="96"/>
          <w:rFonts w:hint="eastAsia" w:asciiTheme="minorEastAsia" w:hAnsiTheme="minorEastAsia" w:eastAsiaTheme="minorEastAsia" w:cstheme="minorEastAsia"/>
          <w:color w:val="auto"/>
          <w:sz w:val="21"/>
          <w:szCs w:val="21"/>
          <w:highlight w:val="none"/>
        </w:rPr>
        <w:t xml:space="preserve"> </w:t>
      </w:r>
      <w:r>
        <w:rPr>
          <w:rStyle w:val="105"/>
          <w:rFonts w:hint="eastAsia" w:asciiTheme="minorEastAsia" w:hAnsiTheme="minorEastAsia" w:eastAsiaTheme="minorEastAsia" w:cstheme="minorEastAsia"/>
          <w:color w:val="auto"/>
          <w:sz w:val="21"/>
          <w:szCs w:val="21"/>
          <w:highlight w:val="none"/>
          <w:lang w:eastAsia="zh-CN"/>
        </w:rPr>
        <w:t>中标人须提交包括地脚螺栓、预埋件等土建条件资料，以便采购人完成土建设计和施工。</w:t>
      </w:r>
    </w:p>
    <w:p>
      <w:pPr>
        <w:pStyle w:val="46"/>
        <w:spacing w:line="360" w:lineRule="auto"/>
        <w:ind w:left="0"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6.设备及管道连接件及紧固件（例如：法兰、垫圈、螺栓、焊接、螺钉等）、保温材料、油漆、外保护层及紧固件、管道支撑、吊架，热力管道还应提供固定架和滑动架。</w:t>
      </w:r>
    </w:p>
    <w:p>
      <w:pPr>
        <w:pStyle w:val="46"/>
        <w:spacing w:line="360" w:lineRule="auto"/>
        <w:ind w:left="0"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7.运行维护（包括仪表校正所需首批标准气）和检修所需的专用工具，同时提供对应清单。</w:t>
      </w:r>
    </w:p>
    <w:p>
      <w:pPr>
        <w:pStyle w:val="46"/>
        <w:spacing w:line="360" w:lineRule="auto"/>
        <w:ind w:left="0"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8.中标人需在项目现场配套项目经理部，项目经理部人员至少包括项目管理负责人（施工驻场）、QC专员和安全管理人员，各成员不允许相互兼职。</w:t>
      </w:r>
    </w:p>
    <w:p>
      <w:pPr>
        <w:pStyle w:val="46"/>
        <w:spacing w:line="360" w:lineRule="auto"/>
        <w:ind w:left="0"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9.施工期间(包括施工、单体设备调试、冷态空载联动调试)的动力、水及其他辅料的消耗费用由中标人承担；冷态空载联动调试完成，系统保护逻辑、顺控逻辑满足使用要求，具备带料调试条件后，采购人确定具体带料调试和系统性能保证测试时间。</w:t>
      </w:r>
    </w:p>
    <w:p>
      <w:pPr>
        <w:pStyle w:val="46"/>
        <w:spacing w:line="360" w:lineRule="auto"/>
        <w:ind w:left="0"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10.中标人应将全部设备首次润滑油、液压油等充满合格，并预留运行一年期内的更换量。</w:t>
      </w:r>
    </w:p>
    <w:p>
      <w:pPr>
        <w:pStyle w:val="46"/>
        <w:spacing w:line="360" w:lineRule="auto"/>
        <w:ind w:left="0"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11.转运站内中标人提供的全部设备、仪表制作统一标识牌，现场管线要有色环标识（注明管线内介质名称、介质走向），管线颜色要根据其内部介质不同加以区分，各类标示牌、管线标识环等制作方案需征得采购人同意。</w:t>
      </w:r>
    </w:p>
    <w:p>
      <w:pPr>
        <w:pStyle w:val="46"/>
        <w:spacing w:line="360" w:lineRule="auto"/>
        <w:ind w:left="0"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12.土建、装修等工程正常情况下不在本次招标范围内。中标人的设备安装过程如有需要在建构筑物上开孔等，应提前提资明确，由土建单位施工预留。但对于中标人未在设备土建提资中明确的，需在建构筑物上的开孔、植筋（栓）连接、破除等工程，其施工由中标人自行负责，并负责恢复原貌。</w:t>
      </w:r>
    </w:p>
    <w:p>
      <w:pPr>
        <w:pStyle w:val="6"/>
        <w:numPr>
          <w:ilvl w:val="1"/>
          <w:numId w:val="64"/>
        </w:numPr>
        <w:spacing w:before="0" w:after="0" w:line="360" w:lineRule="auto"/>
        <w:rPr>
          <w:rFonts w:hint="eastAsia" w:asciiTheme="minorEastAsia" w:hAnsiTheme="minorEastAsia" w:eastAsiaTheme="minorEastAsia" w:cstheme="minorEastAsia"/>
          <w:color w:val="auto"/>
          <w:sz w:val="21"/>
          <w:szCs w:val="21"/>
          <w:highlight w:val="none"/>
        </w:rPr>
      </w:pPr>
      <w:bookmarkStart w:id="435" w:name="_Toc9917"/>
      <w:r>
        <w:rPr>
          <w:rFonts w:hint="eastAsia" w:asciiTheme="minorEastAsia" w:hAnsiTheme="minorEastAsia" w:eastAsiaTheme="minorEastAsia" w:cstheme="minorEastAsia"/>
          <w:color w:val="auto"/>
          <w:sz w:val="21"/>
          <w:szCs w:val="21"/>
          <w:highlight w:val="none"/>
          <w:lang w:eastAsia="zh-CN"/>
        </w:rPr>
        <w:t xml:space="preserve"> </w:t>
      </w:r>
      <w:bookmarkStart w:id="436" w:name="_Toc138017291"/>
      <w:bookmarkStart w:id="437" w:name="_Toc145063564"/>
      <w:r>
        <w:rPr>
          <w:rFonts w:hint="eastAsia" w:asciiTheme="minorEastAsia" w:hAnsiTheme="minorEastAsia" w:eastAsiaTheme="minorEastAsia" w:cstheme="minorEastAsia"/>
          <w:color w:val="auto"/>
          <w:sz w:val="21"/>
          <w:szCs w:val="21"/>
          <w:highlight w:val="none"/>
          <w:lang w:eastAsia="zh-CN"/>
        </w:rPr>
        <w:t>招标主设备清单</w:t>
      </w:r>
      <w:bookmarkEnd w:id="435"/>
      <w:bookmarkEnd w:id="436"/>
      <w:bookmarkEnd w:id="437"/>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包括但不限于下表清单所列设备，投标单位可在此基础上进行优化，但不能低于此配置。</w:t>
      </w:r>
    </w:p>
    <w:tbl>
      <w:tblPr>
        <w:tblStyle w:val="35"/>
        <w:tblW w:w="89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39"/>
        <w:gridCol w:w="707"/>
        <w:gridCol w:w="760"/>
        <w:gridCol w:w="3382"/>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blHeader/>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序号</w:t>
            </w:r>
          </w:p>
        </w:tc>
        <w:tc>
          <w:tcPr>
            <w:tcW w:w="2139"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设备名称</w:t>
            </w:r>
          </w:p>
        </w:tc>
        <w:tc>
          <w:tcPr>
            <w:tcW w:w="707" w:type="dxa"/>
            <w:vAlign w:val="center"/>
          </w:tcPr>
          <w:p>
            <w:pPr>
              <w:pStyle w:val="2"/>
              <w:spacing w:before="0"/>
              <w:ind w:left="0"/>
              <w:jc w:val="center"/>
              <w:rPr>
                <w:rFonts w:hint="eastAsia" w:asciiTheme="minorEastAsia" w:hAnsiTheme="minorEastAsia" w:eastAsiaTheme="minorEastAsia" w:cstheme="minorEastAsia"/>
                <w:b/>
                <w:bCs/>
                <w:iCs/>
                <w:color w:val="auto"/>
                <w:sz w:val="21"/>
                <w:szCs w:val="21"/>
                <w:highlight w:val="none"/>
                <w:lang w:eastAsia="zh-CN"/>
              </w:rPr>
            </w:pPr>
            <w:r>
              <w:rPr>
                <w:rFonts w:hint="eastAsia" w:asciiTheme="minorEastAsia" w:hAnsiTheme="minorEastAsia" w:eastAsiaTheme="minorEastAsia" w:cstheme="minorEastAsia"/>
                <w:b/>
                <w:bCs/>
                <w:iCs/>
                <w:color w:val="auto"/>
                <w:sz w:val="21"/>
                <w:szCs w:val="21"/>
                <w:highlight w:val="none"/>
                <w:lang w:eastAsia="zh-CN"/>
              </w:rPr>
              <w:t>数量</w:t>
            </w:r>
          </w:p>
        </w:tc>
        <w:tc>
          <w:tcPr>
            <w:tcW w:w="760" w:type="dxa"/>
            <w:vAlign w:val="center"/>
          </w:tcPr>
          <w:p>
            <w:pPr>
              <w:pStyle w:val="2"/>
              <w:spacing w:before="0"/>
              <w:ind w:left="0"/>
              <w:jc w:val="center"/>
              <w:rPr>
                <w:rFonts w:hint="eastAsia" w:asciiTheme="minorEastAsia" w:hAnsiTheme="minorEastAsia" w:eastAsiaTheme="minorEastAsia" w:cstheme="minorEastAsia"/>
                <w:b/>
                <w:bCs/>
                <w:iCs/>
                <w:color w:val="auto"/>
                <w:sz w:val="21"/>
                <w:szCs w:val="21"/>
                <w:highlight w:val="none"/>
                <w:lang w:eastAsia="zh-CN"/>
              </w:rPr>
            </w:pPr>
            <w:r>
              <w:rPr>
                <w:rFonts w:hint="eastAsia" w:asciiTheme="minorEastAsia" w:hAnsiTheme="minorEastAsia" w:eastAsiaTheme="minorEastAsia" w:cstheme="minorEastAsia"/>
                <w:b/>
                <w:bCs/>
                <w:iCs/>
                <w:color w:val="auto"/>
                <w:sz w:val="21"/>
                <w:szCs w:val="21"/>
                <w:highlight w:val="none"/>
                <w:lang w:eastAsia="zh-CN"/>
              </w:rPr>
              <w:t>单位</w:t>
            </w:r>
          </w:p>
        </w:tc>
        <w:tc>
          <w:tcPr>
            <w:tcW w:w="3382" w:type="dxa"/>
            <w:vAlign w:val="center"/>
          </w:tcPr>
          <w:p>
            <w:pPr>
              <w:pStyle w:val="2"/>
              <w:spacing w:before="0"/>
              <w:ind w:left="0"/>
              <w:jc w:val="center"/>
              <w:rPr>
                <w:rFonts w:hint="eastAsia" w:asciiTheme="minorEastAsia" w:hAnsiTheme="minorEastAsia" w:eastAsiaTheme="minorEastAsia" w:cstheme="minorEastAsia"/>
                <w:b/>
                <w:bCs/>
                <w:iCs/>
                <w:color w:val="auto"/>
                <w:sz w:val="21"/>
                <w:szCs w:val="21"/>
                <w:highlight w:val="none"/>
                <w:lang w:eastAsia="zh-CN"/>
              </w:rPr>
            </w:pPr>
            <w:r>
              <w:rPr>
                <w:rFonts w:hint="eastAsia" w:asciiTheme="minorEastAsia" w:hAnsiTheme="minorEastAsia" w:eastAsiaTheme="minorEastAsia" w:cstheme="minorEastAsia"/>
                <w:b/>
                <w:bCs/>
                <w:iCs/>
                <w:color w:val="auto"/>
                <w:sz w:val="21"/>
                <w:szCs w:val="21"/>
                <w:highlight w:val="none"/>
                <w:lang w:eastAsia="zh-CN"/>
              </w:rPr>
              <w:t>主要性能参数</w:t>
            </w:r>
          </w:p>
        </w:tc>
        <w:tc>
          <w:tcPr>
            <w:tcW w:w="1204" w:type="dxa"/>
            <w:vAlign w:val="center"/>
          </w:tcPr>
          <w:p>
            <w:pPr>
              <w:pStyle w:val="2"/>
              <w:spacing w:before="0"/>
              <w:ind w:left="0"/>
              <w:jc w:val="center"/>
              <w:rPr>
                <w:rFonts w:hint="eastAsia" w:asciiTheme="minorEastAsia" w:hAnsiTheme="minorEastAsia" w:eastAsiaTheme="minorEastAsia" w:cstheme="minorEastAsia"/>
                <w:b/>
                <w:bCs/>
                <w:iCs/>
                <w:color w:val="auto"/>
                <w:sz w:val="21"/>
                <w:szCs w:val="21"/>
                <w:highlight w:val="none"/>
                <w:lang w:eastAsia="zh-CN"/>
              </w:rPr>
            </w:pPr>
            <w:r>
              <w:rPr>
                <w:rFonts w:hint="eastAsia" w:asciiTheme="minorEastAsia" w:hAnsiTheme="minorEastAsia" w:eastAsiaTheme="minorEastAsia" w:cstheme="minorEastAsia"/>
                <w:b/>
                <w:bCs/>
                <w:iCs/>
                <w:color w:val="auto"/>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213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压缩车间卸料大厅、卸料口负压除臭系统</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处理能力≥60000m³/h</w:t>
            </w:r>
          </w:p>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主设备材质PP，水泵材质FRPP，离心风机材质玻璃钢，风机变频调节</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酸洗塔</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处理风量：60000m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尺寸：5750*3900*4000mm</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空塔风速：≤1.5m/s</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填料停留时间≥1s，材质：pp，厚度≥12mm，</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配置：设备外壳、填料支撑、填料、除雾器、检修口、爬梯、一体化水箱、液位计、PH计等</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碱洗塔</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处理风量：60000m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尺寸：5750*3900*4000mm</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空塔风速：≤1.5m/s</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填料停留时间≥1s，材质：pp，厚度≥12mm，</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配置：设备外壳、填料支撑、填料、除雾器、检修口、爬梯、一体化水箱、液位计、PH计等</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加药系统</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含500L储药桶、加药泵、搅拌器、PH计等</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  酸洗循环泵</w:t>
            </w:r>
          </w:p>
          <w:p>
            <w:pPr>
              <w:pStyle w:val="3"/>
              <w:ind w:left="480"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（一用一备）</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流量：120m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/h，扬程15m，功率：15kw</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材质：FPRR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  碱洗循环泵</w:t>
            </w:r>
          </w:p>
          <w:p>
            <w:pPr>
              <w:pStyle w:val="3"/>
              <w:ind w:left="480"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（一用一备）</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流量：120m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/h，扬程15m，功率：15kw</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材质：FPRR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喷淋系统</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    质：UPVC</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配置说明：喷淋管路、PVC喷嘴等</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离心风机</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处理风量：≥60000m3/h，2200Pa，75KW，变频电机，防护等级IP55，含风机底座、隔音箱、软连接</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材质：FRP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电气控制柜</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    质：1.5mm不锈钢304</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配置说明：含PLC、变频器，触摸屏等</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排气筒</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规格：φ1500，</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配置说明：爬梯、避雷针、取样平台、加固件、雨帽等</w:t>
            </w:r>
          </w:p>
          <w:p>
            <w:pPr>
              <w:pStyle w:val="3"/>
              <w:ind w:left="0" w:leftChars="0"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高度：约25m（距地面）</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PP，8mm，与压缩车间、污水池负压除臭系统共用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系统内连接管道</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规    格：DN1300</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材    质：PP</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配置说明：含直管、弯头、法兰、阀门等</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电动风阀</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5</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个</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尺寸：Φ400，电压：220V</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手动风阀</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尺寸及数量根据施工图纸确定；电压：220V</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系统内电缆</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国标，电控柜与设备间的动力及控制电缆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系统内安装配件</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配置说明：紧固件，螺栓，垫片、支吊架等</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系统内负压集风管、集风罩</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具体工程量根据施工图纸确定 </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2</w:t>
            </w:r>
          </w:p>
        </w:tc>
        <w:tc>
          <w:tcPr>
            <w:tcW w:w="213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压缩车间、污水池负压除臭系统</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处理能力≥30000m³/h</w:t>
            </w:r>
          </w:p>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 xml:space="preserve">主设备材质PP，水泵材质FRPP，离心风机材质玻璃钢，风机变频调节 </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酸洗塔</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处理风量：30000m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尺寸：5150*3100*3000mm</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空塔风速：≤1.5m/s</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填料停留时间≥1s，材质：pp，厚度≥12mm，</w:t>
            </w:r>
          </w:p>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配置：设备外壳、填料支撑、填料、除雾器、检修口、爬梯、一体化水箱、液位计、PH计等</w:t>
            </w:r>
          </w:p>
        </w:tc>
        <w:tc>
          <w:tcPr>
            <w:tcW w:w="120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碱洗塔</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处理风量：30000m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尺寸：5150*3100*3000mm</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空塔风速：≤1.5m/s</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填料停留时间≥1s，材质：pp，厚度≥12mm，</w:t>
            </w:r>
          </w:p>
          <w:p>
            <w:pPr>
              <w:pStyle w:val="3"/>
              <w:ind w:left="0" w:leftChars="0"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配置：设备外壳、填料支撑、填料、除雾器、检修口、爬梯、一体化水箱、液位计、PH计等</w:t>
            </w:r>
          </w:p>
        </w:tc>
        <w:tc>
          <w:tcPr>
            <w:tcW w:w="120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加药系统</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含500L储药桶、加药泵、搅拌器、PH计等</w:t>
            </w:r>
          </w:p>
        </w:tc>
        <w:tc>
          <w:tcPr>
            <w:tcW w:w="1204"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  酸洗循环泵</w:t>
            </w:r>
          </w:p>
          <w:p>
            <w:pPr>
              <w:pStyle w:val="3"/>
              <w:ind w:left="480" w:firstLine="0" w:firstLineChars="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（一用一备）</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流量：60m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/h，扬程15m，功率：7.5kw</w:t>
            </w:r>
          </w:p>
        </w:tc>
        <w:tc>
          <w:tcPr>
            <w:tcW w:w="1204"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材质：FPRR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  碱洗循环泵</w:t>
            </w:r>
          </w:p>
          <w:p>
            <w:pPr>
              <w:pStyle w:val="3"/>
              <w:ind w:left="480" w:firstLine="0" w:firstLineChars="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（一用一备）</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流量：60m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/h，扬程15m，功率：7.5kw</w:t>
            </w:r>
          </w:p>
        </w:tc>
        <w:tc>
          <w:tcPr>
            <w:tcW w:w="1204"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材质：FPRR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喷淋系统</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    质：UPVC</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配置说明：喷淋管路、PVC喷嘴等</w:t>
            </w:r>
          </w:p>
        </w:tc>
        <w:tc>
          <w:tcPr>
            <w:tcW w:w="1204"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离心风机</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处理风量：30000m3/h，2200Pa，45KW，变频电机，防护等级IP55，含风机底座、隔音箱、软连接</w:t>
            </w:r>
          </w:p>
        </w:tc>
        <w:tc>
          <w:tcPr>
            <w:tcW w:w="1204"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材质：FRP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电气控制柜</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    质：1.5mm不锈钢304</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配置说明：含PLC、变频器，触摸屏等</w:t>
            </w:r>
          </w:p>
        </w:tc>
        <w:tc>
          <w:tcPr>
            <w:tcW w:w="1204"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排气筒</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规格：φ1500，</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配置说明：爬梯、避雷针、取样平台、加固件、雨帽等</w:t>
            </w:r>
          </w:p>
          <w:p>
            <w:pPr>
              <w:pStyle w:val="3"/>
              <w:ind w:left="0" w:leftChars="0"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高度：约25m（距地面）</w:t>
            </w:r>
          </w:p>
        </w:tc>
        <w:tc>
          <w:tcPr>
            <w:tcW w:w="1204"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PP，8mm，与卸料大厅及卸料口除臭系统共用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系统内连接管道</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规    格：DN1000</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 xml:space="preserve">材    质：PP </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配置说明：含直管、弯头、法兰、阀门等</w:t>
            </w:r>
          </w:p>
        </w:tc>
        <w:tc>
          <w:tcPr>
            <w:tcW w:w="1204"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手动风阀</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尺寸及数量根据施工图纸确定；电压：220V</w:t>
            </w:r>
          </w:p>
        </w:tc>
        <w:tc>
          <w:tcPr>
            <w:tcW w:w="1204"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系统内电缆</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国标，电控柜与设备间的动力及控制电缆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系统内安装配件</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配置说明：紧固件，螺栓，垫片、支吊架等</w:t>
            </w:r>
          </w:p>
        </w:tc>
        <w:tc>
          <w:tcPr>
            <w:tcW w:w="1204"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系统内负压集风管、集风罩</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具体工程量根据施工图纸确定 </w:t>
            </w:r>
          </w:p>
        </w:tc>
        <w:tc>
          <w:tcPr>
            <w:tcW w:w="1204"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3</w:t>
            </w:r>
          </w:p>
        </w:tc>
        <w:tc>
          <w:tcPr>
            <w:tcW w:w="213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厨余垃圾车间负压除臭系统</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处理能力≥30000m³/h</w:t>
            </w:r>
          </w:p>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主设备材质PP，水泵材质FRPP，离心风机材质玻璃钢，风机变频调节</w:t>
            </w:r>
          </w:p>
        </w:tc>
        <w:tc>
          <w:tcPr>
            <w:tcW w:w="120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酸洗塔</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处理风量：30000m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尺寸：φ2800*6300mm</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空塔风速：≤1.5m/s</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停留时间≥1s，材质：PP，厚度≥10mm，</w:t>
            </w:r>
          </w:p>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配置：设备外壳、填料支撑、填料、除雾器、检修口、爬梯、一体化水箱、液位计、PH计等</w:t>
            </w:r>
          </w:p>
        </w:tc>
        <w:tc>
          <w:tcPr>
            <w:tcW w:w="1204"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酸洗塔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碱洗塔</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处理风量：30000m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尺寸：φ2800*6300mm</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空塔风速：≤1.5m/s</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停留时间≥1s，材质：PP，厚度≥10mm，</w:t>
            </w:r>
          </w:p>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配置：设备外壳、填料支撑、填</w:t>
            </w:r>
          </w:p>
          <w:p>
            <w:pPr>
              <w:pStyle w:val="3"/>
              <w:ind w:left="0" w:leftChars="0"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料、除雾器、检修口、爬梯、一体化水箱、液位计、PH计等</w:t>
            </w:r>
          </w:p>
        </w:tc>
        <w:tc>
          <w:tcPr>
            <w:tcW w:w="1204"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碱洗塔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生物滤床</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3382" w:type="dxa"/>
            <w:vAlign w:val="center"/>
          </w:tcPr>
          <w:p>
            <w:pPr>
              <w:pStyle w:val="3"/>
              <w:ind w:left="0" w:leftChars="0"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处理风量：30000m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p>
          <w:p>
            <w:pPr>
              <w:pStyle w:val="3"/>
              <w:ind w:left="0" w:leftChars="0" w:firstLine="0" w:firstLineChars="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尺寸：由设备厂家确定</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外壳材质：6mm玻璃钢板+碳钢防腐外骨架</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配置说明：含设备外壳、填料、检修口，配置驯化装置</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离心风机</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台</w:t>
            </w:r>
          </w:p>
        </w:tc>
        <w:tc>
          <w:tcPr>
            <w:tcW w:w="3382"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风    量：≥30000m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全    压：3500Pa</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功    率：55kW</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材    质：玻璃钢</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配置说明：配套电机、防震垫、隔音箱</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酸洗循环水泵</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2</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台</w:t>
            </w:r>
          </w:p>
        </w:tc>
        <w:tc>
          <w:tcPr>
            <w:tcW w:w="3382"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流    量：60m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扬    程：15m</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 xml:space="preserve">功    率：7.5kW </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材    质：FRPP</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碱洗循环水泵</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2</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台</w:t>
            </w:r>
          </w:p>
        </w:tc>
        <w:tc>
          <w:tcPr>
            <w:tcW w:w="3382"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流    量：60m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扬    程：15m</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 xml:space="preserve">功    率：7.5kW </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材    质：FRPP</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生物循环水泵</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3</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台</w:t>
            </w:r>
          </w:p>
        </w:tc>
        <w:tc>
          <w:tcPr>
            <w:tcW w:w="3382"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流    量：12m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扬    程：30m</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功    率：2.2kW</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材    质：不锈钢304</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喷淋系统</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3382"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    质：UPVC</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配置说明：喷淋管路、PVC喷嘴等</w:t>
            </w:r>
          </w:p>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备 注：包含酸洗塔、碱洗塔、高效生物滤床</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生物循环水箱</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3382"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规    格：1m³，由厂家根据实际确定</w:t>
            </w:r>
          </w:p>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    质：玻璃钢</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加药装置</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3382"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    质：PE</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配置说明：加药罐、加药泵、搅拌器等</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电气控制柜</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3382"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    质：不锈钢304</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配置说明：含PLC、变频器等</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pH计</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批</w:t>
            </w:r>
          </w:p>
        </w:tc>
        <w:tc>
          <w:tcPr>
            <w:tcW w:w="3382"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量    程：0-14</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液位计</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批</w:t>
            </w:r>
          </w:p>
        </w:tc>
        <w:tc>
          <w:tcPr>
            <w:tcW w:w="3382"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量    程：0-1m</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排气筒</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项</w:t>
            </w:r>
          </w:p>
        </w:tc>
        <w:tc>
          <w:tcPr>
            <w:tcW w:w="3382"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规    格：DN900</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高    度：约25m(距地面)</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材    质：PP</w:t>
            </w:r>
          </w:p>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配置说明：配置碳钢防腐护塔、避雷针、取样平台、钢斜梯</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系统内连接管道</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批</w:t>
            </w:r>
          </w:p>
        </w:tc>
        <w:tc>
          <w:tcPr>
            <w:tcW w:w="3382"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规    格：DN700/DN1000</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材    质：PP</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配置说明：含直管、弯头、法兰、阀门等</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手动风阀</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尺寸及数量根据施工图纸确定</w:t>
            </w:r>
          </w:p>
        </w:tc>
        <w:tc>
          <w:tcPr>
            <w:tcW w:w="1204"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系统内负压集风管、集风罩</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具体工程量根据施工图纸确定 </w:t>
            </w:r>
          </w:p>
        </w:tc>
        <w:tc>
          <w:tcPr>
            <w:tcW w:w="1204"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系统内电缆</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批</w:t>
            </w:r>
          </w:p>
        </w:tc>
        <w:tc>
          <w:tcPr>
            <w:tcW w:w="3382"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204" w:type="dxa"/>
            <w:vAlign w:val="center"/>
          </w:tcPr>
          <w:p>
            <w:pPr>
              <w:pStyle w:val="2"/>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国标，电控柜与设备间的动力及控制电缆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系统内安装配件</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批</w:t>
            </w:r>
          </w:p>
        </w:tc>
        <w:tc>
          <w:tcPr>
            <w:tcW w:w="3382"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配置说明：紧固件，螺栓，垫片</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UV紫外光杀菌设备</w:t>
            </w:r>
          </w:p>
        </w:tc>
        <w:tc>
          <w:tcPr>
            <w:tcW w:w="70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规    格：4450×2000×1150(mm)</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处理风量：30000m3/h</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    质：不锈钢304</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灯管波长：254mm</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灯管数量：60根</w:t>
            </w:r>
          </w:p>
          <w:p>
            <w:pPr>
              <w:pStyle w:val="3"/>
              <w:ind w:left="0" w:leftChars="0"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配置说明：底座高度700mm</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4</w:t>
            </w:r>
          </w:p>
        </w:tc>
        <w:tc>
          <w:tcPr>
            <w:tcW w:w="213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植物液喷淋除臭系统</w:t>
            </w:r>
          </w:p>
        </w:tc>
        <w:tc>
          <w:tcPr>
            <w:tcW w:w="70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3</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3382"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站内空气异味净化喷淋</w:t>
            </w:r>
          </w:p>
          <w:p>
            <w:pPr>
              <w:pStyle w:val="2"/>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 xml:space="preserve">管道材质304 </w:t>
            </w:r>
          </w:p>
        </w:tc>
        <w:tc>
          <w:tcPr>
            <w:tcW w:w="120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集成雾化机组</w:t>
            </w:r>
          </w:p>
        </w:tc>
        <w:tc>
          <w:tcPr>
            <w:tcW w:w="70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w:t>
            </w:r>
          </w:p>
        </w:tc>
        <w:tc>
          <w:tcPr>
            <w:tcW w:w="760"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3382"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1、机组控制方式：智能时间控制、NC功能、NO功能、A/M控制、RA控制、RMT控制、TD控制、可调节URT、预留联动控制端口</w:t>
            </w:r>
          </w:p>
          <w:p>
            <w:pPr>
              <w:widowControl/>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2、泵组连接方式：轴连接（严禁采用皮带连接的方式）</w:t>
            </w:r>
          </w:p>
          <w:p>
            <w:pPr>
              <w:widowControl/>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3、功率：1.5kw</w:t>
            </w:r>
          </w:p>
          <w:p>
            <w:pPr>
              <w:widowControl/>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4、能力：178~197.97 gal/h、压头：155.8~164ft 、增压级别：580.15~3625.94 lb/in²   </w:t>
            </w:r>
          </w:p>
          <w:p>
            <w:pPr>
              <w:widowControl/>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5、机体厚度：1.2mm、防护等级：IP55</w:t>
            </w:r>
          </w:p>
        </w:tc>
        <w:tc>
          <w:tcPr>
            <w:tcW w:w="1204" w:type="dxa"/>
            <w:vAlign w:val="center"/>
          </w:tcPr>
          <w:p>
            <w:pPr>
              <w:widowControl/>
              <w:autoSpaceDE/>
              <w:autoSpaceDN/>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电机壳体：铝合金</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电机芯体：不低于T2紫铜品质</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泵壳体：铝合金材质</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泵头连接组件材质：不低于H96品质</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水箱材质：不低于1Cr17Mn6Ni5N品质（内置于机组）</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高低压密封组件材质：不低于Runa-N品质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前端水处理系统</w:t>
            </w:r>
          </w:p>
        </w:tc>
        <w:tc>
          <w:tcPr>
            <w:tcW w:w="70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w:t>
            </w:r>
          </w:p>
        </w:tc>
        <w:tc>
          <w:tcPr>
            <w:tcW w:w="760"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1、净化精度：0.00019~0.00039IN</w:t>
            </w:r>
          </w:p>
          <w:p>
            <w:pPr>
              <w:widowControl/>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2、运作能力：593.91~659.90  gal/h</w:t>
            </w:r>
          </w:p>
          <w:p>
            <w:pPr>
              <w:widowControl/>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3、承压级别：≤58lbf/in²</w:t>
            </w:r>
          </w:p>
          <w:p>
            <w:pPr>
              <w:widowControl/>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4、过滤方式：物理过滤</w:t>
            </w:r>
          </w:p>
        </w:tc>
        <w:tc>
          <w:tcPr>
            <w:tcW w:w="1204" w:type="dxa"/>
            <w:vAlign w:val="center"/>
          </w:tcPr>
          <w:p>
            <w:pPr>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专用消杀喷头</w:t>
            </w:r>
          </w:p>
        </w:tc>
        <w:tc>
          <w:tcPr>
            <w:tcW w:w="70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水平喷射距离：≤1.5M （水平无风转态）</w:t>
            </w:r>
          </w:p>
          <w:p>
            <w:pPr>
              <w:widowControl/>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垂直喷射距离：≤ 0.8M （水平无风转态）</w:t>
            </w:r>
          </w:p>
        </w:tc>
        <w:tc>
          <w:tcPr>
            <w:tcW w:w="1204"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加厚304不锈钢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消杀喷头底座</w:t>
            </w:r>
          </w:p>
        </w:tc>
        <w:tc>
          <w:tcPr>
            <w:tcW w:w="70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jc w:val="center"/>
              <w:rPr>
                <w:rFonts w:hint="eastAsia" w:asciiTheme="minorEastAsia" w:hAnsiTheme="minorEastAsia" w:eastAsiaTheme="minorEastAsia" w:cstheme="minorEastAsia"/>
                <w:color w:val="auto"/>
                <w:sz w:val="21"/>
                <w:szCs w:val="21"/>
                <w:highlight w:val="none"/>
                <w:lang w:eastAsia="zh-CN"/>
              </w:rPr>
            </w:pPr>
          </w:p>
        </w:tc>
        <w:tc>
          <w:tcPr>
            <w:tcW w:w="1204" w:type="dxa"/>
            <w:vAlign w:val="center"/>
          </w:tcPr>
          <w:p>
            <w:pPr>
              <w:widowControl/>
              <w:autoSpaceDE/>
              <w:autoSpaceDN/>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整体材质为加厚304不锈钢，卡扣式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T型耐高压管网接头</w:t>
            </w:r>
          </w:p>
        </w:tc>
        <w:tc>
          <w:tcPr>
            <w:tcW w:w="70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管道接口：9.52mm，壁厚：3.0-3.5mm</w:t>
            </w:r>
          </w:p>
        </w:tc>
        <w:tc>
          <w:tcPr>
            <w:tcW w:w="1204"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整体材质为加厚304不锈钢，卡扣式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L型耐高压管网接头</w:t>
            </w:r>
          </w:p>
        </w:tc>
        <w:tc>
          <w:tcPr>
            <w:tcW w:w="70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管道接口：9.52mm，壁厚：3.0-3.5mm</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整体材质为加厚304不锈钢，卡扣式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I型耐高压管网接头</w:t>
            </w:r>
          </w:p>
        </w:tc>
        <w:tc>
          <w:tcPr>
            <w:tcW w:w="70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管道接口：9.52mm，壁厚：3.0-3.5mm</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整体材质为加厚304不锈钢，卡扣式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I型耐高压管网堵头</w:t>
            </w:r>
          </w:p>
        </w:tc>
        <w:tc>
          <w:tcPr>
            <w:tcW w:w="70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管道接口：9.52mm，壁厚：3.0-3.5mm</w:t>
            </w:r>
          </w:p>
        </w:tc>
        <w:tc>
          <w:tcPr>
            <w:tcW w:w="1204"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整体材质为加厚304不锈钢，卡扣式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高压不锈钢管＃9.52</w:t>
            </w:r>
          </w:p>
        </w:tc>
        <w:tc>
          <w:tcPr>
            <w:tcW w:w="70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管道接口：9.52mm，壁厚：0.7~1mm</w:t>
            </w:r>
          </w:p>
        </w:tc>
        <w:tc>
          <w:tcPr>
            <w:tcW w:w="1204"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阀门</w:t>
            </w:r>
          </w:p>
        </w:tc>
        <w:tc>
          <w:tcPr>
            <w:tcW w:w="70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管道接口：9.52mm-16mm，壁厚：3.0-3.5mm</w:t>
            </w:r>
          </w:p>
        </w:tc>
        <w:tc>
          <w:tcPr>
            <w:tcW w:w="1204"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阀接</w:t>
            </w:r>
          </w:p>
        </w:tc>
        <w:tc>
          <w:tcPr>
            <w:tcW w:w="70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管道接口：9.52mm-16mm，壁厚：3.0-3.5mm</w:t>
            </w:r>
          </w:p>
        </w:tc>
        <w:tc>
          <w:tcPr>
            <w:tcW w:w="1204"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进水口减压阀</w:t>
            </w:r>
          </w:p>
        </w:tc>
        <w:tc>
          <w:tcPr>
            <w:tcW w:w="70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规格：DN20</w:t>
            </w:r>
          </w:p>
        </w:tc>
        <w:tc>
          <w:tcPr>
            <w:tcW w:w="1204"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辅料</w:t>
            </w:r>
          </w:p>
        </w:tc>
        <w:tc>
          <w:tcPr>
            <w:tcW w:w="70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管束、不锈钢切管刀、胶水、机油、压力表等</w:t>
            </w:r>
          </w:p>
        </w:tc>
        <w:tc>
          <w:tcPr>
            <w:tcW w:w="1204"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5</w:t>
            </w:r>
          </w:p>
        </w:tc>
        <w:tc>
          <w:tcPr>
            <w:tcW w:w="2139"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rPr>
              <w:t>卸料</w:t>
            </w:r>
            <w:r>
              <w:rPr>
                <w:rFonts w:hint="eastAsia" w:asciiTheme="minorEastAsia" w:hAnsiTheme="minorEastAsia" w:eastAsiaTheme="minorEastAsia" w:cstheme="minorEastAsia"/>
                <w:b/>
                <w:bCs/>
                <w:color w:val="auto"/>
                <w:sz w:val="21"/>
                <w:szCs w:val="21"/>
                <w:highlight w:val="none"/>
                <w:lang w:eastAsia="zh-CN"/>
              </w:rPr>
              <w:t>口</w:t>
            </w:r>
            <w:r>
              <w:rPr>
                <w:rFonts w:hint="eastAsia" w:asciiTheme="minorEastAsia" w:hAnsiTheme="minorEastAsia" w:eastAsiaTheme="minorEastAsia" w:cstheme="minorEastAsia"/>
                <w:b/>
                <w:bCs/>
                <w:color w:val="auto"/>
                <w:sz w:val="21"/>
                <w:szCs w:val="21"/>
                <w:highlight w:val="none"/>
              </w:rPr>
              <w:t>降尘系统</w:t>
            </w:r>
          </w:p>
        </w:tc>
        <w:tc>
          <w:tcPr>
            <w:tcW w:w="70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tcPr>
          <w:p>
            <w:pPr>
              <w:pStyle w:val="2"/>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配置说明：空压机，储气罐，水箱等</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备 注：每个卸料口配置一个，共5个</w:t>
            </w:r>
          </w:p>
        </w:tc>
        <w:tc>
          <w:tcPr>
            <w:tcW w:w="1204"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6</w:t>
            </w:r>
          </w:p>
        </w:tc>
        <w:tc>
          <w:tcPr>
            <w:tcW w:w="2139"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电气控制系统（含S7-1200 PLC）</w:t>
            </w:r>
          </w:p>
        </w:tc>
        <w:tc>
          <w:tcPr>
            <w:tcW w:w="70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tcPr>
          <w:p>
            <w:pPr>
              <w:pStyle w:val="2"/>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含西门子变频器、主要电气元器件施耐德，含内部电缆及桥架</w:t>
            </w:r>
          </w:p>
        </w:tc>
        <w:tc>
          <w:tcPr>
            <w:tcW w:w="1204" w:type="dxa"/>
            <w:vAlign w:val="center"/>
          </w:tcPr>
          <w:p>
            <w:pPr>
              <w:pStyle w:val="2"/>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SS304；控制系统留有2个以太网通信接口， 1个给本项目提供触摸屏通讯，另一个预留给SCADA上位机通讯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7</w:t>
            </w:r>
          </w:p>
        </w:tc>
        <w:tc>
          <w:tcPr>
            <w:tcW w:w="2139"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设备照明</w:t>
            </w:r>
          </w:p>
        </w:tc>
        <w:tc>
          <w:tcPr>
            <w:tcW w:w="70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pStyle w:val="2"/>
              <w:spacing w:before="0"/>
              <w:ind w:left="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设备单位根据设备操作需求配置</w:t>
            </w:r>
          </w:p>
        </w:tc>
        <w:tc>
          <w:tcPr>
            <w:tcW w:w="1204" w:type="dxa"/>
          </w:tcPr>
          <w:p>
            <w:pPr>
              <w:pStyle w:val="2"/>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室外屋顶除臭设备照明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bookmarkStart w:id="438" w:name="_Toc13658"/>
            <w:r>
              <w:rPr>
                <w:rFonts w:hint="eastAsia" w:asciiTheme="minorEastAsia" w:hAnsiTheme="minorEastAsia" w:eastAsiaTheme="minorEastAsia" w:cstheme="minorEastAsia"/>
                <w:b/>
                <w:bCs/>
                <w:color w:val="auto"/>
                <w:sz w:val="21"/>
                <w:szCs w:val="21"/>
                <w:highlight w:val="none"/>
                <w:lang w:eastAsia="zh-CN"/>
              </w:rPr>
              <w:t>8</w:t>
            </w:r>
          </w:p>
        </w:tc>
        <w:tc>
          <w:tcPr>
            <w:tcW w:w="2139"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竹园垃圾压缩收集站负压除臭系统</w:t>
            </w:r>
          </w:p>
        </w:tc>
        <w:tc>
          <w:tcPr>
            <w:tcW w:w="70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处理能力≥6000m³/h</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主设备材质PP，离心风机材质玻璃钢，风机变频调节</w:t>
            </w:r>
          </w:p>
        </w:tc>
        <w:tc>
          <w:tcPr>
            <w:tcW w:w="1204" w:type="dxa"/>
          </w:tcPr>
          <w:p>
            <w:pPr>
              <w:pStyle w:val="2"/>
              <w:spacing w:before="0"/>
              <w:ind w:left="0"/>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综合洗涤塔</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处理风量：6000m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尺寸：2000(L)*1450(W)*1950(H)mm </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空塔风速：≤1.5m/s</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停留时间：≥2.0s</w:t>
            </w:r>
          </w:p>
        </w:tc>
        <w:tc>
          <w:tcPr>
            <w:tcW w:w="1204" w:type="dxa"/>
            <w:vAlign w:val="center"/>
          </w:tcPr>
          <w:p>
            <w:pPr>
              <w:pStyle w:val="2"/>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含水箱、喷淋管件、阀门、流量计、PP花洒喷头等，需配有加药系统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光等离子</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处理风量：6000m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功率：1.5kW</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尺寸：600(L)*860(W)*750(H)mm </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使用寿命：≥1000h</w:t>
            </w:r>
          </w:p>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color w:val="auto"/>
                <w:sz w:val="21"/>
                <w:szCs w:val="21"/>
                <w:highlight w:val="none"/>
                <w:lang w:eastAsia="zh-CN"/>
              </w:rPr>
              <w:t>SUS304，厚度≥1.2mm</w:t>
            </w:r>
          </w:p>
        </w:tc>
        <w:tc>
          <w:tcPr>
            <w:tcW w:w="1204"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离心风机</w:t>
            </w:r>
          </w:p>
        </w:tc>
        <w:tc>
          <w:tcPr>
            <w:tcW w:w="70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3382"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风    量：≥6000m</w:t>
            </w:r>
            <w:r>
              <w:rPr>
                <w:rFonts w:hint="eastAsia" w:asciiTheme="minorEastAsia" w:hAnsiTheme="minorEastAsia" w:eastAsiaTheme="minorEastAsia" w:cstheme="minorEastAsia"/>
                <w:color w:val="auto"/>
                <w:sz w:val="21"/>
                <w:szCs w:val="21"/>
                <w:highlight w:val="none"/>
                <w:vertAlign w:val="superscript"/>
                <w:lang w:eastAsia="zh-CN"/>
              </w:rPr>
              <w:t>3</w:t>
            </w:r>
            <w:r>
              <w:rPr>
                <w:rFonts w:hint="eastAsia" w:asciiTheme="minorEastAsia" w:hAnsiTheme="minorEastAsia" w:eastAsiaTheme="minorEastAsia" w:cstheme="minorEastAsia"/>
                <w:color w:val="auto"/>
                <w:sz w:val="21"/>
                <w:szCs w:val="21"/>
                <w:highlight w:val="none"/>
                <w:lang w:eastAsia="zh-CN"/>
              </w:rPr>
              <w:t>/h</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全    压：≤1500Pa</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 xml:space="preserve">功    率：5.5kW </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材    质：玻璃钢</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配置说明：配套电机、防震垫、隔音箱</w:t>
            </w:r>
          </w:p>
        </w:tc>
        <w:tc>
          <w:tcPr>
            <w:tcW w:w="1204"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变频调节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循环水泵</w:t>
            </w:r>
          </w:p>
        </w:tc>
        <w:tc>
          <w:tcPr>
            <w:tcW w:w="70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3382"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电源：AC380, 50Hz</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功率：2.2KW</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流量：20m³/h</w:t>
            </w:r>
          </w:p>
        </w:tc>
        <w:tc>
          <w:tcPr>
            <w:tcW w:w="1204"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匹配处理风量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电气控制柜</w:t>
            </w:r>
          </w:p>
        </w:tc>
        <w:tc>
          <w:tcPr>
            <w:tcW w:w="70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3382"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    质：不锈钢304</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配置说明：含PLC、变频器等</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通讯协议：NB-LOT/ GSM</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主控制器：MCU可进行智慧城市系统升级对接</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控制模式：手动/自动；远程/就地</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防护等级：IP55</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工作温度：-25~85℃</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相对湿度：≤95%</w:t>
            </w:r>
          </w:p>
        </w:tc>
        <w:tc>
          <w:tcPr>
            <w:tcW w:w="1204"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预留智慧城市大数据管理网络接口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排气筒</w:t>
            </w:r>
          </w:p>
        </w:tc>
        <w:tc>
          <w:tcPr>
            <w:tcW w:w="70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规    格：采用φ400或者截面积≥0.13m</w:t>
            </w:r>
            <w:r>
              <w:rPr>
                <w:rFonts w:hint="eastAsia" w:asciiTheme="minorEastAsia" w:hAnsiTheme="minorEastAsia" w:eastAsiaTheme="minorEastAsia" w:cstheme="minorEastAsia"/>
                <w:color w:val="auto"/>
                <w:sz w:val="21"/>
                <w:szCs w:val="21"/>
                <w:highlight w:val="none"/>
                <w:vertAlign w:val="superscript"/>
                <w:lang w:eastAsia="zh-CN"/>
              </w:rPr>
              <w:t>2</w:t>
            </w:r>
            <w:r>
              <w:rPr>
                <w:rFonts w:hint="eastAsia" w:asciiTheme="minorEastAsia" w:hAnsiTheme="minorEastAsia" w:eastAsiaTheme="minorEastAsia" w:cstheme="minorEastAsia"/>
                <w:color w:val="auto"/>
                <w:sz w:val="21"/>
                <w:szCs w:val="21"/>
                <w:highlight w:val="none"/>
                <w:lang w:eastAsia="zh-CN"/>
              </w:rPr>
              <w:t xml:space="preserve">的方管 </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高    度：约4m(距地面)</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材    质：PP</w:t>
            </w:r>
          </w:p>
        </w:tc>
        <w:tc>
          <w:tcPr>
            <w:tcW w:w="1204" w:type="dxa"/>
            <w:vAlign w:val="center"/>
          </w:tcPr>
          <w:p>
            <w:pPr>
              <w:pStyle w:val="2"/>
              <w:spacing w:before="0"/>
              <w:ind w:left="0"/>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系统内连接管道</w:t>
            </w:r>
          </w:p>
        </w:tc>
        <w:tc>
          <w:tcPr>
            <w:tcW w:w="70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3382"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规    格：φ400/φ315/φ250</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材    质：PP</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配置说明：含直管、弯头、法兰、阀门等</w:t>
            </w:r>
          </w:p>
        </w:tc>
        <w:tc>
          <w:tcPr>
            <w:tcW w:w="1204" w:type="dxa"/>
            <w:vAlign w:val="center"/>
          </w:tcPr>
          <w:p>
            <w:pPr>
              <w:pStyle w:val="2"/>
              <w:spacing w:before="0"/>
              <w:ind w:left="0"/>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系统内负压集风管、集风罩</w:t>
            </w:r>
          </w:p>
        </w:tc>
        <w:tc>
          <w:tcPr>
            <w:tcW w:w="70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3382"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具体工程量根据施工图纸确定 </w:t>
            </w:r>
          </w:p>
        </w:tc>
        <w:tc>
          <w:tcPr>
            <w:tcW w:w="1204"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系统内电缆</w:t>
            </w:r>
          </w:p>
        </w:tc>
        <w:tc>
          <w:tcPr>
            <w:tcW w:w="70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3382"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总功率≤14KW</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动力电缆类型：ZR-BVVB</w:t>
            </w:r>
          </w:p>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规格：3*10mm</w:t>
            </w:r>
            <w:r>
              <w:rPr>
                <w:rFonts w:hint="eastAsia" w:asciiTheme="minorEastAsia" w:hAnsiTheme="minorEastAsia" w:eastAsiaTheme="minorEastAsia" w:cstheme="minorEastAsia"/>
                <w:color w:val="auto"/>
                <w:sz w:val="21"/>
                <w:szCs w:val="21"/>
                <w:highlight w:val="none"/>
                <w:vertAlign w:val="superscript"/>
                <w:lang w:eastAsia="zh-CN"/>
              </w:rPr>
              <w:t>2</w:t>
            </w:r>
            <w:r>
              <w:rPr>
                <w:rFonts w:hint="eastAsia" w:asciiTheme="minorEastAsia" w:hAnsiTheme="minorEastAsia" w:eastAsiaTheme="minorEastAsia" w:cstheme="minorEastAsia"/>
                <w:color w:val="auto"/>
                <w:sz w:val="21"/>
                <w:szCs w:val="21"/>
                <w:highlight w:val="none"/>
                <w:lang w:eastAsia="zh-CN"/>
              </w:rPr>
              <w:t>+2*6mm</w:t>
            </w:r>
            <w:r>
              <w:rPr>
                <w:rFonts w:hint="eastAsia" w:asciiTheme="minorEastAsia" w:hAnsiTheme="minorEastAsia" w:eastAsiaTheme="minorEastAsia" w:cstheme="minorEastAsia"/>
                <w:color w:val="auto"/>
                <w:sz w:val="21"/>
                <w:szCs w:val="21"/>
                <w:highlight w:val="none"/>
                <w:vertAlign w:val="superscript"/>
                <w:lang w:eastAsia="zh-CN"/>
              </w:rPr>
              <w:t>2</w:t>
            </w:r>
          </w:p>
        </w:tc>
        <w:tc>
          <w:tcPr>
            <w:tcW w:w="1204" w:type="dxa"/>
            <w:vAlign w:val="center"/>
          </w:tcPr>
          <w:p>
            <w:pPr>
              <w:pStyle w:val="2"/>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国标，电控柜与设备间的动力及控制电缆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0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13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系统内安装配件</w:t>
            </w:r>
          </w:p>
        </w:tc>
        <w:tc>
          <w:tcPr>
            <w:tcW w:w="70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60"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3382"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配置说明：紧固件，螺栓，垫片</w:t>
            </w:r>
          </w:p>
        </w:tc>
        <w:tc>
          <w:tcPr>
            <w:tcW w:w="1204"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系统内安装配件</w:t>
            </w:r>
          </w:p>
        </w:tc>
      </w:tr>
    </w:tbl>
    <w:p>
      <w:pPr>
        <w:pStyle w:val="46"/>
        <w:spacing w:line="360" w:lineRule="auto"/>
        <w:ind w:left="0" w:firstLine="0" w:firstLineChars="0"/>
        <w:rPr>
          <w:rStyle w:val="105"/>
          <w:rFonts w:hint="eastAsia" w:asciiTheme="minorEastAsia" w:hAnsiTheme="minorEastAsia" w:eastAsiaTheme="minorEastAsia" w:cstheme="minorEastAsia"/>
          <w:color w:val="auto"/>
          <w:sz w:val="21"/>
          <w:szCs w:val="21"/>
          <w:highlight w:val="none"/>
          <w:lang w:eastAsia="zh-CN"/>
        </w:rPr>
      </w:pPr>
    </w:p>
    <w:p>
      <w:pPr>
        <w:pStyle w:val="6"/>
        <w:numPr>
          <w:ilvl w:val="1"/>
          <w:numId w:val="64"/>
        </w:numPr>
        <w:spacing w:before="0" w:after="0"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 xml:space="preserve"> </w:t>
      </w:r>
      <w:bookmarkStart w:id="439" w:name="_Toc138017292"/>
      <w:bookmarkStart w:id="440" w:name="_Toc145063565"/>
      <w:r>
        <w:rPr>
          <w:rFonts w:hint="eastAsia" w:asciiTheme="minorEastAsia" w:hAnsiTheme="minorEastAsia" w:eastAsiaTheme="minorEastAsia" w:cstheme="minorEastAsia"/>
          <w:color w:val="auto"/>
          <w:sz w:val="21"/>
          <w:szCs w:val="21"/>
          <w:highlight w:val="none"/>
        </w:rPr>
        <w:t>工作范围</w:t>
      </w:r>
      <w:bookmarkEnd w:id="438"/>
      <w:bookmarkEnd w:id="439"/>
      <w:bookmarkEnd w:id="440"/>
    </w:p>
    <w:p>
      <w:pPr>
        <w:pStyle w:val="46"/>
        <w:spacing w:line="360" w:lineRule="auto"/>
        <w:ind w:left="0"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中标人的工作范围包括但不限于下表4-1所列内容。</w:t>
      </w:r>
    </w:p>
    <w:p>
      <w:pPr>
        <w:pStyle w:val="46"/>
        <w:spacing w:line="360" w:lineRule="auto"/>
        <w:ind w:left="0" w:firstLine="0" w:firstLineChars="0"/>
        <w:jc w:val="center"/>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表4-1 工作服务范围一览表</w:t>
      </w:r>
    </w:p>
    <w:tbl>
      <w:tblPr>
        <w:tblStyle w:val="3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116"/>
        <w:gridCol w:w="2930"/>
        <w:gridCol w:w="1110"/>
        <w:gridCol w:w="1110"/>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425" w:hRule="atLeast"/>
          <w:tblHeader/>
        </w:trPr>
        <w:tc>
          <w:tcPr>
            <w:tcW w:w="1116" w:type="dxa"/>
            <w:shd w:val="clear" w:color="auto" w:fill="FFFFFF" w:themeFill="background1"/>
            <w:vAlign w:val="center"/>
          </w:tcPr>
          <w:p>
            <w:pPr>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序号</w:t>
            </w:r>
          </w:p>
        </w:tc>
        <w:tc>
          <w:tcPr>
            <w:tcW w:w="2930" w:type="dxa"/>
            <w:shd w:val="clear" w:color="auto" w:fill="FFFFFF" w:themeFill="background1"/>
            <w:vAlign w:val="center"/>
          </w:tcPr>
          <w:p>
            <w:pPr>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工作描述</w:t>
            </w:r>
          </w:p>
        </w:tc>
        <w:tc>
          <w:tcPr>
            <w:tcW w:w="1110" w:type="dxa"/>
            <w:shd w:val="clear" w:color="auto" w:fill="FFFFFF" w:themeFill="background1"/>
            <w:vAlign w:val="center"/>
          </w:tcPr>
          <w:p>
            <w:pPr>
              <w:pStyle w:val="2"/>
              <w:spacing w:before="0" w:after="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采购人</w:t>
            </w:r>
          </w:p>
        </w:tc>
        <w:tc>
          <w:tcPr>
            <w:tcW w:w="1110" w:type="dxa"/>
            <w:shd w:val="clear" w:color="auto" w:fill="FFFFFF" w:themeFill="background1"/>
            <w:vAlign w:val="center"/>
          </w:tcPr>
          <w:p>
            <w:pPr>
              <w:pStyle w:val="2"/>
              <w:spacing w:before="0" w:after="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中标人</w:t>
            </w:r>
          </w:p>
        </w:tc>
        <w:tc>
          <w:tcPr>
            <w:tcW w:w="2914" w:type="dxa"/>
            <w:shd w:val="clear" w:color="auto" w:fill="FFFFFF" w:themeFill="background1"/>
            <w:vAlign w:val="center"/>
          </w:tcPr>
          <w:p>
            <w:pPr>
              <w:pStyle w:val="2"/>
              <w:spacing w:before="0" w:after="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一</w:t>
            </w:r>
          </w:p>
        </w:tc>
        <w:tc>
          <w:tcPr>
            <w:tcW w:w="2930" w:type="dxa"/>
            <w:shd w:val="clear" w:color="auto" w:fill="FFFFFF" w:themeFill="background1"/>
            <w:vAlign w:val="center"/>
          </w:tcPr>
          <w:p>
            <w:pP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基本工作内容</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设备设计</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设备供货，含保险、运输等</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施工安装</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1.4</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调试、性能测试</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1.5</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预埋件</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1.6</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技术资料</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1.6.1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设备说明书</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1.6.2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操作维护手册</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二</w:t>
            </w:r>
          </w:p>
        </w:tc>
        <w:tc>
          <w:tcPr>
            <w:tcW w:w="2930" w:type="dxa"/>
            <w:shd w:val="clear" w:color="auto" w:fill="FFFFFF" w:themeFill="background1"/>
            <w:vAlign w:val="center"/>
          </w:tcPr>
          <w:p>
            <w:pP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设备供货范围</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负压除臭系统</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喷淋除臭系统</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卸料口降尘系统</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2.4</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备品备件</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一年期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2.5</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专用工具</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三</w:t>
            </w:r>
          </w:p>
        </w:tc>
        <w:tc>
          <w:tcPr>
            <w:tcW w:w="2930" w:type="dxa"/>
            <w:shd w:val="clear" w:color="auto" w:fill="FFFFFF" w:themeFill="background1"/>
            <w:vAlign w:val="center"/>
          </w:tcPr>
          <w:p>
            <w:pP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施工安装</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施工、安装</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预埋件</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3.2.1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预埋件供货</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3.2.2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埋件指导预埋</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设备材料装卸、安装</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3.3.1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设备接收、卸车至指定场地</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3.3.2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设备及材料现场存放管理</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3.3.3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存放至安装现场的二次转运</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3.3.4</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所有临时及永久性设施的吊装</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3.3.5</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组装、定位、螺栓锚固、灌浆、找平</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3.3.6</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检验与校准</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3.4</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检验测试</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3.4.1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调试/测试计划</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3.4.2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启动前检查</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3.4.3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点动试验</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3.4.4</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单机测试</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3.5</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现场安全管理</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3.5.1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现场清理，废物处理外运</w:t>
            </w:r>
          </w:p>
        </w:tc>
        <w:tc>
          <w:tcPr>
            <w:tcW w:w="1110" w:type="dxa"/>
            <w:shd w:val="clear" w:color="auto" w:fill="FFFFFF" w:themeFill="background1"/>
            <w:vAlign w:val="center"/>
          </w:tcPr>
          <w:p>
            <w:pPr>
              <w:widowControl/>
              <w:autoSpaceDE/>
              <w:autoSpaceDN/>
              <w:ind w:firstLine="0" w:firstLineChars="0"/>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3.5.2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项目管理</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3.5.3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进度计划</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3.5.4</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记录</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3.5.5</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月/周报告</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3.5.6</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照片</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3.5.7</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往来函件</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3.5.8</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竣工图纸</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3.6</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质量保证</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3.6.1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质量体系与质量计划</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3.6.2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质量程序</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3.6.3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生产过程检测</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3.6.4</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承包商计划（如项目管理计划，人力资源计划，设计计划，生产计划，质量计划，安全健康计划，应急响应计划）</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3.7</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现场设施与现场管理</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3.7.1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临时办公室（空）的搭设与拆除</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3.7.2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临时会议室</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3.7.3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家具及办公设施、用品</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3.8</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其它设施</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3.8.1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项目临时堆场、通道、工地</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3.8.2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爬梯，脚手架，工作平台</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3.8.3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现场照明</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3.8.4</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广告牌，临时围闭，标示牌，公告板</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3.8.5</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现场清理与整洁，含清运费</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3.8.6</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每日清理</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3.8.7</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每周整洁</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3.8.8</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施工结束时拆除，回收现场所有临时设施</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3.8.9</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施工结束时清理现场</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3.9</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现场保安</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3.9.1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全场保安室，机动车栏杆，现场进出通道控制，大门</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3.9.2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存放/预制组装区域防盗围栏保安</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3.9.3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已完工设施的保护</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3.10</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安全与环境管理</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3.10.1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安全专员与监督员</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3.10.2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现场雇员及劳工安全防护设备</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3.10.3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安全健康计划</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3.10.4</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参加现场每周安全巡检</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提供安全培训</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3.11.1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安全入场培训</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3.11.2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安全三级教育</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3.11.3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安全工具箱会议</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3.11.4</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环境影响缓解措施</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3.11.5</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环境污染处理措施</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3.11.6</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垃圾管理</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3.11.7</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参加每周环境巡检</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3.11.8</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提供环境培训</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3.11.9</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环境保护入场培训</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3.11.10</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环境保护三级教育</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连接与消耗</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3.12.1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临时电连接</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至一级配电箱（含），采购人提供箱变接入位置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3.12.2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临时生活用水连接</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至现场临时生活水连接点，采购人提供接驳点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3.12.3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临时废水连接</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至现场临时废水排放连接点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3.12.4</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施工用电消耗</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3.12.5</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施工用水消耗</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3.12.6</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首次润滑油</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3.12.7</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调试用公用工程（水、电、气、汽等）</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3.12.8</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调试过程中的垃圾</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3.12.9</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施工现场临时消防器具</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3.12.10</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首次测量仪表标定</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3.12.11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进口设备/材料法定检验（如果有）</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3.12.12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技术文档</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培训</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3.13.1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作为人力资源计划的一部分，提交培训计划</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3.13.2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采购人操作及维修人员培训</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3.14</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商务</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3.14.1</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保险</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3.14.2</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建筑安装工程一切保险</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3.14.3</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第三方责任险</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3.14.4</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机动车保险</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3.14.5</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货物运输保险</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3.14.6</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员工人身意外险</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中标人员工及供货商设施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16" w:type="dxa"/>
            <w:shd w:val="clear" w:color="auto" w:fill="FFFFFF" w:themeFill="background1"/>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3.14.7</w:t>
            </w:r>
          </w:p>
        </w:tc>
        <w:tc>
          <w:tcPr>
            <w:tcW w:w="2930" w:type="dxa"/>
            <w:shd w:val="clear" w:color="auto" w:fill="FFFFFF" w:themeFill="background1"/>
            <w:vAlign w:val="center"/>
          </w:tcPr>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税，规费和其它费用</w:t>
            </w: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c>
          <w:tcPr>
            <w:tcW w:w="1110"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p>
        </w:tc>
        <w:tc>
          <w:tcPr>
            <w:tcW w:w="2914" w:type="dxa"/>
            <w:shd w:val="clear" w:color="auto" w:fill="FFFFFF" w:themeFill="background1"/>
            <w:vAlign w:val="center"/>
          </w:tcPr>
          <w:p>
            <w:pPr>
              <w:widowControl/>
              <w:autoSpaceDE/>
              <w:autoSpaceDN/>
              <w:jc w:val="center"/>
              <w:rPr>
                <w:rFonts w:hint="eastAsia" w:asciiTheme="minorEastAsia" w:hAnsiTheme="minorEastAsia" w:eastAsiaTheme="minorEastAsia" w:cstheme="minorEastAsia"/>
                <w:color w:val="auto"/>
                <w:sz w:val="21"/>
                <w:szCs w:val="21"/>
                <w:highlight w:val="none"/>
                <w:lang w:eastAsia="zh-CN"/>
              </w:rPr>
            </w:pPr>
          </w:p>
        </w:tc>
      </w:tr>
    </w:tbl>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rPr>
      </w:pPr>
      <w:bookmarkStart w:id="441" w:name="_Toc6843"/>
    </w:p>
    <w:p>
      <w:pPr>
        <w:pStyle w:val="6"/>
        <w:numPr>
          <w:ilvl w:val="1"/>
          <w:numId w:val="64"/>
        </w:numPr>
        <w:spacing w:before="0" w:after="0" w:line="360" w:lineRule="auto"/>
        <w:rPr>
          <w:rFonts w:hint="eastAsia" w:asciiTheme="minorEastAsia" w:hAnsiTheme="minorEastAsia" w:eastAsiaTheme="minorEastAsia" w:cstheme="minorEastAsia"/>
          <w:color w:val="auto"/>
          <w:sz w:val="21"/>
          <w:szCs w:val="21"/>
          <w:highlight w:val="none"/>
        </w:rPr>
      </w:pPr>
      <w:bookmarkStart w:id="442" w:name="_Toc138017293"/>
      <w:bookmarkStart w:id="443" w:name="_Toc145063566"/>
      <w:r>
        <w:rPr>
          <w:rFonts w:hint="eastAsia" w:asciiTheme="minorEastAsia" w:hAnsiTheme="minorEastAsia" w:eastAsiaTheme="minorEastAsia" w:cstheme="minorEastAsia"/>
          <w:color w:val="auto"/>
          <w:sz w:val="21"/>
          <w:szCs w:val="21"/>
          <w:highlight w:val="none"/>
        </w:rPr>
        <w:t>中标人职责</w:t>
      </w:r>
      <w:bookmarkEnd w:id="441"/>
      <w:bookmarkEnd w:id="442"/>
      <w:bookmarkEnd w:id="443"/>
    </w:p>
    <w:p>
      <w:pPr>
        <w:pStyle w:val="7"/>
        <w:numPr>
          <w:ilvl w:val="2"/>
          <w:numId w:val="65"/>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444" w:name="_Toc32610"/>
      <w:r>
        <w:rPr>
          <w:rFonts w:hint="eastAsia" w:asciiTheme="minorEastAsia" w:hAnsiTheme="minorEastAsia" w:eastAsiaTheme="minorEastAsia" w:cstheme="minorEastAsia"/>
          <w:color w:val="auto"/>
          <w:sz w:val="21"/>
          <w:szCs w:val="21"/>
          <w:highlight w:val="none"/>
          <w:lang w:eastAsia="zh-CN"/>
        </w:rPr>
        <w:t xml:space="preserve"> </w:t>
      </w:r>
      <w:bookmarkStart w:id="445" w:name="_Toc138017294"/>
      <w:bookmarkStart w:id="446" w:name="_Toc145063567"/>
      <w:r>
        <w:rPr>
          <w:rFonts w:hint="eastAsia" w:asciiTheme="minorEastAsia" w:hAnsiTheme="minorEastAsia" w:eastAsiaTheme="minorEastAsia" w:cstheme="minorEastAsia"/>
          <w:color w:val="auto"/>
          <w:sz w:val="21"/>
          <w:szCs w:val="21"/>
          <w:highlight w:val="none"/>
          <w:lang w:eastAsia="zh-CN"/>
        </w:rPr>
        <w:t>中标人的职责</w:t>
      </w:r>
      <w:bookmarkEnd w:id="444"/>
      <w:bookmarkEnd w:id="445"/>
      <w:bookmarkEnd w:id="446"/>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本合同中标人需按合同文件的各条款履行合同，其中至少包括如下职责：</w:t>
      </w:r>
    </w:p>
    <w:p>
      <w:pPr>
        <w:pStyle w:val="2"/>
        <w:numPr>
          <w:ilvl w:val="0"/>
          <w:numId w:val="66"/>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中标人需服从采购人的总体管理，配合采购人完成各项工作，共同实现项目的总体目标。</w:t>
      </w:r>
    </w:p>
    <w:p>
      <w:pPr>
        <w:pStyle w:val="2"/>
        <w:numPr>
          <w:ilvl w:val="0"/>
          <w:numId w:val="66"/>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中标人在履行合同过程中应遵守法律，并保证采购人免于承担因中标人违反法律而引起的任何责任。</w:t>
      </w:r>
    </w:p>
    <w:p>
      <w:pPr>
        <w:pStyle w:val="2"/>
        <w:numPr>
          <w:ilvl w:val="0"/>
          <w:numId w:val="66"/>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中标人应根据其最佳知识和经验来完成系统集成和设备供货，同时适当考虑同类项目业绩的性能结果。无论本技术说明如何描述，中标人应对集成功能保证范围内系统的功能负责。</w:t>
      </w:r>
    </w:p>
    <w:p>
      <w:pPr>
        <w:pStyle w:val="2"/>
        <w:numPr>
          <w:ilvl w:val="0"/>
          <w:numId w:val="66"/>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中标人须对本合同内全部设备、工程材料的质量品质负责；按国家法律和标准规范要求须送检样品由中标人负责，并承担相关费用；中标人按采购人要求提供设备技术协议。</w:t>
      </w:r>
    </w:p>
    <w:p>
      <w:pPr>
        <w:pStyle w:val="2"/>
        <w:numPr>
          <w:ilvl w:val="0"/>
          <w:numId w:val="66"/>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中标人须对本合同内全部设备、合同内各系统联动运行的可靠性和各系统的处理效果负责，确保功能的实现。</w:t>
      </w:r>
    </w:p>
    <w:p>
      <w:pPr>
        <w:pStyle w:val="2"/>
        <w:numPr>
          <w:ilvl w:val="0"/>
          <w:numId w:val="66"/>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由于设备质量缺项、电气控制设施等缺陷造成系统达不到招标文件规定的要求时，中标人应负其责任。</w:t>
      </w:r>
    </w:p>
    <w:p>
      <w:pPr>
        <w:pStyle w:val="2"/>
        <w:numPr>
          <w:ilvl w:val="0"/>
          <w:numId w:val="66"/>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必须确保集成功能保证范围内系统良好联动运行（包括自动控制），应确保集成功能保证范围内系统功能的实现，并提供属于本合同的所有设备附件及备件。如果中标人在投标时发现本招标文件和招标图纸中的技术规范存在缺陷，并将妨碍上述要求的实现，中标人有义务明确提出修正建议，但必须征得采购人的同意，决定是否采纳。</w:t>
      </w:r>
    </w:p>
    <w:p>
      <w:pPr>
        <w:pStyle w:val="2"/>
        <w:numPr>
          <w:ilvl w:val="0"/>
          <w:numId w:val="66"/>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中标人必须对设备的制造、供货、工厂测试、油漆、包装和运输负责，并需负责设备安装、检查和验收。</w:t>
      </w:r>
    </w:p>
    <w:p>
      <w:pPr>
        <w:pStyle w:val="2"/>
        <w:numPr>
          <w:ilvl w:val="0"/>
          <w:numId w:val="66"/>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中标人需负责对不合格的设备进行更换。</w:t>
      </w:r>
    </w:p>
    <w:p>
      <w:pPr>
        <w:pStyle w:val="2"/>
        <w:numPr>
          <w:ilvl w:val="0"/>
          <w:numId w:val="66"/>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中标人需对设备交付验收、工程验收负责。</w:t>
      </w:r>
    </w:p>
    <w:p>
      <w:pPr>
        <w:pStyle w:val="2"/>
        <w:numPr>
          <w:ilvl w:val="0"/>
          <w:numId w:val="66"/>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中标人需负责设备的单机调试、联动调试、带料调试、系统性能保证测试以及在此期间内的设备检测、维护， 保证系统的运行达到招标文件的要求。</w:t>
      </w:r>
    </w:p>
    <w:p>
      <w:pPr>
        <w:pStyle w:val="2"/>
        <w:numPr>
          <w:ilvl w:val="0"/>
          <w:numId w:val="66"/>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中标人需负责设备考察、工厂验收、设计联络等。</w:t>
      </w:r>
    </w:p>
    <w:p>
      <w:pPr>
        <w:pStyle w:val="7"/>
        <w:numPr>
          <w:ilvl w:val="2"/>
          <w:numId w:val="65"/>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447" w:name="_Toc138017295"/>
      <w:bookmarkStart w:id="448" w:name="_Toc31167"/>
      <w:r>
        <w:rPr>
          <w:rFonts w:hint="eastAsia" w:asciiTheme="minorEastAsia" w:hAnsiTheme="minorEastAsia" w:eastAsiaTheme="minorEastAsia" w:cstheme="minorEastAsia"/>
          <w:color w:val="auto"/>
          <w:sz w:val="21"/>
          <w:szCs w:val="21"/>
          <w:highlight w:val="none"/>
          <w:lang w:eastAsia="zh-CN"/>
        </w:rPr>
        <w:t xml:space="preserve"> </w:t>
      </w:r>
      <w:bookmarkStart w:id="449" w:name="_Toc145063568"/>
      <w:r>
        <w:rPr>
          <w:rFonts w:hint="eastAsia" w:asciiTheme="minorEastAsia" w:hAnsiTheme="minorEastAsia" w:eastAsiaTheme="minorEastAsia" w:cstheme="minorEastAsia"/>
          <w:color w:val="auto"/>
          <w:sz w:val="21"/>
          <w:szCs w:val="21"/>
          <w:highlight w:val="none"/>
          <w:lang w:eastAsia="zh-CN"/>
        </w:rPr>
        <w:t>设备提供</w:t>
      </w:r>
      <w:bookmarkEnd w:id="447"/>
      <w:bookmarkEnd w:id="448"/>
      <w:bookmarkEnd w:id="449"/>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中标人需提供本招标文件中指明供货范围内的所有机械设备、电气设备、自动控制设备、仪表、闸门和阀门及其他附属部件，及在招标文件中虽没有指明，但仍属于设备配套运行不可缺少的所有附件。</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凡为达到工程目的所需的招标范围内的各项设备及其有关部件，虽未详列在本技术规范中，仍应包括在各项设备中。中标人不得借故予以变更或要求增加费用。中标人应在无追加费用的条件下，完善承包的合同内容，高质量地完成整个承包合同。</w:t>
      </w:r>
    </w:p>
    <w:p>
      <w:pPr>
        <w:pStyle w:val="7"/>
        <w:numPr>
          <w:ilvl w:val="2"/>
          <w:numId w:val="65"/>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450" w:name="_Toc7585"/>
      <w:r>
        <w:rPr>
          <w:rFonts w:hint="eastAsia" w:asciiTheme="minorEastAsia" w:hAnsiTheme="minorEastAsia" w:eastAsiaTheme="minorEastAsia" w:cstheme="minorEastAsia"/>
          <w:color w:val="auto"/>
          <w:sz w:val="21"/>
          <w:szCs w:val="21"/>
          <w:highlight w:val="none"/>
          <w:lang w:eastAsia="zh-CN"/>
        </w:rPr>
        <w:t xml:space="preserve"> </w:t>
      </w:r>
      <w:bookmarkStart w:id="451" w:name="_Toc138017296"/>
      <w:bookmarkStart w:id="452" w:name="_Toc145063569"/>
      <w:r>
        <w:rPr>
          <w:rFonts w:hint="eastAsia" w:asciiTheme="minorEastAsia" w:hAnsiTheme="minorEastAsia" w:eastAsiaTheme="minorEastAsia" w:cstheme="minorEastAsia"/>
          <w:color w:val="auto"/>
          <w:sz w:val="21"/>
          <w:szCs w:val="21"/>
          <w:highlight w:val="none"/>
          <w:lang w:eastAsia="zh-CN"/>
        </w:rPr>
        <w:t>专用工具、易损件、备品备件</w:t>
      </w:r>
      <w:bookmarkEnd w:id="450"/>
      <w:bookmarkEnd w:id="451"/>
      <w:bookmarkEnd w:id="452"/>
    </w:p>
    <w:p>
      <w:pPr>
        <w:pStyle w:val="2"/>
        <w:numPr>
          <w:ilvl w:val="0"/>
          <w:numId w:val="67"/>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随机备品、备件和专用工具是生产厂家根据其产品的实际情况，随产品一起向采购人提供，其价格包含在设备的出厂价内的。要求提供的备品、备件和专用工具是采购人根据今后购买备品、备件和专用工具的方便性及可能性而在随机备品、备件和专用工具之外，另外提出的附加购置要求。中标人应确保要求提供的备品、备件和专用工具备有足够的存货，以保证设备和备品、备件及易损件的仓库供货，并承诺质量保证期内保证以不高于本表列明的价格提供备品、备件和专用工具，如果市场价格下调，则按下调的价格提供备品、备件。</w:t>
      </w:r>
    </w:p>
    <w:p>
      <w:pPr>
        <w:pStyle w:val="2"/>
        <w:numPr>
          <w:ilvl w:val="0"/>
          <w:numId w:val="67"/>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如设备维修和保养需要特殊专用工具，则需提供至少两套专用工具；另根据工作需要提供至少两套通用维修工具。维修工具应放置在专用工具包内。维修工具的价格计入投标报价。</w:t>
      </w:r>
    </w:p>
    <w:p>
      <w:pPr>
        <w:pStyle w:val="2"/>
        <w:numPr>
          <w:ilvl w:val="0"/>
          <w:numId w:val="67"/>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附件和工具应是新的、从未使用过，并应与设备同时交付给采购人。除非采购人特殊要求，中标人应示范工具与附件的使用方法。执行合同所需的附件和工具由中标人提供。</w:t>
      </w:r>
    </w:p>
    <w:p>
      <w:pPr>
        <w:pStyle w:val="2"/>
        <w:numPr>
          <w:ilvl w:val="0"/>
          <w:numId w:val="67"/>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在完成供货、安装和取得验收证书之前，中标人应更换或修理好由于其安装而造成磨损或损坏的部件。</w:t>
      </w:r>
    </w:p>
    <w:p>
      <w:pPr>
        <w:pStyle w:val="2"/>
        <w:numPr>
          <w:ilvl w:val="0"/>
          <w:numId w:val="67"/>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附件应与主要设备分开包装，或置于设计为在规定的环境条件下能保存很长时间的箱子内。任何不能按照以上方式包装的部件则应涂装临时保护层以防腐，并避免机械损害。所有附件应用简要的描述和部件号标识清楚。</w:t>
      </w:r>
    </w:p>
    <w:p>
      <w:pPr>
        <w:pStyle w:val="2"/>
        <w:numPr>
          <w:ilvl w:val="0"/>
          <w:numId w:val="67"/>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法兰、密封垫、管接头、螺栓和螺母、电缆接头、接线箱等所有附件均包括在供货范围内。所有连接件应按 ISO 标准制造，所有附件的材料、密封垫片的厚度应确保其密封性、耐用性、耐腐蚀和抗老化。密封垫应适当剪切，无多余边露出法兰。</w:t>
      </w:r>
    </w:p>
    <w:p>
      <w:pPr>
        <w:pStyle w:val="2"/>
        <w:numPr>
          <w:ilvl w:val="0"/>
          <w:numId w:val="67"/>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在设备质量保证期内如果由于设备缺陷造成设备零部件磨损，中标人应免费负责更换。明确由于采购人误操作等采购人人为因素导致的设备损坏，不在此范围内。</w:t>
      </w:r>
    </w:p>
    <w:p>
      <w:pPr>
        <w:pStyle w:val="2"/>
        <w:numPr>
          <w:ilvl w:val="0"/>
          <w:numId w:val="67"/>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严格按照招标需求及投标文件中所列备品备件清单供货</w:t>
      </w:r>
    </w:p>
    <w:p>
      <w:pPr>
        <w:pStyle w:val="7"/>
        <w:numPr>
          <w:ilvl w:val="2"/>
          <w:numId w:val="65"/>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453" w:name="_Toc138017297"/>
      <w:bookmarkStart w:id="454" w:name="_Toc5438"/>
      <w:bookmarkStart w:id="455" w:name="_Toc145063570"/>
      <w:r>
        <w:rPr>
          <w:rFonts w:hint="eastAsia" w:asciiTheme="minorEastAsia" w:hAnsiTheme="minorEastAsia" w:eastAsiaTheme="minorEastAsia" w:cstheme="minorEastAsia"/>
          <w:color w:val="auto"/>
          <w:sz w:val="21"/>
          <w:szCs w:val="21"/>
          <w:highlight w:val="none"/>
          <w:lang w:eastAsia="zh-CN"/>
        </w:rPr>
        <w:t>设备考察、工厂验收和设计联络</w:t>
      </w:r>
      <w:bookmarkEnd w:id="453"/>
      <w:bookmarkEnd w:id="454"/>
      <w:bookmarkEnd w:id="455"/>
    </w:p>
    <w:p>
      <w:pPr>
        <w:pStyle w:val="2"/>
        <w:numPr>
          <w:ilvl w:val="0"/>
          <w:numId w:val="68"/>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中标人所有外购设备厂家，必须经ISO9001质量管理体系和ISO14001环境管理体系认证，以确保产品质量，供货时须提供相关资格文件。</w:t>
      </w:r>
    </w:p>
    <w:p>
      <w:pPr>
        <w:pStyle w:val="2"/>
        <w:numPr>
          <w:ilvl w:val="0"/>
          <w:numId w:val="68"/>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如采购人需要，中标人需安排采购人及其代表对主要设备的运行进行实地考察，了解类似已运行工程中上述设备的安装及运行情况。</w:t>
      </w:r>
    </w:p>
    <w:p>
      <w:pPr>
        <w:pStyle w:val="2"/>
        <w:numPr>
          <w:ilvl w:val="0"/>
          <w:numId w:val="68"/>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所有的设备应按本合同要求在制造厂检查和试验，以表明其运行性能以及设备、材料和结构的完整性。采购人有权派员参加工厂监造及验收。工厂验收应在设备制造厂进行了充分的检查、校正和试验之后实施。工厂验收合格仅表示采购人同意设备出厂运至使用现场，而非最终验收，中标人应提交设备的具体测试合格证书。采购人参加国内设备的工厂验收人数和时间由中标人提出，经采购人同意。中标人应根据设备制造进度，在工厂验收前一周向采购人发出工厂验收时间和安排。</w:t>
      </w:r>
    </w:p>
    <w:p>
      <w:pPr>
        <w:pStyle w:val="2"/>
        <w:numPr>
          <w:ilvl w:val="0"/>
          <w:numId w:val="68"/>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在施工图设计阶段，中标人根据采购人要求组织召开设计联络会议。</w:t>
      </w:r>
    </w:p>
    <w:p>
      <w:pPr>
        <w:pStyle w:val="7"/>
        <w:numPr>
          <w:ilvl w:val="2"/>
          <w:numId w:val="65"/>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456" w:name="_Toc28683"/>
      <w:r>
        <w:rPr>
          <w:rFonts w:hint="eastAsia" w:asciiTheme="minorEastAsia" w:hAnsiTheme="minorEastAsia" w:eastAsiaTheme="minorEastAsia" w:cstheme="minorEastAsia"/>
          <w:color w:val="auto"/>
          <w:sz w:val="21"/>
          <w:szCs w:val="21"/>
          <w:highlight w:val="none"/>
          <w:lang w:eastAsia="zh-CN"/>
        </w:rPr>
        <w:t xml:space="preserve"> </w:t>
      </w:r>
      <w:bookmarkStart w:id="457" w:name="_Toc145063571"/>
      <w:bookmarkStart w:id="458" w:name="_Toc138017298"/>
      <w:r>
        <w:rPr>
          <w:rFonts w:hint="eastAsia" w:asciiTheme="minorEastAsia" w:hAnsiTheme="minorEastAsia" w:eastAsiaTheme="minorEastAsia" w:cstheme="minorEastAsia"/>
          <w:color w:val="auto"/>
          <w:sz w:val="21"/>
          <w:szCs w:val="21"/>
          <w:highlight w:val="none"/>
          <w:lang w:eastAsia="zh-CN"/>
        </w:rPr>
        <w:t>设备的制造、运输、安装</w:t>
      </w:r>
      <w:bookmarkEnd w:id="456"/>
      <w:bookmarkEnd w:id="457"/>
      <w:bookmarkEnd w:id="458"/>
    </w:p>
    <w:p>
      <w:pPr>
        <w:pStyle w:val="2"/>
        <w:numPr>
          <w:ilvl w:val="0"/>
          <w:numId w:val="69"/>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计划与进度报告</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中标人在中标通知书发出后7个日历日内，应向采购人提交一份详细的工作计划，说明有关设备的制造、运输等具体进度日程。</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本工作计划应与规定的总进度相一致。</w:t>
      </w:r>
    </w:p>
    <w:p>
      <w:pPr>
        <w:pStyle w:val="2"/>
        <w:numPr>
          <w:ilvl w:val="0"/>
          <w:numId w:val="69"/>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设备制造中的检验与测试</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提供的所有设备和部件均由中标人及生产厂家用标准的测控仪器进行完整的检验和测试，并应提交给采购人产品制造质量合格证书以及检验和测试记录。上述质量合格证书应由中标人和生产厂家确认并签署，并须经采购人审查。有关检验和测试的所有费用由中标人承担。在设备产地进行的检验和测试不是对该设备的最后验收。</w:t>
      </w:r>
    </w:p>
    <w:p>
      <w:pPr>
        <w:pStyle w:val="2"/>
        <w:numPr>
          <w:ilvl w:val="0"/>
          <w:numId w:val="69"/>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包装、标志和运输</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产品启运前必须进行严格防腐、防损处理，包括防止害虫、暴晒、雨淋、霜冻、高温、潮湿、盐分和海水等造成的损害。</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凡设备上需油漆部分均需按规定进行处理，会腐蚀的、未油漆的部分需用经批准的保护剂全部涂抹，该保护剂在设备安装期间或在安装后应是易于抹去。</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另外，对所有设备应采取恰当的防腐、防损措施。</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所有设备的包装须足以承受陆上和海上的运输、搬运和码头的露天存放。中标人应对包装的设备负责，使其达到目的地后完整无缺。</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所有包装箱上应正确地标注下列内容：</w:t>
      </w:r>
    </w:p>
    <w:p>
      <w:pPr>
        <w:pStyle w:val="2"/>
        <w:numPr>
          <w:ilvl w:val="0"/>
          <w:numId w:val="15"/>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合同号；</w:t>
      </w:r>
    </w:p>
    <w:p>
      <w:pPr>
        <w:pStyle w:val="2"/>
        <w:numPr>
          <w:ilvl w:val="0"/>
          <w:numId w:val="15"/>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设备及备件的名称、代号；</w:t>
      </w:r>
    </w:p>
    <w:p>
      <w:pPr>
        <w:pStyle w:val="2"/>
        <w:numPr>
          <w:ilvl w:val="0"/>
          <w:numId w:val="15"/>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设备安装构、建筑物名称；</w:t>
      </w:r>
    </w:p>
    <w:p>
      <w:pPr>
        <w:pStyle w:val="2"/>
        <w:numPr>
          <w:ilvl w:val="0"/>
          <w:numId w:val="15"/>
        </w:numPr>
        <w:spacing w:before="0" w:after="0"/>
        <w:ind w:right="113"/>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通用的商务标志。</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内有危险品或易碎物品的包装箱应按当地或国际惯例对待。</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按照采购人的要求，中标人应随时告知设备的运输情况，在航寄给采购人的托运清单中应有质量合格证书和检测合格证。</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中标人应对设备运至现场的整个过程负责，包括保险、搬运和安全措施。</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中标人对采购人不予接受的、遭到缺损的任何设备及附件，应立即运走，予以更换，并根据合同条款和保险公司谈判索赔事宜。</w:t>
      </w:r>
    </w:p>
    <w:p>
      <w:pPr>
        <w:pStyle w:val="2"/>
        <w:numPr>
          <w:ilvl w:val="0"/>
          <w:numId w:val="69"/>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安装</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在安装工作开始前，中标人应向采购人提供安装等工作的说明书和标准。采购人、中标人及监理单位共同校核土建工程质量，并出具检测记录内容或报告，保证设备安装质量。</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按照现行行业标准进行设备设计及安装；采购人有明确品牌要求的材料及设备，中标单位必须按指定品牌采购，未经采购人同意擅自采购、使用的非指定品牌的，采购人有权要求中标人重新采购并返工，由此造成的经济及工期损失等由中标人承担。</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中标人应对所有计量仪器、仪表（压力表、温度计、在线监测仪等）、安全附件（安全阀等），在安装前送到具有相应资质的当地检验单位检验，经检验合格并出具正规的检验报告之后才能安装。</w:t>
      </w:r>
    </w:p>
    <w:p>
      <w:pPr>
        <w:pStyle w:val="7"/>
        <w:numPr>
          <w:ilvl w:val="2"/>
          <w:numId w:val="65"/>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459" w:name="_Toc6249"/>
      <w:r>
        <w:rPr>
          <w:rFonts w:hint="eastAsia" w:asciiTheme="minorEastAsia" w:hAnsiTheme="minorEastAsia" w:eastAsiaTheme="minorEastAsia" w:cstheme="minorEastAsia"/>
          <w:color w:val="auto"/>
          <w:sz w:val="21"/>
          <w:szCs w:val="21"/>
          <w:highlight w:val="none"/>
          <w:lang w:eastAsia="zh-CN"/>
        </w:rPr>
        <w:t xml:space="preserve"> </w:t>
      </w:r>
      <w:bookmarkStart w:id="460" w:name="_Toc145063572"/>
      <w:bookmarkStart w:id="461" w:name="_Toc138017299"/>
      <w:r>
        <w:rPr>
          <w:rFonts w:hint="eastAsia" w:asciiTheme="minorEastAsia" w:hAnsiTheme="minorEastAsia" w:eastAsiaTheme="minorEastAsia" w:cstheme="minorEastAsia"/>
          <w:color w:val="auto"/>
          <w:sz w:val="21"/>
          <w:szCs w:val="21"/>
          <w:highlight w:val="none"/>
          <w:lang w:eastAsia="zh-CN"/>
        </w:rPr>
        <w:t>设备安装、运行、维护手册</w:t>
      </w:r>
      <w:bookmarkEnd w:id="459"/>
      <w:bookmarkEnd w:id="460"/>
      <w:bookmarkEnd w:id="461"/>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中标人在设备交货的同时，应提供最终设备的全套中文版书面资料（含电子版）。所有单位和尺寸均应使用国际单位制。</w:t>
      </w:r>
    </w:p>
    <w:p>
      <w:pPr>
        <w:pStyle w:val="7"/>
        <w:numPr>
          <w:ilvl w:val="2"/>
          <w:numId w:val="65"/>
        </w:numPr>
        <w:spacing w:before="0" w:after="0" w:line="360" w:lineRule="auto"/>
        <w:jc w:val="both"/>
        <w:rPr>
          <w:rFonts w:hint="eastAsia" w:asciiTheme="minorEastAsia" w:hAnsiTheme="minorEastAsia" w:eastAsiaTheme="minorEastAsia" w:cstheme="minorEastAsia"/>
          <w:color w:val="auto"/>
          <w:sz w:val="21"/>
          <w:szCs w:val="21"/>
          <w:highlight w:val="none"/>
          <w:lang w:eastAsia="zh-CN"/>
        </w:rPr>
      </w:pPr>
      <w:bookmarkStart w:id="462" w:name="_Toc15345"/>
      <w:r>
        <w:rPr>
          <w:rFonts w:hint="eastAsia" w:asciiTheme="minorEastAsia" w:hAnsiTheme="minorEastAsia" w:eastAsiaTheme="minorEastAsia" w:cstheme="minorEastAsia"/>
          <w:color w:val="auto"/>
          <w:sz w:val="21"/>
          <w:szCs w:val="21"/>
          <w:highlight w:val="none"/>
          <w:lang w:eastAsia="zh-CN"/>
        </w:rPr>
        <w:t xml:space="preserve"> </w:t>
      </w:r>
      <w:bookmarkStart w:id="463" w:name="_Toc138017300"/>
      <w:bookmarkStart w:id="464" w:name="_Toc145063573"/>
      <w:r>
        <w:rPr>
          <w:rFonts w:hint="eastAsia" w:asciiTheme="minorEastAsia" w:hAnsiTheme="minorEastAsia" w:eastAsiaTheme="minorEastAsia" w:cstheme="minorEastAsia"/>
          <w:color w:val="auto"/>
          <w:sz w:val="21"/>
          <w:szCs w:val="21"/>
          <w:highlight w:val="none"/>
          <w:lang w:eastAsia="zh-CN"/>
        </w:rPr>
        <w:t>工艺及设备运行操作手册</w:t>
      </w:r>
      <w:bookmarkEnd w:id="462"/>
      <w:bookmarkEnd w:id="463"/>
      <w:bookmarkEnd w:id="464"/>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在项目运行前应提交全套中文版各设备、装备的《操作说明手册》及岗位安全规程（含可编辑WORD电子版）。文件中所有单位和尺寸均应使用国际单位制。手册内容应包括但不限如下：各系统详设备操作指导、重要监控点指标、相关的设备参数、通常问题及处理措施、操作注意事项、设备维护保养说明，自动化仪表运行软件的详细操作说明，电气详细操作说明等相关技术文件。</w:t>
      </w:r>
    </w:p>
    <w:p>
      <w:pPr>
        <w:pStyle w:val="7"/>
        <w:numPr>
          <w:ilvl w:val="2"/>
          <w:numId w:val="65"/>
        </w:numPr>
        <w:spacing w:before="0" w:after="0" w:line="360" w:lineRule="auto"/>
        <w:jc w:val="both"/>
        <w:rPr>
          <w:rFonts w:hint="eastAsia" w:asciiTheme="minorEastAsia" w:hAnsiTheme="minorEastAsia" w:eastAsiaTheme="minorEastAsia" w:cstheme="minorEastAsia"/>
          <w:color w:val="auto"/>
          <w:sz w:val="21"/>
          <w:szCs w:val="21"/>
          <w:highlight w:val="none"/>
          <w:lang w:eastAsia="zh-CN"/>
        </w:rPr>
      </w:pPr>
      <w:bookmarkStart w:id="465" w:name="_Toc26278"/>
      <w:r>
        <w:rPr>
          <w:rFonts w:hint="eastAsia" w:asciiTheme="minorEastAsia" w:hAnsiTheme="minorEastAsia" w:eastAsiaTheme="minorEastAsia" w:cstheme="minorEastAsia"/>
          <w:color w:val="auto"/>
          <w:sz w:val="21"/>
          <w:szCs w:val="21"/>
          <w:highlight w:val="none"/>
          <w:lang w:eastAsia="zh-CN"/>
        </w:rPr>
        <w:t xml:space="preserve"> </w:t>
      </w:r>
      <w:bookmarkStart w:id="466" w:name="_Toc145063574"/>
      <w:bookmarkStart w:id="467" w:name="_Toc138017301"/>
      <w:r>
        <w:rPr>
          <w:rFonts w:hint="eastAsia" w:asciiTheme="minorEastAsia" w:hAnsiTheme="minorEastAsia" w:eastAsiaTheme="minorEastAsia" w:cstheme="minorEastAsia"/>
          <w:color w:val="auto"/>
          <w:sz w:val="21"/>
          <w:szCs w:val="21"/>
          <w:highlight w:val="none"/>
          <w:lang w:eastAsia="zh-CN"/>
        </w:rPr>
        <w:t>工程验收</w:t>
      </w:r>
      <w:bookmarkEnd w:id="465"/>
      <w:bookmarkEnd w:id="466"/>
      <w:bookmarkEnd w:id="467"/>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中标人需根据采购人要求负责设备安装工程验收工作。工程验收分工程实物验收和</w:t>
      </w:r>
      <w:r>
        <w:rPr>
          <w:rStyle w:val="105"/>
          <w:rFonts w:hint="eastAsia" w:asciiTheme="minorEastAsia" w:hAnsiTheme="minorEastAsia" w:eastAsiaTheme="minorEastAsia" w:cstheme="minorEastAsia"/>
          <w:color w:val="auto"/>
          <w:sz w:val="21"/>
          <w:szCs w:val="21"/>
          <w:highlight w:val="none"/>
          <w:lang w:eastAsia="zh-CN"/>
        </w:rPr>
        <w:t>和性能验收，工程实物验收包括工程资料、安装工程和消防、环保、劳动保护设施等工程验收。性能验收以运行检测为主，检测及考核其性能保证状况。</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中标人还需配合采购人与业主方对整体工程的竣工验收。</w:t>
      </w:r>
    </w:p>
    <w:p>
      <w:pPr>
        <w:pStyle w:val="6"/>
        <w:numPr>
          <w:ilvl w:val="1"/>
          <w:numId w:val="64"/>
        </w:numPr>
        <w:spacing w:before="0" w:after="0" w:line="360" w:lineRule="auto"/>
        <w:rPr>
          <w:rFonts w:hint="eastAsia" w:asciiTheme="minorEastAsia" w:hAnsiTheme="minorEastAsia" w:eastAsiaTheme="minorEastAsia" w:cstheme="minorEastAsia"/>
          <w:color w:val="auto"/>
          <w:sz w:val="21"/>
          <w:szCs w:val="21"/>
          <w:highlight w:val="none"/>
        </w:rPr>
      </w:pPr>
      <w:bookmarkStart w:id="468" w:name="_Toc138017302"/>
      <w:bookmarkStart w:id="469" w:name="_Toc145063575"/>
      <w:bookmarkStart w:id="470" w:name="_Toc9487"/>
      <w:r>
        <w:rPr>
          <w:rFonts w:hint="eastAsia" w:asciiTheme="minorEastAsia" w:hAnsiTheme="minorEastAsia" w:eastAsiaTheme="minorEastAsia" w:cstheme="minorEastAsia"/>
          <w:color w:val="auto"/>
          <w:sz w:val="21"/>
          <w:szCs w:val="21"/>
          <w:highlight w:val="none"/>
          <w:lang w:eastAsia="zh-CN"/>
        </w:rPr>
        <w:t>采购人</w:t>
      </w:r>
      <w:r>
        <w:rPr>
          <w:rFonts w:hint="eastAsia" w:asciiTheme="minorEastAsia" w:hAnsiTheme="minorEastAsia" w:eastAsiaTheme="minorEastAsia" w:cstheme="minorEastAsia"/>
          <w:color w:val="auto"/>
          <w:sz w:val="21"/>
          <w:szCs w:val="21"/>
          <w:highlight w:val="none"/>
        </w:rPr>
        <w:t>职责</w:t>
      </w:r>
      <w:bookmarkEnd w:id="468"/>
      <w:bookmarkEnd w:id="469"/>
      <w:bookmarkEnd w:id="470"/>
    </w:p>
    <w:p>
      <w:pPr>
        <w:pStyle w:val="7"/>
        <w:numPr>
          <w:ilvl w:val="2"/>
          <w:numId w:val="70"/>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471" w:name="_Toc29415"/>
      <w:r>
        <w:rPr>
          <w:rFonts w:hint="eastAsia" w:asciiTheme="minorEastAsia" w:hAnsiTheme="minorEastAsia" w:eastAsiaTheme="minorEastAsia" w:cstheme="minorEastAsia"/>
          <w:color w:val="auto"/>
          <w:sz w:val="21"/>
          <w:szCs w:val="21"/>
          <w:highlight w:val="none"/>
          <w:lang w:eastAsia="zh-CN"/>
        </w:rPr>
        <w:t xml:space="preserve"> </w:t>
      </w:r>
      <w:bookmarkStart w:id="472" w:name="_Toc145063576"/>
      <w:bookmarkStart w:id="473" w:name="_Toc138017303"/>
      <w:r>
        <w:rPr>
          <w:rFonts w:hint="eastAsia" w:asciiTheme="minorEastAsia" w:hAnsiTheme="minorEastAsia" w:eastAsiaTheme="minorEastAsia" w:cstheme="minorEastAsia"/>
          <w:color w:val="auto"/>
          <w:sz w:val="21"/>
          <w:szCs w:val="21"/>
          <w:highlight w:val="none"/>
          <w:lang w:eastAsia="zh-CN"/>
        </w:rPr>
        <w:t>采购人的职责</w:t>
      </w:r>
      <w:bookmarkEnd w:id="471"/>
      <w:bookmarkEnd w:id="472"/>
      <w:bookmarkEnd w:id="473"/>
    </w:p>
    <w:p>
      <w:pPr>
        <w:pStyle w:val="2"/>
        <w:numPr>
          <w:ilvl w:val="0"/>
          <w:numId w:val="71"/>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采购人在履行合同过程中应遵守法律，并保证中标人免于承担因采购人违反法律而引起的任何责任。</w:t>
      </w:r>
    </w:p>
    <w:p>
      <w:pPr>
        <w:pStyle w:val="2"/>
        <w:numPr>
          <w:ilvl w:val="0"/>
          <w:numId w:val="71"/>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中标人办妥开工手续后发出开始工作通知。</w:t>
      </w:r>
    </w:p>
    <w:p>
      <w:pPr>
        <w:pStyle w:val="2"/>
        <w:numPr>
          <w:ilvl w:val="0"/>
          <w:numId w:val="71"/>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采购人应向中标人提供施工场地及进场施工条件，并明确与中标人的交接界面。</w:t>
      </w:r>
    </w:p>
    <w:p>
      <w:pPr>
        <w:pStyle w:val="2"/>
        <w:numPr>
          <w:ilvl w:val="0"/>
          <w:numId w:val="71"/>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合同价款由采购人支付给本次招标中标人。专用合同条款对采购人工程款支付担保有约定的，从其约定。</w:t>
      </w:r>
    </w:p>
    <w:p>
      <w:pPr>
        <w:pStyle w:val="2"/>
        <w:numPr>
          <w:ilvl w:val="0"/>
          <w:numId w:val="71"/>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采购人应履行合同约定的其他义务。</w:t>
      </w:r>
    </w:p>
    <w:p>
      <w:pPr>
        <w:pStyle w:val="7"/>
        <w:numPr>
          <w:ilvl w:val="2"/>
          <w:numId w:val="70"/>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474" w:name="_Toc24597"/>
      <w:r>
        <w:rPr>
          <w:rFonts w:hint="eastAsia" w:asciiTheme="minorEastAsia" w:hAnsiTheme="minorEastAsia" w:eastAsiaTheme="minorEastAsia" w:cstheme="minorEastAsia"/>
          <w:color w:val="auto"/>
          <w:sz w:val="21"/>
          <w:szCs w:val="21"/>
          <w:highlight w:val="none"/>
          <w:lang w:eastAsia="zh-CN"/>
        </w:rPr>
        <w:t xml:space="preserve"> </w:t>
      </w:r>
      <w:bookmarkStart w:id="475" w:name="_Toc145063577"/>
      <w:bookmarkStart w:id="476" w:name="_Toc138017304"/>
      <w:r>
        <w:rPr>
          <w:rFonts w:hint="eastAsia" w:asciiTheme="minorEastAsia" w:hAnsiTheme="minorEastAsia" w:eastAsiaTheme="minorEastAsia" w:cstheme="minorEastAsia"/>
          <w:color w:val="auto"/>
          <w:sz w:val="21"/>
          <w:szCs w:val="21"/>
          <w:highlight w:val="none"/>
          <w:lang w:eastAsia="zh-CN"/>
        </w:rPr>
        <w:t>由采购人提供的材料</w:t>
      </w:r>
      <w:bookmarkEnd w:id="474"/>
      <w:bookmarkEnd w:id="475"/>
      <w:bookmarkEnd w:id="476"/>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除特别注明外，采购人不为本工程提供材料。</w:t>
      </w:r>
    </w:p>
    <w:p>
      <w:pPr>
        <w:pStyle w:val="7"/>
        <w:numPr>
          <w:ilvl w:val="2"/>
          <w:numId w:val="70"/>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477" w:name="_Toc32413"/>
      <w:r>
        <w:rPr>
          <w:rFonts w:hint="eastAsia" w:asciiTheme="minorEastAsia" w:hAnsiTheme="minorEastAsia" w:eastAsiaTheme="minorEastAsia" w:cstheme="minorEastAsia"/>
          <w:color w:val="auto"/>
          <w:sz w:val="21"/>
          <w:szCs w:val="21"/>
          <w:highlight w:val="none"/>
          <w:lang w:eastAsia="zh-CN"/>
        </w:rPr>
        <w:t xml:space="preserve"> </w:t>
      </w:r>
      <w:bookmarkStart w:id="478" w:name="_Toc138017305"/>
      <w:bookmarkStart w:id="479" w:name="_Toc145063578"/>
      <w:r>
        <w:rPr>
          <w:rFonts w:hint="eastAsia" w:asciiTheme="minorEastAsia" w:hAnsiTheme="minorEastAsia" w:eastAsiaTheme="minorEastAsia" w:cstheme="minorEastAsia"/>
          <w:color w:val="auto"/>
          <w:sz w:val="21"/>
          <w:szCs w:val="21"/>
          <w:highlight w:val="none"/>
          <w:lang w:eastAsia="zh-CN"/>
        </w:rPr>
        <w:t>采购人提供的技术文件</w:t>
      </w:r>
      <w:bookmarkEnd w:id="477"/>
      <w:bookmarkEnd w:id="478"/>
      <w:bookmarkEnd w:id="479"/>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除另有批准外，中标人的工作需要遵照采购人的下列技术文件：</w:t>
      </w:r>
    </w:p>
    <w:p>
      <w:pPr>
        <w:pStyle w:val="2"/>
        <w:numPr>
          <w:ilvl w:val="0"/>
          <w:numId w:val="72"/>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项目的前期批文；</w:t>
      </w:r>
    </w:p>
    <w:p>
      <w:pPr>
        <w:pStyle w:val="2"/>
        <w:numPr>
          <w:ilvl w:val="0"/>
          <w:numId w:val="72"/>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前期设计资料。</w:t>
      </w:r>
    </w:p>
    <w:p>
      <w:pPr>
        <w:pStyle w:val="6"/>
        <w:numPr>
          <w:ilvl w:val="1"/>
          <w:numId w:val="64"/>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480" w:name="_Toc29247"/>
      <w:r>
        <w:rPr>
          <w:rFonts w:hint="eastAsia" w:asciiTheme="minorEastAsia" w:hAnsiTheme="minorEastAsia" w:eastAsiaTheme="minorEastAsia" w:cstheme="minorEastAsia"/>
          <w:color w:val="auto"/>
          <w:sz w:val="21"/>
          <w:szCs w:val="21"/>
          <w:highlight w:val="none"/>
          <w:lang w:eastAsia="zh-CN"/>
        </w:rPr>
        <w:t xml:space="preserve"> </w:t>
      </w:r>
      <w:bookmarkStart w:id="481" w:name="_Toc145063579"/>
      <w:bookmarkStart w:id="482" w:name="_Toc138017306"/>
      <w:r>
        <w:rPr>
          <w:rFonts w:hint="eastAsia" w:asciiTheme="minorEastAsia" w:hAnsiTheme="minorEastAsia" w:eastAsiaTheme="minorEastAsia" w:cstheme="minorEastAsia"/>
          <w:color w:val="auto"/>
          <w:sz w:val="21"/>
          <w:szCs w:val="21"/>
          <w:highlight w:val="none"/>
          <w:lang w:eastAsia="zh-CN"/>
        </w:rPr>
        <w:t>边界条件</w:t>
      </w:r>
      <w:bookmarkEnd w:id="480"/>
      <w:bookmarkEnd w:id="481"/>
      <w:bookmarkEnd w:id="482"/>
    </w:p>
    <w:tbl>
      <w:tblPr>
        <w:tblStyle w:val="34"/>
        <w:tblpPr w:leftFromText="181" w:rightFromText="181" w:vertAnchor="text" w:tblpXSpec="center" w:tblpY="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023"/>
        <w:gridCol w:w="1314"/>
        <w:gridCol w:w="4343"/>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680" w:type="dxa"/>
            <w:vAlign w:val="center"/>
          </w:tcPr>
          <w:p>
            <w:pPr>
              <w:pStyle w:val="2"/>
              <w:spacing w:before="0" w:line="360" w:lineRule="auto"/>
              <w:ind w:left="0"/>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序号</w:t>
            </w:r>
          </w:p>
        </w:tc>
        <w:tc>
          <w:tcPr>
            <w:tcW w:w="2337" w:type="dxa"/>
            <w:gridSpan w:val="2"/>
            <w:vAlign w:val="center"/>
          </w:tcPr>
          <w:p>
            <w:pPr>
              <w:pStyle w:val="2"/>
              <w:spacing w:before="0" w:line="360" w:lineRule="auto"/>
              <w:ind w:left="0"/>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边界条件</w:t>
            </w:r>
          </w:p>
        </w:tc>
        <w:tc>
          <w:tcPr>
            <w:tcW w:w="4343" w:type="dxa"/>
            <w:vAlign w:val="center"/>
          </w:tcPr>
          <w:p>
            <w:pPr>
              <w:pStyle w:val="2"/>
              <w:spacing w:before="0" w:line="360" w:lineRule="auto"/>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边界点(所有界区能源均需考虑计量)</w:t>
            </w:r>
          </w:p>
        </w:tc>
        <w:tc>
          <w:tcPr>
            <w:tcW w:w="1820" w:type="dxa"/>
            <w:vAlign w:val="center"/>
          </w:tcPr>
          <w:p>
            <w:pPr>
              <w:pStyle w:val="2"/>
              <w:spacing w:before="0" w:line="360" w:lineRule="auto"/>
              <w:ind w:left="0"/>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023" w:type="dxa"/>
            <w:vMerge w:val="restart"/>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投入</w:t>
            </w:r>
            <w:r>
              <w:rPr>
                <w:rFonts w:hint="eastAsia" w:asciiTheme="minorEastAsia" w:hAnsiTheme="minorEastAsia" w:eastAsiaTheme="minorEastAsia" w:cstheme="minorEastAsia"/>
                <w:color w:val="auto"/>
                <w:sz w:val="21"/>
                <w:szCs w:val="21"/>
                <w:highlight w:val="none"/>
                <w:lang w:eastAsia="zh-CN"/>
              </w:rPr>
              <w:t>接口</w:t>
            </w:r>
          </w:p>
        </w:tc>
        <w:tc>
          <w:tcPr>
            <w:tcW w:w="1314"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自来水</w:t>
            </w:r>
          </w:p>
        </w:tc>
        <w:tc>
          <w:tcPr>
            <w:tcW w:w="4343" w:type="dxa"/>
            <w:vAlign w:val="center"/>
          </w:tcPr>
          <w:p>
            <w:pPr>
              <w:pStyle w:val="2"/>
              <w:spacing w:before="0" w:line="360" w:lineRule="auto"/>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由中标人提资，采购人接至设备基础外1m范围内。</w:t>
            </w:r>
          </w:p>
        </w:tc>
        <w:tc>
          <w:tcPr>
            <w:tcW w:w="1820"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生产用水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023" w:type="dxa"/>
            <w:vMerge w:val="continue"/>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rPr>
            </w:pPr>
          </w:p>
        </w:tc>
        <w:tc>
          <w:tcPr>
            <w:tcW w:w="1314"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供电</w:t>
            </w:r>
          </w:p>
        </w:tc>
        <w:tc>
          <w:tcPr>
            <w:tcW w:w="4343" w:type="dxa"/>
            <w:vAlign w:val="center"/>
          </w:tcPr>
          <w:p>
            <w:pPr>
              <w:pStyle w:val="2"/>
              <w:spacing w:before="0" w:line="360" w:lineRule="auto"/>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供电电压为380V，采购人接至设备电控柜预留接口，中标人应考虑设备端接入电控柜。</w:t>
            </w:r>
          </w:p>
        </w:tc>
        <w:tc>
          <w:tcPr>
            <w:tcW w:w="1820"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中标人提资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80"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3</w:t>
            </w:r>
          </w:p>
        </w:tc>
        <w:tc>
          <w:tcPr>
            <w:tcW w:w="1023" w:type="dxa"/>
            <w:vMerge w:val="continue"/>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rPr>
            </w:pPr>
          </w:p>
        </w:tc>
        <w:tc>
          <w:tcPr>
            <w:tcW w:w="1314"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VOCs</w:t>
            </w:r>
          </w:p>
        </w:tc>
        <w:tc>
          <w:tcPr>
            <w:tcW w:w="4343" w:type="dxa"/>
            <w:vAlign w:val="center"/>
          </w:tcPr>
          <w:p>
            <w:pPr>
              <w:pStyle w:val="2"/>
              <w:spacing w:before="0" w:line="360" w:lineRule="auto"/>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装置生产过程中产生的废气，进入中标人提供的负压除臭系统处理，处理后的废气达标排放。</w:t>
            </w:r>
          </w:p>
        </w:tc>
        <w:tc>
          <w:tcPr>
            <w:tcW w:w="1820"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restart"/>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4</w:t>
            </w:r>
          </w:p>
        </w:tc>
        <w:tc>
          <w:tcPr>
            <w:tcW w:w="1023" w:type="dxa"/>
            <w:vMerge w:val="restart"/>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土建</w:t>
            </w:r>
          </w:p>
        </w:tc>
        <w:tc>
          <w:tcPr>
            <w:tcW w:w="1314"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土建</w:t>
            </w:r>
          </w:p>
        </w:tc>
        <w:tc>
          <w:tcPr>
            <w:tcW w:w="4343" w:type="dxa"/>
            <w:vAlign w:val="center"/>
          </w:tcPr>
          <w:p>
            <w:pPr>
              <w:pStyle w:val="2"/>
              <w:spacing w:before="0" w:line="360" w:lineRule="auto"/>
              <w:ind w:left="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中标人负责一次预埋件提资，并对预埋件的施工安装进行现场指导和检查验收。</w:t>
            </w:r>
          </w:p>
          <w:p>
            <w:pPr>
              <w:pStyle w:val="2"/>
              <w:spacing w:before="0" w:line="360" w:lineRule="auto"/>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对于地脚螺栓等非预埋的施工，其二次灌浆的土建施工由中标人负责。</w:t>
            </w:r>
          </w:p>
        </w:tc>
        <w:tc>
          <w:tcPr>
            <w:tcW w:w="1820"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p>
        </w:tc>
        <w:tc>
          <w:tcPr>
            <w:tcW w:w="1023" w:type="dxa"/>
            <w:vMerge w:val="continue"/>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p>
        </w:tc>
        <w:tc>
          <w:tcPr>
            <w:tcW w:w="1314"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消防</w:t>
            </w:r>
          </w:p>
        </w:tc>
        <w:tc>
          <w:tcPr>
            <w:tcW w:w="4343" w:type="dxa"/>
            <w:vAlign w:val="center"/>
          </w:tcPr>
          <w:p>
            <w:pPr>
              <w:pStyle w:val="2"/>
              <w:spacing w:before="0" w:line="360" w:lineRule="auto"/>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消防设施的土建不在本次招标范围内。如存在设备消防，中标人应按照有关标准和规范进行配置相关设施。</w:t>
            </w:r>
          </w:p>
        </w:tc>
        <w:tc>
          <w:tcPr>
            <w:tcW w:w="1820"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p>
        </w:tc>
        <w:tc>
          <w:tcPr>
            <w:tcW w:w="1023" w:type="dxa"/>
            <w:vMerge w:val="continue"/>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p>
        </w:tc>
        <w:tc>
          <w:tcPr>
            <w:tcW w:w="1314"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建筑、装修</w:t>
            </w:r>
          </w:p>
        </w:tc>
        <w:tc>
          <w:tcPr>
            <w:tcW w:w="4343" w:type="dxa"/>
            <w:vAlign w:val="center"/>
          </w:tcPr>
          <w:p>
            <w:pPr>
              <w:pStyle w:val="2"/>
              <w:spacing w:before="0" w:line="360" w:lineRule="auto"/>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建筑物、装修不在本标范围内。但因设备安装过程中在建构筑物上的开孔、植筋（栓）连接、破除等工程的修复施工由中标人负责，并恢复原貌。</w:t>
            </w:r>
          </w:p>
        </w:tc>
        <w:tc>
          <w:tcPr>
            <w:tcW w:w="1820"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680"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5</w:t>
            </w:r>
          </w:p>
        </w:tc>
        <w:tc>
          <w:tcPr>
            <w:tcW w:w="2337" w:type="dxa"/>
            <w:gridSpan w:val="2"/>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通讯接口及要求</w:t>
            </w:r>
          </w:p>
        </w:tc>
        <w:tc>
          <w:tcPr>
            <w:tcW w:w="4343" w:type="dxa"/>
            <w:vAlign w:val="center"/>
          </w:tcPr>
          <w:p>
            <w:pPr>
              <w:pStyle w:val="2"/>
              <w:spacing w:before="0" w:line="360" w:lineRule="auto"/>
              <w:ind w:left="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控制系统中标人提供工艺控制数据地址列表，采用以太网的方式，通讯协议为profinet。将网络介质敷设至中控室并接入压缩转运系统网络，提供工艺流程图并协助中控系统安装单位完成调试。</w:t>
            </w:r>
          </w:p>
        </w:tc>
        <w:tc>
          <w:tcPr>
            <w:tcW w:w="1820" w:type="dxa"/>
            <w:vAlign w:val="center"/>
          </w:tcPr>
          <w:p>
            <w:pPr>
              <w:pStyle w:val="2"/>
              <w:spacing w:before="0" w:line="360" w:lineRule="auto"/>
              <w:ind w:left="0"/>
              <w:jc w:val="center"/>
              <w:rPr>
                <w:rFonts w:hint="eastAsia" w:asciiTheme="minorEastAsia" w:hAnsiTheme="minorEastAsia" w:eastAsiaTheme="minorEastAsia" w:cstheme="minorEastAsia"/>
                <w:color w:val="auto"/>
                <w:sz w:val="21"/>
                <w:szCs w:val="21"/>
                <w:highlight w:val="none"/>
                <w:lang w:eastAsia="zh-CN"/>
              </w:rPr>
            </w:pPr>
          </w:p>
        </w:tc>
      </w:tr>
    </w:tbl>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bookmarkStart w:id="483" w:name="_Toc25943"/>
      <w:bookmarkStart w:id="484" w:name="_Toc138017307"/>
    </w:p>
    <w:p>
      <w:pPr>
        <w:pStyle w:val="5"/>
        <w:spacing w:before="0" w:after="0" w:line="360" w:lineRule="auto"/>
        <w:ind w:left="0"/>
        <w:rPr>
          <w:rFonts w:hint="eastAsia" w:asciiTheme="minorEastAsia" w:hAnsiTheme="minorEastAsia" w:eastAsiaTheme="minorEastAsia" w:cstheme="minorEastAsia"/>
          <w:color w:val="auto"/>
          <w:sz w:val="21"/>
          <w:szCs w:val="21"/>
          <w:highlight w:val="none"/>
        </w:rPr>
      </w:pPr>
      <w:bookmarkStart w:id="485" w:name="_Toc145063580"/>
      <w:r>
        <w:rPr>
          <w:rFonts w:hint="eastAsia" w:asciiTheme="minorEastAsia" w:hAnsiTheme="minorEastAsia" w:eastAsiaTheme="minorEastAsia" w:cstheme="minorEastAsia"/>
          <w:color w:val="auto"/>
          <w:sz w:val="21"/>
          <w:szCs w:val="21"/>
          <w:highlight w:val="none"/>
          <w:lang w:eastAsia="zh-CN"/>
        </w:rPr>
        <w:t>五、</w:t>
      </w:r>
      <w:r>
        <w:rPr>
          <w:rFonts w:hint="eastAsia" w:asciiTheme="minorEastAsia" w:hAnsiTheme="minorEastAsia" w:eastAsiaTheme="minorEastAsia" w:cstheme="minorEastAsia"/>
          <w:color w:val="auto"/>
          <w:sz w:val="21"/>
          <w:szCs w:val="21"/>
          <w:highlight w:val="none"/>
        </w:rPr>
        <w:t>设计条件和要求</w:t>
      </w:r>
      <w:bookmarkEnd w:id="483"/>
      <w:bookmarkEnd w:id="484"/>
      <w:bookmarkEnd w:id="485"/>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rPr>
      </w:pPr>
      <w:bookmarkStart w:id="486" w:name="_Toc12035"/>
      <w:r>
        <w:rPr>
          <w:rFonts w:hint="eastAsia" w:asciiTheme="minorEastAsia" w:hAnsiTheme="minorEastAsia" w:eastAsiaTheme="minorEastAsia" w:cstheme="minorEastAsia"/>
          <w:color w:val="auto"/>
          <w:sz w:val="21"/>
          <w:szCs w:val="21"/>
          <w:highlight w:val="none"/>
          <w:lang w:eastAsia="zh-CN"/>
        </w:rPr>
        <w:t xml:space="preserve"> </w:t>
      </w:r>
      <w:bookmarkStart w:id="487" w:name="_Toc145063581"/>
      <w:bookmarkStart w:id="488" w:name="_Toc138017308"/>
      <w:r>
        <w:rPr>
          <w:rFonts w:hint="eastAsia" w:asciiTheme="minorEastAsia" w:hAnsiTheme="minorEastAsia" w:eastAsiaTheme="minorEastAsia" w:cstheme="minorEastAsia"/>
          <w:color w:val="auto"/>
          <w:sz w:val="21"/>
          <w:szCs w:val="21"/>
          <w:highlight w:val="none"/>
        </w:rPr>
        <w:t>本项目标准及规范</w:t>
      </w:r>
      <w:bookmarkEnd w:id="486"/>
      <w:bookmarkEnd w:id="487"/>
      <w:bookmarkEnd w:id="488"/>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本招标项目的材料、设备、施工、验收须达到现行中华人民共和国以及省、自治区、直辖市或行业的工程建设标准、规范的要求。以下是主要应用的相关法规、标准和规定（包括但不限于；以下规范如有最新版本，则须以最新版本为准，下同。）：</w:t>
      </w:r>
    </w:p>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（1）城镇环境卫生设施设置标准(CJJ27-2012) </w:t>
      </w:r>
    </w:p>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（2）环境卫生技术规范(GB51260-2017) </w:t>
      </w:r>
    </w:p>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（3）生活垃圾转运站技术规范(CJJ 47-2016) </w:t>
      </w:r>
    </w:p>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（4）生活垃圾收集站技术规程(CJJ 179-2012) </w:t>
      </w:r>
    </w:p>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（5）城镇环境卫生设施除臭技术标准(CJJ274-2018) </w:t>
      </w:r>
    </w:p>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（6）机械安全机械电气设备第 1 部分:通用技术条件(GB 5226.1-2008) </w:t>
      </w:r>
    </w:p>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（7）恶臭污染物排放标准(GB 14554-93) </w:t>
      </w:r>
    </w:p>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（8）工业企业厂界环境噪声排放标准(GB 12348-2008) </w:t>
      </w:r>
    </w:p>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（9）大气环境质量标准(GB 3095-2012) </w:t>
      </w:r>
    </w:p>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（10）建筑设计防火规范(GB 50016-2014（2018 版）) </w:t>
      </w:r>
    </w:p>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（11）低压配电设计规范(GB 50054-2011) </w:t>
      </w:r>
    </w:p>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（12）通用用电设备配电设计规范(GB 50055-2011) </w:t>
      </w:r>
    </w:p>
    <w:p>
      <w:pPr>
        <w:widowControl/>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（13）供配电系统设计规范(GB 50052-2009) </w:t>
      </w:r>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rPr>
      </w:pPr>
      <w:bookmarkStart w:id="489" w:name="_Toc594"/>
      <w:r>
        <w:rPr>
          <w:rFonts w:hint="eastAsia" w:asciiTheme="minorEastAsia" w:hAnsiTheme="minorEastAsia" w:eastAsiaTheme="minorEastAsia" w:cstheme="minorEastAsia"/>
          <w:color w:val="auto"/>
          <w:sz w:val="21"/>
          <w:szCs w:val="21"/>
          <w:highlight w:val="none"/>
          <w:lang w:eastAsia="zh-CN"/>
        </w:rPr>
        <w:t xml:space="preserve"> </w:t>
      </w:r>
      <w:bookmarkStart w:id="490" w:name="_Toc145063582"/>
      <w:bookmarkStart w:id="491" w:name="_Toc138017309"/>
      <w:r>
        <w:rPr>
          <w:rFonts w:hint="eastAsia" w:asciiTheme="minorEastAsia" w:hAnsiTheme="minorEastAsia" w:eastAsiaTheme="minorEastAsia" w:cstheme="minorEastAsia"/>
          <w:color w:val="auto"/>
          <w:sz w:val="21"/>
          <w:szCs w:val="21"/>
          <w:highlight w:val="none"/>
        </w:rPr>
        <w:t>设计能力</w:t>
      </w:r>
      <w:bookmarkEnd w:id="489"/>
      <w:bookmarkEnd w:id="490"/>
      <w:bookmarkEnd w:id="491"/>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本项目设计</w:t>
      </w:r>
      <w:r>
        <w:rPr>
          <w:rFonts w:hint="eastAsia" w:asciiTheme="minorEastAsia" w:hAnsiTheme="minorEastAsia" w:eastAsiaTheme="minorEastAsia" w:cstheme="minorEastAsia"/>
          <w:b/>
          <w:bCs/>
          <w:color w:val="auto"/>
          <w:sz w:val="21"/>
          <w:szCs w:val="21"/>
          <w:highlight w:val="none"/>
          <w:lang w:eastAsia="zh-CN"/>
        </w:rPr>
        <w:t>压缩车间卸料大厅、卸料口负压除臭系统（60000m</w:t>
      </w:r>
      <w:r>
        <w:rPr>
          <w:rFonts w:hint="eastAsia" w:asciiTheme="minorEastAsia" w:hAnsiTheme="minorEastAsia" w:eastAsiaTheme="minorEastAsia" w:cstheme="minorEastAsia"/>
          <w:b/>
          <w:bCs/>
          <w:color w:val="auto"/>
          <w:sz w:val="21"/>
          <w:szCs w:val="21"/>
          <w:highlight w:val="none"/>
          <w:vertAlign w:val="superscript"/>
          <w:lang w:eastAsia="zh-CN"/>
        </w:rPr>
        <w:t>3</w:t>
      </w:r>
      <w:r>
        <w:rPr>
          <w:rFonts w:hint="eastAsia" w:asciiTheme="minorEastAsia" w:hAnsiTheme="minorEastAsia" w:eastAsiaTheme="minorEastAsia" w:cstheme="minorEastAsia"/>
          <w:b/>
          <w:bCs/>
          <w:color w:val="auto"/>
          <w:sz w:val="21"/>
          <w:szCs w:val="21"/>
          <w:highlight w:val="none"/>
          <w:lang w:eastAsia="zh-CN"/>
        </w:rPr>
        <w:t>/h）1套，压缩车间、污水池负压除臭系统（30000m3/h）1套，厨余垃圾车间负压除臭系统（30000m</w:t>
      </w:r>
      <w:r>
        <w:rPr>
          <w:rFonts w:hint="eastAsia" w:asciiTheme="minorEastAsia" w:hAnsiTheme="minorEastAsia" w:eastAsiaTheme="minorEastAsia" w:cstheme="minorEastAsia"/>
          <w:b/>
          <w:bCs/>
          <w:color w:val="auto"/>
          <w:sz w:val="21"/>
          <w:szCs w:val="21"/>
          <w:highlight w:val="none"/>
          <w:vertAlign w:val="superscript"/>
          <w:lang w:eastAsia="zh-CN"/>
        </w:rPr>
        <w:t>3</w:t>
      </w:r>
      <w:r>
        <w:rPr>
          <w:rFonts w:hint="eastAsia" w:asciiTheme="minorEastAsia" w:hAnsiTheme="minorEastAsia" w:eastAsiaTheme="minorEastAsia" w:cstheme="minorEastAsia"/>
          <w:b/>
          <w:bCs/>
          <w:color w:val="auto"/>
          <w:sz w:val="21"/>
          <w:szCs w:val="21"/>
          <w:highlight w:val="none"/>
          <w:lang w:eastAsia="zh-CN"/>
        </w:rPr>
        <w:t>/h）1套</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lang w:eastAsia="zh-CN"/>
        </w:rPr>
        <w:t>竹园站负压除臭系统（6000m</w:t>
      </w:r>
      <w:r>
        <w:rPr>
          <w:rFonts w:hint="eastAsia" w:asciiTheme="minorEastAsia" w:hAnsiTheme="minorEastAsia" w:eastAsiaTheme="minorEastAsia" w:cstheme="minorEastAsia"/>
          <w:b/>
          <w:bCs/>
          <w:color w:val="auto"/>
          <w:sz w:val="21"/>
          <w:szCs w:val="21"/>
          <w:highlight w:val="none"/>
          <w:vertAlign w:val="superscript"/>
          <w:lang w:eastAsia="zh-CN"/>
        </w:rPr>
        <w:t>3</w:t>
      </w:r>
      <w:r>
        <w:rPr>
          <w:rFonts w:hint="eastAsia" w:asciiTheme="minorEastAsia" w:hAnsiTheme="minorEastAsia" w:eastAsiaTheme="minorEastAsia" w:cstheme="minorEastAsia"/>
          <w:b/>
          <w:bCs/>
          <w:color w:val="auto"/>
          <w:sz w:val="21"/>
          <w:szCs w:val="21"/>
          <w:highlight w:val="none"/>
          <w:lang w:eastAsia="zh-CN"/>
        </w:rPr>
        <w:t>/h）1套</w:t>
      </w:r>
      <w:r>
        <w:rPr>
          <w:rFonts w:hint="eastAsia" w:asciiTheme="minorEastAsia" w:hAnsiTheme="minorEastAsia" w:eastAsiaTheme="minorEastAsia" w:cstheme="minorEastAsia"/>
          <w:color w:val="auto"/>
          <w:sz w:val="21"/>
          <w:szCs w:val="21"/>
          <w:highlight w:val="none"/>
          <w:lang w:eastAsia="zh-CN"/>
        </w:rPr>
        <w:t>，植物液喷淋除臭系统（每套处理能力不低于178～197.97 gal/h）3套。</w:t>
      </w:r>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rPr>
      </w:pPr>
      <w:bookmarkStart w:id="492" w:name="_Toc27614"/>
      <w:r>
        <w:rPr>
          <w:rFonts w:hint="eastAsia" w:asciiTheme="minorEastAsia" w:hAnsiTheme="minorEastAsia" w:eastAsiaTheme="minorEastAsia" w:cstheme="minorEastAsia"/>
          <w:color w:val="auto"/>
          <w:sz w:val="21"/>
          <w:szCs w:val="21"/>
          <w:highlight w:val="none"/>
          <w:lang w:eastAsia="zh-CN"/>
        </w:rPr>
        <w:t xml:space="preserve"> </w:t>
      </w:r>
      <w:bookmarkStart w:id="493" w:name="_Toc138017310"/>
      <w:bookmarkStart w:id="494" w:name="_Toc145063583"/>
      <w:r>
        <w:rPr>
          <w:rFonts w:hint="eastAsia" w:asciiTheme="minorEastAsia" w:hAnsiTheme="minorEastAsia" w:eastAsiaTheme="minorEastAsia" w:cstheme="minorEastAsia"/>
          <w:color w:val="auto"/>
          <w:sz w:val="21"/>
          <w:szCs w:val="21"/>
          <w:highlight w:val="none"/>
        </w:rPr>
        <w:t>设计使用年限</w:t>
      </w:r>
      <w:bookmarkEnd w:id="492"/>
      <w:bookmarkEnd w:id="493"/>
      <w:bookmarkEnd w:id="494"/>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中标人设计的材料和选择设备均应有较长的使用期，并应适合长期的每天二十四小时的连续运转或按设定的时间间隔断续运行，且只须进行最少量的维修。</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整体使用寿命不低于15年。</w:t>
      </w:r>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rPr>
      </w:pPr>
      <w:bookmarkStart w:id="495" w:name="_Toc26494"/>
      <w:r>
        <w:rPr>
          <w:rFonts w:hint="eastAsia" w:asciiTheme="minorEastAsia" w:hAnsiTheme="minorEastAsia" w:eastAsiaTheme="minorEastAsia" w:cstheme="minorEastAsia"/>
          <w:color w:val="auto"/>
          <w:sz w:val="21"/>
          <w:szCs w:val="21"/>
          <w:highlight w:val="none"/>
          <w:lang w:eastAsia="zh-CN"/>
        </w:rPr>
        <w:t xml:space="preserve"> </w:t>
      </w:r>
      <w:bookmarkStart w:id="496" w:name="_Toc145063584"/>
      <w:bookmarkStart w:id="497" w:name="_Toc138017311"/>
      <w:r>
        <w:rPr>
          <w:rFonts w:hint="eastAsia" w:asciiTheme="minorEastAsia" w:hAnsiTheme="minorEastAsia" w:eastAsiaTheme="minorEastAsia" w:cstheme="minorEastAsia"/>
          <w:color w:val="auto"/>
          <w:sz w:val="21"/>
          <w:szCs w:val="21"/>
          <w:highlight w:val="none"/>
        </w:rPr>
        <w:t>气候条件</w:t>
      </w:r>
      <w:bookmarkEnd w:id="495"/>
      <w:bookmarkEnd w:id="496"/>
      <w:bookmarkEnd w:id="497"/>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东莞市位于广东省中南部，珠江口东岸，东江下游的珠江三角洲，属亚热带季风气候，长夏无冬，日照充足，雨量充沛，温差变幅小，季风明显。年平均气温较高，平均气温高于 20℃的月份长达 8 个月，历年平均气:22.3℃。东莞市已成为广东省第四大暴雨中心，历史上最大 24 小时雨量为 545.4 毫米，发生于 1981 年 6 月 30 日至 7 月 1 日。近年极端强降雨有增多趋势，2005 年 5月 25 日凌晨莞城局部大暴雨，一小时雨量达 109.3mm，是历史上记录到的最大 1 小时降雨量。年均降雨量达 1802.5mm,其中约 82%的雨量集中在汛期(4～9 月）。</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中标人在施工时应考虑气候条件，合理安排施工进度及措施。</w:t>
      </w:r>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 xml:space="preserve"> </w:t>
      </w:r>
      <w:bookmarkStart w:id="498" w:name="_Toc138017312"/>
      <w:bookmarkStart w:id="499" w:name="_Toc145063585"/>
      <w:r>
        <w:rPr>
          <w:rFonts w:hint="eastAsia" w:asciiTheme="minorEastAsia" w:hAnsiTheme="minorEastAsia" w:eastAsiaTheme="minorEastAsia" w:cstheme="minorEastAsia"/>
          <w:color w:val="auto"/>
          <w:sz w:val="21"/>
          <w:szCs w:val="21"/>
          <w:highlight w:val="none"/>
          <w:lang w:eastAsia="zh-CN"/>
        </w:rPr>
        <w:t>河流水文</w:t>
      </w:r>
      <w:bookmarkEnd w:id="498"/>
      <w:bookmarkEnd w:id="499"/>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东莞市位于广东省的中南部，珠江入海口东侧，北临东江，西临珠江出海口狮子洋。境内主要河流有东江干流，东江三角洲网河区，以及支流石马河、寒溪水和东引运河等。东江流域平均年降水量在 1500～2400mm 之间，一般西南多，东北少；年内分配不均，汛期(4～9 月)占全年 80%以上。1959 年 6 月发生大洪水时暴雨中心河源站 3 天雨量达 632mm，博罗站(集水面积 2.53 万平方公里)实测崩堤洪峰流量12800m3/s(复堤还原计算洪峰流量为 14100m3/s)；1979年 9 月西枝江发生大洪水时石涧站 3 天暴雨量 978mm，平山站(集水面积 2091 平方公里)洪峰流量9000m3/s；暴雨洪水造成东江中下游严重灾害。枯水季节东江流量锐减，博罗站多年平均流量为716m3/s，但 1955 年 5 月 5 日曾出现最枯流量 31.4m/s,远不能满足国民经济发展的用水需要；而自 20 世纪 60 年代之后，流域以外的广州、深圳和香港九龙地区均需要从东江取水，致使东江枯季水量不足问题更加突出。1958～1987 年间在东江博罗以上干支流上先后建成了新丰江、枫树坝及白盆珠 3 座大型水库，使 1.17 万平方公里，即博罗以上的 46.3%集水面积的来水得到控制调节，为东江流域的综合治理与开发奠定了良好基础。 </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东莞市西部珠江河口潮汐属混合潮中的非正规半日型。具有一日两涨两落、潮差、潮时不等现象。一般以高高潮～低低潮～低高潮～高低潮的形式出现，麻涌～道沼以及虎门～长安以南亦受影响而具有与其相似的特点。由于三角洲河口呈喇叭形弯口而与汛潮期之南、东南风方向一致，在虎门与崖门水道潮差较大，而中部在湾门、磨刀门一带潮差较小，故属弱潮型河口，具有往复河流的潮流特性，流向西北，返回东南，流速一节(0.51m/s）。 </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海水回灌形成咸潮，其影响范围、时间长短随径流大小与海潮强弱而变化。若以 1g/L 之含盐量为分界标准，沿珠江口上溯可达 80km，沿东江水系直达麻涌、望牛墩、道沼、厚街一线。</w:t>
      </w:r>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rPr>
      </w:pPr>
      <w:bookmarkStart w:id="500" w:name="_Toc6604"/>
      <w:r>
        <w:rPr>
          <w:rFonts w:hint="eastAsia" w:asciiTheme="minorEastAsia" w:hAnsiTheme="minorEastAsia" w:eastAsiaTheme="minorEastAsia" w:cstheme="minorEastAsia"/>
          <w:color w:val="auto"/>
          <w:sz w:val="21"/>
          <w:szCs w:val="21"/>
          <w:highlight w:val="none"/>
          <w:lang w:eastAsia="zh-CN"/>
        </w:rPr>
        <w:t xml:space="preserve"> </w:t>
      </w:r>
      <w:bookmarkStart w:id="501" w:name="_Toc138017313"/>
      <w:bookmarkStart w:id="502" w:name="_Toc145063586"/>
      <w:r>
        <w:rPr>
          <w:rFonts w:hint="eastAsia" w:asciiTheme="minorEastAsia" w:hAnsiTheme="minorEastAsia" w:eastAsiaTheme="minorEastAsia" w:cstheme="minorEastAsia"/>
          <w:color w:val="auto"/>
          <w:sz w:val="21"/>
          <w:szCs w:val="21"/>
          <w:highlight w:val="none"/>
          <w:lang w:eastAsia="zh-CN"/>
        </w:rPr>
        <w:t>地形地貌</w:t>
      </w:r>
      <w:bookmarkEnd w:id="500"/>
      <w:bookmarkEnd w:id="501"/>
      <w:bookmarkEnd w:id="502"/>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东莞市地势东南高、西北低。地貌以丘陵台地、冲积平原为主。东南部多山，尤以东部为最，山体庞大，分割强烈，集中成片，起伏较大，海拔多在 200～600 米，坡度 30℃左右；中南部低山丘陵成片，为丘陵台地区;东北部接近东江河滨，陆地和河谷平原分布其中，海拔 30～80 米之间，坡度小，地势起伏和缓，为易于积水的埔田区；西北部是东江冲积而成的三角洲平原，是地势低平、水网纵横的围田区;西南部是滨临珠江口的江河冲积平原，地势平坦而低陷，是受潮汐影响较大的沙咸田地区。</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本场地位于东莞市中部。场地原为闲置空地，项目地块东面为道路，隔路为东莞市燕丰数控设备有限公司和东莞市酷石智能科技有限公司，南面为道路，隔路为东莞棱毅五金制造有限公司和广东格瑞新材料股份有限公司，西面为闲置空地及农田，北面为盆栽金桔种植场及农田。</w:t>
      </w:r>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rPr>
      </w:pPr>
      <w:bookmarkStart w:id="503" w:name="_Toc20136"/>
      <w:bookmarkStart w:id="504" w:name="_Toc194823977"/>
      <w:r>
        <w:rPr>
          <w:rFonts w:hint="eastAsia" w:asciiTheme="minorEastAsia" w:hAnsiTheme="minorEastAsia" w:eastAsiaTheme="minorEastAsia" w:cstheme="minorEastAsia"/>
          <w:color w:val="auto"/>
          <w:sz w:val="21"/>
          <w:szCs w:val="21"/>
          <w:highlight w:val="none"/>
          <w:lang w:eastAsia="zh-CN"/>
        </w:rPr>
        <w:t xml:space="preserve"> </w:t>
      </w:r>
      <w:bookmarkStart w:id="505" w:name="_Toc138017314"/>
      <w:bookmarkStart w:id="506" w:name="_Toc145063587"/>
      <w:r>
        <w:rPr>
          <w:rFonts w:hint="eastAsia" w:asciiTheme="minorEastAsia" w:hAnsiTheme="minorEastAsia" w:eastAsiaTheme="minorEastAsia" w:cstheme="minorEastAsia"/>
          <w:color w:val="auto"/>
          <w:sz w:val="21"/>
          <w:szCs w:val="21"/>
          <w:highlight w:val="none"/>
          <w:lang w:eastAsia="zh-CN"/>
        </w:rPr>
        <w:t>项目总平面</w:t>
      </w:r>
      <w:r>
        <w:rPr>
          <w:rFonts w:hint="eastAsia" w:asciiTheme="minorEastAsia" w:hAnsiTheme="minorEastAsia" w:eastAsiaTheme="minorEastAsia" w:cstheme="minorEastAsia"/>
          <w:color w:val="auto"/>
          <w:sz w:val="21"/>
          <w:szCs w:val="21"/>
          <w:highlight w:val="none"/>
        </w:rPr>
        <w:t>条件</w:t>
      </w:r>
      <w:bookmarkEnd w:id="503"/>
      <w:bookmarkEnd w:id="505"/>
      <w:bookmarkEnd w:id="506"/>
    </w:p>
    <w:bookmarkEnd w:id="504"/>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详见附件1：总平面图。</w:t>
      </w:r>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rPr>
      </w:pPr>
      <w:bookmarkStart w:id="507" w:name="_Toc25786"/>
      <w:r>
        <w:rPr>
          <w:rFonts w:hint="eastAsia" w:asciiTheme="minorEastAsia" w:hAnsiTheme="minorEastAsia" w:eastAsiaTheme="minorEastAsia" w:cstheme="minorEastAsia"/>
          <w:color w:val="auto"/>
          <w:sz w:val="21"/>
          <w:szCs w:val="21"/>
          <w:highlight w:val="none"/>
          <w:lang w:eastAsia="zh-CN"/>
        </w:rPr>
        <w:t xml:space="preserve"> </w:t>
      </w:r>
      <w:bookmarkStart w:id="508" w:name="_Toc145063588"/>
      <w:bookmarkStart w:id="509" w:name="_Toc138017315"/>
      <w:r>
        <w:rPr>
          <w:rFonts w:hint="eastAsia" w:asciiTheme="minorEastAsia" w:hAnsiTheme="minorEastAsia" w:eastAsiaTheme="minorEastAsia" w:cstheme="minorEastAsia"/>
          <w:color w:val="auto"/>
          <w:sz w:val="21"/>
          <w:szCs w:val="21"/>
          <w:highlight w:val="none"/>
          <w:lang w:eastAsia="zh-CN"/>
        </w:rPr>
        <w:t>项目简介</w:t>
      </w:r>
      <w:bookmarkEnd w:id="507"/>
      <w:bookmarkEnd w:id="508"/>
      <w:bookmarkEnd w:id="509"/>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在本项目的臭气产生源主要是垃圾压缩转运车间一楼压缩车间、污水处理池、二楼卸料大厅及厨余垃圾处理车间的餐厨预处理车间、大件园林垃圾处理车间、污水池；垃圾压缩处理车间配备雾化喷洒除臭系统，结合臭气净化系统，定期喷洒植物液除臭液，确保生产过程中产生的臭气不外逸；厨余垃圾处理车间设置臭气净化系统除臭，确保生产过程中产生的臭气不外逸。 </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除尘除臭系统主要处理垃圾压缩转运车间卸料口、一楼压缩车间、污水处理池、二楼卸料车间的臭气和厨余垃圾处理车间的餐厨预处理车间、大件园林垃圾处理车间、污水池的臭气。压缩车间的除臭风量由变频风机控制，当垃圾车到达卸料口前部时，通过地感线圈感应，风机高速运转，系统自动开始除尘除臭工作，使料槽上方呈负压状态，灰尘及臭气通过大容量离心风机鼓入净化装置除臭；当没有垃圾收集车卸料时，风机低速运转，除尘除臭系统低负荷工作。 </w:t>
      </w:r>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除尘除臭系统是由储液槽、洗涤塔体等分段（整体）联接而成，用于对作业过程中产生的粉尘、臭气进行集中处理，垃圾压缩转运车间采用“</w:t>
      </w:r>
      <w:r>
        <w:rPr>
          <w:rFonts w:hint="eastAsia" w:asciiTheme="minorEastAsia" w:hAnsiTheme="minorEastAsia" w:eastAsiaTheme="minorEastAsia" w:cstheme="minorEastAsia"/>
          <w:b/>
          <w:bCs/>
          <w:color w:val="auto"/>
          <w:sz w:val="21"/>
          <w:szCs w:val="21"/>
          <w:highlight w:val="none"/>
          <w:lang w:eastAsia="zh-CN"/>
        </w:rPr>
        <w:t>负压收集酸洗+碱洗</w:t>
      </w:r>
      <w:r>
        <w:rPr>
          <w:rFonts w:hint="eastAsia" w:asciiTheme="minorEastAsia" w:hAnsiTheme="minorEastAsia" w:eastAsiaTheme="minorEastAsia" w:cstheme="minorEastAsia"/>
          <w:color w:val="auto"/>
          <w:sz w:val="21"/>
          <w:szCs w:val="21"/>
          <w:highlight w:val="none"/>
          <w:lang w:eastAsia="zh-CN"/>
        </w:rPr>
        <w:t>”处理工艺，总处理能力：≥90000m³/h，厨余垃圾处理车间采用“</w:t>
      </w:r>
      <w:r>
        <w:rPr>
          <w:rFonts w:hint="eastAsia" w:asciiTheme="minorEastAsia" w:hAnsiTheme="minorEastAsia" w:eastAsiaTheme="minorEastAsia" w:cstheme="minorEastAsia"/>
          <w:b/>
          <w:bCs/>
          <w:color w:val="auto"/>
          <w:sz w:val="21"/>
          <w:szCs w:val="21"/>
          <w:highlight w:val="none"/>
          <w:lang w:eastAsia="zh-CN"/>
        </w:rPr>
        <w:t>负压收集酸洗+碱洗+生物滤床+紫外消毒</w:t>
      </w:r>
      <w:r>
        <w:rPr>
          <w:rFonts w:hint="eastAsia" w:asciiTheme="minorEastAsia" w:hAnsiTheme="minorEastAsia" w:eastAsiaTheme="minorEastAsia" w:cstheme="minorEastAsia"/>
          <w:color w:val="auto"/>
          <w:sz w:val="21"/>
          <w:szCs w:val="21"/>
          <w:highlight w:val="none"/>
          <w:lang w:eastAsia="zh-CN"/>
        </w:rPr>
        <w:t>”处理工艺，总处理能力：≥30000m³/h，两个转运车间均保证臭气经处理后达到《恶臭污染物排放标准》GB14554-93 中的二级排放标准。</w:t>
      </w:r>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510" w:name="_Toc10515"/>
      <w:r>
        <w:rPr>
          <w:rFonts w:hint="eastAsia" w:asciiTheme="minorEastAsia" w:hAnsiTheme="minorEastAsia" w:eastAsiaTheme="minorEastAsia" w:cstheme="minorEastAsia"/>
          <w:color w:val="auto"/>
          <w:sz w:val="21"/>
          <w:szCs w:val="21"/>
          <w:highlight w:val="none"/>
          <w:lang w:eastAsia="zh-CN"/>
        </w:rPr>
        <w:t xml:space="preserve"> </w:t>
      </w:r>
      <w:bookmarkStart w:id="511" w:name="_Toc138017316"/>
      <w:bookmarkStart w:id="512" w:name="_Toc145063589"/>
      <w:r>
        <w:rPr>
          <w:rFonts w:hint="eastAsia" w:asciiTheme="minorEastAsia" w:hAnsiTheme="minorEastAsia" w:eastAsiaTheme="minorEastAsia" w:cstheme="minorEastAsia"/>
          <w:color w:val="auto"/>
          <w:sz w:val="21"/>
          <w:szCs w:val="21"/>
          <w:highlight w:val="none"/>
          <w:lang w:eastAsia="zh-CN"/>
        </w:rPr>
        <w:t>主要工艺说明</w:t>
      </w:r>
      <w:bookmarkEnd w:id="510"/>
      <w:bookmarkEnd w:id="511"/>
      <w:bookmarkEnd w:id="512"/>
    </w:p>
    <w:p>
      <w:pPr>
        <w:pStyle w:val="7"/>
        <w:numPr>
          <w:ilvl w:val="2"/>
          <w:numId w:val="74"/>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513" w:name="_Toc18791"/>
      <w:r>
        <w:rPr>
          <w:rFonts w:hint="eastAsia" w:asciiTheme="minorEastAsia" w:hAnsiTheme="minorEastAsia" w:eastAsiaTheme="minorEastAsia" w:cstheme="minorEastAsia"/>
          <w:color w:val="auto"/>
          <w:sz w:val="21"/>
          <w:szCs w:val="21"/>
          <w:highlight w:val="none"/>
          <w:lang w:eastAsia="zh-CN"/>
        </w:rPr>
        <w:t xml:space="preserve"> </w:t>
      </w:r>
      <w:bookmarkStart w:id="514" w:name="_Toc145063590"/>
      <w:bookmarkStart w:id="515" w:name="_Toc138017317"/>
      <w:r>
        <w:rPr>
          <w:rFonts w:hint="eastAsia" w:asciiTheme="minorEastAsia" w:hAnsiTheme="minorEastAsia" w:eastAsiaTheme="minorEastAsia" w:cstheme="minorEastAsia"/>
          <w:color w:val="auto"/>
          <w:sz w:val="21"/>
          <w:szCs w:val="21"/>
          <w:highlight w:val="none"/>
          <w:lang w:eastAsia="zh-CN"/>
        </w:rPr>
        <w:t>负压除臭系统</w:t>
      </w:r>
      <w:bookmarkEnd w:id="513"/>
      <w:bookmarkEnd w:id="514"/>
      <w:bookmarkEnd w:id="515"/>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垃圾压缩转运车间的负压除尘除臭系统主要处理一楼压缩车间、污水处理池、垃圾卸料口、二楼卸料大厅的臭气。分2套系统处理，其中一楼压缩车间、污水处理池的处理风量≥30000m³/h；垃圾卸料口、二楼卸料大厅的臭气处理风量≥60000m³/h，风量由变频风机控制。当垃圾车到达卸料口前部时，系统自动开始除尘除臭工作，使料槽上方呈负压状态，灰尘及臭气通过大容量离心风机鼓入净化装置除臭；当没有垃圾收集车卸料时，风机低速运转，除尘除臭系统低负荷工作。厨余垃圾处理车间的负压除臭系统主要处理餐厨预处理车间、污水池、大件园林垃圾处理车间的臭气，处理风量≥30000m³/h，风量由变频风机控制。</w:t>
      </w:r>
    </w:p>
    <w:p>
      <w:pPr>
        <w:pStyle w:val="2"/>
        <w:spacing w:before="0" w:after="0"/>
        <w:ind w:left="0" w:right="113"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垃圾压缩转运车间的负压除尘除臭工艺采用“</w:t>
      </w:r>
      <w:r>
        <w:rPr>
          <w:rFonts w:hint="eastAsia" w:asciiTheme="minorEastAsia" w:hAnsiTheme="minorEastAsia" w:eastAsiaTheme="minorEastAsia" w:cstheme="minorEastAsia"/>
          <w:b/>
          <w:bCs/>
          <w:color w:val="auto"/>
          <w:sz w:val="21"/>
          <w:szCs w:val="21"/>
          <w:highlight w:val="none"/>
          <w:lang w:eastAsia="zh-CN"/>
        </w:rPr>
        <w:t>酸洗+碱洗</w:t>
      </w:r>
      <w:r>
        <w:rPr>
          <w:rFonts w:hint="eastAsia" w:asciiTheme="minorEastAsia" w:hAnsiTheme="minorEastAsia" w:eastAsiaTheme="minorEastAsia" w:cstheme="minorEastAsia"/>
          <w:color w:val="auto"/>
          <w:sz w:val="21"/>
          <w:szCs w:val="21"/>
          <w:highlight w:val="none"/>
          <w:lang w:eastAsia="zh-CN"/>
        </w:rPr>
        <w:t>”两级组合处理工艺，厨余垃圾处理车间采用“</w:t>
      </w:r>
      <w:r>
        <w:rPr>
          <w:rFonts w:hint="eastAsia" w:asciiTheme="minorEastAsia" w:hAnsiTheme="minorEastAsia" w:eastAsiaTheme="minorEastAsia" w:cstheme="minorEastAsia"/>
          <w:b/>
          <w:bCs/>
          <w:color w:val="auto"/>
          <w:sz w:val="21"/>
          <w:szCs w:val="21"/>
          <w:highlight w:val="none"/>
          <w:lang w:eastAsia="zh-CN"/>
        </w:rPr>
        <w:t>负压收集酸洗+碱洗+生物滤床+紫外消毒</w:t>
      </w:r>
      <w:r>
        <w:rPr>
          <w:rFonts w:hint="eastAsia" w:asciiTheme="minorEastAsia" w:hAnsiTheme="minorEastAsia" w:eastAsiaTheme="minorEastAsia" w:cstheme="minorEastAsia"/>
          <w:color w:val="auto"/>
          <w:sz w:val="21"/>
          <w:szCs w:val="21"/>
          <w:highlight w:val="none"/>
          <w:lang w:eastAsia="zh-CN"/>
        </w:rPr>
        <w:t>”的处理工艺，竹园压缩小站采用“综合洗涤+光等离子负压除臭”的处理工艺；保证臭气经处理后达到《恶臭污染物排放标准》GB14554-93 中的二级排放标准。</w:t>
      </w:r>
    </w:p>
    <w:p>
      <w:pPr>
        <w:pStyle w:val="7"/>
        <w:numPr>
          <w:ilvl w:val="2"/>
          <w:numId w:val="74"/>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516" w:name="_Toc31580"/>
      <w:r>
        <w:rPr>
          <w:rFonts w:hint="eastAsia" w:asciiTheme="minorEastAsia" w:hAnsiTheme="minorEastAsia" w:eastAsiaTheme="minorEastAsia" w:cstheme="minorEastAsia"/>
          <w:color w:val="auto"/>
          <w:sz w:val="21"/>
          <w:szCs w:val="21"/>
          <w:highlight w:val="none"/>
          <w:lang w:eastAsia="zh-CN"/>
        </w:rPr>
        <w:t xml:space="preserve"> </w:t>
      </w:r>
      <w:bookmarkStart w:id="517" w:name="_Toc145063591"/>
      <w:r>
        <w:rPr>
          <w:rFonts w:hint="eastAsia" w:asciiTheme="minorEastAsia" w:hAnsiTheme="minorEastAsia" w:eastAsiaTheme="minorEastAsia" w:cstheme="minorEastAsia"/>
          <w:color w:val="auto"/>
          <w:sz w:val="21"/>
          <w:szCs w:val="21"/>
          <w:highlight w:val="none"/>
          <w:lang w:eastAsia="zh-CN"/>
        </w:rPr>
        <w:t>植物液</w:t>
      </w:r>
      <w:bookmarkStart w:id="518" w:name="_Toc138017318"/>
      <w:r>
        <w:rPr>
          <w:rFonts w:hint="eastAsia" w:asciiTheme="minorEastAsia" w:hAnsiTheme="minorEastAsia" w:eastAsiaTheme="minorEastAsia" w:cstheme="minorEastAsia"/>
          <w:color w:val="auto"/>
          <w:sz w:val="21"/>
          <w:szCs w:val="21"/>
          <w:highlight w:val="none"/>
          <w:lang w:eastAsia="zh-CN"/>
        </w:rPr>
        <w:t>喷淋除臭系统</w:t>
      </w:r>
      <w:bookmarkEnd w:id="516"/>
      <w:bookmarkEnd w:id="517"/>
      <w:bookmarkEnd w:id="518"/>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在本项目设置喷淋除臭系统的场所主要有垃圾压缩转运车间一楼压缩车间及二楼卸料大厅，结合臭气净化系统，定期喷洒植物液除臭液，确保生产过程中产生的臭气不外逸。</w:t>
      </w:r>
    </w:p>
    <w:p>
      <w:pPr>
        <w:widowControl/>
        <w:ind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控制系统雾化喷洒系统由控制系统、铜质喷嘴、输送管、除臭剂配药系统、溶液过滤器等组成，完全自动化控制。</w:t>
      </w:r>
      <w:r>
        <w:rPr>
          <w:rFonts w:hint="eastAsia" w:asciiTheme="minorEastAsia" w:hAnsiTheme="minorEastAsia" w:eastAsiaTheme="minorEastAsia" w:cstheme="minorEastAsia"/>
          <w:b/>
          <w:bCs/>
          <w:color w:val="auto"/>
          <w:sz w:val="21"/>
          <w:szCs w:val="21"/>
          <w:highlight w:val="none"/>
          <w:lang w:eastAsia="zh-CN"/>
        </w:rPr>
        <w:t>相关控制、状态信号以硬线方式接入PLC控制系统，实现远方/就地都能够自动控制。</w:t>
      </w:r>
      <w:r>
        <w:rPr>
          <w:rFonts w:hint="eastAsia" w:asciiTheme="minorEastAsia" w:hAnsiTheme="minorEastAsia" w:eastAsiaTheme="minorEastAsia" w:cstheme="minorEastAsia"/>
          <w:color w:val="auto"/>
          <w:sz w:val="21"/>
          <w:szCs w:val="21"/>
          <w:highlight w:val="none"/>
          <w:lang w:eastAsia="zh-CN"/>
        </w:rPr>
        <w:t>实现全自动控制，自动喷雾，触摸屏和</w:t>
      </w:r>
      <w:r>
        <w:rPr>
          <w:rFonts w:hint="eastAsia" w:asciiTheme="minorEastAsia" w:hAnsiTheme="minorEastAsia" w:eastAsiaTheme="minorEastAsia" w:cstheme="minorEastAsia"/>
          <w:color w:val="auto"/>
          <w:sz w:val="21"/>
          <w:szCs w:val="21"/>
          <w:highlight w:val="none"/>
          <w:shd w:val="clear" w:color="auto" w:fill="FFFFFF"/>
          <w:lang w:eastAsia="zh-CN"/>
        </w:rPr>
        <w:t>SCADA上位监控系统</w:t>
      </w:r>
      <w:r>
        <w:rPr>
          <w:rFonts w:hint="eastAsia" w:asciiTheme="minorEastAsia" w:hAnsiTheme="minorEastAsia" w:eastAsiaTheme="minorEastAsia" w:cstheme="minorEastAsia"/>
          <w:color w:val="auto"/>
          <w:sz w:val="21"/>
          <w:szCs w:val="21"/>
          <w:highlight w:val="none"/>
          <w:lang w:eastAsia="zh-CN"/>
        </w:rPr>
        <w:t>画面上可进行喷洒时间及间隔时间的设置。</w:t>
      </w:r>
    </w:p>
    <w:p>
      <w:pPr>
        <w:widowControl/>
        <w:ind w:firstLine="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专用雾化喷嘴有专用除臭剂进口，调节合适的流量比例，雾化喷嘴就能喷出小于 0.01mm左右的雾滴。在微小的液滴表面形成极大表面能和表面积，更易吸附空气中的异味分子，并使异味分子中的立体结构发生变化，变得更不稳定，更易降解。常规情况下，雾化喷头每隔5分钟工作1次，1次工作3秒钟，喷洒半径不小于5m，对臭气源喷射雾化液滴，消除臭气源不断散发出来的臭气。根据臭气产生的特点，可以随时调节控制器的系统参数，以达到最佳除臭效果；具体要求如下：</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（1）雾化粒径： ≤ 30</w:t>
      </w:r>
      <w:r>
        <w:rPr>
          <w:rFonts w:hint="eastAsia" w:asciiTheme="minorEastAsia" w:hAnsiTheme="minorEastAsia" w:eastAsiaTheme="minorEastAsia" w:cstheme="minorEastAsia"/>
          <w:color w:val="auto"/>
          <w:sz w:val="21"/>
          <w:szCs w:val="21"/>
          <w:highlight w:val="none"/>
        </w:rPr>
        <w:t>μ</w:t>
      </w:r>
      <w:r>
        <w:rPr>
          <w:rFonts w:hint="eastAsia" w:asciiTheme="minorEastAsia" w:hAnsiTheme="minorEastAsia" w:eastAsiaTheme="minorEastAsia" w:cstheme="minorEastAsia"/>
          <w:color w:val="auto"/>
          <w:sz w:val="21"/>
          <w:szCs w:val="21"/>
          <w:highlight w:val="none"/>
          <w:lang w:eastAsia="zh-CN"/>
        </w:rPr>
        <w:t>m，无液滴情况发生。</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（2）最大雾化喷洒半径： ≥5m 。</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（3）喷雾间隔时间≤5分钟，喷雾时间不小于3秒。</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（4）喷头设置保证覆盖整个垃圾卸料大厅的每一个角落，喷头雾化效果明显，且不易堵塞。</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（5）喷头间距应根据臭气源浓度和除臭空间大小合理布置，要求垃圾卸料大厅进出口位置喷头加密布置，有效阻断垃圾池臭气外逸。</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（6）控制系统采用全自动电脑控制系统，自动喷雾，可进行喷洒时间及间隔时间的设置，电脑触摸屏直观显示操作流程，实现全自动化控制。</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（7）整个系统自动控制，在运行中可根据卸料大厅的实际情况调整设定控制间隔和喷淋用量。</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（8）整套系统运行平稳，适合长期不间断运行。</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9）除臭喷淋系统应能自动配置所需比例的植物液，按设定的时间段自动进行喷洒除臭工作，通过控制调节，喷嘴可实现分组分路工作，使系统在确保处理效果的同时，节约运行成本，储液箱须配置低液位报警装置。</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（10）泵体之间、管道与泵、管道之间、管道与阀门、管道与雾化喷头之间的连接须安全可靠，且方便拆卸和更换。</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（11）管路的布设与固定须科学合理、安全可靠，不影响正常的生产作业和其它设备的维修保养。</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（12）植物液对人体无毒无害，不得是臭味掩盖剂，卖方须提供国家卫生监督机构认可的鉴定单位测试对人体无毒无害的鉴定报告。</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（13）卖方须提供关于天然植物液资料：生产厂家、品牌、产品的功能、用途及使用方法、鉴定报告等。</w:t>
      </w:r>
    </w:p>
    <w:p>
      <w:pPr>
        <w:ind w:firstLine="0"/>
        <w:jc w:val="both"/>
        <w:rPr>
          <w:rFonts w:hint="eastAsia"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lang w:eastAsia="zh-CN"/>
        </w:rPr>
        <w:t>★垃圾压缩转运站首层至少配置1套高压雾化喷洒除臭系统，喷嘴数量≥90套；垃圾压缩转运站二层至少配置1套高压雾化喷洒除臭系统，喷嘴数量≥120套。厨余垃圾处理车间至少配置1套高压雾化喷洒除臭系统，喷嘴数量≥30套。</w:t>
      </w:r>
    </w:p>
    <w:p>
      <w:pPr>
        <w:ind w:firstLine="0"/>
        <w:rPr>
          <w:rFonts w:hint="eastAsia" w:asciiTheme="minorEastAsia" w:hAnsiTheme="minorEastAsia" w:eastAsiaTheme="minorEastAsia" w:cstheme="minorEastAsia"/>
          <w:b/>
          <w:color w:val="auto"/>
          <w:sz w:val="21"/>
          <w:szCs w:val="21"/>
          <w:highlight w:val="none"/>
          <w:lang w:eastAsia="zh-CN"/>
        </w:rPr>
      </w:pPr>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519" w:name="_Toc5104"/>
      <w:r>
        <w:rPr>
          <w:rFonts w:hint="eastAsia" w:asciiTheme="minorEastAsia" w:hAnsiTheme="minorEastAsia" w:eastAsiaTheme="minorEastAsia" w:cstheme="minorEastAsia"/>
          <w:color w:val="auto"/>
          <w:sz w:val="21"/>
          <w:szCs w:val="21"/>
          <w:highlight w:val="none"/>
          <w:lang w:eastAsia="zh-CN"/>
        </w:rPr>
        <w:t xml:space="preserve"> </w:t>
      </w:r>
      <w:bookmarkStart w:id="520" w:name="_Toc145063592"/>
      <w:bookmarkStart w:id="521" w:name="_Toc138017319"/>
      <w:r>
        <w:rPr>
          <w:rFonts w:hint="eastAsia" w:asciiTheme="minorEastAsia" w:hAnsiTheme="minorEastAsia" w:eastAsiaTheme="minorEastAsia" w:cstheme="minorEastAsia"/>
          <w:color w:val="auto"/>
          <w:sz w:val="21"/>
          <w:szCs w:val="21"/>
          <w:highlight w:val="none"/>
          <w:lang w:eastAsia="zh-CN"/>
        </w:rPr>
        <w:t>负压除臭系统设备参数及要求</w:t>
      </w:r>
      <w:bookmarkEnd w:id="519"/>
      <w:bookmarkEnd w:id="520"/>
      <w:bookmarkEnd w:id="521"/>
    </w:p>
    <w:p>
      <w:pPr>
        <w:rPr>
          <w:rFonts w:hint="eastAsia" w:asciiTheme="minorEastAsia" w:hAnsiTheme="minorEastAsia" w:eastAsiaTheme="minorEastAsia" w:cstheme="minorEastAsia"/>
          <w:color w:val="auto"/>
          <w:sz w:val="21"/>
          <w:szCs w:val="21"/>
          <w:highlight w:val="none"/>
          <w:lang w:eastAsia="zh-CN"/>
        </w:rPr>
      </w:pPr>
    </w:p>
    <w:tbl>
      <w:tblPr>
        <w:tblStyle w:val="34"/>
        <w:tblW w:w="8383"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956"/>
        <w:gridCol w:w="3494"/>
        <w:gridCol w:w="393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956" w:type="dxa"/>
            <w:tcBorders>
              <w:top w:val="single" w:color="auto" w:sz="8" w:space="0"/>
              <w:left w:val="single" w:color="auto" w:sz="8" w:space="0"/>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序号</w:t>
            </w:r>
          </w:p>
        </w:tc>
        <w:tc>
          <w:tcPr>
            <w:tcW w:w="3494"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对象名称</w:t>
            </w:r>
          </w:p>
        </w:tc>
        <w:tc>
          <w:tcPr>
            <w:tcW w:w="3933"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参数及要求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956" w:type="dxa"/>
            <w:tcBorders>
              <w:top w:val="single" w:color="auto" w:sz="8" w:space="0"/>
              <w:left w:val="single" w:color="auto" w:sz="8" w:space="0"/>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3494"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每套处理能力（m³/h）</w:t>
            </w:r>
          </w:p>
        </w:tc>
        <w:tc>
          <w:tcPr>
            <w:tcW w:w="3933"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厨余车间≥30000、压缩车间≥60000+30000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956" w:type="dxa"/>
            <w:tcBorders>
              <w:top w:val="single" w:color="auto" w:sz="8" w:space="0"/>
              <w:left w:val="single" w:color="auto" w:sz="8" w:space="0"/>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494"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风机</w:t>
            </w:r>
          </w:p>
        </w:tc>
        <w:tc>
          <w:tcPr>
            <w:tcW w:w="3933"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变频控制，材质：玻璃钢，全压≥2200Pa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956" w:type="dxa"/>
            <w:tcBorders>
              <w:top w:val="single" w:color="auto" w:sz="8" w:space="0"/>
              <w:left w:val="single" w:color="auto" w:sz="8" w:space="0"/>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w:t>
            </w:r>
          </w:p>
        </w:tc>
        <w:tc>
          <w:tcPr>
            <w:tcW w:w="3494"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噪音(dB)</w:t>
            </w:r>
          </w:p>
        </w:tc>
        <w:tc>
          <w:tcPr>
            <w:tcW w:w="3933"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956" w:type="dxa"/>
            <w:tcBorders>
              <w:top w:val="single" w:color="auto" w:sz="8" w:space="0"/>
              <w:left w:val="single" w:color="auto" w:sz="8" w:space="0"/>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3494"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喷淋塔规格（mm）</w:t>
            </w:r>
          </w:p>
        </w:tc>
        <w:tc>
          <w:tcPr>
            <w:tcW w:w="3933" w:type="dxa"/>
            <w:tcBorders>
              <w:top w:val="single" w:color="auto" w:sz="8" w:space="0"/>
              <w:left w:val="nil"/>
              <w:bottom w:val="single" w:color="auto" w:sz="8" w:space="0"/>
              <w:right w:val="single" w:color="auto" w:sz="8" w:space="0"/>
            </w:tcBorders>
            <w:vAlign w:val="center"/>
          </w:tcPr>
          <w:p>
            <w:pPr>
              <w:pStyle w:val="97"/>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液气比:≥2L/m³</w:t>
            </w:r>
          </w:p>
          <w:p>
            <w:pPr>
              <w:pStyle w:val="97"/>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空塔流速：≤1.5m/s</w:t>
            </w:r>
          </w:p>
          <w:p>
            <w:pPr>
              <w:pStyle w:val="97"/>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填料接触时间：≥1s</w:t>
            </w:r>
          </w:p>
          <w:p>
            <w:pPr>
              <w:pStyle w:val="97"/>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具备自动补水功能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956" w:type="dxa"/>
            <w:tcBorders>
              <w:top w:val="single" w:color="auto" w:sz="8" w:space="0"/>
              <w:left w:val="single" w:color="auto" w:sz="8" w:space="0"/>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w:t>
            </w:r>
          </w:p>
        </w:tc>
        <w:tc>
          <w:tcPr>
            <w:tcW w:w="3494"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循环泵</w:t>
            </w:r>
          </w:p>
        </w:tc>
        <w:tc>
          <w:tcPr>
            <w:tcW w:w="3933"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FPRR，扬程≥15m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956" w:type="dxa"/>
            <w:tcBorders>
              <w:top w:val="single" w:color="auto" w:sz="8" w:space="0"/>
              <w:left w:val="single" w:color="auto" w:sz="8" w:space="0"/>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3494"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风管</w:t>
            </w:r>
          </w:p>
        </w:tc>
        <w:tc>
          <w:tcPr>
            <w:tcW w:w="3933"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材质：PP，执行《通风与空调工程施工质量验收规范》GB50243-2016、《通风管道技术规程》JGJ／T 141-2017的规定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956" w:type="dxa"/>
            <w:tcBorders>
              <w:top w:val="single" w:color="auto" w:sz="8" w:space="0"/>
              <w:left w:val="single" w:color="auto" w:sz="8" w:space="0"/>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w:t>
            </w:r>
          </w:p>
        </w:tc>
        <w:tc>
          <w:tcPr>
            <w:tcW w:w="3494"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风管支吊架</w:t>
            </w:r>
          </w:p>
        </w:tc>
        <w:tc>
          <w:tcPr>
            <w:tcW w:w="3933"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执行《通风与空调工程施工质量验收规范》，图集08K132《金属、非金属风管支吊架》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956" w:type="dxa"/>
            <w:tcBorders>
              <w:top w:val="single" w:color="auto" w:sz="8" w:space="0"/>
              <w:left w:val="single" w:color="auto" w:sz="8" w:space="0"/>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w:t>
            </w:r>
          </w:p>
        </w:tc>
        <w:tc>
          <w:tcPr>
            <w:tcW w:w="3494"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其他要求</w:t>
            </w:r>
          </w:p>
        </w:tc>
        <w:tc>
          <w:tcPr>
            <w:tcW w:w="3933" w:type="dxa"/>
            <w:tcBorders>
              <w:top w:val="single" w:color="auto" w:sz="8" w:space="0"/>
              <w:left w:val="nil"/>
              <w:bottom w:val="single" w:color="auto" w:sz="8" w:space="0"/>
              <w:right w:val="single" w:color="auto" w:sz="8" w:space="0"/>
            </w:tcBorders>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具备自动补水、补充药剂功能</w:t>
            </w:r>
          </w:p>
        </w:tc>
      </w:tr>
    </w:tbl>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p>
    <w:p>
      <w:pPr>
        <w:widowControl/>
        <w:ind w:firstLine="0" w:firstLineChars="0"/>
        <w:jc w:val="both"/>
        <w:outlineLvl w:val="2"/>
        <w:rPr>
          <w:rFonts w:hint="eastAsia" w:asciiTheme="minorEastAsia" w:hAnsiTheme="minorEastAsia" w:eastAsiaTheme="minorEastAsia" w:cstheme="minorEastAsia"/>
          <w:b/>
          <w:bCs/>
          <w:color w:val="auto"/>
          <w:sz w:val="21"/>
          <w:szCs w:val="21"/>
          <w:highlight w:val="none"/>
          <w:lang w:eastAsia="zh-CN"/>
        </w:rPr>
      </w:pPr>
      <w:bookmarkStart w:id="522" w:name="_Toc145063593"/>
      <w:r>
        <w:rPr>
          <w:rFonts w:hint="eastAsia" w:asciiTheme="minorEastAsia" w:hAnsiTheme="minorEastAsia" w:eastAsiaTheme="minorEastAsia" w:cstheme="minorEastAsia"/>
          <w:b/>
          <w:bCs/>
          <w:color w:val="auto"/>
          <w:sz w:val="21"/>
          <w:szCs w:val="21"/>
          <w:highlight w:val="none"/>
          <w:lang w:eastAsia="zh-CN"/>
        </w:rPr>
        <w:t>5.10.1 化学除臭系统</w:t>
      </w:r>
      <w:bookmarkEnd w:id="522"/>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垃圾转运站负压抽风除尘除臭系统应具有异味除臭、除尘等功能。通过离心风机的强大吸力，灰尘及臭气成分从集风罩位置被吸起，过滤网将体积大质轻的垃圾拦截，灰尘、臭气等成分收集管道进入除尘除臭塔。废气由风管引入净化塔，经过填料层，废气与吸收液进行气液两相充分接触吸收中和反应，废气经过净化脱水除雾达标后排入大气。吸收液在塔底经水泵增压后在循环喷淋，最后回流至塔底循环使用。</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2）传输面积大，净化效率高。吸收塔应采用填料与喷雾相结合，使塔具有很大的接触面积。</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3）喷雾布液与填料布气，使气液分布特别均匀。气相阻力低，不存在堵塞问题。</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4）垃圾转运站负压抽风除尘除臭系统应采用PLC自动控制，可与远程室通讯，实现远程集远程制。（提供图片和技术说明）</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5）垃圾转运站净化塔底部应设有循环液水箱，在循环系统管路上应设有排泥过滤器。净化塔处理后产生的部分泥沙在循环水箱中沉淀，通过定期排污排除。（提供图片和技术说明）</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6）垃圾转运站负压抽风除尘除臭系统通过控制风机、循环水泵的启停来实现的。系统应采用触摸屏控制，面板设有手动启动、自动启动、急停等操作按钮。（提供图片和技术说明）</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7）垃圾转运站负压抽风除尘除臭系统必须要有触摸屏微电脑登陆系统（可以设置用户名和密码）（提供图片和技术说明）</w:t>
      </w:r>
    </w:p>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8）生活垃圾料斗吸气罩设置滤网，风管上设置电动风阀与压缩机联动，压缩机工作时开启风阀。</w:t>
      </w:r>
    </w:p>
    <w:p>
      <w:pPr>
        <w:rPr>
          <w:rFonts w:hint="eastAsia"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lang w:eastAsia="zh-CN"/>
        </w:rPr>
        <w:t xml:space="preserve">  ★</w:t>
      </w:r>
      <w:r>
        <w:rPr>
          <w:rFonts w:hint="eastAsia" w:asciiTheme="minorEastAsia" w:hAnsiTheme="minorEastAsia" w:eastAsiaTheme="minorEastAsia" w:cstheme="minorEastAsia"/>
          <w:color w:val="auto"/>
          <w:sz w:val="21"/>
          <w:szCs w:val="21"/>
          <w:highlight w:val="none"/>
          <w:lang w:eastAsia="zh-CN"/>
        </w:rPr>
        <w:t>9）</w:t>
      </w:r>
      <w:r>
        <w:rPr>
          <w:rFonts w:hint="eastAsia" w:asciiTheme="minorEastAsia" w:hAnsiTheme="minorEastAsia" w:eastAsiaTheme="minorEastAsia" w:cstheme="minorEastAsia"/>
          <w:b/>
          <w:color w:val="auto"/>
          <w:sz w:val="21"/>
          <w:szCs w:val="21"/>
          <w:highlight w:val="none"/>
          <w:lang w:eastAsia="zh-CN"/>
        </w:rPr>
        <w:t>除臭设备应满足以下工艺参数：除臭设备内的总停留时间（填料和臭气的接触时间）≥1s。</w:t>
      </w:r>
    </w:p>
    <w:p>
      <w:pPr>
        <w:widowControl/>
        <w:ind w:firstLine="0" w:firstLineChars="0"/>
        <w:jc w:val="both"/>
        <w:outlineLvl w:val="2"/>
        <w:rPr>
          <w:rFonts w:hint="eastAsia" w:asciiTheme="minorEastAsia" w:hAnsiTheme="minorEastAsia" w:eastAsiaTheme="minorEastAsia" w:cstheme="minorEastAsia"/>
          <w:b/>
          <w:bCs/>
          <w:color w:val="auto"/>
          <w:sz w:val="21"/>
          <w:szCs w:val="21"/>
          <w:highlight w:val="none"/>
          <w:lang w:eastAsia="zh-CN"/>
        </w:rPr>
      </w:pPr>
      <w:bookmarkStart w:id="523" w:name="_Toc145063594"/>
      <w:r>
        <w:rPr>
          <w:rFonts w:hint="eastAsia" w:asciiTheme="minorEastAsia" w:hAnsiTheme="minorEastAsia" w:eastAsiaTheme="minorEastAsia" w:cstheme="minorEastAsia"/>
          <w:b/>
          <w:bCs/>
          <w:color w:val="auto"/>
          <w:sz w:val="21"/>
          <w:szCs w:val="21"/>
          <w:highlight w:val="none"/>
          <w:lang w:eastAsia="zh-CN"/>
        </w:rPr>
        <w:t>5.10.2 高效生物滤池</w:t>
      </w:r>
      <w:bookmarkEnd w:id="523"/>
    </w:p>
    <w:p>
      <w:pPr>
        <w:widowControl/>
        <w:ind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1、技术要求</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除臭设备采用生物载体为填料的处理工艺，通过臭气收集系统使臭气通过填料进行生物降解，去除致臭成份，净化后可直接大气排放。</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根据标书要求确定其处理能力，该系统必须使处理后尾气达到相应的排放标准，同时具有除臭效率高、运行稳定可靠、管理方便、投资合理等优点。</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除臭设备的整体使用寿命须不低于15年。</w:t>
      </w:r>
    </w:p>
    <w:p>
      <w:pPr>
        <w:ind w:firstLine="0"/>
        <w:jc w:val="both"/>
        <w:rPr>
          <w:rFonts w:hint="eastAsia"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lang w:eastAsia="zh-CN"/>
        </w:rPr>
        <w:t>★除臭设备应满足以下工艺参数：除臭设备空塔流速（即臭气经生物滤床的流速）＜0.1</w:t>
      </w:r>
      <w:r>
        <w:rPr>
          <w:rFonts w:hint="eastAsia" w:asciiTheme="minorEastAsia" w:hAnsiTheme="minorEastAsia" w:eastAsiaTheme="minorEastAsia" w:cstheme="minorEastAsia"/>
          <w:b/>
          <w:bCs/>
          <w:color w:val="auto"/>
          <w:sz w:val="21"/>
          <w:szCs w:val="21"/>
          <w:highlight w:val="none"/>
          <w:shd w:val="clear" w:color="auto" w:fill="FFFFFF"/>
          <w:lang w:eastAsia="zh-CN"/>
        </w:rPr>
        <w:t>m/s</w:t>
      </w:r>
      <w:r>
        <w:rPr>
          <w:rFonts w:hint="eastAsia" w:asciiTheme="minorEastAsia" w:hAnsiTheme="minorEastAsia" w:eastAsiaTheme="minorEastAsia" w:cstheme="minorEastAsia"/>
          <w:b/>
          <w:color w:val="auto"/>
          <w:sz w:val="21"/>
          <w:szCs w:val="21"/>
          <w:highlight w:val="none"/>
          <w:lang w:eastAsia="zh-CN"/>
        </w:rPr>
        <w:t xml:space="preserve">，臭气在除臭设备内的总停留时间（填料和臭气的接触时间）≥20s。 </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在设备调试初期阶段即可确保臭气排放达标、对人体无影响并能确保系统在长时间闲置之后能在短时间（5天）内启动。</w:t>
      </w:r>
    </w:p>
    <w:p>
      <w:pPr>
        <w:widowControl/>
        <w:ind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2、设备主体技术要求</w:t>
      </w:r>
    </w:p>
    <w:p>
      <w:pPr>
        <w:pStyle w:val="98"/>
        <w:spacing w:line="360" w:lineRule="auto"/>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外框结构为玻璃钢板+碳钢防腐外骨架，厚度≥6mm，壳体内部与臭气接触采用玻璃钢树脂进行防腐，内表面防腐层的连接口不允许有渗漏，阻止腐蚀气体同外框架的接触，整体玻璃钢防腐材料不应含有氧化镁、氯化镁、氢氧化镁、碳酸钙等无机玻璃钢材料附加添加剂，树脂含量不小于65%，内层防腐采用乙烯基材质。壳体外部采用油漆防腐。</w:t>
      </w:r>
    </w:p>
    <w:p>
      <w:pPr>
        <w:pStyle w:val="98"/>
        <w:spacing w:line="360" w:lineRule="auto"/>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整体箱体保证足够的刚度、强度、并具耐腐蚀、防紫外、耐老化等性能，确保主体设备的使用寿命大于15年。除臭设备必须配置风管接口、管道接口、填料、观察窗、喷淋加湿装置等完善的附件。</w:t>
      </w:r>
    </w:p>
    <w:p>
      <w:pPr>
        <w:pStyle w:val="98"/>
        <w:spacing w:line="360" w:lineRule="auto"/>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设备固定螺栓采用不锈钢SS304材质。</w:t>
      </w:r>
    </w:p>
    <w:p>
      <w:pPr>
        <w:pStyle w:val="98"/>
        <w:spacing w:line="360" w:lineRule="auto"/>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除臭设备喷淋用水取自厂内回用中水，就近自行连接（需加装阀门、过滤器）。除臭设备排污排至就近污水井。所有水箱供水管（包括从厂区供水管接入水箱的补水管），水箱与泵体以及箱体连接管、排水管均须用1.0MP优质抗紫外UPVC管。</w:t>
      </w:r>
    </w:p>
    <w:p>
      <w:pPr>
        <w:pStyle w:val="98"/>
        <w:spacing w:line="360" w:lineRule="auto"/>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高效生物滤池除臭系统技术要求特点：</w:t>
      </w:r>
    </w:p>
    <w:p>
      <w:pPr>
        <w:pStyle w:val="98"/>
        <w:numPr>
          <w:ilvl w:val="0"/>
          <w:numId w:val="75"/>
        </w:numPr>
        <w:spacing w:line="360" w:lineRule="auto"/>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高效生物滤床阻力均匀 ，不大于800pa，且不会随运行时间增长而发生改变，运行费用低；</w:t>
      </w:r>
    </w:p>
    <w:p>
      <w:pPr>
        <w:pStyle w:val="98"/>
        <w:numPr>
          <w:ilvl w:val="0"/>
          <w:numId w:val="75"/>
        </w:numPr>
        <w:spacing w:line="360" w:lineRule="auto"/>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生物填料厚度适宜，需≤1.6m，气流分布均匀，气流与填料接触充分，容易获取营养，生物降解效果好；</w:t>
      </w:r>
    </w:p>
    <w:p>
      <w:pPr>
        <w:pStyle w:val="98"/>
        <w:numPr>
          <w:ilvl w:val="0"/>
          <w:numId w:val="75"/>
        </w:numPr>
        <w:spacing w:line="360" w:lineRule="auto"/>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脱落的生物膜能及时排出系统，避免生物滤床出现堵塞现象，保证生物降解效果。</w:t>
      </w:r>
    </w:p>
    <w:p>
      <w:pPr>
        <w:widowControl/>
        <w:ind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3、填料技术要求</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填料采用火山岩等专用填料，填料需具有良好的保湿性和透气性，并有比表面积大、阻力小、抗酸耐腐蚀、无压密的特点，使用寿命长，正常运行期间无需更换。由于其独特的材质，抗生物降解，耐酸性较高，在与酸性类臭气接触后，不会发生质变，因而不会出现压实、板结的现象。</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2）能够在运行初期、微生物驯养期间以及冲击负荷时达到除臭效果。</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3）填料的使用寿命须不低于15年，正常运行下其间不得更换。</w:t>
      </w:r>
    </w:p>
    <w:p>
      <w:pPr>
        <w:widowControl/>
        <w:ind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4、菌种要求</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生物除臭设备中，菌种的好坏直接影响到处理效果，因此投标人及其技术依托单位必须有菌种筛选、培育、接种能力，并有菌种分离、接种、保藏、驯化等必需的设备设施，以提供满足实际需要的菌种，并能根据臭气成分培养出相应的菌种对致臭物质进行吸附降解，否则难以保证除臭效果。</w:t>
      </w:r>
    </w:p>
    <w:p>
      <w:pPr>
        <w:widowControl/>
        <w:ind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5、喷淋系统</w:t>
      </w:r>
    </w:p>
    <w:p>
      <w:pPr>
        <w:pStyle w:val="99"/>
        <w:spacing w:line="360" w:lineRule="auto"/>
        <w:ind w:firstLine="0"/>
        <w:jc w:val="both"/>
        <w:rPr>
          <w:rFonts w:hint="eastAsia" w:asciiTheme="minorEastAsia" w:hAnsiTheme="minorEastAsia" w:eastAsiaTheme="minorEastAsia" w:cstheme="minorEastAsia"/>
          <w:color w:val="auto"/>
          <w:spacing w:val="0"/>
          <w:sz w:val="21"/>
          <w:szCs w:val="21"/>
          <w:highlight w:val="none"/>
          <w:lang w:eastAsia="zh-CN"/>
        </w:rPr>
      </w:pPr>
      <w:r>
        <w:rPr>
          <w:rFonts w:hint="eastAsia" w:asciiTheme="minorEastAsia" w:hAnsiTheme="minorEastAsia" w:eastAsiaTheme="minorEastAsia" w:cstheme="minorEastAsia"/>
          <w:color w:val="auto"/>
          <w:spacing w:val="0"/>
          <w:sz w:val="21"/>
          <w:szCs w:val="21"/>
          <w:highlight w:val="none"/>
          <w:lang w:eastAsia="zh-CN"/>
        </w:rPr>
        <w:t>喷淋管道采用UPVC材质，采用喷头/穿孔管形式，以保证气液接触的均匀性。</w:t>
      </w:r>
    </w:p>
    <w:p>
      <w:pPr>
        <w:widowControl/>
        <w:ind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6、资料提交</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承包商至少须提交以下资料(在投标文件中必须提供a、b、c、d、e)：</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a.除臭设备的系统布置图、除臭设备的平面图及剖面图（含进出气的管道位置、接口管径等）、除臭原理图、成套装置中各设备的详细技术规格、技术优势说明等；</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b.除臭设备的空池流速、接触时间、气液比、最大压损、补给水量等技术参数；</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c.设备的土建配合外形尺寸；荷载分布图；土建荷载及基础布置，预埋件要求；</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d.喷淋水系统水泵、管道、阀门平面布置图；喷淋水系统自控说明；</w:t>
      </w:r>
    </w:p>
    <w:p>
      <w:pPr>
        <w:widowControl/>
        <w:ind w:firstLine="0" w:firstLineChars="0"/>
        <w:jc w:val="both"/>
        <w:outlineLvl w:val="2"/>
        <w:rPr>
          <w:rFonts w:hint="eastAsia" w:asciiTheme="minorEastAsia" w:hAnsiTheme="minorEastAsia" w:eastAsiaTheme="minorEastAsia" w:cstheme="minorEastAsia"/>
          <w:b/>
          <w:bCs/>
          <w:color w:val="auto"/>
          <w:sz w:val="21"/>
          <w:szCs w:val="21"/>
          <w:highlight w:val="none"/>
          <w:lang w:eastAsia="zh-CN"/>
        </w:rPr>
      </w:pPr>
      <w:bookmarkStart w:id="524" w:name="_Toc145063595"/>
      <w:r>
        <w:rPr>
          <w:rFonts w:hint="eastAsia" w:asciiTheme="minorEastAsia" w:hAnsiTheme="minorEastAsia" w:eastAsiaTheme="minorEastAsia" w:cstheme="minorEastAsia"/>
          <w:b/>
          <w:bCs/>
          <w:color w:val="auto"/>
          <w:sz w:val="21"/>
          <w:szCs w:val="21"/>
          <w:highlight w:val="none"/>
          <w:lang w:eastAsia="zh-CN"/>
        </w:rPr>
        <w:t>5.10.3 风机</w:t>
      </w:r>
      <w:bookmarkEnd w:id="524"/>
    </w:p>
    <w:p>
      <w:pPr>
        <w:widowControl/>
        <w:ind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1、技术要求</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风机为离心式风机，材质为玻璃钢，适应于腐蚀性空气条件下长期间断或24小时连续运行。</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（1）额定风量以20℃、湿度为65%为准，允许最高温度85℃，总绝对效率高于90％。</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（2）风机设置防振垫，隔振效率≥80％。</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（3）风机有足够的流量和功率，风压在最大抽气量的条件下，具有高于系统压力损失10％的余量。</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（4）轴与壳体贯通处，无气体泄漏。</w:t>
      </w:r>
    </w:p>
    <w:p>
      <w:pPr>
        <w:widowControl/>
        <w:tabs>
          <w:tab w:val="left" w:pos="360"/>
          <w:tab w:val="left" w:pos="1020"/>
          <w:tab w:val="left" w:pos="1090"/>
        </w:tabs>
        <w:overflowPunct w:val="0"/>
        <w:adjustRightInd w:val="0"/>
        <w:ind w:firstLine="0" w:firstLineChars="0"/>
        <w:jc w:val="both"/>
        <w:textAlignment w:val="baseline"/>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（5）风机配套隔音防护罩，满足下列要求：</w:t>
      </w:r>
    </w:p>
    <w:p>
      <w:pPr>
        <w:widowControl/>
        <w:numPr>
          <w:ilvl w:val="3"/>
          <w:numId w:val="76"/>
        </w:numPr>
        <w:tabs>
          <w:tab w:val="left" w:pos="360"/>
          <w:tab w:val="left" w:pos="2268"/>
        </w:tabs>
        <w:overflowPunct w:val="0"/>
        <w:adjustRightInd w:val="0"/>
        <w:ind w:left="360" w:firstLine="0"/>
        <w:textAlignment w:val="baseline"/>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箱体成整体性，强度优越，结构紧蹙，有检修通道，满足隔音、保温及防潮之效果。</w:t>
      </w:r>
    </w:p>
    <w:p>
      <w:pPr>
        <w:widowControl/>
        <w:numPr>
          <w:ilvl w:val="3"/>
          <w:numId w:val="76"/>
        </w:numPr>
        <w:tabs>
          <w:tab w:val="left" w:pos="360"/>
          <w:tab w:val="left" w:pos="2268"/>
        </w:tabs>
        <w:overflowPunct w:val="0"/>
        <w:adjustRightInd w:val="0"/>
        <w:ind w:left="360" w:firstLine="0"/>
        <w:textAlignment w:val="baseline"/>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材料：铝合金框条+玻璃钢面板+玻璃纤维消音棉+玻璃钢面板。</w:t>
      </w:r>
    </w:p>
    <w:p>
      <w:pPr>
        <w:widowControl/>
        <w:numPr>
          <w:ilvl w:val="3"/>
          <w:numId w:val="76"/>
        </w:numPr>
        <w:tabs>
          <w:tab w:val="left" w:pos="360"/>
          <w:tab w:val="left" w:pos="2268"/>
        </w:tabs>
        <w:overflowPunct w:val="0"/>
        <w:adjustRightInd w:val="0"/>
        <w:ind w:left="360" w:firstLine="0"/>
        <w:textAlignment w:val="baseline"/>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便于现场吊装，有吊环及承重之共同基座。</w:t>
      </w:r>
    </w:p>
    <w:p>
      <w:pPr>
        <w:widowControl/>
        <w:numPr>
          <w:ilvl w:val="3"/>
          <w:numId w:val="76"/>
        </w:numPr>
        <w:tabs>
          <w:tab w:val="left" w:pos="360"/>
          <w:tab w:val="left" w:pos="2268"/>
        </w:tabs>
        <w:overflowPunct w:val="0"/>
        <w:adjustRightInd w:val="0"/>
        <w:ind w:left="360" w:firstLine="0"/>
        <w:textAlignment w:val="baseline"/>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距风机一米处噪声小于85分贝。</w:t>
      </w:r>
    </w:p>
    <w:p>
      <w:pPr>
        <w:widowControl/>
        <w:tabs>
          <w:tab w:val="left" w:pos="360"/>
          <w:tab w:val="left" w:pos="2268"/>
        </w:tabs>
        <w:overflowPunct w:val="0"/>
        <w:adjustRightInd w:val="0"/>
        <w:ind w:firstLine="0" w:firstLineChars="0"/>
        <w:jc w:val="both"/>
        <w:textAlignment w:val="baseline"/>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（6）能自动控制开停，也能由时间控制器控制开停，现场设有手动控制开头。</w:t>
      </w:r>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（7）排风机压力应满足包括以下方面的压力损失：</w:t>
      </w:r>
    </w:p>
    <w:p>
      <w:pPr>
        <w:pStyle w:val="46"/>
        <w:widowControl w:val="0"/>
        <w:numPr>
          <w:ilvl w:val="0"/>
          <w:numId w:val="77"/>
        </w:numPr>
        <w:autoSpaceDE w:val="0"/>
        <w:autoSpaceDN w:val="0"/>
        <w:adjustRightInd/>
        <w:snapToGrid/>
        <w:spacing w:line="468" w:lineRule="exact"/>
        <w:ind w:left="1206" w:hanging="42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考虑臭气收集风管的管道风压损失；</w:t>
      </w:r>
    </w:p>
    <w:p>
      <w:pPr>
        <w:pStyle w:val="46"/>
        <w:widowControl w:val="0"/>
        <w:numPr>
          <w:ilvl w:val="0"/>
          <w:numId w:val="77"/>
        </w:numPr>
        <w:autoSpaceDE w:val="0"/>
        <w:autoSpaceDN w:val="0"/>
        <w:adjustRightInd/>
        <w:snapToGrid/>
        <w:spacing w:line="468" w:lineRule="exact"/>
        <w:ind w:left="1206" w:hanging="42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考虑除臭设备系统风压损失。</w:t>
      </w:r>
    </w:p>
    <w:p>
      <w:pPr>
        <w:widowControl/>
        <w:ind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2、资料提交</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承包商须提供的除臭设备配套除臭风机，投标时必须提交以下资料a、b(但不限于此) </w:t>
      </w:r>
    </w:p>
    <w:p>
      <w:pPr>
        <w:pStyle w:val="46"/>
        <w:widowControl w:val="0"/>
        <w:numPr>
          <w:ilvl w:val="0"/>
          <w:numId w:val="78"/>
        </w:numPr>
        <w:autoSpaceDE w:val="0"/>
        <w:autoSpaceDN w:val="0"/>
        <w:adjustRightInd/>
        <w:snapToGrid/>
        <w:spacing w:line="468" w:lineRule="exact"/>
        <w:ind w:left="1206" w:hanging="42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风机的产品说明书，通风机的性能参数、外型、安装尺寸及安装、使用、维护等要求。</w:t>
      </w:r>
    </w:p>
    <w:p>
      <w:pPr>
        <w:pStyle w:val="46"/>
        <w:widowControl w:val="0"/>
        <w:numPr>
          <w:ilvl w:val="0"/>
          <w:numId w:val="78"/>
        </w:numPr>
        <w:autoSpaceDE w:val="0"/>
        <w:autoSpaceDN w:val="0"/>
        <w:adjustRightInd/>
        <w:snapToGrid/>
        <w:spacing w:line="468" w:lineRule="exact"/>
        <w:ind w:left="1206" w:hanging="42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风机性能曲线等</w:t>
      </w:r>
      <w:r>
        <w:rPr>
          <w:rFonts w:hint="eastAsia" w:asciiTheme="minorEastAsia" w:hAnsiTheme="minorEastAsia" w:eastAsiaTheme="minorEastAsia" w:cstheme="minorEastAsia"/>
          <w:color w:val="auto"/>
          <w:sz w:val="21"/>
          <w:szCs w:val="21"/>
          <w:highlight w:val="none"/>
          <w:lang w:eastAsia="zh-CN"/>
        </w:rPr>
        <w:t>。</w:t>
      </w:r>
    </w:p>
    <w:p>
      <w:pPr>
        <w:pStyle w:val="46"/>
        <w:widowControl w:val="0"/>
        <w:numPr>
          <w:ilvl w:val="0"/>
          <w:numId w:val="78"/>
        </w:numPr>
        <w:autoSpaceDE w:val="0"/>
        <w:autoSpaceDN w:val="0"/>
        <w:adjustRightInd/>
        <w:snapToGrid/>
        <w:spacing w:line="468" w:lineRule="exact"/>
        <w:ind w:left="1206" w:hanging="42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从事风机质量检验的检测部门的资质证书。</w:t>
      </w:r>
    </w:p>
    <w:p>
      <w:pPr>
        <w:widowControl/>
        <w:ind w:firstLine="0" w:firstLineChars="0"/>
        <w:jc w:val="both"/>
        <w:rPr>
          <w:rFonts w:hint="eastAsia" w:asciiTheme="minorEastAsia" w:hAnsiTheme="minorEastAsia" w:eastAsiaTheme="minorEastAsia" w:cstheme="minorEastAsia"/>
          <w:b/>
          <w:bCs/>
          <w:color w:val="auto"/>
          <w:sz w:val="21"/>
          <w:szCs w:val="21"/>
          <w:highlight w:val="none"/>
          <w:lang w:eastAsia="zh-CN"/>
        </w:rPr>
      </w:pPr>
    </w:p>
    <w:p>
      <w:pPr>
        <w:widowControl/>
        <w:ind w:firstLine="0" w:firstLineChars="0"/>
        <w:jc w:val="both"/>
        <w:outlineLvl w:val="2"/>
        <w:rPr>
          <w:rFonts w:hint="eastAsia" w:asciiTheme="minorEastAsia" w:hAnsiTheme="minorEastAsia" w:eastAsiaTheme="minorEastAsia" w:cstheme="minorEastAsia"/>
          <w:b/>
          <w:bCs/>
          <w:color w:val="auto"/>
          <w:sz w:val="21"/>
          <w:szCs w:val="21"/>
          <w:highlight w:val="none"/>
          <w:lang w:eastAsia="zh-CN"/>
        </w:rPr>
      </w:pPr>
      <w:bookmarkStart w:id="525" w:name="_Toc145063596"/>
      <w:r>
        <w:rPr>
          <w:rFonts w:hint="eastAsia" w:asciiTheme="minorEastAsia" w:hAnsiTheme="minorEastAsia" w:eastAsiaTheme="minorEastAsia" w:cstheme="minorEastAsia"/>
          <w:b/>
          <w:bCs/>
          <w:color w:val="auto"/>
          <w:sz w:val="21"/>
          <w:szCs w:val="21"/>
          <w:highlight w:val="none"/>
          <w:lang w:eastAsia="zh-CN"/>
        </w:rPr>
        <w:t>5.10.4 水泵</w:t>
      </w:r>
      <w:bookmarkEnd w:id="525"/>
    </w:p>
    <w:p>
      <w:pPr>
        <w:widowControl/>
        <w:ind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1、技术要求</w:t>
      </w:r>
    </w:p>
    <w:p>
      <w:pPr>
        <w:ind w:firstLine="0" w:firstLineChars="0"/>
        <w:rPr>
          <w:rFonts w:hint="eastAsia" w:asciiTheme="minorEastAsia" w:hAnsiTheme="minorEastAsia" w:eastAsiaTheme="minorEastAsia" w:cstheme="minorEastAsia"/>
          <w:color w:val="auto"/>
          <w:sz w:val="21"/>
          <w:szCs w:val="21"/>
          <w:highlight w:val="none"/>
          <w:lang w:eastAsia="zh-CN"/>
        </w:rPr>
      </w:pPr>
      <w:r>
        <w:rPr>
          <w:rStyle w:val="100"/>
          <w:rFonts w:hint="eastAsia" w:asciiTheme="minorEastAsia" w:hAnsiTheme="minorEastAsia" w:eastAsiaTheme="minorEastAsia" w:cstheme="minorEastAsia"/>
          <w:color w:val="auto"/>
          <w:sz w:val="21"/>
          <w:szCs w:val="21"/>
          <w:highlight w:val="none"/>
          <w:lang w:eastAsia="zh-CN"/>
        </w:rPr>
        <w:t>除臭系统所用水泵全部采用耐腐蚀泵，保持足够的流量和扬程，能24小时连续运转。电机防护等级为IP55，绝缘等级为F。</w:t>
      </w:r>
      <w:r>
        <w:rPr>
          <w:rFonts w:hint="eastAsia" w:asciiTheme="minorEastAsia" w:hAnsiTheme="minorEastAsia" w:eastAsiaTheme="minorEastAsia" w:cstheme="minorEastAsia"/>
          <w:color w:val="auto"/>
          <w:sz w:val="21"/>
          <w:szCs w:val="21"/>
          <w:highlight w:val="none"/>
          <w:lang w:eastAsia="zh-CN"/>
        </w:rPr>
        <w:br w:type="textWrapping"/>
      </w:r>
      <w:r>
        <w:rPr>
          <w:rStyle w:val="100"/>
          <w:rFonts w:hint="eastAsia" w:asciiTheme="minorEastAsia" w:hAnsiTheme="minorEastAsia" w:eastAsiaTheme="minorEastAsia" w:cstheme="minorEastAsia"/>
          <w:color w:val="auto"/>
          <w:sz w:val="21"/>
          <w:szCs w:val="21"/>
          <w:highlight w:val="none"/>
          <w:lang w:eastAsia="zh-CN"/>
        </w:rPr>
        <w:t>水泵应配用耐腐蚀泵的壳体、主轴及叶轮等所有部件，过滤部件采用不锈钢316/FRPP材质。水泵的流量、扬程应与除臭系统设备相匹配。水泵应加装不锈钢防雨罩，带控制隔离阀、滤网、接头、法兰管、喷嘴组件等。</w:t>
      </w:r>
    </w:p>
    <w:p>
      <w:pPr>
        <w:widowControl/>
        <w:ind w:firstLine="0" w:firstLineChars="0"/>
        <w:jc w:val="both"/>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2、资料提交</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投标人应提交下列资料但不限于以下内容：</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（1）水泵的特性曲线；</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（2）设备的外形尺寸；</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（3）产品样本。</w:t>
      </w:r>
    </w:p>
    <w:p>
      <w:pPr>
        <w:ind w:firstLine="0" w:firstLineChars="0"/>
        <w:rPr>
          <w:rFonts w:hint="eastAsia" w:asciiTheme="minorEastAsia" w:hAnsiTheme="minorEastAsia" w:eastAsiaTheme="minorEastAsia" w:cstheme="minorEastAsia"/>
          <w:color w:val="auto"/>
          <w:sz w:val="21"/>
          <w:szCs w:val="21"/>
          <w:highlight w:val="none"/>
          <w:lang w:eastAsia="zh-CN"/>
        </w:rPr>
      </w:pPr>
    </w:p>
    <w:p>
      <w:pPr>
        <w:widowControl/>
        <w:ind w:firstLine="0" w:firstLineChars="0"/>
        <w:jc w:val="both"/>
        <w:outlineLvl w:val="2"/>
        <w:rPr>
          <w:rFonts w:hint="eastAsia" w:asciiTheme="minorEastAsia" w:hAnsiTheme="minorEastAsia" w:eastAsiaTheme="minorEastAsia" w:cstheme="minorEastAsia"/>
          <w:b/>
          <w:bCs/>
          <w:color w:val="auto"/>
          <w:sz w:val="21"/>
          <w:szCs w:val="21"/>
          <w:highlight w:val="none"/>
          <w:lang w:eastAsia="zh-CN"/>
        </w:rPr>
      </w:pPr>
      <w:bookmarkStart w:id="526" w:name="_Toc145063597"/>
      <w:r>
        <w:rPr>
          <w:rFonts w:hint="eastAsia" w:asciiTheme="minorEastAsia" w:hAnsiTheme="minorEastAsia" w:eastAsiaTheme="minorEastAsia" w:cstheme="minorEastAsia"/>
          <w:b/>
          <w:bCs/>
          <w:color w:val="auto"/>
          <w:sz w:val="21"/>
          <w:szCs w:val="21"/>
          <w:highlight w:val="none"/>
          <w:lang w:eastAsia="zh-CN"/>
        </w:rPr>
        <w:t>5.10.5 排放筒</w:t>
      </w:r>
      <w:bookmarkEnd w:id="526"/>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臭气经由除臭系统净化处理后，经由排放系统至约25m（具体根据主管部门要求确定）高空排放。排放系统由排气筒、护塔、取样平台组成。本项目排气筒护塔为角型塔，设计风压0.45KN/m，抗震设防烈度为7度，所有构件全部采用碳钢材质。</w:t>
      </w:r>
    </w:p>
    <w:p>
      <w:pPr>
        <w:widowControl/>
        <w:ind w:firstLine="0" w:firstLineChars="0"/>
        <w:jc w:val="both"/>
        <w:outlineLvl w:val="2"/>
        <w:rPr>
          <w:rFonts w:hint="eastAsia" w:asciiTheme="minorEastAsia" w:hAnsiTheme="minorEastAsia" w:eastAsiaTheme="minorEastAsia" w:cstheme="minorEastAsia"/>
          <w:b/>
          <w:bCs/>
          <w:color w:val="auto"/>
          <w:sz w:val="21"/>
          <w:szCs w:val="21"/>
          <w:highlight w:val="none"/>
          <w:lang w:eastAsia="zh-CN"/>
        </w:rPr>
      </w:pPr>
      <w:bookmarkStart w:id="527" w:name="_Toc145063598"/>
      <w:r>
        <w:rPr>
          <w:rFonts w:hint="eastAsia" w:asciiTheme="minorEastAsia" w:hAnsiTheme="minorEastAsia" w:eastAsiaTheme="minorEastAsia" w:cstheme="minorEastAsia"/>
          <w:b/>
          <w:bCs/>
          <w:color w:val="auto"/>
          <w:sz w:val="21"/>
          <w:szCs w:val="21"/>
          <w:highlight w:val="none"/>
          <w:lang w:eastAsia="zh-CN"/>
        </w:rPr>
        <w:t>5.10.6 采样技术要求</w:t>
      </w:r>
      <w:bookmarkEnd w:id="527"/>
    </w:p>
    <w:p>
      <w:pPr>
        <w:ind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本项目设计标准化应设置采样平台，采样平台应有足够的工作面积使工作人员安全、方便地操作。平台面积应不小于1.5㎡，并设有 1.1m 高的护栏和不低于10cm的脚部挡板，采样平台的承重应不小于200kg/㎡,采样孔距平台面约为 1.2m~1.3m。具体需符合HJ/T 397-2007对于采样平台的规范要求。</w:t>
      </w:r>
    </w:p>
    <w:p>
      <w:pPr>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排放筒设置高度一览表</w:t>
      </w:r>
    </w:p>
    <w:tbl>
      <w:tblPr>
        <w:tblStyle w:val="35"/>
        <w:tblW w:w="94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445"/>
        <w:gridCol w:w="1445"/>
        <w:gridCol w:w="1285"/>
        <w:gridCol w:w="1445"/>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vAlign w:val="center"/>
          </w:tcPr>
          <w:p>
            <w:pPr>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序号</w:t>
            </w:r>
          </w:p>
        </w:tc>
        <w:tc>
          <w:tcPr>
            <w:tcW w:w="1445" w:type="dxa"/>
            <w:vAlign w:val="center"/>
          </w:tcPr>
          <w:p>
            <w:pPr>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名称</w:t>
            </w:r>
          </w:p>
        </w:tc>
        <w:tc>
          <w:tcPr>
            <w:tcW w:w="1445" w:type="dxa"/>
            <w:vAlign w:val="center"/>
          </w:tcPr>
          <w:p>
            <w:pPr>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排放筒</w:t>
            </w:r>
            <w:r>
              <w:rPr>
                <w:rFonts w:hint="eastAsia" w:asciiTheme="minorEastAsia" w:hAnsiTheme="minorEastAsia" w:eastAsiaTheme="minorEastAsia" w:cstheme="minorEastAsia"/>
                <w:b/>
                <w:bCs/>
                <w:color w:val="auto"/>
                <w:sz w:val="21"/>
                <w:szCs w:val="21"/>
                <w:highlight w:val="none"/>
                <w:lang w:eastAsia="zh-CN"/>
              </w:rPr>
              <w:t>距地</w:t>
            </w:r>
            <w:r>
              <w:rPr>
                <w:rFonts w:hint="eastAsia" w:asciiTheme="minorEastAsia" w:hAnsiTheme="minorEastAsia" w:eastAsiaTheme="minorEastAsia" w:cstheme="minorEastAsia"/>
                <w:b/>
                <w:bCs/>
                <w:color w:val="auto"/>
                <w:sz w:val="21"/>
                <w:szCs w:val="21"/>
                <w:highlight w:val="none"/>
              </w:rPr>
              <w:t>高度</w:t>
            </w:r>
          </w:p>
        </w:tc>
        <w:tc>
          <w:tcPr>
            <w:tcW w:w="1285" w:type="dxa"/>
            <w:vAlign w:val="center"/>
          </w:tcPr>
          <w:p>
            <w:pPr>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护塔高度</w:t>
            </w:r>
          </w:p>
        </w:tc>
        <w:tc>
          <w:tcPr>
            <w:tcW w:w="1445" w:type="dxa"/>
            <w:vAlign w:val="center"/>
          </w:tcPr>
          <w:p>
            <w:pPr>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取样口高度</w:t>
            </w:r>
          </w:p>
        </w:tc>
        <w:tc>
          <w:tcPr>
            <w:tcW w:w="2988" w:type="dxa"/>
            <w:vAlign w:val="center"/>
          </w:tcPr>
          <w:p>
            <w:pPr>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800" w:type="dxa"/>
            <w:vAlign w:val="center"/>
          </w:tcPr>
          <w:p>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445" w:type="dxa"/>
          </w:tcPr>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垃圾压缩转运站</w:t>
            </w:r>
          </w:p>
        </w:tc>
        <w:tc>
          <w:tcPr>
            <w:tcW w:w="1445" w:type="dxa"/>
            <w:vAlign w:val="center"/>
          </w:tcPr>
          <w:p>
            <w:pPr>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约25m</w:t>
            </w:r>
          </w:p>
        </w:tc>
        <w:tc>
          <w:tcPr>
            <w:tcW w:w="1285" w:type="dxa"/>
            <w:vAlign w:val="center"/>
          </w:tcPr>
          <w:p>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eastAsia="zh-CN"/>
              </w:rPr>
              <w:t>2.5</w:t>
            </w:r>
            <w:r>
              <w:rPr>
                <w:rFonts w:hint="eastAsia" w:asciiTheme="minorEastAsia" w:hAnsiTheme="minorEastAsia" w:eastAsiaTheme="minorEastAsia" w:cstheme="minorEastAsia"/>
                <w:color w:val="auto"/>
                <w:sz w:val="21"/>
                <w:szCs w:val="21"/>
                <w:highlight w:val="none"/>
              </w:rPr>
              <w:t>m</w:t>
            </w:r>
          </w:p>
        </w:tc>
        <w:tc>
          <w:tcPr>
            <w:tcW w:w="1445" w:type="dxa"/>
            <w:vAlign w:val="center"/>
          </w:tcPr>
          <w:p>
            <w:pPr>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+16.2m</w:t>
            </w:r>
          </w:p>
        </w:tc>
        <w:tc>
          <w:tcPr>
            <w:tcW w:w="2988" w:type="dxa"/>
          </w:tcPr>
          <w:p>
            <w:pPr>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设备摆放位置为垃圾压缩转运站二楼，即该地面标高+6.50m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vAlign w:val="center"/>
          </w:tcPr>
          <w:p>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445" w:type="dxa"/>
          </w:tcPr>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厨余垃圾处理车间</w:t>
            </w:r>
          </w:p>
        </w:tc>
        <w:tc>
          <w:tcPr>
            <w:tcW w:w="1445" w:type="dxa"/>
            <w:vAlign w:val="center"/>
          </w:tcPr>
          <w:p>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约25m</w:t>
            </w:r>
          </w:p>
        </w:tc>
        <w:tc>
          <w:tcPr>
            <w:tcW w:w="1285" w:type="dxa"/>
            <w:vAlign w:val="center"/>
          </w:tcPr>
          <w:p>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≥8</w:t>
            </w:r>
            <w:r>
              <w:rPr>
                <w:rFonts w:hint="eastAsia" w:asciiTheme="minorEastAsia" w:hAnsiTheme="minorEastAsia" w:eastAsiaTheme="minorEastAsia" w:cstheme="minorEastAsia"/>
                <w:color w:val="auto"/>
                <w:sz w:val="21"/>
                <w:szCs w:val="21"/>
                <w:highlight w:val="none"/>
              </w:rPr>
              <w:t>m</w:t>
            </w:r>
          </w:p>
        </w:tc>
        <w:tc>
          <w:tcPr>
            <w:tcW w:w="1445" w:type="dxa"/>
            <w:vAlign w:val="center"/>
          </w:tcPr>
          <w:p>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20.5</w:t>
            </w:r>
            <w:r>
              <w:rPr>
                <w:rFonts w:hint="eastAsia" w:asciiTheme="minorEastAsia" w:hAnsiTheme="minorEastAsia" w:eastAsiaTheme="minorEastAsia" w:cstheme="minorEastAsia"/>
                <w:color w:val="auto"/>
                <w:sz w:val="21"/>
                <w:szCs w:val="21"/>
                <w:highlight w:val="none"/>
              </w:rPr>
              <w:t>m</w:t>
            </w:r>
          </w:p>
        </w:tc>
        <w:tc>
          <w:tcPr>
            <w:tcW w:w="2988" w:type="dxa"/>
          </w:tcPr>
          <w:p>
            <w:pPr>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设备摆放位置为厨余垃圾处理车间顶楼，即该地面标高+13.00m</w:t>
            </w:r>
          </w:p>
        </w:tc>
      </w:tr>
    </w:tbl>
    <w:p>
      <w:pPr>
        <w:widowControl/>
        <w:ind w:firstLine="0" w:firstLineChars="0"/>
        <w:jc w:val="both"/>
        <w:rPr>
          <w:rFonts w:hint="eastAsia" w:asciiTheme="minorEastAsia" w:hAnsiTheme="minorEastAsia" w:eastAsiaTheme="minorEastAsia" w:cstheme="minorEastAsia"/>
          <w:color w:val="auto"/>
          <w:sz w:val="21"/>
          <w:szCs w:val="21"/>
          <w:highlight w:val="none"/>
          <w:lang w:eastAsia="zh-CN"/>
        </w:rPr>
      </w:pPr>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528" w:name="_Toc16629"/>
      <w:r>
        <w:rPr>
          <w:rFonts w:hint="eastAsia" w:asciiTheme="minorEastAsia" w:hAnsiTheme="minorEastAsia" w:eastAsiaTheme="minorEastAsia" w:cstheme="minorEastAsia"/>
          <w:color w:val="auto"/>
          <w:sz w:val="21"/>
          <w:szCs w:val="21"/>
          <w:highlight w:val="none"/>
          <w:lang w:eastAsia="zh-CN"/>
        </w:rPr>
        <w:t xml:space="preserve"> </w:t>
      </w:r>
      <w:bookmarkStart w:id="529" w:name="_Toc145063599"/>
      <w:bookmarkStart w:id="530" w:name="_Toc138017320"/>
      <w:r>
        <w:rPr>
          <w:rFonts w:hint="eastAsia" w:asciiTheme="minorEastAsia" w:hAnsiTheme="minorEastAsia" w:eastAsiaTheme="minorEastAsia" w:cstheme="minorEastAsia"/>
          <w:color w:val="auto"/>
          <w:sz w:val="21"/>
          <w:szCs w:val="21"/>
          <w:highlight w:val="none"/>
          <w:lang w:eastAsia="zh-CN"/>
        </w:rPr>
        <w:t>喷淋除臭系统设备参数及要求</w:t>
      </w:r>
      <w:bookmarkEnd w:id="528"/>
      <w:bookmarkEnd w:id="529"/>
      <w:bookmarkEnd w:id="530"/>
    </w:p>
    <w:tbl>
      <w:tblPr>
        <w:tblStyle w:val="34"/>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3493"/>
        <w:gridCol w:w="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53" w:type="dxa"/>
            <w:vAlign w:val="center"/>
          </w:tcPr>
          <w:p>
            <w:pPr>
              <w:pStyle w:val="97"/>
              <w:spacing w:line="360" w:lineRule="auto"/>
              <w:jc w:val="center"/>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序号</w:t>
            </w:r>
          </w:p>
        </w:tc>
        <w:tc>
          <w:tcPr>
            <w:tcW w:w="3493" w:type="dxa"/>
            <w:vAlign w:val="center"/>
          </w:tcPr>
          <w:p>
            <w:pPr>
              <w:pStyle w:val="97"/>
              <w:spacing w:line="360" w:lineRule="auto"/>
              <w:jc w:val="center"/>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对象名称</w:t>
            </w:r>
          </w:p>
        </w:tc>
        <w:tc>
          <w:tcPr>
            <w:tcW w:w="4174" w:type="dxa"/>
            <w:vAlign w:val="center"/>
          </w:tcPr>
          <w:p>
            <w:pPr>
              <w:pStyle w:val="97"/>
              <w:spacing w:line="360" w:lineRule="auto"/>
              <w:jc w:val="center"/>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jc w:val="center"/>
        </w:trPr>
        <w:tc>
          <w:tcPr>
            <w:tcW w:w="853"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3493"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系统组成</w:t>
            </w:r>
          </w:p>
        </w:tc>
        <w:tc>
          <w:tcPr>
            <w:tcW w:w="4174"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控制柜、高压柱塞泵、药液箱、储水箱、过滤器、控制系统、高压不锈钢管路和高精密雾化喷嘴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2" w:hRule="atLeast"/>
          <w:jc w:val="center"/>
        </w:trPr>
        <w:tc>
          <w:tcPr>
            <w:tcW w:w="853"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493"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控制系统操作界面</w:t>
            </w:r>
          </w:p>
        </w:tc>
        <w:tc>
          <w:tcPr>
            <w:tcW w:w="4174"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液晶面板，人机界面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53"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w:t>
            </w:r>
          </w:p>
        </w:tc>
        <w:tc>
          <w:tcPr>
            <w:tcW w:w="3493"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喷洒及间隔时间程序</w:t>
            </w:r>
          </w:p>
        </w:tc>
        <w:tc>
          <w:tcPr>
            <w:tcW w:w="4174"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PLC程序自动控制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53"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3493"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喷嘴数量</w:t>
            </w:r>
          </w:p>
        </w:tc>
        <w:tc>
          <w:tcPr>
            <w:tcW w:w="4174"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53"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w:t>
            </w:r>
          </w:p>
        </w:tc>
        <w:tc>
          <w:tcPr>
            <w:tcW w:w="3493"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处理效率</w:t>
            </w:r>
          </w:p>
        </w:tc>
        <w:tc>
          <w:tcPr>
            <w:tcW w:w="4174"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总效率≥90%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53" w:type="dxa"/>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7667" w:type="dxa"/>
            <w:gridSpan w:val="2"/>
            <w:vAlign w:val="center"/>
          </w:tcPr>
          <w:p>
            <w:pPr>
              <w:pStyle w:val="97"/>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植物液喷淋除臭系统有效实现喷雾消毒除臭,喷淋系统功率需≥500 W</w:t>
            </w:r>
          </w:p>
        </w:tc>
      </w:tr>
    </w:tbl>
    <w:p>
      <w:pPr>
        <w:ind w:firstLine="0" w:firstLineChars="0"/>
        <w:rPr>
          <w:rFonts w:hint="eastAsia" w:asciiTheme="minorEastAsia" w:hAnsiTheme="minorEastAsia" w:eastAsiaTheme="minorEastAsia" w:cstheme="minorEastAsia"/>
          <w:color w:val="auto"/>
          <w:sz w:val="21"/>
          <w:szCs w:val="21"/>
          <w:highlight w:val="none"/>
          <w:lang w:eastAsia="zh-CN"/>
        </w:rPr>
      </w:pP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1）垃圾转运站植物液喷淋除臭系统应具有喷淋降尘、空间除臭等功能；</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2）可根据药液的消耗情况进行自动配药；</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3）可根据设定参数情况进行定时间歇性自动控制除臭处理，或手动控制，另需实现卷帘门打开联动喷淋除臭系统，卸料平台无车辆则自动停止喷淋除臭系统；</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4）垃圾转运站植物液喷淋除臭系统各元件均应采用国际国内知名品牌，可靠性高；</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5）垃圾转运站植物液喷淋除臭系统体积小、安装方便，适用于室内外各类环境，不受环境和空间影响；</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6）管路、管件应采用不锈钢材质，抗腐蚀性强、使用寿命长、外形美观；</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7）能耗少、噪音小、运行费用低。</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8）垃圾转运站植物液喷淋除臭系统通过控制对应的电磁阀和增压泵的启停来实现。</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9）垃圾转运站植物液喷淋除臭系统应采用触摸屏控制，控制系统操作界面见除尘除臭系统控制柜。</w:t>
      </w:r>
    </w:p>
    <w:p>
      <w:pPr>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10）垃圾转运站植物液喷淋除臭系统必须要有触摸屏微电脑登陆系统（可以设置用户名和密码）（提供图片和技术说明）</w:t>
      </w:r>
    </w:p>
    <w:p>
      <w:pPr>
        <w:pStyle w:val="3"/>
        <w:autoSpaceDE/>
        <w:autoSpaceDN/>
        <w:spacing w:after="0"/>
        <w:ind w:left="0" w:leftChars="0"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11）垃圾转运站植物液喷淋除臭系统必须要有定时系统（可以根据系统设定定时自带启动和停止）（提供图片和技术说明）</w:t>
      </w:r>
    </w:p>
    <w:p>
      <w:pPr>
        <w:jc w:val="both"/>
        <w:rPr>
          <w:rFonts w:hint="eastAsia"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lang w:eastAsia="zh-CN"/>
        </w:rPr>
        <w:t>★12）垃圾压缩转运站首层至少配置1套高压雾化喷洒除臭系统，喷嘴数量≥90套；垃圾压缩转运站二层至少配置1套高压雾化喷洒除臭系统，喷嘴数量≥120套。厨余垃圾处理车间至少配置1套高压雾化喷洒除臭系统，喷嘴数量≥30套。实现上述系统的连锁控制，如：快关门打开联动喷淋除臭系统开启，卸料平台无车辆、快关门关闭后联控喷淋除臭系统停止。所有的联控布线和功能实现由中标单位实施。</w:t>
      </w:r>
    </w:p>
    <w:p>
      <w:pPr>
        <w:pStyle w:val="3"/>
        <w:autoSpaceDE/>
        <w:autoSpaceDN/>
        <w:spacing w:after="0"/>
        <w:ind w:left="0" w:leftChars="0" w:firstLine="0" w:firstLineChars="0"/>
        <w:rPr>
          <w:rFonts w:hint="eastAsia" w:asciiTheme="minorEastAsia" w:hAnsiTheme="minorEastAsia" w:eastAsiaTheme="minorEastAsia" w:cstheme="minorEastAsia"/>
          <w:color w:val="auto"/>
          <w:sz w:val="21"/>
          <w:szCs w:val="21"/>
          <w:highlight w:val="none"/>
          <w:lang w:eastAsia="zh-CN"/>
        </w:rPr>
      </w:pPr>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531" w:name="_Toc19499"/>
      <w:r>
        <w:rPr>
          <w:rFonts w:hint="eastAsia" w:asciiTheme="minorEastAsia" w:hAnsiTheme="minorEastAsia" w:eastAsiaTheme="minorEastAsia" w:cstheme="minorEastAsia"/>
          <w:color w:val="auto"/>
          <w:sz w:val="21"/>
          <w:szCs w:val="21"/>
          <w:highlight w:val="none"/>
          <w:lang w:eastAsia="zh-CN"/>
        </w:rPr>
        <w:t xml:space="preserve"> </w:t>
      </w:r>
      <w:bookmarkStart w:id="532" w:name="_Toc145063600"/>
      <w:bookmarkStart w:id="533" w:name="_Toc138017321"/>
      <w:r>
        <w:rPr>
          <w:rFonts w:hint="eastAsia" w:asciiTheme="minorEastAsia" w:hAnsiTheme="minorEastAsia" w:eastAsiaTheme="minorEastAsia" w:cstheme="minorEastAsia"/>
          <w:color w:val="auto"/>
          <w:sz w:val="21"/>
          <w:szCs w:val="21"/>
          <w:highlight w:val="none"/>
          <w:lang w:eastAsia="zh-CN"/>
        </w:rPr>
        <w:t>供货清单与参考品牌要求</w:t>
      </w:r>
      <w:bookmarkEnd w:id="531"/>
      <w:bookmarkEnd w:id="532"/>
      <w:bookmarkEnd w:id="533"/>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投标文件应该详细列明投标设备及主要材料清单，包括但不限于：工艺设备清单、电气设备清单、仪表设备清单、管道材料清单、电气材料清单。</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供货设备与材料品牌要求如下，设备种类包括但不限于下表。投标人投标时必须选择唯一品牌投标。</w:t>
      </w:r>
    </w:p>
    <w:tbl>
      <w:tblPr>
        <w:tblStyle w:val="3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94"/>
        <w:gridCol w:w="312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blHeader/>
        </w:trPr>
        <w:tc>
          <w:tcPr>
            <w:tcW w:w="70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序号</w:t>
            </w:r>
          </w:p>
        </w:tc>
        <w:tc>
          <w:tcPr>
            <w:tcW w:w="2794"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采购项目</w:t>
            </w:r>
          </w:p>
        </w:tc>
        <w:tc>
          <w:tcPr>
            <w:tcW w:w="3126" w:type="dxa"/>
            <w:vAlign w:val="center"/>
          </w:tcPr>
          <w:p>
            <w:pPr>
              <w:pStyle w:val="2"/>
              <w:spacing w:before="0"/>
              <w:ind w:left="0"/>
              <w:jc w:val="center"/>
              <w:rPr>
                <w:rFonts w:hint="eastAsia" w:asciiTheme="minorEastAsia" w:hAnsiTheme="minorEastAsia" w:eastAsiaTheme="minorEastAsia" w:cstheme="minorEastAsia"/>
                <w:b/>
                <w:bCs/>
                <w:iCs/>
                <w:color w:val="auto"/>
                <w:sz w:val="21"/>
                <w:szCs w:val="21"/>
                <w:highlight w:val="none"/>
                <w:lang w:eastAsia="zh-CN"/>
              </w:rPr>
            </w:pPr>
            <w:r>
              <w:rPr>
                <w:rFonts w:hint="eastAsia" w:asciiTheme="minorEastAsia" w:hAnsiTheme="minorEastAsia" w:eastAsiaTheme="minorEastAsia" w:cstheme="minorEastAsia"/>
                <w:b/>
                <w:bCs/>
                <w:iCs/>
                <w:color w:val="auto"/>
                <w:sz w:val="21"/>
                <w:szCs w:val="21"/>
                <w:highlight w:val="none"/>
                <w:lang w:eastAsia="zh-CN"/>
              </w:rPr>
              <w:t>参考品牌（评分标准中体现）</w:t>
            </w:r>
          </w:p>
        </w:tc>
        <w:tc>
          <w:tcPr>
            <w:tcW w:w="2551" w:type="dxa"/>
            <w:vAlign w:val="center"/>
          </w:tcPr>
          <w:p>
            <w:pPr>
              <w:pStyle w:val="2"/>
              <w:spacing w:before="0"/>
              <w:ind w:left="0"/>
              <w:jc w:val="center"/>
              <w:rPr>
                <w:rFonts w:hint="eastAsia" w:asciiTheme="minorEastAsia" w:hAnsiTheme="minorEastAsia" w:eastAsiaTheme="minorEastAsia" w:cstheme="minorEastAsia"/>
                <w:b/>
                <w:bCs/>
                <w:iCs/>
                <w:color w:val="auto"/>
                <w:sz w:val="21"/>
                <w:szCs w:val="21"/>
                <w:highlight w:val="none"/>
                <w:lang w:eastAsia="zh-CN"/>
              </w:rPr>
            </w:pPr>
            <w:r>
              <w:rPr>
                <w:rFonts w:hint="eastAsia" w:asciiTheme="minorEastAsia" w:hAnsiTheme="minorEastAsia" w:eastAsiaTheme="minorEastAsia" w:cstheme="minorEastAsia"/>
                <w:b/>
                <w:bCs/>
                <w:iCs/>
                <w:color w:val="auto"/>
                <w:sz w:val="21"/>
                <w:szCs w:val="21"/>
                <w:highlight w:val="none"/>
                <w:lang w:eastAsia="zh-CN"/>
              </w:rPr>
              <w:t>备注（或同级别品牌）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2794"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风机</w:t>
            </w:r>
          </w:p>
        </w:tc>
        <w:tc>
          <w:tcPr>
            <w:tcW w:w="3126"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新广恒、金智、可瑞斯</w:t>
            </w:r>
          </w:p>
        </w:tc>
        <w:tc>
          <w:tcPr>
            <w:tcW w:w="2551"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2794"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循环水泵</w:t>
            </w:r>
          </w:p>
        </w:tc>
        <w:tc>
          <w:tcPr>
            <w:tcW w:w="3126"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国宝、塑宝、美宝、杰凯</w:t>
            </w:r>
          </w:p>
        </w:tc>
        <w:tc>
          <w:tcPr>
            <w:tcW w:w="2551"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9"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w:t>
            </w:r>
          </w:p>
        </w:tc>
        <w:tc>
          <w:tcPr>
            <w:tcW w:w="2794"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加药泵</w:t>
            </w:r>
          </w:p>
        </w:tc>
        <w:tc>
          <w:tcPr>
            <w:tcW w:w="3126"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米顿罗、普罗名特、帕斯菲达</w:t>
            </w:r>
          </w:p>
        </w:tc>
        <w:tc>
          <w:tcPr>
            <w:tcW w:w="2551"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4</w:t>
            </w:r>
          </w:p>
        </w:tc>
        <w:tc>
          <w:tcPr>
            <w:tcW w:w="2794"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仪表</w:t>
            </w:r>
          </w:p>
        </w:tc>
        <w:tc>
          <w:tcPr>
            <w:tcW w:w="3126"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上仪、川仪</w:t>
            </w:r>
          </w:p>
        </w:tc>
        <w:tc>
          <w:tcPr>
            <w:tcW w:w="2551"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5</w:t>
            </w:r>
          </w:p>
        </w:tc>
        <w:tc>
          <w:tcPr>
            <w:tcW w:w="2794"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电气控制系统</w:t>
            </w:r>
          </w:p>
        </w:tc>
        <w:tc>
          <w:tcPr>
            <w:tcW w:w="3126"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所有电气元件采用西门子/ABB/施耐德品牌，PLC采用西门子S7-1200，满足监控要求，配套按钮和触摸屏</w:t>
            </w:r>
          </w:p>
        </w:tc>
        <w:tc>
          <w:tcPr>
            <w:tcW w:w="2551"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r>
    </w:tbl>
    <w:p>
      <w:pPr>
        <w:pStyle w:val="2"/>
        <w:spacing w:before="0" w:after="0"/>
        <w:ind w:left="900" w:right="113"/>
        <w:rPr>
          <w:rFonts w:hint="eastAsia" w:asciiTheme="minorEastAsia" w:hAnsiTheme="minorEastAsia" w:eastAsiaTheme="minorEastAsia" w:cstheme="minorEastAsia"/>
          <w:color w:val="auto"/>
          <w:sz w:val="21"/>
          <w:szCs w:val="21"/>
          <w:highlight w:val="none"/>
          <w:lang w:eastAsia="zh-CN"/>
        </w:rPr>
      </w:pPr>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rPr>
      </w:pPr>
      <w:bookmarkStart w:id="534" w:name="_Toc3529"/>
      <w:r>
        <w:rPr>
          <w:rFonts w:hint="eastAsia" w:asciiTheme="minorEastAsia" w:hAnsiTheme="minorEastAsia" w:eastAsiaTheme="minorEastAsia" w:cstheme="minorEastAsia"/>
          <w:color w:val="auto"/>
          <w:sz w:val="21"/>
          <w:szCs w:val="21"/>
          <w:highlight w:val="none"/>
          <w:lang w:eastAsia="zh-CN"/>
        </w:rPr>
        <w:t xml:space="preserve"> </w:t>
      </w:r>
      <w:bookmarkStart w:id="535" w:name="_Toc138017322"/>
      <w:bookmarkStart w:id="536" w:name="_Toc145063601"/>
      <w:r>
        <w:rPr>
          <w:rFonts w:hint="eastAsia" w:asciiTheme="minorEastAsia" w:hAnsiTheme="minorEastAsia" w:eastAsiaTheme="minorEastAsia" w:cstheme="minorEastAsia"/>
          <w:color w:val="auto"/>
          <w:sz w:val="21"/>
          <w:szCs w:val="21"/>
          <w:highlight w:val="none"/>
        </w:rPr>
        <w:t>系统布置要求</w:t>
      </w:r>
      <w:bookmarkEnd w:id="534"/>
      <w:bookmarkEnd w:id="535"/>
      <w:bookmarkEnd w:id="536"/>
    </w:p>
    <w:p>
      <w:pPr>
        <w:pStyle w:val="2"/>
        <w:spacing w:before="0" w:after="0"/>
        <w:ind w:left="0" w:right="113"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中标人需根据提供的土建施工图设计文件，进行废气系统的布置和设计（包括设备布置，末端管道系统的布置等）。</w:t>
      </w:r>
      <w:r>
        <w:rPr>
          <w:rFonts w:hint="eastAsia" w:asciiTheme="minorEastAsia" w:hAnsiTheme="minorEastAsia" w:eastAsiaTheme="minorEastAsia" w:cstheme="minorEastAsia"/>
          <w:color w:val="auto"/>
          <w:sz w:val="21"/>
          <w:szCs w:val="21"/>
          <w:highlight w:val="none"/>
          <w:lang w:eastAsia="zh-CN"/>
        </w:rPr>
        <w:t>设备布局应科学合理，确保系统的布置不突破车间内部的空间尺寸，并需配合建筑设计一同确保满足建筑物限高要求，并需预留巡视、检修及消防等的通道与空间。</w:t>
      </w:r>
    </w:p>
    <w:p>
      <w:pPr>
        <w:pStyle w:val="6"/>
        <w:numPr>
          <w:ilvl w:val="1"/>
          <w:numId w:val="73"/>
        </w:numPr>
        <w:spacing w:before="0" w:after="0"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 </w:t>
      </w:r>
      <w:bookmarkStart w:id="537" w:name="_Toc138017323"/>
      <w:bookmarkStart w:id="538" w:name="_Toc145063602"/>
      <w:r>
        <w:rPr>
          <w:rFonts w:hint="eastAsia" w:asciiTheme="minorEastAsia" w:hAnsiTheme="minorEastAsia" w:eastAsiaTheme="minorEastAsia" w:cstheme="minorEastAsia"/>
          <w:color w:val="auto"/>
          <w:sz w:val="21"/>
          <w:szCs w:val="21"/>
          <w:highlight w:val="none"/>
          <w:lang w:eastAsia="zh-CN"/>
        </w:rPr>
        <w:t>控制系统设备</w:t>
      </w:r>
      <w:bookmarkEnd w:id="537"/>
      <w:bookmarkEnd w:id="538"/>
    </w:p>
    <w:p>
      <w:pPr>
        <w:pStyle w:val="3"/>
        <w:autoSpaceDE/>
        <w:autoSpaceDN/>
        <w:spacing w:after="0"/>
        <w:ind w:left="0" w:leftChars="0"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1、概述</w:t>
      </w:r>
    </w:p>
    <w:p>
      <w:pPr>
        <w:pStyle w:val="3"/>
        <w:autoSpaceDE/>
        <w:autoSpaceDN/>
        <w:spacing w:after="0"/>
        <w:ind w:left="0" w:leftChars="0"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废气系统采用1套西门子S7-1200 PLC和配套按钮和触摸屏控制，需将废气系统与压缩站系统必要的联锁控制逻辑，以及整套除臭系统的控制地址和工艺流程图提供给压缩站供应商，通讯协议采用西门子基于以太网的标准S7通讯协议，同时将网络布线连接按压缩站系统供应商要求连接到指定设备连接点，由压缩站系统供应商对该系统进行上位机组态，并配合调试。PLC和触摸屏不得设置密码阻止采购人对其进行编程和组态操作。</w:t>
      </w:r>
    </w:p>
    <w:p>
      <w:pPr>
        <w:pStyle w:val="2"/>
        <w:spacing w:before="0" w:after="0"/>
        <w:ind w:left="0"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PLC控制系统：触摸屏控制界面需能显示该污水系统所有设备的状态，并可在上位机和触摸屏界面上自动控制，可进行手动和全自动操作。包括了数据采集、过程监视、操作控制、故障报警、生产数据管理等功能。</w:t>
      </w:r>
    </w:p>
    <w:p>
      <w:pPr>
        <w:pStyle w:val="2"/>
        <w:spacing w:before="0" w:after="0"/>
        <w:ind w:left="0"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1）数据采集：采集车间各个生产过程的工艺参数、电气设备运行状态和电气参数等信息。 </w:t>
      </w:r>
    </w:p>
    <w:p>
      <w:pPr>
        <w:pStyle w:val="2"/>
        <w:spacing w:before="0" w:after="0"/>
        <w:ind w:left="0"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2）生产过程监视功能：通过监控管理计算机的实时动态，以流程图或其他图文形式，显示设备状态、物料流向等各类生产过程的综合信息。 </w:t>
      </w:r>
    </w:p>
    <w:p>
      <w:pPr>
        <w:pStyle w:val="2"/>
        <w:spacing w:before="0" w:after="0"/>
        <w:ind w:left="0"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3）控制功能：通过操作站可实现对相关设备的即时管控，控制方式需可采用远程上位机控制和现场控制。正常生产情况下，各设备可按设定好的工艺参数实现自动控制。多层级控制时，现场操作层级需优先于远程控制。 </w:t>
      </w:r>
    </w:p>
    <w:p>
      <w:pPr>
        <w:pStyle w:val="2"/>
        <w:spacing w:before="0" w:after="0"/>
        <w:ind w:left="0" w:firstLine="0" w:firstLineChars="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4）报警功能：系统对实时数据进行监控分析，生产过程中的监控点数据一旦超出设定范围值，即刻会发出故障报警，并显示故障点和故障状态，方便及时处理。并可记录故障信息，提供的报警日志，对相应内容进行归档方便事后复盘。 </w:t>
      </w:r>
    </w:p>
    <w:p>
      <w:pPr>
        <w:widowControl/>
        <w:autoSpaceDE/>
        <w:autoSpaceDN/>
        <w:spacing w:after="0" w:line="360" w:lineRule="auto"/>
        <w:ind w:firstLine="0" w:firstLineChars="0"/>
        <w:jc w:val="both"/>
        <w:rPr>
          <w:rFonts w:hint="eastAsia"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5）生产数据管理：建立各种信息数据库，保存各类工艺电气参数，设备运行记录、控制、报警、故障等数据，自动生产历史数据库。完成数据传送和报表打印。</w:t>
      </w:r>
    </w:p>
    <w:p>
      <w:pPr>
        <w:pStyle w:val="28"/>
        <w:spacing w:line="360" w:lineRule="auto"/>
        <w:rPr>
          <w:rFonts w:hint="eastAsia" w:asciiTheme="minorEastAsia" w:hAnsiTheme="minorEastAsia" w:eastAsiaTheme="minorEastAsia" w:cstheme="minorEastAsia"/>
          <w:color w:val="auto"/>
          <w:sz w:val="21"/>
          <w:szCs w:val="21"/>
          <w:highlight w:val="none"/>
          <w:lang w:eastAsia="zh-CN"/>
        </w:rPr>
      </w:pPr>
    </w:p>
    <w:p>
      <w:pPr>
        <w:pStyle w:val="5"/>
        <w:spacing w:before="0" w:after="0" w:line="360" w:lineRule="auto"/>
        <w:ind w:left="0"/>
        <w:rPr>
          <w:rFonts w:hint="eastAsia" w:asciiTheme="minorEastAsia" w:hAnsiTheme="minorEastAsia" w:eastAsiaTheme="minorEastAsia" w:cstheme="minorEastAsia"/>
          <w:color w:val="auto"/>
          <w:sz w:val="21"/>
          <w:szCs w:val="21"/>
          <w:highlight w:val="none"/>
          <w:lang w:eastAsia="zh-CN"/>
        </w:rPr>
      </w:pPr>
      <w:bookmarkStart w:id="539" w:name="_Toc145063603"/>
      <w:bookmarkStart w:id="540" w:name="_Toc16031"/>
      <w:bookmarkStart w:id="541" w:name="_Toc138017324"/>
      <w:r>
        <w:rPr>
          <w:rFonts w:hint="eastAsia" w:asciiTheme="minorEastAsia" w:hAnsiTheme="minorEastAsia" w:eastAsiaTheme="minorEastAsia" w:cstheme="minorEastAsia"/>
          <w:color w:val="auto"/>
          <w:sz w:val="21"/>
          <w:szCs w:val="21"/>
          <w:highlight w:val="none"/>
          <w:lang w:eastAsia="zh-CN"/>
        </w:rPr>
        <w:t>六、技术资料与文件</w:t>
      </w:r>
      <w:bookmarkEnd w:id="539"/>
      <w:bookmarkEnd w:id="540"/>
      <w:bookmarkEnd w:id="541"/>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本项目所有的技术资料与文件采用中文编制，单位采用国际单位制。</w:t>
      </w:r>
    </w:p>
    <w:p>
      <w:pPr>
        <w:pStyle w:val="3"/>
        <w:ind w:left="0" w:leftChars="0"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投标文件技术部分按以下三个分册编制：投标文件技术部分、技术部分附图、项目实施建议书。</w:t>
      </w:r>
    </w:p>
    <w:p>
      <w:pPr>
        <w:pStyle w:val="6"/>
        <w:keepNext w:val="0"/>
        <w:keepLines w:val="0"/>
        <w:widowControl w:val="0"/>
        <w:numPr>
          <w:ilvl w:val="1"/>
          <w:numId w:val="79"/>
        </w:numPr>
        <w:autoSpaceDE w:val="0"/>
        <w:autoSpaceDN w:val="0"/>
        <w:adjustRightInd/>
        <w:snapToGrid/>
        <w:spacing w:before="0" w:after="0" w:line="360" w:lineRule="auto"/>
        <w:ind w:left="567"/>
        <w:rPr>
          <w:rFonts w:hint="eastAsia" w:asciiTheme="minorEastAsia" w:hAnsiTheme="minorEastAsia" w:eastAsiaTheme="minorEastAsia" w:cstheme="minorEastAsia"/>
          <w:color w:val="auto"/>
          <w:sz w:val="21"/>
          <w:szCs w:val="21"/>
          <w:highlight w:val="none"/>
          <w:lang w:eastAsia="zh-CN"/>
        </w:rPr>
      </w:pPr>
      <w:bookmarkStart w:id="542" w:name="_Toc138017325"/>
      <w:bookmarkStart w:id="543" w:name="_Toc145063604"/>
      <w:bookmarkStart w:id="544" w:name="_Toc30210"/>
      <w:r>
        <w:rPr>
          <w:rFonts w:hint="eastAsia" w:asciiTheme="minorEastAsia" w:hAnsiTheme="minorEastAsia" w:eastAsiaTheme="minorEastAsia" w:cstheme="minorEastAsia"/>
          <w:color w:val="auto"/>
          <w:sz w:val="21"/>
          <w:szCs w:val="21"/>
          <w:highlight w:val="none"/>
          <w:lang w:eastAsia="zh-CN"/>
        </w:rPr>
        <w:t>投标文件技术部分</w:t>
      </w:r>
      <w:bookmarkEnd w:id="542"/>
      <w:bookmarkEnd w:id="543"/>
      <w:bookmarkEnd w:id="544"/>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投标文件技术部分内容应包括但不局限于以下章节和内容：</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项目介绍</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项目工作范围</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设计依据与引用标准</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公用工程需求条件</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主设备性能参数说明</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系统性能承诺指标及保障措施</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公用工程与化学品消耗需求量及承诺值</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三废（废水、废气、废固）排放量表及保证方案</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工艺描述</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设备选型与计算</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辅料化学品规格</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仪表与自控技术方案</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电气技术方案</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钢结构、平台和通道设计方案</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保温与防腐</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设备供货清单</w:t>
      </w:r>
    </w:p>
    <w:p>
      <w:pPr>
        <w:pStyle w:val="2"/>
        <w:numPr>
          <w:ilvl w:val="1"/>
          <w:numId w:val="81"/>
        </w:numPr>
        <w:spacing w:before="0" w:after="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工艺设备供货清单</w:t>
      </w:r>
    </w:p>
    <w:p>
      <w:pPr>
        <w:pStyle w:val="2"/>
        <w:numPr>
          <w:ilvl w:val="1"/>
          <w:numId w:val="81"/>
        </w:numPr>
        <w:spacing w:before="0" w:after="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仪表设备供货清单</w:t>
      </w:r>
    </w:p>
    <w:p>
      <w:pPr>
        <w:pStyle w:val="2"/>
        <w:numPr>
          <w:ilvl w:val="1"/>
          <w:numId w:val="81"/>
        </w:numPr>
        <w:spacing w:before="0" w:after="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电气设备供货清单</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材料供货清单</w:t>
      </w:r>
    </w:p>
    <w:p>
      <w:pPr>
        <w:pStyle w:val="2"/>
        <w:numPr>
          <w:ilvl w:val="1"/>
          <w:numId w:val="82"/>
        </w:numPr>
        <w:spacing w:before="0" w:after="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管道材料供货清单</w:t>
      </w:r>
    </w:p>
    <w:p>
      <w:pPr>
        <w:pStyle w:val="2"/>
        <w:numPr>
          <w:ilvl w:val="1"/>
          <w:numId w:val="82"/>
        </w:numPr>
        <w:spacing w:before="0" w:after="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仪表材料供货清单</w:t>
      </w:r>
    </w:p>
    <w:p>
      <w:pPr>
        <w:pStyle w:val="2"/>
        <w:numPr>
          <w:ilvl w:val="1"/>
          <w:numId w:val="82"/>
        </w:numPr>
        <w:spacing w:before="0" w:after="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电气材料供货清单</w:t>
      </w:r>
    </w:p>
    <w:p>
      <w:pPr>
        <w:pStyle w:val="2"/>
        <w:numPr>
          <w:ilvl w:val="1"/>
          <w:numId w:val="82"/>
        </w:numPr>
        <w:spacing w:before="0" w:after="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备品备件供货清单</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安装说明</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工程进度计划</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项目拟配置人员信息</w:t>
      </w:r>
    </w:p>
    <w:p>
      <w:pPr>
        <w:pStyle w:val="2"/>
        <w:numPr>
          <w:ilvl w:val="0"/>
          <w:numId w:val="80"/>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其他</w:t>
      </w:r>
    </w:p>
    <w:p>
      <w:pPr>
        <w:pStyle w:val="6"/>
        <w:keepNext w:val="0"/>
        <w:keepLines w:val="0"/>
        <w:widowControl w:val="0"/>
        <w:numPr>
          <w:ilvl w:val="1"/>
          <w:numId w:val="79"/>
        </w:numPr>
        <w:autoSpaceDE w:val="0"/>
        <w:autoSpaceDN w:val="0"/>
        <w:adjustRightInd/>
        <w:snapToGrid/>
        <w:spacing w:before="0" w:after="0" w:line="360" w:lineRule="auto"/>
        <w:ind w:left="567"/>
        <w:rPr>
          <w:rFonts w:hint="eastAsia" w:asciiTheme="minorEastAsia" w:hAnsiTheme="minorEastAsia" w:eastAsiaTheme="minorEastAsia" w:cstheme="minorEastAsia"/>
          <w:color w:val="auto"/>
          <w:sz w:val="21"/>
          <w:szCs w:val="21"/>
          <w:highlight w:val="none"/>
          <w:lang w:eastAsia="zh-CN"/>
        </w:rPr>
      </w:pPr>
      <w:bookmarkStart w:id="545" w:name="_Toc12630"/>
      <w:r>
        <w:rPr>
          <w:rFonts w:hint="eastAsia" w:asciiTheme="minorEastAsia" w:hAnsiTheme="minorEastAsia" w:eastAsiaTheme="minorEastAsia" w:cstheme="minorEastAsia"/>
          <w:color w:val="auto"/>
          <w:sz w:val="21"/>
          <w:szCs w:val="21"/>
          <w:highlight w:val="none"/>
          <w:lang w:eastAsia="zh-CN"/>
        </w:rPr>
        <w:t xml:space="preserve"> </w:t>
      </w:r>
      <w:bookmarkStart w:id="546" w:name="_Toc145063605"/>
      <w:bookmarkStart w:id="547" w:name="_Toc138017326"/>
      <w:r>
        <w:rPr>
          <w:rFonts w:hint="eastAsia" w:asciiTheme="minorEastAsia" w:hAnsiTheme="minorEastAsia" w:eastAsiaTheme="minorEastAsia" w:cstheme="minorEastAsia"/>
          <w:color w:val="auto"/>
          <w:sz w:val="21"/>
          <w:szCs w:val="21"/>
          <w:highlight w:val="none"/>
          <w:lang w:eastAsia="zh-CN"/>
        </w:rPr>
        <w:t>技术部分附图</w:t>
      </w:r>
      <w:bookmarkEnd w:id="545"/>
      <w:bookmarkEnd w:id="546"/>
      <w:bookmarkEnd w:id="547"/>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技术建议书附图应包括但不局限于以下图纸：</w:t>
      </w:r>
    </w:p>
    <w:p>
      <w:pPr>
        <w:pStyle w:val="2"/>
        <w:numPr>
          <w:ilvl w:val="0"/>
          <w:numId w:val="83"/>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流程框图；</w:t>
      </w:r>
    </w:p>
    <w:p>
      <w:pPr>
        <w:pStyle w:val="2"/>
        <w:numPr>
          <w:ilvl w:val="0"/>
          <w:numId w:val="83"/>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管道仪表流程图（PID）；</w:t>
      </w:r>
    </w:p>
    <w:p>
      <w:pPr>
        <w:pStyle w:val="2"/>
        <w:numPr>
          <w:ilvl w:val="0"/>
          <w:numId w:val="83"/>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设备平图布置图（含工艺设备尺寸、定位、荷载、用水量、用电量等）；</w:t>
      </w:r>
    </w:p>
    <w:p>
      <w:pPr>
        <w:pStyle w:val="2"/>
        <w:numPr>
          <w:ilvl w:val="0"/>
          <w:numId w:val="83"/>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动力配电系统图</w:t>
      </w:r>
    </w:p>
    <w:p>
      <w:pPr>
        <w:pStyle w:val="2"/>
        <w:numPr>
          <w:ilvl w:val="0"/>
          <w:numId w:val="83"/>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控制系统网络结构图；</w:t>
      </w:r>
    </w:p>
    <w:p>
      <w:pPr>
        <w:pStyle w:val="6"/>
        <w:keepNext w:val="0"/>
        <w:keepLines w:val="0"/>
        <w:widowControl w:val="0"/>
        <w:numPr>
          <w:ilvl w:val="1"/>
          <w:numId w:val="79"/>
        </w:numPr>
        <w:autoSpaceDE w:val="0"/>
        <w:autoSpaceDN w:val="0"/>
        <w:adjustRightInd/>
        <w:snapToGrid/>
        <w:spacing w:before="0" w:after="0" w:line="360" w:lineRule="auto"/>
        <w:ind w:left="567"/>
        <w:rPr>
          <w:rFonts w:hint="eastAsia" w:asciiTheme="minorEastAsia" w:hAnsiTheme="minorEastAsia" w:eastAsiaTheme="minorEastAsia" w:cstheme="minorEastAsia"/>
          <w:color w:val="auto"/>
          <w:sz w:val="21"/>
          <w:szCs w:val="21"/>
          <w:highlight w:val="none"/>
          <w:lang w:eastAsia="zh-CN"/>
        </w:rPr>
      </w:pPr>
      <w:bookmarkStart w:id="548" w:name="_Toc23888"/>
      <w:r>
        <w:rPr>
          <w:rFonts w:hint="eastAsia" w:asciiTheme="minorEastAsia" w:hAnsiTheme="minorEastAsia" w:eastAsiaTheme="minorEastAsia" w:cstheme="minorEastAsia"/>
          <w:color w:val="auto"/>
          <w:sz w:val="21"/>
          <w:szCs w:val="21"/>
          <w:highlight w:val="none"/>
          <w:lang w:eastAsia="zh-CN"/>
        </w:rPr>
        <w:t xml:space="preserve"> </w:t>
      </w:r>
      <w:bookmarkStart w:id="549" w:name="_Toc138017327"/>
      <w:bookmarkStart w:id="550" w:name="_Toc145063606"/>
      <w:r>
        <w:rPr>
          <w:rFonts w:hint="eastAsia" w:asciiTheme="minorEastAsia" w:hAnsiTheme="minorEastAsia" w:eastAsiaTheme="minorEastAsia" w:cstheme="minorEastAsia"/>
          <w:color w:val="auto"/>
          <w:sz w:val="21"/>
          <w:szCs w:val="21"/>
          <w:highlight w:val="none"/>
          <w:lang w:eastAsia="zh-CN"/>
        </w:rPr>
        <w:t>项目实施建议书</w:t>
      </w:r>
      <w:bookmarkEnd w:id="548"/>
      <w:bookmarkEnd w:id="549"/>
      <w:bookmarkEnd w:id="550"/>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项目实施建议书应包括但不局限于以下内容：</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项目概述</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项目范围</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项目目标</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项目实施管理策略</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项目组织机构与人力资源投入计划</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包括但不局限于：项目组织机构，设计、设备监检、安装、调试及保运阶段拟投入本项目的人员资源，专业负责人及以上管理人员的简历等；</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项目EHS管理；</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项目质量管理质量保证措施；</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项目进度控制管理与进度保证措施；</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包括但不限于：进度目标，详细的进度进度表（横道图表示的），进度保证的具体措施等。</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项目费用管理、控制要点及保障措施</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项目沟通与汇报机制</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项目文件档管理计划</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项目设计管理计划</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项目采购管理计划</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项目施工管理计划</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调试管理与系统调试方案</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培训服务方案（包括现场培训及同类项目在岗培训）</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性能考核、验收与项目移交</w:t>
      </w:r>
    </w:p>
    <w:p>
      <w:pPr>
        <w:pStyle w:val="2"/>
        <w:numPr>
          <w:ilvl w:val="0"/>
          <w:numId w:val="84"/>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售后服务方案与售后服务承诺</w:t>
      </w:r>
    </w:p>
    <w:p>
      <w:pPr>
        <w:pStyle w:val="6"/>
        <w:numPr>
          <w:ilvl w:val="1"/>
          <w:numId w:val="79"/>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551" w:name="_Toc30768"/>
      <w:r>
        <w:rPr>
          <w:rFonts w:hint="eastAsia" w:asciiTheme="minorEastAsia" w:hAnsiTheme="minorEastAsia" w:eastAsiaTheme="minorEastAsia" w:cstheme="minorEastAsia"/>
          <w:color w:val="auto"/>
          <w:sz w:val="21"/>
          <w:szCs w:val="21"/>
          <w:highlight w:val="none"/>
          <w:lang w:eastAsia="zh-CN"/>
        </w:rPr>
        <w:t xml:space="preserve"> </w:t>
      </w:r>
      <w:bookmarkStart w:id="552" w:name="_Toc138017328"/>
      <w:bookmarkStart w:id="553" w:name="_Toc145063607"/>
      <w:r>
        <w:rPr>
          <w:rFonts w:hint="eastAsia" w:asciiTheme="minorEastAsia" w:hAnsiTheme="minorEastAsia" w:eastAsiaTheme="minorEastAsia" w:cstheme="minorEastAsia"/>
          <w:color w:val="auto"/>
          <w:sz w:val="21"/>
          <w:szCs w:val="21"/>
          <w:highlight w:val="none"/>
          <w:lang w:eastAsia="zh-CN"/>
        </w:rPr>
        <w:t>其他</w:t>
      </w:r>
      <w:bookmarkEnd w:id="551"/>
      <w:bookmarkEnd w:id="552"/>
      <w:bookmarkEnd w:id="553"/>
    </w:p>
    <w:p>
      <w:pPr>
        <w:pStyle w:val="2"/>
        <w:numPr>
          <w:ilvl w:val="0"/>
          <w:numId w:val="85"/>
        </w:numPr>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投标人应在投标文件中提供文件，确认除偏差表中特别提及的除外，完全接受技术规范的要求。</w:t>
      </w:r>
    </w:p>
    <w:p>
      <w:pPr>
        <w:pStyle w:val="5"/>
        <w:spacing w:before="0" w:after="0" w:line="360" w:lineRule="auto"/>
        <w:ind w:left="0"/>
        <w:rPr>
          <w:rFonts w:hint="eastAsia" w:asciiTheme="minorEastAsia" w:hAnsiTheme="minorEastAsia" w:eastAsiaTheme="minorEastAsia" w:cstheme="minorEastAsia"/>
          <w:color w:val="auto"/>
          <w:sz w:val="21"/>
          <w:szCs w:val="21"/>
          <w:highlight w:val="none"/>
        </w:rPr>
      </w:pPr>
      <w:bookmarkStart w:id="554" w:name="_Toc24857"/>
      <w:bookmarkStart w:id="555" w:name="_Toc145063608"/>
      <w:bookmarkStart w:id="556" w:name="_Toc138017329"/>
      <w:r>
        <w:rPr>
          <w:rFonts w:hint="eastAsia" w:asciiTheme="minorEastAsia" w:hAnsiTheme="minorEastAsia" w:eastAsiaTheme="minorEastAsia" w:cstheme="minorEastAsia"/>
          <w:color w:val="auto"/>
          <w:sz w:val="21"/>
          <w:szCs w:val="21"/>
          <w:highlight w:val="none"/>
          <w:lang w:eastAsia="zh-CN"/>
        </w:rPr>
        <w:t>七、其他要求</w:t>
      </w:r>
      <w:bookmarkEnd w:id="554"/>
      <w:bookmarkEnd w:id="555"/>
      <w:bookmarkEnd w:id="556"/>
    </w:p>
    <w:p>
      <w:pPr>
        <w:pStyle w:val="6"/>
        <w:numPr>
          <w:ilvl w:val="1"/>
          <w:numId w:val="86"/>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557" w:name="_Toc30705"/>
      <w:r>
        <w:rPr>
          <w:rFonts w:hint="eastAsia" w:asciiTheme="minorEastAsia" w:hAnsiTheme="minorEastAsia" w:eastAsiaTheme="minorEastAsia" w:cstheme="minorEastAsia"/>
          <w:color w:val="auto"/>
          <w:sz w:val="21"/>
          <w:szCs w:val="21"/>
          <w:highlight w:val="none"/>
          <w:lang w:eastAsia="zh-CN"/>
        </w:rPr>
        <w:t xml:space="preserve"> </w:t>
      </w:r>
      <w:bookmarkStart w:id="558" w:name="_Toc138017330"/>
      <w:bookmarkStart w:id="559" w:name="_Toc145063609"/>
      <w:r>
        <w:rPr>
          <w:rFonts w:hint="eastAsia" w:asciiTheme="minorEastAsia" w:hAnsiTheme="minorEastAsia" w:eastAsiaTheme="minorEastAsia" w:cstheme="minorEastAsia"/>
          <w:color w:val="auto"/>
          <w:sz w:val="21"/>
          <w:szCs w:val="21"/>
          <w:highlight w:val="none"/>
          <w:lang w:eastAsia="zh-CN"/>
        </w:rPr>
        <w:t>中标后提交的文件资料</w:t>
      </w:r>
      <w:bookmarkEnd w:id="557"/>
      <w:bookmarkEnd w:id="558"/>
      <w:bookmarkEnd w:id="559"/>
    </w:p>
    <w:p>
      <w:pPr>
        <w:pStyle w:val="2"/>
        <w:numPr>
          <w:ilvl w:val="0"/>
          <w:numId w:val="87"/>
        </w:numPr>
        <w:tabs>
          <w:tab w:val="left" w:pos="336"/>
        </w:tabs>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中标人提交的图纸及其他资料</w:t>
      </w:r>
    </w:p>
    <w:tbl>
      <w:tblPr>
        <w:tblStyle w:val="34"/>
        <w:tblW w:w="88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6"/>
        <w:gridCol w:w="3119"/>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3276" w:type="dxa"/>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图纸/文件</w:t>
            </w:r>
          </w:p>
        </w:tc>
        <w:tc>
          <w:tcPr>
            <w:tcW w:w="3119" w:type="dxa"/>
          </w:tcPr>
          <w:p>
            <w:pPr>
              <w:ind w:firstLine="0" w:firstLineChars="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数量（套）</w:t>
            </w:r>
          </w:p>
        </w:tc>
        <w:tc>
          <w:tcPr>
            <w:tcW w:w="2461" w:type="dxa"/>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制作/安装等施工图纸</w:t>
            </w:r>
          </w:p>
        </w:tc>
        <w:tc>
          <w:tcPr>
            <w:tcW w:w="3119" w:type="dxa"/>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4套纸质版，1套电子版（备份U盘一个）</w:t>
            </w:r>
          </w:p>
        </w:tc>
        <w:tc>
          <w:tcPr>
            <w:tcW w:w="2461"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需盖出图章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中标人施工记录表</w:t>
            </w:r>
          </w:p>
        </w:tc>
        <w:tc>
          <w:tcPr>
            <w:tcW w:w="3119" w:type="dxa"/>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4套纸质版含原件及复印件</w:t>
            </w:r>
          </w:p>
        </w:tc>
        <w:tc>
          <w:tcPr>
            <w:tcW w:w="2461" w:type="dxa"/>
            <w:vAlign w:val="center"/>
          </w:tcPr>
          <w:p>
            <w:pPr>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设备操作手册和维修手册</w:t>
            </w:r>
          </w:p>
        </w:tc>
        <w:tc>
          <w:tcPr>
            <w:tcW w:w="3119" w:type="dxa"/>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4套纸质版，1套电子版（备份U盘一个）</w:t>
            </w:r>
          </w:p>
        </w:tc>
        <w:tc>
          <w:tcPr>
            <w:tcW w:w="2461"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签字盖章确认版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制造商的试验证明书</w:t>
            </w:r>
          </w:p>
        </w:tc>
        <w:tc>
          <w:tcPr>
            <w:tcW w:w="3119" w:type="dxa"/>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1套纸质版</w:t>
            </w:r>
          </w:p>
        </w:tc>
        <w:tc>
          <w:tcPr>
            <w:tcW w:w="2461" w:type="dxa"/>
          </w:tcPr>
          <w:p>
            <w:pPr>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3276" w:type="dxa"/>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原材料的出厂检验报告</w:t>
            </w:r>
          </w:p>
        </w:tc>
        <w:tc>
          <w:tcPr>
            <w:tcW w:w="3119" w:type="dxa"/>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每批次提供</w:t>
            </w:r>
          </w:p>
        </w:tc>
        <w:tc>
          <w:tcPr>
            <w:tcW w:w="2461" w:type="dxa"/>
          </w:tcPr>
          <w:p>
            <w:pPr>
              <w:jc w:val="center"/>
              <w:rPr>
                <w:rFonts w:hint="eastAsia" w:asciiTheme="minorEastAsia" w:hAnsiTheme="minorEastAsia" w:eastAsiaTheme="minorEastAsia" w:cstheme="minorEastAsia"/>
                <w:color w:val="auto"/>
                <w:sz w:val="21"/>
                <w:szCs w:val="21"/>
                <w:highlight w:val="none"/>
              </w:rPr>
            </w:pPr>
          </w:p>
        </w:tc>
      </w:tr>
    </w:tbl>
    <w:p>
      <w:pPr>
        <w:pStyle w:val="2"/>
        <w:numPr>
          <w:ilvl w:val="0"/>
          <w:numId w:val="87"/>
        </w:numPr>
        <w:tabs>
          <w:tab w:val="left" w:pos="336"/>
        </w:tabs>
        <w:spacing w:before="0" w:after="0"/>
        <w:ind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其他要求</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中标人必须向采购人和业主提供数量充足的（≥8）纸质和电子副本。在合同开始执行时，采购人就应限定数据格式。该条款尤其适用于 CAD、office文件。</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中标人所提交的文件应在接收之日后 15 天内经采购人校核、评审和批准。评审意见应书面下达给中标人。中标人应将评审意见纳入其文件中。</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根据评审意见的性质和重要性，中标人必须在下一个合同文件提交日之前重新编写文件和在文件中包含评审意见。批准书将与评审意见同时下达（若评审意见不重要）或在文件按评审意见重新编写之后下达。</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对任何文件的批准都不会减轻中标人的合同职责或以任何方式把责任转嫁给采购人。如果任何文件须符合中国或其他标准（GB，ASME，BS， DIN，EN，VDE 等），投标人有责任了解相关标准。</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在合同开始执行时，采购人应提供标准模板清单和其他文件。必须使用这些模板。中标人必须保留所有文件的更新直到采购人最终接收。</w:t>
      </w:r>
    </w:p>
    <w:p>
      <w:pPr>
        <w:pStyle w:val="6"/>
        <w:numPr>
          <w:ilvl w:val="1"/>
          <w:numId w:val="86"/>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560" w:name="_Toc1056"/>
      <w:r>
        <w:rPr>
          <w:rFonts w:hint="eastAsia" w:asciiTheme="minorEastAsia" w:hAnsiTheme="minorEastAsia" w:eastAsiaTheme="minorEastAsia" w:cstheme="minorEastAsia"/>
          <w:color w:val="auto"/>
          <w:sz w:val="21"/>
          <w:szCs w:val="21"/>
          <w:highlight w:val="none"/>
          <w:lang w:eastAsia="zh-CN"/>
        </w:rPr>
        <w:t xml:space="preserve"> </w:t>
      </w:r>
      <w:bookmarkStart w:id="561" w:name="_Toc138017331"/>
      <w:bookmarkStart w:id="562" w:name="_Toc145063610"/>
      <w:r>
        <w:rPr>
          <w:rFonts w:hint="eastAsia" w:asciiTheme="minorEastAsia" w:hAnsiTheme="minorEastAsia" w:eastAsiaTheme="minorEastAsia" w:cstheme="minorEastAsia"/>
          <w:color w:val="auto"/>
          <w:sz w:val="21"/>
          <w:szCs w:val="21"/>
          <w:highlight w:val="none"/>
          <w:lang w:eastAsia="zh-CN"/>
        </w:rPr>
        <w:t>变更</w:t>
      </w:r>
      <w:bookmarkEnd w:id="560"/>
      <w:bookmarkEnd w:id="561"/>
      <w:bookmarkEnd w:id="562"/>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没有采购人的通知和同意，中标人不得擅自对经采购人批准的永久性工程作任何设计变更。在采购人认为有必要对某永久性工程作设计变更，收到书面设计变更通知后，中标人应按设计变更通知单指示进行施工。</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所有的设计变更指令和设计变更通知单，应作为竣工资料一起提交。</w:t>
      </w:r>
    </w:p>
    <w:p>
      <w:pPr>
        <w:pStyle w:val="6"/>
        <w:numPr>
          <w:ilvl w:val="1"/>
          <w:numId w:val="86"/>
        </w:numPr>
        <w:spacing w:before="0" w:after="0"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 </w:t>
      </w:r>
      <w:bookmarkStart w:id="563" w:name="_Toc145063611"/>
      <w:bookmarkStart w:id="564" w:name="_Toc138017332"/>
      <w:r>
        <w:rPr>
          <w:rFonts w:hint="eastAsia" w:asciiTheme="minorEastAsia" w:hAnsiTheme="minorEastAsia" w:eastAsiaTheme="minorEastAsia" w:cstheme="minorEastAsia"/>
          <w:color w:val="auto"/>
          <w:sz w:val="21"/>
          <w:szCs w:val="21"/>
          <w:highlight w:val="none"/>
          <w:lang w:eastAsia="zh-CN"/>
        </w:rPr>
        <w:t>竣工图及竣工资料</w:t>
      </w:r>
      <w:bookmarkEnd w:id="563"/>
      <w:bookmarkEnd w:id="564"/>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中标人应在合同条款规定的工程完工检验之前，向采购人提交4套完整的竣工图和4套完整的竣工资料。竣工资料必须是一套原件，三套复印件。</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竣工图的质量必须符合采购人的要求。图纸整洁,线条清晰，原设计图修改处必须做出明显的标记，以标出正确的尺寸、位置、大小、设备细部等,以便为永久性工程提供一套完整、准确的记录。涉及前期、设计、施工和竣工不同阶段的文件图纸归入相应各阶段的电子竣工文档。</w:t>
      </w:r>
    </w:p>
    <w:p>
      <w:pPr>
        <w:pStyle w:val="6"/>
        <w:numPr>
          <w:ilvl w:val="1"/>
          <w:numId w:val="86"/>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565" w:name="_Toc19073"/>
      <w:r>
        <w:rPr>
          <w:rFonts w:hint="eastAsia" w:asciiTheme="minorEastAsia" w:hAnsiTheme="minorEastAsia" w:eastAsiaTheme="minorEastAsia" w:cstheme="minorEastAsia"/>
          <w:color w:val="auto"/>
          <w:sz w:val="21"/>
          <w:szCs w:val="21"/>
          <w:highlight w:val="none"/>
          <w:lang w:eastAsia="zh-CN"/>
        </w:rPr>
        <w:t xml:space="preserve"> </w:t>
      </w:r>
      <w:bookmarkStart w:id="566" w:name="_Toc145063612"/>
      <w:bookmarkStart w:id="567" w:name="_Toc138017333"/>
      <w:r>
        <w:rPr>
          <w:rFonts w:hint="eastAsia" w:asciiTheme="minorEastAsia" w:hAnsiTheme="minorEastAsia" w:eastAsiaTheme="minorEastAsia" w:cstheme="minorEastAsia"/>
          <w:color w:val="auto"/>
          <w:sz w:val="21"/>
          <w:szCs w:val="21"/>
          <w:highlight w:val="none"/>
          <w:lang w:eastAsia="zh-CN"/>
        </w:rPr>
        <w:t>操作维修手册</w:t>
      </w:r>
      <w:bookmarkEnd w:id="565"/>
      <w:bookmarkEnd w:id="566"/>
      <w:bookmarkEnd w:id="567"/>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中标人应根据采购人的指令,在工程完工之前提供设备操作手册、设备保养维修手册，还应对防腐蚀系统及材料，检查井盖、扶梯等有关工程部件作技术说明，手册应详述检查和修理步骤及要求。</w:t>
      </w:r>
    </w:p>
    <w:p>
      <w:pPr>
        <w:pStyle w:val="6"/>
        <w:numPr>
          <w:ilvl w:val="1"/>
          <w:numId w:val="86"/>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568" w:name="_Toc1654"/>
      <w:r>
        <w:rPr>
          <w:rFonts w:hint="eastAsia" w:asciiTheme="minorEastAsia" w:hAnsiTheme="minorEastAsia" w:eastAsiaTheme="minorEastAsia" w:cstheme="minorEastAsia"/>
          <w:color w:val="auto"/>
          <w:sz w:val="21"/>
          <w:szCs w:val="21"/>
          <w:highlight w:val="none"/>
          <w:lang w:eastAsia="zh-CN"/>
        </w:rPr>
        <w:t xml:space="preserve"> </w:t>
      </w:r>
      <w:bookmarkStart w:id="569" w:name="_Toc138017334"/>
      <w:bookmarkStart w:id="570" w:name="_Toc145063613"/>
      <w:r>
        <w:rPr>
          <w:rFonts w:hint="eastAsia" w:asciiTheme="minorEastAsia" w:hAnsiTheme="minorEastAsia" w:eastAsiaTheme="minorEastAsia" w:cstheme="minorEastAsia"/>
          <w:color w:val="auto"/>
          <w:sz w:val="21"/>
          <w:szCs w:val="21"/>
          <w:highlight w:val="none"/>
          <w:lang w:eastAsia="zh-CN"/>
        </w:rPr>
        <w:t>工程进度管理</w:t>
      </w:r>
      <w:bookmarkEnd w:id="568"/>
      <w:bookmarkEnd w:id="569"/>
      <w:bookmarkEnd w:id="570"/>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在工程开工前中标人应根据合同条款要求，把工程进度计划提交给采购人。计划可用条状图或其他采购人同意的方式。</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中标人必须根据合同条款规定，提供月报表。表格须按采购人规定格式打印。月报表内容需完整详细。</w:t>
      </w:r>
    </w:p>
    <w:p>
      <w:pPr>
        <w:pStyle w:val="6"/>
        <w:numPr>
          <w:ilvl w:val="1"/>
          <w:numId w:val="86"/>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571" w:name="_Toc16027"/>
      <w:r>
        <w:rPr>
          <w:rFonts w:hint="eastAsia" w:asciiTheme="minorEastAsia" w:hAnsiTheme="minorEastAsia" w:eastAsiaTheme="minorEastAsia" w:cstheme="minorEastAsia"/>
          <w:color w:val="auto"/>
          <w:sz w:val="21"/>
          <w:szCs w:val="21"/>
          <w:highlight w:val="none"/>
          <w:lang w:eastAsia="zh-CN"/>
        </w:rPr>
        <w:t xml:space="preserve"> </w:t>
      </w:r>
      <w:bookmarkStart w:id="572" w:name="_Toc138017335"/>
      <w:bookmarkStart w:id="573" w:name="_Toc145063614"/>
      <w:r>
        <w:rPr>
          <w:rFonts w:hint="eastAsia" w:asciiTheme="minorEastAsia" w:hAnsiTheme="minorEastAsia" w:eastAsiaTheme="minorEastAsia" w:cstheme="minorEastAsia"/>
          <w:color w:val="auto"/>
          <w:sz w:val="21"/>
          <w:szCs w:val="21"/>
          <w:highlight w:val="none"/>
          <w:lang w:eastAsia="zh-CN"/>
        </w:rPr>
        <w:t>质量保证和控制</w:t>
      </w:r>
      <w:bookmarkEnd w:id="571"/>
      <w:bookmarkEnd w:id="572"/>
      <w:bookmarkEnd w:id="573"/>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项目质量保证基础服务期为验收合格之日起一年。</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必须建立并执行一套完整的质量保证体系。它应涉及包括(但不限于)：设计、采购、生产等在内的工程各个方面。该质量体系必须符合国际ISO9000系列标准。质量保证体系中关键的部分是监督投标人的供货(包括材料和服务)。为确保项目的质量，中标人必须保证所有供货商都全面执行一套质量保证体系，并收到外部监督机构的监督和审查。</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项目开工后的一个月内，中标人应向采购人提交一份详细的质量保证计划，并且获得采购人的同意。并且作为合同的一个组成部分，主要涉及以下几个方面：</w:t>
      </w:r>
    </w:p>
    <w:p>
      <w:pPr>
        <w:pStyle w:val="28"/>
        <w:spacing w:line="360" w:lineRule="auto"/>
        <w:ind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项目质量保证基础服务期为验收合格之日起一年。</w:t>
      </w:r>
    </w:p>
    <w:p>
      <w:pPr>
        <w:pStyle w:val="2"/>
        <w:numPr>
          <w:ilvl w:val="0"/>
          <w:numId w:val="33"/>
        </w:numPr>
        <w:spacing w:before="0"/>
        <w:ind w:left="0"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管理质量计划</w:t>
      </w:r>
    </w:p>
    <w:p>
      <w:pPr>
        <w:pStyle w:val="2"/>
        <w:numPr>
          <w:ilvl w:val="0"/>
          <w:numId w:val="33"/>
        </w:numPr>
        <w:spacing w:before="0"/>
        <w:ind w:left="0"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设计质量计划</w:t>
      </w:r>
    </w:p>
    <w:p>
      <w:pPr>
        <w:pStyle w:val="2"/>
        <w:numPr>
          <w:ilvl w:val="0"/>
          <w:numId w:val="33"/>
        </w:numPr>
        <w:spacing w:before="0"/>
        <w:ind w:left="0"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生产质量计划</w:t>
      </w:r>
    </w:p>
    <w:p>
      <w:pPr>
        <w:pStyle w:val="2"/>
        <w:numPr>
          <w:ilvl w:val="0"/>
          <w:numId w:val="33"/>
        </w:numPr>
        <w:spacing w:before="0"/>
        <w:ind w:left="0"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设备质量计划</w:t>
      </w:r>
    </w:p>
    <w:p>
      <w:pPr>
        <w:pStyle w:val="6"/>
        <w:numPr>
          <w:ilvl w:val="1"/>
          <w:numId w:val="86"/>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574" w:name="_Toc138017336"/>
      <w:bookmarkStart w:id="575" w:name="_Toc10442"/>
      <w:r>
        <w:rPr>
          <w:rFonts w:hint="eastAsia" w:asciiTheme="minorEastAsia" w:hAnsiTheme="minorEastAsia" w:eastAsiaTheme="minorEastAsia" w:cstheme="minorEastAsia"/>
          <w:color w:val="auto"/>
          <w:sz w:val="21"/>
          <w:szCs w:val="21"/>
          <w:highlight w:val="none"/>
          <w:lang w:eastAsia="zh-CN"/>
        </w:rPr>
        <w:t xml:space="preserve"> </w:t>
      </w:r>
      <w:bookmarkStart w:id="576" w:name="_Toc145063615"/>
      <w:r>
        <w:rPr>
          <w:rFonts w:hint="eastAsia" w:asciiTheme="minorEastAsia" w:hAnsiTheme="minorEastAsia" w:eastAsiaTheme="minorEastAsia" w:cstheme="minorEastAsia"/>
          <w:color w:val="auto"/>
          <w:sz w:val="21"/>
          <w:szCs w:val="21"/>
          <w:highlight w:val="none"/>
          <w:lang w:eastAsia="zh-CN"/>
        </w:rPr>
        <w:t>材料检测与测试</w:t>
      </w:r>
      <w:bookmarkEnd w:id="574"/>
      <w:bookmarkEnd w:id="575"/>
      <w:bookmarkEnd w:id="576"/>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凡合同中规定要求提供样品的，这些样品须在它们所代表的材料用于工程28天之前送采购人所委托的检测机构进行检测。样品须经采购人的验审批准方可使用。</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材料生产商和供应商的测试证明书：当技术规范或有关的参照标准要求有材料生产商和供应商的测试证明书时，必须由投标人提供每份证明书的原件或复印件。</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中标人应为全部材料的取样和测试，施工工艺，设备和量测装置进行日常检查，以控制其质量并保证它们与技术规定和批准的试样相一致。</w:t>
      </w:r>
    </w:p>
    <w:p>
      <w:pPr>
        <w:pStyle w:val="2"/>
        <w:spacing w:before="0" w:after="0"/>
        <w:ind w:left="0" w:right="113"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材料和试样的试验、检测业务由采购人委托具有相应资质和能力的检测机构进行，检测费用由中标人承担。如检测结果不合格，中标人继续提供样品进行测试直至符合技术规格书要求，这些费用均由中标人承担。</w:t>
      </w:r>
    </w:p>
    <w:p>
      <w:pPr>
        <w:pStyle w:val="6"/>
        <w:numPr>
          <w:ilvl w:val="1"/>
          <w:numId w:val="86"/>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577" w:name="_Toc28244"/>
      <w:r>
        <w:rPr>
          <w:rFonts w:hint="eastAsia" w:asciiTheme="minorEastAsia" w:hAnsiTheme="minorEastAsia" w:eastAsiaTheme="minorEastAsia" w:cstheme="minorEastAsia"/>
          <w:color w:val="auto"/>
          <w:sz w:val="21"/>
          <w:szCs w:val="21"/>
          <w:highlight w:val="none"/>
          <w:lang w:eastAsia="zh-CN"/>
        </w:rPr>
        <w:t xml:space="preserve"> </w:t>
      </w:r>
      <w:bookmarkStart w:id="578" w:name="_Toc138017337"/>
      <w:bookmarkStart w:id="579" w:name="_Toc145063616"/>
      <w:r>
        <w:rPr>
          <w:rFonts w:hint="eastAsia" w:asciiTheme="minorEastAsia" w:hAnsiTheme="minorEastAsia" w:eastAsiaTheme="minorEastAsia" w:cstheme="minorEastAsia"/>
          <w:color w:val="auto"/>
          <w:sz w:val="21"/>
          <w:szCs w:val="21"/>
          <w:highlight w:val="none"/>
          <w:lang w:eastAsia="zh-CN"/>
        </w:rPr>
        <w:t>安装和检验</w:t>
      </w:r>
      <w:bookmarkEnd w:id="577"/>
      <w:bookmarkEnd w:id="578"/>
      <w:bookmarkEnd w:id="579"/>
    </w:p>
    <w:p>
      <w:pPr>
        <w:pStyle w:val="7"/>
        <w:numPr>
          <w:ilvl w:val="2"/>
          <w:numId w:val="88"/>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580" w:name="_Toc7591"/>
      <w:r>
        <w:rPr>
          <w:rFonts w:hint="eastAsia" w:asciiTheme="minorEastAsia" w:hAnsiTheme="minorEastAsia" w:eastAsiaTheme="minorEastAsia" w:cstheme="minorEastAsia"/>
          <w:color w:val="auto"/>
          <w:sz w:val="21"/>
          <w:szCs w:val="21"/>
          <w:highlight w:val="none"/>
          <w:lang w:eastAsia="zh-CN"/>
        </w:rPr>
        <w:t xml:space="preserve"> </w:t>
      </w:r>
      <w:bookmarkStart w:id="581" w:name="_Toc138017338"/>
      <w:bookmarkStart w:id="582" w:name="_Toc145063617"/>
      <w:r>
        <w:rPr>
          <w:rFonts w:hint="eastAsia" w:asciiTheme="minorEastAsia" w:hAnsiTheme="minorEastAsia" w:eastAsiaTheme="minorEastAsia" w:cstheme="minorEastAsia"/>
          <w:color w:val="auto"/>
          <w:sz w:val="21"/>
          <w:szCs w:val="21"/>
          <w:highlight w:val="none"/>
          <w:lang w:eastAsia="zh-CN"/>
        </w:rPr>
        <w:t>工厂检验</w:t>
      </w:r>
      <w:bookmarkEnd w:id="580"/>
      <w:bookmarkEnd w:id="581"/>
      <w:bookmarkEnd w:id="582"/>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1.中标人提供的所有设备和其备件、附件都应经过工厂检测。产品合格证、检测记录和检测报告应提交采购人。上述产品合格证应由设备制造商确认并签字。所有检测费用由设备制造商或</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标人承担。</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2.设备的工厂检验不能代替货物到现场的最终检验。</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3.采购人在设备生产过程中有权观察、检查，或者监督材料、工艺、所有设备性能的试验。</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4.当设备测试在国内进行时，中标人应提前15天书面通知采购人，试验报告送交采购人。当设备试验在国外进行时，</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标人应提前60天书面通知采购人。采购人提前3天通知投标人是否要监督试验情况，如果试验未按原定时间或地点进行而导致采购人未能到场，该试验应在采购人到场的情况下重新做。</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5.系统中主要设备应做无损试验，规定做的无损试验应符合国内和国际相应的标准要求。检测范围应按有关制作标准的要求，如无明确要求，应由采购人决定。无损试验应在弯曲、焊接、热处理和水力试验等完成后进行。</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6.所有无损试验，包括超声波、放射线、穿透检测和保护涂层测试，以及一切无损试验，应由经采购人同意的第三方检测机构承担。</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标人应在计划试验开始之前4周向采购人提交详细的试验方案和试验期内拟进行的程序。应包括获准部门试验人员姓名，及其专业经验以及按规定的无损试验要求进行的步骤和方法。如有试验未能通过,</w:t>
      </w:r>
      <w:r>
        <w:rPr>
          <w:rFonts w:hint="eastAsia" w:asciiTheme="minorEastAsia" w:hAnsiTheme="minorEastAsia" w:eastAsiaTheme="minorEastAsia" w:cstheme="minorEastAsia"/>
          <w:color w:val="auto"/>
          <w:sz w:val="21"/>
          <w:szCs w:val="21"/>
          <w:highlight w:val="none"/>
          <w:lang w:eastAsia="zh-CN"/>
        </w:rPr>
        <w:t xml:space="preserve"> 中</w:t>
      </w:r>
      <w:r>
        <w:rPr>
          <w:rStyle w:val="105"/>
          <w:rFonts w:hint="eastAsia" w:asciiTheme="minorEastAsia" w:hAnsiTheme="minorEastAsia" w:eastAsiaTheme="minorEastAsia" w:cstheme="minorEastAsia"/>
          <w:color w:val="auto"/>
          <w:sz w:val="21"/>
          <w:szCs w:val="21"/>
          <w:highlight w:val="none"/>
          <w:lang w:eastAsia="zh-CN"/>
        </w:rPr>
        <w:t>标人应进行重新试验,且应在合适的时间内按同样规定和条件进行。如</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标人改变测试时间未预先通知采购人，则所有重新测试的费用由</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标人负担。</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7.工厂检验报告应在设备发货之前提交给采购人，并经采购人审批确认后方可发货。</w:t>
      </w:r>
    </w:p>
    <w:p>
      <w:pPr>
        <w:pStyle w:val="7"/>
        <w:numPr>
          <w:ilvl w:val="2"/>
          <w:numId w:val="88"/>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583" w:name="_Toc11085"/>
      <w:r>
        <w:rPr>
          <w:rFonts w:hint="eastAsia" w:asciiTheme="minorEastAsia" w:hAnsiTheme="minorEastAsia" w:eastAsiaTheme="minorEastAsia" w:cstheme="minorEastAsia"/>
          <w:color w:val="auto"/>
          <w:sz w:val="21"/>
          <w:szCs w:val="21"/>
          <w:highlight w:val="none"/>
          <w:lang w:eastAsia="zh-CN"/>
        </w:rPr>
        <w:t xml:space="preserve"> </w:t>
      </w:r>
      <w:bookmarkStart w:id="584" w:name="_Toc145063618"/>
      <w:bookmarkStart w:id="585" w:name="_Toc138017339"/>
      <w:r>
        <w:rPr>
          <w:rFonts w:hint="eastAsia" w:asciiTheme="minorEastAsia" w:hAnsiTheme="minorEastAsia" w:eastAsiaTheme="minorEastAsia" w:cstheme="minorEastAsia"/>
          <w:color w:val="auto"/>
          <w:sz w:val="21"/>
          <w:szCs w:val="21"/>
          <w:highlight w:val="none"/>
          <w:lang w:eastAsia="zh-CN"/>
        </w:rPr>
        <w:t>现场检验</w:t>
      </w:r>
      <w:bookmarkEnd w:id="583"/>
      <w:bookmarkEnd w:id="584"/>
      <w:bookmarkEnd w:id="585"/>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1.所有设备和部件均应采取适当的保护，以避免运输或其他原因造成损坏。</w:t>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2.现场验收必须在工况下进行。</w:t>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3.系统运行结果符合相关标准、技术规格书及合同要求。</w:t>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4.系统在性能测试和指导运行过程中出现的所有缺陷已被消除，并得到的认可。</w:t>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5.当供货范围内货物均已提供，且性能符合或优于规定要求。</w:t>
      </w:r>
    </w:p>
    <w:p>
      <w:pPr>
        <w:pStyle w:val="7"/>
        <w:numPr>
          <w:ilvl w:val="2"/>
          <w:numId w:val="88"/>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586" w:name="_Toc7468"/>
      <w:r>
        <w:rPr>
          <w:rFonts w:hint="eastAsia" w:asciiTheme="minorEastAsia" w:hAnsiTheme="minorEastAsia" w:eastAsiaTheme="minorEastAsia" w:cstheme="minorEastAsia"/>
          <w:color w:val="auto"/>
          <w:sz w:val="21"/>
          <w:szCs w:val="21"/>
          <w:highlight w:val="none"/>
          <w:lang w:eastAsia="zh-CN"/>
        </w:rPr>
        <w:t xml:space="preserve"> </w:t>
      </w:r>
      <w:bookmarkStart w:id="587" w:name="_Toc138017340"/>
      <w:bookmarkStart w:id="588" w:name="_Toc145063619"/>
      <w:r>
        <w:rPr>
          <w:rFonts w:hint="eastAsia" w:asciiTheme="minorEastAsia" w:hAnsiTheme="minorEastAsia" w:eastAsiaTheme="minorEastAsia" w:cstheme="minorEastAsia"/>
          <w:color w:val="auto"/>
          <w:sz w:val="21"/>
          <w:szCs w:val="21"/>
          <w:highlight w:val="none"/>
          <w:lang w:eastAsia="zh-CN"/>
        </w:rPr>
        <w:t>安装</w:t>
      </w:r>
      <w:bookmarkEnd w:id="586"/>
      <w:bookmarkEnd w:id="587"/>
      <w:bookmarkEnd w:id="588"/>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1.在设备安装前，中标人应对设备基础进行检查，检查合格后方可进行设备的安装工作。</w:t>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2.如系统关键设备需要在现场进行加工、组装和焊接，</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标人应对所需操作工人的技术水平进行说明。如现场组装和焊接工作须设备制造厂有经验的人员参与完成，由此造成设备不能满足要求的后果及所发生的费用将由中标人负担。</w:t>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3.管道的连接法兰应符合ISO标准，并采用与设计图纸相适应的压力等级。所有与外部空气连通的管道均应安装适宜的排气口。穿过屋顶的通风管应装配防腐蚀和防水管口，并带有与屋顶结构形式匹配的连接件。</w:t>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4.管道支架的材料可根据其安装位置的环境条件选择用不锈钢或镀锌钢。</w:t>
      </w:r>
    </w:p>
    <w:p>
      <w:pPr>
        <w:pStyle w:val="6"/>
        <w:numPr>
          <w:ilvl w:val="1"/>
          <w:numId w:val="86"/>
        </w:numPr>
        <w:spacing w:before="0" w:after="0" w:line="360" w:lineRule="auto"/>
        <w:rPr>
          <w:rFonts w:hint="eastAsia" w:asciiTheme="minorEastAsia" w:hAnsiTheme="minorEastAsia" w:eastAsiaTheme="minorEastAsia" w:cstheme="minorEastAsia"/>
          <w:color w:val="auto"/>
          <w:sz w:val="21"/>
          <w:szCs w:val="21"/>
          <w:highlight w:val="none"/>
          <w:lang w:eastAsia="zh-CN"/>
        </w:rPr>
      </w:pPr>
      <w:bookmarkStart w:id="589" w:name="_Toc28173"/>
      <w:r>
        <w:rPr>
          <w:rFonts w:hint="eastAsia" w:asciiTheme="minorEastAsia" w:hAnsiTheme="minorEastAsia" w:eastAsiaTheme="minorEastAsia" w:cstheme="minorEastAsia"/>
          <w:color w:val="auto"/>
          <w:sz w:val="21"/>
          <w:szCs w:val="21"/>
          <w:highlight w:val="none"/>
          <w:lang w:eastAsia="zh-CN"/>
        </w:rPr>
        <w:t xml:space="preserve"> </w:t>
      </w:r>
      <w:bookmarkStart w:id="590" w:name="_Toc145063620"/>
      <w:bookmarkStart w:id="591" w:name="_Toc138017341"/>
      <w:r>
        <w:rPr>
          <w:rFonts w:hint="eastAsia" w:asciiTheme="minorEastAsia" w:hAnsiTheme="minorEastAsia" w:eastAsiaTheme="minorEastAsia" w:cstheme="minorEastAsia"/>
          <w:color w:val="auto"/>
          <w:sz w:val="21"/>
          <w:szCs w:val="21"/>
          <w:highlight w:val="none"/>
          <w:lang w:eastAsia="zh-CN"/>
        </w:rPr>
        <w:t>调试和指导运行</w:t>
      </w:r>
      <w:bookmarkEnd w:id="589"/>
      <w:bookmarkEnd w:id="590"/>
      <w:bookmarkEnd w:id="591"/>
    </w:p>
    <w:p>
      <w:pPr>
        <w:pStyle w:val="7"/>
        <w:numPr>
          <w:ilvl w:val="2"/>
          <w:numId w:val="89"/>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592" w:name="_Toc25377"/>
      <w:r>
        <w:rPr>
          <w:rFonts w:hint="eastAsia" w:asciiTheme="minorEastAsia" w:hAnsiTheme="minorEastAsia" w:eastAsiaTheme="minorEastAsia" w:cstheme="minorEastAsia"/>
          <w:color w:val="auto"/>
          <w:sz w:val="21"/>
          <w:szCs w:val="21"/>
          <w:highlight w:val="none"/>
          <w:lang w:eastAsia="zh-CN"/>
        </w:rPr>
        <w:t xml:space="preserve"> </w:t>
      </w:r>
      <w:bookmarkStart w:id="593" w:name="_Toc138017342"/>
      <w:bookmarkStart w:id="594" w:name="_Toc145063621"/>
      <w:r>
        <w:rPr>
          <w:rFonts w:hint="eastAsia" w:asciiTheme="minorEastAsia" w:hAnsiTheme="minorEastAsia" w:eastAsiaTheme="minorEastAsia" w:cstheme="minorEastAsia"/>
          <w:color w:val="auto"/>
          <w:sz w:val="21"/>
          <w:szCs w:val="21"/>
          <w:highlight w:val="none"/>
          <w:lang w:eastAsia="zh-CN"/>
        </w:rPr>
        <w:t>调试准备</w:t>
      </w:r>
      <w:bookmarkEnd w:id="592"/>
      <w:bookmarkEnd w:id="593"/>
      <w:bookmarkEnd w:id="594"/>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调试小组：安装完成后中标人负责组织成立调试专门小组，小组成员包括</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标人设备、电气、管线、施工人员以及采购人等共同参与。</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单机调试手册：中标人应编制所有单机调试方案、检查和测试的计划并组织实施。在单机调试前一个月，</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标人向采购人提交单机调试手册和完成测试的计划。</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调试手册应包括所实施的测试，使用的详细程序，采取的具体方法，临时和永久使用的仪器和仪表和每一次测试预期的日期、时间和持续时间以及</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标人进行所有单机调试测试的标准检查清单，但不限于此。在单机调试测试之后，</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标人须提供单机测试报告供采购人存档。</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联动调试手册：中标人应编制本系统所有设施的联动调试（可以分系统调试）的计划和实施方案。在调试测试前一个月，投标人应向采购人提交调试手册和完成测试的计划。</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手册应规定所实施的测试，使用的详细程序，采取的具体方法，临时和永久使用的仪器和仪表和每次测试预期的日期、时间和持续时间，以及测试期间的维护计划。</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联动调试手册包括以下内容（但不限于）：调试计划；调试组织机构以及人员安排；调试用检测仪器；检测方法及其引用规范；调试程序；调试的技术依据；性能监控；取样和测试程序；安全措施；调试记录表；分系统调试方案；联动调试方案；调试应急预案；工艺控制逻辑方案；操作手册等。</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指导运行调试手册：投标人应编写系统的指导运行调试手册。</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人员：单机调试、联动调试、带料调试、性能考核所需要的技术人员、运行管理人员和维护人员由</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标人提供，采购人提供班组操作人员，经培训合格后上岗。</w:t>
      </w:r>
    </w:p>
    <w:p>
      <w:pPr>
        <w:pStyle w:val="7"/>
        <w:numPr>
          <w:ilvl w:val="2"/>
          <w:numId w:val="89"/>
        </w:numPr>
        <w:spacing w:before="0" w:after="0" w:line="360" w:lineRule="auto"/>
        <w:jc w:val="both"/>
        <w:rPr>
          <w:rFonts w:hint="eastAsia" w:asciiTheme="minorEastAsia" w:hAnsiTheme="minorEastAsia" w:eastAsiaTheme="minorEastAsia" w:cstheme="minorEastAsia"/>
          <w:color w:val="auto"/>
          <w:sz w:val="21"/>
          <w:szCs w:val="21"/>
          <w:highlight w:val="none"/>
          <w:lang w:eastAsia="zh-CN"/>
        </w:rPr>
      </w:pPr>
      <w:bookmarkStart w:id="595" w:name="_Toc31530"/>
      <w:r>
        <w:rPr>
          <w:rFonts w:hint="eastAsia" w:asciiTheme="minorEastAsia" w:hAnsiTheme="minorEastAsia" w:eastAsiaTheme="minorEastAsia" w:cstheme="minorEastAsia"/>
          <w:color w:val="auto"/>
          <w:sz w:val="21"/>
          <w:szCs w:val="21"/>
          <w:highlight w:val="none"/>
          <w:lang w:eastAsia="zh-CN"/>
        </w:rPr>
        <w:t xml:space="preserve"> </w:t>
      </w:r>
      <w:bookmarkStart w:id="596" w:name="_Toc138017343"/>
      <w:bookmarkStart w:id="597" w:name="_Toc145063622"/>
      <w:r>
        <w:rPr>
          <w:rFonts w:hint="eastAsia" w:asciiTheme="minorEastAsia" w:hAnsiTheme="minorEastAsia" w:eastAsiaTheme="minorEastAsia" w:cstheme="minorEastAsia"/>
          <w:color w:val="auto"/>
          <w:sz w:val="21"/>
          <w:szCs w:val="21"/>
          <w:highlight w:val="none"/>
          <w:lang w:eastAsia="zh-CN"/>
        </w:rPr>
        <w:t>调试和指导运行工作流程</w:t>
      </w:r>
      <w:bookmarkEnd w:id="595"/>
      <w:bookmarkEnd w:id="596"/>
      <w:bookmarkEnd w:id="597"/>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调试准备：对于施工过程中剩余的材料，</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标人应在单机调试前运离工程场地。施工过程中所产生的废弃材料，</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标人运至当地管理机构和采购人同意的地点，所发生的运输费用由</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标人负担。</w:t>
      </w:r>
    </w:p>
    <w:p>
      <w:pPr>
        <w:pStyle w:val="2"/>
        <w:spacing w:before="0" w:after="0"/>
        <w:ind w:left="0" w:right="113" w:firstLine="0" w:firstLineChars="0"/>
        <w:jc w:val="both"/>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单机调试：设备安装完成后可进行单机调试，单机调试应按照下列程序进行：</w:t>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drawing>
          <wp:inline distT="0" distB="0" distL="0" distR="0">
            <wp:extent cx="3750310" cy="1263650"/>
            <wp:effectExtent l="0" t="0" r="254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5943" cy="1265388"/>
                    </a:xfrm>
                    <a:prstGeom prst="rect">
                      <a:avLst/>
                    </a:prstGeom>
                  </pic:spPr>
                </pic:pic>
              </a:graphicData>
            </a:graphic>
          </wp:inline>
        </w:drawing>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联动调试：所有设备单机调试完成后，可进行联动调试，如非采购人原因，中标人应在10日内完成联动调试，联动调试应按照下列程序进行：</w:t>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drawing>
          <wp:inline distT="0" distB="0" distL="0" distR="0">
            <wp:extent cx="4780280" cy="125730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0808" cy="1257439"/>
                    </a:xfrm>
                    <a:prstGeom prst="rect">
                      <a:avLst/>
                    </a:prstGeom>
                  </pic:spPr>
                </pic:pic>
              </a:graphicData>
            </a:graphic>
          </wp:inline>
        </w:drawing>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带料调试：联动调试后，可试生产调试工作。如非采购人原因，中标人应在1个月内完成带料调试，带料调试按照下列程序进行：</w:t>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drawing>
          <wp:inline distT="0" distB="0" distL="0" distR="0">
            <wp:extent cx="4982845" cy="2026920"/>
            <wp:effectExtent l="0" t="0" r="825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stretch>
                      <a:fillRect/>
                    </a:stretch>
                  </pic:blipFill>
                  <pic:spPr>
                    <a:xfrm>
                      <a:off x="0" y="0"/>
                      <a:ext cx="4992490" cy="2031322"/>
                    </a:xfrm>
                    <a:prstGeom prst="rect">
                      <a:avLst/>
                    </a:prstGeom>
                  </pic:spPr>
                </pic:pic>
              </a:graphicData>
            </a:graphic>
          </wp:inline>
        </w:drawing>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整个工程性能保证的性能测试：带料调试调试完成后，可进行整个工程功能测试。</w:t>
      </w:r>
    </w:p>
    <w:p>
      <w:pPr>
        <w:pStyle w:val="7"/>
        <w:numPr>
          <w:ilvl w:val="2"/>
          <w:numId w:val="89"/>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598" w:name="_Toc496"/>
      <w:r>
        <w:rPr>
          <w:rFonts w:hint="eastAsia" w:asciiTheme="minorEastAsia" w:hAnsiTheme="minorEastAsia" w:eastAsiaTheme="minorEastAsia" w:cstheme="minorEastAsia"/>
          <w:color w:val="auto"/>
          <w:sz w:val="21"/>
          <w:szCs w:val="21"/>
          <w:highlight w:val="none"/>
          <w:lang w:eastAsia="zh-CN"/>
        </w:rPr>
        <w:t xml:space="preserve"> </w:t>
      </w:r>
      <w:bookmarkStart w:id="599" w:name="_Toc145063623"/>
      <w:bookmarkStart w:id="600" w:name="_Toc138017344"/>
      <w:r>
        <w:rPr>
          <w:rFonts w:hint="eastAsia" w:asciiTheme="minorEastAsia" w:hAnsiTheme="minorEastAsia" w:eastAsiaTheme="minorEastAsia" w:cstheme="minorEastAsia"/>
          <w:color w:val="auto"/>
          <w:sz w:val="21"/>
          <w:szCs w:val="21"/>
          <w:highlight w:val="none"/>
          <w:lang w:eastAsia="zh-CN"/>
        </w:rPr>
        <w:t>竣工验收合格条件</w:t>
      </w:r>
      <w:bookmarkEnd w:id="598"/>
      <w:bookmarkEnd w:id="599"/>
      <w:bookmarkEnd w:id="600"/>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1.在设计条件范围内，系统性能须完全满足合同要求。</w:t>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2.自系统安装、单体调试、联动调试、带料调试及性能保证测试过程中出现的问题已被解决并得到采购人认可。</w:t>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3.已提供了合同规定的全部货物和资料。</w:t>
      </w:r>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4.设备在交付采购人使用前，需经采购人、监理单位、设计单位、技术质量监督单位等验收通过，并获得使用证明。</w:t>
      </w:r>
    </w:p>
    <w:p>
      <w:pPr>
        <w:pStyle w:val="7"/>
        <w:numPr>
          <w:ilvl w:val="2"/>
          <w:numId w:val="89"/>
        </w:numPr>
        <w:spacing w:before="0" w:after="0" w:line="360" w:lineRule="auto"/>
        <w:jc w:val="left"/>
        <w:rPr>
          <w:rFonts w:hint="eastAsia" w:asciiTheme="minorEastAsia" w:hAnsiTheme="minorEastAsia" w:eastAsiaTheme="minorEastAsia" w:cstheme="minorEastAsia"/>
          <w:color w:val="auto"/>
          <w:sz w:val="21"/>
          <w:szCs w:val="21"/>
          <w:highlight w:val="none"/>
          <w:lang w:eastAsia="zh-CN"/>
        </w:rPr>
      </w:pPr>
      <w:bookmarkStart w:id="601" w:name="_Toc8941"/>
      <w:r>
        <w:rPr>
          <w:rFonts w:hint="eastAsia" w:asciiTheme="minorEastAsia" w:hAnsiTheme="minorEastAsia" w:eastAsiaTheme="minorEastAsia" w:cstheme="minorEastAsia"/>
          <w:color w:val="auto"/>
          <w:sz w:val="21"/>
          <w:szCs w:val="21"/>
          <w:highlight w:val="none"/>
          <w:lang w:eastAsia="zh-CN"/>
        </w:rPr>
        <w:t xml:space="preserve"> </w:t>
      </w:r>
      <w:bookmarkStart w:id="602" w:name="_Toc138017345"/>
      <w:bookmarkStart w:id="603" w:name="_Toc145063624"/>
      <w:r>
        <w:rPr>
          <w:rFonts w:hint="eastAsia" w:asciiTheme="minorEastAsia" w:hAnsiTheme="minorEastAsia" w:eastAsiaTheme="minorEastAsia" w:cstheme="minorEastAsia"/>
          <w:color w:val="auto"/>
          <w:sz w:val="21"/>
          <w:szCs w:val="21"/>
          <w:highlight w:val="none"/>
          <w:lang w:eastAsia="zh-CN"/>
        </w:rPr>
        <w:t>指导运行</w:t>
      </w:r>
      <w:bookmarkEnd w:id="601"/>
      <w:bookmarkEnd w:id="602"/>
      <w:bookmarkEnd w:id="603"/>
    </w:p>
    <w:p>
      <w:pPr>
        <w:pStyle w:val="2"/>
        <w:spacing w:before="0" w:after="0"/>
        <w:ind w:left="0" w:right="113" w:firstLine="0" w:firstLineChars="0"/>
        <w:rPr>
          <w:rStyle w:val="105"/>
          <w:rFonts w:hint="eastAsia" w:asciiTheme="minorEastAsia" w:hAnsiTheme="minorEastAsia" w:eastAsiaTheme="minorEastAsia" w:cstheme="minorEastAsia"/>
          <w:color w:val="auto"/>
          <w:sz w:val="21"/>
          <w:szCs w:val="21"/>
          <w:highlight w:val="none"/>
          <w:lang w:eastAsia="zh-CN"/>
        </w:rPr>
      </w:pPr>
      <w:r>
        <w:rPr>
          <w:rStyle w:val="105"/>
          <w:rFonts w:hint="eastAsia" w:asciiTheme="minorEastAsia" w:hAnsiTheme="minorEastAsia" w:eastAsiaTheme="minorEastAsia" w:cstheme="minorEastAsia"/>
          <w:color w:val="auto"/>
          <w:sz w:val="21"/>
          <w:szCs w:val="21"/>
          <w:highlight w:val="none"/>
          <w:lang w:eastAsia="zh-CN"/>
        </w:rPr>
        <w:t>在项目性能考核完成后，</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标人承担1年的指导运行工作。指导运行期间，由运行单位负责全厂的运行管理和操作，中标人派遣有经验的专业人员对全厂的运行进行指导。运行指导期间，</w:t>
      </w:r>
      <w:r>
        <w:rPr>
          <w:rFonts w:hint="eastAsia" w:asciiTheme="minorEastAsia" w:hAnsiTheme="minorEastAsia" w:eastAsiaTheme="minorEastAsia" w:cstheme="minorEastAsia"/>
          <w:color w:val="auto"/>
          <w:sz w:val="21"/>
          <w:szCs w:val="21"/>
          <w:highlight w:val="none"/>
          <w:lang w:eastAsia="zh-CN"/>
        </w:rPr>
        <w:t>中</w:t>
      </w:r>
      <w:r>
        <w:rPr>
          <w:rStyle w:val="105"/>
          <w:rFonts w:hint="eastAsia" w:asciiTheme="minorEastAsia" w:hAnsiTheme="minorEastAsia" w:eastAsiaTheme="minorEastAsia" w:cstheme="minorEastAsia"/>
          <w:color w:val="auto"/>
          <w:sz w:val="21"/>
          <w:szCs w:val="21"/>
          <w:highlight w:val="none"/>
          <w:lang w:eastAsia="zh-CN"/>
        </w:rPr>
        <w:t>标人仅承担自己派遣的指导运行人员相关费用。</w:t>
      </w:r>
    </w:p>
    <w:p>
      <w:pPr>
        <w:bidi w:val="0"/>
        <w:rPr>
          <w:rFonts w:hint="eastAsia"/>
          <w:color w:val="auto"/>
          <w:highlight w:val="none"/>
          <w:lang w:eastAsia="zh-CN"/>
        </w:rPr>
      </w:pPr>
      <w:bookmarkStart w:id="604" w:name="_Toc145063625"/>
      <w:bookmarkStart w:id="605" w:name="_Toc138017346"/>
      <w:bookmarkStart w:id="606" w:name="_Toc31284"/>
    </w:p>
    <w:p>
      <w:pPr>
        <w:pStyle w:val="5"/>
        <w:spacing w:before="0" w:after="0" w:line="360" w:lineRule="auto"/>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八、附录</w:t>
      </w:r>
      <w:bookmarkEnd w:id="604"/>
      <w:bookmarkEnd w:id="605"/>
      <w:bookmarkEnd w:id="606"/>
    </w:p>
    <w:p>
      <w:pPr>
        <w:pStyle w:val="2"/>
        <w:spacing w:before="0" w:after="0"/>
        <w:ind w:left="425"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附件1：总平面图</w:t>
      </w:r>
    </w:p>
    <w:p>
      <w:pPr>
        <w:pStyle w:val="2"/>
        <w:spacing w:before="0" w:after="0"/>
        <w:ind w:left="425"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附件2：车间土建方案布置图</w:t>
      </w:r>
    </w:p>
    <w:p>
      <w:pPr>
        <w:pStyle w:val="2"/>
        <w:spacing w:before="0" w:after="0"/>
        <w:ind w:left="425"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附件3：给排水、电气接驳点布置图</w:t>
      </w:r>
    </w:p>
    <w:p>
      <w:pPr>
        <w:pStyle w:val="2"/>
        <w:spacing w:before="0" w:after="0"/>
        <w:ind w:left="425"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附件4：大站除臭设备平面布置图</w:t>
      </w:r>
    </w:p>
    <w:p>
      <w:pPr>
        <w:pStyle w:val="2"/>
        <w:spacing w:before="0" w:after="0"/>
        <w:ind w:left="425" w:right="113"/>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附件5：竹园小站除臭平面图</w:t>
      </w:r>
    </w:p>
    <w:p>
      <w:pPr>
        <w:pStyle w:val="28"/>
        <w:rPr>
          <w:rFonts w:hint="eastAsia" w:asciiTheme="minorEastAsia" w:hAnsiTheme="minorEastAsia" w:eastAsiaTheme="minorEastAsia" w:cstheme="minorEastAsia"/>
          <w:color w:val="auto"/>
          <w:sz w:val="21"/>
          <w:szCs w:val="21"/>
          <w:highlight w:val="none"/>
          <w:lang w:eastAsia="zh-CN"/>
        </w:rPr>
      </w:pPr>
    </w:p>
    <w:p>
      <w:pPr>
        <w:pStyle w:val="28"/>
        <w:rPr>
          <w:rFonts w:hint="eastAsia" w:asciiTheme="minorEastAsia" w:hAnsiTheme="minorEastAsia" w:eastAsiaTheme="minorEastAsia" w:cstheme="minorEastAsia"/>
          <w:color w:val="auto"/>
          <w:sz w:val="21"/>
          <w:szCs w:val="21"/>
          <w:highlight w:val="none"/>
          <w:lang w:eastAsia="zh-CN"/>
        </w:rPr>
      </w:pPr>
    </w:p>
    <w:p>
      <w:pPr>
        <w:widowControl/>
        <w:autoSpaceDE/>
        <w:autoSpaceDN/>
        <w:spacing w:before="0" w:after="0"/>
        <w:ind w:left="0" w:right="0"/>
        <w:rPr>
          <w:color w:val="auto"/>
          <w:highlight w:val="none"/>
        </w:rPr>
      </w:pPr>
    </w:p>
    <w:p>
      <w:pPr>
        <w:pStyle w:val="2"/>
        <w:rPr>
          <w:color w:val="auto"/>
          <w:highlight w:val="none"/>
        </w:rPr>
      </w:pPr>
    </w:p>
    <w:p>
      <w:pPr>
        <w:pStyle w:val="3"/>
        <w:rPr>
          <w:color w:val="auto"/>
          <w:highlight w:val="none"/>
        </w:rPr>
      </w:pPr>
    </w:p>
    <w:p>
      <w:pPr>
        <w:pStyle w:val="4"/>
        <w:rPr>
          <w:color w:val="auto"/>
          <w:highlight w:val="none"/>
        </w:rPr>
      </w:pPr>
    </w:p>
    <w:p>
      <w:pPr>
        <w:rPr>
          <w:color w:val="auto"/>
          <w:highlight w:val="none"/>
        </w:rPr>
      </w:pPr>
    </w:p>
    <w:p>
      <w:pPr>
        <w:rPr>
          <w:color w:val="auto"/>
          <w:highlight w:val="none"/>
        </w:rPr>
      </w:pPr>
    </w:p>
    <w:p>
      <w:pPr>
        <w:rPr>
          <w:color w:val="auto"/>
          <w:highlight w:val="none"/>
        </w:rPr>
      </w:pPr>
      <w:r>
        <w:rPr>
          <w:rFonts w:hint="eastAsia"/>
          <w:color w:val="auto"/>
          <w:highlight w:val="none"/>
        </w:rPr>
        <w:br w:type="page"/>
      </w:r>
    </w:p>
    <w:bookmarkEnd w:id="310"/>
    <w:bookmarkEnd w:id="311"/>
    <w:bookmarkEnd w:id="312"/>
    <w:bookmarkEnd w:id="313"/>
    <w:bookmarkEnd w:id="314"/>
    <w:p>
      <w:pPr>
        <w:keepNext/>
        <w:keepLines/>
        <w:widowControl w:val="0"/>
        <w:tabs>
          <w:tab w:val="left" w:pos="640"/>
        </w:tabs>
        <w:autoSpaceDE w:val="0"/>
        <w:autoSpaceDN w:val="0"/>
        <w:spacing w:before="340" w:after="330"/>
        <w:jc w:val="center"/>
        <w:outlineLvl w:val="0"/>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kern w:val="44"/>
          <w:sz w:val="32"/>
          <w:szCs w:val="32"/>
          <w:highlight w:val="none"/>
        </w:rPr>
        <w:t>D包：</w:t>
      </w:r>
      <w:r>
        <w:rPr>
          <w:rFonts w:hint="eastAsia" w:asciiTheme="minorEastAsia" w:hAnsiTheme="minorEastAsia" w:eastAsiaTheme="minorEastAsia" w:cstheme="minorEastAsia"/>
          <w:b/>
          <w:bCs/>
          <w:color w:val="auto"/>
          <w:sz w:val="32"/>
          <w:szCs w:val="32"/>
          <w:highlight w:val="none"/>
        </w:rPr>
        <w:t>厨余处理系统采购及安装</w:t>
      </w:r>
    </w:p>
    <w:p>
      <w:pPr>
        <w:rPr>
          <w:rFonts w:ascii="宋体" w:hAnsi="宋体"/>
          <w:b/>
          <w:bCs/>
          <w:color w:val="auto"/>
          <w:szCs w:val="21"/>
          <w:highlight w:val="none"/>
        </w:rPr>
      </w:pPr>
      <w:r>
        <w:rPr>
          <w:rFonts w:hint="eastAsia" w:ascii="宋体" w:hAnsi="宋体"/>
          <w:b/>
          <w:bCs/>
          <w:color w:val="auto"/>
          <w:szCs w:val="21"/>
          <w:highlight w:val="none"/>
        </w:rPr>
        <w:t>说明：</w:t>
      </w:r>
    </w:p>
    <w:p>
      <w:pPr>
        <w:rPr>
          <w:rFonts w:ascii="宋体" w:hAnsi="宋体"/>
          <w:b/>
          <w:bCs/>
          <w:color w:val="auto"/>
          <w:szCs w:val="21"/>
          <w:highlight w:val="none"/>
        </w:rPr>
      </w:pPr>
      <w:r>
        <w:rPr>
          <w:rFonts w:hint="eastAsia" w:ascii="宋体" w:hAnsi="宋体"/>
          <w:b/>
          <w:bCs/>
          <w:color w:val="auto"/>
          <w:szCs w:val="21"/>
          <w:highlight w:val="none"/>
        </w:rPr>
        <w:t>1.采购需求中并未对品牌进行限定，投标人可自行选用符合本项目服务要求的品牌进行响应，但应确保其拟投货物不得低于采购需求所提出的规格或标准。</w:t>
      </w:r>
    </w:p>
    <w:p>
      <w:pPr>
        <w:pStyle w:val="2"/>
        <w:spacing w:before="0"/>
        <w:ind w:left="0"/>
        <w:rPr>
          <w:b/>
          <w:bCs/>
          <w:color w:val="auto"/>
          <w:sz w:val="21"/>
          <w:szCs w:val="21"/>
          <w:highlight w:val="none"/>
          <w:lang w:val="en-US" w:bidi="ar-SA"/>
        </w:rPr>
      </w:pPr>
      <w:r>
        <w:rPr>
          <w:rFonts w:hint="eastAsia"/>
          <w:b/>
          <w:bCs/>
          <w:color w:val="auto"/>
          <w:sz w:val="21"/>
          <w:szCs w:val="21"/>
          <w:highlight w:val="none"/>
          <w:lang w:val="en-US" w:bidi="ar-SA"/>
        </w:rPr>
        <w:t>2.标有“★”的地方均被视为重要的采购需求，投标人要特别加以注意，必须对此响应并完全满足这些要求，否则若有一项带“★”的要求未响应或不满足，将按无效投标处理。</w:t>
      </w:r>
    </w:p>
    <w:p>
      <w:pPr>
        <w:pStyle w:val="2"/>
        <w:spacing w:before="0"/>
        <w:ind w:left="0"/>
        <w:rPr>
          <w:b/>
          <w:bCs/>
          <w:color w:val="auto"/>
          <w:sz w:val="21"/>
          <w:szCs w:val="21"/>
          <w:highlight w:val="none"/>
          <w:lang w:val="en-US" w:bidi="ar-SA"/>
        </w:rPr>
      </w:pPr>
      <w:r>
        <w:rPr>
          <w:rFonts w:hint="eastAsia"/>
          <w:b/>
          <w:bCs/>
          <w:color w:val="auto"/>
          <w:sz w:val="21"/>
          <w:szCs w:val="21"/>
          <w:highlight w:val="none"/>
          <w:lang w:val="en-US" w:bidi="ar-SA"/>
        </w:rPr>
        <w:t>3.标有“▲”符号的内容为采购需求重点技术参数，若未能响应，则在评审过程中将根据评审内容作扣分处理。</w:t>
      </w:r>
    </w:p>
    <w:p>
      <w:pPr>
        <w:widowControl w:val="0"/>
        <w:autoSpaceDE w:val="0"/>
        <w:autoSpaceDN w:val="0"/>
        <w:jc w:val="both"/>
        <w:outlineLvl w:val="0"/>
        <w:rPr>
          <w:rFonts w:ascii="宋体" w:hAnsi="宋体" w:cs="宋体"/>
          <w:b/>
          <w:color w:val="auto"/>
          <w:szCs w:val="21"/>
          <w:highlight w:val="none"/>
          <w:lang w:eastAsia="en-US"/>
        </w:rPr>
      </w:pPr>
      <w:bookmarkStart w:id="607" w:name="_Toc145084939"/>
      <w:r>
        <w:rPr>
          <w:rFonts w:hint="eastAsia" w:ascii="宋体" w:hAnsi="宋体" w:cs="宋体"/>
          <w:b/>
          <w:color w:val="auto"/>
          <w:szCs w:val="21"/>
          <w:highlight w:val="none"/>
          <w:lang w:eastAsia="en-US"/>
        </w:rPr>
        <w:t>一、总则</w:t>
      </w:r>
      <w:bookmarkEnd w:id="607"/>
    </w:p>
    <w:p>
      <w:pPr>
        <w:widowControl w:val="0"/>
        <w:numPr>
          <w:ilvl w:val="0"/>
          <w:numId w:val="61"/>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本《</w:t>
      </w:r>
      <w:r>
        <w:rPr>
          <w:rFonts w:hint="eastAsia" w:ascii="宋体" w:hAnsi="宋体" w:cs="宋体"/>
          <w:color w:val="auto"/>
          <w:kern w:val="2"/>
          <w:szCs w:val="21"/>
          <w:highlight w:val="none"/>
          <w:lang w:val="en-GB"/>
        </w:rPr>
        <w:t>技术规格</w:t>
      </w:r>
      <w:r>
        <w:rPr>
          <w:rFonts w:hint="eastAsia" w:ascii="宋体" w:hAnsi="宋体" w:cs="宋体"/>
          <w:color w:val="auto"/>
          <w:kern w:val="2"/>
          <w:szCs w:val="21"/>
          <w:highlight w:val="none"/>
        </w:rPr>
        <w:t>书》中对服务要求所作的说明只是概括性的，不能理解为所需要的全部服务的要求，也未充分引述有关标准和规范条文，中标人应保证提供符合国家标准、相关国际标准和规范要求的优质产品及其相应的服务。中标人应按国家、行业相关技术标准、规范和以往的服务经验，合格优质的完成采购内容和包含的全部服务</w:t>
      </w:r>
      <w:r>
        <w:rPr>
          <w:rFonts w:hint="eastAsia" w:ascii="宋体" w:hAnsi="宋体" w:cs="宋体"/>
          <w:color w:val="auto"/>
          <w:kern w:val="2"/>
          <w:szCs w:val="21"/>
          <w:highlight w:val="none"/>
          <w:lang w:val="en-GB"/>
        </w:rPr>
        <w:t>,</w:t>
      </w:r>
      <w:r>
        <w:rPr>
          <w:rFonts w:hint="eastAsia" w:ascii="宋体" w:hAnsi="宋体" w:cs="宋体"/>
          <w:color w:val="auto"/>
          <w:kern w:val="2"/>
          <w:szCs w:val="21"/>
          <w:highlight w:val="none"/>
        </w:rPr>
        <w:t>对国家有关的安全、环保、职业卫生健康等强制性标准，均能满足其要求。实施过程中如出现违反安全、环保、职业卫生健康的措施要求，中标人应无条件纠正及整改。</w:t>
      </w:r>
    </w:p>
    <w:p>
      <w:pPr>
        <w:widowControl w:val="0"/>
        <w:numPr>
          <w:ilvl w:val="0"/>
          <w:numId w:val="61"/>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投标人所选用的技术应先进可靠</w:t>
      </w:r>
      <w:r>
        <w:rPr>
          <w:rFonts w:hint="eastAsia" w:ascii="宋体" w:hAnsi="宋体" w:cs="宋体"/>
          <w:color w:val="auto"/>
          <w:kern w:val="2"/>
          <w:szCs w:val="21"/>
          <w:highlight w:val="none"/>
          <w:lang w:val="en-GB"/>
        </w:rPr>
        <w:t>,</w:t>
      </w:r>
      <w:r>
        <w:rPr>
          <w:rFonts w:hint="eastAsia" w:ascii="宋体" w:hAnsi="宋体" w:cs="宋体"/>
          <w:color w:val="auto"/>
          <w:kern w:val="2"/>
          <w:szCs w:val="21"/>
          <w:highlight w:val="none"/>
        </w:rPr>
        <w:t>且已有运行项目中使用证明是先进可靠的，能确保系统长周期稳定运行。</w:t>
      </w:r>
    </w:p>
    <w:p>
      <w:pPr>
        <w:widowControl w:val="0"/>
        <w:numPr>
          <w:ilvl w:val="0"/>
          <w:numId w:val="61"/>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本技术规格书所引用的标准若与中标人所执行的标准发生矛盾时，则按较严格的标准执行。</w:t>
      </w:r>
    </w:p>
    <w:p>
      <w:pPr>
        <w:widowControl w:val="0"/>
        <w:numPr>
          <w:ilvl w:val="0"/>
          <w:numId w:val="61"/>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本技术规格书内所有技术要求，如出现前后不统一的描述，应以从严选择，以最高要求为准。</w:t>
      </w:r>
    </w:p>
    <w:p>
      <w:pPr>
        <w:widowControl w:val="0"/>
        <w:numPr>
          <w:ilvl w:val="0"/>
          <w:numId w:val="61"/>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本技术规格书要求中标人应根据技术要求，择优选择供货品牌，以确保项目建设的成功以及承诺指标的可靠性；同类型设备的选型，应尽可能考虑选型优化，减少采购人备品备件的种类，降低采购人设备维护成本。</w:t>
      </w:r>
    </w:p>
    <w:p>
      <w:pPr>
        <w:widowControl w:val="0"/>
        <w:numPr>
          <w:ilvl w:val="0"/>
          <w:numId w:val="61"/>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系统设备采用的专利涉及到的全部费用均被认为已包含在设备报价中，中标人应保证采购人不承担有关工艺、设备专利的一切责任。在本项目实施全过程中，中标人不得侵犯第三方知识产权。一旦发生侵权行为，中标人承担全部法律责任和所有的经济赔偿责任，并承担由于中标人侵权无法继续执行本合约而对采购人造成的工期延误、设备更换、设备拆卸清理、设计修改、施工返工等经济赔偿责任。在项目实施过程中所产生的专利专有技术归采购人所有，中标人在其它项目中使用需征得采购人同意。</w:t>
      </w:r>
    </w:p>
    <w:p>
      <w:pPr>
        <w:widowControl w:val="0"/>
        <w:numPr>
          <w:ilvl w:val="0"/>
          <w:numId w:val="61"/>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中标人应对成套设备（含辅助系统与设备）负有全责，即包括分包（或采购）的产品。分包（或采购）的产品，制造商应事先征得采购人的认可，且分包单位应具有满足国家要求的相应资质条件；涉及特种设备或压力管道应具有特种设备安装改造维修许可证；如有进口设备，要求中标人在技术协议书中逐项列出进口设备清单。</w:t>
      </w:r>
    </w:p>
    <w:p>
      <w:pPr>
        <w:widowControl w:val="0"/>
        <w:numPr>
          <w:ilvl w:val="0"/>
          <w:numId w:val="61"/>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中标人的供货应遵循本文件所提出的要求，如有偏离必须取得采购人的书面认可并完成变更流程方可采纳执行。当投标人认为采购人的采购文件有相互矛盾时，应尽快以书面形式通知采购人，以便及时澄清。投标人如果没有以书面形式对本技术文件的条文提出异议，采购人可以认为投标人提供的产品完全符合本技术文件的要求。</w:t>
      </w:r>
    </w:p>
    <w:p>
      <w:pPr>
        <w:widowControl w:val="0"/>
        <w:numPr>
          <w:ilvl w:val="0"/>
          <w:numId w:val="61"/>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采购人如发现中标人所提供的设备和材料低于本采购文件规定的标准或要求时，有权要求中标人进行更换，产生的费用及造成的影响由中标人负责。</w:t>
      </w:r>
    </w:p>
    <w:p>
      <w:pPr>
        <w:widowControl w:val="0"/>
        <w:numPr>
          <w:ilvl w:val="0"/>
          <w:numId w:val="61"/>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投标人所选用的技术方案和设备，应与本技术规格书中要求保持一致或更优，如不满足条件应单独做偏离说明，偏离内容按格式填写《技术偏离表》。凡未在《技术偏离表》中说明的事项，则采购人认为投标人已实质响应。</w:t>
      </w:r>
    </w:p>
    <w:p>
      <w:pPr>
        <w:widowControl w:val="0"/>
        <w:numPr>
          <w:ilvl w:val="0"/>
          <w:numId w:val="61"/>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投标人应根据已完成的土建方案布置图，对非标设备的外形尺寸和设备参数进行优化以满足设备和工艺设计的要求，同时要保证在不改变土建方案布置图的前提下仍能出水达标。</w:t>
      </w:r>
    </w:p>
    <w:p>
      <w:pPr>
        <w:widowControl w:val="0"/>
        <w:numPr>
          <w:ilvl w:val="0"/>
          <w:numId w:val="61"/>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投标人选择品牌时，应已充分考虑政策风险。不应以国家政策导向变化为由，造成相应费用的变更。</w:t>
      </w:r>
    </w:p>
    <w:p>
      <w:pPr>
        <w:widowControl w:val="0"/>
        <w:numPr>
          <w:ilvl w:val="0"/>
          <w:numId w:val="61"/>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本技术规格书的最终解释权归</w:t>
      </w:r>
      <w:r>
        <w:rPr>
          <w:rFonts w:hint="eastAsia" w:ascii="宋体" w:hAnsi="宋体" w:cs="宋体"/>
          <w:color w:val="auto"/>
          <w:kern w:val="2"/>
          <w:szCs w:val="21"/>
          <w:highlight w:val="none"/>
          <w:lang w:eastAsia="zh-CN"/>
        </w:rPr>
        <w:t>东莞市东实城市环境服务有限公司</w:t>
      </w:r>
      <w:r>
        <w:rPr>
          <w:rFonts w:hint="eastAsia" w:ascii="宋体" w:hAnsi="宋体" w:cs="宋体"/>
          <w:color w:val="auto"/>
          <w:kern w:val="2"/>
          <w:szCs w:val="21"/>
          <w:highlight w:val="none"/>
        </w:rPr>
        <w:t>。</w:t>
      </w:r>
    </w:p>
    <w:p>
      <w:pPr>
        <w:widowControl w:val="0"/>
        <w:numPr>
          <w:ilvl w:val="255"/>
          <w:numId w:val="0"/>
        </w:numPr>
        <w:autoSpaceDE w:val="0"/>
        <w:autoSpaceDN w:val="0"/>
        <w:ind w:left="420" w:leftChars="200"/>
        <w:jc w:val="both"/>
        <w:rPr>
          <w:rFonts w:ascii="宋体" w:hAnsi="宋体" w:cs="宋体"/>
          <w:color w:val="auto"/>
          <w:szCs w:val="21"/>
          <w:highlight w:val="none"/>
        </w:rPr>
      </w:pPr>
    </w:p>
    <w:p>
      <w:pPr>
        <w:widowControl w:val="0"/>
        <w:autoSpaceDE w:val="0"/>
        <w:autoSpaceDN w:val="0"/>
        <w:jc w:val="both"/>
        <w:outlineLvl w:val="0"/>
        <w:rPr>
          <w:rFonts w:ascii="宋体" w:hAnsi="宋体" w:cs="宋体"/>
          <w:b/>
          <w:color w:val="auto"/>
          <w:szCs w:val="21"/>
          <w:highlight w:val="none"/>
        </w:rPr>
      </w:pPr>
      <w:bookmarkStart w:id="608" w:name="_Toc145084940"/>
      <w:r>
        <w:rPr>
          <w:rFonts w:hint="eastAsia" w:ascii="宋体" w:hAnsi="宋体" w:cs="宋体"/>
          <w:b/>
          <w:color w:val="auto"/>
          <w:szCs w:val="21"/>
          <w:highlight w:val="none"/>
        </w:rPr>
        <w:t>二、名词解释</w:t>
      </w:r>
      <w:bookmarkEnd w:id="608"/>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本文件和附件中所用下列名词的含义在此予以确定。</w:t>
      </w:r>
    </w:p>
    <w:p>
      <w:pPr>
        <w:widowControl w:val="0"/>
        <w:numPr>
          <w:ilvl w:val="0"/>
          <w:numId w:val="90"/>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采购人是指</w:t>
      </w:r>
      <w:r>
        <w:rPr>
          <w:rFonts w:hint="eastAsia" w:ascii="宋体" w:hAnsi="宋体" w:cs="宋体"/>
          <w:color w:val="auto"/>
          <w:kern w:val="2"/>
          <w:szCs w:val="21"/>
          <w:highlight w:val="none"/>
          <w:lang w:eastAsia="zh-CN"/>
        </w:rPr>
        <w:t>东莞市东实城市环境服务有限公司</w:t>
      </w:r>
      <w:r>
        <w:rPr>
          <w:rFonts w:hint="eastAsia" w:ascii="宋体" w:hAnsi="宋体" w:cs="宋体"/>
          <w:color w:val="auto"/>
          <w:kern w:val="2"/>
          <w:szCs w:val="21"/>
          <w:highlight w:val="none"/>
        </w:rPr>
        <w:t>，包括该法人的法定代表人、法人的继任方和法人的受让方。</w:t>
      </w:r>
    </w:p>
    <w:p>
      <w:pPr>
        <w:widowControl w:val="0"/>
        <w:numPr>
          <w:ilvl w:val="0"/>
          <w:numId w:val="90"/>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投标人是指（乙方法定名称），包括该法人的法定代表人、法人的继任方和法人的受让方。</w:t>
      </w:r>
    </w:p>
    <w:p>
      <w:pPr>
        <w:widowControl w:val="0"/>
        <w:numPr>
          <w:ilvl w:val="0"/>
          <w:numId w:val="90"/>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“技术资料”是包括但不限于本项目相关的设计、采购技术协议、制造、监造、检验、安装、调试、验收、性能测试、培训、技术指导、规程、设备说明书等（包括图纸各种文字说明、标准、各种软件）。</w:t>
      </w:r>
    </w:p>
    <w:p>
      <w:pPr>
        <w:widowControl w:val="0"/>
        <w:numPr>
          <w:ilvl w:val="0"/>
          <w:numId w:val="90"/>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“监造”是指在合同设备的制造过程中，由采购人派出代表对中标人提供的合同设备的关键部位进行质量监督，实行文件见证和现场见证。此种监造不构成中标人对合同设备所负的质量责任的任何减免。</w:t>
      </w:r>
    </w:p>
    <w:p>
      <w:pPr>
        <w:widowControl w:val="0"/>
        <w:numPr>
          <w:ilvl w:val="0"/>
          <w:numId w:val="90"/>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“日、周、月、年”是指公历的日、月、年；“日”是指24小时、“周”是指7天、“月”是指30天、“年”是指365天。</w:t>
      </w:r>
    </w:p>
    <w:p>
      <w:pPr>
        <w:widowControl w:val="0"/>
        <w:numPr>
          <w:ilvl w:val="0"/>
          <w:numId w:val="90"/>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“技术服务”是指由中标人提供的与本项目有关的工程设计、设备供货、监造、检验、安装、调试、性能验收试验、运行、检修时相应的技术指导、技术配合、技术培训等全过程的服务。</w:t>
      </w:r>
    </w:p>
    <w:p>
      <w:pPr>
        <w:widowControl w:val="0"/>
        <w:numPr>
          <w:ilvl w:val="0"/>
          <w:numId w:val="90"/>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“现场” 是指本项目建设工地，为中标人安装本项目设备设施所在地。</w:t>
      </w:r>
    </w:p>
    <w:p>
      <w:pPr>
        <w:widowControl w:val="0"/>
        <w:numPr>
          <w:ilvl w:val="0"/>
          <w:numId w:val="90"/>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“备品备件”是指本项目的备用部件，包括随机备品备件、专用工器具等。</w:t>
      </w:r>
    </w:p>
    <w:p>
      <w:pPr>
        <w:widowControl w:val="0"/>
        <w:numPr>
          <w:ilvl w:val="0"/>
          <w:numId w:val="90"/>
        </w:numPr>
        <w:autoSpaceDE w:val="0"/>
        <w:autoSpaceDN w:val="0"/>
        <w:ind w:left="0" w:firstLine="420" w:firstLineChars="200"/>
        <w:jc w:val="both"/>
        <w:rPr>
          <w:rFonts w:ascii="宋体" w:hAnsi="宋体" w:cs="宋体"/>
          <w:color w:val="auto"/>
          <w:kern w:val="2"/>
          <w:szCs w:val="21"/>
          <w:highlight w:val="none"/>
        </w:rPr>
      </w:pPr>
      <w:r>
        <w:rPr>
          <w:rFonts w:hint="eastAsia" w:ascii="宋体" w:hAnsi="宋体" w:cs="宋体"/>
          <w:color w:val="auto"/>
          <w:kern w:val="2"/>
          <w:szCs w:val="21"/>
          <w:highlight w:val="none"/>
        </w:rPr>
        <w:t>“试运行”是指设备完成移交之前的运行阶段。</w:t>
      </w:r>
    </w:p>
    <w:p>
      <w:pPr>
        <w:widowControl w:val="0"/>
        <w:numPr>
          <w:ilvl w:val="0"/>
          <w:numId w:val="90"/>
        </w:numPr>
        <w:autoSpaceDE w:val="0"/>
        <w:autoSpaceDN w:val="0"/>
        <w:ind w:left="0" w:firstLine="420" w:firstLineChars="200"/>
        <w:jc w:val="both"/>
        <w:rPr>
          <w:rFonts w:ascii="宋体" w:hAnsi="宋体" w:cs="宋体"/>
          <w:color w:val="auto"/>
          <w:kern w:val="2"/>
          <w:szCs w:val="21"/>
          <w:highlight w:val="none"/>
        </w:rPr>
      </w:pPr>
      <w:r>
        <w:rPr>
          <w:rFonts w:hint="eastAsia" w:ascii="宋体" w:hAnsi="宋体" w:cs="宋体"/>
          <w:color w:val="auto"/>
          <w:kern w:val="2"/>
          <w:szCs w:val="21"/>
          <w:highlight w:val="none"/>
        </w:rPr>
        <w:t>“书面文件”是指手稿、打字或印刷的有印章和／或签名的文件。</w:t>
      </w:r>
    </w:p>
    <w:p>
      <w:pPr>
        <w:widowControl w:val="0"/>
        <w:numPr>
          <w:ilvl w:val="0"/>
          <w:numId w:val="90"/>
        </w:numPr>
        <w:autoSpaceDE w:val="0"/>
        <w:autoSpaceDN w:val="0"/>
        <w:ind w:left="0" w:firstLine="420" w:firstLineChars="200"/>
        <w:jc w:val="both"/>
        <w:rPr>
          <w:rFonts w:ascii="宋体" w:hAnsi="宋体" w:cs="宋体"/>
          <w:color w:val="auto"/>
          <w:kern w:val="2"/>
          <w:szCs w:val="21"/>
          <w:highlight w:val="none"/>
        </w:rPr>
      </w:pPr>
      <w:r>
        <w:rPr>
          <w:rFonts w:hint="eastAsia" w:ascii="宋体" w:hAnsi="宋体" w:cs="宋体"/>
          <w:color w:val="auto"/>
          <w:kern w:val="2"/>
          <w:szCs w:val="21"/>
          <w:highlight w:val="none"/>
        </w:rPr>
        <w:t>“设备缺陷”是指中标人因设计、制造错误或疏忽所引起的本项目设备（包括部件、原材料、铸锻件、原器件等）达不到本项目规定的性能、质量标准要求的状态。</w:t>
      </w:r>
    </w:p>
    <w:p>
      <w:pPr>
        <w:widowControl w:val="0"/>
        <w:numPr>
          <w:ilvl w:val="0"/>
          <w:numId w:val="90"/>
        </w:numPr>
        <w:autoSpaceDE w:val="0"/>
        <w:autoSpaceDN w:val="0"/>
        <w:ind w:left="0" w:firstLine="420" w:firstLineChars="200"/>
        <w:jc w:val="both"/>
        <w:rPr>
          <w:rFonts w:ascii="宋体" w:hAnsi="宋体" w:cs="宋体"/>
          <w:color w:val="auto"/>
          <w:kern w:val="2"/>
          <w:szCs w:val="21"/>
          <w:highlight w:val="none"/>
        </w:rPr>
      </w:pPr>
      <w:r>
        <w:rPr>
          <w:rFonts w:hint="eastAsia" w:ascii="宋体" w:hAnsi="宋体" w:cs="宋体"/>
          <w:color w:val="auto"/>
          <w:kern w:val="2"/>
          <w:szCs w:val="21"/>
          <w:highlight w:val="none"/>
        </w:rPr>
        <w:t>“性能验收”是指为检验本项目技术规格书（包括与本项目设备相关的其它资料）规定的性能保证值按本项目技术规格书规定所进行的试验。</w:t>
      </w:r>
    </w:p>
    <w:p>
      <w:pPr>
        <w:widowControl w:val="0"/>
        <w:autoSpaceDE w:val="0"/>
        <w:autoSpaceDN w:val="0"/>
        <w:jc w:val="both"/>
        <w:outlineLvl w:val="0"/>
        <w:rPr>
          <w:rFonts w:ascii="宋体" w:hAnsi="宋体" w:cs="宋体"/>
          <w:b/>
          <w:color w:val="auto"/>
          <w:szCs w:val="21"/>
          <w:highlight w:val="none"/>
        </w:rPr>
      </w:pPr>
      <w:bookmarkStart w:id="609" w:name="_Toc145084941"/>
    </w:p>
    <w:p>
      <w:pPr>
        <w:widowControl w:val="0"/>
        <w:autoSpaceDE w:val="0"/>
        <w:autoSpaceDN w:val="0"/>
        <w:jc w:val="both"/>
        <w:outlineLvl w:val="0"/>
        <w:rPr>
          <w:rFonts w:ascii="宋体" w:hAnsi="宋体" w:cs="宋体"/>
          <w:b/>
          <w:color w:val="auto"/>
          <w:szCs w:val="21"/>
          <w:highlight w:val="none"/>
          <w:lang w:eastAsia="en-US"/>
        </w:rPr>
      </w:pPr>
      <w:r>
        <w:rPr>
          <w:rFonts w:hint="eastAsia" w:ascii="宋体" w:hAnsi="宋体" w:cs="宋体"/>
          <w:b/>
          <w:color w:val="auto"/>
          <w:szCs w:val="21"/>
          <w:highlight w:val="none"/>
          <w:lang w:eastAsia="en-US"/>
        </w:rPr>
        <w:t>三、工程概况</w:t>
      </w:r>
      <w:bookmarkEnd w:id="609"/>
    </w:p>
    <w:p>
      <w:pPr>
        <w:widowControl w:val="0"/>
        <w:numPr>
          <w:ilvl w:val="1"/>
          <w:numId w:val="91"/>
        </w:numPr>
        <w:autoSpaceDE w:val="0"/>
        <w:autoSpaceDN w:val="0"/>
        <w:ind w:left="0" w:firstLine="602"/>
        <w:jc w:val="both"/>
        <w:outlineLvl w:val="1"/>
        <w:rPr>
          <w:rFonts w:ascii="宋体" w:hAnsi="宋体" w:cs="宋体"/>
          <w:b/>
          <w:color w:val="auto"/>
          <w:szCs w:val="21"/>
          <w:highlight w:val="none"/>
          <w:lang w:eastAsia="en-US"/>
        </w:rPr>
      </w:pPr>
      <w:bookmarkStart w:id="610" w:name="_Toc145084942"/>
      <w:r>
        <w:rPr>
          <w:rFonts w:hint="eastAsia" w:ascii="宋体" w:hAnsi="宋体" w:cs="宋体"/>
          <w:b/>
          <w:color w:val="auto"/>
          <w:szCs w:val="21"/>
          <w:highlight w:val="none"/>
          <w:lang w:eastAsia="en-US"/>
        </w:rPr>
        <w:t>项目名称</w:t>
      </w:r>
      <w:bookmarkEnd w:id="610"/>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东莞市寮步镇生活垃圾综合处理中心项目厨余垃圾处理系统</w:t>
      </w:r>
    </w:p>
    <w:p>
      <w:pPr>
        <w:widowControl w:val="0"/>
        <w:numPr>
          <w:ilvl w:val="1"/>
          <w:numId w:val="91"/>
        </w:numPr>
        <w:autoSpaceDE w:val="0"/>
        <w:autoSpaceDN w:val="0"/>
        <w:ind w:left="0" w:firstLine="602"/>
        <w:jc w:val="both"/>
        <w:outlineLvl w:val="1"/>
        <w:rPr>
          <w:rFonts w:ascii="宋体" w:hAnsi="宋体" w:cs="宋体"/>
          <w:b/>
          <w:color w:val="auto"/>
          <w:szCs w:val="21"/>
          <w:highlight w:val="none"/>
          <w:lang w:eastAsia="en-US"/>
        </w:rPr>
      </w:pPr>
      <w:r>
        <w:rPr>
          <w:rFonts w:hint="eastAsia" w:ascii="宋体" w:hAnsi="宋体" w:cs="宋体"/>
          <w:b/>
          <w:color w:val="auto"/>
          <w:szCs w:val="21"/>
          <w:highlight w:val="none"/>
        </w:rPr>
        <w:t>采购人</w:t>
      </w:r>
    </w:p>
    <w:p>
      <w:pPr>
        <w:widowControl w:val="0"/>
        <w:autoSpaceDE w:val="0"/>
        <w:autoSpaceDN w:val="0"/>
        <w:adjustRightInd/>
        <w:snapToGrid/>
        <w:ind w:firstLine="420" w:firstLineChars="200"/>
        <w:jc w:val="both"/>
        <w:rPr>
          <w:rFonts w:hint="eastAsia" w:ascii="宋体" w:hAnsi="宋体" w:eastAsia="宋体" w:cs="宋体"/>
          <w:color w:val="auto"/>
          <w:szCs w:val="21"/>
          <w:highlight w:val="none"/>
          <w:lang w:eastAsia="zh-CN"/>
        </w:rPr>
      </w:pPr>
      <w:r>
        <w:rPr>
          <w:rFonts w:hint="eastAsia" w:ascii="宋体" w:hAnsi="宋体" w:cs="宋体"/>
          <w:color w:val="auto"/>
          <w:kern w:val="2"/>
          <w:szCs w:val="21"/>
          <w:highlight w:val="none"/>
          <w:lang w:eastAsia="zh-CN"/>
        </w:rPr>
        <w:t>东莞市东实城市环境服务有限公司</w:t>
      </w:r>
    </w:p>
    <w:p>
      <w:pPr>
        <w:widowControl w:val="0"/>
        <w:numPr>
          <w:ilvl w:val="1"/>
          <w:numId w:val="91"/>
        </w:numPr>
        <w:autoSpaceDE w:val="0"/>
        <w:autoSpaceDN w:val="0"/>
        <w:ind w:left="0" w:firstLine="602"/>
        <w:jc w:val="both"/>
        <w:outlineLvl w:val="1"/>
        <w:rPr>
          <w:rFonts w:ascii="宋体" w:hAnsi="宋体" w:cs="宋体"/>
          <w:b/>
          <w:color w:val="auto"/>
          <w:szCs w:val="21"/>
          <w:highlight w:val="none"/>
          <w:lang w:eastAsia="en-US"/>
        </w:rPr>
      </w:pPr>
      <w:bookmarkStart w:id="611" w:name="_Toc145084944"/>
      <w:r>
        <w:rPr>
          <w:rFonts w:hint="eastAsia" w:ascii="宋体" w:hAnsi="宋体" w:cs="宋体"/>
          <w:b/>
          <w:color w:val="auto"/>
          <w:szCs w:val="21"/>
          <w:highlight w:val="none"/>
          <w:lang w:eastAsia="en-US"/>
        </w:rPr>
        <w:t>建设地点</w:t>
      </w:r>
      <w:bookmarkEnd w:id="611"/>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东莞市寮步镇金富二路</w:t>
      </w:r>
    </w:p>
    <w:p>
      <w:pPr>
        <w:widowControl w:val="0"/>
        <w:numPr>
          <w:ilvl w:val="1"/>
          <w:numId w:val="91"/>
        </w:numPr>
        <w:autoSpaceDE w:val="0"/>
        <w:autoSpaceDN w:val="0"/>
        <w:ind w:left="0" w:firstLine="602"/>
        <w:jc w:val="both"/>
        <w:outlineLvl w:val="1"/>
        <w:rPr>
          <w:rFonts w:ascii="宋体" w:hAnsi="宋体" w:cs="宋体"/>
          <w:b/>
          <w:color w:val="auto"/>
          <w:szCs w:val="21"/>
          <w:highlight w:val="none"/>
          <w:lang w:eastAsia="en-US"/>
        </w:rPr>
      </w:pPr>
      <w:bookmarkStart w:id="612" w:name="_Toc145084945"/>
      <w:r>
        <w:rPr>
          <w:rFonts w:hint="eastAsia" w:ascii="宋体" w:hAnsi="宋体" w:cs="宋体"/>
          <w:b/>
          <w:color w:val="auto"/>
          <w:szCs w:val="21"/>
          <w:highlight w:val="none"/>
          <w:lang w:eastAsia="en-US"/>
        </w:rPr>
        <w:t>工程概述</w:t>
      </w:r>
      <w:bookmarkEnd w:id="612"/>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本项目新建 1 座生活垃圾综合处理中心，规划用地面积约 10379.55 平方米，包括垃圾压缩车间、大件/园林绿化垃圾处理车间、厨余垃圾处理车间、修车间、污水处理站、保安室和办公楼等。生活垃圾转运规模为近期 530t/d（远期1000t/d），大件垃圾/园林绿化垃圾设计处理规模近期24t/d（远期31t/d），厨余垃圾设计处理规模近期60t/d（远期80t/d）。其中，近期指2023年，远期指2032年。</w:t>
      </w:r>
    </w:p>
    <w:p>
      <w:pPr>
        <w:widowControl w:val="0"/>
        <w:autoSpaceDE w:val="0"/>
        <w:autoSpaceDN w:val="0"/>
        <w:adjustRightInd/>
        <w:snapToGrid/>
        <w:ind w:firstLine="420" w:firstLineChars="200"/>
        <w:jc w:val="both"/>
        <w:rPr>
          <w:rFonts w:ascii="宋体" w:hAnsi="宋体" w:cs="宋体"/>
          <w:b/>
          <w:color w:val="auto"/>
          <w:szCs w:val="21"/>
          <w:highlight w:val="none"/>
        </w:rPr>
      </w:pPr>
      <w:r>
        <w:rPr>
          <w:rFonts w:hint="eastAsia" w:ascii="宋体" w:hAnsi="宋体" w:cs="宋体"/>
          <w:color w:val="auto"/>
          <w:szCs w:val="21"/>
          <w:highlight w:val="none"/>
        </w:rPr>
        <w:t>本次招标范围为垃圾转运站厨余垃圾处理系统，</w:t>
      </w:r>
      <w:r>
        <w:rPr>
          <w:rFonts w:hint="eastAsia" w:ascii="宋体" w:hAnsi="宋体" w:cs="宋体"/>
          <w:b/>
          <w:color w:val="auto"/>
          <w:szCs w:val="21"/>
          <w:highlight w:val="none"/>
        </w:rPr>
        <w:t>设计处理规模60吨/天。处理工艺采用：破碎+制浆除杂机+压榨脱水+三相分离机（提油）。</w:t>
      </w:r>
    </w:p>
    <w:p>
      <w:pPr>
        <w:widowControl w:val="0"/>
        <w:numPr>
          <w:ilvl w:val="1"/>
          <w:numId w:val="91"/>
        </w:numPr>
        <w:autoSpaceDE w:val="0"/>
        <w:autoSpaceDN w:val="0"/>
        <w:ind w:left="0" w:firstLine="602"/>
        <w:jc w:val="both"/>
        <w:outlineLvl w:val="1"/>
        <w:rPr>
          <w:rFonts w:ascii="宋体" w:hAnsi="宋体" w:cs="宋体"/>
          <w:b/>
          <w:color w:val="auto"/>
          <w:szCs w:val="21"/>
          <w:highlight w:val="none"/>
          <w:lang w:eastAsia="en-US"/>
        </w:rPr>
      </w:pPr>
      <w:bookmarkStart w:id="613" w:name="_Toc145084946"/>
      <w:r>
        <w:rPr>
          <w:rFonts w:hint="eastAsia" w:ascii="宋体" w:hAnsi="宋体" w:cs="宋体"/>
          <w:b/>
          <w:color w:val="auto"/>
          <w:szCs w:val="21"/>
          <w:highlight w:val="none"/>
          <w:lang w:eastAsia="en-US"/>
        </w:rPr>
        <w:t>项目工期与主要节点</w:t>
      </w:r>
      <w:bookmarkEnd w:id="613"/>
    </w:p>
    <w:tbl>
      <w:tblPr>
        <w:tblStyle w:val="35"/>
        <w:tblW w:w="84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70"/>
        <w:gridCol w:w="3020"/>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570"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主要节点</w:t>
            </w:r>
          </w:p>
        </w:tc>
        <w:tc>
          <w:tcPr>
            <w:tcW w:w="3020"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日期</w:t>
            </w:r>
          </w:p>
        </w:tc>
        <w:tc>
          <w:tcPr>
            <w:tcW w:w="1873"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w:t>
            </w:r>
          </w:p>
        </w:tc>
        <w:tc>
          <w:tcPr>
            <w:tcW w:w="2570"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土建设计条件提资</w:t>
            </w:r>
          </w:p>
        </w:tc>
        <w:tc>
          <w:tcPr>
            <w:tcW w:w="3020"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中标通知书发出后一周内</w:t>
            </w:r>
          </w:p>
        </w:tc>
        <w:tc>
          <w:tcPr>
            <w:tcW w:w="1873" w:type="dxa"/>
            <w:vAlign w:val="center"/>
          </w:tcPr>
          <w:p>
            <w:pPr>
              <w:widowControl w:val="0"/>
              <w:autoSpaceDE w:val="0"/>
              <w:autoSpaceDN w:val="0"/>
              <w:adjustRightInd/>
              <w:snapToGrid/>
              <w:jc w:val="center"/>
              <w:rPr>
                <w:rFonts w:ascii="宋体" w:hAnsi="宋体" w:cs="宋体"/>
                <w:bCs/>
                <w:color w:val="auto"/>
                <w:szCs w:val="21"/>
                <w:highlight w:val="none"/>
              </w:rPr>
            </w:pPr>
            <w:r>
              <w:rPr>
                <w:rFonts w:hint="eastAsia" w:ascii="宋体" w:hAnsi="宋体" w:cs="宋体"/>
                <w:bCs/>
                <w:color w:val="auto"/>
                <w:szCs w:val="21"/>
                <w:highlight w:val="none"/>
              </w:rPr>
              <w:t>根据设备基础平面调整非标设备尺寸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959"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w:t>
            </w:r>
          </w:p>
        </w:tc>
        <w:tc>
          <w:tcPr>
            <w:tcW w:w="2570"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设备到货</w:t>
            </w:r>
          </w:p>
        </w:tc>
        <w:tc>
          <w:tcPr>
            <w:tcW w:w="3020" w:type="dxa"/>
            <w:vAlign w:val="center"/>
          </w:tcPr>
          <w:p>
            <w:pPr>
              <w:pStyle w:val="13"/>
              <w:widowControl w:val="0"/>
              <w:autoSpaceDE w:val="0"/>
              <w:autoSpaceDN w:val="0"/>
              <w:adjustRightInd/>
              <w:snapToGrid/>
              <w:jc w:val="both"/>
              <w:rPr>
                <w:rFonts w:ascii="宋体" w:hAnsi="宋体" w:cs="宋体"/>
                <w:color w:val="auto"/>
                <w:szCs w:val="21"/>
                <w:highlight w:val="none"/>
              </w:rPr>
            </w:pPr>
            <w:r>
              <w:rPr>
                <w:rFonts w:hint="eastAsia"/>
                <w:color w:val="auto"/>
                <w:highlight w:val="none"/>
              </w:rPr>
              <w:t>收到采购人进场通知后一周</w:t>
            </w:r>
          </w:p>
        </w:tc>
        <w:tc>
          <w:tcPr>
            <w:tcW w:w="1873" w:type="dxa"/>
            <w:vAlign w:val="center"/>
          </w:tcPr>
          <w:p>
            <w:pPr>
              <w:widowControl w:val="0"/>
              <w:autoSpaceDE w:val="0"/>
              <w:autoSpaceDN w:val="0"/>
              <w:adjustRightInd/>
              <w:snapToGrid/>
              <w:jc w:val="center"/>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w:t>
            </w:r>
          </w:p>
        </w:tc>
        <w:tc>
          <w:tcPr>
            <w:tcW w:w="2570"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设备安装完成</w:t>
            </w:r>
          </w:p>
        </w:tc>
        <w:tc>
          <w:tcPr>
            <w:tcW w:w="3020"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设备到货后一个半月内</w:t>
            </w:r>
          </w:p>
        </w:tc>
        <w:tc>
          <w:tcPr>
            <w:tcW w:w="1873" w:type="dxa"/>
            <w:vAlign w:val="center"/>
          </w:tcPr>
          <w:p>
            <w:pPr>
              <w:widowControl w:val="0"/>
              <w:autoSpaceDE w:val="0"/>
              <w:autoSpaceDN w:val="0"/>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4</w:t>
            </w:r>
          </w:p>
        </w:tc>
        <w:tc>
          <w:tcPr>
            <w:tcW w:w="2570"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主要设备调试</w:t>
            </w:r>
          </w:p>
        </w:tc>
        <w:tc>
          <w:tcPr>
            <w:tcW w:w="3020"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设备安装完成后一个月内</w:t>
            </w:r>
          </w:p>
        </w:tc>
        <w:tc>
          <w:tcPr>
            <w:tcW w:w="1873" w:type="dxa"/>
            <w:vAlign w:val="center"/>
          </w:tcPr>
          <w:p>
            <w:pPr>
              <w:widowControl w:val="0"/>
              <w:autoSpaceDE w:val="0"/>
              <w:autoSpaceDN w:val="0"/>
              <w:adjustRightInd/>
              <w:snapToGrid/>
              <w:jc w:val="center"/>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5</w:t>
            </w:r>
          </w:p>
        </w:tc>
        <w:tc>
          <w:tcPr>
            <w:tcW w:w="2570"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性能测试完成</w:t>
            </w:r>
          </w:p>
        </w:tc>
        <w:tc>
          <w:tcPr>
            <w:tcW w:w="3020"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中转站投入使用后一个月内</w:t>
            </w:r>
          </w:p>
        </w:tc>
        <w:tc>
          <w:tcPr>
            <w:tcW w:w="1873" w:type="dxa"/>
            <w:vAlign w:val="center"/>
          </w:tcPr>
          <w:p>
            <w:pPr>
              <w:widowControl w:val="0"/>
              <w:autoSpaceDE w:val="0"/>
              <w:autoSpaceDN w:val="0"/>
              <w:adjustRightInd/>
              <w:snapToGrid/>
              <w:jc w:val="center"/>
              <w:rPr>
                <w:rFonts w:ascii="宋体" w:hAnsi="宋体" w:cs="宋体"/>
                <w:color w:val="auto"/>
                <w:szCs w:val="21"/>
                <w:highlight w:val="none"/>
              </w:rPr>
            </w:pPr>
          </w:p>
        </w:tc>
      </w:tr>
    </w:tbl>
    <w:p>
      <w:pPr>
        <w:rPr>
          <w:color w:val="auto"/>
          <w:highlight w:val="none"/>
        </w:rPr>
      </w:pPr>
      <w:bookmarkStart w:id="614" w:name="_Toc145084947"/>
    </w:p>
    <w:p>
      <w:pPr>
        <w:widowControl w:val="0"/>
        <w:autoSpaceDE w:val="0"/>
        <w:autoSpaceDN w:val="0"/>
        <w:jc w:val="both"/>
        <w:outlineLvl w:val="0"/>
        <w:rPr>
          <w:rFonts w:ascii="宋体" w:hAnsi="宋体" w:cs="宋体"/>
          <w:b/>
          <w:color w:val="auto"/>
          <w:szCs w:val="21"/>
          <w:highlight w:val="none"/>
          <w:lang w:eastAsia="en-US"/>
        </w:rPr>
      </w:pPr>
      <w:r>
        <w:rPr>
          <w:rFonts w:hint="eastAsia" w:ascii="宋体" w:hAnsi="宋体" w:cs="宋体"/>
          <w:b/>
          <w:color w:val="auto"/>
          <w:szCs w:val="21"/>
          <w:highlight w:val="none"/>
          <w:lang w:eastAsia="en-US"/>
        </w:rPr>
        <w:t>四、招标范围与职责</w:t>
      </w:r>
      <w:bookmarkEnd w:id="614"/>
    </w:p>
    <w:p>
      <w:pPr>
        <w:widowControl w:val="0"/>
        <w:numPr>
          <w:ilvl w:val="1"/>
          <w:numId w:val="92"/>
        </w:numPr>
        <w:autoSpaceDE w:val="0"/>
        <w:autoSpaceDN w:val="0"/>
        <w:ind w:left="0" w:firstLine="602"/>
        <w:jc w:val="both"/>
        <w:outlineLvl w:val="1"/>
        <w:rPr>
          <w:rFonts w:ascii="宋体" w:hAnsi="宋体" w:cs="宋体"/>
          <w:b/>
          <w:color w:val="auto"/>
          <w:szCs w:val="21"/>
          <w:highlight w:val="none"/>
          <w:lang w:eastAsia="en-US"/>
        </w:rPr>
      </w:pPr>
      <w:bookmarkStart w:id="615" w:name="_Toc145084948"/>
      <w:r>
        <w:rPr>
          <w:rFonts w:hint="eastAsia" w:ascii="宋体" w:hAnsi="宋体" w:cs="宋体"/>
          <w:b/>
          <w:color w:val="auto"/>
          <w:szCs w:val="21"/>
          <w:highlight w:val="none"/>
        </w:rPr>
        <w:t>项目范围</w:t>
      </w:r>
      <w:bookmarkEnd w:id="615"/>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本次招标为东莞市寮步镇生活垃圾综合处理中心项目厨余处理系统。厨余处理设备的</w:t>
      </w:r>
      <w:r>
        <w:rPr>
          <w:rFonts w:hint="eastAsia" w:ascii="宋体" w:hAnsi="宋体" w:cs="宋体"/>
          <w:color w:val="auto"/>
          <w:kern w:val="2"/>
          <w:szCs w:val="21"/>
          <w:highlight w:val="none"/>
        </w:rPr>
        <w:t>供货和安装，包括但不限于以下内容：</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 界限范围内的设备、管道、管件、阀门、其他连接部件、密封系统、防腐、电气系统（设备端配电系统、电动机控制、检修电源、电气二次保护、设备照明等）、自控系统（就地及远程仪器仪表、为实现电气化和自动化而必须配备的PLC\单片机等）。</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2.招标及供货范围内各系统一年期的备品备件（含易损件），投标文件中应列出备品备件清单及单价。</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3.为达到本技术规格书规定的安全、环保、消防、职业健康等要求所必需的配套设施。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4.</w:t>
      </w:r>
      <w:r>
        <w:rPr>
          <w:rFonts w:hint="eastAsia" w:ascii="宋体" w:hAnsi="宋体" w:cs="宋体"/>
          <w:color w:val="auto"/>
          <w:szCs w:val="21"/>
          <w:highlight w:val="none"/>
        </w:rPr>
        <w:t xml:space="preserve"> </w:t>
      </w:r>
      <w:r>
        <w:rPr>
          <w:rFonts w:hint="eastAsia" w:ascii="宋体" w:hAnsi="宋体" w:cs="宋体"/>
          <w:color w:val="auto"/>
          <w:kern w:val="2"/>
          <w:szCs w:val="21"/>
          <w:highlight w:val="none"/>
        </w:rPr>
        <w:t>设备钢框架、钢支架及钢平台（包括二次预埋件、基础框架、地脚螺栓、焊接、螺钉等连接件和紧固件、油漆）、扶梯、移动操作平台。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5.中标人须提交包括地脚螺栓、预埋件等土建条件资料，以便采购人完成土建设计和施工。</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6.设备及管道连接件及紧固件（例如：法兰、垫圈、螺栓、焊接、螺钉等）、保温材料、油漆、外保护层及紧固件、管道支撑、吊架，热力管道还应提供固定架和滑动架。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7.运行维护（包括仪表校正所需首批标准气）和检修所需的专用工具，同时提供对应清单。</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8.中标人需在项目现场配套项目经理部，项目经理部人员至少包括项目管理负责人（施工驻场）、QC专员和安全管理人员，各成员不允许相互兼职。</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9.施工期间(包括施工、单体设备调试、冷态空载联动调试)的动力、水及其他辅料的消耗费用由中标人承担；冷态空载联动调试完成，系统保护逻辑、顺控逻辑满足使用要求，具备带料调试条件后，采购人确定具体带料调试和系统性能保证测试时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10.中标人应将全部设备首次润滑油、液压油等充满合格，并预留运行一年期内的更换量。</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11.转运站内中标人提供的全部设备、仪表制作统一标识牌，现场管线要有色环标识（注明管线内介质名称、介质走向），管线颜色要根据其内部介质不同加以区分，各类标示牌、管线标识环等制作方案需征得采购人同意。</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12.土建、装修等工程正常情况下不在本次招标范围内。中标人的设备安装过程如有需要在建构筑物上开孔等，应提前提资明确，由土建单位施工预留。但对于中标人未在设备土建提资中明确的，需在建构筑物上的开孔、植筋（栓）连接、破除等工程，其施工由中标人自行负责，并负责恢复原貌。</w:t>
      </w:r>
    </w:p>
    <w:p>
      <w:pPr>
        <w:widowControl w:val="0"/>
        <w:numPr>
          <w:ilvl w:val="1"/>
          <w:numId w:val="92"/>
        </w:numPr>
        <w:autoSpaceDE w:val="0"/>
        <w:autoSpaceDN w:val="0"/>
        <w:ind w:left="0" w:firstLine="602"/>
        <w:jc w:val="both"/>
        <w:outlineLvl w:val="1"/>
        <w:rPr>
          <w:rFonts w:ascii="宋体" w:hAnsi="宋体" w:cs="宋体"/>
          <w:b/>
          <w:color w:val="auto"/>
          <w:szCs w:val="21"/>
          <w:highlight w:val="none"/>
        </w:rPr>
      </w:pPr>
      <w:r>
        <w:rPr>
          <w:rFonts w:hint="eastAsia" w:ascii="宋体" w:hAnsi="宋体" w:cs="宋体"/>
          <w:b/>
          <w:color w:val="auto"/>
          <w:szCs w:val="21"/>
          <w:highlight w:val="none"/>
        </w:rPr>
        <w:t xml:space="preserve"> </w:t>
      </w:r>
      <w:bookmarkStart w:id="616" w:name="_Toc145084949"/>
      <w:r>
        <w:rPr>
          <w:rFonts w:hint="eastAsia" w:ascii="宋体" w:hAnsi="宋体" w:cs="宋体"/>
          <w:b/>
          <w:color w:val="auto"/>
          <w:szCs w:val="21"/>
          <w:highlight w:val="none"/>
        </w:rPr>
        <w:t>招标主设备清单</w:t>
      </w:r>
      <w:bookmarkEnd w:id="616"/>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包括但不限于下表清单所列设备，投标单位可在此基础上进行优化，但不能低于此配</w:t>
      </w:r>
    </w:p>
    <w:tbl>
      <w:tblPr>
        <w:tblStyle w:val="34"/>
        <w:tblW w:w="851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0"/>
        <w:gridCol w:w="1450"/>
        <w:gridCol w:w="4762"/>
        <w:gridCol w:w="751"/>
        <w:gridCol w:w="726"/>
      </w:tblGrid>
      <w:tr>
        <w:tblPrEx>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b/>
                <w:bCs/>
                <w:color w:val="auto"/>
                <w:kern w:val="2"/>
                <w:szCs w:val="21"/>
                <w:highlight w:val="none"/>
              </w:rPr>
              <w:t>序号</w:t>
            </w:r>
          </w:p>
        </w:tc>
        <w:tc>
          <w:tcPr>
            <w:tcW w:w="1450" w:type="dxa"/>
            <w:vAlign w:val="center"/>
          </w:tcPr>
          <w:p>
            <w:pPr>
              <w:widowControl w:val="0"/>
              <w:autoSpaceDE w:val="0"/>
              <w:autoSpaceDN w:val="0"/>
              <w:adjustRightInd/>
              <w:spacing w:before="31" w:after="31"/>
              <w:jc w:val="center"/>
              <w:rPr>
                <w:rFonts w:ascii="宋体" w:hAnsi="宋体" w:cs="宋体"/>
                <w:b/>
                <w:bCs/>
                <w:color w:val="auto"/>
                <w:szCs w:val="21"/>
                <w:highlight w:val="none"/>
                <w:lang w:eastAsia="en-US"/>
              </w:rPr>
            </w:pPr>
            <w:r>
              <w:rPr>
                <w:rFonts w:hint="eastAsia" w:ascii="宋体" w:hAnsi="宋体" w:cs="宋体"/>
                <w:b/>
                <w:bCs/>
                <w:color w:val="auto"/>
                <w:kern w:val="2"/>
                <w:szCs w:val="21"/>
                <w:highlight w:val="none"/>
              </w:rPr>
              <w:t>设备名称</w:t>
            </w:r>
          </w:p>
        </w:tc>
        <w:tc>
          <w:tcPr>
            <w:tcW w:w="4762" w:type="dxa"/>
            <w:vAlign w:val="center"/>
          </w:tcPr>
          <w:p>
            <w:pPr>
              <w:widowControl w:val="0"/>
              <w:autoSpaceDE w:val="0"/>
              <w:autoSpaceDN w:val="0"/>
              <w:adjustRightInd/>
              <w:spacing w:before="31" w:after="31"/>
              <w:jc w:val="center"/>
              <w:rPr>
                <w:rFonts w:ascii="宋体" w:hAnsi="宋体" w:cs="宋体"/>
                <w:b/>
                <w:bCs/>
                <w:color w:val="auto"/>
                <w:szCs w:val="21"/>
                <w:highlight w:val="none"/>
                <w:lang w:eastAsia="en-US"/>
              </w:rPr>
            </w:pPr>
            <w:r>
              <w:rPr>
                <w:rFonts w:hint="eastAsia" w:ascii="宋体" w:hAnsi="宋体" w:cs="宋体"/>
                <w:b/>
                <w:bCs/>
                <w:color w:val="auto"/>
                <w:kern w:val="2"/>
                <w:szCs w:val="21"/>
                <w:highlight w:val="none"/>
              </w:rPr>
              <w:t>设备描述</w:t>
            </w:r>
          </w:p>
        </w:tc>
        <w:tc>
          <w:tcPr>
            <w:tcW w:w="751" w:type="dxa"/>
            <w:vAlign w:val="center"/>
          </w:tcPr>
          <w:p>
            <w:pPr>
              <w:widowControl w:val="0"/>
              <w:autoSpaceDE w:val="0"/>
              <w:autoSpaceDN w:val="0"/>
              <w:adjustRightInd/>
              <w:spacing w:before="31" w:after="31"/>
              <w:jc w:val="center"/>
              <w:rPr>
                <w:rFonts w:ascii="宋体" w:hAnsi="宋体" w:cs="宋体"/>
                <w:b/>
                <w:bCs/>
                <w:color w:val="auto"/>
                <w:szCs w:val="21"/>
                <w:highlight w:val="none"/>
                <w:lang w:eastAsia="en-US"/>
              </w:rPr>
            </w:pPr>
            <w:r>
              <w:rPr>
                <w:rFonts w:hint="eastAsia" w:ascii="宋体" w:hAnsi="宋体" w:cs="宋体"/>
                <w:b/>
                <w:bCs/>
                <w:color w:val="auto"/>
                <w:kern w:val="2"/>
                <w:szCs w:val="21"/>
                <w:highlight w:val="none"/>
              </w:rPr>
              <w:t>单位</w:t>
            </w:r>
          </w:p>
        </w:tc>
        <w:tc>
          <w:tcPr>
            <w:tcW w:w="726" w:type="dxa"/>
            <w:vAlign w:val="center"/>
          </w:tcPr>
          <w:p>
            <w:pPr>
              <w:widowControl w:val="0"/>
              <w:autoSpaceDE w:val="0"/>
              <w:autoSpaceDN w:val="0"/>
              <w:adjustRightInd/>
              <w:spacing w:before="31" w:after="31"/>
              <w:jc w:val="center"/>
              <w:rPr>
                <w:rFonts w:ascii="宋体" w:hAnsi="宋体" w:cs="宋体"/>
                <w:b/>
                <w:bCs/>
                <w:color w:val="auto"/>
                <w:szCs w:val="21"/>
                <w:highlight w:val="none"/>
                <w:lang w:eastAsia="en-US"/>
              </w:rPr>
            </w:pPr>
            <w:r>
              <w:rPr>
                <w:rFonts w:hint="eastAsia" w:ascii="宋体" w:hAnsi="宋体" w:cs="宋体"/>
                <w:b/>
                <w:bCs/>
                <w:color w:val="auto"/>
                <w:kern w:val="2"/>
                <w:szCs w:val="21"/>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8519" w:type="dxa"/>
            <w:gridSpan w:val="5"/>
            <w:vAlign w:val="center"/>
          </w:tcPr>
          <w:p>
            <w:pPr>
              <w:widowControl w:val="0"/>
              <w:autoSpaceDE w:val="0"/>
              <w:autoSpaceDN w:val="0"/>
              <w:adjustRightInd/>
              <w:spacing w:before="31" w:after="31"/>
              <w:rPr>
                <w:rFonts w:ascii="宋体" w:hAnsi="宋体" w:cs="宋体"/>
                <w:color w:val="auto"/>
                <w:szCs w:val="21"/>
                <w:highlight w:val="none"/>
                <w:lang w:eastAsia="en-US"/>
              </w:rPr>
            </w:pPr>
            <w:r>
              <w:rPr>
                <w:rFonts w:hint="eastAsia" w:ascii="宋体" w:hAnsi="宋体" w:cs="宋体"/>
                <w:b/>
                <w:bCs/>
                <w:color w:val="auto"/>
                <w:szCs w:val="21"/>
                <w:highlight w:val="none"/>
              </w:rPr>
              <w:t>主要</w:t>
            </w:r>
            <w:r>
              <w:rPr>
                <w:rFonts w:hint="eastAsia" w:ascii="宋体" w:hAnsi="宋体" w:cs="宋体"/>
                <w:b/>
                <w:bCs/>
                <w:color w:val="auto"/>
                <w:szCs w:val="21"/>
                <w:highlight w:val="none"/>
                <w:lang w:eastAsia="en-US"/>
              </w:rPr>
              <w:t>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lang w:eastAsia="en-US"/>
              </w:rPr>
              <w:t>接</w:t>
            </w:r>
            <w:r>
              <w:rPr>
                <w:rFonts w:hint="eastAsia" w:ascii="宋体" w:hAnsi="宋体" w:cs="宋体"/>
                <w:color w:val="auto"/>
                <w:szCs w:val="21"/>
                <w:highlight w:val="none"/>
              </w:rPr>
              <w:t>收料盘（双螺旋）</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有效容积：≥15m³</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输送能力：10t/h</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板厚：≥4mm；</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材质：主体结构304不锈钢，支架碳钢防腐</w:t>
            </w:r>
          </w:p>
          <w:p>
            <w:pPr>
              <w:autoSpaceDE w:val="0"/>
              <w:autoSpaceDN w:val="0"/>
              <w:adjustRightInd/>
              <w:snapToGrid/>
              <w:rPr>
                <w:rFonts w:ascii="宋体" w:hAnsi="宋体" w:cs="宋体"/>
                <w:color w:val="auto"/>
                <w:szCs w:val="21"/>
                <w:highlight w:val="none"/>
                <w:lang w:bidi="ar"/>
              </w:rPr>
            </w:pPr>
            <w:r>
              <w:rPr>
                <w:rFonts w:hint="eastAsia" w:ascii="宋体" w:hAnsi="宋体" w:cs="宋体"/>
                <w:color w:val="auto"/>
                <w:szCs w:val="21"/>
                <w:highlight w:val="none"/>
              </w:rPr>
              <w:t>螺旋：</w:t>
            </w:r>
            <w:r>
              <w:rPr>
                <w:rFonts w:hint="eastAsia" w:ascii="宋体" w:hAnsi="宋体" w:cs="宋体"/>
                <w:color w:val="auto"/>
                <w:szCs w:val="21"/>
                <w:highlight w:val="none"/>
                <w:lang w:bidi="ar"/>
              </w:rPr>
              <w:t>直径：490mm；螺距：400mm；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中心孔：100mm；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叶片厚度：30（外）*45（内）mm；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长度：≥7.5m；转速：25r/min；</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滤水面积：＞2㎡；滤水孔径：6mm；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抽气口：1个，DN150，法兰连接；</w:t>
            </w:r>
          </w:p>
          <w:p>
            <w:pPr>
              <w:autoSpaceDE w:val="0"/>
              <w:autoSpaceDN w:val="0"/>
              <w:adjustRightInd/>
              <w:snapToGrid/>
              <w:rPr>
                <w:rFonts w:ascii="宋体" w:hAnsi="宋体" w:cs="宋体"/>
                <w:color w:val="auto"/>
                <w:szCs w:val="21"/>
                <w:highlight w:val="none"/>
                <w:lang w:bidi="ar"/>
              </w:rPr>
            </w:pPr>
            <w:r>
              <w:rPr>
                <w:rFonts w:hint="eastAsia" w:ascii="宋体" w:hAnsi="宋体" w:cs="宋体"/>
                <w:color w:val="auto"/>
                <w:szCs w:val="21"/>
                <w:highlight w:val="none"/>
                <w:lang w:bidi="ar"/>
              </w:rPr>
              <w:t>带头部连接30mm厚法兰</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U型板：材料：304不锈钢，厚度5 mm；</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盖板：材料：304不锈钢，厚度3 mm；</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耐磨衬板：材料：201不锈钢，厚度6 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滤网：材料：201不锈钢，厚度6 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螺旋：材料：16Mn</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lang w:bidi="ar"/>
              </w:rPr>
              <w:t>变频控制</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功率：</w:t>
            </w:r>
            <w:r>
              <w:rPr>
                <w:rFonts w:hint="eastAsia" w:ascii="宋体" w:hAnsi="宋体" w:cs="宋体"/>
                <w:color w:val="auto"/>
                <w:szCs w:val="21"/>
                <w:highlight w:val="none"/>
              </w:rPr>
              <w:t>7.5KW+7.5KW</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参考品牌:长兴日月、南京博特曼、中科兴</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2</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破碎机</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 xml:space="preserve">刀箱尺寸：不小于500*860mm </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刀片厚度40mm</w:t>
            </w:r>
          </w:p>
          <w:p>
            <w:pPr>
              <w:widowControl w:val="0"/>
              <w:tabs>
                <w:tab w:val="center" w:pos="4153"/>
                <w:tab w:val="right" w:pos="8306"/>
              </w:tabs>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破碎粒径：40*40mm</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▲破碎能力：≥8t/h，</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材质：主体结构锰钢，支架碳钢防腐，刀片进口合金钢</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功率：45KW</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参考品牌: 中山施瑞德、厦门环创</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3</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制浆除杂机</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转速：600~700 r/min，功率：≥37kw</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 xml:space="preserve">▲分离能力：≥8t/h， </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材质：主体结构304不锈钢，支架碳钢防腐</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 xml:space="preserve">筛网孔径：10*10mm </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电机品牌:环球、西门子贝得、南方</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4</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杂物辅助螺旋输送机</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输送能力：≥8t/h</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无轴螺旋</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螺旋直径： 490mm， 螺距：400mm,中心孔径100mm</w:t>
            </w:r>
          </w:p>
          <w:p>
            <w:pPr>
              <w:widowControl w:val="0"/>
              <w:tabs>
                <w:tab w:val="center" w:pos="4153"/>
                <w:tab w:val="right" w:pos="8306"/>
              </w:tabs>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螺旋厚：30mm；</w:t>
            </w:r>
          </w:p>
          <w:p>
            <w:pPr>
              <w:widowControl w:val="0"/>
              <w:tabs>
                <w:tab w:val="center" w:pos="4153"/>
                <w:tab w:val="right" w:pos="8306"/>
              </w:tabs>
              <w:autoSpaceDE w:val="0"/>
              <w:autoSpaceDN w:val="0"/>
              <w:jc w:val="both"/>
              <w:rPr>
                <w:rFonts w:ascii="宋体" w:hAnsi="宋体" w:cs="宋体"/>
                <w:color w:val="auto"/>
                <w:szCs w:val="21"/>
                <w:highlight w:val="none"/>
              </w:rPr>
            </w:pPr>
            <w:r>
              <w:rPr>
                <w:rFonts w:hint="eastAsia" w:ascii="宋体" w:hAnsi="宋体" w:cs="宋体"/>
                <w:color w:val="auto"/>
                <w:szCs w:val="21"/>
                <w:highlight w:val="none"/>
                <w:lang w:bidi="ar"/>
              </w:rPr>
              <w:t>长度：≥3m；转速：20r/min；</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U型板：材料：304不锈钢，厚度5 mm；</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盖板：材料：304不锈钢，厚度3 mm；</w:t>
            </w:r>
          </w:p>
          <w:p>
            <w:pPr>
              <w:widowControl w:val="0"/>
              <w:tabs>
                <w:tab w:val="center" w:pos="4153"/>
                <w:tab w:val="right" w:pos="8306"/>
              </w:tabs>
              <w:autoSpaceDE w:val="0"/>
              <w:autoSpaceDN w:val="0"/>
              <w:rPr>
                <w:rFonts w:ascii="宋体" w:hAnsi="宋体" w:cs="宋体"/>
                <w:color w:val="auto"/>
                <w:szCs w:val="21"/>
                <w:highlight w:val="none"/>
              </w:rPr>
            </w:pPr>
            <w:r>
              <w:rPr>
                <w:rFonts w:hint="eastAsia" w:ascii="宋体" w:hAnsi="宋体" w:cs="宋体"/>
                <w:color w:val="auto"/>
                <w:szCs w:val="21"/>
                <w:highlight w:val="none"/>
                <w:lang w:bidi="ar"/>
              </w:rPr>
              <w:t>耐磨衬板：材料：201不锈钢，厚度6 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滤网材料：201不锈钢，厚度6 mm；滤水面积：</w:t>
            </w:r>
            <w:r>
              <w:rPr>
                <w:rFonts w:hint="eastAsia" w:ascii="宋体" w:hAnsi="宋体" w:cs="宋体"/>
                <w:color w:val="auto"/>
                <w:szCs w:val="21"/>
                <w:highlight w:val="none"/>
              </w:rPr>
              <w:t>≥</w:t>
            </w:r>
            <w:r>
              <w:rPr>
                <w:rFonts w:hint="eastAsia" w:ascii="宋体" w:hAnsi="宋体" w:cs="宋体"/>
                <w:color w:val="auto"/>
                <w:szCs w:val="21"/>
                <w:highlight w:val="none"/>
                <w:lang w:bidi="ar"/>
              </w:rPr>
              <w:t>1㎡；滤水孔径：6mm；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螺旋材料：16Mn</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材质：主体结构304不锈钢，支架碳钢防腐</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功率：3KW</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参考品牌:长兴日月、南京博特曼、中科兴</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9"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5</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杂物无轴螺旋输送机</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输送能力：≥8t/h</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螺旋直径： 490mm， 螺距： 400mm,中心孔径100mm</w:t>
            </w:r>
          </w:p>
          <w:p>
            <w:pPr>
              <w:widowControl w:val="0"/>
              <w:tabs>
                <w:tab w:val="center" w:pos="4153"/>
                <w:tab w:val="right" w:pos="8306"/>
              </w:tabs>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螺旋厚：25（外）*40（内）mm；</w:t>
            </w:r>
          </w:p>
          <w:p>
            <w:pPr>
              <w:widowControl w:val="0"/>
              <w:tabs>
                <w:tab w:val="center" w:pos="4153"/>
                <w:tab w:val="right" w:pos="8306"/>
              </w:tabs>
              <w:autoSpaceDE w:val="0"/>
              <w:autoSpaceDN w:val="0"/>
              <w:jc w:val="both"/>
              <w:rPr>
                <w:rFonts w:ascii="宋体" w:hAnsi="宋体" w:cs="宋体"/>
                <w:color w:val="auto"/>
                <w:szCs w:val="21"/>
                <w:highlight w:val="none"/>
              </w:rPr>
            </w:pPr>
            <w:r>
              <w:rPr>
                <w:rFonts w:hint="eastAsia" w:ascii="宋体" w:hAnsi="宋体" w:cs="宋体"/>
                <w:color w:val="auto"/>
                <w:szCs w:val="21"/>
                <w:highlight w:val="none"/>
                <w:lang w:bidi="ar"/>
              </w:rPr>
              <w:t>长度：≥15m；转速：20r/min；</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U型板：材料：304不锈钢，厚度5 mm；</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盖板材料：304不锈钢，厚度3 mm；</w:t>
            </w:r>
          </w:p>
          <w:p>
            <w:pPr>
              <w:widowControl w:val="0"/>
              <w:tabs>
                <w:tab w:val="center" w:pos="4153"/>
                <w:tab w:val="right" w:pos="8306"/>
              </w:tabs>
              <w:autoSpaceDE w:val="0"/>
              <w:autoSpaceDN w:val="0"/>
              <w:rPr>
                <w:rFonts w:ascii="宋体" w:hAnsi="宋体" w:cs="宋体"/>
                <w:color w:val="auto"/>
                <w:szCs w:val="21"/>
                <w:highlight w:val="none"/>
              </w:rPr>
            </w:pPr>
            <w:r>
              <w:rPr>
                <w:rFonts w:hint="eastAsia" w:ascii="宋体" w:hAnsi="宋体" w:cs="宋体"/>
                <w:color w:val="auto"/>
                <w:szCs w:val="21"/>
                <w:highlight w:val="none"/>
                <w:lang w:bidi="ar"/>
              </w:rPr>
              <w:t>耐磨衬板材料：201不锈钢，厚度6 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滤网材料：201不锈钢；滤水面积：</w:t>
            </w:r>
            <w:r>
              <w:rPr>
                <w:rFonts w:hint="eastAsia" w:ascii="宋体" w:hAnsi="宋体" w:cs="宋体"/>
                <w:color w:val="auto"/>
                <w:szCs w:val="21"/>
                <w:highlight w:val="none"/>
              </w:rPr>
              <w:t>≥</w:t>
            </w:r>
            <w:r>
              <w:rPr>
                <w:rFonts w:hint="eastAsia" w:ascii="宋体" w:hAnsi="宋体" w:cs="宋体"/>
                <w:color w:val="auto"/>
                <w:szCs w:val="21"/>
                <w:highlight w:val="none"/>
                <w:lang w:bidi="ar"/>
              </w:rPr>
              <w:t>1㎡；滤水孔径：6mm；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螺旋：材料：16Mn</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材质：主体结构304不锈钢，支架碳钢防腐</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功率：15KW</w:t>
            </w:r>
          </w:p>
          <w:p>
            <w:pPr>
              <w:autoSpaceDE w:val="0"/>
              <w:autoSpaceDN w:val="0"/>
              <w:adjustRightInd/>
              <w:snapToGrid/>
              <w:rPr>
                <w:rFonts w:ascii="宋体" w:hAnsi="宋体" w:cs="宋体"/>
                <w:strike/>
                <w:color w:val="auto"/>
                <w:szCs w:val="21"/>
                <w:highlight w:val="none"/>
              </w:rPr>
            </w:pPr>
            <w:r>
              <w:rPr>
                <w:rFonts w:hint="eastAsia" w:ascii="宋体" w:hAnsi="宋体" w:cs="宋体"/>
                <w:color w:val="auto"/>
                <w:szCs w:val="21"/>
                <w:highlight w:val="none"/>
              </w:rPr>
              <w:t>参考品牌:长兴日月、南京博特曼、中科兴</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6</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浆液辅助螺旋输送机</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输送能力：≥6t/h</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无轴螺旋</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螺旋直径： 400mm， 螺距： 360mm,中心孔径100mm</w:t>
            </w:r>
          </w:p>
          <w:p>
            <w:pPr>
              <w:widowControl w:val="0"/>
              <w:tabs>
                <w:tab w:val="center" w:pos="4153"/>
                <w:tab w:val="right" w:pos="8306"/>
              </w:tabs>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螺旋厚：25mm；</w:t>
            </w:r>
          </w:p>
          <w:p>
            <w:pPr>
              <w:widowControl w:val="0"/>
              <w:tabs>
                <w:tab w:val="center" w:pos="4153"/>
                <w:tab w:val="right" w:pos="8306"/>
              </w:tabs>
              <w:autoSpaceDE w:val="0"/>
              <w:autoSpaceDN w:val="0"/>
              <w:jc w:val="both"/>
              <w:rPr>
                <w:rFonts w:ascii="宋体" w:hAnsi="宋体" w:cs="宋体"/>
                <w:color w:val="auto"/>
                <w:szCs w:val="21"/>
                <w:highlight w:val="none"/>
                <w:lang w:bidi="ar"/>
              </w:rPr>
            </w:pPr>
            <w:r>
              <w:rPr>
                <w:rFonts w:hint="eastAsia" w:ascii="宋体" w:hAnsi="宋体" w:cs="宋体"/>
                <w:color w:val="auto"/>
                <w:szCs w:val="21"/>
                <w:highlight w:val="none"/>
                <w:lang w:bidi="ar"/>
              </w:rPr>
              <w:t>长度：≥3.5m；转速：20r/min；</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U型板材料：304不锈钢，厚度3 mm；</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盖板材料：304不锈钢，厚度2 mm；</w:t>
            </w:r>
          </w:p>
          <w:p>
            <w:pPr>
              <w:widowControl w:val="0"/>
              <w:tabs>
                <w:tab w:val="center" w:pos="4153"/>
                <w:tab w:val="right" w:pos="8306"/>
              </w:tabs>
              <w:autoSpaceDE w:val="0"/>
              <w:autoSpaceDN w:val="0"/>
              <w:rPr>
                <w:rFonts w:ascii="宋体" w:hAnsi="宋体" w:cs="宋体"/>
                <w:color w:val="auto"/>
                <w:szCs w:val="21"/>
                <w:highlight w:val="none"/>
              </w:rPr>
            </w:pPr>
            <w:r>
              <w:rPr>
                <w:rFonts w:hint="eastAsia" w:ascii="宋体" w:hAnsi="宋体" w:cs="宋体"/>
                <w:color w:val="auto"/>
                <w:szCs w:val="21"/>
                <w:highlight w:val="none"/>
                <w:lang w:bidi="ar"/>
              </w:rPr>
              <w:t>耐磨衬板材料：201不锈钢，厚度6 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螺旋材料：16Mn</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材质：主体结构304不锈钢，支架碳钢防腐</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功率：3KW</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参考品牌:长兴日月、南京博特曼、中科兴</w:t>
            </w:r>
          </w:p>
        </w:tc>
        <w:tc>
          <w:tcPr>
            <w:tcW w:w="751"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7</w:t>
            </w:r>
          </w:p>
        </w:tc>
        <w:tc>
          <w:tcPr>
            <w:tcW w:w="1450"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rPr>
              <w:t>螺旋</w:t>
            </w:r>
            <w:r>
              <w:rPr>
                <w:rFonts w:hint="eastAsia" w:ascii="宋体" w:hAnsi="宋体" w:cs="宋体"/>
                <w:color w:val="auto"/>
                <w:szCs w:val="21"/>
                <w:highlight w:val="none"/>
                <w:lang w:eastAsia="en-US"/>
              </w:rPr>
              <w:t>压榨机</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▲处理能力：≥8t/h</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无轴螺旋压榨机</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螺旋直径：≥490mm，螺距：450mm,</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螺旋叶片厚度：≥60mm，</w:t>
            </w:r>
          </w:p>
          <w:p>
            <w:pPr>
              <w:widowControl w:val="0"/>
              <w:tabs>
                <w:tab w:val="center" w:pos="4153"/>
                <w:tab w:val="right" w:pos="8306"/>
              </w:tabs>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筛板孔径：圆孔6mm</w:t>
            </w:r>
          </w:p>
          <w:p>
            <w:pPr>
              <w:widowControl w:val="0"/>
              <w:tabs>
                <w:tab w:val="center" w:pos="4153"/>
                <w:tab w:val="right" w:pos="8306"/>
              </w:tabs>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出料门压力控制方式：气缸恒压控制</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材质：主体结构304不锈钢，螺旋材质为16Mn，支架碳钢防腐</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 xml:space="preserve">功率：≥15KW,变频控制， </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参考品牌:南京搏特曼、福建福丰轻机、福建福轻机械；</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45"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8</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无轴</w:t>
            </w:r>
            <w:r>
              <w:rPr>
                <w:rFonts w:hint="eastAsia" w:ascii="宋体" w:hAnsi="宋体" w:cs="宋体"/>
                <w:color w:val="auto"/>
                <w:szCs w:val="21"/>
                <w:highlight w:val="none"/>
                <w:lang w:eastAsia="en-US"/>
              </w:rPr>
              <w:t>螺旋</w:t>
            </w:r>
            <w:r>
              <w:rPr>
                <w:rFonts w:hint="eastAsia" w:ascii="宋体" w:hAnsi="宋体" w:cs="宋体"/>
                <w:color w:val="auto"/>
                <w:szCs w:val="21"/>
                <w:highlight w:val="none"/>
              </w:rPr>
              <w:t>输送</w:t>
            </w:r>
            <w:r>
              <w:rPr>
                <w:rFonts w:hint="eastAsia" w:ascii="宋体" w:hAnsi="宋体" w:cs="宋体"/>
                <w:color w:val="auto"/>
                <w:szCs w:val="21"/>
                <w:highlight w:val="none"/>
                <w:lang w:eastAsia="en-US"/>
              </w:rPr>
              <w:t>机</w:t>
            </w:r>
            <w:r>
              <w:rPr>
                <w:rFonts w:hint="eastAsia" w:ascii="宋体" w:hAnsi="宋体" w:cs="宋体"/>
                <w:color w:val="auto"/>
                <w:szCs w:val="21"/>
                <w:highlight w:val="none"/>
              </w:rPr>
              <w:t>A</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输送能力：≥6t/h</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无轴螺旋输送机</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螺旋直径： 400mm， 螺距： 360mm,中心孔径100mm</w:t>
            </w:r>
          </w:p>
          <w:p>
            <w:pPr>
              <w:widowControl w:val="0"/>
              <w:tabs>
                <w:tab w:val="center" w:pos="4153"/>
                <w:tab w:val="right" w:pos="8306"/>
              </w:tabs>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螺旋厚：30mm,</w:t>
            </w:r>
          </w:p>
          <w:p>
            <w:pPr>
              <w:widowControl w:val="0"/>
              <w:tabs>
                <w:tab w:val="center" w:pos="4153"/>
                <w:tab w:val="right" w:pos="8306"/>
              </w:tabs>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长度：≥13m；转速：20r/min；</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U型板材料：304不锈钢，厚度3 mm；</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盖板材料：304不锈钢，厚度2 mm；</w:t>
            </w:r>
          </w:p>
          <w:p>
            <w:pPr>
              <w:widowControl w:val="0"/>
              <w:tabs>
                <w:tab w:val="center" w:pos="4153"/>
                <w:tab w:val="right" w:pos="8306"/>
              </w:tabs>
              <w:autoSpaceDE w:val="0"/>
              <w:autoSpaceDN w:val="0"/>
              <w:rPr>
                <w:rFonts w:ascii="宋体" w:hAnsi="宋体" w:cs="宋体"/>
                <w:color w:val="auto"/>
                <w:szCs w:val="21"/>
                <w:highlight w:val="none"/>
              </w:rPr>
            </w:pPr>
            <w:r>
              <w:rPr>
                <w:rFonts w:hint="eastAsia" w:ascii="宋体" w:hAnsi="宋体" w:cs="宋体"/>
                <w:color w:val="auto"/>
                <w:szCs w:val="21"/>
                <w:highlight w:val="none"/>
                <w:lang w:bidi="ar"/>
              </w:rPr>
              <w:t>耐磨衬板材料：201不锈钢，厚度6 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滤网：材料：201不锈钢，厚度6 mm；滤水面积：＞1㎡；滤水孔径：6mm；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螺旋材料：16Mn</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材质：主体结构304不锈钢，支架碳钢防腐</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功率：11KW</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参考品牌:长兴日月、南京博特曼、中科兴</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9</w:t>
            </w:r>
          </w:p>
        </w:tc>
        <w:tc>
          <w:tcPr>
            <w:tcW w:w="1450"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rPr>
              <w:t>三相分离机</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▲处理能力： 6~10t/h；</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转鼓直径：≥450mm</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电机功率：30+7.5kw</w:t>
            </w:r>
          </w:p>
          <w:p>
            <w:pPr>
              <w:autoSpaceDE w:val="0"/>
              <w:autoSpaceDN w:val="0"/>
              <w:adjustRightInd/>
              <w:snapToGrid/>
              <w:rPr>
                <w:rFonts w:ascii="宋体" w:hAnsi="宋体" w:cs="宋体"/>
                <w:color w:val="auto"/>
                <w:szCs w:val="21"/>
                <w:highlight w:val="none"/>
                <w:lang w:bidi="ar"/>
              </w:rPr>
            </w:pPr>
            <w:r>
              <w:rPr>
                <w:rFonts w:hint="eastAsia" w:ascii="宋体" w:hAnsi="宋体" w:cs="宋体"/>
                <w:color w:val="auto"/>
                <w:szCs w:val="21"/>
                <w:highlight w:val="none"/>
                <w:lang w:bidi="ar"/>
              </w:rPr>
              <w:t>油相含水含杂率：≤4%；</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水相含油率：≤0.5%；</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固相含水率：≤80%</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lang w:bidi="ar"/>
              </w:rPr>
              <w:t>参考</w:t>
            </w:r>
            <w:r>
              <w:rPr>
                <w:rFonts w:hint="eastAsia" w:ascii="宋体" w:hAnsi="宋体" w:cs="宋体"/>
                <w:color w:val="auto"/>
                <w:szCs w:val="21"/>
                <w:highlight w:val="none"/>
              </w:rPr>
              <w:t>品牌：优耐特，智楷，东邦，巨能</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10</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三相固相</w:t>
            </w:r>
          </w:p>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lang w:eastAsia="en-US"/>
              </w:rPr>
              <w:t>螺旋</w:t>
            </w:r>
            <w:r>
              <w:rPr>
                <w:rFonts w:hint="eastAsia" w:ascii="宋体" w:hAnsi="宋体" w:cs="宋体"/>
                <w:color w:val="auto"/>
                <w:szCs w:val="21"/>
                <w:highlight w:val="none"/>
              </w:rPr>
              <w:t>输送</w:t>
            </w:r>
            <w:r>
              <w:rPr>
                <w:rFonts w:hint="eastAsia" w:ascii="宋体" w:hAnsi="宋体" w:cs="宋体"/>
                <w:color w:val="auto"/>
                <w:szCs w:val="21"/>
                <w:highlight w:val="none"/>
                <w:lang w:eastAsia="en-US"/>
              </w:rPr>
              <w:t>机</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输送能力：≥4t/h</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无轴螺旋</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螺旋直径： 360mm， 螺距： 300mm,中心孔径80mm</w:t>
            </w:r>
          </w:p>
          <w:p>
            <w:pPr>
              <w:widowControl w:val="0"/>
              <w:tabs>
                <w:tab w:val="center" w:pos="4153"/>
                <w:tab w:val="right" w:pos="8306"/>
              </w:tabs>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螺旋厚：30mm,</w:t>
            </w:r>
          </w:p>
          <w:p>
            <w:pPr>
              <w:widowControl w:val="0"/>
              <w:tabs>
                <w:tab w:val="center" w:pos="4153"/>
                <w:tab w:val="right" w:pos="8306"/>
              </w:tabs>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长度：≥4 m；转速：20r/min；</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U型板：304不锈钢，厚度3 mm；</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盖板：304不锈钢，厚度2 mm；</w:t>
            </w:r>
          </w:p>
          <w:p>
            <w:pPr>
              <w:widowControl w:val="0"/>
              <w:tabs>
                <w:tab w:val="center" w:pos="4153"/>
                <w:tab w:val="right" w:pos="8306"/>
              </w:tabs>
              <w:autoSpaceDE w:val="0"/>
              <w:autoSpaceDN w:val="0"/>
              <w:rPr>
                <w:rFonts w:ascii="宋体" w:hAnsi="宋体" w:cs="宋体"/>
                <w:color w:val="auto"/>
                <w:szCs w:val="21"/>
                <w:highlight w:val="none"/>
              </w:rPr>
            </w:pPr>
            <w:r>
              <w:rPr>
                <w:rFonts w:hint="eastAsia" w:ascii="宋体" w:hAnsi="宋体" w:cs="宋体"/>
                <w:color w:val="auto"/>
                <w:szCs w:val="21"/>
                <w:highlight w:val="none"/>
                <w:lang w:bidi="ar"/>
              </w:rPr>
              <w:t>耐磨衬板：201不锈钢，厚度6 mm；</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螺旋：16Mn</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材质：主体结构304不锈钢，支架碳钢防腐</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功率：2.2KW</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参考品牌:长兴日月、南京博特曼、中科兴</w:t>
            </w:r>
          </w:p>
        </w:tc>
        <w:tc>
          <w:tcPr>
            <w:tcW w:w="751"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11</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蒸汽锅炉</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额定蒸汽量：≥0.2t/h</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蒸汽压力：≥0.8MPa</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热效率：≥99%</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功率：144KW</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带多重保护功能，智能化全自动控制，可设定自动运行时间</w:t>
            </w:r>
          </w:p>
        </w:tc>
        <w:tc>
          <w:tcPr>
            <w:tcW w:w="751"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12</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蒸汽加热罐</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锥底罐</w:t>
            </w:r>
            <w:r>
              <w:rPr>
                <w:rFonts w:hint="eastAsia" w:ascii="宋体" w:hAnsi="宋体" w:cs="宋体"/>
                <w:color w:val="auto"/>
                <w:szCs w:val="21"/>
                <w:highlight w:val="none"/>
              </w:rPr>
              <w:br w:type="textWrapping"/>
            </w:r>
            <w:r>
              <w:rPr>
                <w:rFonts w:hint="eastAsia" w:ascii="宋体" w:hAnsi="宋体" w:cs="宋体"/>
                <w:color w:val="auto"/>
                <w:szCs w:val="21"/>
                <w:highlight w:val="none"/>
              </w:rPr>
              <w:t>容积：3T</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带搅拌功能，搅拌功率：1.5KW</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尺寸：¢1.5*2m</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罐体厚度：4mm</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材质：SUS304不锈钢</w:t>
            </w:r>
          </w:p>
        </w:tc>
        <w:tc>
          <w:tcPr>
            <w:tcW w:w="751"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13</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油水暂存罐</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平底罐</w:t>
            </w:r>
            <w:r>
              <w:rPr>
                <w:rFonts w:hint="eastAsia" w:ascii="宋体" w:hAnsi="宋体" w:cs="宋体"/>
                <w:color w:val="auto"/>
                <w:szCs w:val="21"/>
                <w:highlight w:val="none"/>
              </w:rPr>
              <w:br w:type="textWrapping"/>
            </w:r>
            <w:r>
              <w:rPr>
                <w:rFonts w:hint="eastAsia" w:ascii="宋体" w:hAnsi="宋体" w:cs="宋体"/>
                <w:color w:val="auto"/>
                <w:szCs w:val="21"/>
                <w:highlight w:val="none"/>
              </w:rPr>
              <w:t>容积：0.5T</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罐体厚度：3mm</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材质：SUS304不锈钢</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罐子顶部进料口</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罐子底部出水、出油口，出口口径：1寸</w:t>
            </w:r>
          </w:p>
          <w:p>
            <w:pPr>
              <w:autoSpaceDE w:val="0"/>
              <w:autoSpaceDN w:val="0"/>
              <w:adjustRightInd/>
              <w:snapToGrid/>
              <w:rPr>
                <w:rFonts w:ascii="宋体" w:hAnsi="宋体" w:cs="宋体"/>
                <w:color w:val="auto"/>
                <w:szCs w:val="21"/>
                <w:highlight w:val="none"/>
                <w:lang w:bidi="ar"/>
              </w:rPr>
            </w:pPr>
            <w:r>
              <w:rPr>
                <w:rFonts w:hint="eastAsia" w:ascii="宋体" w:hAnsi="宋体" w:cs="宋体"/>
                <w:color w:val="auto"/>
                <w:szCs w:val="21"/>
                <w:highlight w:val="none"/>
              </w:rPr>
              <w:t>整体密封，带观察口</w:t>
            </w:r>
          </w:p>
        </w:tc>
        <w:tc>
          <w:tcPr>
            <w:tcW w:w="751"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rPr>
            </w:pPr>
            <w:r>
              <w:rPr>
                <w:rFonts w:hint="eastAsia" w:ascii="宋体" w:hAnsi="宋体" w:cs="宋体"/>
                <w:color w:val="auto"/>
                <w:szCs w:val="21"/>
                <w:highlight w:val="none"/>
                <w:lang w:eastAsia="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14</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三相热液罐搅拌机</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材质304不锈钢轴</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中心桨叶搅拌机</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桨叶层数：单层</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桨叶数量：两片/层</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功率：1.5KW</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电压：380V</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转速：30转/分钟</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参考品牌：长城、长江、天强</w:t>
            </w:r>
          </w:p>
        </w:tc>
        <w:tc>
          <w:tcPr>
            <w:tcW w:w="751"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15</w:t>
            </w:r>
          </w:p>
        </w:tc>
        <w:tc>
          <w:tcPr>
            <w:tcW w:w="1450"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三相离心机进料泵</w:t>
            </w:r>
          </w:p>
        </w:tc>
        <w:tc>
          <w:tcPr>
            <w:tcW w:w="4762" w:type="dxa"/>
            <w:vAlign w:val="center"/>
          </w:tcPr>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介质：厨余垃圾浆料</w:t>
            </w:r>
          </w:p>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螺杆泵</w:t>
            </w:r>
          </w:p>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流量：15m³/h</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扬程：30m</w:t>
            </w:r>
          </w:p>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变频电机</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功率：3kW</w:t>
            </w:r>
          </w:p>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电压：380VAC</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防护等级：IP54</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绝缘等级：F级</w:t>
            </w:r>
          </w:p>
          <w:p>
            <w:pPr>
              <w:adjustRightInd/>
              <w:snapToGrid/>
              <w:jc w:val="both"/>
              <w:rPr>
                <w:rFonts w:ascii="宋体" w:hAnsi="宋体" w:cs="宋体"/>
                <w:color w:val="auto"/>
                <w:szCs w:val="21"/>
                <w:highlight w:val="none"/>
              </w:rPr>
            </w:pPr>
            <w:r>
              <w:rPr>
                <w:rFonts w:hint="eastAsia" w:ascii="宋体" w:hAnsi="宋体" w:cs="宋体"/>
                <w:color w:val="auto"/>
                <w:szCs w:val="21"/>
                <w:highlight w:val="none"/>
              </w:rPr>
              <w:t>参考品牌：萨博特、斯坦德、杭州兴龙、黄山泵业</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16</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毛油移送泵</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介质：厨余毛油</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齿轮泵</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流量：12m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/h</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扬程：0.33MPa</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转速：1480r/min</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功率：4KW</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绝缘等级F</w:t>
            </w:r>
          </w:p>
          <w:p>
            <w:pPr>
              <w:widowControl w:val="0"/>
              <w:tabs>
                <w:tab w:val="center" w:pos="4153"/>
                <w:tab w:val="right" w:pos="8306"/>
              </w:tabs>
              <w:autoSpaceDE w:val="0"/>
              <w:autoSpaceDN w:val="0"/>
              <w:rPr>
                <w:rFonts w:ascii="宋体" w:hAnsi="宋体" w:cs="宋体"/>
                <w:color w:val="auto"/>
                <w:szCs w:val="21"/>
                <w:highlight w:val="none"/>
              </w:rPr>
            </w:pPr>
            <w:r>
              <w:rPr>
                <w:rFonts w:hint="eastAsia" w:ascii="宋体" w:hAnsi="宋体" w:cs="宋体"/>
                <w:color w:val="auto"/>
                <w:szCs w:val="21"/>
                <w:highlight w:val="none"/>
              </w:rPr>
              <w:t>参考品牌：</w:t>
            </w:r>
            <w:r>
              <w:rPr>
                <w:rFonts w:hint="eastAsia" w:ascii="宋体" w:hAnsi="宋体" w:cs="宋体"/>
                <w:color w:val="auto"/>
                <w:szCs w:val="21"/>
                <w:highlight w:val="none"/>
                <w:lang w:bidi="ar"/>
              </w:rPr>
              <w:t>北弘泵业、宇泰泵业、恒盛泵业</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17</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三相废水移送泵</w:t>
            </w:r>
          </w:p>
        </w:tc>
        <w:tc>
          <w:tcPr>
            <w:tcW w:w="4762" w:type="dxa"/>
            <w:vAlign w:val="center"/>
          </w:tcPr>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介质：厨余垃圾浆料</w:t>
            </w:r>
          </w:p>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浆泵</w:t>
            </w:r>
          </w:p>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流量：15m³/h</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扬程：20m</w:t>
            </w:r>
          </w:p>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型式：卧式</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型式：自吸</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功率：5.5kW</w:t>
            </w:r>
          </w:p>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电压：380VAC</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防护等级：IP54</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绝缘等级：F级</w:t>
            </w:r>
          </w:p>
          <w:p>
            <w:pPr>
              <w:widowControl w:val="0"/>
              <w:tabs>
                <w:tab w:val="center" w:pos="4153"/>
                <w:tab w:val="right" w:pos="8306"/>
              </w:tabs>
              <w:autoSpaceDE w:val="0"/>
              <w:autoSpaceDN w:val="0"/>
              <w:rPr>
                <w:rFonts w:ascii="宋体" w:hAnsi="宋体" w:cs="宋体"/>
                <w:color w:val="auto"/>
                <w:szCs w:val="21"/>
                <w:highlight w:val="none"/>
              </w:rPr>
            </w:pPr>
            <w:r>
              <w:rPr>
                <w:rFonts w:hint="eastAsia" w:ascii="宋体" w:hAnsi="宋体" w:cs="宋体"/>
                <w:color w:val="auto"/>
                <w:szCs w:val="21"/>
                <w:highlight w:val="none"/>
              </w:rPr>
              <w:t>参考品牌：</w:t>
            </w:r>
            <w:r>
              <w:rPr>
                <w:rFonts w:hint="eastAsia" w:ascii="宋体" w:hAnsi="宋体" w:cs="宋体"/>
                <w:color w:val="auto"/>
                <w:szCs w:val="21"/>
                <w:highlight w:val="none"/>
                <w:lang w:bidi="ar"/>
              </w:rPr>
              <w:t>布鲁克林、</w:t>
            </w:r>
            <w:r>
              <w:rPr>
                <w:rFonts w:hint="eastAsia" w:ascii="宋体" w:hAnsi="宋体" w:cs="宋体"/>
                <w:color w:val="auto"/>
                <w:szCs w:val="21"/>
                <w:highlight w:val="none"/>
              </w:rPr>
              <w:t>萧山美特、江苏凯恩斯</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18</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喂料螺杆泵</w:t>
            </w:r>
          </w:p>
        </w:tc>
        <w:tc>
          <w:tcPr>
            <w:tcW w:w="4762" w:type="dxa"/>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流量：30m3/h，扬程：1.5MPa，</w:t>
            </w:r>
          </w:p>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转速：180r/min,功率：22KW,电压380V，过流部件SUS304，</w:t>
            </w:r>
          </w:p>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带强冷独立风扇，进料口带螺旋叶片推进器(矩形料斗)，带干运行保护器</w:t>
            </w:r>
          </w:p>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参考品牌：萨博特、斯坦德、杭州兴龙、黄山泵业</w:t>
            </w:r>
          </w:p>
        </w:tc>
        <w:tc>
          <w:tcPr>
            <w:tcW w:w="751"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19</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有机料暂存箱</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容积：10m³，LWH：3.5*2.2*1.5m</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罐体厚度：3mm</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材质：SUS304不锈钢</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罐子顶部进料口</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罐子底部出水、出油口，出口口径：1寸</w:t>
            </w:r>
          </w:p>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整体密封，带观察口</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20</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储水罐</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3m³,PE材质，自动补水</w:t>
            </w:r>
          </w:p>
        </w:tc>
        <w:tc>
          <w:tcPr>
            <w:tcW w:w="751"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个</w:t>
            </w:r>
          </w:p>
        </w:tc>
        <w:tc>
          <w:tcPr>
            <w:tcW w:w="72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519" w:type="dxa"/>
            <w:gridSpan w:val="5"/>
            <w:vAlign w:val="center"/>
          </w:tcPr>
          <w:p>
            <w:pPr>
              <w:widowControl w:val="0"/>
              <w:autoSpaceDE w:val="0"/>
              <w:autoSpaceDN w:val="0"/>
              <w:adjustRightInd/>
              <w:spacing w:before="31" w:after="31"/>
              <w:rPr>
                <w:rFonts w:ascii="宋体" w:hAnsi="宋体" w:cs="宋体"/>
                <w:color w:val="auto"/>
                <w:szCs w:val="21"/>
                <w:highlight w:val="none"/>
                <w:lang w:eastAsia="en-US"/>
              </w:rPr>
            </w:pPr>
            <w:r>
              <w:rPr>
                <w:rFonts w:hint="eastAsia" w:ascii="宋体" w:hAnsi="宋体" w:cs="宋体"/>
                <w:b/>
                <w:bCs/>
                <w:color w:val="auto"/>
                <w:kern w:val="2"/>
                <w:szCs w:val="21"/>
                <w:highlight w:val="none"/>
              </w:rPr>
              <w:t>主要仪表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电磁流量计（三相进料流量计、原液流量计、废水流量计）</w:t>
            </w:r>
          </w:p>
        </w:tc>
        <w:tc>
          <w:tcPr>
            <w:tcW w:w="4762" w:type="dxa"/>
            <w:vAlign w:val="center"/>
          </w:tcPr>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介质：厨余垃圾浆料</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量程：1~30M³/h；精度：±5%</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带现场显示一体</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过程连接：DN50PN10法兰</w:t>
            </w:r>
          </w:p>
          <w:p>
            <w:pPr>
              <w:autoSpaceDE w:val="0"/>
              <w:autoSpaceDN w:val="0"/>
              <w:adjustRightInd/>
              <w:snapToGrid/>
              <w:rPr>
                <w:rFonts w:ascii="宋体" w:hAnsi="宋体" w:cs="宋体"/>
                <w:color w:val="auto"/>
                <w:szCs w:val="21"/>
                <w:highlight w:val="none"/>
                <w:lang w:bidi="ar"/>
              </w:rPr>
            </w:pPr>
            <w:r>
              <w:rPr>
                <w:rFonts w:hint="eastAsia" w:ascii="宋体" w:hAnsi="宋体" w:cs="宋体"/>
                <w:color w:val="auto"/>
                <w:szCs w:val="21"/>
                <w:highlight w:val="none"/>
                <w:lang w:bidi="ar"/>
              </w:rPr>
              <w:t>电源：220VAC</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显示：带背光</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输出：4~20mA，配置485通讯接口</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防护等级：IP65</w:t>
            </w:r>
          </w:p>
          <w:p>
            <w:pPr>
              <w:autoSpaceDE w:val="0"/>
              <w:autoSpaceDN w:val="0"/>
              <w:adjustRightInd/>
              <w:snapToGrid/>
              <w:rPr>
                <w:rFonts w:ascii="宋体" w:hAnsi="宋体" w:cs="宋体"/>
                <w:color w:val="auto"/>
                <w:szCs w:val="21"/>
                <w:highlight w:val="none"/>
                <w:lang w:bidi="ar"/>
              </w:rPr>
            </w:pPr>
            <w:r>
              <w:rPr>
                <w:rFonts w:hint="eastAsia" w:ascii="宋体" w:hAnsi="宋体" w:cs="宋体"/>
                <w:color w:val="auto"/>
                <w:szCs w:val="21"/>
                <w:highlight w:val="none"/>
                <w:lang w:bidi="ar"/>
              </w:rPr>
              <w:t>壳体：铝合金喷塑</w:t>
            </w:r>
          </w:p>
          <w:p>
            <w:pPr>
              <w:widowControl w:val="0"/>
              <w:tabs>
                <w:tab w:val="center" w:pos="4153"/>
                <w:tab w:val="right" w:pos="8306"/>
              </w:tabs>
              <w:autoSpaceDE w:val="0"/>
              <w:autoSpaceDN w:val="0"/>
              <w:rPr>
                <w:rFonts w:ascii="宋体" w:hAnsi="宋体" w:cs="宋体"/>
                <w:color w:val="auto"/>
                <w:szCs w:val="21"/>
                <w:highlight w:val="none"/>
              </w:rPr>
            </w:pPr>
            <w:r>
              <w:rPr>
                <w:rFonts w:hint="eastAsia" w:ascii="宋体" w:hAnsi="宋体" w:cs="宋体"/>
                <w:color w:val="auto"/>
                <w:szCs w:val="21"/>
                <w:highlight w:val="none"/>
                <w:lang w:bidi="ar"/>
              </w:rPr>
              <w:t>参考品牌：E+H、ABB、美仪</w:t>
            </w:r>
          </w:p>
        </w:tc>
        <w:tc>
          <w:tcPr>
            <w:tcW w:w="751"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2</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废水液位计</w:t>
            </w:r>
          </w:p>
          <w:p>
            <w:pPr>
              <w:adjustRightInd/>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rPr>
              <w:t>（</w:t>
            </w:r>
            <w:r>
              <w:rPr>
                <w:rFonts w:hint="eastAsia" w:ascii="宋体" w:hAnsi="宋体" w:cs="宋体"/>
                <w:color w:val="auto"/>
                <w:szCs w:val="21"/>
                <w:highlight w:val="none"/>
                <w:lang w:bidi="ar"/>
              </w:rPr>
              <w:t>静压</w:t>
            </w:r>
          </w:p>
          <w:p>
            <w:pPr>
              <w:widowControl w:val="0"/>
              <w:tabs>
                <w:tab w:val="center" w:pos="4153"/>
                <w:tab w:val="right" w:pos="8306"/>
              </w:tabs>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液位计）</w:t>
            </w:r>
          </w:p>
        </w:tc>
        <w:tc>
          <w:tcPr>
            <w:tcW w:w="4762" w:type="dxa"/>
            <w:vAlign w:val="center"/>
          </w:tcPr>
          <w:p>
            <w:pPr>
              <w:autoSpaceDE w:val="0"/>
              <w:autoSpaceDN w:val="0"/>
              <w:adjustRightInd/>
              <w:snapToGrid/>
              <w:rPr>
                <w:rFonts w:ascii="宋体" w:hAnsi="宋体" w:cs="宋体"/>
                <w:color w:val="auto"/>
                <w:szCs w:val="21"/>
                <w:highlight w:val="none"/>
                <w:lang w:bidi="ar"/>
              </w:rPr>
            </w:pPr>
            <w:r>
              <w:rPr>
                <w:rFonts w:hint="eastAsia" w:ascii="宋体" w:hAnsi="宋体" w:cs="宋体"/>
                <w:color w:val="auto"/>
                <w:szCs w:val="21"/>
                <w:highlight w:val="none"/>
                <w:lang w:bidi="ar"/>
              </w:rPr>
              <w:t>电源：24VDC</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输出：4~20mA</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现场显示：带LED现场显示。</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防护等级：IP65</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膜片：陶瓷</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壳体：铝合金喷塑</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量程：0~5m；精度：±5%</w:t>
            </w:r>
          </w:p>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介质：厨余垃圾浆料</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过程连接：DN50PN10法兰</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lang w:bidi="ar"/>
              </w:rPr>
              <w:t>参考品牌：E+H、ABB、美仪</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3"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3</w:t>
            </w:r>
          </w:p>
        </w:tc>
        <w:tc>
          <w:tcPr>
            <w:tcW w:w="1450" w:type="dxa"/>
            <w:vAlign w:val="center"/>
          </w:tcPr>
          <w:p>
            <w:pPr>
              <w:adjustRightInd/>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rPr>
              <w:t>加热罐液位计（</w:t>
            </w:r>
            <w:r>
              <w:rPr>
                <w:rFonts w:hint="eastAsia" w:ascii="宋体" w:hAnsi="宋体" w:cs="宋体"/>
                <w:color w:val="auto"/>
                <w:szCs w:val="21"/>
                <w:highlight w:val="none"/>
                <w:lang w:bidi="ar"/>
              </w:rPr>
              <w:t>静压</w:t>
            </w:r>
          </w:p>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lang w:bidi="ar"/>
              </w:rPr>
              <w:t>液位计）</w:t>
            </w:r>
          </w:p>
        </w:tc>
        <w:tc>
          <w:tcPr>
            <w:tcW w:w="4762" w:type="dxa"/>
            <w:vAlign w:val="center"/>
          </w:tcPr>
          <w:p>
            <w:pPr>
              <w:autoSpaceDE w:val="0"/>
              <w:autoSpaceDN w:val="0"/>
              <w:adjustRightInd/>
              <w:snapToGrid/>
              <w:rPr>
                <w:rFonts w:ascii="宋体" w:hAnsi="宋体" w:cs="宋体"/>
                <w:color w:val="auto"/>
                <w:szCs w:val="21"/>
                <w:highlight w:val="none"/>
                <w:lang w:bidi="ar"/>
              </w:rPr>
            </w:pPr>
            <w:r>
              <w:rPr>
                <w:rFonts w:hint="eastAsia" w:ascii="宋体" w:hAnsi="宋体" w:cs="宋体"/>
                <w:color w:val="auto"/>
                <w:szCs w:val="21"/>
                <w:highlight w:val="none"/>
                <w:lang w:bidi="ar"/>
              </w:rPr>
              <w:t>电源：24VDC</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输出：4~20mA</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现场显示：带LED现场显示。</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防护等级：IP65</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膜片：陶瓷</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壳体：铝合金喷塑</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量程：0~5m；精度：±5%</w:t>
            </w:r>
          </w:p>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介质：厨余垃圾浆料</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过程连接：DN50PN10法兰</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lang w:bidi="ar"/>
              </w:rPr>
              <w:t>参考品牌：E+H、ABB、美仪</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4</w:t>
            </w:r>
          </w:p>
        </w:tc>
        <w:tc>
          <w:tcPr>
            <w:tcW w:w="1450" w:type="dxa"/>
            <w:vAlign w:val="center"/>
          </w:tcPr>
          <w:p>
            <w:pPr>
              <w:adjustRightInd/>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rPr>
              <w:t>三相固渣液位计（</w:t>
            </w:r>
            <w:r>
              <w:rPr>
                <w:rFonts w:hint="eastAsia" w:ascii="宋体" w:hAnsi="宋体" w:cs="宋体"/>
                <w:color w:val="auto"/>
                <w:szCs w:val="21"/>
                <w:highlight w:val="none"/>
                <w:lang w:bidi="ar"/>
              </w:rPr>
              <w:t>静压</w:t>
            </w:r>
          </w:p>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lang w:bidi="ar"/>
              </w:rPr>
              <w:t>液位计</w:t>
            </w:r>
            <w:r>
              <w:rPr>
                <w:rFonts w:hint="eastAsia" w:ascii="宋体" w:hAnsi="宋体" w:cs="宋体"/>
                <w:color w:val="auto"/>
                <w:szCs w:val="21"/>
                <w:highlight w:val="none"/>
              </w:rPr>
              <w:t>）</w:t>
            </w:r>
          </w:p>
        </w:tc>
        <w:tc>
          <w:tcPr>
            <w:tcW w:w="4762" w:type="dxa"/>
            <w:vAlign w:val="center"/>
          </w:tcPr>
          <w:p>
            <w:pPr>
              <w:autoSpaceDE w:val="0"/>
              <w:autoSpaceDN w:val="0"/>
              <w:adjustRightInd/>
              <w:snapToGrid/>
              <w:rPr>
                <w:rFonts w:ascii="宋体" w:hAnsi="宋体" w:cs="宋体"/>
                <w:color w:val="auto"/>
                <w:szCs w:val="21"/>
                <w:highlight w:val="none"/>
                <w:lang w:bidi="ar"/>
              </w:rPr>
            </w:pPr>
            <w:r>
              <w:rPr>
                <w:rFonts w:hint="eastAsia" w:ascii="宋体" w:hAnsi="宋体" w:cs="宋体"/>
                <w:color w:val="auto"/>
                <w:szCs w:val="21"/>
                <w:highlight w:val="none"/>
                <w:lang w:bidi="ar"/>
              </w:rPr>
              <w:t>电源：24VDC</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输出：4~20mA</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现场显示：带LED现场显示。</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防护等级：IP65</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膜片：陶瓷</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壳体：铝合金喷塑</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量程：0~5m；精度：±2%</w:t>
            </w:r>
          </w:p>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介质：厨余垃圾浆料</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过程连接：DN50PN10法兰</w:t>
            </w:r>
          </w:p>
          <w:p>
            <w:pPr>
              <w:widowControl w:val="0"/>
              <w:tabs>
                <w:tab w:val="center" w:pos="4153"/>
                <w:tab w:val="right" w:pos="8306"/>
              </w:tabs>
              <w:autoSpaceDE w:val="0"/>
              <w:autoSpaceDN w:val="0"/>
              <w:rPr>
                <w:rFonts w:ascii="宋体" w:hAnsi="宋体" w:cs="宋体"/>
                <w:color w:val="auto"/>
                <w:szCs w:val="21"/>
                <w:highlight w:val="none"/>
                <w:lang w:bidi="ar"/>
              </w:rPr>
            </w:pPr>
            <w:r>
              <w:rPr>
                <w:rFonts w:hint="eastAsia" w:ascii="宋体" w:hAnsi="宋体" w:cs="宋体"/>
                <w:color w:val="auto"/>
                <w:szCs w:val="21"/>
                <w:highlight w:val="none"/>
                <w:lang w:bidi="ar"/>
              </w:rPr>
              <w:t>参考品牌：E+H、ABB、美仪</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5</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法兰视镜</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Φ80，主体304材质，玻璃管道视镜</w:t>
            </w:r>
          </w:p>
        </w:tc>
        <w:tc>
          <w:tcPr>
            <w:tcW w:w="751"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个</w:t>
            </w:r>
          </w:p>
        </w:tc>
        <w:tc>
          <w:tcPr>
            <w:tcW w:w="72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519" w:type="dxa"/>
            <w:gridSpan w:val="5"/>
            <w:vAlign w:val="center"/>
          </w:tcPr>
          <w:p>
            <w:pPr>
              <w:widowControl w:val="0"/>
              <w:autoSpaceDE w:val="0"/>
              <w:autoSpaceDN w:val="0"/>
              <w:adjustRightInd/>
              <w:spacing w:before="31" w:after="31"/>
              <w:rPr>
                <w:rFonts w:ascii="宋体" w:hAnsi="宋体" w:cs="宋体"/>
                <w:color w:val="auto"/>
                <w:szCs w:val="21"/>
                <w:highlight w:val="none"/>
                <w:lang w:eastAsia="en-US"/>
              </w:rPr>
            </w:pPr>
            <w:r>
              <w:rPr>
                <w:rFonts w:hint="eastAsia" w:ascii="宋体" w:hAnsi="宋体" w:cs="宋体"/>
                <w:b/>
                <w:bCs/>
                <w:color w:val="auto"/>
                <w:kern w:val="2"/>
                <w:szCs w:val="21"/>
                <w:highlight w:val="none"/>
              </w:rPr>
              <w:t>管道、阀门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电磁阀</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DC24V，DN25,1寸螺纹</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个</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2</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304不锈钢浮球阀</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304材质，DN25， 1寸</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个</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3</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电动蝶阀</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Φ80，开关型，不锈钢材质，带无源反馈信号，220V</w:t>
            </w:r>
          </w:p>
          <w:p>
            <w:pPr>
              <w:widowControl w:val="0"/>
              <w:tabs>
                <w:tab w:val="center" w:pos="4153"/>
                <w:tab w:val="right" w:pos="8306"/>
              </w:tabs>
              <w:autoSpaceDE w:val="0"/>
              <w:autoSpaceDN w:val="0"/>
              <w:rPr>
                <w:rFonts w:ascii="宋体" w:hAnsi="宋体" w:cs="宋体"/>
                <w:color w:val="auto"/>
                <w:szCs w:val="21"/>
                <w:highlight w:val="none"/>
              </w:rPr>
            </w:pPr>
            <w:r>
              <w:rPr>
                <w:rFonts w:hint="eastAsia" w:ascii="宋体" w:hAnsi="宋体" w:cs="宋体"/>
                <w:color w:val="auto"/>
                <w:szCs w:val="21"/>
                <w:highlight w:val="none"/>
              </w:rPr>
              <w:t>品牌：卡尔斯、瓦特斯、博纳斯威</w:t>
            </w:r>
          </w:p>
        </w:tc>
        <w:tc>
          <w:tcPr>
            <w:tcW w:w="751"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个</w:t>
            </w:r>
          </w:p>
        </w:tc>
        <w:tc>
          <w:tcPr>
            <w:tcW w:w="72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2</w:t>
            </w:r>
          </w:p>
        </w:tc>
      </w:tr>
      <w:tr>
        <w:tblPrEx>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4</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电动蝶阀</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Φ50，开关型，不锈钢材质，带无源反馈信号，220V</w:t>
            </w:r>
          </w:p>
          <w:p>
            <w:pPr>
              <w:widowControl w:val="0"/>
              <w:tabs>
                <w:tab w:val="center" w:pos="4153"/>
                <w:tab w:val="right" w:pos="8306"/>
              </w:tabs>
              <w:autoSpaceDE w:val="0"/>
              <w:autoSpaceDN w:val="0"/>
              <w:rPr>
                <w:rFonts w:ascii="宋体" w:hAnsi="宋体" w:cs="宋体"/>
                <w:color w:val="auto"/>
                <w:szCs w:val="21"/>
                <w:highlight w:val="none"/>
              </w:rPr>
            </w:pPr>
            <w:r>
              <w:rPr>
                <w:rFonts w:hint="eastAsia" w:ascii="宋体" w:hAnsi="宋体" w:cs="宋体"/>
                <w:color w:val="auto"/>
                <w:szCs w:val="21"/>
                <w:highlight w:val="none"/>
              </w:rPr>
              <w:t>参考品牌：卡尔斯、瓦特斯、博纳斯威</w:t>
            </w:r>
          </w:p>
        </w:tc>
        <w:tc>
          <w:tcPr>
            <w:tcW w:w="751"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个</w:t>
            </w:r>
          </w:p>
        </w:tc>
        <w:tc>
          <w:tcPr>
            <w:tcW w:w="72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5</w:t>
            </w:r>
          </w:p>
        </w:tc>
        <w:tc>
          <w:tcPr>
            <w:tcW w:w="1450"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刀闸阀</w:t>
            </w:r>
          </w:p>
        </w:tc>
        <w:tc>
          <w:tcPr>
            <w:tcW w:w="4762"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① 性能</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介质：厨余垃圾浆料；</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泄露等级：Ⅳ（清水）。</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② 参数</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管径：DN50/DN80/DN100</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压力：PN10；</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 xml:space="preserve">连接过程：法兰对夹； </w:t>
            </w:r>
            <w:r>
              <w:rPr>
                <w:rFonts w:hint="eastAsia" w:ascii="宋体" w:hAnsi="宋体" w:cs="宋体"/>
                <w:color w:val="auto"/>
                <w:szCs w:val="21"/>
                <w:highlight w:val="none"/>
              </w:rPr>
              <w:br w:type="textWrapping"/>
            </w:r>
            <w:r>
              <w:rPr>
                <w:rFonts w:hint="eastAsia" w:ascii="宋体" w:hAnsi="宋体" w:cs="宋体"/>
                <w:color w:val="auto"/>
                <w:szCs w:val="21"/>
                <w:highlight w:val="none"/>
              </w:rPr>
              <w:t>驱动方式：手动。</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③ 材质</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阀体：SS304；</w:t>
            </w:r>
            <w:r>
              <w:rPr>
                <w:rFonts w:hint="eastAsia" w:ascii="宋体" w:hAnsi="宋体" w:cs="宋体"/>
                <w:color w:val="auto"/>
                <w:szCs w:val="21"/>
                <w:highlight w:val="none"/>
              </w:rPr>
              <w:br w:type="textWrapping"/>
            </w:r>
            <w:r>
              <w:rPr>
                <w:rFonts w:hint="eastAsia" w:ascii="宋体" w:hAnsi="宋体" w:cs="宋体"/>
                <w:color w:val="auto"/>
                <w:szCs w:val="21"/>
                <w:highlight w:val="none"/>
              </w:rPr>
              <w:t>阀芯：SS304；</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阀杆：SS304；</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阀座：氟橡胶密封。</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个</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6</w:t>
            </w:r>
          </w:p>
        </w:tc>
        <w:tc>
          <w:tcPr>
            <w:tcW w:w="1450" w:type="dxa"/>
            <w:vAlign w:val="center"/>
          </w:tcPr>
          <w:p>
            <w:pPr>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现场压力表</w:t>
            </w:r>
          </w:p>
        </w:tc>
        <w:tc>
          <w:tcPr>
            <w:tcW w:w="4762" w:type="dxa"/>
            <w:vAlign w:val="center"/>
          </w:tcPr>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隔膜压力表</w:t>
            </w:r>
          </w:p>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量程：0~0.6mPa</w:t>
            </w:r>
          </w:p>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SS304；</w:t>
            </w:r>
          </w:p>
          <w:p>
            <w:pPr>
              <w:adjustRightInd/>
              <w:snapToGrid/>
              <w:textAlignment w:val="center"/>
              <w:rPr>
                <w:rFonts w:ascii="宋体" w:hAnsi="宋体" w:cs="宋体"/>
                <w:color w:val="auto"/>
                <w:szCs w:val="21"/>
                <w:highlight w:val="none"/>
              </w:rPr>
            </w:pPr>
            <w:r>
              <w:rPr>
                <w:rFonts w:hint="eastAsia" w:ascii="宋体" w:hAnsi="宋体" w:cs="宋体"/>
                <w:color w:val="auto"/>
                <w:szCs w:val="21"/>
                <w:highlight w:val="none"/>
                <w:lang w:bidi="ar"/>
              </w:rPr>
              <w:t>品牌：川仪、上仪、西仪或同等国优</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个</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7</w:t>
            </w:r>
          </w:p>
        </w:tc>
        <w:tc>
          <w:tcPr>
            <w:tcW w:w="1450" w:type="dxa"/>
            <w:vAlign w:val="center"/>
          </w:tcPr>
          <w:p>
            <w:pPr>
              <w:adjustRightInd/>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管材管件</w:t>
            </w:r>
          </w:p>
        </w:tc>
        <w:tc>
          <w:tcPr>
            <w:tcW w:w="4762" w:type="dxa"/>
            <w:vAlign w:val="center"/>
          </w:tcPr>
          <w:p>
            <w:pPr>
              <w:adjustRightInd/>
              <w:snapToGrid/>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SS304</w:t>
            </w:r>
          </w:p>
        </w:tc>
        <w:tc>
          <w:tcPr>
            <w:tcW w:w="751"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批</w:t>
            </w:r>
          </w:p>
        </w:tc>
        <w:tc>
          <w:tcPr>
            <w:tcW w:w="72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519" w:type="dxa"/>
            <w:gridSpan w:val="5"/>
            <w:vAlign w:val="center"/>
          </w:tcPr>
          <w:p>
            <w:pPr>
              <w:widowControl w:val="0"/>
              <w:autoSpaceDE w:val="0"/>
              <w:autoSpaceDN w:val="0"/>
              <w:adjustRightInd/>
              <w:spacing w:before="31" w:after="31"/>
              <w:jc w:val="both"/>
              <w:rPr>
                <w:rFonts w:ascii="宋体" w:hAnsi="宋体" w:cs="宋体"/>
                <w:color w:val="auto"/>
                <w:szCs w:val="21"/>
                <w:highlight w:val="none"/>
                <w:lang w:eastAsia="en-US"/>
              </w:rPr>
            </w:pPr>
            <w:r>
              <w:rPr>
                <w:rFonts w:hint="eastAsia" w:ascii="宋体" w:hAnsi="宋体" w:cs="宋体"/>
                <w:b/>
                <w:bCs/>
                <w:color w:val="auto"/>
                <w:kern w:val="2"/>
                <w:szCs w:val="21"/>
                <w:highlight w:val="none"/>
              </w:rPr>
              <w:t>电气材料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1450"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PLC控制系统</w:t>
            </w:r>
          </w:p>
        </w:tc>
        <w:tc>
          <w:tcPr>
            <w:tcW w:w="4762" w:type="dxa"/>
            <w:vAlign w:val="center"/>
          </w:tcPr>
          <w:p>
            <w:pPr>
              <w:widowControl w:val="0"/>
              <w:autoSpaceDE w:val="0"/>
              <w:autoSpaceDN w:val="0"/>
              <w:snapToGrid/>
              <w:jc w:val="both"/>
              <w:rPr>
                <w:rFonts w:ascii="宋体" w:hAnsi="宋体" w:cs="宋体"/>
                <w:color w:val="auto"/>
                <w:szCs w:val="21"/>
                <w:highlight w:val="none"/>
              </w:rPr>
            </w:pPr>
            <w:r>
              <w:rPr>
                <w:rFonts w:hint="eastAsia" w:ascii="宋体" w:hAnsi="宋体" w:cs="宋体"/>
                <w:color w:val="auto"/>
                <w:szCs w:val="21"/>
                <w:highlight w:val="none"/>
              </w:rPr>
              <w:t>西门子S7-1200</w:t>
            </w:r>
          </w:p>
        </w:tc>
        <w:tc>
          <w:tcPr>
            <w:tcW w:w="751"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套</w:t>
            </w:r>
          </w:p>
        </w:tc>
        <w:tc>
          <w:tcPr>
            <w:tcW w:w="72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w:t>
            </w:r>
          </w:p>
        </w:tc>
        <w:tc>
          <w:tcPr>
            <w:tcW w:w="1450"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电柜</w:t>
            </w:r>
          </w:p>
        </w:tc>
        <w:tc>
          <w:tcPr>
            <w:tcW w:w="4762"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（W*H*D)800x2200x1000</w:t>
            </w:r>
          </w:p>
        </w:tc>
        <w:tc>
          <w:tcPr>
            <w:tcW w:w="751"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个</w:t>
            </w:r>
          </w:p>
        </w:tc>
        <w:tc>
          <w:tcPr>
            <w:tcW w:w="72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w:t>
            </w:r>
          </w:p>
        </w:tc>
        <w:tc>
          <w:tcPr>
            <w:tcW w:w="1450"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现场控制箱</w:t>
            </w:r>
          </w:p>
        </w:tc>
        <w:tc>
          <w:tcPr>
            <w:tcW w:w="4762"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304,1.5mm厚</w:t>
            </w:r>
          </w:p>
        </w:tc>
        <w:tc>
          <w:tcPr>
            <w:tcW w:w="751"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个</w:t>
            </w:r>
          </w:p>
        </w:tc>
        <w:tc>
          <w:tcPr>
            <w:tcW w:w="72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restart"/>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4</w:t>
            </w:r>
          </w:p>
        </w:tc>
        <w:tc>
          <w:tcPr>
            <w:tcW w:w="1450" w:type="dxa"/>
            <w:vMerge w:val="restart"/>
            <w:vAlign w:val="center"/>
          </w:tcPr>
          <w:p>
            <w:pPr>
              <w:autoSpaceDE w:val="0"/>
              <w:autoSpaceDN w:val="0"/>
              <w:snapToGrid/>
              <w:ind w:firstLine="420" w:firstLineChars="200"/>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变频器</w:t>
            </w:r>
          </w:p>
        </w:tc>
        <w:tc>
          <w:tcPr>
            <w:tcW w:w="4762"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7.5KW</w:t>
            </w:r>
          </w:p>
        </w:tc>
        <w:tc>
          <w:tcPr>
            <w:tcW w:w="751"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台</w:t>
            </w:r>
          </w:p>
        </w:tc>
        <w:tc>
          <w:tcPr>
            <w:tcW w:w="72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1450"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4762"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45KW</w:t>
            </w:r>
          </w:p>
        </w:tc>
        <w:tc>
          <w:tcPr>
            <w:tcW w:w="751"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台</w:t>
            </w:r>
          </w:p>
        </w:tc>
        <w:tc>
          <w:tcPr>
            <w:tcW w:w="726"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1450"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4762"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37KW</w:t>
            </w:r>
          </w:p>
        </w:tc>
        <w:tc>
          <w:tcPr>
            <w:tcW w:w="751"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台</w:t>
            </w:r>
          </w:p>
        </w:tc>
        <w:tc>
          <w:tcPr>
            <w:tcW w:w="726"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1450"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4762" w:type="dxa"/>
            <w:vAlign w:val="center"/>
          </w:tcPr>
          <w:p>
            <w:pPr>
              <w:autoSpaceDE w:val="0"/>
              <w:autoSpaceDN w:val="0"/>
              <w:snapToGrid/>
              <w:jc w:val="both"/>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30KW</w:t>
            </w:r>
          </w:p>
        </w:tc>
        <w:tc>
          <w:tcPr>
            <w:tcW w:w="751" w:type="dxa"/>
            <w:vAlign w:val="center"/>
          </w:tcPr>
          <w:p>
            <w:pPr>
              <w:autoSpaceDE w:val="0"/>
              <w:autoSpaceDN w:val="0"/>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w:t>
            </w:r>
          </w:p>
        </w:tc>
        <w:tc>
          <w:tcPr>
            <w:tcW w:w="726"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1450"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4762"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15KW</w:t>
            </w:r>
          </w:p>
        </w:tc>
        <w:tc>
          <w:tcPr>
            <w:tcW w:w="751"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台</w:t>
            </w:r>
          </w:p>
        </w:tc>
        <w:tc>
          <w:tcPr>
            <w:tcW w:w="726"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1450"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4762" w:type="dxa"/>
            <w:vAlign w:val="center"/>
          </w:tcPr>
          <w:p>
            <w:pPr>
              <w:autoSpaceDE w:val="0"/>
              <w:autoSpaceDN w:val="0"/>
              <w:snapToGrid/>
              <w:jc w:val="both"/>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5.5KW</w:t>
            </w:r>
          </w:p>
        </w:tc>
        <w:tc>
          <w:tcPr>
            <w:tcW w:w="751" w:type="dxa"/>
            <w:vAlign w:val="center"/>
          </w:tcPr>
          <w:p>
            <w:pPr>
              <w:autoSpaceDE w:val="0"/>
              <w:autoSpaceDN w:val="0"/>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w:t>
            </w:r>
          </w:p>
        </w:tc>
        <w:tc>
          <w:tcPr>
            <w:tcW w:w="726"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restart"/>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5</w:t>
            </w:r>
          </w:p>
        </w:tc>
        <w:tc>
          <w:tcPr>
            <w:tcW w:w="1450" w:type="dxa"/>
            <w:vMerge w:val="restart"/>
            <w:vAlign w:val="center"/>
          </w:tcPr>
          <w:p>
            <w:pPr>
              <w:autoSpaceDE w:val="0"/>
              <w:autoSpaceDN w:val="0"/>
              <w:snapToGrid/>
              <w:ind w:firstLine="420" w:firstLineChars="200"/>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电缆</w:t>
            </w:r>
          </w:p>
        </w:tc>
        <w:tc>
          <w:tcPr>
            <w:tcW w:w="4762"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ZC-YJV-0.6/1.0kV-4*185+1*95</w:t>
            </w:r>
          </w:p>
        </w:tc>
        <w:tc>
          <w:tcPr>
            <w:tcW w:w="751"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米</w:t>
            </w:r>
          </w:p>
        </w:tc>
        <w:tc>
          <w:tcPr>
            <w:tcW w:w="72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1450"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4762"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ZC-YJV-0.6/1.0kV-3*150+1*70</w:t>
            </w:r>
          </w:p>
        </w:tc>
        <w:tc>
          <w:tcPr>
            <w:tcW w:w="751"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米</w:t>
            </w:r>
          </w:p>
        </w:tc>
        <w:tc>
          <w:tcPr>
            <w:tcW w:w="726"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1450"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4762" w:type="dxa"/>
            <w:vAlign w:val="center"/>
          </w:tcPr>
          <w:p>
            <w:pPr>
              <w:autoSpaceDE w:val="0"/>
              <w:autoSpaceDN w:val="0"/>
              <w:snapToGrid/>
              <w:jc w:val="both"/>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ZC-YJV-0.6/1.0kV-3*35+1*25</w:t>
            </w:r>
          </w:p>
        </w:tc>
        <w:tc>
          <w:tcPr>
            <w:tcW w:w="751" w:type="dxa"/>
            <w:vAlign w:val="center"/>
          </w:tcPr>
          <w:p>
            <w:pPr>
              <w:autoSpaceDE w:val="0"/>
              <w:autoSpaceDN w:val="0"/>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米</w:t>
            </w:r>
          </w:p>
        </w:tc>
        <w:tc>
          <w:tcPr>
            <w:tcW w:w="726"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lang w:eastAsia="en-US"/>
              </w:rPr>
            </w:pPr>
          </w:p>
        </w:tc>
        <w:tc>
          <w:tcPr>
            <w:tcW w:w="1450"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4762"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ZC-YJV-0.6/1.0kV-4*10</w:t>
            </w:r>
          </w:p>
        </w:tc>
        <w:tc>
          <w:tcPr>
            <w:tcW w:w="751"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米</w:t>
            </w:r>
          </w:p>
        </w:tc>
        <w:tc>
          <w:tcPr>
            <w:tcW w:w="726"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lang w:eastAsia="en-US"/>
              </w:rPr>
            </w:pPr>
          </w:p>
        </w:tc>
        <w:tc>
          <w:tcPr>
            <w:tcW w:w="1450"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4762"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ZC-YJV-0.6/1.0kV-4*6</w:t>
            </w:r>
          </w:p>
        </w:tc>
        <w:tc>
          <w:tcPr>
            <w:tcW w:w="751"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米</w:t>
            </w:r>
          </w:p>
        </w:tc>
        <w:tc>
          <w:tcPr>
            <w:tcW w:w="726"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lang w:eastAsia="en-US"/>
              </w:rPr>
            </w:pPr>
          </w:p>
        </w:tc>
        <w:tc>
          <w:tcPr>
            <w:tcW w:w="1450"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4762"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ZC-YJV-0.6/1.0kV-4*4</w:t>
            </w:r>
          </w:p>
        </w:tc>
        <w:tc>
          <w:tcPr>
            <w:tcW w:w="751"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米</w:t>
            </w:r>
          </w:p>
        </w:tc>
        <w:tc>
          <w:tcPr>
            <w:tcW w:w="726" w:type="dxa"/>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widowControl w:val="0"/>
              <w:autoSpaceDE w:val="0"/>
              <w:autoSpaceDN w:val="0"/>
              <w:snapToGrid/>
              <w:ind w:firstLine="420" w:firstLineChars="200"/>
              <w:jc w:val="center"/>
              <w:rPr>
                <w:rFonts w:ascii="宋体" w:hAnsi="宋体" w:cs="宋体"/>
                <w:color w:val="auto"/>
                <w:kern w:val="2"/>
                <w:szCs w:val="21"/>
                <w:highlight w:val="none"/>
              </w:rPr>
            </w:pPr>
          </w:p>
        </w:tc>
        <w:tc>
          <w:tcPr>
            <w:tcW w:w="1450"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4762"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ZC-YJV-0.6/1.0kV-4*2.5</w:t>
            </w:r>
          </w:p>
        </w:tc>
        <w:tc>
          <w:tcPr>
            <w:tcW w:w="751"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米</w:t>
            </w:r>
          </w:p>
        </w:tc>
        <w:tc>
          <w:tcPr>
            <w:tcW w:w="726" w:type="dxa"/>
            <w:vAlign w:val="center"/>
          </w:tcPr>
          <w:p>
            <w:pPr>
              <w:widowControl w:val="0"/>
              <w:autoSpaceDE w:val="0"/>
              <w:autoSpaceDN w:val="0"/>
              <w:snapToGrid/>
              <w:jc w:val="center"/>
              <w:rPr>
                <w:rFonts w:ascii="宋体" w:hAnsi="宋体" w:cs="宋体"/>
                <w:color w:val="auto"/>
                <w:kern w:val="2"/>
                <w:szCs w:val="21"/>
                <w:highlight w:val="none"/>
              </w:rPr>
            </w:pPr>
            <w:r>
              <w:rPr>
                <w:rFonts w:hint="eastAsia" w:ascii="宋体" w:hAnsi="宋体" w:cs="宋体"/>
                <w:color w:val="auto"/>
                <w:kern w:val="2"/>
                <w:szCs w:val="21"/>
                <w:highlight w:val="none"/>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widowControl w:val="0"/>
              <w:autoSpaceDE w:val="0"/>
              <w:autoSpaceDN w:val="0"/>
              <w:snapToGrid/>
              <w:ind w:firstLine="420" w:firstLineChars="200"/>
              <w:jc w:val="center"/>
              <w:rPr>
                <w:rFonts w:ascii="宋体" w:hAnsi="宋体" w:cs="宋体"/>
                <w:color w:val="auto"/>
                <w:kern w:val="2"/>
                <w:szCs w:val="21"/>
                <w:highlight w:val="none"/>
              </w:rPr>
            </w:pPr>
          </w:p>
        </w:tc>
        <w:tc>
          <w:tcPr>
            <w:tcW w:w="1450"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4762"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ZC-YJV-0.6/1.0kV-3*1.5</w:t>
            </w:r>
          </w:p>
        </w:tc>
        <w:tc>
          <w:tcPr>
            <w:tcW w:w="751"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米</w:t>
            </w:r>
          </w:p>
        </w:tc>
        <w:tc>
          <w:tcPr>
            <w:tcW w:w="726" w:type="dxa"/>
            <w:vAlign w:val="center"/>
          </w:tcPr>
          <w:p>
            <w:pPr>
              <w:widowControl w:val="0"/>
              <w:autoSpaceDE w:val="0"/>
              <w:autoSpaceDN w:val="0"/>
              <w:snapToGrid/>
              <w:jc w:val="center"/>
              <w:rPr>
                <w:rFonts w:ascii="宋体" w:hAnsi="宋体" w:cs="宋体"/>
                <w:color w:val="auto"/>
                <w:kern w:val="2"/>
                <w:szCs w:val="21"/>
                <w:highlight w:val="none"/>
              </w:rPr>
            </w:pPr>
            <w:r>
              <w:rPr>
                <w:rFonts w:hint="eastAsia" w:ascii="宋体" w:hAnsi="宋体" w:cs="宋体"/>
                <w:color w:val="auto"/>
                <w:kern w:val="2"/>
                <w:szCs w:val="21"/>
                <w:highlight w:val="none"/>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restart"/>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6</w:t>
            </w:r>
          </w:p>
        </w:tc>
        <w:tc>
          <w:tcPr>
            <w:tcW w:w="1450" w:type="dxa"/>
            <w:vMerge w:val="restart"/>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屏蔽电缆</w:t>
            </w:r>
          </w:p>
        </w:tc>
        <w:tc>
          <w:tcPr>
            <w:tcW w:w="4762" w:type="dxa"/>
            <w:vAlign w:val="center"/>
          </w:tcPr>
          <w:p>
            <w:pPr>
              <w:widowControl w:val="0"/>
              <w:tabs>
                <w:tab w:val="center" w:pos="4153"/>
                <w:tab w:val="right" w:pos="8306"/>
              </w:tabs>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szCs w:val="21"/>
                <w:highlight w:val="none"/>
                <w:lang w:bidi="ar"/>
              </w:rPr>
              <w:t>ZR-RVVP-0.45/0.75KV-3×1.5</w:t>
            </w:r>
          </w:p>
        </w:tc>
        <w:tc>
          <w:tcPr>
            <w:tcW w:w="751"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米</w:t>
            </w:r>
          </w:p>
        </w:tc>
        <w:tc>
          <w:tcPr>
            <w:tcW w:w="72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autoSpaceDE w:val="0"/>
              <w:autoSpaceDN w:val="0"/>
              <w:snapToGrid/>
              <w:ind w:firstLine="420" w:firstLineChars="200"/>
              <w:jc w:val="center"/>
              <w:textAlignment w:val="center"/>
              <w:rPr>
                <w:rFonts w:ascii="宋体" w:hAnsi="宋体" w:cs="宋体"/>
                <w:color w:val="auto"/>
                <w:kern w:val="2"/>
                <w:szCs w:val="21"/>
                <w:highlight w:val="none"/>
              </w:rPr>
            </w:pPr>
          </w:p>
        </w:tc>
        <w:tc>
          <w:tcPr>
            <w:tcW w:w="1450" w:type="dxa"/>
            <w:vMerge w:val="continue"/>
            <w:vAlign w:val="center"/>
          </w:tcPr>
          <w:p>
            <w:pPr>
              <w:autoSpaceDE w:val="0"/>
              <w:autoSpaceDN w:val="0"/>
              <w:snapToGrid/>
              <w:ind w:firstLine="420" w:firstLineChars="200"/>
              <w:jc w:val="center"/>
              <w:textAlignment w:val="center"/>
              <w:rPr>
                <w:rFonts w:ascii="宋体" w:hAnsi="宋体" w:cs="宋体"/>
                <w:color w:val="auto"/>
                <w:szCs w:val="21"/>
                <w:highlight w:val="none"/>
              </w:rPr>
            </w:pPr>
          </w:p>
        </w:tc>
        <w:tc>
          <w:tcPr>
            <w:tcW w:w="4762" w:type="dxa"/>
            <w:vAlign w:val="center"/>
          </w:tcPr>
          <w:p>
            <w:pPr>
              <w:autoSpaceDE w:val="0"/>
              <w:autoSpaceDN w:val="0"/>
              <w:snapToGrid/>
              <w:ind w:firstLine="420" w:firstLineChars="200"/>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ZR-RVVP-0.45/0.75KV-4×1.5</w:t>
            </w:r>
          </w:p>
        </w:tc>
        <w:tc>
          <w:tcPr>
            <w:tcW w:w="751"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米</w:t>
            </w:r>
          </w:p>
        </w:tc>
        <w:tc>
          <w:tcPr>
            <w:tcW w:w="72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kern w:val="2"/>
                <w:szCs w:val="21"/>
                <w:highlight w:val="none"/>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Merge w:val="continue"/>
            <w:vAlign w:val="center"/>
          </w:tcPr>
          <w:p>
            <w:pPr>
              <w:widowControl w:val="0"/>
              <w:autoSpaceDE w:val="0"/>
              <w:autoSpaceDN w:val="0"/>
              <w:snapToGrid/>
              <w:ind w:firstLine="420" w:firstLineChars="200"/>
              <w:jc w:val="center"/>
              <w:rPr>
                <w:rFonts w:ascii="宋体" w:hAnsi="宋体" w:cs="宋体"/>
                <w:color w:val="auto"/>
                <w:kern w:val="2"/>
                <w:szCs w:val="21"/>
                <w:highlight w:val="none"/>
              </w:rPr>
            </w:pPr>
          </w:p>
        </w:tc>
        <w:tc>
          <w:tcPr>
            <w:tcW w:w="145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4762" w:type="dxa"/>
            <w:vAlign w:val="center"/>
          </w:tcPr>
          <w:p>
            <w:pPr>
              <w:autoSpaceDE w:val="0"/>
              <w:autoSpaceDN w:val="0"/>
              <w:snapToGrid/>
              <w:ind w:firstLine="420" w:firstLineChars="200"/>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ZC-KVVP-0.45/0.75KV-10*1.0</w:t>
            </w:r>
          </w:p>
        </w:tc>
        <w:tc>
          <w:tcPr>
            <w:tcW w:w="751"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米</w:t>
            </w:r>
          </w:p>
        </w:tc>
        <w:tc>
          <w:tcPr>
            <w:tcW w:w="726" w:type="dxa"/>
            <w:vAlign w:val="center"/>
          </w:tcPr>
          <w:p>
            <w:pPr>
              <w:widowControl w:val="0"/>
              <w:autoSpaceDE w:val="0"/>
              <w:autoSpaceDN w:val="0"/>
              <w:snapToGrid/>
              <w:jc w:val="center"/>
              <w:rPr>
                <w:rFonts w:ascii="宋体" w:hAnsi="宋体" w:cs="宋体"/>
                <w:color w:val="auto"/>
                <w:kern w:val="2"/>
                <w:szCs w:val="21"/>
                <w:highlight w:val="none"/>
              </w:rPr>
            </w:pPr>
            <w:r>
              <w:rPr>
                <w:rFonts w:hint="eastAsia" w:ascii="宋体" w:hAnsi="宋体" w:cs="宋体"/>
                <w:color w:val="auto"/>
                <w:kern w:val="2"/>
                <w:szCs w:val="21"/>
                <w:highlight w:val="none"/>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widowControl w:val="0"/>
              <w:autoSpaceDE w:val="0"/>
              <w:autoSpaceDN w:val="0"/>
              <w:snapToGrid/>
              <w:jc w:val="center"/>
              <w:rPr>
                <w:rFonts w:ascii="宋体" w:hAnsi="宋体" w:cs="宋体"/>
                <w:color w:val="auto"/>
                <w:kern w:val="2"/>
                <w:szCs w:val="21"/>
                <w:highlight w:val="none"/>
              </w:rPr>
            </w:pPr>
            <w:r>
              <w:rPr>
                <w:rFonts w:hint="eastAsia" w:ascii="宋体" w:hAnsi="宋体" w:cs="宋体"/>
                <w:color w:val="auto"/>
                <w:szCs w:val="21"/>
                <w:highlight w:val="none"/>
              </w:rPr>
              <w:t>7</w:t>
            </w:r>
          </w:p>
        </w:tc>
        <w:tc>
          <w:tcPr>
            <w:tcW w:w="1450" w:type="dxa"/>
            <w:vAlign w:val="center"/>
          </w:tcPr>
          <w:p>
            <w:pPr>
              <w:widowControl w:val="0"/>
              <w:autoSpaceDE w:val="0"/>
              <w:autoSpaceDN w:val="0"/>
              <w:snapToGrid/>
              <w:jc w:val="center"/>
              <w:rPr>
                <w:rFonts w:ascii="宋体" w:hAnsi="宋体" w:cs="宋体"/>
                <w:color w:val="auto"/>
                <w:szCs w:val="21"/>
                <w:highlight w:val="none"/>
              </w:rPr>
            </w:pPr>
            <w:r>
              <w:rPr>
                <w:rFonts w:hint="eastAsia" w:ascii="宋体" w:hAnsi="宋体" w:cs="宋体"/>
                <w:color w:val="auto"/>
                <w:szCs w:val="21"/>
                <w:highlight w:val="none"/>
              </w:rPr>
              <w:t>网线</w:t>
            </w:r>
          </w:p>
        </w:tc>
        <w:tc>
          <w:tcPr>
            <w:tcW w:w="4762" w:type="dxa"/>
            <w:vAlign w:val="center"/>
          </w:tcPr>
          <w:p>
            <w:pPr>
              <w:autoSpaceDE w:val="0"/>
              <w:autoSpaceDN w:val="0"/>
              <w:snapToGrid/>
              <w:ind w:firstLine="420" w:firstLineChars="200"/>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超五类/六类</w:t>
            </w:r>
          </w:p>
        </w:tc>
        <w:tc>
          <w:tcPr>
            <w:tcW w:w="751"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米</w:t>
            </w:r>
          </w:p>
        </w:tc>
        <w:tc>
          <w:tcPr>
            <w:tcW w:w="726" w:type="dxa"/>
            <w:vAlign w:val="center"/>
          </w:tcPr>
          <w:p>
            <w:pPr>
              <w:widowControl w:val="0"/>
              <w:autoSpaceDE w:val="0"/>
              <w:autoSpaceDN w:val="0"/>
              <w:snapToGrid/>
              <w:jc w:val="center"/>
              <w:rPr>
                <w:rFonts w:ascii="宋体" w:hAnsi="宋体" w:cs="宋体"/>
                <w:color w:val="auto"/>
                <w:kern w:val="2"/>
                <w:szCs w:val="21"/>
                <w:highlight w:val="none"/>
              </w:rPr>
            </w:pPr>
            <w:r>
              <w:rPr>
                <w:rFonts w:hint="eastAsia" w:ascii="宋体" w:hAnsi="宋体" w:cs="宋体"/>
                <w:color w:val="auto"/>
                <w:szCs w:val="21"/>
                <w:highlight w:val="none"/>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8</w:t>
            </w:r>
          </w:p>
        </w:tc>
        <w:tc>
          <w:tcPr>
            <w:tcW w:w="1450" w:type="dxa"/>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桥架</w:t>
            </w:r>
          </w:p>
        </w:tc>
        <w:tc>
          <w:tcPr>
            <w:tcW w:w="4762" w:type="dxa"/>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751"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批</w:t>
            </w:r>
          </w:p>
        </w:tc>
        <w:tc>
          <w:tcPr>
            <w:tcW w:w="72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830"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9</w:t>
            </w:r>
          </w:p>
        </w:tc>
        <w:tc>
          <w:tcPr>
            <w:tcW w:w="1450" w:type="dxa"/>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其他安装辅材</w:t>
            </w:r>
          </w:p>
        </w:tc>
        <w:tc>
          <w:tcPr>
            <w:tcW w:w="4762" w:type="dxa"/>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751"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批</w:t>
            </w:r>
          </w:p>
        </w:tc>
        <w:tc>
          <w:tcPr>
            <w:tcW w:w="72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1</w:t>
            </w:r>
          </w:p>
        </w:tc>
      </w:tr>
    </w:tbl>
    <w:p>
      <w:pPr>
        <w:widowControl w:val="0"/>
        <w:autoSpaceDE w:val="0"/>
        <w:autoSpaceDN w:val="0"/>
        <w:ind w:firstLine="420" w:firstLineChars="200"/>
        <w:jc w:val="both"/>
        <w:rPr>
          <w:rFonts w:ascii="宋体" w:hAnsi="宋体" w:cs="宋体"/>
          <w:color w:val="auto"/>
          <w:szCs w:val="21"/>
          <w:highlight w:val="none"/>
        </w:rPr>
      </w:pPr>
    </w:p>
    <w:p>
      <w:pPr>
        <w:widowControl w:val="0"/>
        <w:autoSpaceDE w:val="0"/>
        <w:autoSpaceDN w:val="0"/>
        <w:ind w:firstLine="422" w:firstLineChars="200"/>
        <w:jc w:val="both"/>
        <w:rPr>
          <w:rFonts w:ascii="宋体" w:hAnsi="宋体" w:cs="宋体"/>
          <w:b/>
          <w:bCs/>
          <w:color w:val="auto"/>
          <w:szCs w:val="21"/>
          <w:highlight w:val="none"/>
        </w:rPr>
      </w:pPr>
      <w:r>
        <w:rPr>
          <w:rFonts w:hint="eastAsia" w:ascii="宋体" w:hAnsi="宋体" w:cs="宋体"/>
          <w:b/>
          <w:bCs/>
          <w:color w:val="auto"/>
          <w:szCs w:val="21"/>
          <w:highlight w:val="none"/>
        </w:rPr>
        <w:t>主要钢材表（包含走台、围栏、管架、设备基础和检修平台）</w:t>
      </w:r>
    </w:p>
    <w:tbl>
      <w:tblPr>
        <w:tblStyle w:val="34"/>
        <w:tblW w:w="8964" w:type="dxa"/>
        <w:jc w:val="center"/>
        <w:tblInd w:w="0" w:type="dxa"/>
        <w:tblLayout w:type="fixed"/>
        <w:tblCellMar>
          <w:top w:w="0" w:type="dxa"/>
          <w:left w:w="0" w:type="dxa"/>
          <w:bottom w:w="0" w:type="dxa"/>
          <w:right w:w="0" w:type="dxa"/>
        </w:tblCellMar>
      </w:tblPr>
      <w:tblGrid>
        <w:gridCol w:w="806"/>
        <w:gridCol w:w="1590"/>
        <w:gridCol w:w="2001"/>
        <w:gridCol w:w="1031"/>
        <w:gridCol w:w="1023"/>
        <w:gridCol w:w="1026"/>
        <w:gridCol w:w="1487"/>
      </w:tblGrid>
      <w:tr>
        <w:tblPrEx>
          <w:tblLayout w:type="fixed"/>
          <w:tblCellMar>
            <w:top w:w="0" w:type="dxa"/>
            <w:left w:w="0" w:type="dxa"/>
            <w:bottom w:w="0" w:type="dxa"/>
            <w:right w:w="0" w:type="dxa"/>
          </w:tblCellMar>
        </w:tblPrEx>
        <w:trPr>
          <w:trHeight w:val="459" w:hRule="atLeast"/>
          <w:jc w:val="center"/>
        </w:trPr>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b/>
                <w:color w:val="auto"/>
                <w:szCs w:val="21"/>
                <w:highlight w:val="none"/>
                <w:lang w:eastAsia="en-US"/>
              </w:rPr>
            </w:pPr>
            <w:r>
              <w:rPr>
                <w:rFonts w:hint="eastAsia" w:ascii="宋体" w:hAnsi="宋体" w:cs="宋体"/>
                <w:b/>
                <w:color w:val="auto"/>
                <w:szCs w:val="21"/>
                <w:highlight w:val="none"/>
                <w:lang w:bidi="ar"/>
              </w:rPr>
              <w:t>序号</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b/>
                <w:color w:val="auto"/>
                <w:szCs w:val="21"/>
                <w:highlight w:val="none"/>
                <w:lang w:eastAsia="en-US"/>
              </w:rPr>
            </w:pPr>
            <w:r>
              <w:rPr>
                <w:rFonts w:hint="eastAsia" w:ascii="宋体" w:hAnsi="宋体" w:cs="宋体"/>
                <w:b/>
                <w:color w:val="auto"/>
                <w:szCs w:val="21"/>
                <w:highlight w:val="none"/>
                <w:lang w:bidi="ar"/>
              </w:rPr>
              <w:t>名称</w:t>
            </w:r>
          </w:p>
        </w:tc>
        <w:tc>
          <w:tcPr>
            <w:tcW w:w="2001"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b/>
                <w:color w:val="auto"/>
                <w:szCs w:val="21"/>
                <w:highlight w:val="none"/>
                <w:lang w:eastAsia="en-US"/>
              </w:rPr>
            </w:pPr>
            <w:r>
              <w:rPr>
                <w:rFonts w:hint="eastAsia" w:ascii="宋体" w:hAnsi="宋体" w:cs="宋体"/>
                <w:b/>
                <w:color w:val="auto"/>
                <w:szCs w:val="21"/>
                <w:highlight w:val="none"/>
                <w:lang w:bidi="ar"/>
              </w:rPr>
              <w:t>规格</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b/>
                <w:color w:val="auto"/>
                <w:szCs w:val="21"/>
                <w:highlight w:val="none"/>
                <w:lang w:eastAsia="en-US"/>
              </w:rPr>
            </w:pPr>
            <w:r>
              <w:rPr>
                <w:rFonts w:hint="eastAsia" w:ascii="宋体" w:hAnsi="宋体" w:cs="宋体"/>
                <w:b/>
                <w:color w:val="auto"/>
                <w:szCs w:val="21"/>
                <w:highlight w:val="none"/>
                <w:lang w:bidi="ar"/>
              </w:rPr>
              <w:t>材质</w:t>
            </w:r>
          </w:p>
        </w:tc>
        <w:tc>
          <w:tcPr>
            <w:tcW w:w="1023"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b/>
                <w:color w:val="auto"/>
                <w:szCs w:val="21"/>
                <w:highlight w:val="none"/>
                <w:lang w:eastAsia="en-US"/>
              </w:rPr>
            </w:pPr>
            <w:r>
              <w:rPr>
                <w:rFonts w:hint="eastAsia" w:ascii="宋体" w:hAnsi="宋体" w:cs="宋体"/>
                <w:b/>
                <w:color w:val="auto"/>
                <w:szCs w:val="21"/>
                <w:highlight w:val="none"/>
                <w:lang w:bidi="ar"/>
              </w:rPr>
              <w:t>单位</w:t>
            </w:r>
          </w:p>
        </w:tc>
        <w:tc>
          <w:tcPr>
            <w:tcW w:w="1026"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b/>
                <w:color w:val="auto"/>
                <w:szCs w:val="21"/>
                <w:highlight w:val="none"/>
                <w:lang w:eastAsia="en-US"/>
              </w:rPr>
            </w:pPr>
            <w:r>
              <w:rPr>
                <w:rFonts w:hint="eastAsia" w:ascii="宋体" w:hAnsi="宋体" w:cs="宋体"/>
                <w:b/>
                <w:color w:val="auto"/>
                <w:szCs w:val="21"/>
                <w:highlight w:val="none"/>
                <w:lang w:bidi="ar"/>
              </w:rPr>
              <w:t>数量</w:t>
            </w:r>
          </w:p>
        </w:tc>
        <w:tc>
          <w:tcPr>
            <w:tcW w:w="1487"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b/>
                <w:color w:val="auto"/>
                <w:szCs w:val="21"/>
                <w:highlight w:val="none"/>
                <w:lang w:eastAsia="en-US"/>
              </w:rPr>
            </w:pPr>
            <w:r>
              <w:rPr>
                <w:rFonts w:hint="eastAsia" w:ascii="宋体" w:hAnsi="宋体" w:cs="宋体"/>
                <w:b/>
                <w:color w:val="auto"/>
                <w:szCs w:val="21"/>
                <w:highlight w:val="none"/>
                <w:lang w:bidi="ar"/>
              </w:rPr>
              <w:t>备注</w:t>
            </w:r>
          </w:p>
        </w:tc>
      </w:tr>
      <w:tr>
        <w:tblPrEx>
          <w:tblLayout w:type="fixed"/>
          <w:tblCellMar>
            <w:top w:w="0" w:type="dxa"/>
            <w:left w:w="0" w:type="dxa"/>
            <w:bottom w:w="0" w:type="dxa"/>
            <w:right w:w="0" w:type="dxa"/>
          </w:tblCellMar>
        </w:tblPrEx>
        <w:trPr>
          <w:trHeight w:val="409" w:hRule="atLeast"/>
          <w:jc w:val="center"/>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b/>
                <w:color w:val="auto"/>
                <w:szCs w:val="21"/>
                <w:highlight w:val="none"/>
                <w:lang w:eastAsia="en-US"/>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b/>
                <w:color w:val="auto"/>
                <w:szCs w:val="21"/>
                <w:highlight w:val="none"/>
                <w:lang w:eastAsia="en-US"/>
              </w:rPr>
            </w:pPr>
          </w:p>
        </w:tc>
        <w:tc>
          <w:tcPr>
            <w:tcW w:w="20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b/>
                <w:color w:val="auto"/>
                <w:szCs w:val="21"/>
                <w:highlight w:val="none"/>
                <w:lang w:eastAsia="en-US"/>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b/>
                <w:color w:val="auto"/>
                <w:szCs w:val="21"/>
                <w:highlight w:val="none"/>
                <w:lang w:eastAsia="en-US"/>
              </w:rPr>
            </w:pPr>
          </w:p>
        </w:tc>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b/>
                <w:color w:val="auto"/>
                <w:szCs w:val="21"/>
                <w:highlight w:val="none"/>
                <w:lang w:eastAsia="en-US"/>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b/>
                <w:color w:val="auto"/>
                <w:szCs w:val="21"/>
                <w:highlight w:val="none"/>
                <w:lang w:eastAsia="en-US"/>
              </w:rPr>
            </w:pPr>
          </w:p>
        </w:tc>
        <w:tc>
          <w:tcPr>
            <w:tcW w:w="14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b/>
                <w:color w:val="auto"/>
                <w:szCs w:val="21"/>
                <w:highlight w:val="none"/>
                <w:lang w:eastAsia="en-US"/>
              </w:rPr>
            </w:pPr>
          </w:p>
        </w:tc>
      </w:tr>
      <w:tr>
        <w:tblPrEx>
          <w:tblLayout w:type="fixed"/>
          <w:tblCellMar>
            <w:top w:w="0" w:type="dxa"/>
            <w:left w:w="0" w:type="dxa"/>
            <w:bottom w:w="0" w:type="dxa"/>
            <w:right w:w="0" w:type="dxa"/>
          </w:tblCellMar>
        </w:tblPrEx>
        <w:trPr>
          <w:trHeight w:val="38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花纹钢板</w:t>
            </w:r>
          </w:p>
        </w:tc>
        <w:tc>
          <w:tcPr>
            <w:tcW w:w="20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δ=5mm</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Q235B</w:t>
            </w: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m</w:t>
            </w:r>
            <w:r>
              <w:rPr>
                <w:rFonts w:hint="eastAsia" w:ascii="宋体" w:hAnsi="宋体" w:cs="宋体"/>
                <w:color w:val="auto"/>
                <w:szCs w:val="21"/>
                <w:highlight w:val="none"/>
                <w:vertAlign w:val="superscript"/>
                <w:lang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12</w:t>
            </w:r>
          </w:p>
        </w:tc>
        <w:tc>
          <w:tcPr>
            <w:tcW w:w="14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color w:val="auto"/>
                <w:szCs w:val="21"/>
                <w:highlight w:val="none"/>
                <w:lang w:eastAsia="en-US"/>
              </w:rPr>
            </w:pPr>
          </w:p>
        </w:tc>
      </w:tr>
      <w:tr>
        <w:tblPrEx>
          <w:tblLayout w:type="fixed"/>
          <w:tblCellMar>
            <w:top w:w="0" w:type="dxa"/>
            <w:left w:w="0" w:type="dxa"/>
            <w:bottom w:w="0" w:type="dxa"/>
            <w:right w:w="0" w:type="dxa"/>
          </w:tblCellMar>
        </w:tblPrEx>
        <w:trPr>
          <w:trHeight w:val="38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防滑格栅板</w:t>
            </w:r>
          </w:p>
        </w:tc>
        <w:tc>
          <w:tcPr>
            <w:tcW w:w="20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G325/30/50</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热浸锌</w:t>
            </w: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m</w:t>
            </w:r>
            <w:r>
              <w:rPr>
                <w:rFonts w:hint="eastAsia" w:ascii="宋体" w:hAnsi="宋体" w:cs="宋体"/>
                <w:color w:val="auto"/>
                <w:szCs w:val="21"/>
                <w:highlight w:val="none"/>
                <w:vertAlign w:val="superscript"/>
                <w:lang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30</w:t>
            </w:r>
          </w:p>
        </w:tc>
        <w:tc>
          <w:tcPr>
            <w:tcW w:w="14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color w:val="auto"/>
                <w:szCs w:val="21"/>
                <w:highlight w:val="none"/>
                <w:lang w:eastAsia="en-US"/>
              </w:rPr>
            </w:pPr>
          </w:p>
        </w:tc>
      </w:tr>
      <w:tr>
        <w:tblPrEx>
          <w:tblLayout w:type="fixed"/>
          <w:tblCellMar>
            <w:top w:w="0" w:type="dxa"/>
            <w:left w:w="0" w:type="dxa"/>
            <w:bottom w:w="0" w:type="dxa"/>
            <w:right w:w="0" w:type="dxa"/>
          </w:tblCellMar>
        </w:tblPrEx>
        <w:trPr>
          <w:trHeight w:val="38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HW型钢</w:t>
            </w:r>
          </w:p>
        </w:tc>
        <w:tc>
          <w:tcPr>
            <w:tcW w:w="20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HW250×250×9×14</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Q235B</w:t>
            </w: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m</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48</w:t>
            </w:r>
          </w:p>
        </w:tc>
        <w:tc>
          <w:tcPr>
            <w:tcW w:w="14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color w:val="auto"/>
                <w:szCs w:val="21"/>
                <w:highlight w:val="none"/>
                <w:lang w:eastAsia="en-US"/>
              </w:rPr>
            </w:pPr>
          </w:p>
        </w:tc>
      </w:tr>
      <w:tr>
        <w:tblPrEx>
          <w:tblLayout w:type="fixed"/>
          <w:tblCellMar>
            <w:top w:w="0" w:type="dxa"/>
            <w:left w:w="0" w:type="dxa"/>
            <w:bottom w:w="0" w:type="dxa"/>
            <w:right w:w="0" w:type="dxa"/>
          </w:tblCellMar>
        </w:tblPrEx>
        <w:trPr>
          <w:trHeight w:val="38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HW型钢</w:t>
            </w:r>
          </w:p>
        </w:tc>
        <w:tc>
          <w:tcPr>
            <w:tcW w:w="20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HW200×200×8×12</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Q235B</w:t>
            </w: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m</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30</w:t>
            </w:r>
          </w:p>
        </w:tc>
        <w:tc>
          <w:tcPr>
            <w:tcW w:w="14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color w:val="auto"/>
                <w:szCs w:val="21"/>
                <w:highlight w:val="none"/>
                <w:lang w:eastAsia="en-US"/>
              </w:rPr>
            </w:pPr>
          </w:p>
        </w:tc>
      </w:tr>
      <w:tr>
        <w:tblPrEx>
          <w:tblLayout w:type="fixed"/>
          <w:tblCellMar>
            <w:top w:w="0" w:type="dxa"/>
            <w:left w:w="0" w:type="dxa"/>
            <w:bottom w:w="0" w:type="dxa"/>
            <w:right w:w="0" w:type="dxa"/>
          </w:tblCellMar>
        </w:tblPrEx>
        <w:trPr>
          <w:trHeight w:val="38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槽钢</w:t>
            </w:r>
          </w:p>
        </w:tc>
        <w:tc>
          <w:tcPr>
            <w:tcW w:w="20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[160×65×8.5mm</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Q235B</w:t>
            </w: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m</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36</w:t>
            </w:r>
          </w:p>
        </w:tc>
        <w:tc>
          <w:tcPr>
            <w:tcW w:w="14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color w:val="auto"/>
                <w:szCs w:val="21"/>
                <w:highlight w:val="none"/>
                <w:lang w:eastAsia="en-US"/>
              </w:rPr>
            </w:pPr>
          </w:p>
        </w:tc>
      </w:tr>
      <w:tr>
        <w:tblPrEx>
          <w:tblLayout w:type="fixed"/>
          <w:tblCellMar>
            <w:top w:w="0" w:type="dxa"/>
            <w:left w:w="0" w:type="dxa"/>
            <w:bottom w:w="0" w:type="dxa"/>
            <w:right w:w="0" w:type="dxa"/>
          </w:tblCellMar>
        </w:tblPrEx>
        <w:trPr>
          <w:trHeight w:val="38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槽钢</w:t>
            </w:r>
          </w:p>
        </w:tc>
        <w:tc>
          <w:tcPr>
            <w:tcW w:w="20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5#</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Q235B</w:t>
            </w: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m</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100</w:t>
            </w:r>
          </w:p>
        </w:tc>
        <w:tc>
          <w:tcPr>
            <w:tcW w:w="14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color w:val="auto"/>
                <w:szCs w:val="21"/>
                <w:highlight w:val="none"/>
                <w:lang w:eastAsia="en-US"/>
              </w:rPr>
            </w:pPr>
          </w:p>
        </w:tc>
      </w:tr>
      <w:tr>
        <w:tblPrEx>
          <w:tblLayout w:type="fixed"/>
          <w:tblCellMar>
            <w:top w:w="0" w:type="dxa"/>
            <w:left w:w="0" w:type="dxa"/>
            <w:bottom w:w="0" w:type="dxa"/>
            <w:right w:w="0" w:type="dxa"/>
          </w:tblCellMar>
        </w:tblPrEx>
        <w:trPr>
          <w:trHeight w:val="38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7</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槽钢</w:t>
            </w:r>
          </w:p>
        </w:tc>
        <w:tc>
          <w:tcPr>
            <w:tcW w:w="20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10#</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Q235B</w:t>
            </w: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m</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60</w:t>
            </w:r>
          </w:p>
        </w:tc>
        <w:tc>
          <w:tcPr>
            <w:tcW w:w="14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color w:val="auto"/>
                <w:szCs w:val="21"/>
                <w:highlight w:val="none"/>
                <w:lang w:eastAsia="en-US"/>
              </w:rPr>
            </w:pPr>
          </w:p>
        </w:tc>
      </w:tr>
      <w:tr>
        <w:tblPrEx>
          <w:tblLayout w:type="fixed"/>
          <w:tblCellMar>
            <w:top w:w="0" w:type="dxa"/>
            <w:left w:w="0" w:type="dxa"/>
            <w:bottom w:w="0" w:type="dxa"/>
            <w:right w:w="0" w:type="dxa"/>
          </w:tblCellMar>
        </w:tblPrEx>
        <w:trPr>
          <w:trHeight w:val="38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8</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角钢</w:t>
            </w:r>
          </w:p>
        </w:tc>
        <w:tc>
          <w:tcPr>
            <w:tcW w:w="20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50*50*5</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镀锌</w:t>
            </w: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m</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200</w:t>
            </w:r>
          </w:p>
        </w:tc>
        <w:tc>
          <w:tcPr>
            <w:tcW w:w="14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color w:val="auto"/>
                <w:szCs w:val="21"/>
                <w:highlight w:val="none"/>
                <w:lang w:eastAsia="en-US"/>
              </w:rPr>
            </w:pPr>
          </w:p>
        </w:tc>
      </w:tr>
      <w:tr>
        <w:tblPrEx>
          <w:tblLayout w:type="fixed"/>
          <w:tblCellMar>
            <w:top w:w="0" w:type="dxa"/>
            <w:left w:w="0" w:type="dxa"/>
            <w:bottom w:w="0" w:type="dxa"/>
            <w:right w:w="0" w:type="dxa"/>
          </w:tblCellMar>
        </w:tblPrEx>
        <w:trPr>
          <w:trHeight w:val="38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10</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焊接管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φ57×3.0</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镀锌</w:t>
            </w: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m</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30</w:t>
            </w:r>
          </w:p>
        </w:tc>
        <w:tc>
          <w:tcPr>
            <w:tcW w:w="14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color w:val="auto"/>
                <w:szCs w:val="21"/>
                <w:highlight w:val="none"/>
                <w:lang w:eastAsia="en-US"/>
              </w:rPr>
            </w:pPr>
          </w:p>
        </w:tc>
      </w:tr>
      <w:tr>
        <w:tblPrEx>
          <w:tblLayout w:type="fixed"/>
          <w:tblCellMar>
            <w:top w:w="0" w:type="dxa"/>
            <w:left w:w="0" w:type="dxa"/>
            <w:bottom w:w="0" w:type="dxa"/>
            <w:right w:w="0" w:type="dxa"/>
          </w:tblCellMar>
        </w:tblPrEx>
        <w:trPr>
          <w:trHeight w:val="38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11</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焊接管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φ32×2.0</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镀锌</w:t>
            </w: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m</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30</w:t>
            </w:r>
          </w:p>
        </w:tc>
        <w:tc>
          <w:tcPr>
            <w:tcW w:w="14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color w:val="auto"/>
                <w:szCs w:val="21"/>
                <w:highlight w:val="none"/>
                <w:lang w:eastAsia="en-US"/>
              </w:rPr>
            </w:pPr>
          </w:p>
        </w:tc>
      </w:tr>
      <w:tr>
        <w:tblPrEx>
          <w:tblLayout w:type="fixed"/>
          <w:tblCellMar>
            <w:top w:w="0" w:type="dxa"/>
            <w:left w:w="0" w:type="dxa"/>
            <w:bottom w:w="0" w:type="dxa"/>
            <w:right w:w="0" w:type="dxa"/>
          </w:tblCellMar>
        </w:tblPrEx>
        <w:trPr>
          <w:trHeight w:val="38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12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其他安装辅材</w:t>
            </w:r>
          </w:p>
        </w:tc>
        <w:tc>
          <w:tcPr>
            <w:tcW w:w="20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color w:val="auto"/>
                <w:szCs w:val="21"/>
                <w:highlight w:val="none"/>
                <w:lang w:eastAsia="en-US"/>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color w:val="auto"/>
                <w:szCs w:val="21"/>
                <w:highlight w:val="none"/>
                <w:lang w:eastAsia="en-US"/>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批</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autoSpaceDE w:val="0"/>
              <w:autoSpaceDN w:val="0"/>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 xml:space="preserve">1 </w:t>
            </w:r>
          </w:p>
        </w:tc>
        <w:tc>
          <w:tcPr>
            <w:tcW w:w="14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val="0"/>
              <w:autoSpaceDE w:val="0"/>
              <w:autoSpaceDN w:val="0"/>
              <w:jc w:val="center"/>
              <w:rPr>
                <w:rFonts w:ascii="宋体" w:hAnsi="宋体" w:cs="宋体"/>
                <w:color w:val="auto"/>
                <w:szCs w:val="21"/>
                <w:highlight w:val="none"/>
                <w:lang w:eastAsia="en-US"/>
              </w:rPr>
            </w:pPr>
          </w:p>
        </w:tc>
      </w:tr>
    </w:tbl>
    <w:p>
      <w:pPr>
        <w:widowControl w:val="0"/>
        <w:autoSpaceDE w:val="0"/>
        <w:autoSpaceDN w:val="0"/>
        <w:ind w:firstLine="420" w:firstLineChars="200"/>
        <w:jc w:val="both"/>
        <w:rPr>
          <w:rFonts w:ascii="宋体" w:hAnsi="宋体" w:cs="宋体"/>
          <w:color w:val="auto"/>
          <w:szCs w:val="21"/>
          <w:highlight w:val="none"/>
        </w:rPr>
      </w:pPr>
    </w:p>
    <w:p>
      <w:pPr>
        <w:widowControl w:val="0"/>
        <w:numPr>
          <w:ilvl w:val="1"/>
          <w:numId w:val="92"/>
        </w:numPr>
        <w:autoSpaceDE w:val="0"/>
        <w:autoSpaceDN w:val="0"/>
        <w:ind w:left="0" w:firstLine="602"/>
        <w:jc w:val="both"/>
        <w:outlineLvl w:val="1"/>
        <w:rPr>
          <w:rFonts w:ascii="宋体" w:hAnsi="宋体" w:cs="宋体"/>
          <w:b/>
          <w:color w:val="auto"/>
          <w:szCs w:val="21"/>
          <w:highlight w:val="none"/>
        </w:rPr>
      </w:pPr>
      <w:bookmarkStart w:id="617" w:name="_Toc145084950"/>
      <w:r>
        <w:rPr>
          <w:rFonts w:hint="eastAsia" w:ascii="宋体" w:hAnsi="宋体" w:cs="宋体"/>
          <w:b/>
          <w:color w:val="auto"/>
          <w:szCs w:val="21"/>
          <w:highlight w:val="none"/>
        </w:rPr>
        <w:t>工作范围</w:t>
      </w:r>
      <w:bookmarkEnd w:id="617"/>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中标人的工作范围包括但不限于下表4-1所列内容。</w:t>
      </w:r>
    </w:p>
    <w:p>
      <w:pPr>
        <w:widowControl w:val="0"/>
        <w:autoSpaceDE w:val="0"/>
        <w:autoSpaceDN w:val="0"/>
        <w:adjustRightInd/>
        <w:snapToGrid/>
        <w:ind w:left="368" w:hanging="367" w:hangingChars="175"/>
        <w:jc w:val="center"/>
        <w:rPr>
          <w:rFonts w:ascii="宋体" w:hAnsi="宋体" w:cs="宋体"/>
          <w:color w:val="auto"/>
          <w:kern w:val="2"/>
          <w:szCs w:val="21"/>
          <w:highlight w:val="none"/>
        </w:rPr>
      </w:pPr>
      <w:r>
        <w:rPr>
          <w:rFonts w:hint="eastAsia" w:ascii="宋体" w:hAnsi="宋体" w:cs="宋体"/>
          <w:color w:val="auto"/>
          <w:kern w:val="2"/>
          <w:szCs w:val="21"/>
          <w:highlight w:val="none"/>
        </w:rPr>
        <w:t>表4-1 工作服务范围一览表</w:t>
      </w:r>
    </w:p>
    <w:tbl>
      <w:tblPr>
        <w:tblStyle w:val="34"/>
        <w:tblW w:w="82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121"/>
        <w:gridCol w:w="2930"/>
        <w:gridCol w:w="1110"/>
        <w:gridCol w:w="1110"/>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tblHeader/>
          <w:jc w:val="center"/>
        </w:trPr>
        <w:tc>
          <w:tcPr>
            <w:tcW w:w="1121" w:type="dxa"/>
            <w:shd w:val="clear" w:color="auto" w:fill="FFFFFF"/>
            <w:vAlign w:val="center"/>
          </w:tcPr>
          <w:p>
            <w:pPr>
              <w:widowControl w:val="0"/>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930" w:type="dxa"/>
            <w:shd w:val="clear" w:color="auto" w:fill="FFFFFF"/>
            <w:vAlign w:val="center"/>
          </w:tcPr>
          <w:p>
            <w:pPr>
              <w:widowControl w:val="0"/>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rPr>
              <w:t>工作描述</w:t>
            </w:r>
          </w:p>
        </w:tc>
        <w:tc>
          <w:tcPr>
            <w:tcW w:w="1110" w:type="dxa"/>
            <w:shd w:val="clear" w:color="auto" w:fill="FFFFFF"/>
            <w:vAlign w:val="center"/>
          </w:tcPr>
          <w:p>
            <w:pPr>
              <w:widowControl w:val="0"/>
              <w:autoSpaceDE w:val="0"/>
              <w:autoSpaceDN w:val="0"/>
              <w:jc w:val="center"/>
              <w:rPr>
                <w:rFonts w:ascii="宋体" w:hAnsi="宋体" w:cs="宋体"/>
                <w:b/>
                <w:bCs/>
                <w:color w:val="auto"/>
                <w:szCs w:val="21"/>
                <w:highlight w:val="none"/>
              </w:rPr>
            </w:pPr>
            <w:r>
              <w:rPr>
                <w:rFonts w:hint="eastAsia" w:ascii="宋体" w:hAnsi="宋体" w:cs="宋体"/>
                <w:b/>
                <w:bCs/>
                <w:color w:val="auto"/>
                <w:szCs w:val="21"/>
                <w:highlight w:val="none"/>
              </w:rPr>
              <w:t>采购人</w:t>
            </w:r>
          </w:p>
        </w:tc>
        <w:tc>
          <w:tcPr>
            <w:tcW w:w="1110" w:type="dxa"/>
            <w:shd w:val="clear" w:color="auto" w:fill="FFFFFF"/>
            <w:vAlign w:val="center"/>
          </w:tcPr>
          <w:p>
            <w:pPr>
              <w:widowControl w:val="0"/>
              <w:autoSpaceDE w:val="0"/>
              <w:autoSpaceDN w:val="0"/>
              <w:jc w:val="center"/>
              <w:rPr>
                <w:rFonts w:ascii="宋体" w:hAnsi="宋体" w:cs="宋体"/>
                <w:b/>
                <w:bCs/>
                <w:color w:val="auto"/>
                <w:szCs w:val="21"/>
                <w:highlight w:val="none"/>
              </w:rPr>
            </w:pPr>
            <w:r>
              <w:rPr>
                <w:rFonts w:hint="eastAsia" w:ascii="宋体" w:hAnsi="宋体" w:cs="宋体"/>
                <w:b/>
                <w:bCs/>
                <w:color w:val="auto"/>
                <w:szCs w:val="21"/>
                <w:highlight w:val="none"/>
              </w:rPr>
              <w:t>中标人</w:t>
            </w:r>
          </w:p>
        </w:tc>
        <w:tc>
          <w:tcPr>
            <w:tcW w:w="1951" w:type="dxa"/>
            <w:shd w:val="clear" w:color="auto" w:fill="FFFFFF"/>
            <w:vAlign w:val="center"/>
          </w:tcPr>
          <w:p>
            <w:pPr>
              <w:widowControl w:val="0"/>
              <w:autoSpaceDE w:val="0"/>
              <w:autoSpaceDN w:val="0"/>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一</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基本工作内容</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设备设计</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设备供货，含保险、运输等</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施工安装</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调试、性能测试</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1.5</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二次预埋件</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1.6</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技术资料</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1.6.1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设备说明书</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1.6.2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操作维护手册</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二</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设备供货范围</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厨余垃圾预处理设备及其控制系统</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rPr>
                <w:rFonts w:ascii="宋体" w:hAnsi="宋体" w:cs="宋体"/>
                <w:color w:val="auto"/>
                <w:szCs w:val="21"/>
                <w:highlight w:val="none"/>
              </w:rPr>
            </w:pPr>
            <w:r>
              <w:rPr>
                <w:rFonts w:hint="eastAsia" w:ascii="宋体" w:hAnsi="宋体" w:cs="宋体"/>
                <w:color w:val="auto"/>
                <w:szCs w:val="21"/>
                <w:highlight w:val="none"/>
              </w:rPr>
              <w:t>详见设备供货清单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备品备件</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一年期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专用工具</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三</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施工安装</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施工、安装</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设备材料装卸、安装</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设备接收、卸车至指定场地</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设备及材料现场存放管理</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存放至安装现场的二次转运</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所有临时及永久性设施的吊装</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3.2.5</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组装、定位、螺栓锚固、灌浆、找平</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3.2.6</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检验与校准</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检验测试</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调试/测试计划</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启动前检查</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点动试验</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单机测试</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现场安全管理</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现场清理，废物处理外运</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项目管理</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进度计划</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记录</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3.4.5</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月/周报告</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3.4.6</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照片</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3.4.7</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往来函件</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3.4.8</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竣工图纸</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3.5</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质量保证</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3.5.1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质量体系与质量计划</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3.5.2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质量程序</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3.5.3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生产过程检测</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3.5.4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承包商计划（如项目管理计划，人力资源计划，设计计划，生产计划，质量计划，安全健康计划，应急响应计划）</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其它设施</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项目临时堆场、通道、工地</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爬梯，脚手架，工作平台</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现场照明</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广告牌，临时围闭，标示牌，公告板</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3.6.5</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现场清理与整洁，含清运费</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3.6.6</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每日清理</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3.6.7</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每周整洁</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3.6.8</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施工结束时拆除，回收现场所有临时设施</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3.6.9</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施工结束时清理现场</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3.7</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提供安全培训</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3.7.1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安全入场培训</w:t>
            </w: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3.7.2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安全三级教育</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连接与消耗</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临时电连接</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rPr>
                <w:rFonts w:ascii="宋体" w:hAnsi="宋体" w:cs="宋体"/>
                <w:color w:val="auto"/>
                <w:szCs w:val="21"/>
                <w:highlight w:val="none"/>
              </w:rPr>
            </w:pPr>
            <w:r>
              <w:rPr>
                <w:rFonts w:hint="eastAsia" w:ascii="宋体" w:hAnsi="宋体" w:cs="宋体"/>
                <w:color w:val="auto"/>
                <w:szCs w:val="21"/>
                <w:highlight w:val="none"/>
              </w:rPr>
              <w:t>至一级配电箱（含），采购人提供箱变接入位置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临时生活用水连接</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rPr>
                <w:rFonts w:ascii="宋体" w:hAnsi="宋体" w:cs="宋体"/>
                <w:color w:val="auto"/>
                <w:szCs w:val="21"/>
                <w:highlight w:val="none"/>
              </w:rPr>
            </w:pPr>
            <w:r>
              <w:rPr>
                <w:rFonts w:hint="eastAsia" w:ascii="宋体" w:hAnsi="宋体" w:cs="宋体"/>
                <w:color w:val="auto"/>
                <w:szCs w:val="21"/>
                <w:highlight w:val="none"/>
              </w:rPr>
              <w:t>至现场临时生活水连接点，采购人提供接驳点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临时废水连接</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rPr>
                <w:rFonts w:ascii="宋体" w:hAnsi="宋体" w:cs="宋体"/>
                <w:color w:val="auto"/>
                <w:szCs w:val="21"/>
                <w:highlight w:val="none"/>
              </w:rPr>
            </w:pPr>
            <w:r>
              <w:rPr>
                <w:rFonts w:hint="eastAsia" w:ascii="宋体" w:hAnsi="宋体" w:cs="宋体"/>
                <w:color w:val="auto"/>
                <w:szCs w:val="21"/>
                <w:highlight w:val="none"/>
              </w:rPr>
              <w:t>至现场临时废水排放连接点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首次润滑油</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3.8.5</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调试过程中的垃圾</w:t>
            </w: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3.8.6</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施工现场临时消防器具</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3.8.7</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首次测量仪表标定</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3.8.8</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进口设备/材料法定检验（如果有）</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3.8.9</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技术文档</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3.9</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培训</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3.9.1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作为人力资源计划的一部分，提交培训计划</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3.9.2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采购人操作及维修人员培训</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商务</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保险</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建筑安装工程一切保险</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第三方责任险</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机动车保险</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中标人车辆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3.10.5</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货物运输保险</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3.10.6</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员工人身意外险</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中标人员工及供货商设施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3.10.7</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税、规费和其它费用</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b/>
                <w:bCs/>
                <w:color w:val="auto"/>
                <w:szCs w:val="21"/>
                <w:highlight w:val="none"/>
              </w:rPr>
              <w:t>序号</w:t>
            </w:r>
          </w:p>
        </w:tc>
        <w:tc>
          <w:tcPr>
            <w:tcW w:w="293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b/>
                <w:bCs/>
                <w:color w:val="auto"/>
                <w:szCs w:val="21"/>
                <w:highlight w:val="none"/>
              </w:rPr>
              <w:t>工作描述</w:t>
            </w:r>
          </w:p>
        </w:tc>
        <w:tc>
          <w:tcPr>
            <w:tcW w:w="1110" w:type="dxa"/>
            <w:shd w:val="clear" w:color="auto" w:fill="FFFFFF"/>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b/>
                <w:bCs/>
                <w:color w:val="auto"/>
                <w:szCs w:val="21"/>
                <w:highlight w:val="none"/>
              </w:rPr>
              <w:t>采购人</w:t>
            </w:r>
          </w:p>
        </w:tc>
        <w:tc>
          <w:tcPr>
            <w:tcW w:w="1110" w:type="dxa"/>
            <w:shd w:val="clear" w:color="auto" w:fill="FFFFFF"/>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b/>
                <w:bCs/>
                <w:color w:val="auto"/>
                <w:szCs w:val="21"/>
                <w:highlight w:val="none"/>
              </w:rPr>
              <w:t>中标人</w:t>
            </w:r>
          </w:p>
        </w:tc>
        <w:tc>
          <w:tcPr>
            <w:tcW w:w="1951" w:type="dxa"/>
            <w:shd w:val="clear" w:color="auto" w:fill="FFFFFF"/>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一</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基本工作内容</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设备设计</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设备供货，含保险、运输等</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施工安装</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调试、性能测试</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1.5</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技术资料</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1.5.1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设备说明书</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1.5.2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操作维护手册</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二</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设备供货范围</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厨余垃圾预处理设备及其控制系统</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rPr>
                <w:rFonts w:ascii="宋体" w:hAnsi="宋体" w:cs="宋体"/>
                <w:color w:val="auto"/>
                <w:szCs w:val="21"/>
                <w:highlight w:val="none"/>
              </w:rPr>
            </w:pPr>
            <w:r>
              <w:rPr>
                <w:rFonts w:hint="eastAsia" w:ascii="宋体" w:hAnsi="宋体" w:cs="宋体"/>
                <w:color w:val="auto"/>
                <w:szCs w:val="21"/>
                <w:highlight w:val="none"/>
              </w:rPr>
              <w:t>详见设备供货清单</w:t>
            </w:r>
          </w:p>
        </w:tc>
      </w:tr>
      <w:tr>
        <w:tblPrEx>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备品备件</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一年期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专用工具</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三</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施工安装</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施工、安装</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设备材料装卸、安装</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设备接收、卸车至指定场地</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设备及材料现场存放管理</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存放至安装现场的二次转运</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所有临时及永久性设施的吊装</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3.2.5</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组装、定位、螺栓锚固、灌浆、找平</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3.2.6</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检验与校准</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检验测试</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调试/测试计划</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启动前检查</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点动试验</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3.3.4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单机测试</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现场安全管理</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现场清理，废物处理外运</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项目管理</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3.4.3</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进度计划</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3.4.4</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记录</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3.4.5</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月/周报告</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3.4.6</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照片</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3.4.7</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往来函件</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3.4.8</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竣工图纸</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3.5</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质量保证</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3.5.1</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质量体系与质量计划</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25" w:hRule="atLeast"/>
          <w:jc w:val="center"/>
        </w:trPr>
        <w:tc>
          <w:tcPr>
            <w:tcW w:w="1121" w:type="dxa"/>
            <w:shd w:val="clear" w:color="auto" w:fill="FFFFFF"/>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3.5.2</w:t>
            </w:r>
          </w:p>
        </w:tc>
        <w:tc>
          <w:tcPr>
            <w:tcW w:w="2930" w:type="dxa"/>
            <w:shd w:val="clear" w:color="auto" w:fill="FFFFFF"/>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质量程序</w:t>
            </w:r>
          </w:p>
        </w:tc>
        <w:tc>
          <w:tcPr>
            <w:tcW w:w="1110" w:type="dxa"/>
            <w:shd w:val="clear" w:color="auto" w:fill="FFFFFF"/>
            <w:vAlign w:val="center"/>
          </w:tcPr>
          <w:p>
            <w:pPr>
              <w:adjustRightInd/>
              <w:snapToGrid/>
              <w:jc w:val="center"/>
              <w:rPr>
                <w:rFonts w:ascii="宋体" w:hAnsi="宋体" w:cs="宋体"/>
                <w:color w:val="auto"/>
                <w:szCs w:val="21"/>
                <w:highlight w:val="none"/>
              </w:rPr>
            </w:pPr>
          </w:p>
        </w:tc>
        <w:tc>
          <w:tcPr>
            <w:tcW w:w="1110" w:type="dxa"/>
            <w:shd w:val="clear" w:color="auto" w:fill="FFFFFF"/>
            <w:vAlign w:val="center"/>
          </w:tcPr>
          <w:p>
            <w:pPr>
              <w:adjustRightInd/>
              <w:snapToGrid/>
              <w:jc w:val="center"/>
              <w:rPr>
                <w:rFonts w:ascii="宋体" w:hAnsi="宋体" w:cs="宋体"/>
                <w:color w:val="auto"/>
                <w:szCs w:val="21"/>
                <w:highlight w:val="none"/>
              </w:rPr>
            </w:pPr>
            <w:r>
              <w:rPr>
                <w:rFonts w:hint="eastAsia" w:ascii="宋体" w:hAnsi="宋体" w:cs="宋体"/>
                <w:color w:val="auto"/>
                <w:szCs w:val="21"/>
                <w:highlight w:val="none"/>
              </w:rPr>
              <w:t>√</w:t>
            </w:r>
          </w:p>
        </w:tc>
        <w:tc>
          <w:tcPr>
            <w:tcW w:w="1951" w:type="dxa"/>
            <w:shd w:val="clear" w:color="auto" w:fill="FFFFFF"/>
            <w:vAlign w:val="center"/>
          </w:tcPr>
          <w:p>
            <w:pPr>
              <w:adjustRightInd/>
              <w:snapToGrid/>
              <w:jc w:val="center"/>
              <w:rPr>
                <w:rFonts w:ascii="宋体" w:hAnsi="宋体" w:cs="宋体"/>
                <w:color w:val="auto"/>
                <w:szCs w:val="21"/>
                <w:highlight w:val="none"/>
              </w:rPr>
            </w:pPr>
          </w:p>
        </w:tc>
      </w:tr>
    </w:tbl>
    <w:p>
      <w:pPr>
        <w:widowControl w:val="0"/>
        <w:numPr>
          <w:ilvl w:val="1"/>
          <w:numId w:val="92"/>
        </w:numPr>
        <w:autoSpaceDE w:val="0"/>
        <w:autoSpaceDN w:val="0"/>
        <w:ind w:left="0" w:firstLine="602"/>
        <w:jc w:val="both"/>
        <w:outlineLvl w:val="1"/>
        <w:rPr>
          <w:rFonts w:ascii="宋体" w:hAnsi="宋体" w:cs="宋体"/>
          <w:b/>
          <w:color w:val="auto"/>
          <w:szCs w:val="21"/>
          <w:highlight w:val="none"/>
          <w:lang w:eastAsia="en-US"/>
        </w:rPr>
      </w:pPr>
      <w:bookmarkStart w:id="618" w:name="_Toc145084951"/>
      <w:r>
        <w:rPr>
          <w:rFonts w:hint="eastAsia" w:ascii="宋体" w:hAnsi="宋体" w:cs="宋体"/>
          <w:b/>
          <w:color w:val="auto"/>
          <w:szCs w:val="21"/>
          <w:highlight w:val="none"/>
          <w:lang w:eastAsia="en-US"/>
        </w:rPr>
        <w:t>中标人职责</w:t>
      </w:r>
      <w:bookmarkEnd w:id="618"/>
    </w:p>
    <w:p>
      <w:pPr>
        <w:widowControl w:val="0"/>
        <w:numPr>
          <w:ilvl w:val="2"/>
          <w:numId w:val="93"/>
        </w:numPr>
        <w:autoSpaceDE w:val="0"/>
        <w:autoSpaceDN w:val="0"/>
        <w:ind w:left="0" w:firstLine="422" w:firstLineChars="200"/>
        <w:jc w:val="both"/>
        <w:outlineLvl w:val="2"/>
        <w:rPr>
          <w:rFonts w:ascii="宋体" w:hAnsi="宋体" w:cs="宋体"/>
          <w:b/>
          <w:color w:val="auto"/>
          <w:szCs w:val="21"/>
          <w:highlight w:val="none"/>
        </w:rPr>
      </w:pPr>
      <w:bookmarkStart w:id="619" w:name="_Toc145084952"/>
      <w:r>
        <w:rPr>
          <w:rFonts w:hint="eastAsia" w:ascii="宋体" w:hAnsi="宋体" w:cs="宋体"/>
          <w:b/>
          <w:color w:val="auto"/>
          <w:szCs w:val="21"/>
          <w:highlight w:val="none"/>
        </w:rPr>
        <w:t>中标人的职责</w:t>
      </w:r>
      <w:bookmarkEnd w:id="619"/>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本合同中标人需按合同文件的各条款履行合同，其中至少包括如下职责：</w:t>
      </w:r>
    </w:p>
    <w:p>
      <w:pPr>
        <w:widowControl w:val="0"/>
        <w:numPr>
          <w:ilvl w:val="0"/>
          <w:numId w:val="94"/>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中标人需服从采购人的总体管理，配合采购人完成各项工作，共同实现项目的总体目标。</w:t>
      </w:r>
    </w:p>
    <w:p>
      <w:pPr>
        <w:widowControl w:val="0"/>
        <w:numPr>
          <w:ilvl w:val="0"/>
          <w:numId w:val="94"/>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中标人在履行合同过程中应遵守法律，并保证采购人免于承担因中标人违反法律而引起的任何责任。</w:t>
      </w:r>
    </w:p>
    <w:p>
      <w:pPr>
        <w:widowControl w:val="0"/>
        <w:numPr>
          <w:ilvl w:val="0"/>
          <w:numId w:val="94"/>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中标人应根据其最佳知识和经验来完成系统集成和设备供货，同时适当考虑同类项目业绩的性能结果。无论本技术说明如何描述，中标人应对集成功能保证范围内系统的功能负责。</w:t>
      </w:r>
    </w:p>
    <w:p>
      <w:pPr>
        <w:widowControl w:val="0"/>
        <w:numPr>
          <w:ilvl w:val="0"/>
          <w:numId w:val="94"/>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中标人须对本合同内全部设备、工程材料的质量品质负责；按国家法律和标准规范要求须送检样品由中标人负责，并承担相关费用；中标人按采购人要求提供设备技术协议。</w:t>
      </w:r>
    </w:p>
    <w:p>
      <w:pPr>
        <w:widowControl w:val="0"/>
        <w:numPr>
          <w:ilvl w:val="0"/>
          <w:numId w:val="94"/>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中标人须对本合同内全部设备、合同内各系统联动运行的可靠性和各系统的处理效果负责，确保功能的实现。</w:t>
      </w:r>
    </w:p>
    <w:p>
      <w:pPr>
        <w:widowControl w:val="0"/>
        <w:numPr>
          <w:ilvl w:val="0"/>
          <w:numId w:val="94"/>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由于设备质量缺项、电气控制设施等缺陷造成系统达不到采购文件规定的要求时，中标人应负其责任。</w:t>
      </w:r>
    </w:p>
    <w:p>
      <w:pPr>
        <w:widowControl w:val="0"/>
        <w:numPr>
          <w:ilvl w:val="0"/>
          <w:numId w:val="94"/>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必须确保集成功能保证范围内系统良好联动运行（包括自动控制），应确保集成功能保证范围内系统功能的实现，并提供属于本合同的所有设备附件及备件。如果中标人在投标时发现本采购文件和招标图纸中的技术规范存在缺陷，并将妨碍上述要求的实现，中标人有义务明确提出修正建议，但必须征得采购人的同意，决定是否采纳。</w:t>
      </w:r>
    </w:p>
    <w:p>
      <w:pPr>
        <w:widowControl w:val="0"/>
        <w:numPr>
          <w:ilvl w:val="0"/>
          <w:numId w:val="94"/>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中标人必须对设备的制造、供货、工厂测试、油漆、包装和运输负责，并需负责设备安装、检查和验收。</w:t>
      </w:r>
    </w:p>
    <w:p>
      <w:pPr>
        <w:widowControl w:val="0"/>
        <w:numPr>
          <w:ilvl w:val="0"/>
          <w:numId w:val="94"/>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中标人需负责对不合格的设备进行更换。</w:t>
      </w:r>
    </w:p>
    <w:p>
      <w:pPr>
        <w:widowControl w:val="0"/>
        <w:numPr>
          <w:ilvl w:val="0"/>
          <w:numId w:val="94"/>
        </w:numPr>
        <w:tabs>
          <w:tab w:val="left" w:pos="814"/>
        </w:tabs>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中标人需对设备交付验收、工程验收负责。</w:t>
      </w:r>
    </w:p>
    <w:p>
      <w:pPr>
        <w:widowControl w:val="0"/>
        <w:numPr>
          <w:ilvl w:val="0"/>
          <w:numId w:val="94"/>
        </w:numPr>
        <w:tabs>
          <w:tab w:val="left" w:pos="814"/>
        </w:tabs>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中标人需负责设备的单机调试、联动调试、带料调试、系统性能保证测试以及在此期间内的设备检测、维护， 保证系统的运行达到采购文件的要求。</w:t>
      </w:r>
    </w:p>
    <w:p>
      <w:pPr>
        <w:widowControl w:val="0"/>
        <w:numPr>
          <w:ilvl w:val="0"/>
          <w:numId w:val="94"/>
        </w:numPr>
        <w:tabs>
          <w:tab w:val="left" w:pos="814"/>
        </w:tabs>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中标人需负责设备考察、工厂验收、设计联络等。</w:t>
      </w:r>
    </w:p>
    <w:p>
      <w:pPr>
        <w:widowControl w:val="0"/>
        <w:numPr>
          <w:ilvl w:val="2"/>
          <w:numId w:val="93"/>
        </w:numPr>
        <w:autoSpaceDE w:val="0"/>
        <w:autoSpaceDN w:val="0"/>
        <w:ind w:left="0" w:firstLine="422" w:firstLineChars="200"/>
        <w:jc w:val="both"/>
        <w:outlineLvl w:val="2"/>
        <w:rPr>
          <w:rFonts w:ascii="宋体" w:hAnsi="宋体" w:cs="宋体"/>
          <w:b/>
          <w:color w:val="auto"/>
          <w:szCs w:val="21"/>
          <w:highlight w:val="none"/>
        </w:rPr>
      </w:pPr>
      <w:bookmarkStart w:id="620" w:name="_Toc145084953"/>
      <w:r>
        <w:rPr>
          <w:rFonts w:hint="eastAsia" w:ascii="宋体" w:hAnsi="宋体" w:cs="宋体"/>
          <w:b/>
          <w:color w:val="auto"/>
          <w:szCs w:val="21"/>
          <w:highlight w:val="none"/>
        </w:rPr>
        <w:t>设备提供</w:t>
      </w:r>
      <w:bookmarkEnd w:id="620"/>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中标人需提供本采购文件中指明供货范围内的所有机械设备、电气设备、自动控制设备、仪表、闸门和阀门及其他附属部件，及在采购文件中虽没有指明，但仍属于设备配套运行不可缺少的所有附件。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凡为达到工程目的所需的招标范围内的各项设备及其有关部件，虽未详列在本技术规范中，仍应包括在各项设备中。中标人不得借故予以变更或要求增加费用。中标人应在无追加费用的条件下，完善承包的合同内容，高质量地完成整个承包合同。</w:t>
      </w:r>
    </w:p>
    <w:p>
      <w:pPr>
        <w:widowControl w:val="0"/>
        <w:numPr>
          <w:ilvl w:val="2"/>
          <w:numId w:val="93"/>
        </w:numPr>
        <w:autoSpaceDE w:val="0"/>
        <w:autoSpaceDN w:val="0"/>
        <w:ind w:left="0" w:firstLine="422" w:firstLineChars="200"/>
        <w:jc w:val="both"/>
        <w:outlineLvl w:val="2"/>
        <w:rPr>
          <w:rFonts w:ascii="宋体" w:hAnsi="宋体" w:cs="宋体"/>
          <w:b/>
          <w:color w:val="auto"/>
          <w:szCs w:val="21"/>
          <w:highlight w:val="none"/>
        </w:rPr>
      </w:pPr>
      <w:bookmarkStart w:id="621" w:name="_Toc145084954"/>
      <w:r>
        <w:rPr>
          <w:rFonts w:hint="eastAsia" w:ascii="宋体" w:hAnsi="宋体" w:cs="宋体"/>
          <w:b/>
          <w:color w:val="auto"/>
          <w:szCs w:val="21"/>
          <w:highlight w:val="none"/>
        </w:rPr>
        <w:t>专用工具、易损件、备品备件</w:t>
      </w:r>
      <w:bookmarkEnd w:id="621"/>
    </w:p>
    <w:p>
      <w:pPr>
        <w:widowControl w:val="0"/>
        <w:numPr>
          <w:ilvl w:val="0"/>
          <w:numId w:val="95"/>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随机备品、备件和专用工具是生产厂家根据其产品的实际情况，随产品一起向采购人提供，其价格包含在设备的出厂价内的。要求提供的备品、备件和专用工具是采购人根据今后购买备品、备件和专用工具的方便性及可能性而在随机备品、备件和专用工具之外，另外提出的附加购置要求。中标人应确保要求提供的备品、备件和专用工具备有足够的存货，以保证设备和备品、备件及易损件的仓库供货，并承诺质量保证期内保证以不高于本表列明的价格提供备品、备件和专用工具，如果市场价格下调，则按下调的价格提供备品、备件。</w:t>
      </w:r>
    </w:p>
    <w:p>
      <w:pPr>
        <w:widowControl w:val="0"/>
        <w:numPr>
          <w:ilvl w:val="0"/>
          <w:numId w:val="95"/>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如设备维修和保养需要特殊专用工具，则需提供至少两套专用工具；另根据工作需要提供至少两套通用维修工具。维修工具应放置在专用工具包内。维修工具的价格计入投标报价。</w:t>
      </w:r>
    </w:p>
    <w:p>
      <w:pPr>
        <w:widowControl w:val="0"/>
        <w:numPr>
          <w:ilvl w:val="0"/>
          <w:numId w:val="95"/>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附件和工具应是新的、从未使用过，并应与设备同时交付给采购人。除非采购人特殊要求，中标人应示范工具与附件的使用方法。执行合同所需的附件和工具由中标人提供。</w:t>
      </w:r>
    </w:p>
    <w:p>
      <w:pPr>
        <w:widowControl w:val="0"/>
        <w:numPr>
          <w:ilvl w:val="0"/>
          <w:numId w:val="95"/>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在完成供货、安装和取得验收证书之前，中标人应更换或修理好由于其安装而造成磨损或损坏的部件。</w:t>
      </w:r>
    </w:p>
    <w:p>
      <w:pPr>
        <w:widowControl w:val="0"/>
        <w:numPr>
          <w:ilvl w:val="0"/>
          <w:numId w:val="95"/>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附件应与主要设备分开包装，或置于设计为在规定的环境条件下能保存很长时间的箱子内。任何不能按照以上方式包装的部件则应涂装临时保护层以防腐，并避免机械损害。所有附件应用简要的描述和部件号标识清楚。</w:t>
      </w:r>
    </w:p>
    <w:p>
      <w:pPr>
        <w:widowControl w:val="0"/>
        <w:numPr>
          <w:ilvl w:val="0"/>
          <w:numId w:val="95"/>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法兰、密封垫、管接头、螺栓和螺母、电缆接头、接线箱等所有附件均包括在供货范围内。所有连接件应按 ISO 标准制造，所有附件的材料、密封垫片的厚度应确保其密封性、耐用性、耐腐蚀和抗老化。密封垫应适当剪切，无多余边露出法兰。</w:t>
      </w:r>
    </w:p>
    <w:p>
      <w:pPr>
        <w:widowControl w:val="0"/>
        <w:numPr>
          <w:ilvl w:val="0"/>
          <w:numId w:val="95"/>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在设备质量保证期内如果由于设备缺陷造成设备零部件磨损，中标人应免费负责更换。明确由于采购人误操作等采购人人为因素导致的设备损坏，不在此范围内。</w:t>
      </w:r>
    </w:p>
    <w:p>
      <w:pPr>
        <w:widowControl w:val="0"/>
        <w:numPr>
          <w:ilvl w:val="0"/>
          <w:numId w:val="95"/>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严格按照招标需求及投标文件中所列备品备件清单供货。</w:t>
      </w:r>
    </w:p>
    <w:p>
      <w:pPr>
        <w:widowControl w:val="0"/>
        <w:numPr>
          <w:ilvl w:val="2"/>
          <w:numId w:val="93"/>
        </w:numPr>
        <w:autoSpaceDE w:val="0"/>
        <w:autoSpaceDN w:val="0"/>
        <w:ind w:left="0" w:firstLine="422" w:firstLineChars="200"/>
        <w:jc w:val="both"/>
        <w:outlineLvl w:val="2"/>
        <w:rPr>
          <w:rFonts w:ascii="宋体" w:hAnsi="宋体" w:cs="宋体"/>
          <w:b/>
          <w:color w:val="auto"/>
          <w:szCs w:val="21"/>
          <w:highlight w:val="none"/>
        </w:rPr>
      </w:pPr>
      <w:bookmarkStart w:id="622" w:name="_Toc145084955"/>
      <w:r>
        <w:rPr>
          <w:rFonts w:hint="eastAsia" w:ascii="宋体" w:hAnsi="宋体" w:cs="宋体"/>
          <w:b/>
          <w:color w:val="auto"/>
          <w:szCs w:val="21"/>
          <w:highlight w:val="none"/>
        </w:rPr>
        <w:t>设备考察、工厂验收和设计联络</w:t>
      </w:r>
      <w:bookmarkEnd w:id="622"/>
    </w:p>
    <w:p>
      <w:pPr>
        <w:widowControl w:val="0"/>
        <w:numPr>
          <w:ilvl w:val="0"/>
          <w:numId w:val="9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中标人所有外购设备厂家，必须经ISO9001质量管理体系和ISO14001环境管理体系认证，以确保产品质量，供货时须提供相关资格文件。</w:t>
      </w:r>
    </w:p>
    <w:p>
      <w:pPr>
        <w:widowControl w:val="0"/>
        <w:numPr>
          <w:ilvl w:val="0"/>
          <w:numId w:val="9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如采购人需要，中标人需安排采购人及其代表对主要设备的运行进行实地考察，了解类似已运行工程中上述设备的安装及运行情况。</w:t>
      </w:r>
    </w:p>
    <w:p>
      <w:pPr>
        <w:widowControl w:val="0"/>
        <w:numPr>
          <w:ilvl w:val="0"/>
          <w:numId w:val="9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的设备应按本合同要求在制造厂检查和试验，以表明其运行性能以及设备、材料和结构的完整性。采购人有权派员参加工厂监造及验收。工厂验收应在设备制造厂进行了充分的检查、校正和试验之后实施。工厂验收合格仅表示采购人同意设备出厂运至使用现场，而非最终验收，中标人应提交设备的具体测试合格证书。采购人参加国内设备的工厂验收人数和时间由中标人提出，经采购人同意。中标人应根据设备制造进度，在工厂验收前一周向采购人发出工厂验收时间和安排。</w:t>
      </w:r>
    </w:p>
    <w:p>
      <w:pPr>
        <w:widowControl w:val="0"/>
        <w:numPr>
          <w:ilvl w:val="0"/>
          <w:numId w:val="9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在施工图设计阶段，中标人根据采购人要求组织召开设计联络会议。</w:t>
      </w:r>
    </w:p>
    <w:p>
      <w:pPr>
        <w:widowControl w:val="0"/>
        <w:numPr>
          <w:ilvl w:val="2"/>
          <w:numId w:val="93"/>
        </w:numPr>
        <w:autoSpaceDE w:val="0"/>
        <w:autoSpaceDN w:val="0"/>
        <w:ind w:left="0" w:firstLine="422" w:firstLineChars="200"/>
        <w:jc w:val="both"/>
        <w:outlineLvl w:val="2"/>
        <w:rPr>
          <w:rFonts w:ascii="宋体" w:hAnsi="宋体" w:cs="宋体"/>
          <w:b/>
          <w:color w:val="auto"/>
          <w:szCs w:val="21"/>
          <w:highlight w:val="none"/>
        </w:rPr>
      </w:pPr>
      <w:bookmarkStart w:id="623" w:name="_Toc145084956"/>
      <w:r>
        <w:rPr>
          <w:rFonts w:hint="eastAsia" w:ascii="宋体" w:hAnsi="宋体" w:cs="宋体"/>
          <w:b/>
          <w:color w:val="auto"/>
          <w:szCs w:val="21"/>
          <w:highlight w:val="none"/>
        </w:rPr>
        <w:t>设备的制造、运输、安装</w:t>
      </w:r>
      <w:bookmarkEnd w:id="623"/>
    </w:p>
    <w:p>
      <w:pPr>
        <w:widowControl w:val="0"/>
        <w:numPr>
          <w:ilvl w:val="0"/>
          <w:numId w:val="97"/>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计划与进度报告</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中标人在中标通知书发出后 7 个日历日内，应向采购人提交一份详细的工作计划，说明有关设备的制造、运输等具体进度日程。</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本工作计划应与规定的总进度相一致。</w:t>
      </w:r>
    </w:p>
    <w:p>
      <w:pPr>
        <w:widowControl w:val="0"/>
        <w:numPr>
          <w:ilvl w:val="0"/>
          <w:numId w:val="97"/>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设备制造中的检验与测试</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提供的所有设备和部件均由中标人及生产厂家用标准的测控仪器进行完整的检验和测试，并应提交给采购人产品制造质量合格证书以及检验和测试记录。上述质量合格证书应由中标人和生产厂家确认并签署，并须经采购人审查。有关检验和测试的所有费用由中标人承担。在设备产地进行的检验和测试不是对该设备的最后验收。</w:t>
      </w:r>
    </w:p>
    <w:p>
      <w:pPr>
        <w:widowControl w:val="0"/>
        <w:numPr>
          <w:ilvl w:val="0"/>
          <w:numId w:val="97"/>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包装、标志和运输</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产品启运前必须进行严格防腐、防损处理，包括防止害虫、暴晒、雨淋、霜冻、高温、潮湿、盐分和海水等造成的损害。</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凡设备上需油漆部分均需按规定进行处理，会腐蚀的、未油漆的部分需用经批准的保护剂全部涂抹，该保护剂在设备安装期间或在安装后应是易于抹去。</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另外，对所有设备应采取恰当的防腐、防损措施。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所有设备的包装须足以承受陆上和海上的运输、搬运和码头的露天存放。中标人应对包装的设备负责，使其达到目的地后完整无缺。</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所有包装箱上应正确地标注下列内容：</w:t>
      </w:r>
    </w:p>
    <w:p>
      <w:pPr>
        <w:widowControl w:val="0"/>
        <w:numPr>
          <w:ilvl w:val="0"/>
          <w:numId w:val="98"/>
        </w:numPr>
        <w:autoSpaceDE w:val="0"/>
        <w:autoSpaceDN w:val="0"/>
        <w:ind w:left="0" w:firstLine="840" w:firstLineChars="400"/>
        <w:jc w:val="both"/>
        <w:rPr>
          <w:rFonts w:ascii="宋体" w:hAnsi="宋体" w:cs="宋体"/>
          <w:color w:val="auto"/>
          <w:szCs w:val="21"/>
          <w:highlight w:val="none"/>
        </w:rPr>
      </w:pPr>
      <w:r>
        <w:rPr>
          <w:rFonts w:hint="eastAsia" w:ascii="宋体" w:hAnsi="宋体" w:cs="宋体"/>
          <w:color w:val="auto"/>
          <w:szCs w:val="21"/>
          <w:highlight w:val="none"/>
        </w:rPr>
        <w:t>合同号；</w:t>
      </w:r>
    </w:p>
    <w:p>
      <w:pPr>
        <w:widowControl w:val="0"/>
        <w:numPr>
          <w:ilvl w:val="0"/>
          <w:numId w:val="98"/>
        </w:numPr>
        <w:autoSpaceDE w:val="0"/>
        <w:autoSpaceDN w:val="0"/>
        <w:ind w:left="0" w:firstLine="840" w:firstLineChars="400"/>
        <w:jc w:val="both"/>
        <w:rPr>
          <w:rFonts w:ascii="宋体" w:hAnsi="宋体" w:cs="宋体"/>
          <w:color w:val="auto"/>
          <w:szCs w:val="21"/>
          <w:highlight w:val="none"/>
        </w:rPr>
      </w:pPr>
      <w:r>
        <w:rPr>
          <w:rFonts w:hint="eastAsia" w:ascii="宋体" w:hAnsi="宋体" w:cs="宋体"/>
          <w:color w:val="auto"/>
          <w:szCs w:val="21"/>
          <w:highlight w:val="none"/>
        </w:rPr>
        <w:t>设备及备件的名称、代号；</w:t>
      </w:r>
    </w:p>
    <w:p>
      <w:pPr>
        <w:widowControl w:val="0"/>
        <w:numPr>
          <w:ilvl w:val="0"/>
          <w:numId w:val="98"/>
        </w:numPr>
        <w:autoSpaceDE w:val="0"/>
        <w:autoSpaceDN w:val="0"/>
        <w:ind w:left="0" w:firstLine="840" w:firstLineChars="400"/>
        <w:jc w:val="both"/>
        <w:rPr>
          <w:rFonts w:ascii="宋体" w:hAnsi="宋体" w:cs="宋体"/>
          <w:color w:val="auto"/>
          <w:szCs w:val="21"/>
          <w:highlight w:val="none"/>
        </w:rPr>
      </w:pPr>
      <w:r>
        <w:rPr>
          <w:rFonts w:hint="eastAsia" w:ascii="宋体" w:hAnsi="宋体" w:cs="宋体"/>
          <w:color w:val="auto"/>
          <w:szCs w:val="21"/>
          <w:highlight w:val="none"/>
        </w:rPr>
        <w:t>设备安装构、建筑物名称；</w:t>
      </w:r>
    </w:p>
    <w:p>
      <w:pPr>
        <w:widowControl w:val="0"/>
        <w:numPr>
          <w:ilvl w:val="0"/>
          <w:numId w:val="98"/>
        </w:numPr>
        <w:autoSpaceDE w:val="0"/>
        <w:autoSpaceDN w:val="0"/>
        <w:ind w:left="0" w:firstLine="840" w:firstLineChars="400"/>
        <w:jc w:val="both"/>
        <w:rPr>
          <w:rFonts w:ascii="宋体" w:hAnsi="宋体" w:cs="宋体"/>
          <w:color w:val="auto"/>
          <w:szCs w:val="21"/>
          <w:highlight w:val="none"/>
        </w:rPr>
      </w:pPr>
      <w:r>
        <w:rPr>
          <w:rFonts w:hint="eastAsia" w:ascii="宋体" w:hAnsi="宋体" w:cs="宋体"/>
          <w:color w:val="auto"/>
          <w:szCs w:val="21"/>
          <w:highlight w:val="none"/>
        </w:rPr>
        <w:t>通用的商务标志。</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内有危险品或易碎物品的包装箱应按当地或国际惯例对待。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按照采购人的要求，中标人应随时告知设备的运输情况，在航寄给采购人的托运清单中应有质量合格证书和检测合格证。</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中标人应对设备运至现场的整个过程负责，包括保险、搬运和安全措施。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中标人对采购人不予接受的、遭到缺损的任何设备及附件，应立即运走，予以更换，并根据合同条款和保险公司谈判索赔事宜。</w:t>
      </w:r>
    </w:p>
    <w:p>
      <w:pPr>
        <w:widowControl w:val="0"/>
        <w:numPr>
          <w:ilvl w:val="0"/>
          <w:numId w:val="97"/>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安装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在安装工作开始前，中标人应向采购人提供安装等工作的说明书和标准。采购人、中标人及监理单位共同校核土建工程质量，并出具检测记录内容或报告，保证设备安装质量。</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按照现行行业标准进行设备设计及安装；采购人有明确品牌要求的材料及设备，中标单位必须按指定品牌采购，未经采购人同意擅自采购、使用的非指定品牌的，采购人有权要求中标人重新采购并返工，由此造成的经济及工期损失等由中标人承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中标人应对所有计量仪器、仪表（压力表、温度计、在线监测仪等）、安全附件（安全阀等），在安装前送到具有相应资质的当地检验单位检验，经检验合格并出具正规的检验报告之后才能安装。</w:t>
      </w:r>
    </w:p>
    <w:p>
      <w:pPr>
        <w:widowControl w:val="0"/>
        <w:numPr>
          <w:ilvl w:val="2"/>
          <w:numId w:val="93"/>
        </w:numPr>
        <w:autoSpaceDE w:val="0"/>
        <w:autoSpaceDN w:val="0"/>
        <w:ind w:left="0" w:firstLine="422" w:firstLineChars="200"/>
        <w:jc w:val="both"/>
        <w:outlineLvl w:val="2"/>
        <w:rPr>
          <w:rFonts w:ascii="宋体" w:hAnsi="宋体" w:cs="宋体"/>
          <w:b/>
          <w:color w:val="auto"/>
          <w:szCs w:val="21"/>
          <w:highlight w:val="none"/>
        </w:rPr>
      </w:pPr>
      <w:bookmarkStart w:id="624" w:name="_Toc145084957"/>
      <w:r>
        <w:rPr>
          <w:rFonts w:hint="eastAsia" w:ascii="宋体" w:hAnsi="宋体" w:cs="宋体"/>
          <w:b/>
          <w:color w:val="auto"/>
          <w:szCs w:val="21"/>
          <w:highlight w:val="none"/>
        </w:rPr>
        <w:t>设备安装、运行、维护手册</w:t>
      </w:r>
      <w:bookmarkEnd w:id="624"/>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中标人在设备交货的同时，应提供最终设备的全套中文版书面资料（含电子版）。所有单位和尺寸均应使用国际单位制。</w:t>
      </w:r>
    </w:p>
    <w:p>
      <w:pPr>
        <w:widowControl w:val="0"/>
        <w:numPr>
          <w:ilvl w:val="2"/>
          <w:numId w:val="93"/>
        </w:numPr>
        <w:autoSpaceDE w:val="0"/>
        <w:autoSpaceDN w:val="0"/>
        <w:ind w:left="0" w:firstLine="422" w:firstLineChars="200"/>
        <w:jc w:val="both"/>
        <w:outlineLvl w:val="2"/>
        <w:rPr>
          <w:rFonts w:ascii="宋体" w:hAnsi="宋体" w:cs="宋体"/>
          <w:b/>
          <w:color w:val="auto"/>
          <w:szCs w:val="21"/>
          <w:highlight w:val="none"/>
        </w:rPr>
      </w:pPr>
      <w:bookmarkStart w:id="625" w:name="_Toc145084958"/>
      <w:r>
        <w:rPr>
          <w:rFonts w:hint="eastAsia" w:ascii="宋体" w:hAnsi="宋体" w:cs="宋体"/>
          <w:b/>
          <w:color w:val="auto"/>
          <w:szCs w:val="21"/>
          <w:highlight w:val="none"/>
        </w:rPr>
        <w:t>工艺及设备运行操作手册</w:t>
      </w:r>
      <w:bookmarkEnd w:id="625"/>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在项目运行前应提交全套中文版各设备、装备的《操作说明手册》及岗位安全规程（含可编辑WORD电子版）。文件中所有单位和尺寸均应使用国际单位制。手册内容应包括但不限如下：各系统详设备操作指导、重要监控点指标、相关的设备参数、通常问题及处理措施、操作注意事项、设备维护保养说明，自动化仪表运行软件的详细操作说明，电气详细操作说明等相关技术文件。</w:t>
      </w:r>
    </w:p>
    <w:p>
      <w:pPr>
        <w:widowControl w:val="0"/>
        <w:numPr>
          <w:ilvl w:val="2"/>
          <w:numId w:val="93"/>
        </w:numPr>
        <w:autoSpaceDE w:val="0"/>
        <w:autoSpaceDN w:val="0"/>
        <w:ind w:left="0" w:firstLine="422" w:firstLineChars="200"/>
        <w:jc w:val="both"/>
        <w:outlineLvl w:val="2"/>
        <w:rPr>
          <w:rFonts w:ascii="宋体" w:hAnsi="宋体" w:cs="宋体"/>
          <w:b/>
          <w:color w:val="auto"/>
          <w:szCs w:val="21"/>
          <w:highlight w:val="none"/>
        </w:rPr>
      </w:pPr>
      <w:bookmarkStart w:id="626" w:name="_Toc145084959"/>
      <w:r>
        <w:rPr>
          <w:rFonts w:hint="eastAsia" w:ascii="宋体" w:hAnsi="宋体" w:cs="宋体"/>
          <w:b/>
          <w:color w:val="auto"/>
          <w:szCs w:val="21"/>
          <w:highlight w:val="none"/>
        </w:rPr>
        <w:t>工程验收</w:t>
      </w:r>
      <w:bookmarkEnd w:id="626"/>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中标人需根据采购人要求负责设备安装工程验收工作。工程验收分工程实物验收和</w:t>
      </w:r>
      <w:r>
        <w:rPr>
          <w:rFonts w:hint="eastAsia" w:ascii="宋体" w:hAnsi="宋体" w:cs="宋体"/>
          <w:color w:val="auto"/>
          <w:kern w:val="2"/>
          <w:szCs w:val="21"/>
          <w:highlight w:val="none"/>
        </w:rPr>
        <w:t>性能验收，工程实物验收包括工程资料、建筑工程、安装工程和消防、环保、劳动保护设施等工程验收。性能验收以运行检测为主，检测及考核其性能保证状况。</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中标人还需配合采购人与业主方对整体工程的竣工验收。</w:t>
      </w:r>
    </w:p>
    <w:p>
      <w:pPr>
        <w:widowControl w:val="0"/>
        <w:numPr>
          <w:ilvl w:val="1"/>
          <w:numId w:val="92"/>
        </w:numPr>
        <w:autoSpaceDE w:val="0"/>
        <w:autoSpaceDN w:val="0"/>
        <w:ind w:left="0" w:firstLine="602"/>
        <w:jc w:val="both"/>
        <w:outlineLvl w:val="1"/>
        <w:rPr>
          <w:rFonts w:ascii="宋体" w:hAnsi="宋体" w:cs="宋体"/>
          <w:b/>
          <w:color w:val="auto"/>
          <w:szCs w:val="21"/>
          <w:highlight w:val="none"/>
          <w:lang w:eastAsia="en-US"/>
        </w:rPr>
      </w:pPr>
      <w:bookmarkStart w:id="627" w:name="_Toc145084960"/>
      <w:r>
        <w:rPr>
          <w:rFonts w:hint="eastAsia" w:ascii="宋体" w:hAnsi="宋体" w:cs="宋体"/>
          <w:b/>
          <w:color w:val="auto"/>
          <w:szCs w:val="21"/>
          <w:highlight w:val="none"/>
        </w:rPr>
        <w:t>采购人</w:t>
      </w:r>
      <w:r>
        <w:rPr>
          <w:rFonts w:hint="eastAsia" w:ascii="宋体" w:hAnsi="宋体" w:cs="宋体"/>
          <w:b/>
          <w:color w:val="auto"/>
          <w:szCs w:val="21"/>
          <w:highlight w:val="none"/>
          <w:lang w:eastAsia="en-US"/>
        </w:rPr>
        <w:t>职责</w:t>
      </w:r>
      <w:bookmarkEnd w:id="627"/>
    </w:p>
    <w:p>
      <w:pPr>
        <w:widowControl w:val="0"/>
        <w:numPr>
          <w:ilvl w:val="2"/>
          <w:numId w:val="99"/>
        </w:numPr>
        <w:autoSpaceDE w:val="0"/>
        <w:autoSpaceDN w:val="0"/>
        <w:ind w:left="0" w:firstLine="422" w:firstLineChars="200"/>
        <w:jc w:val="both"/>
        <w:outlineLvl w:val="2"/>
        <w:rPr>
          <w:rFonts w:ascii="宋体" w:hAnsi="宋体" w:cs="宋体"/>
          <w:b/>
          <w:color w:val="auto"/>
          <w:szCs w:val="21"/>
          <w:highlight w:val="none"/>
        </w:rPr>
      </w:pPr>
      <w:bookmarkStart w:id="628" w:name="_Toc145084961"/>
      <w:r>
        <w:rPr>
          <w:rFonts w:hint="eastAsia" w:ascii="宋体" w:hAnsi="宋体" w:cs="宋体"/>
          <w:b/>
          <w:color w:val="auto"/>
          <w:szCs w:val="21"/>
          <w:highlight w:val="none"/>
        </w:rPr>
        <w:t>采购人的职责</w:t>
      </w:r>
      <w:bookmarkEnd w:id="628"/>
    </w:p>
    <w:p>
      <w:pPr>
        <w:widowControl w:val="0"/>
        <w:numPr>
          <w:ilvl w:val="0"/>
          <w:numId w:val="100"/>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采购人在履行合同过程中应遵守法律，并保证中标人免于承担因采购人违反法律而引起的任何责任。</w:t>
      </w:r>
    </w:p>
    <w:p>
      <w:pPr>
        <w:widowControl w:val="0"/>
        <w:numPr>
          <w:ilvl w:val="0"/>
          <w:numId w:val="100"/>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中标人办妥开工手续后发出开始工作通知。</w:t>
      </w:r>
    </w:p>
    <w:p>
      <w:pPr>
        <w:widowControl w:val="0"/>
        <w:numPr>
          <w:ilvl w:val="0"/>
          <w:numId w:val="100"/>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采购人应向中标人提供施工场地及进场施工条件，并明确与中标人的交接界面。</w:t>
      </w:r>
    </w:p>
    <w:p>
      <w:pPr>
        <w:widowControl w:val="0"/>
        <w:numPr>
          <w:ilvl w:val="0"/>
          <w:numId w:val="100"/>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合同价款由采购人支付给本次招标中标人。专用合同条款对采购人工程款支付担保有约定的，从其约定。</w:t>
      </w:r>
    </w:p>
    <w:p>
      <w:pPr>
        <w:widowControl w:val="0"/>
        <w:numPr>
          <w:ilvl w:val="0"/>
          <w:numId w:val="100"/>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采购人应履行合同约定的其他义务。</w:t>
      </w:r>
    </w:p>
    <w:p>
      <w:pPr>
        <w:widowControl w:val="0"/>
        <w:numPr>
          <w:ilvl w:val="2"/>
          <w:numId w:val="99"/>
        </w:numPr>
        <w:autoSpaceDE w:val="0"/>
        <w:autoSpaceDN w:val="0"/>
        <w:ind w:left="0" w:firstLine="422" w:firstLineChars="200"/>
        <w:jc w:val="both"/>
        <w:outlineLvl w:val="2"/>
        <w:rPr>
          <w:rFonts w:ascii="宋体" w:hAnsi="宋体" w:cs="宋体"/>
          <w:b/>
          <w:color w:val="auto"/>
          <w:szCs w:val="21"/>
          <w:highlight w:val="none"/>
        </w:rPr>
      </w:pPr>
      <w:bookmarkStart w:id="629" w:name="_Toc145084962"/>
      <w:r>
        <w:rPr>
          <w:rFonts w:hint="eastAsia" w:ascii="宋体" w:hAnsi="宋体" w:cs="宋体"/>
          <w:b/>
          <w:color w:val="auto"/>
          <w:szCs w:val="21"/>
          <w:highlight w:val="none"/>
        </w:rPr>
        <w:t>由采购人提供的材料</w:t>
      </w:r>
      <w:bookmarkEnd w:id="629"/>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除特别注明外，采购人不为本工程提供材料。</w:t>
      </w:r>
    </w:p>
    <w:p>
      <w:pPr>
        <w:widowControl w:val="0"/>
        <w:numPr>
          <w:ilvl w:val="2"/>
          <w:numId w:val="99"/>
        </w:numPr>
        <w:autoSpaceDE w:val="0"/>
        <w:autoSpaceDN w:val="0"/>
        <w:ind w:left="0" w:firstLine="422" w:firstLineChars="200"/>
        <w:jc w:val="both"/>
        <w:outlineLvl w:val="2"/>
        <w:rPr>
          <w:rFonts w:ascii="宋体" w:hAnsi="宋体" w:cs="宋体"/>
          <w:b/>
          <w:color w:val="auto"/>
          <w:szCs w:val="21"/>
          <w:highlight w:val="none"/>
        </w:rPr>
      </w:pPr>
      <w:bookmarkStart w:id="630" w:name="_Toc145084963"/>
      <w:r>
        <w:rPr>
          <w:rFonts w:hint="eastAsia" w:ascii="宋体" w:hAnsi="宋体" w:cs="宋体"/>
          <w:b/>
          <w:color w:val="auto"/>
          <w:szCs w:val="21"/>
          <w:highlight w:val="none"/>
        </w:rPr>
        <w:t>采购人提供的技术文件</w:t>
      </w:r>
      <w:bookmarkEnd w:id="630"/>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除另有批准外，中标人的工作需要遵照采购人的下列技术文件：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1.项目的前期批文；</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2.前期设计资料。</w:t>
      </w:r>
    </w:p>
    <w:p>
      <w:pPr>
        <w:widowControl w:val="0"/>
        <w:numPr>
          <w:ilvl w:val="1"/>
          <w:numId w:val="92"/>
        </w:numPr>
        <w:autoSpaceDE w:val="0"/>
        <w:autoSpaceDN w:val="0"/>
        <w:ind w:left="0" w:firstLine="602"/>
        <w:jc w:val="both"/>
        <w:outlineLvl w:val="1"/>
        <w:rPr>
          <w:rFonts w:ascii="宋体" w:hAnsi="宋体" w:cs="宋体"/>
          <w:b/>
          <w:color w:val="auto"/>
          <w:szCs w:val="21"/>
          <w:highlight w:val="none"/>
        </w:rPr>
      </w:pPr>
      <w:bookmarkStart w:id="631" w:name="_Toc145084964"/>
      <w:r>
        <w:rPr>
          <w:rFonts w:hint="eastAsia" w:ascii="宋体" w:hAnsi="宋体" w:cs="宋体"/>
          <w:b/>
          <w:color w:val="auto"/>
          <w:szCs w:val="21"/>
          <w:highlight w:val="none"/>
        </w:rPr>
        <w:t>边界条件</w:t>
      </w:r>
      <w:bookmarkEnd w:id="631"/>
    </w:p>
    <w:tbl>
      <w:tblPr>
        <w:tblStyle w:val="34"/>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832"/>
        <w:gridCol w:w="1207"/>
        <w:gridCol w:w="3983"/>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643" w:type="dxa"/>
            <w:vAlign w:val="center"/>
          </w:tcPr>
          <w:p>
            <w:pPr>
              <w:widowControl w:val="0"/>
              <w:autoSpaceDE w:val="0"/>
              <w:autoSpaceDN w:val="0"/>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序号</w:t>
            </w:r>
          </w:p>
        </w:tc>
        <w:tc>
          <w:tcPr>
            <w:tcW w:w="2039" w:type="dxa"/>
            <w:gridSpan w:val="2"/>
            <w:vAlign w:val="center"/>
          </w:tcPr>
          <w:p>
            <w:pPr>
              <w:widowControl w:val="0"/>
              <w:autoSpaceDE w:val="0"/>
              <w:autoSpaceDN w:val="0"/>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边界条件</w:t>
            </w:r>
          </w:p>
        </w:tc>
        <w:tc>
          <w:tcPr>
            <w:tcW w:w="3983" w:type="dxa"/>
            <w:vAlign w:val="center"/>
          </w:tcPr>
          <w:p>
            <w:pPr>
              <w:widowControl w:val="0"/>
              <w:autoSpaceDE w:val="0"/>
              <w:autoSpaceDN w:val="0"/>
              <w:jc w:val="center"/>
              <w:rPr>
                <w:rFonts w:ascii="宋体" w:hAnsi="宋体" w:cs="宋体"/>
                <w:b/>
                <w:bCs/>
                <w:color w:val="auto"/>
                <w:szCs w:val="21"/>
                <w:highlight w:val="none"/>
              </w:rPr>
            </w:pPr>
            <w:r>
              <w:rPr>
                <w:rFonts w:hint="eastAsia" w:ascii="宋体" w:hAnsi="宋体" w:cs="宋体"/>
                <w:b/>
                <w:bCs/>
                <w:color w:val="auto"/>
                <w:szCs w:val="21"/>
                <w:highlight w:val="none"/>
              </w:rPr>
              <w:t>边界点(所有界区能源均需考虑计量)</w:t>
            </w:r>
          </w:p>
        </w:tc>
        <w:tc>
          <w:tcPr>
            <w:tcW w:w="1854" w:type="dxa"/>
            <w:vAlign w:val="center"/>
          </w:tcPr>
          <w:p>
            <w:pPr>
              <w:widowControl w:val="0"/>
              <w:autoSpaceDE w:val="0"/>
              <w:autoSpaceDN w:val="0"/>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3" w:type="dxa"/>
            <w:vMerge w:val="restart"/>
            <w:vAlign w:val="center"/>
          </w:tcPr>
          <w:p>
            <w:pPr>
              <w:widowControl w:val="0"/>
              <w:autoSpaceDE w:val="0"/>
              <w:autoSpaceDN w:val="0"/>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p>
        </w:tc>
        <w:tc>
          <w:tcPr>
            <w:tcW w:w="832" w:type="dxa"/>
            <w:vMerge w:val="restart"/>
            <w:vAlign w:val="center"/>
          </w:tcPr>
          <w:p>
            <w:pPr>
              <w:widowControl w:val="0"/>
              <w:autoSpaceDE w:val="0"/>
              <w:autoSpaceDN w:val="0"/>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投入</w:t>
            </w:r>
            <w:r>
              <w:rPr>
                <w:rFonts w:hint="eastAsia" w:ascii="宋体" w:hAnsi="宋体" w:cs="宋体"/>
                <w:color w:val="auto"/>
                <w:szCs w:val="21"/>
                <w:highlight w:val="none"/>
              </w:rPr>
              <w:t>接口</w:t>
            </w:r>
          </w:p>
        </w:tc>
        <w:tc>
          <w:tcPr>
            <w:tcW w:w="1207" w:type="dxa"/>
            <w:vAlign w:val="center"/>
          </w:tcPr>
          <w:p>
            <w:pPr>
              <w:widowControl w:val="0"/>
              <w:autoSpaceDE w:val="0"/>
              <w:autoSpaceDN w:val="0"/>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自来水</w:t>
            </w:r>
          </w:p>
        </w:tc>
        <w:tc>
          <w:tcPr>
            <w:tcW w:w="3983" w:type="dxa"/>
            <w:vAlign w:val="center"/>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由中标人提资，采购人接至厨余车间1m范围内。</w:t>
            </w:r>
          </w:p>
        </w:tc>
        <w:tc>
          <w:tcPr>
            <w:tcW w:w="1854"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生产用水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3" w:type="dxa"/>
            <w:vMerge w:val="continue"/>
            <w:vAlign w:val="center"/>
          </w:tcPr>
          <w:p>
            <w:pPr>
              <w:widowControl w:val="0"/>
              <w:autoSpaceDE w:val="0"/>
              <w:autoSpaceDN w:val="0"/>
              <w:jc w:val="center"/>
              <w:rPr>
                <w:rFonts w:ascii="宋体" w:hAnsi="宋体" w:cs="宋体"/>
                <w:color w:val="auto"/>
                <w:szCs w:val="21"/>
                <w:highlight w:val="none"/>
                <w:lang w:eastAsia="en-US"/>
              </w:rPr>
            </w:pPr>
          </w:p>
        </w:tc>
        <w:tc>
          <w:tcPr>
            <w:tcW w:w="832" w:type="dxa"/>
            <w:vMerge w:val="continue"/>
            <w:vAlign w:val="center"/>
          </w:tcPr>
          <w:p>
            <w:pPr>
              <w:widowControl w:val="0"/>
              <w:autoSpaceDE w:val="0"/>
              <w:autoSpaceDN w:val="0"/>
              <w:jc w:val="center"/>
              <w:rPr>
                <w:rFonts w:ascii="宋体" w:hAnsi="宋体" w:cs="宋体"/>
                <w:color w:val="auto"/>
                <w:szCs w:val="21"/>
                <w:highlight w:val="none"/>
                <w:lang w:eastAsia="en-US"/>
              </w:rPr>
            </w:pPr>
          </w:p>
        </w:tc>
        <w:tc>
          <w:tcPr>
            <w:tcW w:w="1207"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供电</w:t>
            </w:r>
          </w:p>
        </w:tc>
        <w:tc>
          <w:tcPr>
            <w:tcW w:w="3983" w:type="dxa"/>
            <w:vAlign w:val="center"/>
          </w:tcPr>
          <w:p>
            <w:pPr>
              <w:widowControl w:val="0"/>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供电电压为380V，采购人提供配电接入点，中标人应考虑设备端接入配电柜/箱。未明确电气接驳点处，中标人应充分考虑设备使用，配套完善相应供电要求。</w:t>
            </w:r>
          </w:p>
        </w:tc>
        <w:tc>
          <w:tcPr>
            <w:tcW w:w="1854" w:type="dxa"/>
            <w:vAlign w:val="center"/>
          </w:tcPr>
          <w:p>
            <w:pPr>
              <w:widowControl w:val="0"/>
              <w:autoSpaceDE w:val="0"/>
              <w:autoSpaceDN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3"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2</w:t>
            </w:r>
          </w:p>
        </w:tc>
        <w:tc>
          <w:tcPr>
            <w:tcW w:w="832" w:type="dxa"/>
            <w:vAlign w:val="center"/>
          </w:tcPr>
          <w:p>
            <w:pPr>
              <w:widowControl w:val="0"/>
              <w:autoSpaceDE w:val="0"/>
              <w:autoSpaceDN w:val="0"/>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产出</w:t>
            </w:r>
            <w:r>
              <w:rPr>
                <w:rFonts w:hint="eastAsia" w:ascii="宋体" w:hAnsi="宋体" w:cs="宋体"/>
                <w:color w:val="auto"/>
                <w:szCs w:val="21"/>
                <w:highlight w:val="none"/>
              </w:rPr>
              <w:t>接口</w:t>
            </w:r>
          </w:p>
        </w:tc>
        <w:tc>
          <w:tcPr>
            <w:tcW w:w="1207"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污水</w:t>
            </w:r>
          </w:p>
        </w:tc>
        <w:tc>
          <w:tcPr>
            <w:tcW w:w="3983" w:type="dxa"/>
            <w:vAlign w:val="center"/>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装置生产过程中产生的污水，由中标人提供的污水中转箱存储。</w:t>
            </w:r>
          </w:p>
        </w:tc>
        <w:tc>
          <w:tcPr>
            <w:tcW w:w="1854" w:type="dxa"/>
            <w:vAlign w:val="center"/>
          </w:tcPr>
          <w:p>
            <w:pPr>
              <w:widowControl w:val="0"/>
              <w:autoSpaceDE w:val="0"/>
              <w:autoSpaceDN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3" w:type="dxa"/>
            <w:vMerge w:val="restart"/>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3</w:t>
            </w:r>
          </w:p>
        </w:tc>
        <w:tc>
          <w:tcPr>
            <w:tcW w:w="832" w:type="dxa"/>
            <w:vMerge w:val="restart"/>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土建</w:t>
            </w:r>
          </w:p>
        </w:tc>
        <w:tc>
          <w:tcPr>
            <w:tcW w:w="1207"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土建</w:t>
            </w:r>
          </w:p>
        </w:tc>
        <w:tc>
          <w:tcPr>
            <w:tcW w:w="3983" w:type="dxa"/>
            <w:vAlign w:val="center"/>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中标人负责一次预埋件提资，并对预埋件的施工安装进行现场指导和检查验收。</w:t>
            </w:r>
          </w:p>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对于地脚螺栓等非预埋的施工，其二次灌浆的土建施工由中标人负责。</w:t>
            </w:r>
          </w:p>
        </w:tc>
        <w:tc>
          <w:tcPr>
            <w:tcW w:w="1854" w:type="dxa"/>
            <w:vAlign w:val="center"/>
          </w:tcPr>
          <w:p>
            <w:pPr>
              <w:widowControl w:val="0"/>
              <w:autoSpaceDE w:val="0"/>
              <w:autoSpaceDN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3" w:type="dxa"/>
            <w:vMerge w:val="continue"/>
            <w:vAlign w:val="center"/>
          </w:tcPr>
          <w:p>
            <w:pPr>
              <w:widowControl w:val="0"/>
              <w:autoSpaceDE w:val="0"/>
              <w:autoSpaceDN w:val="0"/>
              <w:jc w:val="center"/>
              <w:rPr>
                <w:rFonts w:ascii="宋体" w:hAnsi="宋体" w:cs="宋体"/>
                <w:color w:val="auto"/>
                <w:szCs w:val="21"/>
                <w:highlight w:val="none"/>
              </w:rPr>
            </w:pPr>
          </w:p>
        </w:tc>
        <w:tc>
          <w:tcPr>
            <w:tcW w:w="832" w:type="dxa"/>
            <w:vMerge w:val="continue"/>
            <w:vAlign w:val="center"/>
          </w:tcPr>
          <w:p>
            <w:pPr>
              <w:widowControl w:val="0"/>
              <w:autoSpaceDE w:val="0"/>
              <w:autoSpaceDN w:val="0"/>
              <w:jc w:val="center"/>
              <w:rPr>
                <w:rFonts w:ascii="宋体" w:hAnsi="宋体" w:cs="宋体"/>
                <w:color w:val="auto"/>
                <w:szCs w:val="21"/>
                <w:highlight w:val="none"/>
              </w:rPr>
            </w:pPr>
          </w:p>
        </w:tc>
        <w:tc>
          <w:tcPr>
            <w:tcW w:w="1207"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消防</w:t>
            </w:r>
          </w:p>
        </w:tc>
        <w:tc>
          <w:tcPr>
            <w:tcW w:w="3983" w:type="dxa"/>
            <w:vAlign w:val="center"/>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消防设施的土建不在本次招标范围内。如存在设备消防，中标人应按照有关标准和规范进行配置相关设施。</w:t>
            </w:r>
          </w:p>
        </w:tc>
        <w:tc>
          <w:tcPr>
            <w:tcW w:w="1854" w:type="dxa"/>
            <w:vAlign w:val="center"/>
          </w:tcPr>
          <w:p>
            <w:pPr>
              <w:widowControl w:val="0"/>
              <w:autoSpaceDE w:val="0"/>
              <w:autoSpaceDN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3" w:type="dxa"/>
            <w:vMerge w:val="continue"/>
            <w:vAlign w:val="center"/>
          </w:tcPr>
          <w:p>
            <w:pPr>
              <w:widowControl w:val="0"/>
              <w:autoSpaceDE w:val="0"/>
              <w:autoSpaceDN w:val="0"/>
              <w:jc w:val="center"/>
              <w:rPr>
                <w:rFonts w:ascii="宋体" w:hAnsi="宋体" w:cs="宋体"/>
                <w:color w:val="auto"/>
                <w:szCs w:val="21"/>
                <w:highlight w:val="none"/>
              </w:rPr>
            </w:pPr>
          </w:p>
        </w:tc>
        <w:tc>
          <w:tcPr>
            <w:tcW w:w="832" w:type="dxa"/>
            <w:vMerge w:val="continue"/>
            <w:vAlign w:val="center"/>
          </w:tcPr>
          <w:p>
            <w:pPr>
              <w:widowControl w:val="0"/>
              <w:autoSpaceDE w:val="0"/>
              <w:autoSpaceDN w:val="0"/>
              <w:jc w:val="center"/>
              <w:rPr>
                <w:rFonts w:ascii="宋体" w:hAnsi="宋体" w:cs="宋体"/>
                <w:color w:val="auto"/>
                <w:szCs w:val="21"/>
                <w:highlight w:val="none"/>
              </w:rPr>
            </w:pPr>
          </w:p>
        </w:tc>
        <w:tc>
          <w:tcPr>
            <w:tcW w:w="1207"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建筑、装修</w:t>
            </w:r>
          </w:p>
        </w:tc>
        <w:tc>
          <w:tcPr>
            <w:tcW w:w="3983" w:type="dxa"/>
            <w:vAlign w:val="center"/>
          </w:tcPr>
          <w:p>
            <w:pPr>
              <w:widowControl w:val="0"/>
              <w:autoSpaceDE w:val="0"/>
              <w:autoSpaceDN w:val="0"/>
              <w:ind w:firstLine="420" w:firstLineChars="200"/>
              <w:rPr>
                <w:rFonts w:ascii="宋体" w:hAnsi="宋体" w:cs="宋体"/>
                <w:color w:val="auto"/>
                <w:szCs w:val="21"/>
                <w:highlight w:val="none"/>
              </w:rPr>
            </w:pPr>
            <w:r>
              <w:rPr>
                <w:rFonts w:hint="eastAsia" w:ascii="宋体" w:hAnsi="宋体" w:cs="宋体"/>
                <w:color w:val="auto"/>
                <w:szCs w:val="21"/>
                <w:highlight w:val="none"/>
              </w:rPr>
              <w:t>建筑物、装修不在本标范围内。但因设备安装过程中在建构筑物上的开孔、植筋（栓）连接、破除等工程的修复施工由中标人负责，并恢复原貌。</w:t>
            </w:r>
          </w:p>
        </w:tc>
        <w:tc>
          <w:tcPr>
            <w:tcW w:w="1854" w:type="dxa"/>
            <w:vAlign w:val="center"/>
          </w:tcPr>
          <w:p>
            <w:pPr>
              <w:widowControl w:val="0"/>
              <w:autoSpaceDE w:val="0"/>
              <w:autoSpaceDN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643" w:type="dxa"/>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4</w:t>
            </w:r>
          </w:p>
        </w:tc>
        <w:tc>
          <w:tcPr>
            <w:tcW w:w="2039" w:type="dxa"/>
            <w:gridSpan w:val="2"/>
            <w:vAlign w:val="center"/>
          </w:tcPr>
          <w:p>
            <w:pPr>
              <w:widowControl w:val="0"/>
              <w:autoSpaceDE w:val="0"/>
              <w:autoSpaceDN w:val="0"/>
              <w:jc w:val="center"/>
              <w:rPr>
                <w:rFonts w:ascii="宋体" w:hAnsi="宋体" w:cs="宋体"/>
                <w:color w:val="auto"/>
                <w:szCs w:val="21"/>
                <w:highlight w:val="none"/>
              </w:rPr>
            </w:pPr>
            <w:r>
              <w:rPr>
                <w:rFonts w:hint="eastAsia" w:ascii="宋体" w:hAnsi="宋体" w:cs="宋体"/>
                <w:color w:val="auto"/>
                <w:szCs w:val="21"/>
                <w:highlight w:val="none"/>
              </w:rPr>
              <w:t>通讯接口及要求</w:t>
            </w:r>
          </w:p>
        </w:tc>
        <w:tc>
          <w:tcPr>
            <w:tcW w:w="3983" w:type="dxa"/>
            <w:vAlign w:val="center"/>
          </w:tcPr>
          <w:p>
            <w:pPr>
              <w:widowControl w:val="0"/>
              <w:autoSpaceDE w:val="0"/>
              <w:autoSpaceDN w:val="0"/>
              <w:rPr>
                <w:rFonts w:ascii="宋体" w:hAnsi="宋体" w:cs="宋体"/>
                <w:color w:val="auto"/>
                <w:szCs w:val="21"/>
                <w:highlight w:val="none"/>
              </w:rPr>
            </w:pPr>
            <w:r>
              <w:rPr>
                <w:rFonts w:hint="eastAsia" w:ascii="宋体" w:hAnsi="宋体" w:cs="宋体"/>
                <w:color w:val="auto"/>
                <w:szCs w:val="21"/>
                <w:highlight w:val="none"/>
              </w:rPr>
              <w:t>控制系统中标人提供工艺控制数据地址列表，采用以太网的方式，通讯协议为profinet。将网络介质敷设至中控室并接入压缩转运系统网络，提供工艺流程图并协助中控系统安装单位完成调试。</w:t>
            </w:r>
          </w:p>
        </w:tc>
        <w:tc>
          <w:tcPr>
            <w:tcW w:w="1854" w:type="dxa"/>
            <w:vAlign w:val="center"/>
          </w:tcPr>
          <w:p>
            <w:pPr>
              <w:widowControl w:val="0"/>
              <w:autoSpaceDE w:val="0"/>
              <w:autoSpaceDN w:val="0"/>
              <w:rPr>
                <w:rFonts w:ascii="宋体" w:hAnsi="宋体" w:cs="宋体"/>
                <w:color w:val="auto"/>
                <w:szCs w:val="21"/>
                <w:highlight w:val="none"/>
              </w:rPr>
            </w:pPr>
          </w:p>
        </w:tc>
      </w:tr>
    </w:tbl>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jc w:val="both"/>
        <w:outlineLvl w:val="0"/>
        <w:rPr>
          <w:rFonts w:ascii="宋体" w:hAnsi="宋体" w:cs="宋体"/>
          <w:b/>
          <w:color w:val="auto"/>
          <w:szCs w:val="21"/>
          <w:highlight w:val="none"/>
          <w:lang w:eastAsia="en-US"/>
        </w:rPr>
      </w:pPr>
      <w:bookmarkStart w:id="632" w:name="_Toc145084965"/>
      <w:r>
        <w:rPr>
          <w:rFonts w:hint="eastAsia" w:ascii="宋体" w:hAnsi="宋体" w:cs="宋体"/>
          <w:b/>
          <w:color w:val="auto"/>
          <w:szCs w:val="21"/>
          <w:highlight w:val="none"/>
          <w:lang w:eastAsia="en-US"/>
        </w:rPr>
        <w:t>五、设计条件和要求</w:t>
      </w:r>
      <w:bookmarkEnd w:id="632"/>
    </w:p>
    <w:p>
      <w:pPr>
        <w:widowControl w:val="0"/>
        <w:numPr>
          <w:ilvl w:val="1"/>
          <w:numId w:val="101"/>
        </w:numPr>
        <w:autoSpaceDE w:val="0"/>
        <w:autoSpaceDN w:val="0"/>
        <w:ind w:left="-602" w:firstLine="602"/>
        <w:jc w:val="both"/>
        <w:outlineLvl w:val="1"/>
        <w:rPr>
          <w:rFonts w:ascii="宋体" w:hAnsi="宋体" w:cs="宋体"/>
          <w:b/>
          <w:color w:val="auto"/>
          <w:szCs w:val="21"/>
          <w:highlight w:val="none"/>
          <w:lang w:eastAsia="en-US"/>
        </w:rPr>
      </w:pPr>
      <w:bookmarkStart w:id="633" w:name="_Toc145084966"/>
      <w:r>
        <w:rPr>
          <w:rFonts w:hint="eastAsia" w:ascii="宋体" w:hAnsi="宋体" w:cs="宋体"/>
          <w:b/>
          <w:color w:val="auto"/>
          <w:szCs w:val="21"/>
          <w:highlight w:val="none"/>
          <w:lang w:eastAsia="en-US"/>
        </w:rPr>
        <w:t>本项目标准及规范</w:t>
      </w:r>
      <w:bookmarkEnd w:id="633"/>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招标项目的材料、设备、施工、验收须达到现行中华人民共和国以及省、自治区、直辖市或行业的工程建设标准、规范的要求。以下是主要应用的相关法规、标准和规定（包括但不限于；以下规范如有最新版本，则须以最新版本为准，下同。）：</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《餐厨垃圾处理技术规范》（CJJ184-2012）</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《工业企业总平面设计规范》（GB50187-2012）</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《建筑抗震设计规范》（GB50011-2010）</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《构筑物抗震设计规范》（GB50191-2012）</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《混凝土结构设计规范》（GB50010-2010）</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《砌体结构设计规范》（GB50003-2011）</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《建筑地基基础设计规范》（GB50007-2011）</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《民用建筑隔声设计规范》（GBJ118-2010）</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《防洪标准》（GB50201-94）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《建筑设计防火规范》（GB50016-2010）</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《建筑灭火器配置设计规范》（GB50140-2005）</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《建筑地面设计规范》（GB50037-96）</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《设备及管道绝热设计导则》（GB/T8175-2008）</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《民用建筑设计通则》（GB50352-2005）</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《民用建筑电气设计规范》（JGJ16-2008）</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《供电系统设计规范》（GB50052-2009）</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《低压配电设计规范》（GB50054-2011）</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《电力装置的继电保护和自动装置设计规范》（GB/T50062--2008）</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《工业建筑防腐蚀设计规范》（GB50046-2008）</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《工业循环冷却水设计规范》（GB/T50102-2003）</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《采暖通风与空气调节设计规范》（GB50019-2003）</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《工业企业设计卫生标准》（GBZ1-2002）</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《建筑采光设计标准》（GB50033-2013）</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《工业金属管道设计规范(2008年版)》GB50316-2000</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《城市环境卫生设施设置标准》（CJJ27-2005）</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《环境空气质量标准》（GB3095-2012）</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《大气污染物综合排放标准》（GB16297-2004）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《恶臭污染物控制标准》（GB14554-93）</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《声环境质量标准》（GB3096-2008）</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《工业企业厂界噪声标准》（GB12348-2008）</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《工业企业噪声控制设计规范》（GBJ87-85）</w:t>
      </w:r>
    </w:p>
    <w:p>
      <w:pPr>
        <w:widowControl w:val="0"/>
        <w:autoSpaceDE w:val="0"/>
        <w:autoSpaceDN w:val="0"/>
        <w:adjustRightInd/>
        <w:snapToGrid/>
        <w:ind w:firstLine="422" w:firstLineChars="200"/>
        <w:jc w:val="both"/>
        <w:rPr>
          <w:rFonts w:ascii="宋体" w:hAnsi="宋体" w:cs="宋体"/>
          <w:b/>
          <w:bCs/>
          <w:color w:val="auto"/>
          <w:szCs w:val="21"/>
          <w:highlight w:val="none"/>
        </w:rPr>
      </w:pPr>
      <w:bookmarkStart w:id="634" w:name="_Toc145083779"/>
      <w:r>
        <w:rPr>
          <w:rFonts w:hint="eastAsia" w:ascii="宋体" w:hAnsi="宋体" w:cs="宋体"/>
          <w:b/>
          <w:bCs/>
          <w:color w:val="auto"/>
          <w:szCs w:val="21"/>
          <w:highlight w:val="none"/>
        </w:rPr>
        <w:t>5.1.1 总体要求</w:t>
      </w:r>
      <w:bookmarkEnd w:id="634"/>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根据项目设计要求，配套一套规模不小于60吨/日的厨余垃圾预处理系统。主要处理对象为厨余垃圾与餐厨垃圾。系统年运行时长365天。主设备使用年限不少于10年。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（1）处理工艺中要具有一定的抗冲击负荷能力。系统设计处理能需考虑至少10%的设计余量，确保在波动范围内均能满足考核指标的要求。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区域内所有设备颜色采用设备厂家本色，所有材料材质根据介质和环境考虑必要的防腐措施和使用温度，除本协议指定的不锈钢材质外，一切钢结构、各类型材、支架、座架、管托、埋件、非标金属件等金属裸漏部分必须进行标准防腐或采用304不锈钢材质。油漆防腐要求为环氧富锌底漆1道、面漆1道，漆膜总厚度不小于100um，油漆品牌用佐敦或同等品牌。</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（3）破碎机、制浆除杂机、泵、螺旋机、螺旋压榨机、罐体、罐体搅拌机、三相离心机、仪表、阀门等核心设备必须符合工艺、温度要求和国家标准；特种设备及特殊材料必须有质检报告及材质报告书。</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（4）所有泵进出口有阀门控制，出口带软连接。单独设备可通过手动阀与系统切断，进而单体设备可实现检修。</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（5）主要工艺设备设计使用年限不低于10年。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（6）设备运行稳定、故障率低、便于操作、检修方便、易于拆卸、更换修理。</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（7）区域内的所有介质管道要有介质和流向标示，室外放置的设备要有相应的防雨防台风的措施；有操作或检修要求的设备配备相应的操作平台，便于后期运行操作及维护。</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（8）管道、电缆、阀门、仪器、仪表等及辅材的采购需考虑使用温度并满足国家相应标准规范、设计要求。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（9）施工及调试期间的水、电、蒸汽、药剂等费用及采购人的调试人工费由采购人负责。</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（10）所有液体储罐要有液位计，二次仪表显示的功能。</w:t>
      </w:r>
    </w:p>
    <w:p>
      <w:pPr>
        <w:widowControl w:val="0"/>
        <w:numPr>
          <w:ilvl w:val="1"/>
          <w:numId w:val="101"/>
        </w:numPr>
        <w:autoSpaceDE w:val="0"/>
        <w:autoSpaceDN w:val="0"/>
        <w:ind w:left="-602" w:firstLine="602"/>
        <w:jc w:val="both"/>
        <w:outlineLvl w:val="1"/>
        <w:rPr>
          <w:rFonts w:ascii="宋体" w:hAnsi="宋体" w:cs="宋体"/>
          <w:b/>
          <w:color w:val="auto"/>
          <w:szCs w:val="21"/>
          <w:highlight w:val="none"/>
          <w:lang w:eastAsia="en-US"/>
        </w:rPr>
      </w:pPr>
      <w:bookmarkStart w:id="635" w:name="_Toc145084967"/>
      <w:r>
        <w:rPr>
          <w:rFonts w:hint="eastAsia" w:ascii="宋体" w:hAnsi="宋体" w:cs="宋体"/>
          <w:b/>
          <w:color w:val="auto"/>
          <w:szCs w:val="21"/>
          <w:highlight w:val="none"/>
          <w:lang w:eastAsia="en-US"/>
        </w:rPr>
        <w:t>设计</w:t>
      </w:r>
      <w:r>
        <w:rPr>
          <w:rFonts w:hint="eastAsia" w:ascii="宋体" w:hAnsi="宋体" w:cs="宋体"/>
          <w:b/>
          <w:color w:val="auto"/>
          <w:szCs w:val="21"/>
          <w:highlight w:val="none"/>
        </w:rPr>
        <w:t>处理</w:t>
      </w:r>
      <w:r>
        <w:rPr>
          <w:rFonts w:hint="eastAsia" w:ascii="宋体" w:hAnsi="宋体" w:cs="宋体"/>
          <w:b/>
          <w:color w:val="auto"/>
          <w:szCs w:val="21"/>
          <w:highlight w:val="none"/>
          <w:lang w:eastAsia="en-US"/>
        </w:rPr>
        <w:t>能力</w:t>
      </w:r>
      <w:r>
        <w:rPr>
          <w:rFonts w:hint="eastAsia" w:ascii="宋体" w:hAnsi="宋体" w:cs="宋体"/>
          <w:b/>
          <w:color w:val="auto"/>
          <w:szCs w:val="21"/>
          <w:highlight w:val="none"/>
        </w:rPr>
        <w:t>与参数</w:t>
      </w:r>
      <w:bookmarkEnd w:id="635"/>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根据项目设计要求，配套一套规模不小于60吨/日的厨余垃圾处理系统。主要处理对象为厨余垃圾与餐厨垃圾。系统年运行时长365天。主设备使用年限不少于10年。</w:t>
      </w:r>
    </w:p>
    <w:p>
      <w:pPr>
        <w:widowControl w:val="0"/>
        <w:autoSpaceDE w:val="0"/>
        <w:autoSpaceDN w:val="0"/>
        <w:adjustRightInd/>
        <w:snapToGrid/>
        <w:ind w:firstLine="211" w:firstLineChars="100"/>
        <w:jc w:val="both"/>
        <w:rPr>
          <w:rFonts w:ascii="宋体" w:hAnsi="宋体" w:cs="宋体"/>
          <w:b/>
          <w:color w:val="auto"/>
          <w:szCs w:val="21"/>
          <w:highlight w:val="none"/>
        </w:rPr>
      </w:pPr>
      <w:r>
        <w:rPr>
          <w:rFonts w:hint="eastAsia" w:ascii="宋体" w:hAnsi="宋体" w:cs="宋体"/>
          <w:b/>
          <w:color w:val="auto"/>
          <w:szCs w:val="21"/>
          <w:highlight w:val="none"/>
        </w:rPr>
        <w:t>5.2.1本项目的主要设计参数如下表所示：</w:t>
      </w:r>
    </w:p>
    <w:p>
      <w:pPr>
        <w:widowControl w:val="0"/>
        <w:autoSpaceDE w:val="0"/>
        <w:autoSpaceDN w:val="0"/>
        <w:adjustRightInd/>
        <w:snapToGrid/>
        <w:ind w:firstLine="420" w:firstLineChars="200"/>
        <w:jc w:val="center"/>
        <w:rPr>
          <w:rFonts w:ascii="宋体" w:hAnsi="宋体" w:cs="宋体"/>
          <w:color w:val="auto"/>
          <w:szCs w:val="21"/>
          <w:highlight w:val="none"/>
        </w:rPr>
      </w:pPr>
      <w:r>
        <w:rPr>
          <w:rFonts w:hint="eastAsia" w:ascii="宋体" w:hAnsi="宋体" w:cs="宋体"/>
          <w:color w:val="auto"/>
          <w:szCs w:val="21"/>
          <w:highlight w:val="none"/>
        </w:rPr>
        <w:t>表3-4   设计参数表</w:t>
      </w:r>
    </w:p>
    <w:tbl>
      <w:tblPr>
        <w:tblStyle w:val="34"/>
        <w:tblW w:w="8258" w:type="dxa"/>
        <w:tblInd w:w="209" w:type="dxa"/>
        <w:tblLayout w:type="fixed"/>
        <w:tblCellMar>
          <w:top w:w="0" w:type="dxa"/>
          <w:left w:w="108" w:type="dxa"/>
          <w:bottom w:w="0" w:type="dxa"/>
          <w:right w:w="108" w:type="dxa"/>
        </w:tblCellMar>
      </w:tblPr>
      <w:tblGrid>
        <w:gridCol w:w="718"/>
        <w:gridCol w:w="2962"/>
        <w:gridCol w:w="1720"/>
        <w:gridCol w:w="2858"/>
      </w:tblGrid>
      <w:tr>
        <w:tblPrEx>
          <w:tblLayout w:type="fixed"/>
          <w:tblCellMar>
            <w:top w:w="0" w:type="dxa"/>
            <w:left w:w="108" w:type="dxa"/>
            <w:bottom w:w="0" w:type="dxa"/>
            <w:right w:w="108" w:type="dxa"/>
          </w:tblCellMar>
        </w:tblPrEx>
        <w:trPr>
          <w:trHeight w:val="662" w:hRule="exact"/>
        </w:trPr>
        <w:tc>
          <w:tcPr>
            <w:tcW w:w="718"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序号</w:t>
            </w:r>
          </w:p>
        </w:tc>
        <w:tc>
          <w:tcPr>
            <w:tcW w:w="2962"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项目</w:t>
            </w:r>
          </w:p>
        </w:tc>
        <w:tc>
          <w:tcPr>
            <w:tcW w:w="1720"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参数</w:t>
            </w:r>
          </w:p>
        </w:tc>
        <w:tc>
          <w:tcPr>
            <w:tcW w:w="2858"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备注</w:t>
            </w:r>
          </w:p>
        </w:tc>
      </w:tr>
      <w:tr>
        <w:tblPrEx>
          <w:tblLayout w:type="fixed"/>
          <w:tblCellMar>
            <w:top w:w="0" w:type="dxa"/>
            <w:left w:w="108" w:type="dxa"/>
            <w:bottom w:w="0" w:type="dxa"/>
            <w:right w:w="108" w:type="dxa"/>
          </w:tblCellMar>
        </w:tblPrEx>
        <w:trPr>
          <w:trHeight w:val="449" w:hRule="exact"/>
        </w:trPr>
        <w:tc>
          <w:tcPr>
            <w:tcW w:w="718"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1</w:t>
            </w:r>
          </w:p>
        </w:tc>
        <w:tc>
          <w:tcPr>
            <w:tcW w:w="2962"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餐厨垃圾处理量</w:t>
            </w:r>
          </w:p>
        </w:tc>
        <w:tc>
          <w:tcPr>
            <w:tcW w:w="1720"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60 t/d</w:t>
            </w:r>
          </w:p>
        </w:tc>
        <w:tc>
          <w:tcPr>
            <w:tcW w:w="2858"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448" w:hRule="exact"/>
        </w:trPr>
        <w:tc>
          <w:tcPr>
            <w:tcW w:w="718"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2</w:t>
            </w:r>
          </w:p>
        </w:tc>
        <w:tc>
          <w:tcPr>
            <w:tcW w:w="2962"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餐厨垃圾含水率</w:t>
            </w:r>
          </w:p>
        </w:tc>
        <w:tc>
          <w:tcPr>
            <w:tcW w:w="1720"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约80%</w:t>
            </w:r>
          </w:p>
        </w:tc>
        <w:tc>
          <w:tcPr>
            <w:tcW w:w="2858"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占处理量的比重</w:t>
            </w:r>
          </w:p>
        </w:tc>
      </w:tr>
      <w:tr>
        <w:tblPrEx>
          <w:tblLayout w:type="fixed"/>
          <w:tblCellMar>
            <w:top w:w="0" w:type="dxa"/>
            <w:left w:w="108" w:type="dxa"/>
            <w:bottom w:w="0" w:type="dxa"/>
            <w:right w:w="108" w:type="dxa"/>
          </w:tblCellMar>
        </w:tblPrEx>
        <w:trPr>
          <w:trHeight w:val="400" w:hRule="exact"/>
        </w:trPr>
        <w:tc>
          <w:tcPr>
            <w:tcW w:w="718"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3</w:t>
            </w:r>
          </w:p>
        </w:tc>
        <w:tc>
          <w:tcPr>
            <w:tcW w:w="2962"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杂物含水率</w:t>
            </w:r>
          </w:p>
        </w:tc>
        <w:tc>
          <w:tcPr>
            <w:tcW w:w="1720"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小于75%</w:t>
            </w:r>
          </w:p>
        </w:tc>
        <w:tc>
          <w:tcPr>
            <w:tcW w:w="2858" w:type="dxa"/>
            <w:tcBorders>
              <w:top w:val="single" w:color="000000" w:sz="6" w:space="0"/>
              <w:left w:val="single" w:color="000000" w:sz="6" w:space="0"/>
              <w:bottom w:val="single" w:color="000000" w:sz="6" w:space="0"/>
              <w:right w:val="single" w:color="000000" w:sz="6" w:space="0"/>
              <w:tl2br w:val="nil"/>
              <w:tr2bl w:val="nil"/>
            </w:tcBorders>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占处理量的比重</w:t>
            </w:r>
          </w:p>
        </w:tc>
      </w:tr>
    </w:tbl>
    <w:p>
      <w:pPr>
        <w:widowControl w:val="0"/>
        <w:tabs>
          <w:tab w:val="center" w:pos="4153"/>
          <w:tab w:val="right" w:pos="8306"/>
        </w:tabs>
        <w:autoSpaceDE w:val="0"/>
        <w:autoSpaceDN w:val="0"/>
        <w:ind w:firstLine="420" w:firstLineChars="200"/>
        <w:jc w:val="both"/>
        <w:rPr>
          <w:rFonts w:ascii="宋体" w:hAnsi="宋体" w:cs="宋体"/>
          <w:color w:val="auto"/>
          <w:szCs w:val="21"/>
          <w:highlight w:val="none"/>
        </w:rPr>
      </w:pPr>
    </w:p>
    <w:p>
      <w:pPr>
        <w:widowControl w:val="0"/>
        <w:autoSpaceDE w:val="0"/>
        <w:autoSpaceDN w:val="0"/>
        <w:ind w:firstLine="602"/>
        <w:jc w:val="both"/>
        <w:outlineLvl w:val="1"/>
        <w:rPr>
          <w:rFonts w:ascii="宋体" w:hAnsi="宋体" w:cs="宋体"/>
          <w:b/>
          <w:color w:val="auto"/>
          <w:szCs w:val="21"/>
          <w:highlight w:val="none"/>
        </w:rPr>
      </w:pPr>
      <w:bookmarkStart w:id="636" w:name="_Toc18708"/>
      <w:bookmarkStart w:id="637" w:name="_Toc145084968"/>
      <w:r>
        <w:rPr>
          <w:rFonts w:hint="eastAsia" w:ascii="宋体" w:hAnsi="宋体" w:cs="宋体"/>
          <w:b/>
          <w:color w:val="auto"/>
          <w:szCs w:val="21"/>
          <w:highlight w:val="none"/>
        </w:rPr>
        <w:t>5.3工艺</w:t>
      </w:r>
      <w:bookmarkEnd w:id="636"/>
      <w:r>
        <w:rPr>
          <w:rFonts w:hint="eastAsia" w:ascii="宋体" w:hAnsi="宋体" w:cs="宋体"/>
          <w:b/>
          <w:color w:val="auto"/>
          <w:szCs w:val="21"/>
          <w:highlight w:val="none"/>
        </w:rPr>
        <w:t>流程</w:t>
      </w:r>
      <w:bookmarkEnd w:id="637"/>
    </w:p>
    <w:p>
      <w:pPr>
        <w:widowControl w:val="0"/>
        <w:autoSpaceDE w:val="0"/>
        <w:autoSpaceDN w:val="0"/>
        <w:adjustRightInd/>
        <w:snapToGrid/>
        <w:ind w:firstLine="420" w:firstLineChars="200"/>
        <w:jc w:val="both"/>
        <w:rPr>
          <w:rFonts w:ascii="宋体" w:hAnsi="宋体" w:cs="宋体"/>
          <w:color w:val="auto"/>
          <w:szCs w:val="21"/>
          <w:highlight w:val="none"/>
          <w:lang w:bidi="ar"/>
        </w:rPr>
      </w:pPr>
      <w:r>
        <w:rPr>
          <w:rFonts w:hint="eastAsia" w:ascii="宋体" w:hAnsi="宋体" w:cs="宋体"/>
          <w:color w:val="auto"/>
          <w:szCs w:val="21"/>
          <w:highlight w:val="none"/>
          <w:lang w:bidi="ar"/>
        </w:rPr>
        <w:t>工艺流程</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lang w:bidi="ar"/>
        </w:rPr>
        <w:t>厨余垃圾处理流程详见下图：</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br w:type="page"/>
      </w:r>
    </w:p>
    <w:p>
      <w:pPr>
        <w:widowControl w:val="0"/>
        <w:autoSpaceDE w:val="0"/>
        <w:autoSpaceDN w:val="0"/>
        <w:adjustRightInd/>
        <w:snapToGrid/>
        <w:ind w:firstLine="420" w:firstLineChars="200"/>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897120" cy="4407535"/>
            <wp:effectExtent l="0" t="0" r="0" b="0"/>
            <wp:docPr id="471399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99612"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98594" cy="4408446"/>
                    </a:xfrm>
                    <a:prstGeom prst="rect">
                      <a:avLst/>
                    </a:prstGeom>
                    <a:noFill/>
                  </pic:spPr>
                </pic:pic>
              </a:graphicData>
            </a:graphic>
          </wp:inline>
        </w:drawing>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工艺简介：</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本项目采用“</w:t>
      </w:r>
      <w:r>
        <w:rPr>
          <w:rFonts w:hint="eastAsia" w:ascii="宋体" w:hAnsi="宋体" w:cs="宋体"/>
          <w:b/>
          <w:color w:val="auto"/>
          <w:szCs w:val="21"/>
          <w:highlight w:val="none"/>
        </w:rPr>
        <w:t>破碎+制浆除杂机+压榨脱水+三相分离机（提油）</w:t>
      </w:r>
      <w:r>
        <w:rPr>
          <w:rFonts w:hint="eastAsia" w:ascii="宋体" w:hAnsi="宋体" w:cs="宋体"/>
          <w:color w:val="auto"/>
          <w:szCs w:val="21"/>
          <w:highlight w:val="none"/>
        </w:rPr>
        <w:t>”的处理工艺。厨余垃圾统一由环卫垃圾收集车送到处理站，经集料斗卸料后，经输送装置自动将垃圾输送至破碎机。无需人工倾倒，操作方便减少劳动量；</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厨余垃圾经过破碎后，物料进入制浆除杂机，可将不可降解垃圾自动挑出来，例如铁块、塑料袋等。经过制浆分选机处理后的物料进入后续工序；</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制浆除杂后的厨余垃圾通过压榨机进行压榨脱水处理，以降低含水率，最后通过螺旋提升装置进入有机料暂存箱待转运处理；</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接收料盘、破碎机、制浆除杂机、压榨脱水机处理过程中产出的污水通过存水池，采用蒸汽加热+三相分离机的方式进行多相分离，可分离出油、污水、杂物，其中油、污水通过暂存罐泵送的方式送到后续污水池和储油池，待进行后续污水处理以及油脂出售，杂物则通过螺旋输送方式进入有机料暂存箱和前端处理产生的物料一起转运处理。</w:t>
      </w:r>
    </w:p>
    <w:p>
      <w:pPr>
        <w:widowControl w:val="0"/>
        <w:autoSpaceDE w:val="0"/>
        <w:autoSpaceDN w:val="0"/>
        <w:jc w:val="both"/>
        <w:outlineLvl w:val="2"/>
        <w:rPr>
          <w:rFonts w:ascii="宋体" w:hAnsi="宋体" w:cs="宋体"/>
          <w:b/>
          <w:color w:val="auto"/>
          <w:szCs w:val="21"/>
          <w:highlight w:val="none"/>
        </w:rPr>
      </w:pPr>
      <w:bookmarkStart w:id="638" w:name="_Toc145084969"/>
      <w:r>
        <w:rPr>
          <w:rFonts w:hint="eastAsia" w:ascii="宋体" w:hAnsi="宋体" w:cs="宋体"/>
          <w:b/>
          <w:color w:val="auto"/>
          <w:szCs w:val="21"/>
          <w:highlight w:val="none"/>
        </w:rPr>
        <w:t>5.3.1性能保证及要求</w:t>
      </w:r>
      <w:bookmarkEnd w:id="638"/>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本项目完工验收合格后，派专职工程师各一名提供为期1个月的运营培训服务。</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jc w:val="both"/>
        <w:outlineLvl w:val="2"/>
        <w:rPr>
          <w:rFonts w:ascii="宋体" w:hAnsi="宋体" w:cs="宋体"/>
          <w:b/>
          <w:color w:val="auto"/>
          <w:szCs w:val="21"/>
          <w:highlight w:val="none"/>
        </w:rPr>
      </w:pPr>
      <w:bookmarkStart w:id="639" w:name="_Toc145084970"/>
      <w:r>
        <w:rPr>
          <w:rFonts w:hint="eastAsia" w:ascii="宋体" w:hAnsi="宋体" w:cs="宋体"/>
          <w:b/>
          <w:color w:val="auto"/>
          <w:szCs w:val="21"/>
          <w:highlight w:val="none"/>
        </w:rPr>
        <w:t>5.3.2 主要设备技术要求</w:t>
      </w:r>
      <w:bookmarkEnd w:id="639"/>
    </w:p>
    <w:p>
      <w:pPr>
        <w:autoSpaceDE w:val="0"/>
        <w:autoSpaceDN w:val="0"/>
        <w:adjustRightInd/>
        <w:snapToGrid/>
        <w:ind w:firstLine="422" w:firstLineChars="200"/>
        <w:rPr>
          <w:rFonts w:ascii="宋体" w:hAnsi="宋体" w:cs="宋体"/>
          <w:b/>
          <w:color w:val="auto"/>
          <w:szCs w:val="21"/>
          <w:highlight w:val="none"/>
          <w:lang w:bidi="ar"/>
        </w:rPr>
      </w:pPr>
      <w:bookmarkStart w:id="640" w:name="_Toc7346"/>
      <w:bookmarkStart w:id="641" w:name="_Toc24821"/>
      <w:r>
        <w:rPr>
          <w:rFonts w:hint="eastAsia" w:ascii="宋体" w:hAnsi="宋体" w:cs="宋体"/>
          <w:b/>
          <w:color w:val="auto"/>
          <w:szCs w:val="21"/>
          <w:highlight w:val="none"/>
          <w:lang w:bidi="ar"/>
        </w:rPr>
        <w:t xml:space="preserve"> </w:t>
      </w:r>
      <w:bookmarkEnd w:id="640"/>
      <w:bookmarkStart w:id="642" w:name="_Toc145083784"/>
      <w:r>
        <w:rPr>
          <w:rFonts w:hint="eastAsia" w:ascii="宋体" w:hAnsi="宋体" w:cs="宋体"/>
          <w:b/>
          <w:color w:val="auto"/>
          <w:szCs w:val="21"/>
          <w:highlight w:val="none"/>
          <w:lang w:bidi="ar"/>
        </w:rPr>
        <w:t>1.卸料斗</w:t>
      </w:r>
      <w:bookmarkEnd w:id="642"/>
    </w:p>
    <w:bookmarkEnd w:id="641"/>
    <w:p>
      <w:pPr>
        <w:autoSpaceDE w:val="0"/>
        <w:autoSpaceDN w:val="0"/>
        <w:adjustRightInd/>
        <w:snapToGrid/>
        <w:ind w:firstLine="420" w:firstLineChars="200"/>
        <w:rPr>
          <w:rFonts w:ascii="宋体" w:hAnsi="宋体" w:cs="宋体"/>
          <w:color w:val="auto"/>
          <w:szCs w:val="21"/>
          <w:highlight w:val="none"/>
          <w:lang w:bidi="ar"/>
        </w:rPr>
      </w:pPr>
      <w:r>
        <w:rPr>
          <w:rFonts w:hint="eastAsia" w:ascii="宋体" w:hAnsi="宋体" w:cs="宋体"/>
          <w:color w:val="auto"/>
          <w:szCs w:val="21"/>
          <w:highlight w:val="none"/>
          <w:lang w:bidi="ar"/>
        </w:rPr>
        <w:t>卸料斗主要包括卸料与输送功能，根据市场上常用 8 立方米垃圾专用车的宽度和车厢距离地面的高度设计而成，架子使用碳钢刷防锈漆，料斗使用 4mm 不锈钢板制作。</w:t>
      </w:r>
    </w:p>
    <w:p>
      <w:pPr>
        <w:autoSpaceDE w:val="0"/>
        <w:autoSpaceDN w:val="0"/>
        <w:adjustRightInd/>
        <w:snapToGrid/>
        <w:ind w:firstLine="420" w:firstLineChars="200"/>
        <w:rPr>
          <w:rFonts w:ascii="宋体" w:hAnsi="宋体" w:cs="宋体"/>
          <w:color w:val="auto"/>
          <w:szCs w:val="21"/>
          <w:highlight w:val="none"/>
          <w:lang w:bidi="ar"/>
        </w:rPr>
      </w:pPr>
      <w:r>
        <w:rPr>
          <w:rFonts w:hint="eastAsia" w:ascii="宋体" w:hAnsi="宋体" w:cs="宋体"/>
          <w:color w:val="auto"/>
          <w:szCs w:val="21"/>
          <w:highlight w:val="none"/>
          <w:lang w:bidi="ar"/>
        </w:rPr>
        <w:t>采用无轴双螺旋结构，直径达 490mm，使用减速电机驱动。螺旋底部有滤网孔，起到第一道脱水的作用。</w:t>
      </w:r>
    </w:p>
    <w:p>
      <w:pPr>
        <w:autoSpaceDE w:val="0"/>
        <w:autoSpaceDN w:val="0"/>
        <w:adjustRightInd/>
        <w:snapToGrid/>
        <w:ind w:firstLine="420" w:firstLineChars="200"/>
        <w:jc w:val="center"/>
        <w:rPr>
          <w:rFonts w:ascii="宋体" w:hAnsi="宋体" w:cs="宋体"/>
          <w:color w:val="auto"/>
          <w:szCs w:val="21"/>
          <w:highlight w:val="none"/>
          <w:lang w:bidi="ar"/>
        </w:rPr>
      </w:pPr>
      <w:r>
        <w:rPr>
          <w:rFonts w:hint="eastAsia" w:ascii="宋体" w:hAnsi="宋体" w:cs="宋体"/>
          <w:color w:val="auto"/>
          <w:szCs w:val="21"/>
          <w:highlight w:val="none"/>
        </w:rPr>
        <w:drawing>
          <wp:inline distT="0" distB="0" distL="114300" distR="114300">
            <wp:extent cx="4211955" cy="2346325"/>
            <wp:effectExtent l="0" t="0" r="17145" b="1587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0"/>
                    <a:srcRect l="7623" r="7655"/>
                    <a:stretch>
                      <a:fillRect/>
                    </a:stretch>
                  </pic:blipFill>
                  <pic:spPr>
                    <a:xfrm>
                      <a:off x="0" y="0"/>
                      <a:ext cx="4211955" cy="2346325"/>
                    </a:xfrm>
                    <a:prstGeom prst="rect">
                      <a:avLst/>
                    </a:prstGeom>
                    <a:noFill/>
                    <a:ln>
                      <a:noFill/>
                    </a:ln>
                  </pic:spPr>
                </pic:pic>
              </a:graphicData>
            </a:graphic>
          </wp:inline>
        </w:drawing>
      </w:r>
    </w:p>
    <w:p>
      <w:pPr>
        <w:autoSpaceDE w:val="0"/>
        <w:autoSpaceDN w:val="0"/>
        <w:adjustRightInd/>
        <w:snapToGrid/>
        <w:ind w:firstLine="422" w:firstLineChars="200"/>
        <w:jc w:val="center"/>
        <w:rPr>
          <w:rFonts w:ascii="宋体" w:hAnsi="宋体" w:cs="宋体"/>
          <w:b/>
          <w:bCs/>
          <w:color w:val="auto"/>
          <w:szCs w:val="21"/>
          <w:highlight w:val="none"/>
        </w:rPr>
      </w:pPr>
      <w:r>
        <w:rPr>
          <w:rFonts w:hint="eastAsia" w:ascii="宋体" w:hAnsi="宋体" w:cs="宋体"/>
          <w:b/>
          <w:bCs/>
          <w:color w:val="auto"/>
          <w:szCs w:val="21"/>
          <w:highlight w:val="none"/>
          <w:lang w:bidi="ar"/>
        </w:rPr>
        <w:t>图7-1 卸料斗</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卸料斗集成，包括料斗、集气罩、快速转帘门、双螺旋。</w:t>
      </w: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（1）卸料溜槽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性能要求：保证厨余垃圾能顺利进入破碎机，无泄漏，无卡堵。</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满足8吨厨余专业运输车辆的卸料要求。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材质：SS304；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板材厚度：4mm；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骨架：国标5#角钢，SS304。</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（2）集气罩</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安装在卸料溜槽正上方，防止物料飞溅，收集臭气。</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高度：顶部离卸料大厅地面3.5m；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长度：3.5m；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宽度：2.9m；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材质：SS304；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板材厚度：1.5mm；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骨架：国标5#方管，Q235，防腐处理；</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集气罩顶部开DN250的风管接口，配可调节风阀。</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（3）快速卷帘门</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安装在集气罩的正面，保证在卸料作业后能快速关闭，防止臭气外溢。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高度：3.5m；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宽度：3.5m；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开关速度：最大开启速度1.5m/s，最大关闭速度1.2m/s；</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材质：内夹网状高强纤维的进口PCV涂层布，厚度1.0mm；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配备红外安全保护装置、雷达感应及控制装置，应实现车辆倒入和离开后的自动开关功能。</w:t>
      </w: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（4）双螺旋</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数量：一台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① 品牌及性能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性能品质参考：长兴日月、南京博特曼、中科兴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输送介质：厨余垃圾；</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输送量：≥10t/h。</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具备正反转及滤水功能。</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② 参数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螺旋直径：490mm；</w:t>
      </w:r>
    </w:p>
    <w:p>
      <w:pPr>
        <w:widowControl w:val="0"/>
        <w:autoSpaceDE w:val="0"/>
        <w:autoSpaceDN w:val="0"/>
        <w:adjustRightInd/>
        <w:snapToGrid/>
        <w:ind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螺距：400mm；</w:t>
      </w:r>
    </w:p>
    <w:p>
      <w:pPr>
        <w:widowControl w:val="0"/>
        <w:autoSpaceDE w:val="0"/>
        <w:autoSpaceDN w:val="0"/>
        <w:adjustRightInd/>
        <w:snapToGrid/>
        <w:ind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中心孔：100mm；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叶片厚度：30mm（外）/45mm（内）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螺旋头部连接法兰：厚度30mm；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转速：25r/min；</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滤水面积：＞2㎡；</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滤水孔径：阶梯圆孔，内6mm外8mm；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U型槽厚度：5mm；筛板（或耐磨板）厚度：6mm；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上罩厚度：3mm；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抽气口：1个，DN150，法兰连接；</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③ 材质</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U型槽、上罩、筛下收集导流槽：SS304；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螺旋：锰钢；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筛板（或耐磨板）：1Cr13；</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支架：国标10槽钢（材料：Q235），漆装高耐腐蚀材料。</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④ 电机及变速箱</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变频电机：皖南电机、无锡华达、长沙电机；</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功率：7.5+7.5KW</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电压：380V；</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防护等级：IP54；绝缘等级：F级；</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变频要求：变频控制。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变速箱：杰牌、博能、国茂或更优</w:t>
      </w:r>
    </w:p>
    <w:p>
      <w:pPr>
        <w:widowControl w:val="0"/>
        <w:autoSpaceDE w:val="0"/>
        <w:autoSpaceDN w:val="0"/>
        <w:adjustRightInd/>
        <w:snapToGrid/>
        <w:ind w:firstLine="422" w:firstLineChars="200"/>
        <w:jc w:val="both"/>
        <w:rPr>
          <w:rFonts w:ascii="宋体" w:hAnsi="宋体" w:cs="宋体"/>
          <w:b/>
          <w:color w:val="auto"/>
          <w:szCs w:val="21"/>
          <w:highlight w:val="none"/>
        </w:rPr>
      </w:pPr>
    </w:p>
    <w:p>
      <w:pPr>
        <w:autoSpaceDE w:val="0"/>
        <w:autoSpaceDN w:val="0"/>
        <w:adjustRightInd/>
        <w:snapToGrid/>
        <w:ind w:firstLine="422" w:firstLineChars="200"/>
        <w:rPr>
          <w:rFonts w:ascii="宋体" w:hAnsi="宋体" w:cs="宋体"/>
          <w:b/>
          <w:bCs/>
          <w:color w:val="auto"/>
          <w:szCs w:val="21"/>
          <w:highlight w:val="none"/>
          <w:lang w:bidi="ar"/>
        </w:rPr>
      </w:pPr>
      <w:bookmarkStart w:id="643" w:name="_Toc145083785"/>
      <w:bookmarkStart w:id="644" w:name="_Toc8528"/>
      <w:r>
        <w:rPr>
          <w:rFonts w:hint="eastAsia" w:ascii="宋体" w:hAnsi="宋体" w:cs="宋体"/>
          <w:b/>
          <w:bCs/>
          <w:color w:val="auto"/>
          <w:szCs w:val="21"/>
          <w:highlight w:val="none"/>
          <w:lang w:bidi="ar"/>
        </w:rPr>
        <w:t>2．破碎机</w:t>
      </w:r>
      <w:bookmarkEnd w:id="643"/>
    </w:p>
    <w:bookmarkEnd w:id="644"/>
    <w:p>
      <w:pPr>
        <w:widowControl w:val="0"/>
        <w:autoSpaceDE w:val="0"/>
        <w:autoSpaceDN w:val="0"/>
        <w:adjustRightInd/>
        <w:snapToGrid/>
        <w:ind w:firstLine="420" w:firstLineChars="200"/>
        <w:jc w:val="both"/>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具有对收集运输来的厨余垃圾在原始物料状态下进行破碎的功能。旨在破碎厨余垃圾中的骨头、大型塑料袋等，遇到漏检的铁器类等无法破碎的异杂物时自动停止并报警，可保障后续自动破碎分拣系统正常运行。技术特征： ①.破碎量</w:t>
      </w:r>
      <w:r>
        <w:rPr>
          <w:rFonts w:hint="eastAsia" w:ascii="宋体" w:hAnsi="宋体" w:cs="宋体"/>
          <w:color w:val="auto"/>
          <w:szCs w:val="21"/>
          <w:highlight w:val="none"/>
        </w:rPr>
        <w:t>≥</w:t>
      </w:r>
      <w:r>
        <w:rPr>
          <w:rFonts w:hint="eastAsia" w:ascii="宋体" w:hAnsi="宋体" w:cs="宋体"/>
          <w:color w:val="auto"/>
          <w:szCs w:val="21"/>
          <w:highlight w:val="none"/>
          <w:shd w:val="clear" w:color="auto" w:fill="FFFFFF"/>
        </w:rPr>
        <w:t>8 吨/h设计,采用双轴相向剪切破碎结构，内设防缠绕装置②.结构设计满足半永久性结构、坚固耐用。③.破碎后的物料根据不同物料成分破碎成 5mm~50mm。</w:t>
      </w:r>
    </w:p>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rPr>
        <w:drawing>
          <wp:inline distT="0" distB="0" distL="114300" distR="114300">
            <wp:extent cx="5400040" cy="1924050"/>
            <wp:effectExtent l="0" t="0" r="1016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1"/>
                    <a:stretch>
                      <a:fillRect/>
                    </a:stretch>
                  </pic:blipFill>
                  <pic:spPr>
                    <a:xfrm>
                      <a:off x="0" y="0"/>
                      <a:ext cx="5400040" cy="1924050"/>
                    </a:xfrm>
                    <a:prstGeom prst="rect">
                      <a:avLst/>
                    </a:prstGeom>
                    <a:noFill/>
                    <a:ln>
                      <a:noFill/>
                    </a:ln>
                  </pic:spPr>
                </pic:pic>
              </a:graphicData>
            </a:graphic>
          </wp:inline>
        </w:drawing>
      </w:r>
    </w:p>
    <w:p>
      <w:pPr>
        <w:autoSpaceDE w:val="0"/>
        <w:autoSpaceDN w:val="0"/>
        <w:adjustRightInd/>
        <w:snapToGrid/>
        <w:ind w:firstLine="422" w:firstLineChars="200"/>
        <w:jc w:val="center"/>
        <w:rPr>
          <w:rFonts w:ascii="宋体" w:hAnsi="宋体" w:cs="宋体"/>
          <w:b/>
          <w:bCs/>
          <w:color w:val="auto"/>
          <w:szCs w:val="21"/>
          <w:highlight w:val="none"/>
        </w:rPr>
      </w:pPr>
      <w:r>
        <w:rPr>
          <w:rFonts w:hint="eastAsia" w:ascii="宋体" w:hAnsi="宋体" w:cs="宋体"/>
          <w:b/>
          <w:bCs/>
          <w:color w:val="auto"/>
          <w:szCs w:val="21"/>
          <w:highlight w:val="none"/>
          <w:lang w:bidi="ar"/>
        </w:rPr>
        <w:t>图7-2 破碎机</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参考品牌: 中山施瑞德、厦门环创（1）品牌及性能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性能品质参考：中山施瑞德、厦门环创</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介质：厨余垃圾；</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处理能力：≥8t/h。</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（2）参数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刀箱尺寸：不小于500*860mm；</w:t>
      </w:r>
    </w:p>
    <w:p>
      <w:pPr>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刀片厚度：40mm。</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（3）材质</w:t>
      </w:r>
    </w:p>
    <w:p>
      <w:pPr>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刀具：</w:t>
      </w:r>
      <w:r>
        <w:rPr>
          <w:rFonts w:hint="eastAsia" w:ascii="宋体" w:hAnsi="宋体" w:cs="宋体"/>
          <w:color w:val="auto"/>
          <w:szCs w:val="21"/>
          <w:highlight w:val="none"/>
          <w:lang w:bidi="ar"/>
        </w:rPr>
        <w:t xml:space="preserve">NiCrMo 高合金钢 </w:t>
      </w:r>
      <w:r>
        <w:rPr>
          <w:rFonts w:hint="eastAsia" w:ascii="宋体" w:hAnsi="宋体" w:cs="宋体"/>
          <w:color w:val="auto"/>
          <w:szCs w:val="21"/>
          <w:highlight w:val="none"/>
        </w:rPr>
        <w:t>；</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刀箱：碳钢防腐。</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（4）电机及变速箱</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变频电机：皖南电机、环球电机；</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功率：45KW</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电压：380V；</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防护等级：IP54；绝缘等级：F级；</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变频要求：变频控制。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变速箱：博能、通力或更优。</w:t>
      </w:r>
    </w:p>
    <w:p>
      <w:pPr>
        <w:autoSpaceDE w:val="0"/>
        <w:autoSpaceDN w:val="0"/>
        <w:adjustRightInd/>
        <w:snapToGrid/>
        <w:ind w:firstLine="422" w:firstLineChars="200"/>
        <w:rPr>
          <w:rFonts w:ascii="宋体" w:hAnsi="宋体" w:cs="宋体"/>
          <w:b/>
          <w:color w:val="auto"/>
          <w:szCs w:val="21"/>
          <w:highlight w:val="none"/>
          <w:lang w:bidi="ar"/>
        </w:rPr>
      </w:pPr>
      <w:bookmarkStart w:id="645" w:name="_Toc23820"/>
      <w:bookmarkStart w:id="646" w:name="_Toc145083786"/>
      <w:r>
        <w:rPr>
          <w:rFonts w:hint="eastAsia" w:ascii="宋体" w:hAnsi="宋体" w:cs="宋体"/>
          <w:b/>
          <w:color w:val="auto"/>
          <w:szCs w:val="21"/>
          <w:highlight w:val="none"/>
          <w:lang w:bidi="ar"/>
        </w:rPr>
        <w:t>3．制浆除杂机</w:t>
      </w:r>
      <w:bookmarkEnd w:id="645"/>
      <w:bookmarkEnd w:id="646"/>
    </w:p>
    <w:p>
      <w:pPr>
        <w:widowControl w:val="0"/>
        <w:autoSpaceDE w:val="0"/>
        <w:autoSpaceDN w:val="0"/>
        <w:adjustRightInd/>
        <w:snapToGrid/>
        <w:ind w:firstLine="420" w:firstLineChars="200"/>
        <w:jc w:val="both"/>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可以将厨余垃圾中的有机物与无机物分离。厨余物料通过分离器中各种形状的桨叶将厨余物料打碎并挤压过筛网。分离出的物料用输送机输送到螺旋压榨处理，塑料和金属碎片通过杂物螺旋输送外运处置。</w:t>
      </w:r>
    </w:p>
    <w:p>
      <w:pPr>
        <w:numPr>
          <w:ilvl w:val="0"/>
          <w:numId w:val="102"/>
        </w:num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参数</w:t>
      </w:r>
    </w:p>
    <w:p>
      <w:pPr>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转速：600~700r/min；</w:t>
      </w:r>
    </w:p>
    <w:p>
      <w:pPr>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分离能力：≥8t/h； </w:t>
      </w:r>
    </w:p>
    <w:p>
      <w:pPr>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筛网孔径：10*10mm；</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（2）材质</w:t>
      </w:r>
    </w:p>
    <w:p>
      <w:pPr>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材质：主体结构304不锈钢，支架碳钢防腐</w:t>
      </w:r>
    </w:p>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（3）电机</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电机品牌:环球、皖南电机、南方；</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功率：37KW</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电压：380V；</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防护等级：IP54；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绝缘等级：F级。</w:t>
      </w:r>
    </w:p>
    <w:p>
      <w:pPr>
        <w:autoSpaceDE w:val="0"/>
        <w:autoSpaceDN w:val="0"/>
        <w:adjustRightInd/>
        <w:snapToGrid/>
        <w:ind w:firstLine="422" w:firstLineChars="200"/>
        <w:rPr>
          <w:rFonts w:ascii="宋体" w:hAnsi="宋体" w:cs="宋体"/>
          <w:b/>
          <w:bCs/>
          <w:color w:val="auto"/>
          <w:szCs w:val="21"/>
          <w:highlight w:val="none"/>
          <w:lang w:bidi="ar"/>
        </w:rPr>
      </w:pPr>
      <w:bookmarkStart w:id="647" w:name="_Toc145083787"/>
      <w:r>
        <w:rPr>
          <w:rFonts w:hint="eastAsia" w:ascii="宋体" w:hAnsi="宋体" w:cs="宋体"/>
          <w:b/>
          <w:bCs/>
          <w:color w:val="auto"/>
          <w:szCs w:val="21"/>
          <w:highlight w:val="none"/>
          <w:lang w:bidi="ar"/>
        </w:rPr>
        <w:t>4．螺旋压榨机</w:t>
      </w:r>
      <w:bookmarkEnd w:id="647"/>
    </w:p>
    <w:p>
      <w:pPr>
        <w:widowControl w:val="0"/>
        <w:autoSpaceDE w:val="0"/>
        <w:autoSpaceDN w:val="0"/>
        <w:adjustRightInd/>
        <w:snapToGrid/>
        <w:ind w:firstLine="420" w:firstLineChars="200"/>
        <w:jc w:val="both"/>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无轴螺旋压榨机，处理能力≥8t/h，主要用于将分拣完的厨余垃圾等高湿糟渣类物料的压榨脱水处理，这些垃圾经脱水处理后的残渣含水率为≯75%，处理后不仅体积大大减少，而且可以有效避免因为气温高垃圾发臭的问题，整台设备高精度加工组装。</w:t>
      </w: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（1）品牌及性能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bCs/>
          <w:color w:val="auto"/>
          <w:kern w:val="2"/>
          <w:szCs w:val="21"/>
          <w:highlight w:val="none"/>
        </w:rPr>
        <w:t>参考品牌</w:t>
      </w:r>
      <w:r>
        <w:rPr>
          <w:rFonts w:hint="eastAsia" w:ascii="宋体" w:hAnsi="宋体" w:cs="宋体"/>
          <w:color w:val="auto"/>
          <w:szCs w:val="21"/>
          <w:highlight w:val="none"/>
        </w:rPr>
        <w:t>：南京搏特曼、福建福丰轻机、福建福轻机械；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介质：餐厨垃圾中的杂物；</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处理量：≥8t/h；</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出渣含水率：75%；</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出料门配备恒压控制系统。</w:t>
      </w: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（2）参数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螺旋直径：≥490mm；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螺距：450mm；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筛板孔径：圆孔，内6mm；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螺旋长度：≧1.2m；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螺旋叶片厚度：≥60mm；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进料口：1个，500*500（方形），法兰连接；</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抽气口：1个，DN150，法兰连接；</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筛板厚度：10mm；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出料门厚度：16mm；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螺旋头部连接：直径590mm，40mm厚法兰；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安装倾角：0°。</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（3）材质</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槽体、筛板、上罩、筛下收集导流槽：SS304；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螺旋：16Mn；</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lang w:val="zh-CN"/>
        </w:rPr>
        <w:t>其余：</w:t>
      </w:r>
      <w:r>
        <w:rPr>
          <w:rFonts w:hint="eastAsia" w:ascii="宋体" w:hAnsi="宋体" w:cs="宋体"/>
          <w:color w:val="auto"/>
          <w:szCs w:val="21"/>
          <w:highlight w:val="none"/>
        </w:rPr>
        <w:t>与垃圾直接接触部位采用SS304，其余可采用</w:t>
      </w:r>
      <w:r>
        <w:rPr>
          <w:rFonts w:hint="eastAsia" w:ascii="宋体" w:hAnsi="宋体" w:cs="宋体"/>
          <w:color w:val="auto"/>
          <w:szCs w:val="21"/>
          <w:highlight w:val="none"/>
          <w:lang w:val="zh-CN"/>
        </w:rPr>
        <w:t>碳钢Q235</w:t>
      </w:r>
      <w:r>
        <w:rPr>
          <w:rFonts w:hint="eastAsia" w:ascii="宋体" w:hAnsi="宋体" w:cs="宋体"/>
          <w:color w:val="auto"/>
          <w:szCs w:val="21"/>
          <w:highlight w:val="none"/>
        </w:rPr>
        <w:t>漆装高耐腐蚀材料</w:t>
      </w:r>
      <w:r>
        <w:rPr>
          <w:rFonts w:hint="eastAsia" w:ascii="宋体" w:hAnsi="宋体" w:cs="宋体"/>
          <w:color w:val="auto"/>
          <w:szCs w:val="21"/>
          <w:highlight w:val="none"/>
          <w:lang w:val="zh-CN"/>
        </w:rPr>
        <w:t>。</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（4）电机及变速箱</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电机：皖南电机、无锡华达、长沙电机；</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功率：15KW</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电压：380V；</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防护等级：IP54；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绝缘等级：F级；</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变频要求：变频控制；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变速箱：杰牌、博能、国茂。</w:t>
      </w:r>
    </w:p>
    <w:p>
      <w:pPr>
        <w:autoSpaceDE w:val="0"/>
        <w:autoSpaceDN w:val="0"/>
        <w:adjustRightInd/>
        <w:snapToGrid/>
        <w:ind w:firstLine="422" w:firstLineChars="200"/>
        <w:rPr>
          <w:rFonts w:ascii="宋体" w:hAnsi="宋体" w:cs="宋体"/>
          <w:b/>
          <w:color w:val="auto"/>
          <w:szCs w:val="21"/>
          <w:highlight w:val="none"/>
          <w:lang w:bidi="ar"/>
        </w:rPr>
      </w:pPr>
      <w:bookmarkStart w:id="648" w:name="_Toc145083788"/>
      <w:bookmarkStart w:id="649" w:name="_Toc21003"/>
      <w:r>
        <w:rPr>
          <w:rFonts w:hint="eastAsia" w:ascii="宋体" w:hAnsi="宋体" w:cs="宋体"/>
          <w:b/>
          <w:color w:val="auto"/>
          <w:szCs w:val="21"/>
          <w:highlight w:val="none"/>
          <w:lang w:bidi="ar"/>
        </w:rPr>
        <w:t>5．三相离心机</w:t>
      </w:r>
      <w:bookmarkEnd w:id="648"/>
    </w:p>
    <w:bookmarkEnd w:id="649"/>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三相沉降式离心设备可以对水、油、渣三相物料高效分离，旨在最大程度分离物料中的油脂。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其工作原理是：物料经过出料口进入转鼓,在高速旋转产生的离心力作用下,比重较大的固相颗粒沉积在转鼓内壁上，与转鼓作相对运动的螺旋卸料器叶片不断地将沉积在转鼓内壁上的固相颗粒刮下并推出排渣口；轻重液相由于存在比重差，在转鼓液相澄清区域产生不同的液层，分离后的轻相液经排液口排出转鼓（重力），分离后的重相液经向心泵排出转鼓。</w:t>
      </w: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（1）品牌及性能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bCs/>
          <w:color w:val="auto"/>
          <w:kern w:val="2"/>
          <w:szCs w:val="21"/>
          <w:highlight w:val="none"/>
        </w:rPr>
        <w:t>性能品质参考</w:t>
      </w:r>
      <w:r>
        <w:rPr>
          <w:rFonts w:hint="eastAsia" w:ascii="宋体" w:hAnsi="宋体" w:cs="宋体"/>
          <w:color w:val="auto"/>
          <w:szCs w:val="21"/>
          <w:highlight w:val="none"/>
        </w:rPr>
        <w:t>：优耐特，智楷，东邦，巨能；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介质：厨余垃圾预处理后浆料；</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处理量：6-10T/H；</w:t>
      </w:r>
    </w:p>
    <w:p>
      <w:pPr>
        <w:autoSpaceDE w:val="0"/>
        <w:autoSpaceDN w:val="0"/>
        <w:adjustRightInd/>
        <w:snapToGrid/>
        <w:ind w:left="365" w:leftChars="174"/>
        <w:rPr>
          <w:rFonts w:ascii="宋体" w:hAnsi="宋体" w:cs="宋体"/>
          <w:color w:val="auto"/>
          <w:szCs w:val="21"/>
          <w:highlight w:val="none"/>
        </w:rPr>
      </w:pPr>
      <w:r>
        <w:rPr>
          <w:rFonts w:hint="eastAsia" w:ascii="宋体" w:hAnsi="宋体" w:cs="宋体"/>
          <w:color w:val="auto"/>
          <w:szCs w:val="21"/>
          <w:highlight w:val="none"/>
          <w:lang w:bidi="ar"/>
        </w:rPr>
        <w:t>油相含水含杂率：≤4%；</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水相含油率：≤0.5%；</w:t>
      </w:r>
      <w:r>
        <w:rPr>
          <w:rFonts w:hint="eastAsia" w:ascii="宋体" w:hAnsi="宋体" w:cs="宋体"/>
          <w:color w:val="auto"/>
          <w:szCs w:val="21"/>
          <w:highlight w:val="none"/>
          <w:lang w:bidi="ar"/>
        </w:rPr>
        <w:br w:type="textWrapping"/>
      </w:r>
      <w:r>
        <w:rPr>
          <w:rFonts w:hint="eastAsia" w:ascii="宋体" w:hAnsi="宋体" w:cs="宋体"/>
          <w:color w:val="auto"/>
          <w:szCs w:val="21"/>
          <w:highlight w:val="none"/>
          <w:lang w:bidi="ar"/>
        </w:rPr>
        <w:t>固相含水率：≤80%</w:t>
      </w:r>
      <w:r>
        <w:rPr>
          <w:rFonts w:hint="eastAsia" w:ascii="宋体" w:hAnsi="宋体" w:cs="宋体"/>
          <w:color w:val="auto"/>
          <w:szCs w:val="21"/>
          <w:highlight w:val="none"/>
        </w:rPr>
        <w:t>。</w:t>
      </w: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（2）参数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转鼓直径：≥450mm；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液相通过内置向心泵排出；</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采用行星齿轮差速器。</w:t>
      </w: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（3）材质</w:t>
      </w:r>
    </w:p>
    <w:p>
      <w:pPr>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转鼓材质为: </w:t>
      </w:r>
      <w:r>
        <w:rPr>
          <w:rFonts w:hint="eastAsia" w:ascii="宋体" w:hAnsi="宋体" w:cs="宋体"/>
          <w:b/>
          <w:bCs/>
          <w:color w:val="auto"/>
          <w:szCs w:val="21"/>
          <w:highlight w:val="none"/>
          <w:lang w:bidi="ar"/>
        </w:rPr>
        <w:t>双相不锈钢 SAF2205</w:t>
      </w:r>
      <w:r>
        <w:rPr>
          <w:rFonts w:hint="eastAsia" w:ascii="宋体" w:hAnsi="宋体" w:cs="宋体"/>
          <w:color w:val="auto"/>
          <w:szCs w:val="21"/>
          <w:highlight w:val="none"/>
        </w:rPr>
        <w:t>；</w:t>
      </w:r>
    </w:p>
    <w:p>
      <w:pPr>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螺旋卸料器材质为： 316 </w:t>
      </w:r>
      <w:r>
        <w:rPr>
          <w:rFonts w:hint="eastAsia" w:ascii="宋体" w:hAnsi="宋体" w:cs="宋体"/>
          <w:color w:val="auto"/>
          <w:szCs w:val="21"/>
          <w:highlight w:val="none"/>
        </w:rPr>
        <w:t>，</w:t>
      </w:r>
      <w:r>
        <w:rPr>
          <w:rFonts w:hint="eastAsia" w:ascii="宋体" w:hAnsi="宋体" w:cs="宋体"/>
          <w:color w:val="auto"/>
          <w:szCs w:val="21"/>
          <w:highlight w:val="none"/>
          <w:lang w:bidi="ar"/>
        </w:rPr>
        <w:t>叶片采用堆焊碳化钨耐磨层；</w:t>
      </w:r>
    </w:p>
    <w:p>
      <w:pPr>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机罩材质：SS 316， </w:t>
      </w:r>
    </w:p>
    <w:p>
      <w:pPr>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机座材质： Q235</w:t>
      </w:r>
      <w:r>
        <w:rPr>
          <w:rFonts w:hint="eastAsia" w:ascii="宋体" w:hAnsi="宋体" w:cs="宋体"/>
          <w:color w:val="auto"/>
          <w:szCs w:val="21"/>
          <w:highlight w:val="none"/>
          <w:lang w:val="zh-CN"/>
        </w:rPr>
        <w:t>。</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（4）电机</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电机：ABB，西门子；</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功率：30+7.5KW</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电压：380V；</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防护等级：IP54；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绝缘等级：F级；</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变频要求：变频控制；</w:t>
      </w:r>
    </w:p>
    <w:p>
      <w:pPr>
        <w:widowControl w:val="0"/>
        <w:autoSpaceDE w:val="0"/>
        <w:autoSpaceDN w:val="0"/>
        <w:adjustRightInd/>
        <w:snapToGrid/>
        <w:ind w:firstLine="420" w:firstLineChars="200"/>
        <w:jc w:val="both"/>
        <w:rPr>
          <w:rFonts w:ascii="宋体" w:hAnsi="宋体" w:cs="宋体"/>
          <w:color w:val="auto"/>
          <w:szCs w:val="21"/>
          <w:highlight w:val="none"/>
        </w:rPr>
      </w:pPr>
    </w:p>
    <w:p>
      <w:pPr>
        <w:autoSpaceDE w:val="0"/>
        <w:autoSpaceDN w:val="0"/>
        <w:adjustRightInd/>
        <w:snapToGrid/>
        <w:ind w:firstLine="422" w:firstLineChars="200"/>
        <w:rPr>
          <w:rFonts w:ascii="宋体" w:hAnsi="宋体" w:cs="宋体"/>
          <w:b/>
          <w:bCs/>
          <w:color w:val="auto"/>
          <w:szCs w:val="21"/>
          <w:highlight w:val="none"/>
          <w:lang w:bidi="ar"/>
        </w:rPr>
      </w:pPr>
      <w:bookmarkStart w:id="650" w:name="_Toc145083789"/>
      <w:bookmarkStart w:id="651" w:name="_Toc12815"/>
      <w:r>
        <w:rPr>
          <w:rFonts w:hint="eastAsia" w:ascii="宋体" w:hAnsi="宋体" w:cs="宋体"/>
          <w:b/>
          <w:bCs/>
          <w:color w:val="auto"/>
          <w:szCs w:val="21"/>
          <w:highlight w:val="none"/>
          <w:lang w:bidi="ar"/>
        </w:rPr>
        <w:t>6．螺旋</w:t>
      </w:r>
      <w:bookmarkEnd w:id="650"/>
    </w:p>
    <w:bookmarkEnd w:id="651"/>
    <w:p>
      <w:pPr>
        <w:widowControl w:val="0"/>
        <w:autoSpaceDE w:val="0"/>
        <w:autoSpaceDN w:val="0"/>
        <w:adjustRightInd/>
        <w:snapToGrid/>
        <w:jc w:val="both"/>
        <w:rPr>
          <w:rFonts w:ascii="宋体" w:hAnsi="宋体" w:cs="宋体"/>
          <w:b/>
          <w:bCs/>
          <w:color w:val="auto"/>
          <w:szCs w:val="21"/>
          <w:highlight w:val="none"/>
        </w:rPr>
      </w:pPr>
      <w:r>
        <w:rPr>
          <w:rFonts w:hint="eastAsia" w:ascii="宋体" w:hAnsi="宋体" w:cs="宋体"/>
          <w:b/>
          <w:bCs/>
          <w:color w:val="auto"/>
          <w:szCs w:val="21"/>
          <w:highlight w:val="none"/>
        </w:rPr>
        <w:t>（1）杂物辅助螺旋输送机</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① 品牌及性能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参考品牌：长兴日月、南京博特曼、中科兴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输送介质：厨余垃圾中的杂物；</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输送量：≥8t/h。</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② 参数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螺旋直径：490mm；</w:t>
      </w:r>
    </w:p>
    <w:p>
      <w:pPr>
        <w:widowControl w:val="0"/>
        <w:autoSpaceDE w:val="0"/>
        <w:autoSpaceDN w:val="0"/>
        <w:adjustRightInd/>
        <w:snapToGrid/>
        <w:ind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螺距：400mm；</w:t>
      </w:r>
    </w:p>
    <w:p>
      <w:pPr>
        <w:widowControl w:val="0"/>
        <w:autoSpaceDE w:val="0"/>
        <w:autoSpaceDN w:val="0"/>
        <w:adjustRightInd/>
        <w:snapToGrid/>
        <w:ind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中心孔：1</w:t>
      </w:r>
      <w:r>
        <w:rPr>
          <w:rFonts w:hint="eastAsia" w:ascii="宋体" w:hAnsi="宋体" w:cs="宋体"/>
          <w:color w:val="auto"/>
          <w:szCs w:val="21"/>
          <w:highlight w:val="none"/>
        </w:rPr>
        <w:t>0</w:t>
      </w:r>
      <w:r>
        <w:rPr>
          <w:rFonts w:hint="eastAsia" w:ascii="宋体" w:hAnsi="宋体" w:cs="宋体"/>
          <w:color w:val="auto"/>
          <w:szCs w:val="21"/>
          <w:highlight w:val="none"/>
          <w:lang w:eastAsia="en-US"/>
        </w:rPr>
        <w:t>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叶片厚度：30mm（外）/45mm（内）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螺旋头部连接法兰：厚度30mm；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滤水面积：≥1㎡；</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滤水孔径：圆孔，6mm；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U型槽厚度：5mm；筛板（或耐磨板）厚度：6mm；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上罩厚度：3mm；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抽气口：1个，DN150，法兰连接；</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③ 材质</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U型槽、上罩、筛下收集导流槽：SS304；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螺旋：锰钢；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筛板（或耐磨板）：201不锈钢；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支架：国标10槽钢（材料：Q235），漆装高耐腐蚀材料。</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④ 电机及变速箱</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电机参考品牌：皖南电机、无锡华达、长沙电机；</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功率：3KW</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电压：380V；</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防护等级：IP54；绝缘等级：F级；</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变频要求：变频控制。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变速箱：杰牌、博能、国茂或更优</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jc w:val="both"/>
        <w:rPr>
          <w:rFonts w:ascii="宋体" w:hAnsi="宋体" w:cs="宋体"/>
          <w:b/>
          <w:bCs/>
          <w:color w:val="auto"/>
          <w:szCs w:val="21"/>
          <w:highlight w:val="none"/>
        </w:rPr>
      </w:pPr>
      <w:r>
        <w:rPr>
          <w:rFonts w:hint="eastAsia" w:ascii="宋体" w:hAnsi="宋体" w:cs="宋体"/>
          <w:b/>
          <w:bCs/>
          <w:color w:val="auto"/>
          <w:szCs w:val="21"/>
          <w:highlight w:val="none"/>
        </w:rPr>
        <w:t>（2）杂物无轴螺旋输送机</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① 品牌及性能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性能品质参考：长兴日月、南京博特曼、中科兴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输送介质：厨余垃圾；</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输送量：≥8t/h。</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② 参数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螺旋直径：490mm；</w:t>
      </w:r>
    </w:p>
    <w:p>
      <w:pPr>
        <w:widowControl w:val="0"/>
        <w:autoSpaceDE w:val="0"/>
        <w:autoSpaceDN w:val="0"/>
        <w:adjustRightInd/>
        <w:snapToGrid/>
        <w:ind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螺距：400mm；</w:t>
      </w:r>
    </w:p>
    <w:p>
      <w:pPr>
        <w:widowControl w:val="0"/>
        <w:autoSpaceDE w:val="0"/>
        <w:autoSpaceDN w:val="0"/>
        <w:adjustRightInd/>
        <w:snapToGrid/>
        <w:ind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中心孔：1</w:t>
      </w:r>
      <w:r>
        <w:rPr>
          <w:rFonts w:hint="eastAsia" w:ascii="宋体" w:hAnsi="宋体" w:cs="宋体"/>
          <w:color w:val="auto"/>
          <w:szCs w:val="21"/>
          <w:highlight w:val="none"/>
        </w:rPr>
        <w:t>0</w:t>
      </w:r>
      <w:r>
        <w:rPr>
          <w:rFonts w:hint="eastAsia" w:ascii="宋体" w:hAnsi="宋体" w:cs="宋体"/>
          <w:color w:val="auto"/>
          <w:szCs w:val="21"/>
          <w:highlight w:val="none"/>
          <w:lang w:eastAsia="en-US"/>
        </w:rPr>
        <w:t>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叶片厚度：25mm（外）*40mm（内）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螺旋头部连接法兰：厚度30mm；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滤水面积：≥1㎡；</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滤水孔径：圆孔，6mm；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U型槽厚度：5mm；筛板（或耐磨板）厚度：6mm；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上罩厚度：3mm；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抽气口：1个，DN150，法兰连接；</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③ 材质</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U型槽、上罩、筛下收集导流槽：SS304；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螺旋：锰钢；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筛板（或耐磨板）：201不锈钢；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支架：国标10槽钢（材料：Q235），漆装高耐腐蚀材料。</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④ 电机及变速箱</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电机：皖南电机、无锡华达、长沙电机；</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功率：5.5KW</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电压：380V；</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防护等级：IP54；绝缘等级：F级；</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变频要求：变频控制。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变速箱：杰牌、博能、国茂或更优</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jc w:val="both"/>
        <w:rPr>
          <w:rFonts w:ascii="宋体" w:hAnsi="宋体" w:cs="宋体"/>
          <w:b/>
          <w:bCs/>
          <w:color w:val="auto"/>
          <w:szCs w:val="21"/>
          <w:highlight w:val="none"/>
        </w:rPr>
      </w:pPr>
      <w:r>
        <w:rPr>
          <w:rFonts w:hint="eastAsia" w:ascii="宋体" w:hAnsi="宋体" w:cs="宋体"/>
          <w:b/>
          <w:bCs/>
          <w:color w:val="auto"/>
          <w:szCs w:val="21"/>
          <w:highlight w:val="none"/>
        </w:rPr>
        <w:t>（3）浆液辅助螺旋输送机</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① 品牌及性能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参考品牌：长兴日月、南京博特曼、中科兴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输送介质：厨余垃圾；</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输送量：≥6t/h。</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② 参数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螺旋直径：400mm；</w:t>
      </w:r>
    </w:p>
    <w:p>
      <w:pPr>
        <w:widowControl w:val="0"/>
        <w:autoSpaceDE w:val="0"/>
        <w:autoSpaceDN w:val="0"/>
        <w:adjustRightInd/>
        <w:snapToGrid/>
        <w:ind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螺距：</w:t>
      </w:r>
      <w:r>
        <w:rPr>
          <w:rFonts w:hint="eastAsia" w:ascii="宋体" w:hAnsi="宋体" w:cs="宋体"/>
          <w:color w:val="auto"/>
          <w:szCs w:val="21"/>
          <w:highlight w:val="none"/>
        </w:rPr>
        <w:t>36</w:t>
      </w:r>
      <w:r>
        <w:rPr>
          <w:rFonts w:hint="eastAsia" w:ascii="宋体" w:hAnsi="宋体" w:cs="宋体"/>
          <w:color w:val="auto"/>
          <w:szCs w:val="21"/>
          <w:highlight w:val="none"/>
          <w:lang w:eastAsia="en-US"/>
        </w:rPr>
        <w:t>0mm；</w:t>
      </w:r>
    </w:p>
    <w:p>
      <w:pPr>
        <w:widowControl w:val="0"/>
        <w:autoSpaceDE w:val="0"/>
        <w:autoSpaceDN w:val="0"/>
        <w:adjustRightInd/>
        <w:snapToGrid/>
        <w:ind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中心孔：1</w:t>
      </w:r>
      <w:r>
        <w:rPr>
          <w:rFonts w:hint="eastAsia" w:ascii="宋体" w:hAnsi="宋体" w:cs="宋体"/>
          <w:color w:val="auto"/>
          <w:szCs w:val="21"/>
          <w:highlight w:val="none"/>
        </w:rPr>
        <w:t>0</w:t>
      </w:r>
      <w:r>
        <w:rPr>
          <w:rFonts w:hint="eastAsia" w:ascii="宋体" w:hAnsi="宋体" w:cs="宋体"/>
          <w:color w:val="auto"/>
          <w:szCs w:val="21"/>
          <w:highlight w:val="none"/>
          <w:lang w:eastAsia="en-US"/>
        </w:rPr>
        <w:t>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叶片厚度：25mm（外）/40mm（内）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螺旋头部连接法兰：厚度30mm；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U型槽厚度：3mm；筛板（或耐磨板）厚度：6mm；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上罩厚度：2mm；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抽气口：1个，DN150，法兰连接；</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③ 材质</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U型槽、上罩、筛下收集导流槽：SS304；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螺旋：锰钢；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筛板（或耐磨板）：201不锈钢；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支架：国标10槽钢（材料：Q235），漆装高耐腐蚀材料。</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④ 电机及变速箱</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变频电机参考品牌：皖南电机、无锡华达、长沙电机；</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功率：3KW</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电压：380V；</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防护等级：IP54；绝缘等级：F级；</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变频要求：变频控制。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变速箱：杰牌、博能、国茂或更优</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jc w:val="both"/>
        <w:rPr>
          <w:rFonts w:ascii="宋体" w:hAnsi="宋体" w:cs="宋体"/>
          <w:b/>
          <w:bCs/>
          <w:color w:val="auto"/>
          <w:szCs w:val="21"/>
          <w:highlight w:val="none"/>
        </w:rPr>
      </w:pPr>
      <w:r>
        <w:rPr>
          <w:rFonts w:hint="eastAsia" w:ascii="宋体" w:hAnsi="宋体" w:cs="宋体"/>
          <w:b/>
          <w:bCs/>
          <w:color w:val="auto"/>
          <w:szCs w:val="21"/>
          <w:highlight w:val="none"/>
        </w:rPr>
        <w:t>（4）螺旋输送机A</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① 品牌及性能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参考品牌：长兴日月、南京博特曼、中科兴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输送介质：厨余垃圾；</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输送量：≥6t/h。</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② 参数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螺旋直径：400mm；</w:t>
      </w:r>
    </w:p>
    <w:p>
      <w:pPr>
        <w:widowControl w:val="0"/>
        <w:autoSpaceDE w:val="0"/>
        <w:autoSpaceDN w:val="0"/>
        <w:adjustRightInd/>
        <w:snapToGrid/>
        <w:ind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螺距：</w:t>
      </w:r>
      <w:r>
        <w:rPr>
          <w:rFonts w:hint="eastAsia" w:ascii="宋体" w:hAnsi="宋体" w:cs="宋体"/>
          <w:color w:val="auto"/>
          <w:szCs w:val="21"/>
          <w:highlight w:val="none"/>
        </w:rPr>
        <w:t>36</w:t>
      </w:r>
      <w:r>
        <w:rPr>
          <w:rFonts w:hint="eastAsia" w:ascii="宋体" w:hAnsi="宋体" w:cs="宋体"/>
          <w:color w:val="auto"/>
          <w:szCs w:val="21"/>
          <w:highlight w:val="none"/>
          <w:lang w:eastAsia="en-US"/>
        </w:rPr>
        <w:t>0mm；</w:t>
      </w:r>
    </w:p>
    <w:p>
      <w:pPr>
        <w:widowControl w:val="0"/>
        <w:autoSpaceDE w:val="0"/>
        <w:autoSpaceDN w:val="0"/>
        <w:adjustRightInd/>
        <w:snapToGrid/>
        <w:ind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中心孔：1</w:t>
      </w:r>
      <w:r>
        <w:rPr>
          <w:rFonts w:hint="eastAsia" w:ascii="宋体" w:hAnsi="宋体" w:cs="宋体"/>
          <w:color w:val="auto"/>
          <w:szCs w:val="21"/>
          <w:highlight w:val="none"/>
        </w:rPr>
        <w:t>0</w:t>
      </w:r>
      <w:r>
        <w:rPr>
          <w:rFonts w:hint="eastAsia" w:ascii="宋体" w:hAnsi="宋体" w:cs="宋体"/>
          <w:color w:val="auto"/>
          <w:szCs w:val="21"/>
          <w:highlight w:val="none"/>
          <w:lang w:eastAsia="en-US"/>
        </w:rPr>
        <w:t>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叶片厚度：25mm（外）/40mm（内）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螺旋头部连接法兰：厚度30mm；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滤水面积：≥1㎡；</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滤水孔径：圆孔，6mm；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U型槽厚度：3mm；筛板（或耐磨板）厚度：6mm；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上罩厚度：2mm；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抽气口：1个，DN150，法兰连接；</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③ 材质</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U型槽、上罩、筛下收集导流槽：SS304；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螺旋：锰钢；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筛板（或耐磨板）：201不锈钢；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支架：国标10槽钢（材料：Q235），漆装高耐腐蚀材料。</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④ 电机及变速箱</w:t>
      </w:r>
    </w:p>
    <w:p>
      <w:pPr>
        <w:widowControl w:val="0"/>
        <w:autoSpaceDE w:val="0"/>
        <w:autoSpaceDN w:val="0"/>
        <w:adjustRightInd/>
        <w:snapToGrid/>
        <w:ind w:firstLine="384" w:firstLineChars="183"/>
        <w:jc w:val="both"/>
        <w:rPr>
          <w:rFonts w:ascii="宋体" w:hAnsi="宋体" w:cs="宋体"/>
          <w:color w:val="auto"/>
          <w:szCs w:val="21"/>
          <w:highlight w:val="none"/>
        </w:rPr>
      </w:pPr>
      <w:r>
        <w:rPr>
          <w:rFonts w:hint="eastAsia" w:ascii="宋体" w:hAnsi="宋体" w:cs="宋体"/>
          <w:color w:val="auto"/>
          <w:szCs w:val="21"/>
          <w:highlight w:val="none"/>
        </w:rPr>
        <w:t>变频电机参考品牌：皖南电机、无锡华达、长沙电机；</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功率：11KW</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电压：380V；</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防护等级：IP54；绝缘等级：F级；</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变频要求：变频控制。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变速箱：杰牌、博能、国茂或更优</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jc w:val="both"/>
        <w:rPr>
          <w:rFonts w:ascii="宋体" w:hAnsi="宋体" w:cs="宋体"/>
          <w:b/>
          <w:bCs/>
          <w:color w:val="auto"/>
          <w:szCs w:val="21"/>
          <w:highlight w:val="none"/>
        </w:rPr>
      </w:pPr>
      <w:r>
        <w:rPr>
          <w:rFonts w:hint="eastAsia" w:ascii="宋体" w:hAnsi="宋体" w:cs="宋体"/>
          <w:b/>
          <w:bCs/>
          <w:color w:val="auto"/>
          <w:szCs w:val="21"/>
          <w:highlight w:val="none"/>
        </w:rPr>
        <w:t>（5）三相固相螺旋输送机</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① 品牌及性能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参考品牌：长兴日月、南京博特曼、中科兴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输送介质：厨余垃圾；</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输送量：≥4t/h。</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② 参数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螺旋直径：360mm；</w:t>
      </w:r>
    </w:p>
    <w:p>
      <w:pPr>
        <w:widowControl w:val="0"/>
        <w:autoSpaceDE w:val="0"/>
        <w:autoSpaceDN w:val="0"/>
        <w:adjustRightInd/>
        <w:snapToGrid/>
        <w:ind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螺距：</w:t>
      </w:r>
      <w:r>
        <w:rPr>
          <w:rFonts w:hint="eastAsia" w:ascii="宋体" w:hAnsi="宋体" w:cs="宋体"/>
          <w:color w:val="auto"/>
          <w:szCs w:val="21"/>
          <w:highlight w:val="none"/>
        </w:rPr>
        <w:t>30</w:t>
      </w:r>
      <w:r>
        <w:rPr>
          <w:rFonts w:hint="eastAsia" w:ascii="宋体" w:hAnsi="宋体" w:cs="宋体"/>
          <w:color w:val="auto"/>
          <w:szCs w:val="21"/>
          <w:highlight w:val="none"/>
          <w:lang w:eastAsia="en-US"/>
        </w:rPr>
        <w:t>0mm；</w:t>
      </w:r>
    </w:p>
    <w:p>
      <w:pPr>
        <w:widowControl w:val="0"/>
        <w:autoSpaceDE w:val="0"/>
        <w:autoSpaceDN w:val="0"/>
        <w:adjustRightInd/>
        <w:snapToGrid/>
        <w:ind w:firstLine="420" w:firstLineChars="20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中心孔：</w:t>
      </w:r>
      <w:r>
        <w:rPr>
          <w:rFonts w:hint="eastAsia" w:ascii="宋体" w:hAnsi="宋体" w:cs="宋体"/>
          <w:color w:val="auto"/>
          <w:szCs w:val="21"/>
          <w:highlight w:val="none"/>
        </w:rPr>
        <w:t>8</w:t>
      </w:r>
      <w:r>
        <w:rPr>
          <w:rFonts w:hint="eastAsia" w:ascii="宋体" w:hAnsi="宋体" w:cs="宋体"/>
          <w:color w:val="auto"/>
          <w:szCs w:val="21"/>
          <w:highlight w:val="none"/>
          <w:lang w:eastAsia="en-US"/>
        </w:rPr>
        <w:t>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叶片厚度：20mm（外）/35mm（内）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螺旋头部连接法兰：厚度20mm；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U型槽厚度：3mm；筛板（或耐磨板）厚度：6mm；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上罩厚度：2mm；</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抽气口：1个，DN150，法兰连接；</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③ 材质</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U型槽、上罩、筛下收集导流槽：SS304；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螺旋：锰钢；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筛板（或耐磨板）：201不锈钢；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支架：国标10槽钢（材料：Q235），漆装高耐腐蚀材料。</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④ 电机及变速箱</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变频电机参考品牌：皖南电机、无锡华达、长沙电机；</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功率：2.2KW</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电压：380V；</w:t>
      </w:r>
    </w:p>
    <w:p>
      <w:pPr>
        <w:widowControl w:val="0"/>
        <w:autoSpaceDE w:val="0"/>
        <w:autoSpaceDN w:val="0"/>
        <w:adjustRightInd/>
        <w:snapToGrid/>
        <w:ind w:left="149" w:leftChars="71" w:firstLine="210" w:firstLineChars="100"/>
        <w:jc w:val="both"/>
        <w:rPr>
          <w:rFonts w:ascii="宋体" w:hAnsi="宋体" w:cs="宋体"/>
          <w:color w:val="auto"/>
          <w:szCs w:val="21"/>
          <w:highlight w:val="none"/>
        </w:rPr>
      </w:pPr>
      <w:r>
        <w:rPr>
          <w:rFonts w:hint="eastAsia" w:ascii="宋体" w:hAnsi="宋体" w:cs="宋体"/>
          <w:color w:val="auto"/>
          <w:szCs w:val="21"/>
          <w:highlight w:val="none"/>
        </w:rPr>
        <w:t>防护等级：IP54；绝缘等级：F级；</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变频要求：变频控制。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变速箱：杰牌、博能、国茂或更优</w:t>
      </w:r>
    </w:p>
    <w:p>
      <w:pPr>
        <w:widowControl w:val="0"/>
        <w:autoSpaceDE w:val="0"/>
        <w:autoSpaceDN w:val="0"/>
        <w:adjustRightInd/>
        <w:snapToGrid/>
        <w:ind w:firstLine="420" w:firstLineChars="200"/>
        <w:jc w:val="both"/>
        <w:rPr>
          <w:rFonts w:ascii="宋体" w:hAnsi="宋体" w:cs="宋体"/>
          <w:color w:val="auto"/>
          <w:szCs w:val="21"/>
          <w:highlight w:val="none"/>
        </w:rPr>
      </w:pPr>
    </w:p>
    <w:p>
      <w:pPr>
        <w:autoSpaceDE w:val="0"/>
        <w:autoSpaceDN w:val="0"/>
        <w:adjustRightInd/>
        <w:snapToGrid/>
        <w:ind w:firstLine="422" w:firstLineChars="200"/>
        <w:rPr>
          <w:rFonts w:ascii="宋体" w:hAnsi="宋体" w:cs="宋体"/>
          <w:b/>
          <w:color w:val="auto"/>
          <w:szCs w:val="21"/>
          <w:highlight w:val="none"/>
          <w:lang w:bidi="ar"/>
        </w:rPr>
      </w:pPr>
      <w:bookmarkStart w:id="652" w:name="_Toc145083790"/>
      <w:bookmarkStart w:id="653" w:name="_Toc15114"/>
      <w:r>
        <w:rPr>
          <w:rFonts w:hint="eastAsia" w:ascii="宋体" w:hAnsi="宋体" w:cs="宋体"/>
          <w:b/>
          <w:color w:val="auto"/>
          <w:szCs w:val="21"/>
          <w:highlight w:val="none"/>
          <w:lang w:bidi="ar"/>
        </w:rPr>
        <w:t>7．阀门</w:t>
      </w:r>
      <w:bookmarkEnd w:id="652"/>
    </w:p>
    <w:bookmarkEnd w:id="653"/>
    <w:p>
      <w:pPr>
        <w:widowControl w:val="0"/>
        <w:autoSpaceDE w:val="0"/>
        <w:autoSpaceDN w:val="0"/>
        <w:adjustRightInd/>
        <w:snapToGrid/>
        <w:jc w:val="both"/>
        <w:rPr>
          <w:rFonts w:ascii="宋体" w:hAnsi="宋体" w:cs="宋体"/>
          <w:b/>
          <w:bCs/>
          <w:color w:val="auto"/>
          <w:szCs w:val="21"/>
          <w:highlight w:val="none"/>
        </w:rPr>
      </w:pPr>
      <w:r>
        <w:rPr>
          <w:rFonts w:hint="eastAsia" w:ascii="宋体" w:hAnsi="宋体" w:cs="宋体"/>
          <w:b/>
          <w:bCs/>
          <w:color w:val="auto"/>
          <w:szCs w:val="21"/>
          <w:highlight w:val="none"/>
        </w:rPr>
        <w:t>（1）电动碟阀</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① 性能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介质：餐厨垃圾浆料；</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泄露等级：Ⅳ（清水）。</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② 参数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管径：按工艺需求；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压力：PN10；</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 xml:space="preserve">连接过程：法兰对夹； </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驱动方式：电动。</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③ 材质</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阀体：SS304；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阀芯：SS304；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阀杆：SS304；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阀座：氟橡胶密封。</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jc w:val="both"/>
        <w:rPr>
          <w:rFonts w:ascii="宋体" w:hAnsi="宋体" w:cs="宋体"/>
          <w:b/>
          <w:bCs/>
          <w:color w:val="auto"/>
          <w:szCs w:val="21"/>
          <w:highlight w:val="none"/>
        </w:rPr>
      </w:pPr>
      <w:r>
        <w:rPr>
          <w:rFonts w:hint="eastAsia" w:ascii="宋体" w:hAnsi="宋体" w:cs="宋体"/>
          <w:b/>
          <w:bCs/>
          <w:color w:val="auto"/>
          <w:szCs w:val="21"/>
          <w:highlight w:val="none"/>
        </w:rPr>
        <w:t>（2）刀闸阀</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① 性能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介质：餐厨垃圾浆料；</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泄露等级：Ⅳ（清水）。</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② 参数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管径：按工艺需求；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压力：PN10；</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 xml:space="preserve">连接过程：法兰对夹； </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驱动方式：手动。</w:t>
      </w:r>
    </w:p>
    <w:p>
      <w:pPr>
        <w:widowControl w:val="0"/>
        <w:autoSpaceDE w:val="0"/>
        <w:autoSpaceDN w:val="0"/>
        <w:adjustRightInd/>
        <w:snapToGrid/>
        <w:jc w:val="both"/>
        <w:rPr>
          <w:rFonts w:ascii="宋体" w:hAnsi="宋体" w:cs="宋体"/>
          <w:color w:val="auto"/>
          <w:szCs w:val="21"/>
          <w:highlight w:val="none"/>
        </w:rPr>
      </w:pP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③ 材质</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阀体：SS304；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阀芯：SS304；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阀杆：SS304；</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阀座：氟橡胶密封。</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outlineLvl w:val="2"/>
        <w:rPr>
          <w:rFonts w:ascii="宋体" w:hAnsi="宋体" w:cs="宋体"/>
          <w:b/>
          <w:color w:val="auto"/>
          <w:szCs w:val="21"/>
          <w:highlight w:val="none"/>
        </w:rPr>
      </w:pPr>
      <w:bookmarkStart w:id="654" w:name="_Toc145084971"/>
      <w:r>
        <w:rPr>
          <w:rFonts w:hint="eastAsia" w:ascii="宋体" w:hAnsi="宋体" w:cs="宋体"/>
          <w:b/>
          <w:color w:val="auto"/>
          <w:szCs w:val="21"/>
          <w:highlight w:val="none"/>
        </w:rPr>
        <w:t>5.3.3系统布置要求</w:t>
      </w:r>
      <w:bookmarkEnd w:id="654"/>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需根据提供的施工图设计文件，按总图区域占地进行设备的布置和设计。设备布局应科学合理，确保系统的布置不突破车间内部的空间尺寸，并需配合建筑设计一同确保满足建筑物限高要求，并需预留巡视、检修及消防等的通道与空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中标人须根据土建方案布置图进行设备布置，并满足框架桩基图和基础图的要求，避免额外增加补桩或者改变基础图的设计。设备布置考虑桩位置，设备基础布局尽量布置在现有桩位上或者基础梁上。</w:t>
      </w:r>
    </w:p>
    <w:p>
      <w:pPr>
        <w:widowControl w:val="0"/>
        <w:autoSpaceDE w:val="0"/>
        <w:autoSpaceDN w:val="0"/>
        <w:outlineLvl w:val="2"/>
        <w:rPr>
          <w:rFonts w:ascii="宋体" w:hAnsi="宋体" w:cs="宋体"/>
          <w:b/>
          <w:color w:val="auto"/>
          <w:szCs w:val="21"/>
          <w:highlight w:val="none"/>
        </w:rPr>
      </w:pPr>
      <w:bookmarkStart w:id="655" w:name="_Toc145084972"/>
      <w:r>
        <w:rPr>
          <w:rFonts w:hint="eastAsia" w:ascii="宋体" w:hAnsi="宋体" w:cs="宋体"/>
          <w:b/>
          <w:color w:val="auto"/>
          <w:szCs w:val="21"/>
          <w:highlight w:val="none"/>
        </w:rPr>
        <w:t>5.3.4电气控制系统</w:t>
      </w:r>
      <w:bookmarkEnd w:id="655"/>
    </w:p>
    <w:p>
      <w:pPr>
        <w:widowControl w:val="0"/>
        <w:autoSpaceDE w:val="0"/>
        <w:autoSpaceDN w:val="0"/>
        <w:adjustRightInd/>
        <w:snapToGrid/>
        <w:ind w:firstLine="422" w:firstLineChars="200"/>
        <w:jc w:val="both"/>
        <w:rPr>
          <w:rFonts w:ascii="宋体" w:hAnsi="宋体" w:cs="宋体"/>
          <w:b/>
          <w:bCs/>
          <w:color w:val="auto"/>
          <w:szCs w:val="21"/>
          <w:highlight w:val="none"/>
        </w:rPr>
      </w:pPr>
      <w:bookmarkStart w:id="656" w:name="_Toc629"/>
      <w:bookmarkStart w:id="657" w:name="_Toc30171"/>
      <w:bookmarkStart w:id="658" w:name="_Toc30505"/>
      <w:bookmarkStart w:id="659" w:name="_Toc1405"/>
      <w:bookmarkStart w:id="660" w:name="_Toc15679"/>
      <w:bookmarkStart w:id="661" w:name="_Toc145083792"/>
      <w:bookmarkStart w:id="662" w:name="_Toc27757_WPSOffice_Level3"/>
      <w:bookmarkStart w:id="663" w:name="_Toc28091"/>
      <w:r>
        <w:rPr>
          <w:rFonts w:hint="eastAsia" w:ascii="宋体" w:hAnsi="宋体" w:cs="宋体"/>
          <w:b/>
          <w:bCs/>
          <w:color w:val="auto"/>
          <w:szCs w:val="21"/>
          <w:highlight w:val="none"/>
        </w:rPr>
        <w:t>1．电气系统分界</w:t>
      </w:r>
      <w:bookmarkEnd w:id="656"/>
      <w:bookmarkEnd w:id="657"/>
      <w:bookmarkEnd w:id="658"/>
      <w:bookmarkEnd w:id="659"/>
      <w:bookmarkEnd w:id="660"/>
      <w:bookmarkEnd w:id="661"/>
      <w:bookmarkEnd w:id="662"/>
      <w:bookmarkEnd w:id="663"/>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由中标人负责全工艺所需电源输送电缆。从采购人指定配电开关柜馈线开关（抽屉开关）下端口至各单元用电（含动力柜、控制柜）由中标人负责。电气系统及本次招标范围内的电气设备、电气元件、动力电缆、控制电缆等其余所有施工安装材料等供货和安装等均由中标人负责。</w:t>
      </w:r>
    </w:p>
    <w:p>
      <w:pPr>
        <w:widowControl w:val="0"/>
        <w:autoSpaceDE w:val="0"/>
        <w:autoSpaceDN w:val="0"/>
        <w:adjustRightInd/>
        <w:snapToGrid/>
        <w:ind w:firstLine="422" w:firstLineChars="200"/>
        <w:jc w:val="both"/>
        <w:rPr>
          <w:rFonts w:ascii="宋体" w:hAnsi="宋体" w:cs="宋体"/>
          <w:b/>
          <w:bCs/>
          <w:color w:val="auto"/>
          <w:szCs w:val="21"/>
          <w:highlight w:val="none"/>
        </w:rPr>
      </w:pPr>
      <w:bookmarkStart w:id="664" w:name="_Toc29227"/>
      <w:bookmarkStart w:id="665" w:name="_Toc9226"/>
      <w:bookmarkStart w:id="666" w:name="_Toc12288"/>
      <w:bookmarkStart w:id="667" w:name="_Toc145083793"/>
      <w:bookmarkStart w:id="668" w:name="_Toc23609_WPSOffice_Level3"/>
      <w:bookmarkStart w:id="669" w:name="_Toc12776"/>
      <w:bookmarkStart w:id="670" w:name="_Toc22222"/>
      <w:bookmarkStart w:id="671" w:name="_Toc15108"/>
      <w:r>
        <w:rPr>
          <w:rFonts w:hint="eastAsia" w:ascii="宋体" w:hAnsi="宋体" w:cs="宋体"/>
          <w:b/>
          <w:bCs/>
          <w:color w:val="auto"/>
          <w:szCs w:val="21"/>
          <w:highlight w:val="none"/>
        </w:rPr>
        <w:t>2．控制系统分界</w:t>
      </w:r>
      <w:bookmarkEnd w:id="664"/>
      <w:bookmarkEnd w:id="665"/>
      <w:bookmarkEnd w:id="666"/>
      <w:bookmarkEnd w:id="667"/>
      <w:bookmarkEnd w:id="668"/>
      <w:bookmarkEnd w:id="669"/>
      <w:bookmarkEnd w:id="670"/>
      <w:bookmarkEnd w:id="671"/>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（1）概述</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系统采用1套西门子S7-1200 PLC和配套触摸屏控制，需将污水系统与压缩站系统必要的联锁控制逻辑，以及整套厨余垃圾处理系统的控制地址和工艺流程图提供给压缩站供应商，通讯协议采用西门子基于以太网的标准S7通讯协议，同时将网络布线连接按压缩站系统供应商要求连接到指定设备连接点，由压缩站系统供应商对该系统进行上位机组态，并配合调试。PLC和触摸屏不得设置密码阻止发标方对其进行编程和组态操作。</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（2）PLC控制系统</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触摸屏控制界面需能显示该污水系统所有设备的状态，并可在上位机和触摸屏界面上自动控制，可进行手动和全自动操作。包括了数据采集、过程监视、操作控制、故障报警、生产数据管理等功能。</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 xml:space="preserve">1）数据采集：采集车间各个生产过程的工艺参数、电气设备运行状态和电气参数等信息。 </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 xml:space="preserve">2）生产过程监视功能：通过监控管理计算机的实时动态，以流程图或其他图文形式，显示设备状态、物料流向等各类生产过程的综合信息。 </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 xml:space="preserve">3）控制功能：通过操作站可实现对相关设备的即时管控，控制方式需可采用远程上位机控制和现场控制。正常生产情况下，各设备可按设定好的工艺参数实现自动控制。多层级控制时，现场操作层级需优先于远程控制。 </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 xml:space="preserve">4）报警功能：系统对实时数据进行监控分析，生产过程中的监控点数据一旦超出设定范围值，即刻会发出故障报警，并显示故障点和故障状态，方便及时处理。并可记录故障信息，提供的报警日志，对相应内容进行归档方便事后复盘。 </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5）生产数据管理：建立各种信息数据库，保存各类工艺电气参数，设备运行记录、控制、报警、故障等数据，自动生产历史数据库。完成数据传送和报表打印。</w:t>
      </w:r>
    </w:p>
    <w:p>
      <w:pPr>
        <w:widowControl w:val="0"/>
        <w:autoSpaceDE w:val="0"/>
        <w:autoSpaceDN w:val="0"/>
        <w:adjustRightInd/>
        <w:snapToGrid/>
        <w:ind w:firstLine="422" w:firstLineChars="200"/>
        <w:jc w:val="both"/>
        <w:rPr>
          <w:rFonts w:ascii="宋体" w:hAnsi="宋体" w:cs="宋体"/>
          <w:b/>
          <w:bCs/>
          <w:color w:val="auto"/>
          <w:szCs w:val="21"/>
          <w:highlight w:val="none"/>
        </w:rPr>
      </w:pPr>
      <w:bookmarkStart w:id="672" w:name="_Toc2000"/>
      <w:bookmarkStart w:id="673" w:name="_Toc16857"/>
      <w:bookmarkStart w:id="674" w:name="_Toc23495"/>
      <w:bookmarkStart w:id="675" w:name="_Toc15568"/>
      <w:bookmarkStart w:id="676" w:name="_Toc145083794"/>
      <w:bookmarkStart w:id="677" w:name="_Toc20117"/>
      <w:bookmarkStart w:id="678" w:name="_Toc22986_WPSOffice_Level3"/>
      <w:bookmarkStart w:id="679" w:name="_Toc20621"/>
      <w:r>
        <w:rPr>
          <w:rFonts w:hint="eastAsia" w:ascii="宋体" w:hAnsi="宋体" w:cs="宋体"/>
          <w:b/>
          <w:bCs/>
          <w:color w:val="auto"/>
          <w:szCs w:val="21"/>
          <w:highlight w:val="none"/>
        </w:rPr>
        <w:t>3．电气系统设计原则</w:t>
      </w:r>
      <w:bookmarkEnd w:id="672"/>
      <w:bookmarkEnd w:id="673"/>
      <w:bookmarkEnd w:id="674"/>
      <w:bookmarkEnd w:id="675"/>
      <w:bookmarkEnd w:id="676"/>
      <w:bookmarkEnd w:id="677"/>
      <w:bookmarkEnd w:id="678"/>
      <w:bookmarkEnd w:id="679"/>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电气设备、元件及管线、电缆、电气辅助材料等满足国家或行业现行的制造标准及施工图的要求。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低压电气柜：采用仿威图结构的固定式开关柜，进线柜内电源有明显断开点，设置总进线断路器保护等。所有电气柜需要有自身良好的散热冷却系统，如有放在非配电房的低压柜子都能满足正常的室外连续24小时不间断的工作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低压电气柜壳体为碳钢喷塑。</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所有需要调整转速的电动机采用变频调速方式。</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电动机允许在90～110%额定电压范围内正常运行，在70%的额定电压下能可靠起动。室内电机防护等级IP54，室外防护等级IP55；绝缘等级F，B级温升考虑。</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每个电机旁方便操作的位置设置就地操作箱，箱内包含相应的就地远程选择开关、启停按钮、信号指示灯等。可以几个电机共用一个操作箱。对于有远程操作要求的电机，须设置远程/就地转换开关。</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缆及导线：低压电力电缆采用国标阻燃电缆，并预留至少20%冗余裕量，控制电缆和信号电缆采用国标屏蔽电缆；所配电缆视具体工艺不同有相应防护装置，满足：防爆，防油，防水，铠装，护套等防护要求；线缆颜色视应用场合符合国标要求；干线在电缆沟内或电缆桥架内敷设，支线穿镀锌钢管敷设，必须符合国家施工规范；</w:t>
      </w:r>
    </w:p>
    <w:p>
      <w:pPr>
        <w:widowControl w:val="0"/>
        <w:autoSpaceDE w:val="0"/>
        <w:autoSpaceDN w:val="0"/>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电力电缆型号考虑采用ZR-YJV-0.6/1KV阻燃电力电缆，开关量电缆考虑采用KVVP-0.45/0.75kV聚氯乙烯绝缘控制电缆，模拟量电缆考虑采用ZR-DJYVP型计算机电缆；</w:t>
      </w:r>
    </w:p>
    <w:p>
      <w:pPr>
        <w:widowControl w:val="0"/>
        <w:autoSpaceDE w:val="0"/>
        <w:autoSpaceDN w:val="0"/>
        <w:adjustRightInd/>
        <w:snapToGrid/>
        <w:ind w:firstLine="422" w:firstLineChars="200"/>
        <w:jc w:val="both"/>
        <w:rPr>
          <w:rFonts w:ascii="宋体" w:hAnsi="宋体" w:cs="宋体"/>
          <w:b/>
          <w:bCs/>
          <w:color w:val="auto"/>
          <w:szCs w:val="21"/>
          <w:highlight w:val="none"/>
        </w:rPr>
      </w:pPr>
      <w:bookmarkStart w:id="680" w:name="_Toc19346"/>
      <w:bookmarkStart w:id="681" w:name="_Toc26273"/>
      <w:bookmarkStart w:id="682" w:name="_Toc20604"/>
      <w:bookmarkStart w:id="683" w:name="_Toc21675_WPSOffice_Level3"/>
      <w:bookmarkStart w:id="684" w:name="_Toc145083795"/>
      <w:bookmarkStart w:id="685" w:name="_Toc8658"/>
      <w:bookmarkStart w:id="686" w:name="_Toc18572"/>
      <w:bookmarkStart w:id="687" w:name="_Toc461"/>
      <w:r>
        <w:rPr>
          <w:rFonts w:hint="eastAsia" w:ascii="宋体" w:hAnsi="宋体" w:cs="宋体"/>
          <w:b/>
          <w:bCs/>
          <w:color w:val="auto"/>
          <w:szCs w:val="21"/>
          <w:highlight w:val="none"/>
        </w:rPr>
        <w:t>4．控制系统设计原则</w:t>
      </w:r>
      <w:bookmarkEnd w:id="680"/>
      <w:bookmarkEnd w:id="681"/>
      <w:bookmarkEnd w:id="682"/>
      <w:bookmarkEnd w:id="683"/>
      <w:bookmarkEnd w:id="684"/>
      <w:bookmarkEnd w:id="685"/>
      <w:bookmarkEnd w:id="686"/>
      <w:bookmarkEnd w:id="687"/>
    </w:p>
    <w:p>
      <w:pPr>
        <w:widowControl w:val="0"/>
        <w:autoSpaceDE w:val="0"/>
        <w:autoSpaceDN w:val="0"/>
        <w:adjustRightInd/>
        <w:snapToGrid/>
        <w:ind w:firstLine="422" w:firstLineChars="200"/>
        <w:jc w:val="both"/>
        <w:rPr>
          <w:rFonts w:ascii="宋体" w:hAnsi="宋体" w:cs="宋体"/>
          <w:b/>
          <w:bCs/>
          <w:color w:val="auto"/>
          <w:szCs w:val="21"/>
          <w:highlight w:val="none"/>
        </w:rPr>
      </w:pPr>
      <w:bookmarkStart w:id="688" w:name="_Toc4068"/>
      <w:bookmarkStart w:id="689" w:name="_Toc4839"/>
      <w:bookmarkStart w:id="690" w:name="_Toc22892"/>
      <w:bookmarkStart w:id="691" w:name="_Toc31702"/>
      <w:r>
        <w:rPr>
          <w:rFonts w:hint="eastAsia" w:ascii="宋体" w:hAnsi="宋体" w:cs="宋体"/>
          <w:b/>
          <w:bCs/>
          <w:color w:val="auto"/>
          <w:szCs w:val="21"/>
          <w:highlight w:val="none"/>
        </w:rPr>
        <w:t>（1）硬件要求</w:t>
      </w:r>
      <w:bookmarkEnd w:id="688"/>
      <w:bookmarkEnd w:id="689"/>
      <w:bookmarkEnd w:id="690"/>
      <w:bookmarkEnd w:id="691"/>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PLC选用西门子品牌，控制器选用S7-1200（CPU1200或或以上）系列。控制系统留有2个以太网通信接口，接口满足本项目整体监控成套项目的通信要求，1个给本项目提供触摸屏通讯，另1个预留给SCADA上位机通讯。</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PLC柜内低压元器件为施耐德品牌， PLC部分包括所有必要的处理器、存储器、机架、接口模块、输入和输出模块、电源部件以及一个完整的运行系统所需要的微型断路器、小型中间继电器和接线端子等。</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每个控制器CPU的负荷率不大于40%,内部存储器占用容量不大于50%。</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每种类型I/O测点都应有10%的备用量，每个IO站应有10%件插槽备用量。</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接线端子每排应备有不少于10%的备用量。</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控制系统采用UPS供电，后备时间不低于60min。</w:t>
      </w:r>
    </w:p>
    <w:p>
      <w:pPr>
        <w:widowControl w:val="0"/>
        <w:autoSpaceDE w:val="0"/>
        <w:autoSpaceDN w:val="0"/>
        <w:adjustRightInd/>
        <w:snapToGrid/>
        <w:ind w:firstLine="420" w:firstLineChars="200"/>
        <w:jc w:val="both"/>
        <w:rPr>
          <w:rFonts w:ascii="宋体" w:hAnsi="宋体" w:cs="宋体"/>
          <w:color w:val="auto"/>
          <w:szCs w:val="21"/>
          <w:highlight w:val="none"/>
        </w:rPr>
      </w:pPr>
    </w:p>
    <w:p>
      <w:pPr>
        <w:widowControl w:val="0"/>
        <w:autoSpaceDE w:val="0"/>
        <w:autoSpaceDN w:val="0"/>
        <w:jc w:val="both"/>
        <w:outlineLvl w:val="0"/>
        <w:rPr>
          <w:rFonts w:ascii="宋体" w:hAnsi="宋体" w:cs="宋体"/>
          <w:b/>
          <w:color w:val="auto"/>
          <w:szCs w:val="21"/>
          <w:highlight w:val="none"/>
        </w:rPr>
      </w:pPr>
      <w:bookmarkStart w:id="692" w:name="_Toc145084973"/>
      <w:r>
        <w:rPr>
          <w:rFonts w:hint="eastAsia" w:ascii="宋体" w:hAnsi="宋体" w:cs="宋体"/>
          <w:b/>
          <w:color w:val="auto"/>
          <w:szCs w:val="21"/>
          <w:highlight w:val="none"/>
        </w:rPr>
        <w:t>六、技术资料与文件</w:t>
      </w:r>
      <w:bookmarkEnd w:id="692"/>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本项目所有的技术资料与文件采用中文编制，单位采用国际单位制。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投标文件技术部分按以下三个分册编制：投标文件技术部分、技术部分附图、项目实施建议书。</w:t>
      </w:r>
    </w:p>
    <w:p>
      <w:pPr>
        <w:widowControl w:val="0"/>
        <w:numPr>
          <w:ilvl w:val="1"/>
          <w:numId w:val="103"/>
        </w:numPr>
        <w:autoSpaceDE w:val="0"/>
        <w:autoSpaceDN w:val="0"/>
        <w:ind w:left="0" w:firstLine="602"/>
        <w:jc w:val="both"/>
        <w:outlineLvl w:val="1"/>
        <w:rPr>
          <w:rFonts w:ascii="宋体" w:hAnsi="宋体" w:cs="宋体"/>
          <w:b/>
          <w:color w:val="auto"/>
          <w:szCs w:val="21"/>
          <w:highlight w:val="none"/>
        </w:rPr>
      </w:pPr>
      <w:bookmarkStart w:id="693" w:name="_Toc145084974"/>
      <w:r>
        <w:rPr>
          <w:rFonts w:hint="eastAsia" w:ascii="宋体" w:hAnsi="宋体" w:cs="宋体"/>
          <w:b/>
          <w:color w:val="auto"/>
          <w:szCs w:val="21"/>
          <w:highlight w:val="none"/>
        </w:rPr>
        <w:t>投标文件技术部分</w:t>
      </w:r>
      <w:bookmarkEnd w:id="693"/>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投标文件技术部分内容应包括但不局限于以下章节和内容：</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项目介绍</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项目工作范围</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设计依据与引用标准</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公用工程需求条件</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主设备性能参数说明</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系统性能承诺指标及保障措施</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公用工程与化学品消耗需求量及承诺值</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三废（废水、废气、废固）排放量表及保证方案</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工艺描述</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设备选型与计算</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辅料化学品规格</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仪表与自控技术方案</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电气技术方案</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钢结构、平台和通道设计方案</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保温与防腐</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设备供货清单</w:t>
      </w:r>
    </w:p>
    <w:p>
      <w:pPr>
        <w:widowControl w:val="0"/>
        <w:autoSpaceDE w:val="0"/>
        <w:autoSpaceDN w:val="0"/>
        <w:adjustRightInd/>
        <w:snapToGrid/>
        <w:ind w:firstLine="1260" w:firstLineChars="600"/>
        <w:jc w:val="both"/>
        <w:rPr>
          <w:rFonts w:ascii="宋体" w:hAnsi="宋体" w:cs="宋体"/>
          <w:color w:val="auto"/>
          <w:szCs w:val="21"/>
          <w:highlight w:val="none"/>
        </w:rPr>
      </w:pPr>
      <w:r>
        <w:rPr>
          <w:rFonts w:hint="eastAsia" w:ascii="宋体" w:hAnsi="宋体" w:cs="宋体"/>
          <w:color w:val="auto"/>
          <w:szCs w:val="21"/>
          <w:highlight w:val="none"/>
        </w:rPr>
        <w:t>工艺设备供货清单</w:t>
      </w:r>
    </w:p>
    <w:p>
      <w:pPr>
        <w:widowControl w:val="0"/>
        <w:autoSpaceDE w:val="0"/>
        <w:autoSpaceDN w:val="0"/>
        <w:adjustRightInd/>
        <w:snapToGrid/>
        <w:ind w:firstLine="1260" w:firstLineChars="600"/>
        <w:jc w:val="both"/>
        <w:rPr>
          <w:rFonts w:ascii="宋体" w:hAnsi="宋体" w:cs="宋体"/>
          <w:color w:val="auto"/>
          <w:szCs w:val="21"/>
          <w:highlight w:val="none"/>
        </w:rPr>
      </w:pPr>
      <w:r>
        <w:rPr>
          <w:rFonts w:hint="eastAsia" w:ascii="宋体" w:hAnsi="宋体" w:cs="宋体"/>
          <w:color w:val="auto"/>
          <w:szCs w:val="21"/>
          <w:highlight w:val="none"/>
        </w:rPr>
        <w:t>仪表设备供货清单</w:t>
      </w:r>
    </w:p>
    <w:p>
      <w:pPr>
        <w:widowControl w:val="0"/>
        <w:autoSpaceDE w:val="0"/>
        <w:autoSpaceDN w:val="0"/>
        <w:adjustRightInd/>
        <w:snapToGrid/>
        <w:ind w:firstLine="1260" w:firstLineChars="600"/>
        <w:jc w:val="both"/>
        <w:rPr>
          <w:rFonts w:ascii="宋体" w:hAnsi="宋体" w:cs="宋体"/>
          <w:color w:val="auto"/>
          <w:szCs w:val="21"/>
          <w:highlight w:val="none"/>
        </w:rPr>
      </w:pPr>
      <w:r>
        <w:rPr>
          <w:rFonts w:hint="eastAsia" w:ascii="宋体" w:hAnsi="宋体" w:cs="宋体"/>
          <w:color w:val="auto"/>
          <w:szCs w:val="21"/>
          <w:highlight w:val="none"/>
        </w:rPr>
        <w:t>电气设备供货清单</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材料供货清单</w:t>
      </w:r>
    </w:p>
    <w:p>
      <w:pPr>
        <w:widowControl w:val="0"/>
        <w:autoSpaceDE w:val="0"/>
        <w:autoSpaceDN w:val="0"/>
        <w:adjustRightInd/>
        <w:snapToGrid/>
        <w:ind w:firstLine="1260" w:firstLineChars="600"/>
        <w:jc w:val="both"/>
        <w:rPr>
          <w:rFonts w:ascii="宋体" w:hAnsi="宋体" w:cs="宋体"/>
          <w:color w:val="auto"/>
          <w:szCs w:val="21"/>
          <w:highlight w:val="none"/>
        </w:rPr>
      </w:pPr>
      <w:r>
        <w:rPr>
          <w:rFonts w:hint="eastAsia" w:ascii="宋体" w:hAnsi="宋体" w:cs="宋体"/>
          <w:color w:val="auto"/>
          <w:szCs w:val="21"/>
          <w:highlight w:val="none"/>
        </w:rPr>
        <w:t>管道材料供货清单</w:t>
      </w:r>
    </w:p>
    <w:p>
      <w:pPr>
        <w:widowControl w:val="0"/>
        <w:autoSpaceDE w:val="0"/>
        <w:autoSpaceDN w:val="0"/>
        <w:adjustRightInd/>
        <w:snapToGrid/>
        <w:ind w:firstLine="1260" w:firstLineChars="600"/>
        <w:jc w:val="both"/>
        <w:rPr>
          <w:rFonts w:ascii="宋体" w:hAnsi="宋体" w:cs="宋体"/>
          <w:color w:val="auto"/>
          <w:szCs w:val="21"/>
          <w:highlight w:val="none"/>
        </w:rPr>
      </w:pPr>
      <w:r>
        <w:rPr>
          <w:rFonts w:hint="eastAsia" w:ascii="宋体" w:hAnsi="宋体" w:cs="宋体"/>
          <w:color w:val="auto"/>
          <w:szCs w:val="21"/>
          <w:highlight w:val="none"/>
        </w:rPr>
        <w:t>仪表材料供货清单</w:t>
      </w:r>
    </w:p>
    <w:p>
      <w:pPr>
        <w:widowControl w:val="0"/>
        <w:autoSpaceDE w:val="0"/>
        <w:autoSpaceDN w:val="0"/>
        <w:adjustRightInd/>
        <w:snapToGrid/>
        <w:ind w:firstLine="1260" w:firstLineChars="600"/>
        <w:jc w:val="both"/>
        <w:rPr>
          <w:rFonts w:ascii="宋体" w:hAnsi="宋体" w:cs="宋体"/>
          <w:color w:val="auto"/>
          <w:szCs w:val="21"/>
          <w:highlight w:val="none"/>
        </w:rPr>
      </w:pPr>
      <w:r>
        <w:rPr>
          <w:rFonts w:hint="eastAsia" w:ascii="宋体" w:hAnsi="宋体" w:cs="宋体"/>
          <w:color w:val="auto"/>
          <w:szCs w:val="21"/>
          <w:highlight w:val="none"/>
        </w:rPr>
        <w:t>电气材料供货清单</w:t>
      </w:r>
    </w:p>
    <w:p>
      <w:pPr>
        <w:widowControl w:val="0"/>
        <w:autoSpaceDE w:val="0"/>
        <w:autoSpaceDN w:val="0"/>
        <w:adjustRightInd/>
        <w:snapToGrid/>
        <w:ind w:firstLine="1260" w:firstLineChars="600"/>
        <w:jc w:val="both"/>
        <w:rPr>
          <w:rFonts w:ascii="宋体" w:hAnsi="宋体" w:cs="宋体"/>
          <w:color w:val="auto"/>
          <w:szCs w:val="21"/>
          <w:highlight w:val="none"/>
        </w:rPr>
      </w:pPr>
      <w:r>
        <w:rPr>
          <w:rFonts w:hint="eastAsia" w:ascii="宋体" w:hAnsi="宋体" w:cs="宋体"/>
          <w:color w:val="auto"/>
          <w:szCs w:val="21"/>
          <w:highlight w:val="none"/>
        </w:rPr>
        <w:t>备品备件供货清单</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安装说明</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工程进度计划</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项目拟配置人员信息</w:t>
      </w:r>
    </w:p>
    <w:p>
      <w:pPr>
        <w:widowControl w:val="0"/>
        <w:numPr>
          <w:ilvl w:val="0"/>
          <w:numId w:val="104"/>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其他</w:t>
      </w:r>
    </w:p>
    <w:p>
      <w:pPr>
        <w:widowControl w:val="0"/>
        <w:numPr>
          <w:ilvl w:val="1"/>
          <w:numId w:val="103"/>
        </w:numPr>
        <w:autoSpaceDE w:val="0"/>
        <w:autoSpaceDN w:val="0"/>
        <w:ind w:left="0" w:firstLine="602"/>
        <w:jc w:val="both"/>
        <w:outlineLvl w:val="1"/>
        <w:rPr>
          <w:rFonts w:ascii="宋体" w:hAnsi="宋体" w:cs="宋体"/>
          <w:b/>
          <w:color w:val="auto"/>
          <w:szCs w:val="21"/>
          <w:highlight w:val="none"/>
        </w:rPr>
      </w:pPr>
      <w:bookmarkStart w:id="694" w:name="_Toc145084975"/>
      <w:r>
        <w:rPr>
          <w:rFonts w:hint="eastAsia" w:ascii="宋体" w:hAnsi="宋体" w:cs="宋体"/>
          <w:b/>
          <w:color w:val="auto"/>
          <w:szCs w:val="21"/>
          <w:highlight w:val="none"/>
        </w:rPr>
        <w:t>技术部分附图</w:t>
      </w:r>
      <w:bookmarkEnd w:id="694"/>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技术建议书附图应包括但不局限于以下图纸：</w:t>
      </w:r>
    </w:p>
    <w:p>
      <w:pPr>
        <w:widowControl w:val="0"/>
        <w:numPr>
          <w:ilvl w:val="0"/>
          <w:numId w:val="105"/>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流程框图；</w:t>
      </w:r>
    </w:p>
    <w:p>
      <w:pPr>
        <w:widowControl w:val="0"/>
        <w:numPr>
          <w:ilvl w:val="0"/>
          <w:numId w:val="105"/>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管道仪表流程图（PID）；</w:t>
      </w:r>
    </w:p>
    <w:p>
      <w:pPr>
        <w:widowControl w:val="0"/>
        <w:numPr>
          <w:ilvl w:val="0"/>
          <w:numId w:val="105"/>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设备平图布置图（含工艺设备尺寸、定位、荷载等）；</w:t>
      </w:r>
    </w:p>
    <w:p>
      <w:pPr>
        <w:widowControl w:val="0"/>
        <w:numPr>
          <w:ilvl w:val="0"/>
          <w:numId w:val="105"/>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动力配电系统图</w:t>
      </w:r>
    </w:p>
    <w:p>
      <w:pPr>
        <w:widowControl w:val="0"/>
        <w:numPr>
          <w:ilvl w:val="0"/>
          <w:numId w:val="105"/>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控制系统网络结构图；</w:t>
      </w:r>
    </w:p>
    <w:p>
      <w:pPr>
        <w:widowControl w:val="0"/>
        <w:numPr>
          <w:ilvl w:val="1"/>
          <w:numId w:val="103"/>
        </w:numPr>
        <w:autoSpaceDE w:val="0"/>
        <w:autoSpaceDN w:val="0"/>
        <w:ind w:left="0" w:firstLine="602"/>
        <w:jc w:val="both"/>
        <w:outlineLvl w:val="1"/>
        <w:rPr>
          <w:rFonts w:ascii="宋体" w:hAnsi="宋体" w:cs="宋体"/>
          <w:b/>
          <w:color w:val="auto"/>
          <w:szCs w:val="21"/>
          <w:highlight w:val="none"/>
        </w:rPr>
      </w:pPr>
      <w:bookmarkStart w:id="695" w:name="_Toc145084976"/>
      <w:r>
        <w:rPr>
          <w:rFonts w:hint="eastAsia" w:ascii="宋体" w:hAnsi="宋体" w:cs="宋体"/>
          <w:b/>
          <w:color w:val="auto"/>
          <w:szCs w:val="21"/>
          <w:highlight w:val="none"/>
        </w:rPr>
        <w:t>项目实施建议书</w:t>
      </w:r>
      <w:bookmarkEnd w:id="695"/>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项目实施建议书应包括但不局限于以下内容：</w:t>
      </w:r>
    </w:p>
    <w:p>
      <w:pPr>
        <w:widowControl w:val="0"/>
        <w:numPr>
          <w:ilvl w:val="0"/>
          <w:numId w:val="106"/>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项目概述</w:t>
      </w:r>
    </w:p>
    <w:p>
      <w:pPr>
        <w:widowControl w:val="0"/>
        <w:numPr>
          <w:ilvl w:val="0"/>
          <w:numId w:val="106"/>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项目范围</w:t>
      </w:r>
    </w:p>
    <w:p>
      <w:pPr>
        <w:widowControl w:val="0"/>
        <w:numPr>
          <w:ilvl w:val="0"/>
          <w:numId w:val="106"/>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项目目标</w:t>
      </w:r>
    </w:p>
    <w:p>
      <w:pPr>
        <w:widowControl w:val="0"/>
        <w:numPr>
          <w:ilvl w:val="0"/>
          <w:numId w:val="106"/>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项目实施管理策略</w:t>
      </w:r>
    </w:p>
    <w:p>
      <w:pPr>
        <w:widowControl w:val="0"/>
        <w:numPr>
          <w:ilvl w:val="0"/>
          <w:numId w:val="106"/>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项目组织机构与人力资源投入计划</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包括但不局限于：项目组织机构，设计、设备监检、安装、调试及保运阶段拟投入本项目的人员资源，专业负责人及以上管理人员的简历等；</w:t>
      </w:r>
    </w:p>
    <w:p>
      <w:pPr>
        <w:widowControl w:val="0"/>
        <w:numPr>
          <w:ilvl w:val="0"/>
          <w:numId w:val="106"/>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项目EHS管理；</w:t>
      </w:r>
    </w:p>
    <w:p>
      <w:pPr>
        <w:widowControl w:val="0"/>
        <w:numPr>
          <w:ilvl w:val="0"/>
          <w:numId w:val="106"/>
        </w:numPr>
        <w:autoSpaceDE w:val="0"/>
        <w:autoSpaceDN w:val="0"/>
        <w:jc w:val="both"/>
        <w:rPr>
          <w:rFonts w:ascii="宋体" w:hAnsi="宋体" w:cs="宋体"/>
          <w:color w:val="auto"/>
          <w:szCs w:val="21"/>
          <w:highlight w:val="none"/>
        </w:rPr>
      </w:pPr>
      <w:r>
        <w:rPr>
          <w:rFonts w:hint="eastAsia" w:ascii="宋体" w:hAnsi="宋体" w:cs="宋体"/>
          <w:color w:val="auto"/>
          <w:szCs w:val="21"/>
          <w:highlight w:val="none"/>
        </w:rPr>
        <w:t>项目质量管理质量保证措施；</w:t>
      </w:r>
    </w:p>
    <w:p>
      <w:pPr>
        <w:widowControl w:val="0"/>
        <w:numPr>
          <w:ilvl w:val="0"/>
          <w:numId w:val="10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项目进度控制管理与进度保证措施；</w:t>
      </w:r>
    </w:p>
    <w:p>
      <w:pPr>
        <w:widowControl w:val="0"/>
        <w:autoSpaceDE w:val="0"/>
        <w:autoSpaceDN w:val="0"/>
        <w:ind w:left="480"/>
        <w:jc w:val="both"/>
        <w:rPr>
          <w:rFonts w:ascii="宋体" w:hAnsi="宋体" w:cs="宋体"/>
          <w:color w:val="auto"/>
          <w:szCs w:val="21"/>
          <w:highlight w:val="none"/>
        </w:rPr>
      </w:pPr>
      <w:r>
        <w:rPr>
          <w:rFonts w:hint="eastAsia" w:ascii="宋体" w:hAnsi="宋体" w:cs="宋体"/>
          <w:color w:val="auto"/>
          <w:szCs w:val="21"/>
          <w:highlight w:val="none"/>
        </w:rPr>
        <w:t>包括但不限于：进度目标，详细的进度进度表（横道图表示的），进度保证的具体</w:t>
      </w:r>
    </w:p>
    <w:p>
      <w:pPr>
        <w:widowControl w:val="0"/>
        <w:autoSpaceDE w:val="0"/>
        <w:autoSpaceDN w:val="0"/>
        <w:adjustRightInd/>
        <w:snapToGrid/>
        <w:ind w:firstLine="200"/>
        <w:jc w:val="both"/>
        <w:rPr>
          <w:rFonts w:ascii="宋体" w:hAnsi="宋体" w:cs="宋体"/>
          <w:color w:val="auto"/>
          <w:szCs w:val="21"/>
          <w:highlight w:val="none"/>
        </w:rPr>
      </w:pPr>
      <w:r>
        <w:rPr>
          <w:rFonts w:hint="eastAsia" w:ascii="宋体" w:hAnsi="宋体" w:cs="宋体"/>
          <w:color w:val="auto"/>
          <w:szCs w:val="21"/>
          <w:highlight w:val="none"/>
        </w:rPr>
        <w:t>措施等。</w:t>
      </w:r>
    </w:p>
    <w:p>
      <w:pPr>
        <w:widowControl w:val="0"/>
        <w:numPr>
          <w:ilvl w:val="0"/>
          <w:numId w:val="106"/>
        </w:numPr>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项目费用管理、控制要点及保障措施</w:t>
      </w:r>
    </w:p>
    <w:p>
      <w:pPr>
        <w:widowControl w:val="0"/>
        <w:numPr>
          <w:ilvl w:val="0"/>
          <w:numId w:val="106"/>
        </w:numPr>
        <w:tabs>
          <w:tab w:val="left" w:pos="814"/>
          <w:tab w:val="left" w:pos="824"/>
          <w:tab w:val="left" w:pos="870"/>
          <w:tab w:val="left" w:pos="945"/>
          <w:tab w:val="left" w:pos="1283"/>
        </w:tabs>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ab/>
      </w:r>
      <w:r>
        <w:rPr>
          <w:rFonts w:hint="eastAsia" w:ascii="宋体" w:hAnsi="宋体" w:cs="宋体"/>
          <w:color w:val="auto"/>
          <w:szCs w:val="21"/>
          <w:highlight w:val="none"/>
        </w:rPr>
        <w:t>项目沟通与汇报机制</w:t>
      </w:r>
    </w:p>
    <w:p>
      <w:pPr>
        <w:widowControl w:val="0"/>
        <w:numPr>
          <w:ilvl w:val="0"/>
          <w:numId w:val="106"/>
        </w:numPr>
        <w:tabs>
          <w:tab w:val="left" w:pos="805"/>
          <w:tab w:val="left" w:pos="852"/>
          <w:tab w:val="left" w:pos="880"/>
          <w:tab w:val="left" w:pos="908"/>
          <w:tab w:val="left" w:pos="964"/>
          <w:tab w:val="left" w:pos="1077"/>
          <w:tab w:val="left" w:pos="1199"/>
          <w:tab w:val="left" w:pos="1264"/>
          <w:tab w:val="left" w:pos="1358"/>
        </w:tabs>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项目文件档管理计划</w:t>
      </w:r>
    </w:p>
    <w:p>
      <w:pPr>
        <w:widowControl w:val="0"/>
        <w:numPr>
          <w:ilvl w:val="0"/>
          <w:numId w:val="106"/>
        </w:numPr>
        <w:tabs>
          <w:tab w:val="left" w:pos="824"/>
          <w:tab w:val="left" w:pos="955"/>
          <w:tab w:val="left" w:pos="1030"/>
          <w:tab w:val="left" w:pos="1133"/>
          <w:tab w:val="left" w:pos="1199"/>
          <w:tab w:val="left" w:pos="1320"/>
          <w:tab w:val="left" w:pos="1424"/>
          <w:tab w:val="left" w:pos="1433"/>
        </w:tabs>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项目设计管理计划</w:t>
      </w:r>
    </w:p>
    <w:p>
      <w:pPr>
        <w:widowControl w:val="0"/>
        <w:numPr>
          <w:ilvl w:val="0"/>
          <w:numId w:val="106"/>
        </w:numPr>
        <w:tabs>
          <w:tab w:val="left" w:pos="824"/>
          <w:tab w:val="left" w:pos="955"/>
          <w:tab w:val="left" w:pos="1030"/>
          <w:tab w:val="left" w:pos="1133"/>
          <w:tab w:val="left" w:pos="1199"/>
          <w:tab w:val="left" w:pos="1320"/>
          <w:tab w:val="left" w:pos="1424"/>
          <w:tab w:val="left" w:pos="1433"/>
        </w:tabs>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项目采购管理计划</w:t>
      </w:r>
    </w:p>
    <w:p>
      <w:pPr>
        <w:widowControl w:val="0"/>
        <w:numPr>
          <w:ilvl w:val="0"/>
          <w:numId w:val="106"/>
        </w:numPr>
        <w:tabs>
          <w:tab w:val="left" w:pos="824"/>
          <w:tab w:val="left" w:pos="955"/>
          <w:tab w:val="left" w:pos="1030"/>
          <w:tab w:val="left" w:pos="1133"/>
          <w:tab w:val="left" w:pos="1199"/>
          <w:tab w:val="left" w:pos="1320"/>
          <w:tab w:val="left" w:pos="1424"/>
          <w:tab w:val="left" w:pos="1433"/>
        </w:tabs>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项目施工管理计划</w:t>
      </w:r>
    </w:p>
    <w:p>
      <w:pPr>
        <w:widowControl w:val="0"/>
        <w:numPr>
          <w:ilvl w:val="0"/>
          <w:numId w:val="106"/>
        </w:numPr>
        <w:tabs>
          <w:tab w:val="left" w:pos="824"/>
          <w:tab w:val="left" w:pos="955"/>
          <w:tab w:val="left" w:pos="1030"/>
          <w:tab w:val="left" w:pos="1133"/>
          <w:tab w:val="left" w:pos="1199"/>
          <w:tab w:val="left" w:pos="1320"/>
          <w:tab w:val="left" w:pos="1424"/>
          <w:tab w:val="left" w:pos="1433"/>
        </w:tabs>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调试管理与系统调试方案</w:t>
      </w:r>
    </w:p>
    <w:p>
      <w:pPr>
        <w:widowControl w:val="0"/>
        <w:numPr>
          <w:ilvl w:val="0"/>
          <w:numId w:val="106"/>
        </w:numPr>
        <w:tabs>
          <w:tab w:val="left" w:pos="824"/>
          <w:tab w:val="left" w:pos="955"/>
          <w:tab w:val="left" w:pos="1030"/>
          <w:tab w:val="left" w:pos="1133"/>
          <w:tab w:val="left" w:pos="1199"/>
          <w:tab w:val="left" w:pos="1320"/>
          <w:tab w:val="left" w:pos="1424"/>
          <w:tab w:val="left" w:pos="1433"/>
        </w:tabs>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培训服务方案（包括现场培训及同类项目在岗培训）</w:t>
      </w:r>
    </w:p>
    <w:p>
      <w:pPr>
        <w:widowControl w:val="0"/>
        <w:numPr>
          <w:ilvl w:val="0"/>
          <w:numId w:val="106"/>
        </w:numPr>
        <w:tabs>
          <w:tab w:val="left" w:pos="824"/>
          <w:tab w:val="left" w:pos="955"/>
          <w:tab w:val="left" w:pos="1030"/>
          <w:tab w:val="left" w:pos="1133"/>
          <w:tab w:val="left" w:pos="1199"/>
          <w:tab w:val="left" w:pos="1320"/>
          <w:tab w:val="left" w:pos="1424"/>
          <w:tab w:val="left" w:pos="1433"/>
        </w:tabs>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性能考核、验收与项目移交</w:t>
      </w:r>
    </w:p>
    <w:p>
      <w:pPr>
        <w:widowControl w:val="0"/>
        <w:numPr>
          <w:ilvl w:val="0"/>
          <w:numId w:val="106"/>
        </w:numPr>
        <w:tabs>
          <w:tab w:val="left" w:pos="824"/>
          <w:tab w:val="left" w:pos="955"/>
          <w:tab w:val="left" w:pos="1030"/>
          <w:tab w:val="left" w:pos="1133"/>
          <w:tab w:val="left" w:pos="1199"/>
          <w:tab w:val="left" w:pos="1320"/>
          <w:tab w:val="left" w:pos="1424"/>
          <w:tab w:val="left" w:pos="1433"/>
        </w:tabs>
        <w:autoSpaceDE w:val="0"/>
        <w:autoSpaceDN w:val="0"/>
        <w:ind w:left="0" w:firstLine="420" w:firstLineChars="200"/>
        <w:jc w:val="both"/>
        <w:rPr>
          <w:rFonts w:ascii="宋体" w:hAnsi="宋体" w:cs="宋体"/>
          <w:color w:val="auto"/>
          <w:szCs w:val="21"/>
          <w:highlight w:val="none"/>
        </w:rPr>
      </w:pPr>
      <w:r>
        <w:rPr>
          <w:rFonts w:hint="eastAsia" w:ascii="宋体" w:hAnsi="宋体" w:cs="宋体"/>
          <w:color w:val="auto"/>
          <w:szCs w:val="21"/>
          <w:highlight w:val="none"/>
        </w:rPr>
        <w:t>售后服务方案与售后服务承诺</w:t>
      </w:r>
    </w:p>
    <w:p>
      <w:pPr>
        <w:widowControl w:val="0"/>
        <w:numPr>
          <w:ilvl w:val="1"/>
          <w:numId w:val="103"/>
        </w:numPr>
        <w:autoSpaceDE w:val="0"/>
        <w:autoSpaceDN w:val="0"/>
        <w:ind w:left="0" w:firstLine="602"/>
        <w:jc w:val="both"/>
        <w:outlineLvl w:val="1"/>
        <w:rPr>
          <w:rFonts w:ascii="宋体" w:hAnsi="宋体" w:cs="宋体"/>
          <w:b/>
          <w:color w:val="auto"/>
          <w:szCs w:val="21"/>
          <w:highlight w:val="none"/>
        </w:rPr>
      </w:pPr>
      <w:bookmarkStart w:id="696" w:name="_Toc145084977"/>
      <w:r>
        <w:rPr>
          <w:rFonts w:hint="eastAsia" w:ascii="宋体" w:hAnsi="宋体" w:cs="宋体"/>
          <w:b/>
          <w:color w:val="auto"/>
          <w:szCs w:val="21"/>
          <w:highlight w:val="none"/>
        </w:rPr>
        <w:t>其他</w:t>
      </w:r>
      <w:bookmarkEnd w:id="696"/>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投标人应在投标文件中提供文件，确认除偏差表中特别提及的除外，完全接受技术规范的要求。</w:t>
      </w:r>
    </w:p>
    <w:p>
      <w:pPr>
        <w:widowControl w:val="0"/>
        <w:autoSpaceDE w:val="0"/>
        <w:autoSpaceDN w:val="0"/>
        <w:jc w:val="both"/>
        <w:outlineLvl w:val="0"/>
        <w:rPr>
          <w:rFonts w:ascii="宋体" w:hAnsi="宋体" w:cs="宋体"/>
          <w:b/>
          <w:color w:val="auto"/>
          <w:szCs w:val="21"/>
          <w:highlight w:val="none"/>
          <w:lang w:eastAsia="en-US"/>
        </w:rPr>
      </w:pPr>
      <w:bookmarkStart w:id="697" w:name="_Toc145084978"/>
      <w:r>
        <w:rPr>
          <w:rFonts w:hint="eastAsia" w:ascii="宋体" w:hAnsi="宋体" w:cs="宋体"/>
          <w:b/>
          <w:color w:val="auto"/>
          <w:szCs w:val="21"/>
          <w:highlight w:val="none"/>
          <w:lang w:eastAsia="en-US"/>
        </w:rPr>
        <w:t>七、其他要求</w:t>
      </w:r>
      <w:bookmarkEnd w:id="697"/>
    </w:p>
    <w:p>
      <w:pPr>
        <w:widowControl w:val="0"/>
        <w:numPr>
          <w:ilvl w:val="1"/>
          <w:numId w:val="107"/>
        </w:numPr>
        <w:autoSpaceDE w:val="0"/>
        <w:autoSpaceDN w:val="0"/>
        <w:ind w:left="0" w:firstLine="602"/>
        <w:jc w:val="both"/>
        <w:outlineLvl w:val="1"/>
        <w:rPr>
          <w:rFonts w:ascii="宋体" w:hAnsi="宋体" w:cs="宋体"/>
          <w:b/>
          <w:color w:val="auto"/>
          <w:szCs w:val="21"/>
          <w:highlight w:val="none"/>
          <w:lang w:eastAsia="en-US"/>
        </w:rPr>
      </w:pPr>
      <w:bookmarkStart w:id="698" w:name="_Toc145084979"/>
      <w:r>
        <w:rPr>
          <w:rFonts w:hint="eastAsia" w:ascii="宋体" w:hAnsi="宋体" w:cs="宋体"/>
          <w:b/>
          <w:color w:val="auto"/>
          <w:szCs w:val="21"/>
          <w:highlight w:val="none"/>
          <w:lang w:eastAsia="en-US"/>
        </w:rPr>
        <w:t>中标后提交的文件资料</w:t>
      </w:r>
      <w:bookmarkEnd w:id="698"/>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ab/>
      </w:r>
      <w:r>
        <w:rPr>
          <w:rFonts w:hint="eastAsia" w:ascii="宋体" w:hAnsi="宋体" w:cs="宋体"/>
          <w:color w:val="auto"/>
          <w:szCs w:val="21"/>
          <w:highlight w:val="none"/>
        </w:rPr>
        <w:t>1.中标人提交的图纸及其他资料</w:t>
      </w:r>
    </w:p>
    <w:tbl>
      <w:tblPr>
        <w:tblStyle w:val="34"/>
        <w:tblW w:w="88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6"/>
        <w:gridCol w:w="3119"/>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3276" w:type="dxa"/>
            <w:vAlign w:val="center"/>
          </w:tcPr>
          <w:p>
            <w:pPr>
              <w:widowControl w:val="0"/>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图纸/文件</w:t>
            </w:r>
          </w:p>
        </w:tc>
        <w:tc>
          <w:tcPr>
            <w:tcW w:w="3119" w:type="dxa"/>
            <w:vAlign w:val="center"/>
          </w:tcPr>
          <w:p>
            <w:pPr>
              <w:widowControl w:val="0"/>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lang w:eastAsia="en-US"/>
              </w:rPr>
              <w:t>数量（套）</w:t>
            </w:r>
          </w:p>
        </w:tc>
        <w:tc>
          <w:tcPr>
            <w:tcW w:w="2461" w:type="dxa"/>
            <w:vAlign w:val="center"/>
          </w:tcPr>
          <w:p>
            <w:pPr>
              <w:widowControl w:val="0"/>
              <w:autoSpaceDE w:val="0"/>
              <w:autoSpaceDN w:val="0"/>
              <w:adjustRightInd/>
              <w:snapToGrid/>
              <w:jc w:val="center"/>
              <w:rPr>
                <w:rFonts w:ascii="宋体" w:hAnsi="宋体" w:cs="宋体"/>
                <w:b/>
                <w:bCs/>
                <w:color w:val="auto"/>
                <w:szCs w:val="21"/>
                <w:highlight w:val="none"/>
              </w:rPr>
            </w:pPr>
            <w:r>
              <w:rPr>
                <w:rFonts w:hint="eastAsia" w:ascii="宋体" w:hAnsi="宋体" w:cs="宋体"/>
                <w:b/>
                <w:bCs/>
                <w:color w:val="auto"/>
                <w:szCs w:val="21"/>
                <w:highlight w:val="none"/>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widowControl w:val="0"/>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制作/安装等施工图纸</w:t>
            </w:r>
          </w:p>
        </w:tc>
        <w:tc>
          <w:tcPr>
            <w:tcW w:w="3119" w:type="dxa"/>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4套纸质版，1套电子版（备份U盘一个）</w:t>
            </w:r>
          </w:p>
        </w:tc>
        <w:tc>
          <w:tcPr>
            <w:tcW w:w="246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lang w:eastAsia="en-US"/>
              </w:rPr>
              <w:t>中标人施工记录表</w:t>
            </w:r>
          </w:p>
        </w:tc>
        <w:tc>
          <w:tcPr>
            <w:tcW w:w="3119" w:type="dxa"/>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4套纸质版含原件及复印件</w:t>
            </w:r>
          </w:p>
        </w:tc>
        <w:tc>
          <w:tcPr>
            <w:tcW w:w="2461" w:type="dxa"/>
            <w:vAlign w:val="center"/>
          </w:tcPr>
          <w:p>
            <w:pPr>
              <w:widowControl w:val="0"/>
              <w:autoSpaceDE w:val="0"/>
              <w:autoSpaceDN w:val="0"/>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设备操作手册和维修手册</w:t>
            </w:r>
          </w:p>
        </w:tc>
        <w:tc>
          <w:tcPr>
            <w:tcW w:w="3119" w:type="dxa"/>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4套纸质版，1套电子版（备份U盘一个）</w:t>
            </w:r>
          </w:p>
        </w:tc>
        <w:tc>
          <w:tcPr>
            <w:tcW w:w="246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lang w:eastAsia="en-US"/>
              </w:rPr>
              <w:t>签字盖章确认版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276"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lang w:eastAsia="en-US"/>
              </w:rPr>
              <w:t>制造商的试验证明书</w:t>
            </w:r>
          </w:p>
        </w:tc>
        <w:tc>
          <w:tcPr>
            <w:tcW w:w="3119" w:type="dxa"/>
            <w:vAlign w:val="center"/>
          </w:tcPr>
          <w:p>
            <w:pPr>
              <w:widowControl w:val="0"/>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1套纸质版</w:t>
            </w:r>
          </w:p>
        </w:tc>
        <w:tc>
          <w:tcPr>
            <w:tcW w:w="2461" w:type="dxa"/>
            <w:vAlign w:val="center"/>
          </w:tcPr>
          <w:p>
            <w:pPr>
              <w:widowControl w:val="0"/>
              <w:autoSpaceDE w:val="0"/>
              <w:autoSpaceDN w:val="0"/>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3276" w:type="dxa"/>
            <w:vAlign w:val="center"/>
          </w:tcPr>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原材料的出厂检验报告</w:t>
            </w:r>
          </w:p>
        </w:tc>
        <w:tc>
          <w:tcPr>
            <w:tcW w:w="3119" w:type="dxa"/>
            <w:vAlign w:val="center"/>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lang w:eastAsia="en-US"/>
              </w:rPr>
              <w:t>每批次提供</w:t>
            </w:r>
          </w:p>
        </w:tc>
        <w:tc>
          <w:tcPr>
            <w:tcW w:w="2461" w:type="dxa"/>
            <w:vAlign w:val="center"/>
          </w:tcPr>
          <w:p>
            <w:pPr>
              <w:widowControl w:val="0"/>
              <w:autoSpaceDE w:val="0"/>
              <w:autoSpaceDN w:val="0"/>
              <w:adjustRightInd/>
              <w:snapToGrid/>
              <w:ind w:firstLine="420" w:firstLineChars="200"/>
              <w:jc w:val="both"/>
              <w:rPr>
                <w:rFonts w:ascii="宋体" w:hAnsi="宋体" w:cs="宋体"/>
                <w:color w:val="auto"/>
                <w:szCs w:val="21"/>
                <w:highlight w:val="none"/>
                <w:lang w:eastAsia="en-US"/>
              </w:rPr>
            </w:pPr>
          </w:p>
        </w:tc>
      </w:tr>
    </w:tbl>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2.其他要求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中标人必须向采购人和业主提供数量充足的（≥8）纸质和电子副本。在合同开始执行时，采购人就应限定数据格式。该条款尤其适用于 CAD、office文件。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中标人所提交的文件应在接收之日后 15 天内经采购人校核、评审和批准。评审意见应书面下达给中标人。中标人应将评审意见纳入其文件中。</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根据评审意见的性质和重要性，中标人必须在下一个合同文件提交日之前重新编写文件和在文件中包含评审意见。批准书将与评审意见同时下达（若评审意见不重要）或在文件按评审意见重新编写之后下达。</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对任何文件的批准都不会减轻中标人的合同职责或以任何方式把责任转嫁给采购人。如果任何文件须符合中国或其他标准（GB，ASME，BS， DIN，EN，VDE 等），投标人有责任了解相关标准。</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在合同开始执行时，采购人应提供标准模板清单和其他文件。必须使用这些模板。中标人必须保留所有文件的更新直到采购人最终接收。</w:t>
      </w:r>
    </w:p>
    <w:p>
      <w:pPr>
        <w:widowControl w:val="0"/>
        <w:numPr>
          <w:ilvl w:val="1"/>
          <w:numId w:val="107"/>
        </w:numPr>
        <w:autoSpaceDE w:val="0"/>
        <w:autoSpaceDN w:val="0"/>
        <w:ind w:left="0" w:firstLine="602"/>
        <w:jc w:val="both"/>
        <w:outlineLvl w:val="1"/>
        <w:rPr>
          <w:rFonts w:ascii="宋体" w:hAnsi="宋体" w:cs="宋体"/>
          <w:b/>
          <w:color w:val="auto"/>
          <w:szCs w:val="21"/>
          <w:highlight w:val="none"/>
        </w:rPr>
      </w:pPr>
      <w:bookmarkStart w:id="699" w:name="_Toc145084980"/>
      <w:r>
        <w:rPr>
          <w:rFonts w:hint="eastAsia" w:ascii="宋体" w:hAnsi="宋体" w:cs="宋体"/>
          <w:b/>
          <w:color w:val="auto"/>
          <w:szCs w:val="21"/>
          <w:highlight w:val="none"/>
        </w:rPr>
        <w:t>变更</w:t>
      </w:r>
      <w:bookmarkEnd w:id="699"/>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没有采购人的通知和同意，中标人不得擅自对经采购人批准的永久性工程作任何设计变更。在采购人认为有必要对某永久性工程作设计变更，收到书面设计变更通知后，中标人应按设计变更通知单指示进行施工。</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所有的设计变更指令和设计变更通知单，应作为竣工资料一起提交。</w:t>
      </w:r>
    </w:p>
    <w:p>
      <w:pPr>
        <w:widowControl w:val="0"/>
        <w:numPr>
          <w:ilvl w:val="1"/>
          <w:numId w:val="107"/>
        </w:numPr>
        <w:autoSpaceDE w:val="0"/>
        <w:autoSpaceDN w:val="0"/>
        <w:ind w:left="0" w:firstLine="602"/>
        <w:jc w:val="both"/>
        <w:outlineLvl w:val="1"/>
        <w:rPr>
          <w:rFonts w:ascii="宋体" w:hAnsi="宋体" w:cs="宋体"/>
          <w:b/>
          <w:color w:val="auto"/>
          <w:szCs w:val="21"/>
          <w:highlight w:val="none"/>
        </w:rPr>
      </w:pPr>
      <w:bookmarkStart w:id="700" w:name="_Toc145084981"/>
      <w:r>
        <w:rPr>
          <w:rFonts w:hint="eastAsia" w:ascii="宋体" w:hAnsi="宋体" w:cs="宋体"/>
          <w:b/>
          <w:color w:val="auto"/>
          <w:szCs w:val="21"/>
          <w:highlight w:val="none"/>
        </w:rPr>
        <w:t>竣工图及竣工资料</w:t>
      </w:r>
      <w:bookmarkEnd w:id="700"/>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中标人应在合同条款规定的工程完工检验之前，向采购人提交4套完整的竣工图和4套完整的竣工资料。竣工资料必须是一套原件，三套复印件。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竣工图的质量必须符合采购人的要求。图纸整洁,线条清晰，原设计图修改处必须做出明显的标记，以标出正确的尺寸、位置、大小、设备细部等,以便为永久性工程提供一套完整、准确的记录。涉及前期、设计、施工和竣工不同阶段的文件图纸归入相应各阶段的电子竣工文档。</w:t>
      </w:r>
    </w:p>
    <w:p>
      <w:pPr>
        <w:widowControl w:val="0"/>
        <w:numPr>
          <w:ilvl w:val="1"/>
          <w:numId w:val="107"/>
        </w:numPr>
        <w:autoSpaceDE w:val="0"/>
        <w:autoSpaceDN w:val="0"/>
        <w:ind w:left="0" w:firstLine="602"/>
        <w:jc w:val="both"/>
        <w:outlineLvl w:val="1"/>
        <w:rPr>
          <w:rFonts w:ascii="宋体" w:hAnsi="宋体" w:cs="宋体"/>
          <w:b/>
          <w:color w:val="auto"/>
          <w:szCs w:val="21"/>
          <w:highlight w:val="none"/>
        </w:rPr>
      </w:pPr>
      <w:bookmarkStart w:id="701" w:name="_Toc145084982"/>
      <w:r>
        <w:rPr>
          <w:rFonts w:hint="eastAsia" w:ascii="宋体" w:hAnsi="宋体" w:cs="宋体"/>
          <w:b/>
          <w:color w:val="auto"/>
          <w:szCs w:val="21"/>
          <w:highlight w:val="none"/>
        </w:rPr>
        <w:t>操作维修手册</w:t>
      </w:r>
      <w:bookmarkEnd w:id="701"/>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中标人应根据采购人的指令,在工程完工之前提供设备操作手册、设备保养维修手册，还应对防腐蚀系统及材料，检查井盖、扶梯等有关工程部件作技术说明，手册应详述检查和修理步骤及要求。</w:t>
      </w:r>
    </w:p>
    <w:p>
      <w:pPr>
        <w:widowControl w:val="0"/>
        <w:numPr>
          <w:ilvl w:val="1"/>
          <w:numId w:val="107"/>
        </w:numPr>
        <w:autoSpaceDE w:val="0"/>
        <w:autoSpaceDN w:val="0"/>
        <w:ind w:left="0" w:firstLine="602"/>
        <w:jc w:val="both"/>
        <w:outlineLvl w:val="1"/>
        <w:rPr>
          <w:rFonts w:ascii="宋体" w:hAnsi="宋体" w:cs="宋体"/>
          <w:b/>
          <w:color w:val="auto"/>
          <w:szCs w:val="21"/>
          <w:highlight w:val="none"/>
        </w:rPr>
      </w:pPr>
      <w:bookmarkStart w:id="702" w:name="_Toc145084983"/>
      <w:r>
        <w:rPr>
          <w:rFonts w:hint="eastAsia" w:ascii="宋体" w:hAnsi="宋体" w:cs="宋体"/>
          <w:b/>
          <w:color w:val="auto"/>
          <w:szCs w:val="21"/>
          <w:highlight w:val="none"/>
        </w:rPr>
        <w:t>工程进度管理</w:t>
      </w:r>
      <w:bookmarkEnd w:id="702"/>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在工程开工前中标人应根据合同条款要求，把工程进度计划提交给采购人。计划可用条状图或其他采购人同意的方式。</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中标人必须根据合同条款规定，提供月报表。表格须按采购人规定格式打印。月报表内容需完整详细。</w:t>
      </w:r>
    </w:p>
    <w:p>
      <w:pPr>
        <w:widowControl w:val="0"/>
        <w:numPr>
          <w:ilvl w:val="1"/>
          <w:numId w:val="107"/>
        </w:numPr>
        <w:autoSpaceDE w:val="0"/>
        <w:autoSpaceDN w:val="0"/>
        <w:ind w:left="0" w:firstLine="602"/>
        <w:jc w:val="both"/>
        <w:outlineLvl w:val="1"/>
        <w:rPr>
          <w:rFonts w:ascii="宋体" w:hAnsi="宋体" w:cs="宋体"/>
          <w:b/>
          <w:color w:val="auto"/>
          <w:szCs w:val="21"/>
          <w:highlight w:val="none"/>
        </w:rPr>
      </w:pPr>
      <w:bookmarkStart w:id="703" w:name="_Toc145084984"/>
      <w:r>
        <w:rPr>
          <w:rFonts w:hint="eastAsia" w:ascii="宋体" w:hAnsi="宋体" w:cs="宋体"/>
          <w:b/>
          <w:color w:val="auto"/>
          <w:szCs w:val="21"/>
          <w:highlight w:val="none"/>
        </w:rPr>
        <w:t>质量保证和控制</w:t>
      </w:r>
      <w:bookmarkEnd w:id="703"/>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必须建立并执行一套完整的质量保证体系。它应涉及包括(但不限于)：设计、采购、生产等在内的工程各个方面。该质量体系必须符合国际ISO9000系列标准。质量保证体系中关键的部分是监督投标人的供货(包括材料和服务)。为确保项目的质量，中标人必须保证所有供货商都全面执行一套质量保证体系，并收到外部监督机构的监督和审查。</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项目开工后的一个月内，中标人应向采购人提交一份详细的质量保证计划，并且获得采购人的同意。并且作为合同的一个组成部分，主要涉及以下几个方面：</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项目质量保证基础服务期为验收合格之日起一年。</w:t>
      </w:r>
    </w:p>
    <w:p>
      <w:pPr>
        <w:widowControl w:val="0"/>
        <w:numPr>
          <w:ilvl w:val="0"/>
          <w:numId w:val="108"/>
        </w:numPr>
        <w:autoSpaceDE w:val="0"/>
        <w:autoSpaceDN w:val="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管理质量计划</w:t>
      </w:r>
    </w:p>
    <w:p>
      <w:pPr>
        <w:widowControl w:val="0"/>
        <w:numPr>
          <w:ilvl w:val="0"/>
          <w:numId w:val="108"/>
        </w:numPr>
        <w:autoSpaceDE w:val="0"/>
        <w:autoSpaceDN w:val="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设计质量计划</w:t>
      </w:r>
    </w:p>
    <w:p>
      <w:pPr>
        <w:widowControl w:val="0"/>
        <w:numPr>
          <w:ilvl w:val="0"/>
          <w:numId w:val="108"/>
        </w:numPr>
        <w:autoSpaceDE w:val="0"/>
        <w:autoSpaceDN w:val="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生产质量计划</w:t>
      </w:r>
    </w:p>
    <w:p>
      <w:pPr>
        <w:widowControl w:val="0"/>
        <w:numPr>
          <w:ilvl w:val="0"/>
          <w:numId w:val="108"/>
        </w:numPr>
        <w:autoSpaceDE w:val="0"/>
        <w:autoSpaceDN w:val="0"/>
        <w:jc w:val="both"/>
        <w:rPr>
          <w:rFonts w:ascii="宋体" w:hAnsi="宋体" w:cs="宋体"/>
          <w:color w:val="auto"/>
          <w:szCs w:val="21"/>
          <w:highlight w:val="none"/>
          <w:lang w:eastAsia="en-US"/>
        </w:rPr>
      </w:pPr>
      <w:r>
        <w:rPr>
          <w:rFonts w:hint="eastAsia" w:ascii="宋体" w:hAnsi="宋体" w:cs="宋体"/>
          <w:color w:val="auto"/>
          <w:szCs w:val="21"/>
          <w:highlight w:val="none"/>
          <w:lang w:eastAsia="en-US"/>
        </w:rPr>
        <w:t>设备质量计划</w:t>
      </w:r>
    </w:p>
    <w:p>
      <w:pPr>
        <w:widowControl w:val="0"/>
        <w:numPr>
          <w:ilvl w:val="1"/>
          <w:numId w:val="107"/>
        </w:numPr>
        <w:autoSpaceDE w:val="0"/>
        <w:autoSpaceDN w:val="0"/>
        <w:ind w:left="0" w:firstLine="602"/>
        <w:jc w:val="both"/>
        <w:outlineLvl w:val="1"/>
        <w:rPr>
          <w:rFonts w:ascii="宋体" w:hAnsi="宋体" w:cs="宋体"/>
          <w:b/>
          <w:color w:val="auto"/>
          <w:szCs w:val="21"/>
          <w:highlight w:val="none"/>
        </w:rPr>
      </w:pPr>
      <w:bookmarkStart w:id="704" w:name="_Toc145084985"/>
      <w:r>
        <w:rPr>
          <w:rFonts w:hint="eastAsia" w:ascii="宋体" w:hAnsi="宋体" w:cs="宋体"/>
          <w:b/>
          <w:color w:val="auto"/>
          <w:szCs w:val="21"/>
          <w:highlight w:val="none"/>
        </w:rPr>
        <w:t>材料检测与测试</w:t>
      </w:r>
      <w:bookmarkEnd w:id="704"/>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凡合同中规定要求提供样品的，这些样品须在它们所代表的材料用于工程28天之前送采购人所委托的检测机构进行检测。样品须经采购人的验审批准方可使用。</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材料生产商和供应商的测试证明书：当技术规范或有关的参照标准要求有材料生产商和供应商的测试证明书时，必须由投标人提供每份证明书的原件或复印件。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中标人应为全部材料的取样和测试，施工工艺，设备和量测装置进行日常检查，以控制其质量并保证它们与技术规定和批准的试样相一致。</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材料和试样的试验、检测业务由采购人委托具有相应资质和能力的检测机构进行，检测费用由中标人承担。如检测结果不合格，中标人继续提供样品进行测试直至符合技术规格书要求，这些费用均由中标人承担。</w:t>
      </w:r>
    </w:p>
    <w:p>
      <w:pPr>
        <w:widowControl w:val="0"/>
        <w:numPr>
          <w:ilvl w:val="1"/>
          <w:numId w:val="107"/>
        </w:numPr>
        <w:autoSpaceDE w:val="0"/>
        <w:autoSpaceDN w:val="0"/>
        <w:ind w:left="0" w:firstLine="602"/>
        <w:jc w:val="both"/>
        <w:outlineLvl w:val="1"/>
        <w:rPr>
          <w:rFonts w:ascii="宋体" w:hAnsi="宋体" w:cs="宋体"/>
          <w:b/>
          <w:color w:val="auto"/>
          <w:szCs w:val="21"/>
          <w:highlight w:val="none"/>
        </w:rPr>
      </w:pPr>
      <w:bookmarkStart w:id="705" w:name="_Toc145084986"/>
      <w:r>
        <w:rPr>
          <w:rFonts w:hint="eastAsia" w:ascii="宋体" w:hAnsi="宋体" w:cs="宋体"/>
          <w:b/>
          <w:color w:val="auto"/>
          <w:szCs w:val="21"/>
          <w:highlight w:val="none"/>
        </w:rPr>
        <w:t>安装和检验</w:t>
      </w:r>
      <w:bookmarkEnd w:id="705"/>
    </w:p>
    <w:p>
      <w:pPr>
        <w:widowControl w:val="0"/>
        <w:numPr>
          <w:ilvl w:val="2"/>
          <w:numId w:val="109"/>
        </w:numPr>
        <w:autoSpaceDE w:val="0"/>
        <w:autoSpaceDN w:val="0"/>
        <w:ind w:left="0" w:firstLine="422" w:firstLineChars="200"/>
        <w:jc w:val="both"/>
        <w:outlineLvl w:val="2"/>
        <w:rPr>
          <w:rFonts w:ascii="宋体" w:hAnsi="宋体" w:cs="宋体"/>
          <w:b/>
          <w:color w:val="auto"/>
          <w:szCs w:val="21"/>
          <w:highlight w:val="none"/>
        </w:rPr>
      </w:pPr>
      <w:bookmarkStart w:id="706" w:name="_Toc145084987"/>
      <w:r>
        <w:rPr>
          <w:rFonts w:hint="eastAsia" w:ascii="宋体" w:hAnsi="宋体" w:cs="宋体"/>
          <w:b/>
          <w:color w:val="auto"/>
          <w:szCs w:val="21"/>
          <w:highlight w:val="none"/>
        </w:rPr>
        <w:t>工厂检验</w:t>
      </w:r>
      <w:bookmarkEnd w:id="706"/>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1.中标人提供的所有设备和其备件、附件都应经过工厂检测。产品合格证、检测记录和检测报告应提交采购人。上述产品合格证应由设备制造商确认并签字。所有检测费用由设备制造商或</w:t>
      </w:r>
      <w:r>
        <w:rPr>
          <w:rFonts w:hint="eastAsia" w:ascii="宋体" w:hAnsi="宋体" w:cs="宋体"/>
          <w:color w:val="auto"/>
          <w:szCs w:val="21"/>
          <w:highlight w:val="none"/>
        </w:rPr>
        <w:t>中</w:t>
      </w:r>
      <w:r>
        <w:rPr>
          <w:rFonts w:hint="eastAsia" w:ascii="宋体" w:hAnsi="宋体" w:cs="宋体"/>
          <w:color w:val="auto"/>
          <w:kern w:val="2"/>
          <w:szCs w:val="21"/>
          <w:highlight w:val="none"/>
        </w:rPr>
        <w:t>标人承担。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2.设备的工厂检验不能代替货物到现场的最终检验。</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3.采购人在设备生产过程中有权观察、检查，或者监督材料、工艺、所有设备性能的试验。</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4.当设备测试在国内进行时，中标人应提前15天书面通知采购人，试验报告送交采购人。当设备试验在国外进行时，</w:t>
      </w:r>
      <w:r>
        <w:rPr>
          <w:rFonts w:hint="eastAsia" w:ascii="宋体" w:hAnsi="宋体" w:cs="宋体"/>
          <w:color w:val="auto"/>
          <w:szCs w:val="21"/>
          <w:highlight w:val="none"/>
        </w:rPr>
        <w:t>中</w:t>
      </w:r>
      <w:r>
        <w:rPr>
          <w:rFonts w:hint="eastAsia" w:ascii="宋体" w:hAnsi="宋体" w:cs="宋体"/>
          <w:color w:val="auto"/>
          <w:kern w:val="2"/>
          <w:szCs w:val="21"/>
          <w:highlight w:val="none"/>
        </w:rPr>
        <w:t>标人应提前60天书面通知采购人。采购人提前3天通知投标人是否要监督试验情况，如果试验未按原定时间或地点进行而导致采购人未能到场，该试验应在采购人到场的情况下重新做。</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5.系统中主要设备应做无损试验，规定做的无损试验应符合国内和国际相应的标准要求。检测范围应按有关制作标准的要求，如无明确要求，应由采购人决定。无损试验应在弯曲、焊接、热处理和水力试验等完成后进行。</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6.所有无损试验，包括超声波、放射线、穿透检测和保护涂层测试，以及一切无损试验，应由经采购人同意的第三方检测机构承担。</w:t>
      </w:r>
      <w:r>
        <w:rPr>
          <w:rFonts w:hint="eastAsia" w:ascii="宋体" w:hAnsi="宋体" w:cs="宋体"/>
          <w:color w:val="auto"/>
          <w:szCs w:val="21"/>
          <w:highlight w:val="none"/>
        </w:rPr>
        <w:t>中</w:t>
      </w:r>
      <w:r>
        <w:rPr>
          <w:rFonts w:hint="eastAsia" w:ascii="宋体" w:hAnsi="宋体" w:cs="宋体"/>
          <w:color w:val="auto"/>
          <w:kern w:val="2"/>
          <w:szCs w:val="21"/>
          <w:highlight w:val="none"/>
        </w:rPr>
        <w:t>标人应在计划试验开始之前4周向采购人提交详细的试验方案和试验期内拟进行的程序。应包括获准部门试验人员姓名，及其专业经验以及按规定的无损试验要求进行的步骤和方法。如有试验未能通过,</w:t>
      </w:r>
      <w:r>
        <w:rPr>
          <w:rFonts w:hint="eastAsia" w:ascii="宋体" w:hAnsi="宋体" w:cs="宋体"/>
          <w:color w:val="auto"/>
          <w:szCs w:val="21"/>
          <w:highlight w:val="none"/>
        </w:rPr>
        <w:t xml:space="preserve"> 中</w:t>
      </w:r>
      <w:r>
        <w:rPr>
          <w:rFonts w:hint="eastAsia" w:ascii="宋体" w:hAnsi="宋体" w:cs="宋体"/>
          <w:color w:val="auto"/>
          <w:kern w:val="2"/>
          <w:szCs w:val="21"/>
          <w:highlight w:val="none"/>
        </w:rPr>
        <w:t>标人应进行重新试验,且应在合适的时间内按同样规定和条件进行。如</w:t>
      </w:r>
      <w:r>
        <w:rPr>
          <w:rFonts w:hint="eastAsia" w:ascii="宋体" w:hAnsi="宋体" w:cs="宋体"/>
          <w:color w:val="auto"/>
          <w:szCs w:val="21"/>
          <w:highlight w:val="none"/>
        </w:rPr>
        <w:t>中</w:t>
      </w:r>
      <w:r>
        <w:rPr>
          <w:rFonts w:hint="eastAsia" w:ascii="宋体" w:hAnsi="宋体" w:cs="宋体"/>
          <w:color w:val="auto"/>
          <w:kern w:val="2"/>
          <w:szCs w:val="21"/>
          <w:highlight w:val="none"/>
        </w:rPr>
        <w:t>标人改变测试时间未预先通知采购人，则所有重新测试的费用由</w:t>
      </w:r>
      <w:r>
        <w:rPr>
          <w:rFonts w:hint="eastAsia" w:ascii="宋体" w:hAnsi="宋体" w:cs="宋体"/>
          <w:color w:val="auto"/>
          <w:szCs w:val="21"/>
          <w:highlight w:val="none"/>
        </w:rPr>
        <w:t>中</w:t>
      </w:r>
      <w:r>
        <w:rPr>
          <w:rFonts w:hint="eastAsia" w:ascii="宋体" w:hAnsi="宋体" w:cs="宋体"/>
          <w:color w:val="auto"/>
          <w:kern w:val="2"/>
          <w:szCs w:val="21"/>
          <w:highlight w:val="none"/>
        </w:rPr>
        <w:t>标人负担。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7.工厂检验报告应在设备发货之前提交给采购人，并经采购人审批确认后方可发货。</w:t>
      </w:r>
    </w:p>
    <w:p>
      <w:pPr>
        <w:widowControl w:val="0"/>
        <w:numPr>
          <w:ilvl w:val="2"/>
          <w:numId w:val="109"/>
        </w:numPr>
        <w:autoSpaceDE w:val="0"/>
        <w:autoSpaceDN w:val="0"/>
        <w:ind w:left="0" w:firstLine="422" w:firstLineChars="200"/>
        <w:jc w:val="both"/>
        <w:outlineLvl w:val="2"/>
        <w:rPr>
          <w:rFonts w:ascii="宋体" w:hAnsi="宋体" w:cs="宋体"/>
          <w:b/>
          <w:color w:val="auto"/>
          <w:szCs w:val="21"/>
          <w:highlight w:val="none"/>
        </w:rPr>
      </w:pPr>
      <w:bookmarkStart w:id="707" w:name="_Toc145084988"/>
      <w:r>
        <w:rPr>
          <w:rFonts w:hint="eastAsia" w:ascii="宋体" w:hAnsi="宋体" w:cs="宋体"/>
          <w:b/>
          <w:color w:val="auto"/>
          <w:szCs w:val="21"/>
          <w:highlight w:val="none"/>
        </w:rPr>
        <w:t>现场检验</w:t>
      </w:r>
      <w:bookmarkEnd w:id="707"/>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1.所有设备和部件均应采取适当的保护，以避免运输或其他原因造成损坏。</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2.现场验收必须在工况下进行。</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3.系统运行结果符合相关标准、技术规格书及合同要求。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4.系统在性能测试和指导运行过程中出现的所有缺陷已被消除，并得到的认可。</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5.当供货范围内货物均已提供，且性能符合或优于规定要求。</w:t>
      </w:r>
    </w:p>
    <w:p>
      <w:pPr>
        <w:widowControl w:val="0"/>
        <w:numPr>
          <w:ilvl w:val="2"/>
          <w:numId w:val="109"/>
        </w:numPr>
        <w:autoSpaceDE w:val="0"/>
        <w:autoSpaceDN w:val="0"/>
        <w:ind w:left="0" w:firstLine="422" w:firstLineChars="200"/>
        <w:jc w:val="both"/>
        <w:outlineLvl w:val="2"/>
        <w:rPr>
          <w:rFonts w:ascii="宋体" w:hAnsi="宋体" w:cs="宋体"/>
          <w:b/>
          <w:color w:val="auto"/>
          <w:szCs w:val="21"/>
          <w:highlight w:val="none"/>
        </w:rPr>
      </w:pPr>
      <w:bookmarkStart w:id="708" w:name="_Toc145084989"/>
      <w:r>
        <w:rPr>
          <w:rFonts w:hint="eastAsia" w:ascii="宋体" w:hAnsi="宋体" w:cs="宋体"/>
          <w:b/>
          <w:color w:val="auto"/>
          <w:szCs w:val="21"/>
          <w:highlight w:val="none"/>
        </w:rPr>
        <w:t>安装</w:t>
      </w:r>
      <w:bookmarkEnd w:id="708"/>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1.在设备安装前，中标人应对设备基础进行检查，检查合格后方可进行设备的安装工作。</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2.如系统关键设备需要在现场进行加工、组装和焊接，</w:t>
      </w:r>
      <w:r>
        <w:rPr>
          <w:rFonts w:hint="eastAsia" w:ascii="宋体" w:hAnsi="宋体" w:cs="宋体"/>
          <w:color w:val="auto"/>
          <w:szCs w:val="21"/>
          <w:highlight w:val="none"/>
        </w:rPr>
        <w:t>中</w:t>
      </w:r>
      <w:r>
        <w:rPr>
          <w:rFonts w:hint="eastAsia" w:ascii="宋体" w:hAnsi="宋体" w:cs="宋体"/>
          <w:color w:val="auto"/>
          <w:kern w:val="2"/>
          <w:szCs w:val="21"/>
          <w:highlight w:val="none"/>
        </w:rPr>
        <w:t>标人应对所需操作工人的技术水平进行说明。如现场组装和焊接工作须设备制造厂有经验的人员参与完成，由此造成设备不能满足要求的后果及所发生的费用将由中标人负担。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3.管道的连接法兰应符合ISO标准，并采用与设计图纸相适应的压力等级。所有与外部空气连通的管道均应安装适宜的排气口。穿过屋顶的通风管应装配防腐蚀和防水管口，并带有与屋顶结构形式匹配的连接件。</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4.管道支架的材料可根据其安装位置的环境条件选择用不锈钢或镀锌钢。</w:t>
      </w:r>
    </w:p>
    <w:p>
      <w:pPr>
        <w:widowControl w:val="0"/>
        <w:numPr>
          <w:ilvl w:val="1"/>
          <w:numId w:val="107"/>
        </w:numPr>
        <w:autoSpaceDE w:val="0"/>
        <w:autoSpaceDN w:val="0"/>
        <w:ind w:left="0" w:firstLine="602"/>
        <w:jc w:val="both"/>
        <w:outlineLvl w:val="1"/>
        <w:rPr>
          <w:rFonts w:ascii="宋体" w:hAnsi="宋体" w:cs="宋体"/>
          <w:b/>
          <w:color w:val="auto"/>
          <w:szCs w:val="21"/>
          <w:highlight w:val="none"/>
        </w:rPr>
      </w:pPr>
      <w:bookmarkStart w:id="709" w:name="_Toc145084990"/>
      <w:r>
        <w:rPr>
          <w:rFonts w:hint="eastAsia" w:ascii="宋体" w:hAnsi="宋体" w:cs="宋体"/>
          <w:b/>
          <w:color w:val="auto"/>
          <w:szCs w:val="21"/>
          <w:highlight w:val="none"/>
        </w:rPr>
        <w:t>调试和指导运行</w:t>
      </w:r>
      <w:bookmarkEnd w:id="709"/>
    </w:p>
    <w:p>
      <w:pPr>
        <w:widowControl w:val="0"/>
        <w:numPr>
          <w:ilvl w:val="2"/>
          <w:numId w:val="110"/>
        </w:numPr>
        <w:autoSpaceDE w:val="0"/>
        <w:autoSpaceDN w:val="0"/>
        <w:outlineLvl w:val="2"/>
        <w:rPr>
          <w:rFonts w:ascii="宋体" w:hAnsi="宋体" w:cs="宋体"/>
          <w:b/>
          <w:color w:val="auto"/>
          <w:szCs w:val="21"/>
          <w:highlight w:val="none"/>
          <w:lang w:eastAsia="en-US"/>
        </w:rPr>
      </w:pPr>
      <w:bookmarkStart w:id="710" w:name="_Toc145084991"/>
      <w:r>
        <w:rPr>
          <w:rFonts w:hint="eastAsia" w:ascii="宋体" w:hAnsi="宋体" w:cs="宋体"/>
          <w:b/>
          <w:color w:val="auto"/>
          <w:szCs w:val="21"/>
          <w:highlight w:val="none"/>
          <w:lang w:eastAsia="en-US"/>
        </w:rPr>
        <w:t>调试准备</w:t>
      </w:r>
      <w:bookmarkEnd w:id="710"/>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调试小组：安装完成后中标人负责组织成立调试专门小组，小组成员包括</w:t>
      </w:r>
      <w:r>
        <w:rPr>
          <w:rFonts w:hint="eastAsia" w:ascii="宋体" w:hAnsi="宋体" w:cs="宋体"/>
          <w:color w:val="auto"/>
          <w:szCs w:val="21"/>
          <w:highlight w:val="none"/>
        </w:rPr>
        <w:t>中</w:t>
      </w:r>
      <w:r>
        <w:rPr>
          <w:rFonts w:hint="eastAsia" w:ascii="宋体" w:hAnsi="宋体" w:cs="宋体"/>
          <w:color w:val="auto"/>
          <w:kern w:val="2"/>
          <w:szCs w:val="21"/>
          <w:highlight w:val="none"/>
        </w:rPr>
        <w:t>标人设备、电气、管线、施工人员以及采购人等共同参与。</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单机调试手册：中标人应编制所有单机调试方案、检查和测试的计划并组织施。在单机调试前一个月，</w:t>
      </w:r>
      <w:r>
        <w:rPr>
          <w:rFonts w:hint="eastAsia" w:ascii="宋体" w:hAnsi="宋体" w:cs="宋体"/>
          <w:color w:val="auto"/>
          <w:szCs w:val="21"/>
          <w:highlight w:val="none"/>
        </w:rPr>
        <w:t>中</w:t>
      </w:r>
      <w:r>
        <w:rPr>
          <w:rFonts w:hint="eastAsia" w:ascii="宋体" w:hAnsi="宋体" w:cs="宋体"/>
          <w:color w:val="auto"/>
          <w:kern w:val="2"/>
          <w:szCs w:val="21"/>
          <w:highlight w:val="none"/>
        </w:rPr>
        <w:t>标人向采购人提交单机调试手册和完成测试的计划。</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调试手册应包括所实施的测试，使用的详细程序，采取的具体方法，临时和永久使用的仪器和仪表和每一次测试预期的日期、时间和持续时间以及</w:t>
      </w:r>
      <w:r>
        <w:rPr>
          <w:rFonts w:hint="eastAsia" w:ascii="宋体" w:hAnsi="宋体" w:cs="宋体"/>
          <w:color w:val="auto"/>
          <w:szCs w:val="21"/>
          <w:highlight w:val="none"/>
        </w:rPr>
        <w:t>中</w:t>
      </w:r>
      <w:r>
        <w:rPr>
          <w:rFonts w:hint="eastAsia" w:ascii="宋体" w:hAnsi="宋体" w:cs="宋体"/>
          <w:color w:val="auto"/>
          <w:kern w:val="2"/>
          <w:szCs w:val="21"/>
          <w:highlight w:val="none"/>
        </w:rPr>
        <w:t>标人进行所有单机调试测试的标准检查清单，但不限于此。在单机调试测试之后，</w:t>
      </w:r>
      <w:r>
        <w:rPr>
          <w:rFonts w:hint="eastAsia" w:ascii="宋体" w:hAnsi="宋体" w:cs="宋体"/>
          <w:color w:val="auto"/>
          <w:szCs w:val="21"/>
          <w:highlight w:val="none"/>
        </w:rPr>
        <w:t>中</w:t>
      </w:r>
      <w:r>
        <w:rPr>
          <w:rFonts w:hint="eastAsia" w:ascii="宋体" w:hAnsi="宋体" w:cs="宋体"/>
          <w:color w:val="auto"/>
          <w:kern w:val="2"/>
          <w:szCs w:val="21"/>
          <w:highlight w:val="none"/>
        </w:rPr>
        <w:t>标人须提供单机测试报告供采购人存档。</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联动调试手册：中标人应编制本系统所有设施的联动调试（可以分系统调试）的计划和实施方案。在调试测试前一个月，投标人应向采购人提交调试手册和完成测试的计划。</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手册应规定所实施的测试，使用的详细程序，采取的具体方法，临时和永久使用的仪器和仪表和每次测试预期的日期、时间和持续时间，以及测试期间的维护计划。</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联动调试手册包括以下内容（但不限于）：调试计划；调试组织机构以及人员安排；调试用检测仪器；检测方法及其引用规范；调试程序；调试的技术依据；性能监控；取样和测试程序；安全措施；调试记录表；分系统调试方案；联动调试方案；调试应急预案；工艺控制逻辑方案；操作手册等。</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指导运行调试手册：投标人应编写系统的指导运行调试手册。</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人员：单机调试、联动调试、带料调试、性能考核所需要的技术人员、运行管理人员和维护人员由</w:t>
      </w:r>
      <w:r>
        <w:rPr>
          <w:rFonts w:hint="eastAsia" w:ascii="宋体" w:hAnsi="宋体" w:cs="宋体"/>
          <w:color w:val="auto"/>
          <w:szCs w:val="21"/>
          <w:highlight w:val="none"/>
        </w:rPr>
        <w:t>中</w:t>
      </w:r>
      <w:r>
        <w:rPr>
          <w:rFonts w:hint="eastAsia" w:ascii="宋体" w:hAnsi="宋体" w:cs="宋体"/>
          <w:color w:val="auto"/>
          <w:kern w:val="2"/>
          <w:szCs w:val="21"/>
          <w:highlight w:val="none"/>
        </w:rPr>
        <w:t>标人提供，采购人提供班组操作人员，经培训合格后上岗。</w:t>
      </w:r>
    </w:p>
    <w:p>
      <w:pPr>
        <w:widowControl w:val="0"/>
        <w:autoSpaceDE w:val="0"/>
        <w:autoSpaceDN w:val="0"/>
        <w:ind w:left="851"/>
        <w:outlineLvl w:val="2"/>
        <w:rPr>
          <w:rFonts w:ascii="宋体" w:hAnsi="宋体" w:cs="宋体"/>
          <w:b/>
          <w:color w:val="auto"/>
          <w:szCs w:val="21"/>
          <w:highlight w:val="none"/>
        </w:rPr>
      </w:pPr>
      <w:bookmarkStart w:id="711" w:name="_Toc145084992"/>
      <w:r>
        <w:rPr>
          <w:rFonts w:hint="eastAsia" w:ascii="宋体" w:hAnsi="宋体" w:cs="宋体"/>
          <w:b/>
          <w:color w:val="auto"/>
          <w:szCs w:val="21"/>
          <w:highlight w:val="none"/>
        </w:rPr>
        <w:t>7.9.2 调试和指导运行工作流程</w:t>
      </w:r>
      <w:bookmarkEnd w:id="711"/>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调试准备：对于施工过程中剩余的材料，</w:t>
      </w:r>
      <w:r>
        <w:rPr>
          <w:rFonts w:hint="eastAsia" w:ascii="宋体" w:hAnsi="宋体" w:cs="宋体"/>
          <w:color w:val="auto"/>
          <w:szCs w:val="21"/>
          <w:highlight w:val="none"/>
        </w:rPr>
        <w:t>中</w:t>
      </w:r>
      <w:r>
        <w:rPr>
          <w:rFonts w:hint="eastAsia" w:ascii="宋体" w:hAnsi="宋体" w:cs="宋体"/>
          <w:color w:val="auto"/>
          <w:kern w:val="2"/>
          <w:szCs w:val="21"/>
          <w:highlight w:val="none"/>
        </w:rPr>
        <w:t>标人应在单机调试前运离工程场地。施工过程中所产生的废弃材料，</w:t>
      </w:r>
      <w:r>
        <w:rPr>
          <w:rFonts w:hint="eastAsia" w:ascii="宋体" w:hAnsi="宋体" w:cs="宋体"/>
          <w:color w:val="auto"/>
          <w:szCs w:val="21"/>
          <w:highlight w:val="none"/>
        </w:rPr>
        <w:t>中</w:t>
      </w:r>
      <w:r>
        <w:rPr>
          <w:rFonts w:hint="eastAsia" w:ascii="宋体" w:hAnsi="宋体" w:cs="宋体"/>
          <w:color w:val="auto"/>
          <w:kern w:val="2"/>
          <w:szCs w:val="21"/>
          <w:highlight w:val="none"/>
        </w:rPr>
        <w:t>标人运至当地管理机构和采购人同意的地点，所发生的运输费用由</w:t>
      </w:r>
      <w:r>
        <w:rPr>
          <w:rFonts w:hint="eastAsia" w:ascii="宋体" w:hAnsi="宋体" w:cs="宋体"/>
          <w:color w:val="auto"/>
          <w:szCs w:val="21"/>
          <w:highlight w:val="none"/>
        </w:rPr>
        <w:t>中</w:t>
      </w:r>
      <w:r>
        <w:rPr>
          <w:rFonts w:hint="eastAsia" w:ascii="宋体" w:hAnsi="宋体" w:cs="宋体"/>
          <w:color w:val="auto"/>
          <w:kern w:val="2"/>
          <w:szCs w:val="21"/>
          <w:highlight w:val="none"/>
        </w:rPr>
        <w:t>标人负担。</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单机调试：设备安装完成后可进行单机调试，单机调试应按照下列程序进行：</w:t>
      </w:r>
    </w:p>
    <w:p>
      <w:pPr>
        <w:widowControl w:val="0"/>
        <w:autoSpaceDE w:val="0"/>
        <w:autoSpaceDN w:val="0"/>
        <w:spacing w:before="60" w:after="60"/>
        <w:ind w:right="113" w:firstLine="420" w:firstLineChars="200"/>
        <w:jc w:val="center"/>
        <w:rPr>
          <w:rFonts w:ascii="宋体" w:hAnsi="宋体" w:cs="宋体"/>
          <w:color w:val="auto"/>
          <w:szCs w:val="21"/>
          <w:highlight w:val="none"/>
        </w:rPr>
      </w:pPr>
      <w:r>
        <w:rPr>
          <w:rFonts w:hint="eastAsia" w:ascii="宋体" w:hAnsi="宋体" w:cs="宋体"/>
          <w:color w:val="auto"/>
          <w:kern w:val="2"/>
          <w:szCs w:val="21"/>
          <w:highlight w:val="none"/>
        </w:rPr>
        <w:drawing>
          <wp:inline distT="0" distB="0" distL="0" distR="0">
            <wp:extent cx="3750310" cy="1772920"/>
            <wp:effectExtent l="0" t="0" r="2540" b="177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61855" cy="1778841"/>
                    </a:xfrm>
                    <a:prstGeom prst="rect">
                      <a:avLst/>
                    </a:prstGeom>
                  </pic:spPr>
                </pic:pic>
              </a:graphicData>
            </a:graphic>
          </wp:inline>
        </w:drawing>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联动调试：所有设备单机调试完成后，可进行联动调试，如非采购人原因，中标人应在10日内完成联动调试，联动调试应按照下列程序进行：</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drawing>
          <wp:inline distT="0" distB="0" distL="0" distR="0">
            <wp:extent cx="4780280" cy="1551305"/>
            <wp:effectExtent l="0" t="0" r="1270" b="1079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788828" cy="1554484"/>
                    </a:xfrm>
                    <a:prstGeom prst="rect">
                      <a:avLst/>
                    </a:prstGeom>
                  </pic:spPr>
                </pic:pic>
              </a:graphicData>
            </a:graphic>
          </wp:inline>
        </w:drawing>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带料调试：联动调试后，可试生产调试工作。如非采购人原因，中标人应在1个月内完成带料调试，带料调试按照下列程序进行：</w:t>
      </w:r>
    </w:p>
    <w:p>
      <w:pPr>
        <w:widowControl w:val="0"/>
        <w:autoSpaceDE w:val="0"/>
        <w:autoSpaceDN w:val="0"/>
        <w:spacing w:before="60" w:after="60"/>
        <w:ind w:right="113"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drawing>
          <wp:inline distT="0" distB="0" distL="0" distR="0">
            <wp:extent cx="5139690" cy="2026920"/>
            <wp:effectExtent l="0" t="0" r="3810" b="1143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8"/>
                    <a:stretch>
                      <a:fillRect/>
                    </a:stretch>
                  </pic:blipFill>
                  <pic:spPr>
                    <a:xfrm>
                      <a:off x="0" y="0"/>
                      <a:ext cx="5152829" cy="2031964"/>
                    </a:xfrm>
                    <a:prstGeom prst="rect">
                      <a:avLst/>
                    </a:prstGeom>
                  </pic:spPr>
                </pic:pic>
              </a:graphicData>
            </a:graphic>
          </wp:inline>
        </w:drawing>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整个工程性能保证的性能测试：投料试车调试完成后，可进行整个工程功能测试。</w:t>
      </w:r>
    </w:p>
    <w:p>
      <w:pPr>
        <w:widowControl w:val="0"/>
        <w:autoSpaceDE w:val="0"/>
        <w:autoSpaceDN w:val="0"/>
        <w:ind w:firstLine="422" w:firstLineChars="200"/>
        <w:outlineLvl w:val="2"/>
        <w:rPr>
          <w:rFonts w:ascii="宋体" w:hAnsi="宋体" w:cs="宋体"/>
          <w:b/>
          <w:color w:val="auto"/>
          <w:szCs w:val="21"/>
          <w:highlight w:val="none"/>
        </w:rPr>
      </w:pPr>
      <w:bookmarkStart w:id="712" w:name="_Toc145084993"/>
      <w:r>
        <w:rPr>
          <w:rFonts w:hint="eastAsia" w:ascii="宋体" w:hAnsi="宋体" w:cs="宋体"/>
          <w:b/>
          <w:color w:val="auto"/>
          <w:szCs w:val="21"/>
          <w:highlight w:val="none"/>
        </w:rPr>
        <w:t>7.9.3竣工验收合格条件</w:t>
      </w:r>
      <w:bookmarkEnd w:id="712"/>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1.在设计条件范围内，系统性能须完全满足合同要求。</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2.自系统安装、单体调试、联动调试、带料调试及性能保证测试过程中出现的问题已被解决并得到采购人认可。</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3.已提供了合同规定的全部货物和资料。</w:t>
      </w:r>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4.设备在交付采购人使用前，需经采购人、监理单位、设计单位、技术质量监督单位等验收通过，并获得使用证明。</w:t>
      </w:r>
    </w:p>
    <w:p>
      <w:pPr>
        <w:widowControl w:val="0"/>
        <w:autoSpaceDE w:val="0"/>
        <w:autoSpaceDN w:val="0"/>
        <w:ind w:firstLine="422" w:firstLineChars="200"/>
        <w:outlineLvl w:val="2"/>
        <w:rPr>
          <w:rFonts w:ascii="宋体" w:hAnsi="宋体" w:cs="宋体"/>
          <w:b/>
          <w:color w:val="auto"/>
          <w:szCs w:val="21"/>
          <w:highlight w:val="none"/>
        </w:rPr>
      </w:pPr>
      <w:bookmarkStart w:id="713" w:name="_Toc145084994"/>
      <w:r>
        <w:rPr>
          <w:rFonts w:hint="eastAsia" w:ascii="宋体" w:hAnsi="宋体" w:cs="宋体"/>
          <w:b/>
          <w:color w:val="auto"/>
          <w:szCs w:val="21"/>
          <w:highlight w:val="none"/>
        </w:rPr>
        <w:t>7.9.4 指导运行</w:t>
      </w:r>
      <w:bookmarkEnd w:id="713"/>
    </w:p>
    <w:p>
      <w:pPr>
        <w:widowControl w:val="0"/>
        <w:autoSpaceDE w:val="0"/>
        <w:autoSpaceDN w:val="0"/>
        <w:adjustRightInd/>
        <w:snapToGrid/>
        <w:ind w:firstLine="420" w:firstLineChars="200"/>
        <w:jc w:val="both"/>
        <w:rPr>
          <w:rFonts w:ascii="宋体" w:hAnsi="宋体" w:cs="宋体"/>
          <w:color w:val="auto"/>
          <w:szCs w:val="21"/>
          <w:highlight w:val="none"/>
        </w:rPr>
      </w:pPr>
      <w:r>
        <w:rPr>
          <w:rFonts w:hint="eastAsia" w:ascii="宋体" w:hAnsi="宋体" w:cs="宋体"/>
          <w:color w:val="auto"/>
          <w:kern w:val="2"/>
          <w:szCs w:val="21"/>
          <w:highlight w:val="none"/>
        </w:rPr>
        <w:t>在项目性能考核完成后，</w:t>
      </w:r>
      <w:r>
        <w:rPr>
          <w:rFonts w:hint="eastAsia" w:ascii="宋体" w:hAnsi="宋体" w:cs="宋体"/>
          <w:color w:val="auto"/>
          <w:szCs w:val="21"/>
          <w:highlight w:val="none"/>
        </w:rPr>
        <w:t>中</w:t>
      </w:r>
      <w:r>
        <w:rPr>
          <w:rFonts w:hint="eastAsia" w:ascii="宋体" w:hAnsi="宋体" w:cs="宋体"/>
          <w:color w:val="auto"/>
          <w:kern w:val="2"/>
          <w:szCs w:val="21"/>
          <w:highlight w:val="none"/>
        </w:rPr>
        <w:t>标人承担1年的指导运行工作。指导运行期间，由运行单位负责全厂的运行管理和操作，中标人派遣有经验的专业人员对全厂的运行进行指导。运行指导期间，</w:t>
      </w:r>
      <w:r>
        <w:rPr>
          <w:rFonts w:hint="eastAsia" w:ascii="宋体" w:hAnsi="宋体" w:cs="宋体"/>
          <w:color w:val="auto"/>
          <w:szCs w:val="21"/>
          <w:highlight w:val="none"/>
        </w:rPr>
        <w:t>中</w:t>
      </w:r>
      <w:r>
        <w:rPr>
          <w:rFonts w:hint="eastAsia" w:ascii="宋体" w:hAnsi="宋体" w:cs="宋体"/>
          <w:color w:val="auto"/>
          <w:kern w:val="2"/>
          <w:szCs w:val="21"/>
          <w:highlight w:val="none"/>
        </w:rPr>
        <w:t>标人仅承担自己派遣的指导运行人员相关费用。</w:t>
      </w:r>
    </w:p>
    <w:p>
      <w:pPr>
        <w:widowControl w:val="0"/>
        <w:autoSpaceDE w:val="0"/>
        <w:autoSpaceDN w:val="0"/>
        <w:jc w:val="both"/>
        <w:outlineLvl w:val="0"/>
        <w:rPr>
          <w:rFonts w:ascii="宋体" w:hAnsi="宋体" w:cs="宋体"/>
          <w:b/>
          <w:color w:val="auto"/>
          <w:szCs w:val="21"/>
          <w:highlight w:val="none"/>
        </w:rPr>
      </w:pPr>
      <w:bookmarkStart w:id="714" w:name="_Toc145084995"/>
      <w:r>
        <w:rPr>
          <w:rFonts w:hint="eastAsia" w:ascii="宋体" w:hAnsi="宋体" w:cs="宋体"/>
          <w:b/>
          <w:color w:val="auto"/>
          <w:szCs w:val="21"/>
          <w:highlight w:val="none"/>
        </w:rPr>
        <w:t>八、附录</w:t>
      </w:r>
      <w:bookmarkEnd w:id="714"/>
    </w:p>
    <w:p>
      <w:pPr>
        <w:widowControl w:val="0"/>
        <w:autoSpaceDE w:val="0"/>
        <w:autoSpaceDN w:val="0"/>
        <w:spacing w:before="60" w:after="60"/>
        <w:ind w:left="42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附件1：总平面图</w:t>
      </w:r>
    </w:p>
    <w:p>
      <w:pPr>
        <w:widowControl w:val="0"/>
        <w:autoSpaceDE w:val="0"/>
        <w:autoSpaceDN w:val="0"/>
        <w:spacing w:before="60" w:after="60"/>
        <w:ind w:left="42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附件2：车间方案布置图</w:t>
      </w:r>
    </w:p>
    <w:p>
      <w:pPr>
        <w:widowControl w:val="0"/>
        <w:autoSpaceDE w:val="0"/>
        <w:autoSpaceDN w:val="0"/>
        <w:spacing w:before="60" w:after="60"/>
        <w:ind w:left="425" w:right="113" w:firstLine="420" w:firstLineChars="200"/>
        <w:jc w:val="both"/>
        <w:rPr>
          <w:rFonts w:ascii="宋体" w:hAnsi="宋体" w:cs="宋体"/>
          <w:color w:val="auto"/>
          <w:szCs w:val="21"/>
          <w:highlight w:val="none"/>
        </w:rPr>
      </w:pPr>
      <w:r>
        <w:rPr>
          <w:rFonts w:hint="eastAsia" w:ascii="宋体" w:hAnsi="宋体" w:cs="宋体"/>
          <w:color w:val="auto"/>
          <w:szCs w:val="21"/>
          <w:highlight w:val="none"/>
        </w:rPr>
        <w:t>附件3：给排水、电气接驳点布置图</w:t>
      </w:r>
    </w:p>
    <w:p>
      <w:pPr>
        <w:snapToGrid/>
        <w:spacing w:line="240" w:lineRule="auto"/>
        <w:rPr>
          <w:rFonts w:ascii="宋体" w:hAnsi="宋体" w:cs="宋体"/>
          <w:color w:val="auto"/>
          <w:szCs w:val="21"/>
          <w:highlight w:val="none"/>
        </w:rPr>
      </w:pPr>
      <w:r>
        <w:rPr>
          <w:rFonts w:hint="eastAsia" w:ascii="宋体" w:hAnsi="宋体" w:cs="宋体"/>
          <w:color w:val="auto"/>
          <w:szCs w:val="21"/>
          <w:highlight w:val="none"/>
        </w:rPr>
        <w:br w:type="page"/>
      </w:r>
    </w:p>
    <w:p>
      <w:pPr>
        <w:keepNext/>
        <w:keepLines/>
        <w:widowControl w:val="0"/>
        <w:tabs>
          <w:tab w:val="left" w:pos="640"/>
        </w:tabs>
        <w:autoSpaceDE w:val="0"/>
        <w:autoSpaceDN w:val="0"/>
        <w:spacing w:before="340" w:after="330"/>
        <w:jc w:val="center"/>
        <w:outlineLvl w:val="0"/>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kern w:val="44"/>
          <w:sz w:val="32"/>
          <w:szCs w:val="32"/>
          <w:highlight w:val="none"/>
        </w:rPr>
        <w:t>E包：生活垃圾及厨余垃圾收集转运设备采购及安装</w:t>
      </w:r>
    </w:p>
    <w:p>
      <w:pPr>
        <w:rPr>
          <w:rFonts w:ascii="宋体" w:hAnsi="宋体"/>
          <w:b/>
          <w:bCs/>
          <w:color w:val="auto"/>
          <w:szCs w:val="21"/>
          <w:highlight w:val="none"/>
        </w:rPr>
      </w:pPr>
      <w:r>
        <w:rPr>
          <w:rFonts w:hint="eastAsia" w:ascii="宋体" w:hAnsi="宋体"/>
          <w:b/>
          <w:bCs/>
          <w:color w:val="auto"/>
          <w:szCs w:val="21"/>
          <w:highlight w:val="none"/>
        </w:rPr>
        <w:t>说明：</w:t>
      </w:r>
    </w:p>
    <w:p>
      <w:pPr>
        <w:rPr>
          <w:rFonts w:ascii="宋体" w:hAnsi="宋体" w:cs="宋体"/>
          <w:b/>
          <w:bCs/>
          <w:color w:val="auto"/>
          <w:szCs w:val="21"/>
          <w:highlight w:val="none"/>
        </w:rPr>
      </w:pPr>
      <w:r>
        <w:rPr>
          <w:rFonts w:hint="eastAsia" w:ascii="宋体" w:hAnsi="宋体" w:cs="宋体"/>
          <w:b/>
          <w:bCs/>
          <w:color w:val="auto"/>
          <w:szCs w:val="21"/>
          <w:highlight w:val="none"/>
        </w:rPr>
        <w:t>1.采购需求中并未对品牌进行限定，投标人可自行选用符合本项目服务要求的品牌进行响应，但应确保其拟投货物不得低于采购需求所提出的规格或标准。</w:t>
      </w:r>
    </w:p>
    <w:p>
      <w:pPr>
        <w:pStyle w:val="2"/>
        <w:spacing w:before="0"/>
        <w:ind w:left="0"/>
        <w:rPr>
          <w:b/>
          <w:bCs/>
          <w:color w:val="auto"/>
          <w:sz w:val="21"/>
          <w:szCs w:val="21"/>
          <w:highlight w:val="none"/>
          <w:lang w:val="en-US" w:bidi="ar-SA"/>
        </w:rPr>
      </w:pPr>
      <w:r>
        <w:rPr>
          <w:rFonts w:hint="eastAsia"/>
          <w:b/>
          <w:bCs/>
          <w:color w:val="auto"/>
          <w:sz w:val="21"/>
          <w:szCs w:val="21"/>
          <w:highlight w:val="none"/>
          <w:lang w:val="en-US" w:bidi="ar-SA"/>
        </w:rPr>
        <w:t>2.标有“★”的地方均被视为重要的采购需求，投标人要特别加以注意，必须对此响应并完全满足这些要求，否则若有一项带“★”的要求未响应或不满足，将按无效投标处理。</w:t>
      </w:r>
    </w:p>
    <w:p>
      <w:pPr>
        <w:pStyle w:val="2"/>
        <w:spacing w:before="0"/>
        <w:ind w:left="0"/>
        <w:rPr>
          <w:b/>
          <w:bCs/>
          <w:color w:val="auto"/>
          <w:sz w:val="21"/>
          <w:szCs w:val="21"/>
          <w:highlight w:val="none"/>
          <w:lang w:val="en-US" w:bidi="ar-SA"/>
        </w:rPr>
      </w:pPr>
      <w:r>
        <w:rPr>
          <w:rFonts w:hint="eastAsia"/>
          <w:b/>
          <w:bCs/>
          <w:color w:val="auto"/>
          <w:sz w:val="21"/>
          <w:szCs w:val="21"/>
          <w:highlight w:val="none"/>
          <w:lang w:val="en-US" w:bidi="ar-SA"/>
        </w:rPr>
        <w:t>3.标有“▲”符号的内容为采购需求重点技术参数，若未能响应，则在评审过程中将根据评审内容作扣分处理。</w:t>
      </w:r>
    </w:p>
    <w:p>
      <w:pPr>
        <w:ind w:firstLine="420" w:firstLineChars="200"/>
        <w:rPr>
          <w:rFonts w:ascii="宋体" w:hAnsi="宋体" w:cs="宋体"/>
          <w:color w:val="auto"/>
          <w:szCs w:val="21"/>
          <w:highlight w:val="none"/>
        </w:rPr>
      </w:pPr>
    </w:p>
    <w:p>
      <w:pPr>
        <w:pStyle w:val="6"/>
        <w:jc w:val="both"/>
        <w:rPr>
          <w:rFonts w:ascii="宋体" w:hAnsi="宋体" w:eastAsia="宋体" w:cs="宋体"/>
          <w:color w:val="auto"/>
          <w:sz w:val="21"/>
          <w:szCs w:val="21"/>
          <w:highlight w:val="none"/>
        </w:rPr>
      </w:pPr>
      <w:bookmarkStart w:id="715" w:name="_Toc145066266"/>
      <w:r>
        <w:rPr>
          <w:rFonts w:hint="eastAsia" w:ascii="宋体" w:hAnsi="宋体" w:eastAsia="宋体" w:cs="宋体"/>
          <w:color w:val="auto"/>
          <w:sz w:val="21"/>
          <w:szCs w:val="21"/>
          <w:highlight w:val="none"/>
        </w:rPr>
        <w:t>一、采购标的清单</w:t>
      </w:r>
      <w:bookmarkEnd w:id="715"/>
    </w:p>
    <w:tbl>
      <w:tblPr>
        <w:tblStyle w:val="34"/>
        <w:tblW w:w="8519" w:type="dxa"/>
        <w:tblInd w:w="0" w:type="dxa"/>
        <w:tblLayout w:type="fixed"/>
        <w:tblCellMar>
          <w:top w:w="0" w:type="dxa"/>
          <w:left w:w="108" w:type="dxa"/>
          <w:bottom w:w="0" w:type="dxa"/>
          <w:right w:w="108" w:type="dxa"/>
        </w:tblCellMar>
      </w:tblPr>
      <w:tblGrid>
        <w:gridCol w:w="1031"/>
        <w:gridCol w:w="2177"/>
        <w:gridCol w:w="1263"/>
        <w:gridCol w:w="1667"/>
        <w:gridCol w:w="2381"/>
      </w:tblGrid>
      <w:tr>
        <w:tblPrEx>
          <w:tblLayout w:type="fixed"/>
          <w:tblCellMar>
            <w:top w:w="0" w:type="dxa"/>
            <w:left w:w="108" w:type="dxa"/>
            <w:bottom w:w="0" w:type="dxa"/>
            <w:right w:w="108" w:type="dxa"/>
          </w:tblCellMar>
        </w:tblPrEx>
        <w:trPr>
          <w:trHeight w:val="546" w:hRule="atLeast"/>
        </w:trPr>
        <w:tc>
          <w:tcPr>
            <w:tcW w:w="1031" w:type="dxa"/>
            <w:tcBorders>
              <w:top w:val="single" w:color="auto" w:sz="4" w:space="0"/>
              <w:left w:val="single" w:color="auto" w:sz="4" w:space="0"/>
              <w:bottom w:val="single" w:color="auto" w:sz="4" w:space="0"/>
              <w:right w:val="single" w:color="auto" w:sz="4" w:space="0"/>
            </w:tcBorders>
            <w:shd w:val="clear" w:color="000000" w:fill="FFFFFF"/>
            <w:vAlign w:val="center"/>
          </w:tcPr>
          <w:p>
            <w:pPr>
              <w:ind w:firstLine="211" w:firstLineChars="100"/>
              <w:jc w:val="both"/>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177" w:type="dxa"/>
            <w:tcBorders>
              <w:top w:val="single" w:color="auto" w:sz="4" w:space="0"/>
              <w:left w:val="nil"/>
              <w:bottom w:val="single" w:color="auto" w:sz="4" w:space="0"/>
              <w:right w:val="single" w:color="auto" w:sz="4" w:space="0"/>
            </w:tcBorders>
            <w:shd w:val="clear" w:color="000000" w:fill="FFFFFF"/>
            <w:vAlign w:val="center"/>
          </w:tcPr>
          <w:p>
            <w:pPr>
              <w:rPr>
                <w:rFonts w:ascii="宋体" w:hAnsi="宋体" w:cs="宋体"/>
                <w:b/>
                <w:bCs/>
                <w:color w:val="auto"/>
                <w:szCs w:val="21"/>
                <w:highlight w:val="none"/>
              </w:rPr>
            </w:pPr>
            <w:r>
              <w:rPr>
                <w:rFonts w:hint="eastAsia" w:ascii="宋体" w:hAnsi="宋体" w:cs="宋体"/>
                <w:b/>
                <w:bCs/>
                <w:color w:val="auto"/>
                <w:szCs w:val="21"/>
                <w:highlight w:val="none"/>
              </w:rPr>
              <w:t>设备名称</w:t>
            </w:r>
          </w:p>
        </w:tc>
        <w:tc>
          <w:tcPr>
            <w:tcW w:w="1263"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数量</w:t>
            </w:r>
          </w:p>
        </w:tc>
        <w:tc>
          <w:tcPr>
            <w:tcW w:w="1667" w:type="dxa"/>
            <w:tcBorders>
              <w:top w:val="single" w:color="auto" w:sz="4" w:space="0"/>
              <w:left w:val="nil"/>
              <w:bottom w:val="single" w:color="auto" w:sz="4" w:space="0"/>
              <w:right w:val="single" w:color="auto" w:sz="4" w:space="0"/>
            </w:tcBorders>
            <w:shd w:val="clear" w:color="000000" w:fill="FFFFFF"/>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动力类型</w:t>
            </w:r>
          </w:p>
        </w:tc>
        <w:tc>
          <w:tcPr>
            <w:tcW w:w="2381"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技术参数</w:t>
            </w:r>
          </w:p>
        </w:tc>
      </w:tr>
      <w:tr>
        <w:tblPrEx>
          <w:tblLayout w:type="fixed"/>
          <w:tblCellMar>
            <w:top w:w="0" w:type="dxa"/>
            <w:left w:w="108" w:type="dxa"/>
            <w:bottom w:w="0" w:type="dxa"/>
            <w:right w:w="108" w:type="dxa"/>
          </w:tblCellMar>
        </w:tblPrEx>
        <w:trPr>
          <w:trHeight w:val="312" w:hRule="atLeast"/>
        </w:trPr>
        <w:tc>
          <w:tcPr>
            <w:tcW w:w="1031" w:type="dxa"/>
            <w:tcBorders>
              <w:top w:val="nil"/>
              <w:left w:val="single" w:color="auto" w:sz="4" w:space="0"/>
              <w:bottom w:val="single" w:color="auto" w:sz="4" w:space="0"/>
              <w:right w:val="single" w:color="auto" w:sz="4" w:space="0"/>
            </w:tcBorders>
            <w:shd w:val="clear" w:color="000000" w:fill="FFFFFF"/>
            <w:vAlign w:val="center"/>
          </w:tcPr>
          <w:p>
            <w:pPr>
              <w:pStyle w:val="46"/>
              <w:numPr>
                <w:ilvl w:val="255"/>
                <w:numId w:val="0"/>
              </w:numPr>
              <w:ind w:left="420" w:leftChars="200"/>
              <w:jc w:val="both"/>
              <w:rPr>
                <w:rFonts w:ascii="宋体" w:hAnsi="宋体" w:cs="宋体"/>
                <w:color w:val="auto"/>
                <w:szCs w:val="21"/>
                <w:highlight w:val="none"/>
              </w:rPr>
            </w:pPr>
            <w:r>
              <w:rPr>
                <w:rFonts w:hint="eastAsia" w:ascii="宋体" w:hAnsi="宋体" w:cs="宋体"/>
                <w:color w:val="auto"/>
                <w:szCs w:val="21"/>
                <w:highlight w:val="none"/>
              </w:rPr>
              <w:t>1</w:t>
            </w:r>
          </w:p>
        </w:tc>
        <w:tc>
          <w:tcPr>
            <w:tcW w:w="2177" w:type="dxa"/>
            <w:tcBorders>
              <w:top w:val="nil"/>
              <w:left w:val="nil"/>
              <w:bottom w:val="single" w:color="auto" w:sz="4" w:space="0"/>
              <w:right w:val="single" w:color="auto" w:sz="4" w:space="0"/>
            </w:tcBorders>
            <w:shd w:val="clear" w:color="000000" w:fill="FFFFFF"/>
            <w:vAlign w:val="center"/>
          </w:tcPr>
          <w:p>
            <w:pPr>
              <w:rPr>
                <w:rFonts w:ascii="宋体" w:hAnsi="宋体" w:cs="宋体"/>
                <w:color w:val="auto"/>
                <w:szCs w:val="21"/>
                <w:highlight w:val="none"/>
              </w:rPr>
            </w:pPr>
            <w:r>
              <w:rPr>
                <w:rFonts w:hint="eastAsia" w:ascii="宋体" w:hAnsi="宋体" w:cs="宋体"/>
                <w:color w:val="auto"/>
                <w:szCs w:val="21"/>
                <w:highlight w:val="none"/>
              </w:rPr>
              <w:t>生活垃圾箱</w:t>
            </w:r>
          </w:p>
        </w:tc>
        <w:tc>
          <w:tcPr>
            <w:tcW w:w="1263"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10个</w:t>
            </w:r>
          </w:p>
        </w:tc>
        <w:tc>
          <w:tcPr>
            <w:tcW w:w="1667" w:type="dxa"/>
            <w:tcBorders>
              <w:top w:val="nil"/>
              <w:left w:val="nil"/>
              <w:bottom w:val="single" w:color="auto" w:sz="4" w:space="0"/>
              <w:right w:val="single" w:color="auto" w:sz="4" w:space="0"/>
            </w:tcBorders>
            <w:shd w:val="clear" w:color="000000" w:fill="FFFFFF"/>
            <w:vAlign w:val="center"/>
          </w:tcPr>
          <w:p>
            <w:pPr>
              <w:jc w:val="center"/>
              <w:textAlignment w:val="center"/>
              <w:rPr>
                <w:rFonts w:ascii="宋体" w:hAnsi="宋体" w:cs="宋体"/>
                <w:color w:val="auto"/>
                <w:szCs w:val="21"/>
                <w:highlight w:val="none"/>
              </w:rPr>
            </w:pPr>
            <w:r>
              <w:rPr>
                <w:rFonts w:hint="eastAsia" w:ascii="Times New Roman" w:hAnsi="Times New Roman" w:cs="Times New Roman"/>
                <w:color w:val="auto"/>
                <w:highlight w:val="none"/>
              </w:rPr>
              <w:t>-</w:t>
            </w:r>
          </w:p>
        </w:tc>
        <w:tc>
          <w:tcPr>
            <w:tcW w:w="2381"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详见附表2.1</w:t>
            </w:r>
          </w:p>
        </w:tc>
      </w:tr>
      <w:tr>
        <w:tblPrEx>
          <w:tblLayout w:type="fixed"/>
          <w:tblCellMar>
            <w:top w:w="0" w:type="dxa"/>
            <w:left w:w="108" w:type="dxa"/>
            <w:bottom w:w="0" w:type="dxa"/>
            <w:right w:w="108" w:type="dxa"/>
          </w:tblCellMar>
        </w:tblPrEx>
        <w:trPr>
          <w:trHeight w:val="312" w:hRule="atLeast"/>
        </w:trPr>
        <w:tc>
          <w:tcPr>
            <w:tcW w:w="1031" w:type="dxa"/>
            <w:tcBorders>
              <w:top w:val="nil"/>
              <w:left w:val="single" w:color="auto" w:sz="4" w:space="0"/>
              <w:bottom w:val="single" w:color="auto" w:sz="4" w:space="0"/>
              <w:right w:val="single" w:color="auto" w:sz="4" w:space="0"/>
            </w:tcBorders>
            <w:shd w:val="clear" w:color="000000" w:fill="FFFFFF"/>
            <w:vAlign w:val="center"/>
          </w:tcPr>
          <w:p>
            <w:pPr>
              <w:pStyle w:val="46"/>
              <w:numPr>
                <w:ilvl w:val="255"/>
                <w:numId w:val="0"/>
              </w:numPr>
              <w:ind w:left="420" w:leftChars="200"/>
              <w:jc w:val="both"/>
              <w:rPr>
                <w:rFonts w:ascii="宋体" w:hAnsi="宋体" w:cs="宋体"/>
                <w:color w:val="auto"/>
                <w:szCs w:val="21"/>
                <w:highlight w:val="none"/>
              </w:rPr>
            </w:pPr>
            <w:r>
              <w:rPr>
                <w:rFonts w:hint="eastAsia" w:ascii="宋体" w:hAnsi="宋体" w:cs="宋体"/>
                <w:color w:val="auto"/>
                <w:szCs w:val="21"/>
                <w:highlight w:val="none"/>
              </w:rPr>
              <w:t>2</w:t>
            </w:r>
          </w:p>
        </w:tc>
        <w:tc>
          <w:tcPr>
            <w:tcW w:w="2177" w:type="dxa"/>
            <w:tcBorders>
              <w:top w:val="nil"/>
              <w:left w:val="nil"/>
              <w:bottom w:val="single" w:color="auto" w:sz="4" w:space="0"/>
              <w:right w:val="single" w:color="auto" w:sz="4" w:space="0"/>
            </w:tcBorders>
            <w:shd w:val="clear" w:color="000000" w:fill="FFFFFF"/>
            <w:vAlign w:val="center"/>
          </w:tcPr>
          <w:p>
            <w:pPr>
              <w:rPr>
                <w:rFonts w:ascii="宋体" w:hAnsi="宋体" w:cs="宋体"/>
                <w:color w:val="auto"/>
                <w:szCs w:val="21"/>
                <w:highlight w:val="none"/>
              </w:rPr>
            </w:pPr>
            <w:r>
              <w:rPr>
                <w:rFonts w:hint="eastAsia" w:ascii="宋体" w:hAnsi="宋体" w:cs="宋体"/>
                <w:color w:val="auto"/>
                <w:szCs w:val="21"/>
                <w:highlight w:val="none"/>
              </w:rPr>
              <w:t>生活垃圾转运车（车厢可卸式垃圾车）</w:t>
            </w:r>
          </w:p>
        </w:tc>
        <w:tc>
          <w:tcPr>
            <w:tcW w:w="1263"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6辆</w:t>
            </w:r>
          </w:p>
        </w:tc>
        <w:tc>
          <w:tcPr>
            <w:tcW w:w="1667" w:type="dxa"/>
            <w:tcBorders>
              <w:top w:val="nil"/>
              <w:left w:val="nil"/>
              <w:bottom w:val="single" w:color="auto" w:sz="4" w:space="0"/>
              <w:right w:val="single" w:color="auto" w:sz="4" w:space="0"/>
            </w:tcBorders>
            <w:shd w:val="clear" w:color="000000" w:fill="FFFFFF"/>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油耗</w:t>
            </w:r>
          </w:p>
        </w:tc>
        <w:tc>
          <w:tcPr>
            <w:tcW w:w="2381"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详见附表2.2</w:t>
            </w:r>
          </w:p>
        </w:tc>
      </w:tr>
      <w:tr>
        <w:tblPrEx>
          <w:tblLayout w:type="fixed"/>
          <w:tblCellMar>
            <w:top w:w="0" w:type="dxa"/>
            <w:left w:w="108" w:type="dxa"/>
            <w:bottom w:w="0" w:type="dxa"/>
            <w:right w:w="108" w:type="dxa"/>
          </w:tblCellMar>
        </w:tblPrEx>
        <w:trPr>
          <w:trHeight w:val="312" w:hRule="atLeast"/>
        </w:trPr>
        <w:tc>
          <w:tcPr>
            <w:tcW w:w="1031" w:type="dxa"/>
            <w:tcBorders>
              <w:top w:val="nil"/>
              <w:left w:val="single" w:color="auto" w:sz="4" w:space="0"/>
              <w:bottom w:val="single" w:color="auto" w:sz="4" w:space="0"/>
              <w:right w:val="single" w:color="auto" w:sz="4" w:space="0"/>
            </w:tcBorders>
            <w:shd w:val="clear" w:color="000000" w:fill="FFFFFF"/>
            <w:vAlign w:val="center"/>
          </w:tcPr>
          <w:p>
            <w:pPr>
              <w:pStyle w:val="46"/>
              <w:numPr>
                <w:ilvl w:val="255"/>
                <w:numId w:val="0"/>
              </w:numPr>
              <w:ind w:left="420" w:leftChars="200"/>
              <w:jc w:val="both"/>
              <w:rPr>
                <w:rFonts w:ascii="宋体" w:hAnsi="宋体" w:cs="宋体"/>
                <w:color w:val="auto"/>
                <w:szCs w:val="21"/>
                <w:highlight w:val="none"/>
              </w:rPr>
            </w:pPr>
            <w:r>
              <w:rPr>
                <w:rFonts w:hint="eastAsia" w:ascii="宋体" w:hAnsi="宋体" w:cs="宋体"/>
                <w:color w:val="auto"/>
                <w:szCs w:val="21"/>
                <w:highlight w:val="none"/>
              </w:rPr>
              <w:t>3</w:t>
            </w:r>
          </w:p>
        </w:tc>
        <w:tc>
          <w:tcPr>
            <w:tcW w:w="2177" w:type="dxa"/>
            <w:tcBorders>
              <w:top w:val="nil"/>
              <w:left w:val="nil"/>
              <w:bottom w:val="single" w:color="auto" w:sz="4" w:space="0"/>
              <w:right w:val="single" w:color="auto" w:sz="4" w:space="0"/>
            </w:tcBorders>
            <w:shd w:val="clear" w:color="000000" w:fill="FFFFFF"/>
            <w:vAlign w:val="center"/>
          </w:tcPr>
          <w:p>
            <w:pPr>
              <w:rPr>
                <w:rFonts w:ascii="宋体" w:hAnsi="宋体" w:cs="宋体"/>
                <w:color w:val="auto"/>
                <w:szCs w:val="21"/>
                <w:highlight w:val="none"/>
              </w:rPr>
            </w:pPr>
            <w:r>
              <w:rPr>
                <w:rFonts w:hint="eastAsia" w:ascii="宋体" w:hAnsi="宋体" w:cs="宋体"/>
                <w:color w:val="auto"/>
                <w:szCs w:val="21"/>
                <w:highlight w:val="none"/>
              </w:rPr>
              <w:t>后置压缩式垃圾车</w:t>
            </w:r>
          </w:p>
        </w:tc>
        <w:tc>
          <w:tcPr>
            <w:tcW w:w="1263"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6辆</w:t>
            </w:r>
          </w:p>
        </w:tc>
        <w:tc>
          <w:tcPr>
            <w:tcW w:w="166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油耗</w:t>
            </w:r>
          </w:p>
        </w:tc>
        <w:tc>
          <w:tcPr>
            <w:tcW w:w="2381"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详见附表2.3</w:t>
            </w:r>
          </w:p>
        </w:tc>
      </w:tr>
      <w:tr>
        <w:tblPrEx>
          <w:tblLayout w:type="fixed"/>
          <w:tblCellMar>
            <w:top w:w="0" w:type="dxa"/>
            <w:left w:w="108" w:type="dxa"/>
            <w:bottom w:w="0" w:type="dxa"/>
            <w:right w:w="108" w:type="dxa"/>
          </w:tblCellMar>
        </w:tblPrEx>
        <w:trPr>
          <w:trHeight w:val="312" w:hRule="atLeast"/>
        </w:trPr>
        <w:tc>
          <w:tcPr>
            <w:tcW w:w="1031"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46"/>
              <w:numPr>
                <w:ilvl w:val="255"/>
                <w:numId w:val="0"/>
              </w:numPr>
              <w:ind w:left="420" w:leftChars="200"/>
              <w:jc w:val="both"/>
              <w:rPr>
                <w:rFonts w:ascii="宋体" w:hAnsi="宋体" w:cs="宋体"/>
                <w:color w:val="auto"/>
                <w:szCs w:val="21"/>
                <w:highlight w:val="none"/>
              </w:rPr>
            </w:pPr>
            <w:r>
              <w:rPr>
                <w:rFonts w:hint="eastAsia" w:ascii="宋体" w:hAnsi="宋体" w:cs="宋体"/>
                <w:color w:val="auto"/>
                <w:szCs w:val="21"/>
                <w:highlight w:val="none"/>
              </w:rPr>
              <w:t>4</w:t>
            </w:r>
          </w:p>
        </w:tc>
        <w:tc>
          <w:tcPr>
            <w:tcW w:w="2177" w:type="dxa"/>
            <w:tcBorders>
              <w:top w:val="single" w:color="auto" w:sz="4" w:space="0"/>
              <w:left w:val="nil"/>
              <w:bottom w:val="single" w:color="auto" w:sz="4" w:space="0"/>
              <w:right w:val="single" w:color="auto" w:sz="4" w:space="0"/>
            </w:tcBorders>
            <w:shd w:val="clear" w:color="000000" w:fill="FFFFFF"/>
            <w:vAlign w:val="center"/>
          </w:tcPr>
          <w:p>
            <w:pPr>
              <w:rPr>
                <w:rFonts w:ascii="宋体" w:hAnsi="宋体" w:cs="宋体"/>
                <w:color w:val="auto"/>
                <w:szCs w:val="21"/>
                <w:highlight w:val="none"/>
              </w:rPr>
            </w:pPr>
            <w:r>
              <w:rPr>
                <w:rFonts w:hint="eastAsia" w:ascii="宋体" w:hAnsi="宋体" w:cs="宋体"/>
                <w:color w:val="auto"/>
                <w:szCs w:val="21"/>
                <w:highlight w:val="none"/>
              </w:rPr>
              <w:t>大件垃圾转运车（</w:t>
            </w:r>
            <w:r>
              <w:rPr>
                <w:rFonts w:hint="eastAsia" w:ascii="宋体" w:hAnsi="宋体" w:cs="宋体"/>
                <w:color w:val="auto"/>
                <w:highlight w:val="none"/>
              </w:rPr>
              <w:t>平板自卸车</w:t>
            </w:r>
            <w:r>
              <w:rPr>
                <w:rFonts w:hint="eastAsia" w:ascii="宋体" w:hAnsi="宋体" w:cs="宋体"/>
                <w:color w:val="auto"/>
                <w:szCs w:val="21"/>
                <w:highlight w:val="none"/>
              </w:rPr>
              <w:t>）</w:t>
            </w:r>
          </w:p>
        </w:tc>
        <w:tc>
          <w:tcPr>
            <w:tcW w:w="1263"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1辆</w:t>
            </w:r>
          </w:p>
        </w:tc>
        <w:tc>
          <w:tcPr>
            <w:tcW w:w="1667"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油耗</w:t>
            </w:r>
          </w:p>
        </w:tc>
        <w:tc>
          <w:tcPr>
            <w:tcW w:w="2381"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详见附表2.4</w:t>
            </w:r>
          </w:p>
        </w:tc>
      </w:tr>
      <w:tr>
        <w:tblPrEx>
          <w:tblLayout w:type="fixed"/>
          <w:tblCellMar>
            <w:top w:w="0" w:type="dxa"/>
            <w:left w:w="108" w:type="dxa"/>
            <w:bottom w:w="0" w:type="dxa"/>
            <w:right w:w="108" w:type="dxa"/>
          </w:tblCellMar>
        </w:tblPrEx>
        <w:trPr>
          <w:trHeight w:val="312" w:hRule="atLeast"/>
        </w:trPr>
        <w:tc>
          <w:tcPr>
            <w:tcW w:w="1031"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46"/>
              <w:numPr>
                <w:ilvl w:val="255"/>
                <w:numId w:val="0"/>
              </w:numPr>
              <w:ind w:left="420" w:leftChars="200"/>
              <w:jc w:val="both"/>
              <w:rPr>
                <w:rFonts w:ascii="宋体" w:hAnsi="宋体" w:cs="宋体"/>
                <w:color w:val="auto"/>
                <w:szCs w:val="21"/>
                <w:highlight w:val="none"/>
              </w:rPr>
            </w:pPr>
            <w:r>
              <w:rPr>
                <w:rFonts w:hint="eastAsia" w:ascii="宋体" w:hAnsi="宋体" w:cs="宋体"/>
                <w:color w:val="auto"/>
                <w:szCs w:val="21"/>
                <w:highlight w:val="none"/>
              </w:rPr>
              <w:t>5</w:t>
            </w:r>
          </w:p>
        </w:tc>
        <w:tc>
          <w:tcPr>
            <w:tcW w:w="2177" w:type="dxa"/>
            <w:tcBorders>
              <w:top w:val="single" w:color="auto" w:sz="4" w:space="0"/>
              <w:left w:val="nil"/>
              <w:bottom w:val="single" w:color="auto" w:sz="4" w:space="0"/>
              <w:right w:val="single" w:color="auto" w:sz="4" w:space="0"/>
            </w:tcBorders>
            <w:shd w:val="clear" w:color="000000" w:fill="FFFFFF"/>
            <w:vAlign w:val="center"/>
          </w:tcPr>
          <w:p>
            <w:pPr>
              <w:rPr>
                <w:rFonts w:ascii="宋体" w:hAnsi="宋体" w:cs="宋体"/>
                <w:color w:val="auto"/>
                <w:szCs w:val="21"/>
                <w:highlight w:val="none"/>
              </w:rPr>
            </w:pPr>
            <w:r>
              <w:rPr>
                <w:rFonts w:hint="eastAsia" w:ascii="宋体" w:hAnsi="宋体" w:cs="宋体"/>
                <w:color w:val="auto"/>
                <w:szCs w:val="21"/>
                <w:highlight w:val="none"/>
              </w:rPr>
              <w:t>厨余收集车</w:t>
            </w:r>
          </w:p>
        </w:tc>
        <w:tc>
          <w:tcPr>
            <w:tcW w:w="1263"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4辆</w:t>
            </w:r>
          </w:p>
        </w:tc>
        <w:tc>
          <w:tcPr>
            <w:tcW w:w="1667"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油耗</w:t>
            </w:r>
          </w:p>
        </w:tc>
        <w:tc>
          <w:tcPr>
            <w:tcW w:w="2381"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详见附表2.5</w:t>
            </w:r>
          </w:p>
        </w:tc>
      </w:tr>
      <w:tr>
        <w:tblPrEx>
          <w:tblLayout w:type="fixed"/>
          <w:tblCellMar>
            <w:top w:w="0" w:type="dxa"/>
            <w:left w:w="108" w:type="dxa"/>
            <w:bottom w:w="0" w:type="dxa"/>
            <w:right w:w="108" w:type="dxa"/>
          </w:tblCellMar>
        </w:tblPrEx>
        <w:trPr>
          <w:trHeight w:val="312" w:hRule="atLeast"/>
        </w:trPr>
        <w:tc>
          <w:tcPr>
            <w:tcW w:w="1031"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46"/>
              <w:numPr>
                <w:ilvl w:val="255"/>
                <w:numId w:val="0"/>
              </w:numPr>
              <w:ind w:left="420" w:leftChars="200"/>
              <w:jc w:val="both"/>
              <w:rPr>
                <w:rFonts w:ascii="宋体" w:hAnsi="宋体" w:cs="宋体"/>
                <w:color w:val="auto"/>
                <w:szCs w:val="21"/>
                <w:highlight w:val="none"/>
              </w:rPr>
            </w:pPr>
            <w:r>
              <w:rPr>
                <w:rFonts w:hint="eastAsia" w:ascii="宋体" w:hAnsi="宋体" w:cs="宋体"/>
                <w:color w:val="auto"/>
                <w:szCs w:val="21"/>
                <w:highlight w:val="none"/>
              </w:rPr>
              <w:t>6</w:t>
            </w:r>
          </w:p>
        </w:tc>
        <w:tc>
          <w:tcPr>
            <w:tcW w:w="2177" w:type="dxa"/>
            <w:tcBorders>
              <w:top w:val="single" w:color="auto" w:sz="4" w:space="0"/>
              <w:left w:val="nil"/>
              <w:bottom w:val="single" w:color="auto" w:sz="4" w:space="0"/>
              <w:right w:val="single" w:color="auto" w:sz="4" w:space="0"/>
            </w:tcBorders>
            <w:shd w:val="clear" w:color="000000" w:fill="FFFFFF"/>
            <w:vAlign w:val="center"/>
          </w:tcPr>
          <w:p>
            <w:pPr>
              <w:rPr>
                <w:rFonts w:ascii="宋体" w:hAnsi="宋体" w:cs="宋体"/>
                <w:color w:val="auto"/>
                <w:szCs w:val="21"/>
                <w:highlight w:val="none"/>
              </w:rPr>
            </w:pPr>
            <w:r>
              <w:rPr>
                <w:rFonts w:hint="eastAsia" w:ascii="宋体" w:hAnsi="宋体" w:cs="宋体"/>
                <w:color w:val="auto"/>
                <w:szCs w:val="21"/>
                <w:highlight w:val="none"/>
              </w:rPr>
              <w:t>吸污车</w:t>
            </w:r>
          </w:p>
        </w:tc>
        <w:tc>
          <w:tcPr>
            <w:tcW w:w="1263"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1辆</w:t>
            </w:r>
          </w:p>
        </w:tc>
        <w:tc>
          <w:tcPr>
            <w:tcW w:w="1667"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油耗</w:t>
            </w:r>
          </w:p>
        </w:tc>
        <w:tc>
          <w:tcPr>
            <w:tcW w:w="2381"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详见附表2.6</w:t>
            </w:r>
          </w:p>
        </w:tc>
      </w:tr>
      <w:tr>
        <w:tblPrEx>
          <w:tblLayout w:type="fixed"/>
          <w:tblCellMar>
            <w:top w:w="0" w:type="dxa"/>
            <w:left w:w="108" w:type="dxa"/>
            <w:bottom w:w="0" w:type="dxa"/>
            <w:right w:w="108" w:type="dxa"/>
          </w:tblCellMar>
        </w:tblPrEx>
        <w:trPr>
          <w:trHeight w:val="312" w:hRule="atLeast"/>
        </w:trPr>
        <w:tc>
          <w:tcPr>
            <w:tcW w:w="1031"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46"/>
              <w:numPr>
                <w:ilvl w:val="255"/>
                <w:numId w:val="0"/>
              </w:numPr>
              <w:ind w:left="420" w:leftChars="200"/>
              <w:jc w:val="both"/>
              <w:rPr>
                <w:rFonts w:ascii="宋体" w:hAnsi="宋体" w:cs="宋体"/>
                <w:color w:val="auto"/>
                <w:szCs w:val="21"/>
                <w:highlight w:val="none"/>
              </w:rPr>
            </w:pPr>
            <w:r>
              <w:rPr>
                <w:rFonts w:hint="eastAsia" w:ascii="宋体" w:hAnsi="宋体" w:cs="宋体"/>
                <w:color w:val="auto"/>
                <w:szCs w:val="21"/>
                <w:highlight w:val="none"/>
              </w:rPr>
              <w:t>7</w:t>
            </w:r>
          </w:p>
        </w:tc>
        <w:tc>
          <w:tcPr>
            <w:tcW w:w="2177" w:type="dxa"/>
            <w:tcBorders>
              <w:top w:val="single" w:color="auto" w:sz="4" w:space="0"/>
              <w:left w:val="nil"/>
              <w:bottom w:val="single" w:color="auto" w:sz="4" w:space="0"/>
              <w:right w:val="single" w:color="auto" w:sz="4" w:space="0"/>
            </w:tcBorders>
            <w:shd w:val="clear" w:color="000000" w:fill="FFFFFF"/>
            <w:vAlign w:val="center"/>
          </w:tcPr>
          <w:p>
            <w:pPr>
              <w:rPr>
                <w:rFonts w:ascii="宋体" w:hAnsi="宋体" w:cs="宋体"/>
                <w:color w:val="auto"/>
                <w:szCs w:val="21"/>
                <w:highlight w:val="none"/>
              </w:rPr>
            </w:pPr>
            <w:r>
              <w:rPr>
                <w:rFonts w:hint="eastAsia" w:ascii="Times New Roman" w:hAnsi="Times New Roman" w:cs="Times New Roman"/>
                <w:b/>
                <w:color w:val="auto"/>
                <w:highlight w:val="none"/>
              </w:rPr>
              <w:t>车辆配套</w:t>
            </w:r>
          </w:p>
        </w:tc>
        <w:tc>
          <w:tcPr>
            <w:tcW w:w="1263"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667"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w:t>
            </w:r>
          </w:p>
        </w:tc>
        <w:tc>
          <w:tcPr>
            <w:tcW w:w="2381"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详见附表2.7</w:t>
            </w:r>
          </w:p>
        </w:tc>
      </w:tr>
    </w:tbl>
    <w:p>
      <w:pPr>
        <w:ind w:firstLine="420" w:firstLineChars="200"/>
        <w:rPr>
          <w:rFonts w:ascii="宋体" w:hAnsi="宋体" w:cs="宋体"/>
          <w:color w:val="auto"/>
          <w:szCs w:val="21"/>
          <w:highlight w:val="none"/>
        </w:rPr>
      </w:pPr>
      <w:r>
        <w:rPr>
          <w:rFonts w:hint="eastAsia" w:ascii="宋体" w:hAnsi="宋体" w:cs="宋体"/>
          <w:color w:val="auto"/>
          <w:szCs w:val="21"/>
          <w:highlight w:val="none"/>
        </w:rPr>
        <w:t>★生活垃圾箱以及生活垃圾转运车（车厢可卸式垃圾车），必须和中转站压缩设备相匹配并安全、正常运行。</w:t>
      </w:r>
    </w:p>
    <w:p>
      <w:pPr>
        <w:pStyle w:val="6"/>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二、技术参数及要求</w:t>
      </w:r>
    </w:p>
    <w:p>
      <w:pPr>
        <w:outlineLvl w:val="2"/>
        <w:rPr>
          <w:rFonts w:ascii="宋体" w:hAnsi="宋体" w:cs="宋体"/>
          <w:b/>
          <w:color w:val="auto"/>
          <w:szCs w:val="21"/>
          <w:highlight w:val="none"/>
        </w:rPr>
      </w:pPr>
      <w:bookmarkStart w:id="716" w:name="_Toc7630"/>
      <w:bookmarkStart w:id="717" w:name="_Toc31887"/>
      <w:bookmarkStart w:id="718" w:name="_Toc2591"/>
      <w:r>
        <w:rPr>
          <w:rFonts w:hint="eastAsia" w:ascii="宋体" w:hAnsi="宋体" w:cs="宋体"/>
          <w:b/>
          <w:color w:val="auto"/>
          <w:szCs w:val="21"/>
          <w:highlight w:val="none"/>
        </w:rPr>
        <w:t>2.1生活垃圾箱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垃圾箱是水平直压式垃圾压缩站配套设备之一。它既是垃圾压缩和储存容器，也是转运容器，与车厢可卸式垃圾车配套可实现垃圾的装载和转运。</w:t>
      </w:r>
    </w:p>
    <w:tbl>
      <w:tblPr>
        <w:tblStyle w:val="34"/>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4"/>
        <w:gridCol w:w="6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54"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项目</w:t>
            </w:r>
          </w:p>
        </w:tc>
        <w:tc>
          <w:tcPr>
            <w:tcW w:w="6066"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5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★箱体容积</w:t>
            </w:r>
          </w:p>
        </w:tc>
        <w:tc>
          <w:tcPr>
            <w:tcW w:w="60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≥28m³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54" w:type="dxa"/>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净载重量</w:t>
            </w:r>
          </w:p>
        </w:tc>
        <w:tc>
          <w:tcPr>
            <w:tcW w:w="60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≥17t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5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钩心高度</w:t>
            </w:r>
          </w:p>
        </w:tc>
        <w:tc>
          <w:tcPr>
            <w:tcW w:w="60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≥1570mm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5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底梁宽度</w:t>
            </w:r>
          </w:p>
        </w:tc>
        <w:tc>
          <w:tcPr>
            <w:tcW w:w="60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≥1060mm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5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箱体板厚</w:t>
            </w:r>
          </w:p>
        </w:tc>
        <w:tc>
          <w:tcPr>
            <w:tcW w:w="60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底板≥5mm，侧板≥4mm</w:t>
            </w:r>
          </w:p>
        </w:tc>
      </w:tr>
    </w:tbl>
    <w:p>
      <w:pPr>
        <w:ind w:firstLine="420" w:firstLineChars="200"/>
        <w:rPr>
          <w:rFonts w:ascii="宋体" w:hAnsi="宋体" w:cs="宋体"/>
          <w:color w:val="auto"/>
          <w:szCs w:val="21"/>
          <w:highlight w:val="none"/>
        </w:rPr>
      </w:pPr>
      <w:r>
        <w:rPr>
          <w:rFonts w:hint="eastAsia" w:ascii="宋体" w:hAnsi="宋体" w:cs="宋体"/>
          <w:color w:val="auto"/>
          <w:szCs w:val="21"/>
          <w:highlight w:val="none"/>
        </w:rPr>
        <w:t>技术要求：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（1）箱体截面要求采用内凹设计结构，防止压缩后箱体反变形影响其使用寿命。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（2）箱体关键材质要求采用高强度钢板且经过特殊预处理和防腐处理，有效提高其抗压和防腐污的能力。</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（3）液压系统的关键液压阀要求保证液压系统的稳定性；液压钢管部件采用弹性密封型式，减少液压管路渗泄漏的风险。</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（4）要求高性能通用化滚轮：铜套和焊接式卡板结构，铜套具有良好耐冲击性，焊接式卡板具有良好结构强度；即使在恶劣复杂工况下，滚轮也具有优异的工作性能和耐久性。</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要求双重门密封：除在卸料门处设有密封外，在卸料门外侧专门设有自动密封门，垃圾箱在转运过程中，自动密封门压紧进料口处，起到密封与遮挡作用，保证转运过程中污水不泄漏。（需提供实物照片及技术说明）</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6）垃圾箱卸料门锁紧机构要求采用保护六点锁紧机构或更优锁紧技术方案，密封条的压条具有无级可调，即使密封条部分损坏或者卸料门少量夹渣的情况下，也能通过多点锁紧技术保证密封面的压紧与密封，杜绝因卸料门夹料导致密封不严的情况，同时提高密封条的密封性能和使用寿命，确保在垃圾转运过程中没有污水渗漏。（需提供实物照片及技术说明）</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（7）要求双侧排水：垃圾箱内部设置双层排水通道，可迅速的将垃圾压缩过程中产生的污水通过通道排出垃圾箱外，减少垃圾转运过程中的污水，实现污水站内收集。</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（8）要求充分考虑人机工程，液压快换接头采用倾斜30°布置。</w:t>
      </w:r>
    </w:p>
    <w:p>
      <w:pPr>
        <w:rPr>
          <w:rFonts w:ascii="宋体" w:hAnsi="宋体" w:cs="宋体"/>
          <w:color w:val="auto"/>
          <w:szCs w:val="21"/>
          <w:highlight w:val="none"/>
        </w:rPr>
      </w:pPr>
    </w:p>
    <w:p>
      <w:pPr>
        <w:outlineLvl w:val="2"/>
        <w:rPr>
          <w:rFonts w:ascii="宋体" w:hAnsi="宋体" w:cs="宋体"/>
          <w:b/>
          <w:color w:val="auto"/>
          <w:szCs w:val="21"/>
          <w:highlight w:val="none"/>
        </w:rPr>
      </w:pPr>
      <w:r>
        <w:rPr>
          <w:rFonts w:hint="eastAsia" w:ascii="宋体" w:hAnsi="宋体" w:cs="宋体"/>
          <w:b/>
          <w:color w:val="auto"/>
          <w:szCs w:val="21"/>
          <w:highlight w:val="none"/>
        </w:rPr>
        <w:t>附表2.2生活垃圾转运车（车厢可卸式垃圾车）</w:t>
      </w:r>
    </w:p>
    <w:tbl>
      <w:tblPr>
        <w:tblStyle w:val="34"/>
        <w:tblW w:w="833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87"/>
        <w:gridCol w:w="63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shd w:val="clear" w:color="auto" w:fill="D8D8D8"/>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项    目</w:t>
            </w:r>
          </w:p>
        </w:tc>
        <w:tc>
          <w:tcPr>
            <w:tcW w:w="6348" w:type="dxa"/>
            <w:tcBorders>
              <w:top w:val="single" w:color="000000" w:sz="6" w:space="0"/>
              <w:left w:val="single" w:color="000000" w:sz="6" w:space="0"/>
              <w:bottom w:val="single" w:color="000000" w:sz="6" w:space="0"/>
              <w:right w:val="single" w:color="000000" w:sz="6" w:space="0"/>
            </w:tcBorders>
            <w:shd w:val="clear" w:color="auto" w:fill="D8D8D8"/>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参  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车型</w:t>
            </w:r>
          </w:p>
        </w:tc>
        <w:tc>
          <w:tcPr>
            <w:tcW w:w="634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车厢可卸式垃圾车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rPr>
              <w:t>★</w:t>
            </w:r>
            <w:r>
              <w:rPr>
                <w:rFonts w:hint="eastAsia" w:ascii="宋体" w:hAnsi="宋体" w:cs="宋体"/>
                <w:color w:val="auto"/>
                <w:szCs w:val="21"/>
                <w:highlight w:val="none"/>
                <w:lang w:val="zh-CN"/>
              </w:rPr>
              <w:t>最大总质量</w:t>
            </w:r>
          </w:p>
        </w:tc>
        <w:tc>
          <w:tcPr>
            <w:tcW w:w="6348" w:type="dxa"/>
            <w:tcBorders>
              <w:top w:val="single" w:color="000000" w:sz="6" w:space="0"/>
              <w:left w:val="single" w:color="000000" w:sz="6" w:space="0"/>
              <w:bottom w:val="single" w:color="000000" w:sz="6" w:space="0"/>
              <w:right w:val="single" w:color="000000" w:sz="6" w:space="0"/>
            </w:tcBorders>
            <w:vAlign w:val="center"/>
          </w:tcPr>
          <w:p>
            <w:pPr>
              <w:rPr>
                <w:rFonts w:ascii="宋体" w:hAnsi="宋体" w:cs="宋体"/>
                <w:color w:val="auto"/>
                <w:szCs w:val="21"/>
                <w:highlight w:val="none"/>
                <w:lang w:val="zh-CN"/>
              </w:rPr>
            </w:pPr>
            <w:r>
              <w:rPr>
                <w:rFonts w:hint="eastAsia" w:ascii="宋体" w:hAnsi="宋体" w:cs="宋体"/>
                <w:color w:val="auto"/>
                <w:szCs w:val="21"/>
                <w:highlight w:val="none"/>
                <w:lang w:val="zh-CN"/>
              </w:rPr>
              <w:t>≥31000kg</w:t>
            </w:r>
            <w:r>
              <w:rPr>
                <w:rFonts w:hint="eastAsia" w:ascii="宋体" w:hAnsi="宋体" w:cs="宋体"/>
                <w:color w:val="auto"/>
                <w:szCs w:val="21"/>
                <w:highlight w:val="none"/>
              </w:rPr>
              <w:t>（须提供道路机动车辆生产企业及产品信息查询系统（http://app.miit-eidc.org.cn/miitxxgk/gonggao/xxgk/index）查询截图或须提供中国汽车网-汽车公告（http://www.chinacar.com.cn/search.html）查询截图。）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▲额定载质量</w:t>
            </w:r>
          </w:p>
        </w:tc>
        <w:tc>
          <w:tcPr>
            <w:tcW w:w="6348" w:type="dxa"/>
            <w:tcBorders>
              <w:top w:val="single" w:color="000000" w:sz="6" w:space="0"/>
              <w:left w:val="single" w:color="000000" w:sz="6" w:space="0"/>
              <w:bottom w:val="single" w:color="000000" w:sz="6" w:space="0"/>
              <w:right w:val="single" w:color="000000" w:sz="6"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≥17770</w:t>
            </w:r>
            <w:r>
              <w:rPr>
                <w:rFonts w:hint="eastAsia" w:ascii="宋体" w:hAnsi="宋体" w:cs="宋体"/>
                <w:color w:val="auto"/>
                <w:szCs w:val="21"/>
                <w:highlight w:val="none"/>
                <w:lang w:val="zh-CN"/>
              </w:rPr>
              <w:t>kg</w:t>
            </w:r>
            <w:r>
              <w:rPr>
                <w:rFonts w:hint="eastAsia" w:ascii="宋体" w:hAnsi="宋体" w:cs="宋体"/>
                <w:color w:val="auto"/>
                <w:szCs w:val="21"/>
                <w:highlight w:val="none"/>
              </w:rPr>
              <w:t>（须提供道路机动车辆生产企业及产品信息查询系统（http://app.miit-eidc.org.cn/miitxxgk/gonggao/xxgk/index）查询截图或须提供中国汽车网-汽车公告（http://www.chinacar.com.cn/search.html）查询截图。）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排放标准</w:t>
            </w:r>
          </w:p>
        </w:tc>
        <w:tc>
          <w:tcPr>
            <w:tcW w:w="634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国六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燃料种类</w:t>
            </w:r>
          </w:p>
        </w:tc>
        <w:tc>
          <w:tcPr>
            <w:tcW w:w="634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柴油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底盘发动机</w:t>
            </w:r>
          </w:p>
          <w:p>
            <w:pPr>
              <w:jc w:val="center"/>
              <w:rPr>
                <w:rFonts w:ascii="宋体" w:hAnsi="宋体" w:cs="宋体"/>
                <w:color w:val="auto"/>
                <w:szCs w:val="21"/>
                <w:highlight w:val="none"/>
              </w:rPr>
            </w:pPr>
            <w:r>
              <w:rPr>
                <w:rFonts w:hint="eastAsia" w:ascii="宋体" w:hAnsi="宋体" w:cs="宋体"/>
                <w:color w:val="auto"/>
                <w:szCs w:val="21"/>
                <w:highlight w:val="none"/>
              </w:rPr>
              <w:t>额定功率</w:t>
            </w:r>
          </w:p>
        </w:tc>
        <w:tc>
          <w:tcPr>
            <w:tcW w:w="634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rPr>
              <w:t>≥250kW</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zh-CN"/>
              </w:rPr>
              <w:t>▲</w:t>
            </w:r>
            <w:r>
              <w:rPr>
                <w:rFonts w:hint="eastAsia" w:ascii="宋体" w:hAnsi="宋体" w:cs="宋体"/>
                <w:color w:val="auto"/>
                <w:szCs w:val="21"/>
                <w:highlight w:val="none"/>
              </w:rPr>
              <w:t>接近角/离去角</w:t>
            </w:r>
          </w:p>
        </w:tc>
        <w:tc>
          <w:tcPr>
            <w:tcW w:w="6348" w:type="dxa"/>
            <w:tcBorders>
              <w:top w:val="single" w:color="000000" w:sz="6" w:space="0"/>
              <w:left w:val="single" w:color="000000" w:sz="6" w:space="0"/>
              <w:bottom w:val="single" w:color="000000" w:sz="6" w:space="0"/>
              <w:right w:val="single" w:color="000000" w:sz="6"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≥19°/17</w:t>
            </w:r>
            <w:r>
              <w:rPr>
                <w:rFonts w:hint="eastAsia" w:ascii="宋体" w:hAnsi="宋体" w:cs="宋体"/>
                <w:color w:val="auto"/>
                <w:szCs w:val="21"/>
                <w:highlight w:val="none"/>
                <w:lang w:val="en-US"/>
              </w:rPr>
              <w:t>°</w:t>
            </w:r>
            <w:r>
              <w:rPr>
                <w:rFonts w:hint="eastAsia" w:ascii="宋体" w:hAnsi="宋体" w:cs="宋体"/>
                <w:color w:val="auto"/>
                <w:szCs w:val="21"/>
                <w:highlight w:val="none"/>
              </w:rPr>
              <w:t>（须提供道路机动车辆生产企业及产品信息查询系统（http://app.miit-eidc.org.cn/miitxxgk/gonggao/xxgk/index）查询截图或须提供中国汽车网-汽车公告（http://www.chinacar.com.cn/search.html）查询截图。）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最小离地间隙</w:t>
            </w:r>
          </w:p>
        </w:tc>
        <w:tc>
          <w:tcPr>
            <w:tcW w:w="634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zh-CN"/>
              </w:rPr>
              <w:t>470mm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装箱作业时间</w:t>
            </w:r>
          </w:p>
        </w:tc>
        <w:tc>
          <w:tcPr>
            <w:tcW w:w="634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rPr>
              <w:t>≤60s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卸箱作业时间</w:t>
            </w:r>
          </w:p>
        </w:tc>
        <w:tc>
          <w:tcPr>
            <w:tcW w:w="634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rPr>
              <w:t>≤60</w:t>
            </w:r>
            <w:r>
              <w:rPr>
                <w:rFonts w:hint="eastAsia" w:ascii="宋体" w:hAnsi="宋体" w:cs="宋体"/>
                <w:color w:val="auto"/>
                <w:szCs w:val="21"/>
                <w:highlight w:val="none"/>
                <w:lang w:val="zh-CN"/>
              </w:rPr>
              <w:t>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卸料循环作业时间</w:t>
            </w:r>
          </w:p>
        </w:tc>
        <w:tc>
          <w:tcPr>
            <w:tcW w:w="634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rPr>
              <w:t>≤110</w:t>
            </w:r>
            <w:r>
              <w:rPr>
                <w:rFonts w:hint="eastAsia" w:ascii="宋体" w:hAnsi="宋体" w:cs="宋体"/>
                <w:color w:val="auto"/>
                <w:szCs w:val="21"/>
                <w:highlight w:val="none"/>
                <w:lang w:val="zh-CN"/>
              </w:rPr>
              <w:t>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zh-CN"/>
              </w:rPr>
              <w:t>自卸角度</w:t>
            </w:r>
          </w:p>
        </w:tc>
        <w:tc>
          <w:tcPr>
            <w:tcW w:w="634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rPr>
              <w:t>≤</w:t>
            </w:r>
            <w:r>
              <w:rPr>
                <w:rFonts w:hint="eastAsia" w:ascii="宋体" w:hAnsi="宋体" w:cs="宋体"/>
                <w:color w:val="auto"/>
                <w:szCs w:val="21"/>
                <w:highlight w:val="none"/>
                <w:lang w:val="zh-CN"/>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钩心高度</w:t>
            </w:r>
          </w:p>
        </w:tc>
        <w:tc>
          <w:tcPr>
            <w:tcW w:w="634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rPr>
              <w:t>≥</w:t>
            </w:r>
            <w:r>
              <w:rPr>
                <w:rFonts w:hint="eastAsia" w:ascii="宋体" w:hAnsi="宋体" w:cs="宋体"/>
                <w:color w:val="auto"/>
                <w:szCs w:val="21"/>
                <w:highlight w:val="none"/>
                <w:lang w:val="zh-CN"/>
              </w:rPr>
              <w:t>15</w:t>
            </w:r>
            <w:r>
              <w:rPr>
                <w:rFonts w:hint="eastAsia" w:ascii="宋体" w:hAnsi="宋体" w:cs="宋体"/>
                <w:color w:val="auto"/>
                <w:szCs w:val="21"/>
                <w:highlight w:val="none"/>
              </w:rPr>
              <w:t>7</w:t>
            </w:r>
            <w:r>
              <w:rPr>
                <w:rFonts w:hint="eastAsia" w:ascii="宋体" w:hAnsi="宋体" w:cs="宋体"/>
                <w:color w:val="auto"/>
                <w:szCs w:val="21"/>
                <w:highlight w:val="none"/>
                <w:lang w:val="zh-CN"/>
              </w:rPr>
              <w:t>0mm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额定提升能力</w:t>
            </w:r>
          </w:p>
        </w:tc>
        <w:tc>
          <w:tcPr>
            <w:tcW w:w="634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rPr>
              <w:t>≥</w:t>
            </w:r>
            <w:r>
              <w:rPr>
                <w:rFonts w:hint="eastAsia" w:ascii="宋体" w:hAnsi="宋体" w:cs="宋体"/>
                <w:color w:val="auto"/>
                <w:szCs w:val="21"/>
                <w:highlight w:val="none"/>
                <w:lang w:val="zh-CN"/>
              </w:rPr>
              <w:t>26t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最大爬坡角</w:t>
            </w:r>
          </w:p>
        </w:tc>
        <w:tc>
          <w:tcPr>
            <w:tcW w:w="634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rPr>
              <w:t>≥</w:t>
            </w:r>
            <w:r>
              <w:rPr>
                <w:rFonts w:hint="eastAsia" w:ascii="宋体" w:hAnsi="宋体" w:cs="宋体"/>
                <w:color w:val="auto"/>
                <w:szCs w:val="21"/>
                <w:highlight w:val="none"/>
                <w:lang w:val="zh-CN"/>
              </w:rPr>
              <w:t>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最小转弯直径</w:t>
            </w:r>
          </w:p>
        </w:tc>
        <w:tc>
          <w:tcPr>
            <w:tcW w:w="6348"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rPr>
              <w:t>≤</w:t>
            </w:r>
            <w:r>
              <w:rPr>
                <w:rFonts w:hint="eastAsia" w:ascii="宋体" w:hAnsi="宋体" w:cs="宋体"/>
                <w:color w:val="auto"/>
                <w:szCs w:val="21"/>
                <w:highlight w:val="none"/>
                <w:lang w:val="zh-CN"/>
              </w:rPr>
              <w:t>22m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保险</w:t>
            </w:r>
          </w:p>
        </w:tc>
        <w:tc>
          <w:tcPr>
            <w:tcW w:w="6348" w:type="dxa"/>
            <w:tcBorders>
              <w:top w:val="single" w:color="000000" w:sz="6" w:space="0"/>
              <w:left w:val="single" w:color="000000" w:sz="6" w:space="0"/>
              <w:bottom w:val="single" w:color="000000" w:sz="6" w:space="0"/>
              <w:right w:val="single" w:color="000000" w:sz="6"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包括但不限于交强险、车船税、商业险（第三者300万、车上人员座位险）等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其他要求</w:t>
            </w:r>
          </w:p>
          <w:p>
            <w:pPr>
              <w:jc w:val="center"/>
              <w:rPr>
                <w:rFonts w:ascii="宋体" w:hAnsi="宋体" w:cs="宋体"/>
                <w:color w:val="auto"/>
                <w:szCs w:val="21"/>
                <w:highlight w:val="none"/>
                <w:lang w:val="zh-CN"/>
              </w:rPr>
            </w:pPr>
            <w:r>
              <w:rPr>
                <w:rFonts w:hint="eastAsia" w:ascii="宋体" w:hAnsi="宋体" w:cs="宋体"/>
                <w:color w:val="auto"/>
                <w:szCs w:val="21"/>
                <w:highlight w:val="none"/>
              </w:rPr>
              <w:t>（参数见车辆配件技术参数）</w:t>
            </w:r>
          </w:p>
        </w:tc>
        <w:tc>
          <w:tcPr>
            <w:tcW w:w="6348" w:type="dxa"/>
            <w:tcBorders>
              <w:top w:val="single" w:color="000000" w:sz="6" w:space="0"/>
              <w:left w:val="single" w:color="000000" w:sz="6" w:space="0"/>
              <w:bottom w:val="single" w:color="000000" w:sz="6" w:space="0"/>
              <w:right w:val="single" w:color="000000" w:sz="6"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1.每台车配置1个车载视频终端（集成标准型GPS）+4个车载摄像头+1个车载显示屏+1个插入式油感</w:t>
            </w:r>
          </w:p>
          <w:p>
            <w:pPr>
              <w:rPr>
                <w:rFonts w:ascii="宋体" w:hAnsi="宋体" w:cs="宋体"/>
                <w:color w:val="auto"/>
                <w:szCs w:val="21"/>
                <w:highlight w:val="none"/>
              </w:rPr>
            </w:pPr>
            <w:r>
              <w:rPr>
                <w:rFonts w:hint="eastAsia" w:ascii="宋体" w:hAnsi="宋体" w:cs="宋体"/>
                <w:color w:val="auto"/>
                <w:szCs w:val="21"/>
                <w:highlight w:val="none"/>
              </w:rPr>
              <w:t>2.每台车配备行车记录仪、盲区监测以及倒车后视系统</w:t>
            </w:r>
          </w:p>
        </w:tc>
      </w:tr>
    </w:tbl>
    <w:p>
      <w:pPr>
        <w:pStyle w:val="3"/>
        <w:rPr>
          <w:rFonts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技术要求：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（1）勾臂采用高强度结构件，能提高安全性和延长使用寿命；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（2）要求具有后支撑滚轮支撑装置，具有良好的作业稳定性；</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（3）要求具有电液自锁装置，安全性高；</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（4）需配备蜂鸣器提示，在进行各种作业动作时进行声音提示；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（5）需配备安全撑杆，能在维护作业时提供可靠安全防护；</w:t>
      </w:r>
    </w:p>
    <w:p>
      <w:pPr>
        <w:outlineLvl w:val="2"/>
        <w:rPr>
          <w:rFonts w:ascii="宋体" w:hAnsi="宋体" w:cs="宋体"/>
          <w:b/>
          <w:color w:val="auto"/>
          <w:szCs w:val="21"/>
          <w:highlight w:val="none"/>
        </w:rPr>
      </w:pPr>
      <w:r>
        <w:rPr>
          <w:rFonts w:hint="eastAsia" w:ascii="宋体" w:hAnsi="宋体" w:cs="宋体"/>
          <w:b/>
          <w:color w:val="auto"/>
          <w:szCs w:val="21"/>
          <w:highlight w:val="none"/>
        </w:rPr>
        <w:t>附表2.3后置压缩式垃圾车</w:t>
      </w:r>
    </w:p>
    <w:tbl>
      <w:tblPr>
        <w:tblStyle w:val="34"/>
        <w:tblW w:w="8522" w:type="dxa"/>
        <w:tblInd w:w="0" w:type="dxa"/>
        <w:tblLayout w:type="fixed"/>
        <w:tblCellMar>
          <w:top w:w="0" w:type="dxa"/>
          <w:left w:w="108" w:type="dxa"/>
          <w:bottom w:w="0" w:type="dxa"/>
          <w:right w:w="108" w:type="dxa"/>
        </w:tblCellMar>
      </w:tblPr>
      <w:tblGrid>
        <w:gridCol w:w="2045"/>
        <w:gridCol w:w="6477"/>
      </w:tblGrid>
      <w:tr>
        <w:tblPrEx>
          <w:tblLayout w:type="fixed"/>
          <w:tblCellMar>
            <w:top w:w="0" w:type="dxa"/>
            <w:left w:w="108" w:type="dxa"/>
            <w:bottom w:w="0" w:type="dxa"/>
            <w:right w:w="108" w:type="dxa"/>
          </w:tblCellMar>
        </w:tblPrEx>
        <w:trPr>
          <w:trHeight w:val="441"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★总质量（kg）</w:t>
            </w:r>
          </w:p>
        </w:tc>
        <w:tc>
          <w:tcPr>
            <w:tcW w:w="647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≥8200kg</w:t>
            </w:r>
            <w:r>
              <w:rPr>
                <w:rFonts w:hint="eastAsia" w:ascii="宋体" w:hAnsi="宋体" w:cs="宋体"/>
                <w:color w:val="auto"/>
                <w:szCs w:val="21"/>
                <w:highlight w:val="none"/>
              </w:rPr>
              <w:t>（须提供道路机动车辆生产企业及产品信息查询系统（http://app.miit-eidc.org.cn/miitxxgk/gonggao/xxgk/index）查询截图或须提供中国汽车网-汽车公告（http://www.chinacar.com.cn/search.html）查询截图。）</w:t>
            </w:r>
          </w:p>
        </w:tc>
      </w:tr>
      <w:tr>
        <w:tblPrEx>
          <w:tblLayout w:type="fixed"/>
          <w:tblCellMar>
            <w:top w:w="0" w:type="dxa"/>
            <w:left w:w="108" w:type="dxa"/>
            <w:bottom w:w="0" w:type="dxa"/>
            <w:right w:w="108" w:type="dxa"/>
          </w:tblCellMar>
        </w:tblPrEx>
        <w:trPr>
          <w:trHeight w:val="441"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▲整备质量（kg）</w:t>
            </w:r>
          </w:p>
        </w:tc>
        <w:tc>
          <w:tcPr>
            <w:tcW w:w="647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≥5840kg</w:t>
            </w:r>
            <w:r>
              <w:rPr>
                <w:rFonts w:hint="eastAsia" w:ascii="宋体" w:hAnsi="宋体" w:cs="宋体"/>
                <w:color w:val="auto"/>
                <w:szCs w:val="21"/>
                <w:highlight w:val="none"/>
              </w:rPr>
              <w:t>（须提供道路机动车辆生产企业及产品信息查询系统（http://app.miit-eidc.org.cn/miitxxgk/gonggao/xxgk/index）查询截图或须提供中国汽车网-汽车公告（http://www.chinacar.com.cn/search.html）查询截图。）</w:t>
            </w:r>
          </w:p>
        </w:tc>
      </w:tr>
      <w:tr>
        <w:tblPrEx>
          <w:tblLayout w:type="fixed"/>
          <w:tblCellMar>
            <w:top w:w="0" w:type="dxa"/>
            <w:left w:w="108" w:type="dxa"/>
            <w:bottom w:w="0" w:type="dxa"/>
            <w:right w:w="108" w:type="dxa"/>
          </w:tblCellMar>
        </w:tblPrEx>
        <w:trPr>
          <w:trHeight w:val="441"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额定载质量 (kg)</w:t>
            </w:r>
          </w:p>
        </w:tc>
        <w:tc>
          <w:tcPr>
            <w:tcW w:w="64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≥2060kg</w:t>
            </w:r>
          </w:p>
        </w:tc>
      </w:tr>
      <w:tr>
        <w:tblPrEx>
          <w:tblLayout w:type="fixed"/>
          <w:tblCellMar>
            <w:top w:w="0" w:type="dxa"/>
            <w:left w:w="108" w:type="dxa"/>
            <w:bottom w:w="0" w:type="dxa"/>
            <w:right w:w="108" w:type="dxa"/>
          </w:tblCellMar>
        </w:tblPrEx>
        <w:trPr>
          <w:trHeight w:val="441"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外形尺寸（mm）</w:t>
            </w:r>
          </w:p>
        </w:tc>
        <w:tc>
          <w:tcPr>
            <w:tcW w:w="64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≥6700×2100×2410mm</w:t>
            </w:r>
          </w:p>
        </w:tc>
      </w:tr>
      <w:tr>
        <w:tblPrEx>
          <w:tblLayout w:type="fixed"/>
          <w:tblCellMar>
            <w:top w:w="0" w:type="dxa"/>
            <w:left w:w="108" w:type="dxa"/>
            <w:bottom w:w="0" w:type="dxa"/>
            <w:right w:w="108" w:type="dxa"/>
          </w:tblCellMar>
        </w:tblPrEx>
        <w:trPr>
          <w:trHeight w:val="441"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前悬/后悬（mm）</w:t>
            </w:r>
          </w:p>
        </w:tc>
        <w:tc>
          <w:tcPr>
            <w:tcW w:w="64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≥1055/1740mm</w:t>
            </w:r>
          </w:p>
        </w:tc>
      </w:tr>
      <w:tr>
        <w:tblPrEx>
          <w:tblLayout w:type="fixed"/>
          <w:tblCellMar>
            <w:top w:w="0" w:type="dxa"/>
            <w:left w:w="108" w:type="dxa"/>
            <w:bottom w:w="0" w:type="dxa"/>
            <w:right w:w="108" w:type="dxa"/>
          </w:tblCellMar>
        </w:tblPrEx>
        <w:trPr>
          <w:trHeight w:val="441"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▲接近角/离去角（°）</w:t>
            </w:r>
          </w:p>
        </w:tc>
        <w:tc>
          <w:tcPr>
            <w:tcW w:w="647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≥20/11°</w:t>
            </w:r>
            <w:r>
              <w:rPr>
                <w:rFonts w:hint="eastAsia" w:ascii="宋体" w:hAnsi="宋体" w:cs="宋体"/>
                <w:color w:val="auto"/>
                <w:szCs w:val="21"/>
                <w:highlight w:val="none"/>
              </w:rPr>
              <w:t>（须提供道路机动车辆生产企业及产品信息查询系统（http://app.miit-eidc.org.cn/miitxxgk/gonggao/xxgk/index）查询截图或须提供中国汽车网-汽车公告（http://www.chinacar.com.cn/search.html）查询截图。）</w:t>
            </w:r>
          </w:p>
        </w:tc>
      </w:tr>
      <w:tr>
        <w:tblPrEx>
          <w:tblLayout w:type="fixed"/>
          <w:tblCellMar>
            <w:top w:w="0" w:type="dxa"/>
            <w:left w:w="108" w:type="dxa"/>
            <w:bottom w:w="0" w:type="dxa"/>
            <w:right w:w="108" w:type="dxa"/>
          </w:tblCellMar>
        </w:tblPrEx>
        <w:trPr>
          <w:trHeight w:val="441"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最大净功率（kw）</w:t>
            </w:r>
          </w:p>
        </w:tc>
        <w:tc>
          <w:tcPr>
            <w:tcW w:w="64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≥90</w:t>
            </w:r>
          </w:p>
        </w:tc>
      </w:tr>
      <w:tr>
        <w:tblPrEx>
          <w:tblLayout w:type="fixed"/>
          <w:tblCellMar>
            <w:top w:w="0" w:type="dxa"/>
            <w:left w:w="108" w:type="dxa"/>
            <w:bottom w:w="0" w:type="dxa"/>
            <w:right w:w="108" w:type="dxa"/>
          </w:tblCellMar>
        </w:tblPrEx>
        <w:trPr>
          <w:trHeight w:val="441"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垃圾箱有效容积（m³）</w:t>
            </w:r>
          </w:p>
        </w:tc>
        <w:tc>
          <w:tcPr>
            <w:tcW w:w="64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≥6m³</w:t>
            </w:r>
          </w:p>
        </w:tc>
      </w:tr>
      <w:tr>
        <w:tblPrEx>
          <w:tblLayout w:type="fixed"/>
          <w:tblCellMar>
            <w:top w:w="0" w:type="dxa"/>
            <w:left w:w="108" w:type="dxa"/>
            <w:bottom w:w="0" w:type="dxa"/>
            <w:right w:w="108" w:type="dxa"/>
          </w:tblCellMar>
        </w:tblPrEx>
        <w:trPr>
          <w:trHeight w:val="441"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投料口容积（m³）</w:t>
            </w:r>
          </w:p>
        </w:tc>
        <w:tc>
          <w:tcPr>
            <w:tcW w:w="64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≥0.6m³</w:t>
            </w:r>
          </w:p>
        </w:tc>
      </w:tr>
      <w:tr>
        <w:tblPrEx>
          <w:tblLayout w:type="fixed"/>
          <w:tblCellMar>
            <w:top w:w="0" w:type="dxa"/>
            <w:left w:w="108" w:type="dxa"/>
            <w:bottom w:w="0" w:type="dxa"/>
            <w:right w:w="108" w:type="dxa"/>
          </w:tblCellMar>
        </w:tblPrEx>
        <w:trPr>
          <w:trHeight w:val="441"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底盘品牌</w:t>
            </w:r>
          </w:p>
        </w:tc>
        <w:tc>
          <w:tcPr>
            <w:tcW w:w="64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上汽、宇通、东风、福田、江铃等</w:t>
            </w:r>
          </w:p>
        </w:tc>
      </w:tr>
      <w:tr>
        <w:tblPrEx>
          <w:tblLayout w:type="fixed"/>
          <w:tblCellMar>
            <w:top w:w="0" w:type="dxa"/>
            <w:left w:w="108" w:type="dxa"/>
            <w:bottom w:w="0" w:type="dxa"/>
            <w:right w:w="108" w:type="dxa"/>
          </w:tblCellMar>
        </w:tblPrEx>
        <w:trPr>
          <w:trHeight w:val="441"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车架质保期</w:t>
            </w:r>
          </w:p>
        </w:tc>
        <w:tc>
          <w:tcPr>
            <w:tcW w:w="64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≥质保1年，易损件除外</w:t>
            </w:r>
          </w:p>
        </w:tc>
      </w:tr>
      <w:tr>
        <w:tblPrEx>
          <w:tblLayout w:type="fixed"/>
          <w:tblCellMar>
            <w:top w:w="0" w:type="dxa"/>
            <w:left w:w="108" w:type="dxa"/>
            <w:bottom w:w="0" w:type="dxa"/>
            <w:right w:w="108" w:type="dxa"/>
          </w:tblCellMar>
        </w:tblPrEx>
        <w:trPr>
          <w:trHeight w:val="441"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排放标准</w:t>
            </w:r>
          </w:p>
        </w:tc>
        <w:tc>
          <w:tcPr>
            <w:tcW w:w="6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国六标准、柴油</w:t>
            </w:r>
          </w:p>
        </w:tc>
      </w:tr>
      <w:tr>
        <w:tblPrEx>
          <w:tblLayout w:type="fixed"/>
          <w:tblCellMar>
            <w:top w:w="0" w:type="dxa"/>
            <w:left w:w="108" w:type="dxa"/>
            <w:bottom w:w="0" w:type="dxa"/>
            <w:right w:w="108" w:type="dxa"/>
          </w:tblCellMar>
        </w:tblPrEx>
        <w:trPr>
          <w:trHeight w:val="450"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备注</w:t>
            </w:r>
          </w:p>
        </w:tc>
        <w:tc>
          <w:tcPr>
            <w:tcW w:w="6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挂桶式（可挂240L、660L垃圾桶）</w:t>
            </w:r>
          </w:p>
        </w:tc>
      </w:tr>
      <w:tr>
        <w:tblPrEx>
          <w:tblLayout w:type="fixed"/>
          <w:tblCellMar>
            <w:top w:w="0" w:type="dxa"/>
            <w:left w:w="108" w:type="dxa"/>
            <w:bottom w:w="0" w:type="dxa"/>
            <w:right w:w="108" w:type="dxa"/>
          </w:tblCellMar>
        </w:tblPrEx>
        <w:trPr>
          <w:trHeight w:val="450"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zh-CN"/>
              </w:rPr>
              <w:t>保险</w:t>
            </w:r>
          </w:p>
        </w:tc>
        <w:tc>
          <w:tcPr>
            <w:tcW w:w="6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r>
              <w:rPr>
                <w:rFonts w:hint="eastAsia" w:ascii="宋体" w:hAnsi="宋体" w:cs="宋体"/>
                <w:color w:val="auto"/>
                <w:szCs w:val="21"/>
                <w:highlight w:val="none"/>
              </w:rPr>
              <w:t>包括但不限于交强险、车船税、商业险（第三者300万、车上人员座位险）等</w:t>
            </w:r>
          </w:p>
        </w:tc>
      </w:tr>
      <w:tr>
        <w:tblPrEx>
          <w:tblLayout w:type="fixed"/>
          <w:tblCellMar>
            <w:top w:w="0" w:type="dxa"/>
            <w:left w:w="108" w:type="dxa"/>
            <w:bottom w:w="0" w:type="dxa"/>
            <w:right w:w="108" w:type="dxa"/>
          </w:tblCellMar>
        </w:tblPrEx>
        <w:trPr>
          <w:trHeight w:val="450" w:hRule="atLeast"/>
        </w:trPr>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其他要求</w:t>
            </w:r>
          </w:p>
          <w:p>
            <w:pPr>
              <w:jc w:val="center"/>
              <w:rPr>
                <w:rFonts w:ascii="宋体" w:hAnsi="宋体" w:cs="宋体"/>
                <w:color w:val="auto"/>
                <w:szCs w:val="21"/>
                <w:highlight w:val="none"/>
              </w:rPr>
            </w:pPr>
            <w:r>
              <w:rPr>
                <w:rFonts w:hint="eastAsia" w:ascii="宋体" w:hAnsi="宋体" w:cs="宋体"/>
                <w:color w:val="auto"/>
                <w:szCs w:val="21"/>
                <w:highlight w:val="none"/>
              </w:rPr>
              <w:t>（参数见车辆配件技术参数）</w:t>
            </w:r>
          </w:p>
        </w:tc>
        <w:tc>
          <w:tcPr>
            <w:tcW w:w="6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Cs w:val="21"/>
                <w:highlight w:val="none"/>
              </w:rPr>
            </w:pPr>
            <w:r>
              <w:rPr>
                <w:rFonts w:hint="eastAsia" w:ascii="宋体" w:hAnsi="宋体" w:cs="宋体"/>
                <w:color w:val="auto"/>
                <w:szCs w:val="21"/>
                <w:highlight w:val="none"/>
              </w:rPr>
              <w:t>1.每台车配置1个车载视频终端（集成标准型GPS）+4个车载摄像头+1个车载显示屏+1个插入式油感</w:t>
            </w:r>
          </w:p>
          <w:p>
            <w:pPr>
              <w:rPr>
                <w:rFonts w:ascii="宋体" w:hAnsi="宋体" w:cs="宋体"/>
                <w:color w:val="auto"/>
                <w:szCs w:val="21"/>
                <w:highlight w:val="none"/>
              </w:rPr>
            </w:pPr>
            <w:r>
              <w:rPr>
                <w:rFonts w:hint="eastAsia" w:ascii="宋体" w:hAnsi="宋体" w:cs="宋体"/>
                <w:color w:val="auto"/>
                <w:szCs w:val="21"/>
                <w:highlight w:val="none"/>
              </w:rPr>
              <w:t>2.每台车配备行车记录仪、盲区监测以及倒车后视系统</w:t>
            </w:r>
          </w:p>
        </w:tc>
      </w:tr>
    </w:tbl>
    <w:p>
      <w:pPr>
        <w:pStyle w:val="2"/>
        <w:rPr>
          <w:color w:val="auto"/>
          <w:sz w:val="21"/>
          <w:szCs w:val="21"/>
          <w:highlight w:val="none"/>
          <w:lang w:val="en-US"/>
        </w:rPr>
      </w:pPr>
    </w:p>
    <w:bookmarkEnd w:id="716"/>
    <w:bookmarkEnd w:id="717"/>
    <w:bookmarkEnd w:id="718"/>
    <w:p>
      <w:pPr>
        <w:outlineLvl w:val="2"/>
        <w:rPr>
          <w:rFonts w:ascii="宋体" w:hAnsi="宋体" w:cs="宋体"/>
          <w:b/>
          <w:color w:val="auto"/>
          <w:szCs w:val="21"/>
          <w:highlight w:val="none"/>
        </w:rPr>
      </w:pPr>
      <w:r>
        <w:rPr>
          <w:rFonts w:hint="eastAsia" w:ascii="宋体" w:hAnsi="宋体" w:cs="宋体"/>
          <w:b/>
          <w:color w:val="auto"/>
          <w:szCs w:val="21"/>
          <w:highlight w:val="none"/>
        </w:rPr>
        <w:t>附表2.4大件垃圾车间转运车</w:t>
      </w:r>
    </w:p>
    <w:tbl>
      <w:tblPr>
        <w:tblStyle w:val="34"/>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018"/>
        <w:gridCol w:w="5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675"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018"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项目</w:t>
            </w:r>
          </w:p>
        </w:tc>
        <w:tc>
          <w:tcPr>
            <w:tcW w:w="5827"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车型</w:t>
            </w:r>
          </w:p>
        </w:tc>
        <w:tc>
          <w:tcPr>
            <w:tcW w:w="582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自卸车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★总质量</w:t>
            </w:r>
          </w:p>
        </w:tc>
        <w:tc>
          <w:tcPr>
            <w:tcW w:w="5827" w:type="dxa"/>
            <w:vAlign w:val="center"/>
          </w:tcPr>
          <w:p>
            <w:pPr>
              <w:rPr>
                <w:rFonts w:ascii="宋体" w:hAnsi="宋体" w:cs="宋体"/>
                <w:color w:val="auto"/>
                <w:szCs w:val="21"/>
                <w:highlight w:val="none"/>
              </w:rPr>
            </w:pPr>
            <w:bookmarkStart w:id="719" w:name="zzl"/>
            <w:r>
              <w:rPr>
                <w:rFonts w:hint="eastAsia" w:ascii="宋体" w:hAnsi="宋体" w:cs="宋体"/>
                <w:color w:val="auto"/>
                <w:szCs w:val="21"/>
                <w:highlight w:val="none"/>
              </w:rPr>
              <w:t>≥7300</w:t>
            </w:r>
            <w:bookmarkEnd w:id="719"/>
            <w:r>
              <w:rPr>
                <w:rFonts w:hint="eastAsia" w:ascii="宋体" w:hAnsi="宋体" w:cs="宋体"/>
                <w:color w:val="auto"/>
                <w:szCs w:val="21"/>
                <w:highlight w:val="none"/>
              </w:rPr>
              <w:t>kg（须提供道路机动车辆生产企业及产品信息查询系统（http://app.miit-eidc.org.cn/miitxxgk/gonggao/xxgk/index）查询截图或须提供中国汽车网-汽车公告（http://www.chinacar.com.cn/search.html）查询截图）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▲额定载质量</w:t>
            </w:r>
          </w:p>
        </w:tc>
        <w:tc>
          <w:tcPr>
            <w:tcW w:w="5827" w:type="dxa"/>
            <w:vAlign w:val="center"/>
          </w:tcPr>
          <w:p>
            <w:pPr>
              <w:rPr>
                <w:rFonts w:ascii="宋体" w:hAnsi="宋体" w:cs="宋体"/>
                <w:color w:val="auto"/>
                <w:szCs w:val="21"/>
                <w:highlight w:val="none"/>
              </w:rPr>
            </w:pPr>
            <w:r>
              <w:rPr>
                <w:rFonts w:hint="eastAsia" w:ascii="宋体" w:hAnsi="宋体" w:cs="宋体"/>
                <w:color w:val="auto"/>
                <w:szCs w:val="21"/>
                <w:highlight w:val="none"/>
              </w:rPr>
              <w:t>≥</w:t>
            </w:r>
            <w:bookmarkStart w:id="720" w:name="edzl"/>
            <w:r>
              <w:rPr>
                <w:rFonts w:hint="eastAsia" w:ascii="宋体" w:hAnsi="宋体" w:cs="宋体"/>
                <w:color w:val="auto"/>
                <w:szCs w:val="21"/>
                <w:highlight w:val="none"/>
              </w:rPr>
              <w:t>3840</w:t>
            </w:r>
            <w:bookmarkEnd w:id="720"/>
            <w:r>
              <w:rPr>
                <w:rFonts w:hint="eastAsia" w:ascii="宋体" w:hAnsi="宋体" w:cs="宋体"/>
                <w:color w:val="auto"/>
                <w:szCs w:val="21"/>
                <w:highlight w:val="none"/>
              </w:rPr>
              <w:t>kg（须提供道路机动车辆生产企业及产品信息查询系统（http://app.miit-eidc.org.cn/miitxxgk/gonggao/xxgk/index）查询截图或须提供中国汽车网-汽车公告（http://www.chinacar.com.cn/search.html）查询截图）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驾驶室准乘人数</w:t>
            </w:r>
          </w:p>
        </w:tc>
        <w:tc>
          <w:tcPr>
            <w:tcW w:w="582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接近角/离去角</w:t>
            </w:r>
          </w:p>
        </w:tc>
        <w:tc>
          <w:tcPr>
            <w:tcW w:w="582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前悬/后悬</w:t>
            </w:r>
          </w:p>
        </w:tc>
        <w:tc>
          <w:tcPr>
            <w:tcW w:w="582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≥1080/1300mm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轴数</w:t>
            </w:r>
          </w:p>
        </w:tc>
        <w:tc>
          <w:tcPr>
            <w:tcW w:w="582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轴距</w:t>
            </w:r>
          </w:p>
        </w:tc>
        <w:tc>
          <w:tcPr>
            <w:tcW w:w="582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≥2850mm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最高车速</w:t>
            </w:r>
          </w:p>
        </w:tc>
        <w:tc>
          <w:tcPr>
            <w:tcW w:w="582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≥80km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底盘</w:t>
            </w:r>
          </w:p>
        </w:tc>
        <w:tc>
          <w:tcPr>
            <w:tcW w:w="5827" w:type="dxa"/>
            <w:vAlign w:val="center"/>
          </w:tcPr>
          <w:p>
            <w:pPr>
              <w:jc w:val="center"/>
              <w:rPr>
                <w:rFonts w:ascii="宋体" w:hAnsi="宋体" w:cs="宋体"/>
                <w:color w:val="auto"/>
                <w:szCs w:val="21"/>
                <w:highlight w:val="none"/>
              </w:rPr>
            </w:pPr>
            <w:bookmarkStart w:id="721" w:name="dpxh"/>
            <w:r>
              <w:rPr>
                <w:rFonts w:hint="eastAsia" w:ascii="宋体" w:hAnsi="宋体" w:cs="宋体"/>
                <w:color w:val="auto"/>
                <w:szCs w:val="21"/>
                <w:highlight w:val="none"/>
              </w:rPr>
              <w:t>江铃JX1071TG26</w:t>
            </w:r>
            <w:bookmarkEnd w:id="721"/>
            <w:r>
              <w:rPr>
                <w:rFonts w:hint="eastAsia" w:ascii="宋体" w:hAnsi="宋体" w:cs="宋体"/>
                <w:color w:val="auto"/>
                <w:szCs w:val="21"/>
                <w:highlight w:val="none"/>
              </w:rPr>
              <w:t>或更优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发动机功率</w:t>
            </w:r>
          </w:p>
        </w:tc>
        <w:tc>
          <w:tcPr>
            <w:tcW w:w="582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≥80kw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排放标准</w:t>
            </w:r>
          </w:p>
        </w:tc>
        <w:tc>
          <w:tcPr>
            <w:tcW w:w="582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国六、柴油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zh-CN"/>
              </w:rPr>
              <w:t>保险</w:t>
            </w:r>
          </w:p>
        </w:tc>
        <w:tc>
          <w:tcPr>
            <w:tcW w:w="5827" w:type="dxa"/>
            <w:vAlign w:val="center"/>
          </w:tcPr>
          <w:p>
            <w:pPr>
              <w:rPr>
                <w:rFonts w:ascii="宋体" w:hAnsi="宋体" w:cs="宋体"/>
                <w:color w:val="auto"/>
                <w:szCs w:val="21"/>
                <w:highlight w:val="none"/>
              </w:rPr>
            </w:pPr>
            <w:r>
              <w:rPr>
                <w:rFonts w:hint="eastAsia" w:ascii="宋体" w:hAnsi="宋体" w:cs="宋体"/>
                <w:color w:val="auto"/>
                <w:szCs w:val="21"/>
                <w:highlight w:val="none"/>
              </w:rPr>
              <w:t>包括但不限于交强险、车船税、商业险（第三者300万、车上人员座位险）等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pStyle w:val="46"/>
              <w:numPr>
                <w:ilvl w:val="0"/>
                <w:numId w:val="111"/>
              </w:numPr>
              <w:ind w:left="440" w:firstLine="420"/>
              <w:jc w:val="center"/>
              <w:rPr>
                <w:rFonts w:ascii="宋体" w:hAnsi="宋体" w:cs="宋体"/>
                <w:color w:val="auto"/>
                <w:szCs w:val="21"/>
                <w:highlight w:val="none"/>
              </w:rPr>
            </w:pPr>
          </w:p>
        </w:tc>
        <w:tc>
          <w:tcPr>
            <w:tcW w:w="20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其他要求</w:t>
            </w:r>
          </w:p>
          <w:p>
            <w:pPr>
              <w:jc w:val="center"/>
              <w:rPr>
                <w:rFonts w:ascii="宋体" w:hAnsi="宋体" w:cs="宋体"/>
                <w:color w:val="auto"/>
                <w:szCs w:val="21"/>
                <w:highlight w:val="none"/>
              </w:rPr>
            </w:pPr>
            <w:r>
              <w:rPr>
                <w:rFonts w:hint="eastAsia" w:ascii="宋体" w:hAnsi="宋体" w:cs="宋体"/>
                <w:color w:val="auto"/>
                <w:szCs w:val="21"/>
                <w:highlight w:val="none"/>
              </w:rPr>
              <w:t>（参数见车辆配件技术参数）</w:t>
            </w:r>
          </w:p>
        </w:tc>
        <w:tc>
          <w:tcPr>
            <w:tcW w:w="5827" w:type="dxa"/>
            <w:vAlign w:val="center"/>
          </w:tcPr>
          <w:p>
            <w:pPr>
              <w:rPr>
                <w:rFonts w:ascii="宋体" w:hAnsi="宋体" w:cs="宋体"/>
                <w:color w:val="auto"/>
                <w:szCs w:val="21"/>
                <w:highlight w:val="none"/>
              </w:rPr>
            </w:pPr>
            <w:r>
              <w:rPr>
                <w:rFonts w:hint="eastAsia" w:ascii="宋体" w:hAnsi="宋体" w:cs="宋体"/>
                <w:color w:val="auto"/>
                <w:szCs w:val="21"/>
                <w:highlight w:val="none"/>
              </w:rPr>
              <w:t>1.每台车配置1个车载视频终端（集成标准型GPS）+4个车载摄像头+1个车载显示屏+1个插入式油感</w:t>
            </w:r>
          </w:p>
          <w:p>
            <w:pPr>
              <w:rPr>
                <w:rFonts w:ascii="宋体" w:hAnsi="宋体" w:cs="宋体"/>
                <w:color w:val="auto"/>
                <w:szCs w:val="21"/>
                <w:highlight w:val="none"/>
              </w:rPr>
            </w:pPr>
            <w:r>
              <w:rPr>
                <w:rFonts w:hint="eastAsia" w:ascii="宋体" w:hAnsi="宋体" w:cs="宋体"/>
                <w:color w:val="auto"/>
                <w:szCs w:val="21"/>
                <w:highlight w:val="none"/>
              </w:rPr>
              <w:t>2.每台车配备行车记录仪、盲区监测以及倒车后视系统</w:t>
            </w:r>
          </w:p>
        </w:tc>
      </w:tr>
    </w:tbl>
    <w:p>
      <w:pPr>
        <w:rPr>
          <w:rFonts w:ascii="宋体" w:hAnsi="宋体" w:cs="宋体"/>
          <w:color w:val="auto"/>
          <w:szCs w:val="21"/>
          <w:highlight w:val="none"/>
        </w:rPr>
      </w:pPr>
    </w:p>
    <w:p>
      <w:pPr>
        <w:outlineLvl w:val="2"/>
        <w:rPr>
          <w:rFonts w:ascii="宋体" w:hAnsi="宋体" w:cs="宋体"/>
          <w:b/>
          <w:color w:val="auto"/>
          <w:szCs w:val="21"/>
          <w:highlight w:val="none"/>
        </w:rPr>
      </w:pPr>
      <w:r>
        <w:rPr>
          <w:rFonts w:hint="eastAsia" w:ascii="宋体" w:hAnsi="宋体" w:cs="宋体"/>
          <w:b/>
          <w:color w:val="auto"/>
          <w:szCs w:val="21"/>
          <w:highlight w:val="none"/>
        </w:rPr>
        <w:t>附表2.5厨余收集车</w:t>
      </w:r>
    </w:p>
    <w:tbl>
      <w:tblPr>
        <w:tblStyle w:val="3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148"/>
        <w:gridCol w:w="5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项目</w:t>
            </w:r>
          </w:p>
        </w:tc>
        <w:tc>
          <w:tcPr>
            <w:tcW w:w="568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车型</w:t>
            </w:r>
          </w:p>
        </w:tc>
        <w:tc>
          <w:tcPr>
            <w:tcW w:w="568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餐厨垃圾车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★总质量</w:t>
            </w:r>
          </w:p>
        </w:tc>
        <w:tc>
          <w:tcPr>
            <w:tcW w:w="5688" w:type="dxa"/>
            <w:vAlign w:val="center"/>
          </w:tcPr>
          <w:p>
            <w:pPr>
              <w:rPr>
                <w:rFonts w:ascii="宋体" w:hAnsi="宋体" w:cs="宋体"/>
                <w:color w:val="auto"/>
                <w:szCs w:val="21"/>
                <w:highlight w:val="none"/>
              </w:rPr>
            </w:pPr>
            <w:r>
              <w:rPr>
                <w:rFonts w:hint="eastAsia" w:ascii="宋体" w:hAnsi="宋体" w:cs="宋体"/>
                <w:color w:val="auto"/>
                <w:szCs w:val="21"/>
                <w:highlight w:val="none"/>
              </w:rPr>
              <w:t>≥8000kg（须提供道路机动车辆生产企业及产品信息查询系统（http://app.miit-eidc.org.cn/miitxxgk/gonggao/xxgk/index）查询截图或须提供中国汽车网-汽车公告（http://www.chinacar.com.cn/search.html）查询截图）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▲额定载质量</w:t>
            </w:r>
          </w:p>
        </w:tc>
        <w:tc>
          <w:tcPr>
            <w:tcW w:w="5688" w:type="dxa"/>
            <w:vAlign w:val="center"/>
          </w:tcPr>
          <w:p>
            <w:pPr>
              <w:rPr>
                <w:rFonts w:ascii="宋体" w:hAnsi="宋体" w:cs="宋体"/>
                <w:color w:val="auto"/>
                <w:szCs w:val="21"/>
                <w:highlight w:val="none"/>
              </w:rPr>
            </w:pPr>
            <w:r>
              <w:rPr>
                <w:rFonts w:hint="eastAsia" w:ascii="宋体" w:hAnsi="宋体" w:cs="宋体"/>
                <w:color w:val="auto"/>
                <w:szCs w:val="21"/>
                <w:highlight w:val="none"/>
              </w:rPr>
              <w:t>≥3000kg（须提供道路机动车辆生产企业及产品信息查询系统（http://app.miit-eidc.org.cn/miitxxgk/gonggao/xxgk/index）查询截图或须提供中国汽车网-汽车公告（http://www.chinacar.com.cn/search.html）查询截图）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底盘</w:t>
            </w:r>
          </w:p>
        </w:tc>
        <w:tc>
          <w:tcPr>
            <w:tcW w:w="568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江铃JX1083TG26底盘或更优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发动机功率</w:t>
            </w:r>
          </w:p>
        </w:tc>
        <w:tc>
          <w:tcPr>
            <w:tcW w:w="568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≥110kW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排放标准</w:t>
            </w:r>
          </w:p>
        </w:tc>
        <w:tc>
          <w:tcPr>
            <w:tcW w:w="568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国六、柴油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最小转弯直径</w:t>
            </w:r>
          </w:p>
        </w:tc>
        <w:tc>
          <w:tcPr>
            <w:tcW w:w="568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最大爬坡角</w:t>
            </w:r>
          </w:p>
        </w:tc>
        <w:tc>
          <w:tcPr>
            <w:tcW w:w="568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垃圾箱有效容积</w:t>
            </w:r>
          </w:p>
        </w:tc>
        <w:tc>
          <w:tcPr>
            <w:tcW w:w="568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≥4.5m³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污水箱容积</w:t>
            </w:r>
          </w:p>
        </w:tc>
        <w:tc>
          <w:tcPr>
            <w:tcW w:w="568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11</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清水箱容积</w:t>
            </w:r>
          </w:p>
        </w:tc>
        <w:tc>
          <w:tcPr>
            <w:tcW w:w="568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≥290L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12</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主要构件材质</w:t>
            </w:r>
          </w:p>
        </w:tc>
        <w:tc>
          <w:tcPr>
            <w:tcW w:w="568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304不锈钢或更优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13</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zh-CN"/>
              </w:rPr>
              <w:t>保险</w:t>
            </w:r>
          </w:p>
        </w:tc>
        <w:tc>
          <w:tcPr>
            <w:tcW w:w="5688" w:type="dxa"/>
            <w:vAlign w:val="center"/>
          </w:tcPr>
          <w:p>
            <w:pPr>
              <w:rPr>
                <w:rFonts w:ascii="宋体" w:hAnsi="宋体" w:cs="宋体"/>
                <w:color w:val="auto"/>
                <w:szCs w:val="21"/>
                <w:highlight w:val="none"/>
              </w:rPr>
            </w:pPr>
            <w:r>
              <w:rPr>
                <w:rFonts w:hint="eastAsia" w:ascii="宋体" w:hAnsi="宋体" w:cs="宋体"/>
                <w:color w:val="auto"/>
                <w:szCs w:val="21"/>
                <w:highlight w:val="none"/>
              </w:rPr>
              <w:t>包括但不限于交强险、车船税、商业险（第三者300万、车上人员座位险）等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14</w:t>
            </w:r>
          </w:p>
        </w:tc>
        <w:tc>
          <w:tcPr>
            <w:tcW w:w="214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其他要求</w:t>
            </w:r>
          </w:p>
          <w:p>
            <w:pPr>
              <w:jc w:val="center"/>
              <w:rPr>
                <w:rFonts w:ascii="宋体" w:hAnsi="宋体" w:cs="宋体"/>
                <w:color w:val="auto"/>
                <w:szCs w:val="21"/>
                <w:highlight w:val="none"/>
              </w:rPr>
            </w:pPr>
            <w:r>
              <w:rPr>
                <w:rFonts w:hint="eastAsia" w:ascii="宋体" w:hAnsi="宋体" w:cs="宋体"/>
                <w:color w:val="auto"/>
                <w:szCs w:val="21"/>
                <w:highlight w:val="none"/>
              </w:rPr>
              <w:t>（参数见车辆配件技术参数）</w:t>
            </w:r>
          </w:p>
        </w:tc>
        <w:tc>
          <w:tcPr>
            <w:tcW w:w="568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1.每台车配置1个车载视频终端（集成标准型GPS）+4个车载摄像头+1个车载显示屏+1个插入式油感</w:t>
            </w:r>
          </w:p>
          <w:p>
            <w:pPr>
              <w:jc w:val="center"/>
              <w:rPr>
                <w:rFonts w:ascii="宋体" w:hAnsi="宋体" w:cs="宋体"/>
                <w:color w:val="auto"/>
                <w:szCs w:val="21"/>
                <w:highlight w:val="none"/>
              </w:rPr>
            </w:pPr>
            <w:r>
              <w:rPr>
                <w:rFonts w:hint="eastAsia" w:ascii="宋体" w:hAnsi="宋体" w:cs="宋体"/>
                <w:color w:val="auto"/>
                <w:szCs w:val="21"/>
                <w:highlight w:val="none"/>
              </w:rPr>
              <w:t>2.每台车配备行车记录仪、盲区监测以及倒车后视系统</w:t>
            </w:r>
          </w:p>
        </w:tc>
      </w:tr>
    </w:tbl>
    <w:p>
      <w:pPr>
        <w:pStyle w:val="2"/>
        <w:rPr>
          <w:color w:val="auto"/>
          <w:sz w:val="21"/>
          <w:szCs w:val="21"/>
          <w:highlight w:val="none"/>
        </w:rPr>
      </w:pPr>
    </w:p>
    <w:p>
      <w:pPr>
        <w:outlineLvl w:val="2"/>
        <w:rPr>
          <w:rFonts w:ascii="宋体" w:hAnsi="宋体" w:cs="宋体"/>
          <w:b/>
          <w:color w:val="auto"/>
          <w:szCs w:val="21"/>
          <w:highlight w:val="none"/>
        </w:rPr>
      </w:pPr>
      <w:r>
        <w:rPr>
          <w:rFonts w:hint="eastAsia" w:ascii="宋体" w:hAnsi="宋体" w:cs="宋体"/>
          <w:b/>
          <w:color w:val="auto"/>
          <w:szCs w:val="21"/>
          <w:highlight w:val="none"/>
        </w:rPr>
        <w:t>附表2.6吸污车</w:t>
      </w:r>
    </w:p>
    <w:tbl>
      <w:tblPr>
        <w:tblStyle w:val="3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139"/>
        <w:gridCol w:w="5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681"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139"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项目</w:t>
            </w:r>
          </w:p>
        </w:tc>
        <w:tc>
          <w:tcPr>
            <w:tcW w:w="5699"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2139" w:type="dxa"/>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车型</w:t>
            </w:r>
          </w:p>
        </w:tc>
        <w:tc>
          <w:tcPr>
            <w:tcW w:w="5699" w:type="dxa"/>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吸污车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213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zh-CN"/>
              </w:rPr>
              <w:t>★总质量</w:t>
            </w:r>
          </w:p>
        </w:tc>
        <w:tc>
          <w:tcPr>
            <w:tcW w:w="5699" w:type="dxa"/>
            <w:vAlign w:val="center"/>
          </w:tcPr>
          <w:p>
            <w:pPr>
              <w:rPr>
                <w:rFonts w:hint="eastAsia" w:ascii="宋体" w:hAnsi="宋体" w:cs="宋体"/>
                <w:color w:val="auto"/>
                <w:szCs w:val="21"/>
                <w:highlight w:val="none"/>
                <w:lang w:val="en-US"/>
              </w:rPr>
            </w:pPr>
            <w:r>
              <w:rPr>
                <w:rFonts w:hint="eastAsia" w:ascii="宋体" w:hAnsi="宋体" w:cs="宋体"/>
                <w:color w:val="auto"/>
                <w:szCs w:val="21"/>
                <w:highlight w:val="none"/>
                <w:lang w:val="en-US"/>
              </w:rPr>
              <w:t>≥18000kg（须提供道路机动车辆生产企业及产品信息查询系统（http://app.miit-eidc.org.cn/miitxxgk/gonggao/xxgk/index）查询截图或须提供中国汽车网-汽车公告（http://www.chinacar.com.cn/search.html）查询截图）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213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zh-CN"/>
              </w:rPr>
              <w:t>▲额定载质量</w:t>
            </w:r>
          </w:p>
        </w:tc>
        <w:tc>
          <w:tcPr>
            <w:tcW w:w="5699" w:type="dxa"/>
            <w:vAlign w:val="center"/>
          </w:tcPr>
          <w:p>
            <w:pPr>
              <w:rPr>
                <w:rFonts w:hint="eastAsia" w:ascii="宋体" w:hAnsi="宋体" w:cs="宋体"/>
                <w:color w:val="auto"/>
                <w:szCs w:val="21"/>
                <w:highlight w:val="none"/>
                <w:lang w:val="en-US"/>
              </w:rPr>
            </w:pPr>
            <w:r>
              <w:rPr>
                <w:rFonts w:hint="eastAsia" w:ascii="宋体" w:hAnsi="宋体" w:cs="宋体"/>
                <w:color w:val="auto"/>
                <w:szCs w:val="21"/>
                <w:highlight w:val="none"/>
                <w:lang w:val="en-US"/>
              </w:rPr>
              <w:t>≥9000kg（须提供道路机动车辆生产企业及产品信息查询系统（http://app.miit-eidc.org.cn/miitxxgk/gonggao/xxgk/index）查询截图或须提供中国汽车网-汽车公告（http://www.chinacar.com.cn/search.html）查询截图）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2139" w:type="dxa"/>
            <w:vAlign w:val="center"/>
          </w:tcPr>
          <w:p>
            <w:pPr>
              <w:jc w:val="center"/>
              <w:rPr>
                <w:rFonts w:ascii="宋体" w:hAnsi="宋体" w:cs="宋体"/>
                <w:color w:val="auto"/>
                <w:szCs w:val="21"/>
                <w:highlight w:val="none"/>
                <w:lang w:val="zh-CN"/>
              </w:rPr>
            </w:pPr>
            <w:r>
              <w:rPr>
                <w:rFonts w:hint="eastAsia" w:ascii="宋体" w:hAnsi="宋体" w:cs="宋体"/>
                <w:color w:val="auto"/>
                <w:szCs w:val="21"/>
                <w:highlight w:val="none"/>
                <w:lang w:val="zh-CN"/>
              </w:rPr>
              <w:t>尺寸</w:t>
            </w:r>
          </w:p>
        </w:tc>
        <w:tc>
          <w:tcPr>
            <w:tcW w:w="569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满足餐厨预处理车间密闭停放要求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213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zh-CN"/>
              </w:rPr>
              <w:t>排放标准</w:t>
            </w:r>
          </w:p>
        </w:tc>
        <w:tc>
          <w:tcPr>
            <w:tcW w:w="569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zh-CN"/>
              </w:rPr>
              <w:t>国六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213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zh-CN"/>
              </w:rPr>
              <w:t>燃料种类</w:t>
            </w:r>
          </w:p>
        </w:tc>
        <w:tc>
          <w:tcPr>
            <w:tcW w:w="569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zh-CN"/>
              </w:rPr>
              <w:t>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213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底盘发动机</w:t>
            </w:r>
          </w:p>
          <w:p>
            <w:pPr>
              <w:jc w:val="center"/>
              <w:rPr>
                <w:rFonts w:ascii="宋体" w:hAnsi="宋体" w:cs="宋体"/>
                <w:color w:val="auto"/>
                <w:szCs w:val="21"/>
                <w:highlight w:val="none"/>
              </w:rPr>
            </w:pPr>
            <w:r>
              <w:rPr>
                <w:rFonts w:hint="eastAsia" w:ascii="宋体" w:hAnsi="宋体" w:cs="宋体"/>
                <w:color w:val="auto"/>
                <w:szCs w:val="21"/>
                <w:highlight w:val="none"/>
              </w:rPr>
              <w:t>额定功率</w:t>
            </w:r>
          </w:p>
        </w:tc>
        <w:tc>
          <w:tcPr>
            <w:tcW w:w="569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≥140kW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213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接近角/离去角</w:t>
            </w:r>
          </w:p>
        </w:tc>
        <w:tc>
          <w:tcPr>
            <w:tcW w:w="569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≥19°/15</w:t>
            </w:r>
            <w:r>
              <w:rPr>
                <w:rFonts w:hint="eastAsia" w:ascii="宋体" w:hAnsi="宋体" w:cs="宋体"/>
                <w:color w:val="auto"/>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213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zh-CN"/>
              </w:rPr>
              <w:t>最小离地间隙</w:t>
            </w:r>
          </w:p>
        </w:tc>
        <w:tc>
          <w:tcPr>
            <w:tcW w:w="569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zh-CN"/>
              </w:rPr>
              <w:t>245mm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2139" w:type="dxa"/>
          </w:tcPr>
          <w:p>
            <w:pPr>
              <w:jc w:val="center"/>
              <w:rPr>
                <w:rFonts w:ascii="宋体" w:hAnsi="宋体" w:cs="宋体"/>
                <w:color w:val="auto"/>
                <w:szCs w:val="21"/>
                <w:highlight w:val="none"/>
              </w:rPr>
            </w:pPr>
            <w:r>
              <w:rPr>
                <w:rFonts w:hint="eastAsia" w:ascii="宋体" w:hAnsi="宋体" w:cs="宋体"/>
                <w:color w:val="auto"/>
                <w:szCs w:val="21"/>
                <w:highlight w:val="none"/>
              </w:rPr>
              <w:t>最大真空度</w:t>
            </w:r>
          </w:p>
        </w:tc>
        <w:tc>
          <w:tcPr>
            <w:tcW w:w="5699" w:type="dxa"/>
          </w:tcPr>
          <w:p>
            <w:pPr>
              <w:jc w:val="center"/>
              <w:rPr>
                <w:rFonts w:ascii="宋体" w:hAnsi="宋体" w:cs="宋体"/>
                <w:color w:val="auto"/>
                <w:szCs w:val="21"/>
                <w:highlight w:val="none"/>
              </w:rPr>
            </w:pPr>
            <w:r>
              <w:rPr>
                <w:rFonts w:hint="eastAsia" w:ascii="宋体" w:hAnsi="宋体" w:cs="宋体"/>
                <w:color w:val="auto"/>
                <w:szCs w:val="21"/>
                <w:highlight w:val="none"/>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11</w:t>
            </w:r>
          </w:p>
        </w:tc>
        <w:tc>
          <w:tcPr>
            <w:tcW w:w="2139" w:type="dxa"/>
          </w:tcPr>
          <w:p>
            <w:pPr>
              <w:jc w:val="center"/>
              <w:rPr>
                <w:rFonts w:ascii="宋体" w:hAnsi="宋体" w:cs="宋体"/>
                <w:color w:val="auto"/>
                <w:szCs w:val="21"/>
                <w:highlight w:val="none"/>
              </w:rPr>
            </w:pPr>
            <w:r>
              <w:rPr>
                <w:rFonts w:hint="eastAsia" w:ascii="宋体" w:hAnsi="宋体" w:cs="宋体"/>
                <w:color w:val="auto"/>
                <w:szCs w:val="21"/>
                <w:highlight w:val="none"/>
              </w:rPr>
              <w:t>罐体体积</w:t>
            </w:r>
          </w:p>
        </w:tc>
        <w:tc>
          <w:tcPr>
            <w:tcW w:w="5699" w:type="dxa"/>
          </w:tcPr>
          <w:p>
            <w:pPr>
              <w:jc w:val="center"/>
              <w:rPr>
                <w:rFonts w:ascii="宋体" w:hAnsi="宋体" w:cs="宋体"/>
                <w:color w:val="auto"/>
                <w:szCs w:val="21"/>
                <w:highlight w:val="none"/>
              </w:rPr>
            </w:pPr>
            <w:r>
              <w:rPr>
                <w:rFonts w:hint="eastAsia" w:ascii="宋体" w:hAnsi="宋体" w:cs="宋体"/>
                <w:color w:val="auto"/>
                <w:szCs w:val="21"/>
                <w:highlight w:val="none"/>
              </w:rPr>
              <w:t>≥14m³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12</w:t>
            </w:r>
          </w:p>
        </w:tc>
        <w:tc>
          <w:tcPr>
            <w:tcW w:w="2139" w:type="dxa"/>
          </w:tcPr>
          <w:p>
            <w:pPr>
              <w:jc w:val="center"/>
              <w:rPr>
                <w:rFonts w:ascii="宋体" w:hAnsi="宋体" w:cs="宋体"/>
                <w:color w:val="auto"/>
                <w:szCs w:val="21"/>
                <w:highlight w:val="none"/>
              </w:rPr>
            </w:pPr>
            <w:r>
              <w:rPr>
                <w:rFonts w:hint="eastAsia" w:ascii="宋体" w:hAnsi="宋体" w:cs="宋体"/>
                <w:color w:val="auto"/>
                <w:szCs w:val="21"/>
                <w:highlight w:val="none"/>
              </w:rPr>
              <w:t>▲罐体有效容积</w:t>
            </w:r>
          </w:p>
        </w:tc>
        <w:tc>
          <w:tcPr>
            <w:tcW w:w="5699" w:type="dxa"/>
          </w:tcPr>
          <w:p>
            <w:pPr>
              <w:rPr>
                <w:rFonts w:ascii="宋体" w:hAnsi="宋体" w:cs="宋体"/>
                <w:color w:val="auto"/>
                <w:szCs w:val="21"/>
                <w:highlight w:val="none"/>
              </w:rPr>
            </w:pPr>
            <w:r>
              <w:rPr>
                <w:rFonts w:hint="eastAsia" w:ascii="宋体" w:hAnsi="宋体" w:cs="宋体"/>
                <w:color w:val="auto"/>
                <w:szCs w:val="21"/>
                <w:highlight w:val="none"/>
              </w:rPr>
              <w:t>≥11m³</w:t>
            </w:r>
            <w:r>
              <w:rPr>
                <w:rFonts w:hint="eastAsia" w:ascii="宋体" w:hAnsi="宋体" w:cs="宋体"/>
                <w:color w:val="auto"/>
                <w:szCs w:val="21"/>
                <w:highlight w:val="none"/>
                <w:lang w:val="en-US"/>
              </w:rPr>
              <w:t>（</w:t>
            </w:r>
            <w:r>
              <w:rPr>
                <w:rFonts w:hint="eastAsia" w:ascii="宋体" w:hAnsi="宋体" w:cs="宋体"/>
                <w:color w:val="auto"/>
                <w:szCs w:val="21"/>
                <w:highlight w:val="none"/>
                <w:lang w:val="zh-CN"/>
              </w:rPr>
              <w:t>须提供道路机动车辆生产企业及产品信息查询系统</w:t>
            </w:r>
            <w:r>
              <w:rPr>
                <w:rFonts w:hint="eastAsia" w:ascii="宋体" w:hAnsi="宋体" w:cs="宋体"/>
                <w:color w:val="auto"/>
                <w:szCs w:val="21"/>
                <w:highlight w:val="none"/>
                <w:lang w:val="en-US"/>
              </w:rPr>
              <w:t>（http://app.miit-eidc.org.cn/miitxxgk/gonggao/xxgk/index）</w:t>
            </w:r>
            <w:r>
              <w:rPr>
                <w:rFonts w:hint="eastAsia" w:ascii="宋体" w:hAnsi="宋体" w:cs="宋体"/>
                <w:color w:val="auto"/>
                <w:szCs w:val="21"/>
                <w:highlight w:val="none"/>
                <w:lang w:val="zh-CN"/>
              </w:rPr>
              <w:t>查询截图或须提供中国汽车网</w:t>
            </w:r>
            <w:r>
              <w:rPr>
                <w:rFonts w:hint="eastAsia" w:ascii="宋体" w:hAnsi="宋体" w:cs="宋体"/>
                <w:color w:val="auto"/>
                <w:szCs w:val="21"/>
                <w:highlight w:val="none"/>
                <w:lang w:val="en-US"/>
              </w:rPr>
              <w:t>-</w:t>
            </w:r>
            <w:r>
              <w:rPr>
                <w:rFonts w:hint="eastAsia" w:ascii="宋体" w:hAnsi="宋体" w:cs="宋体"/>
                <w:color w:val="auto"/>
                <w:szCs w:val="21"/>
                <w:highlight w:val="none"/>
                <w:lang w:val="zh-CN"/>
              </w:rPr>
              <w:t>汽车公告</w:t>
            </w:r>
            <w:r>
              <w:rPr>
                <w:rFonts w:hint="eastAsia" w:ascii="宋体" w:hAnsi="宋体" w:cs="宋体"/>
                <w:color w:val="auto"/>
                <w:szCs w:val="21"/>
                <w:highlight w:val="none"/>
                <w:lang w:val="en-US"/>
              </w:rPr>
              <w:t>（http://www.chinacar.com.cn/search.html）</w:t>
            </w:r>
            <w:r>
              <w:rPr>
                <w:rFonts w:hint="eastAsia" w:ascii="宋体" w:hAnsi="宋体" w:cs="宋体"/>
                <w:color w:val="auto"/>
                <w:szCs w:val="21"/>
                <w:highlight w:val="none"/>
                <w:lang w:val="zh-CN"/>
              </w:rPr>
              <w:t>查询截图</w:t>
            </w:r>
            <w:r>
              <w:rPr>
                <w:rFonts w:hint="eastAsia" w:ascii="宋体" w:hAnsi="宋体" w:cs="宋体"/>
                <w:color w:val="auto"/>
                <w:szCs w:val="21"/>
                <w:highlight w:val="no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13</w:t>
            </w:r>
          </w:p>
        </w:tc>
        <w:tc>
          <w:tcPr>
            <w:tcW w:w="2139" w:type="dxa"/>
          </w:tcPr>
          <w:p>
            <w:pPr>
              <w:jc w:val="center"/>
              <w:rPr>
                <w:rFonts w:ascii="宋体" w:hAnsi="宋体" w:cs="宋体"/>
                <w:color w:val="auto"/>
                <w:szCs w:val="21"/>
                <w:highlight w:val="none"/>
              </w:rPr>
            </w:pPr>
            <w:r>
              <w:rPr>
                <w:rFonts w:hint="eastAsia" w:ascii="宋体" w:hAnsi="宋体" w:cs="宋体"/>
                <w:color w:val="auto"/>
                <w:szCs w:val="21"/>
                <w:highlight w:val="none"/>
              </w:rPr>
              <w:t>最小转弯直径</w:t>
            </w:r>
          </w:p>
        </w:tc>
        <w:tc>
          <w:tcPr>
            <w:tcW w:w="569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14</w:t>
            </w:r>
          </w:p>
        </w:tc>
        <w:tc>
          <w:tcPr>
            <w:tcW w:w="213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zh-CN"/>
              </w:rPr>
              <w:t>保险</w:t>
            </w:r>
          </w:p>
        </w:tc>
        <w:tc>
          <w:tcPr>
            <w:tcW w:w="5699" w:type="dxa"/>
            <w:vAlign w:val="center"/>
          </w:tcPr>
          <w:p>
            <w:pPr>
              <w:rPr>
                <w:rFonts w:ascii="宋体" w:hAnsi="宋体" w:cs="宋体"/>
                <w:color w:val="auto"/>
                <w:szCs w:val="21"/>
                <w:highlight w:val="none"/>
              </w:rPr>
            </w:pPr>
            <w:r>
              <w:rPr>
                <w:rFonts w:hint="eastAsia" w:ascii="宋体" w:hAnsi="宋体" w:cs="宋体"/>
                <w:color w:val="auto"/>
                <w:szCs w:val="21"/>
                <w:highlight w:val="none"/>
              </w:rPr>
              <w:t>包括但不限于交强险、车船税、商业险（第三者300万、车上人员座位险）等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8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15</w:t>
            </w:r>
          </w:p>
        </w:tc>
        <w:tc>
          <w:tcPr>
            <w:tcW w:w="213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其他要求</w:t>
            </w:r>
          </w:p>
          <w:p>
            <w:pPr>
              <w:jc w:val="center"/>
              <w:rPr>
                <w:rFonts w:ascii="宋体" w:hAnsi="宋体" w:cs="宋体"/>
                <w:color w:val="auto"/>
                <w:szCs w:val="21"/>
                <w:highlight w:val="none"/>
                <w:lang w:val="zh-CN"/>
              </w:rPr>
            </w:pPr>
            <w:r>
              <w:rPr>
                <w:rFonts w:hint="eastAsia" w:ascii="宋体" w:hAnsi="宋体" w:cs="宋体"/>
                <w:color w:val="auto"/>
                <w:szCs w:val="21"/>
                <w:highlight w:val="none"/>
              </w:rPr>
              <w:t>（参数见车辆配件技术参数）</w:t>
            </w:r>
          </w:p>
        </w:tc>
        <w:tc>
          <w:tcPr>
            <w:tcW w:w="5699" w:type="dxa"/>
            <w:vAlign w:val="center"/>
          </w:tcPr>
          <w:p>
            <w:pPr>
              <w:rPr>
                <w:rFonts w:ascii="宋体" w:hAnsi="宋体" w:cs="宋体"/>
                <w:color w:val="auto"/>
                <w:szCs w:val="21"/>
                <w:highlight w:val="none"/>
              </w:rPr>
            </w:pPr>
            <w:r>
              <w:rPr>
                <w:rFonts w:hint="eastAsia" w:ascii="宋体" w:hAnsi="宋体" w:cs="宋体"/>
                <w:color w:val="auto"/>
                <w:szCs w:val="21"/>
                <w:highlight w:val="none"/>
              </w:rPr>
              <w:t>1.每台车配置1个车载视频终端（集成标准型GPS）+4个车载摄像头+1个车载显示屏+1个插入式油感</w:t>
            </w:r>
          </w:p>
          <w:p>
            <w:pPr>
              <w:rPr>
                <w:rFonts w:ascii="宋体" w:hAnsi="宋体" w:cs="宋体"/>
                <w:color w:val="auto"/>
                <w:szCs w:val="21"/>
                <w:highlight w:val="none"/>
              </w:rPr>
            </w:pPr>
            <w:r>
              <w:rPr>
                <w:rFonts w:hint="eastAsia" w:ascii="宋体" w:hAnsi="宋体" w:cs="宋体"/>
                <w:color w:val="auto"/>
                <w:szCs w:val="21"/>
                <w:highlight w:val="none"/>
              </w:rPr>
              <w:t>2.每台车配备行车记录仪、盲区监测以及倒车后视系统</w:t>
            </w:r>
          </w:p>
        </w:tc>
      </w:tr>
    </w:tbl>
    <w:p>
      <w:pPr>
        <w:pStyle w:val="4"/>
        <w:rPr>
          <w:rFonts w:ascii="宋体" w:hAnsi="宋体" w:cs="宋体"/>
          <w:color w:val="auto"/>
          <w:szCs w:val="21"/>
          <w:highlight w:val="none"/>
        </w:rPr>
      </w:pPr>
    </w:p>
    <w:p>
      <w:pPr>
        <w:outlineLvl w:val="2"/>
        <w:rPr>
          <w:rFonts w:ascii="宋体" w:hAnsi="宋体" w:cs="宋体"/>
          <w:b/>
          <w:color w:val="auto"/>
          <w:szCs w:val="21"/>
          <w:highlight w:val="none"/>
        </w:rPr>
      </w:pPr>
      <w:r>
        <w:rPr>
          <w:rFonts w:hint="eastAsia" w:ascii="宋体" w:hAnsi="宋体" w:cs="宋体"/>
          <w:b/>
          <w:color w:val="auto"/>
          <w:szCs w:val="21"/>
          <w:highlight w:val="none"/>
        </w:rPr>
        <w:t>附表2.7车辆配套技术参数</w:t>
      </w:r>
    </w:p>
    <w:tbl>
      <w:tblPr>
        <w:tblStyle w:val="34"/>
        <w:tblW w:w="8519" w:type="dxa"/>
        <w:jc w:val="center"/>
        <w:tblInd w:w="0" w:type="dxa"/>
        <w:shd w:val="clear" w:color="auto" w:fill="FFFFFF" w:themeFill="background1"/>
        <w:tblLayout w:type="fixed"/>
        <w:tblCellMar>
          <w:top w:w="0" w:type="dxa"/>
          <w:left w:w="108" w:type="dxa"/>
          <w:bottom w:w="0" w:type="dxa"/>
          <w:right w:w="108" w:type="dxa"/>
        </w:tblCellMar>
      </w:tblPr>
      <w:tblGrid>
        <w:gridCol w:w="1747"/>
        <w:gridCol w:w="5518"/>
        <w:gridCol w:w="1254"/>
      </w:tblGrid>
      <w:tr>
        <w:tblPrEx>
          <w:tblLayout w:type="fixed"/>
          <w:tblCellMar>
            <w:top w:w="0" w:type="dxa"/>
            <w:left w:w="108" w:type="dxa"/>
            <w:bottom w:w="0" w:type="dxa"/>
            <w:right w:w="108" w:type="dxa"/>
          </w:tblCellMar>
        </w:tblPrEx>
        <w:trPr>
          <w:trHeight w:val="448" w:hRule="atLeast"/>
          <w:jc w:val="center"/>
        </w:trPr>
        <w:tc>
          <w:tcPr>
            <w:tcW w:w="174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名称</w:t>
            </w:r>
          </w:p>
        </w:tc>
        <w:tc>
          <w:tcPr>
            <w:tcW w:w="55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rPr>
                <w:rFonts w:ascii="宋体" w:hAnsi="宋体" w:cs="宋体"/>
                <w:color w:val="auto"/>
                <w:szCs w:val="21"/>
                <w:highlight w:val="none"/>
              </w:rPr>
            </w:pPr>
            <w:r>
              <w:rPr>
                <w:rFonts w:hint="eastAsia" w:ascii="宋体" w:hAnsi="宋体" w:cs="宋体"/>
                <w:color w:val="auto"/>
                <w:szCs w:val="21"/>
                <w:highlight w:val="none"/>
              </w:rPr>
              <w:t>技术参数</w:t>
            </w:r>
          </w:p>
        </w:tc>
        <w:tc>
          <w:tcPr>
            <w:tcW w:w="125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数量</w:t>
            </w:r>
          </w:p>
        </w:tc>
      </w:tr>
      <w:tr>
        <w:tblPrEx>
          <w:shd w:val="clear" w:color="auto" w:fill="FFFFFF" w:themeFill="background1"/>
          <w:tblLayout w:type="fixed"/>
          <w:tblCellMar>
            <w:top w:w="0" w:type="dxa"/>
            <w:left w:w="108" w:type="dxa"/>
            <w:bottom w:w="0" w:type="dxa"/>
            <w:right w:w="108" w:type="dxa"/>
          </w:tblCellMar>
        </w:tblPrEx>
        <w:trPr>
          <w:trHeight w:val="448" w:hRule="atLeast"/>
          <w:jc w:val="center"/>
        </w:trPr>
        <w:tc>
          <w:tcPr>
            <w:tcW w:w="174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车载视频</w:t>
            </w:r>
          </w:p>
          <w:p>
            <w:pPr>
              <w:jc w:val="center"/>
              <w:rPr>
                <w:rFonts w:ascii="宋体" w:hAnsi="宋体" w:cs="宋体"/>
                <w:color w:val="auto"/>
                <w:szCs w:val="21"/>
                <w:highlight w:val="none"/>
              </w:rPr>
            </w:pPr>
            <w:r>
              <w:rPr>
                <w:rFonts w:hint="eastAsia" w:ascii="宋体" w:hAnsi="宋体" w:cs="宋体"/>
                <w:color w:val="auto"/>
                <w:szCs w:val="21"/>
                <w:highlight w:val="none"/>
              </w:rPr>
              <w:t>终端</w:t>
            </w:r>
          </w:p>
          <w:p>
            <w:pPr>
              <w:jc w:val="center"/>
              <w:rPr>
                <w:rFonts w:ascii="宋体" w:hAnsi="宋体" w:cs="宋体"/>
                <w:color w:val="auto"/>
                <w:szCs w:val="21"/>
                <w:highlight w:val="none"/>
              </w:rPr>
            </w:pPr>
            <w:r>
              <w:rPr>
                <w:rFonts w:hint="eastAsia" w:ascii="宋体" w:hAnsi="宋体" w:cs="宋体"/>
                <w:color w:val="auto"/>
                <w:szCs w:val="21"/>
                <w:highlight w:val="none"/>
              </w:rPr>
              <w:t>（集成标准型GPS）</w:t>
            </w:r>
          </w:p>
        </w:tc>
        <w:tc>
          <w:tcPr>
            <w:tcW w:w="55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rPr>
                <w:rFonts w:ascii="宋体" w:hAnsi="宋体" w:cs="宋体"/>
                <w:color w:val="auto"/>
                <w:szCs w:val="21"/>
                <w:highlight w:val="none"/>
              </w:rPr>
            </w:pPr>
            <w:r>
              <w:rPr>
                <w:rFonts w:hint="eastAsia" w:ascii="宋体" w:hAnsi="宋体" w:cs="宋体"/>
                <w:color w:val="auto"/>
                <w:szCs w:val="21"/>
                <w:highlight w:val="none"/>
              </w:rPr>
              <w:t>★1.支持以下全部标准要求：GB/T 19056-2012、JT/T 794-2019、JT/T 808-2019、JT/T 1076-2016、JT/T 1078-2016、JT/T883-2014、T/JSATL13-2017、T/GDRTA 001-2020、T/GDRTA 002-2020标准要求。</w:t>
            </w:r>
            <w:r>
              <w:rPr>
                <w:rFonts w:hint="eastAsia" w:ascii="宋体" w:hAnsi="宋体" w:cs="宋体"/>
                <w:color w:val="auto"/>
                <w:szCs w:val="21"/>
                <w:highlight w:val="none"/>
              </w:rPr>
              <w:br w:type="textWrapping"/>
            </w:r>
            <w:r>
              <w:rPr>
                <w:rFonts w:hint="eastAsia" w:ascii="宋体" w:hAnsi="宋体" w:cs="宋体"/>
                <w:color w:val="auto"/>
                <w:szCs w:val="21"/>
                <w:highlight w:val="none"/>
              </w:rPr>
              <w:t>2.终端必须符合嵌入式安装和支架式安装，嵌入式安装</w:t>
            </w:r>
            <w:r>
              <w:rPr>
                <w:rFonts w:hint="eastAsia" w:ascii="宋体" w:hAnsi="宋体" w:cs="宋体"/>
                <w:color w:val="auto"/>
                <w:szCs w:val="21"/>
                <w:highlight w:val="none"/>
              </w:rPr>
              <w:br w:type="textWrapping"/>
            </w:r>
            <w:r>
              <w:rPr>
                <w:rFonts w:hint="eastAsia" w:ascii="宋体" w:hAnsi="宋体" w:cs="宋体"/>
                <w:color w:val="auto"/>
                <w:szCs w:val="21"/>
                <w:highlight w:val="none"/>
              </w:rPr>
              <w:t>3.需支持4G网络，支持LTE/HSPA/WCDMA全网通，支持4路1080P, H.265压缩编码a，GPS支持</w:t>
            </w:r>
            <w:r>
              <w:rPr>
                <w:rFonts w:ascii="宋体" w:hAnsi="宋体" w:cs="宋体"/>
                <w:color w:val="auto"/>
                <w:szCs w:val="21"/>
                <w:highlight w:val="none"/>
              </w:rPr>
              <w:t>1路485，</w:t>
            </w:r>
            <w:r>
              <w:rPr>
                <w:rFonts w:hint="eastAsia" w:ascii="宋体" w:hAnsi="宋体" w:cs="宋体"/>
                <w:color w:val="auto"/>
                <w:szCs w:val="21"/>
                <w:highlight w:val="none"/>
              </w:rPr>
              <w:t>2</w:t>
            </w:r>
            <w:r>
              <w:rPr>
                <w:rFonts w:ascii="宋体" w:hAnsi="宋体" w:cs="宋体"/>
                <w:color w:val="auto"/>
                <w:szCs w:val="21"/>
                <w:highlight w:val="none"/>
              </w:rPr>
              <w:t>路232</w:t>
            </w:r>
            <w:r>
              <w:rPr>
                <w:rFonts w:hint="eastAsia" w:ascii="宋体" w:hAnsi="宋体" w:cs="宋体"/>
                <w:color w:val="auto"/>
                <w:szCs w:val="21"/>
                <w:highlight w:val="none"/>
              </w:rPr>
              <w:t>CAN或更优</w:t>
            </w:r>
            <w:r>
              <w:rPr>
                <w:rFonts w:hint="eastAsia" w:ascii="宋体" w:hAnsi="宋体" w:cs="宋体"/>
                <w:color w:val="auto"/>
                <w:szCs w:val="21"/>
                <w:highlight w:val="none"/>
              </w:rPr>
              <w:br w:type="textWrapping"/>
            </w:r>
            <w:r>
              <w:rPr>
                <w:rFonts w:hint="eastAsia" w:ascii="宋体" w:hAnsi="宋体" w:cs="宋体"/>
                <w:color w:val="auto"/>
                <w:szCs w:val="21"/>
                <w:highlight w:val="none"/>
              </w:rPr>
              <w:t>5.支持AHD/TVI/CVI/IPC/模拟五种视频输入，内置打印机、IC卡登记身份识别</w:t>
            </w:r>
            <w:r>
              <w:rPr>
                <w:rFonts w:hint="eastAsia" w:ascii="宋体" w:hAnsi="宋体" w:cs="宋体"/>
                <w:color w:val="auto"/>
                <w:szCs w:val="21"/>
                <w:highlight w:val="none"/>
              </w:rPr>
              <w:br w:type="textWrapping"/>
            </w:r>
            <w:r>
              <w:rPr>
                <w:rFonts w:hint="eastAsia" w:ascii="宋体" w:hAnsi="宋体" w:cs="宋体"/>
                <w:color w:val="auto"/>
                <w:szCs w:val="21"/>
                <w:highlight w:val="none"/>
              </w:rPr>
              <w:t>6.支持远程通话调度，实时油量采集，支持视频垂直及水平镜像调节，支持车载电源8-36V直流宽电压输入，支持欠压，短路及反接等多种保护电路，低电自动关机，熄火低功耗</w:t>
            </w:r>
            <w:r>
              <w:rPr>
                <w:rFonts w:hint="eastAsia" w:ascii="宋体" w:hAnsi="宋体" w:cs="宋体"/>
                <w:color w:val="auto"/>
                <w:szCs w:val="21"/>
                <w:highlight w:val="none"/>
              </w:rPr>
              <w:br w:type="textWrapping"/>
            </w:r>
            <w:r>
              <w:rPr>
                <w:rFonts w:hint="eastAsia" w:ascii="宋体" w:hAnsi="宋体" w:cs="宋体"/>
                <w:color w:val="auto"/>
                <w:szCs w:val="21"/>
                <w:highlight w:val="none"/>
              </w:rPr>
              <w:t>7.内置超级电容，避免异常断电数据丢失和磁盘损坏</w:t>
            </w:r>
            <w:r>
              <w:rPr>
                <w:rFonts w:hint="eastAsia" w:ascii="宋体" w:hAnsi="宋体" w:cs="宋体"/>
                <w:color w:val="auto"/>
                <w:szCs w:val="21"/>
                <w:highlight w:val="none"/>
              </w:rPr>
              <w:br w:type="textWrapping"/>
            </w:r>
            <w:r>
              <w:rPr>
                <w:rFonts w:hint="eastAsia" w:ascii="宋体" w:hAnsi="宋体" w:cs="宋体"/>
                <w:color w:val="auto"/>
                <w:szCs w:val="21"/>
                <w:highlight w:val="none"/>
              </w:rPr>
              <w:t>8.采用特殊文件管理机制，对数据进行加密，有效保护数据安全</w:t>
            </w:r>
            <w:r>
              <w:rPr>
                <w:rFonts w:hint="eastAsia" w:ascii="宋体" w:hAnsi="宋体" w:cs="宋体"/>
                <w:color w:val="auto"/>
                <w:szCs w:val="21"/>
                <w:highlight w:val="none"/>
              </w:rPr>
              <w:br w:type="textWrapping"/>
            </w:r>
            <w:r>
              <w:rPr>
                <w:rFonts w:hint="eastAsia" w:ascii="宋体" w:hAnsi="宋体" w:cs="宋体"/>
                <w:color w:val="auto"/>
                <w:szCs w:val="21"/>
                <w:highlight w:val="none"/>
              </w:rPr>
              <w:t>9.支持硬盘和SD卡存储，硬盘最大支持4T，SD卡最大支持不小于512G</w:t>
            </w:r>
            <w:r>
              <w:rPr>
                <w:rFonts w:hint="eastAsia" w:ascii="宋体" w:hAnsi="宋体" w:cs="宋体"/>
                <w:color w:val="auto"/>
                <w:szCs w:val="21"/>
                <w:highlight w:val="none"/>
              </w:rPr>
              <w:br w:type="textWrapping"/>
            </w:r>
            <w:r>
              <w:rPr>
                <w:rFonts w:hint="eastAsia" w:ascii="宋体" w:hAnsi="宋体" w:cs="宋体"/>
                <w:color w:val="auto"/>
                <w:szCs w:val="21"/>
                <w:highlight w:val="none"/>
              </w:rPr>
              <w:t>10. 主动安全预警系统：</w:t>
            </w:r>
            <w:r>
              <w:rPr>
                <w:rFonts w:hint="eastAsia" w:ascii="宋体" w:hAnsi="宋体" w:cs="宋体"/>
                <w:color w:val="auto"/>
                <w:szCs w:val="21"/>
                <w:highlight w:val="none"/>
              </w:rPr>
              <w:br w:type="textWrapping"/>
            </w:r>
            <w:r>
              <w:rPr>
                <w:rFonts w:hint="eastAsia" w:ascii="宋体" w:hAnsi="宋体" w:cs="宋体"/>
                <w:color w:val="auto"/>
                <w:szCs w:val="21"/>
                <w:highlight w:val="none"/>
              </w:rPr>
              <w:t>内置ADAS高级驾驶辅助系统（碰撞、车距近、车道偏离）</w:t>
            </w:r>
            <w:r>
              <w:rPr>
                <w:rFonts w:hint="eastAsia" w:ascii="宋体" w:hAnsi="宋体" w:cs="宋体"/>
                <w:color w:val="auto"/>
                <w:szCs w:val="21"/>
                <w:highlight w:val="none"/>
              </w:rPr>
              <w:br w:type="textWrapping"/>
            </w:r>
            <w:r>
              <w:rPr>
                <w:rFonts w:hint="eastAsia" w:ascii="宋体" w:hAnsi="宋体" w:cs="宋体"/>
                <w:color w:val="auto"/>
                <w:szCs w:val="21"/>
                <w:highlight w:val="none"/>
              </w:rPr>
              <w:t>内置DSM驾驶员状态分析系统（疲劳、分神、抽烟、打电话、红外阻断墨镜、驾驶员异常、遮挡、驾驶员对比等报警）</w:t>
            </w:r>
          </w:p>
          <w:p>
            <w:pPr>
              <w:rPr>
                <w:rFonts w:ascii="宋体" w:hAnsi="宋体" w:cs="宋体"/>
                <w:color w:val="auto"/>
                <w:szCs w:val="21"/>
                <w:highlight w:val="none"/>
              </w:rPr>
            </w:pPr>
            <w:r>
              <w:rPr>
                <w:rFonts w:hint="eastAsia" w:ascii="宋体" w:hAnsi="宋体" w:cs="宋体"/>
                <w:color w:val="auto"/>
                <w:szCs w:val="21"/>
                <w:highlight w:val="none"/>
              </w:rPr>
              <w:t>11.GPS模块技术要求：</w:t>
            </w:r>
          </w:p>
          <w:p>
            <w:pPr>
              <w:rPr>
                <w:rFonts w:ascii="宋体" w:hAnsi="宋体" w:cs="宋体"/>
                <w:color w:val="auto"/>
                <w:szCs w:val="21"/>
                <w:highlight w:val="none"/>
              </w:rPr>
            </w:pPr>
            <w:r>
              <w:rPr>
                <w:rFonts w:hint="eastAsia" w:ascii="宋体" w:hAnsi="宋体" w:cs="宋体"/>
                <w:color w:val="auto"/>
                <w:szCs w:val="21"/>
                <w:highlight w:val="none"/>
              </w:rPr>
              <w:t>（1）数据存储：8M 字节以上；</w:t>
            </w:r>
          </w:p>
          <w:p>
            <w:pPr>
              <w:rPr>
                <w:rFonts w:ascii="宋体" w:hAnsi="宋体" w:cs="宋体"/>
                <w:color w:val="auto"/>
                <w:szCs w:val="21"/>
                <w:highlight w:val="none"/>
              </w:rPr>
            </w:pPr>
            <w:r>
              <w:rPr>
                <w:rFonts w:hint="eastAsia" w:ascii="宋体" w:hAnsi="宋体" w:cs="宋体"/>
                <w:color w:val="auto"/>
                <w:szCs w:val="21"/>
                <w:highlight w:val="none"/>
              </w:rPr>
              <w:t>（2）GPS数据补发：联网异常恢复时补发数据；</w:t>
            </w:r>
          </w:p>
          <w:p>
            <w:pPr>
              <w:rPr>
                <w:rFonts w:ascii="宋体" w:hAnsi="宋体" w:cs="宋体"/>
                <w:color w:val="auto"/>
                <w:szCs w:val="21"/>
                <w:highlight w:val="none"/>
              </w:rPr>
            </w:pPr>
            <w:r>
              <w:rPr>
                <w:rFonts w:hint="eastAsia" w:ascii="宋体" w:hAnsi="宋体" w:cs="宋体"/>
                <w:color w:val="auto"/>
                <w:szCs w:val="21"/>
                <w:highlight w:val="none"/>
              </w:rPr>
              <w:t>（3）GPS支持远程查询、设置、升级等操作；</w:t>
            </w:r>
          </w:p>
          <w:p>
            <w:pPr>
              <w:rPr>
                <w:rFonts w:ascii="宋体" w:hAnsi="宋体" w:cs="宋体"/>
                <w:color w:val="auto"/>
                <w:szCs w:val="21"/>
                <w:highlight w:val="none"/>
              </w:rPr>
            </w:pPr>
            <w:r>
              <w:rPr>
                <w:rFonts w:hint="eastAsia" w:ascii="宋体" w:hAnsi="宋体" w:cs="宋体"/>
                <w:color w:val="auto"/>
                <w:szCs w:val="21"/>
                <w:highlight w:val="none"/>
              </w:rPr>
              <w:t>（4）GPS具备盲区补传功能，盲区数据存1000 条以上；</w:t>
            </w:r>
          </w:p>
          <w:p>
            <w:pPr>
              <w:rPr>
                <w:rFonts w:ascii="宋体" w:hAnsi="宋体" w:cs="宋体"/>
                <w:color w:val="auto"/>
                <w:szCs w:val="21"/>
                <w:highlight w:val="none"/>
              </w:rPr>
            </w:pPr>
            <w:r>
              <w:rPr>
                <w:rFonts w:hint="eastAsia" w:ascii="宋体" w:hAnsi="宋体" w:cs="宋体"/>
                <w:color w:val="auto"/>
                <w:szCs w:val="21"/>
                <w:highlight w:val="none"/>
              </w:rPr>
              <w:t>（5）GPS异常报警信息上报：天线故障、电源断电、超速、拔卡、换卡传感器故障等</w:t>
            </w:r>
          </w:p>
          <w:p>
            <w:pPr>
              <w:pStyle w:val="2"/>
              <w:ind w:left="0"/>
              <w:rPr>
                <w:color w:val="auto"/>
                <w:sz w:val="21"/>
                <w:szCs w:val="21"/>
                <w:highlight w:val="none"/>
              </w:rPr>
            </w:pPr>
            <w:r>
              <w:rPr>
                <w:rFonts w:hint="eastAsia"/>
                <w:color w:val="auto"/>
                <w:sz w:val="21"/>
                <w:szCs w:val="21"/>
                <w:highlight w:val="none"/>
              </w:rPr>
              <w:t>（6）内置GPS模块，高灵敏度，快速定位；支持远程迭代升级，批量升级，支持GPS+BDS+GLONASS 三模定位。（7）定位精度:产品在定位上的误差不大于5 米(CEP50)</w:t>
            </w:r>
          </w:p>
          <w:p>
            <w:pPr>
              <w:rPr>
                <w:rFonts w:ascii="宋体" w:hAnsi="宋体" w:cs="宋体"/>
                <w:color w:val="auto"/>
                <w:szCs w:val="21"/>
                <w:highlight w:val="none"/>
              </w:rPr>
            </w:pPr>
            <w:r>
              <w:rPr>
                <w:rFonts w:hint="eastAsia" w:ascii="宋体" w:hAnsi="宋体" w:cs="宋体"/>
                <w:color w:val="auto"/>
                <w:szCs w:val="21"/>
                <w:highlight w:val="none"/>
              </w:rPr>
              <w:t>12.低功耗：休眠电流≤10mA；</w:t>
            </w:r>
          </w:p>
          <w:p>
            <w:pPr>
              <w:rPr>
                <w:rFonts w:ascii="宋体" w:hAnsi="宋体" w:cs="宋体"/>
                <w:color w:val="auto"/>
                <w:szCs w:val="21"/>
                <w:highlight w:val="none"/>
              </w:rPr>
            </w:pPr>
            <w:r>
              <w:rPr>
                <w:rFonts w:hint="eastAsia" w:ascii="宋体" w:hAnsi="宋体" w:cs="宋体"/>
                <w:color w:val="auto"/>
                <w:szCs w:val="21"/>
                <w:highlight w:val="none"/>
              </w:rPr>
              <w:t>13.休眠唤醒：支持定时、外部开关量、CAN 等方式唤醒；</w:t>
            </w:r>
          </w:p>
          <w:p>
            <w:pPr>
              <w:rPr>
                <w:rFonts w:ascii="宋体" w:hAnsi="宋体" w:cs="宋体"/>
                <w:color w:val="auto"/>
                <w:szCs w:val="21"/>
                <w:highlight w:val="none"/>
              </w:rPr>
            </w:pPr>
            <w:r>
              <w:rPr>
                <w:rFonts w:hint="eastAsia" w:ascii="宋体" w:hAnsi="宋体" w:cs="宋体"/>
                <w:color w:val="auto"/>
                <w:szCs w:val="21"/>
                <w:highlight w:val="none"/>
              </w:rPr>
              <w:t>14.定时位置上传；</w:t>
            </w:r>
          </w:p>
          <w:p>
            <w:pPr>
              <w:rPr>
                <w:rFonts w:ascii="宋体" w:hAnsi="宋体" w:cs="宋体"/>
                <w:color w:val="auto"/>
                <w:szCs w:val="21"/>
                <w:highlight w:val="none"/>
              </w:rPr>
            </w:pPr>
            <w:r>
              <w:rPr>
                <w:rFonts w:hint="eastAsia" w:ascii="宋体" w:hAnsi="宋体" w:cs="宋体"/>
                <w:color w:val="auto"/>
                <w:szCs w:val="21"/>
                <w:highlight w:val="none"/>
              </w:rPr>
              <w:t>15.参数配置/查询；</w:t>
            </w:r>
          </w:p>
          <w:p>
            <w:pPr>
              <w:rPr>
                <w:rFonts w:ascii="宋体" w:hAnsi="宋体" w:cs="宋体"/>
                <w:color w:val="auto"/>
                <w:szCs w:val="21"/>
                <w:highlight w:val="none"/>
              </w:rPr>
            </w:pPr>
            <w:r>
              <w:rPr>
                <w:rFonts w:hint="eastAsia" w:ascii="宋体" w:hAnsi="宋体" w:cs="宋体"/>
                <w:color w:val="auto"/>
                <w:szCs w:val="21"/>
                <w:highlight w:val="none"/>
              </w:rPr>
              <w:t>备注：含1年流量，配置1T硬盘</w:t>
            </w:r>
          </w:p>
        </w:tc>
        <w:tc>
          <w:tcPr>
            <w:tcW w:w="125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18</w:t>
            </w:r>
          </w:p>
        </w:tc>
      </w:tr>
      <w:tr>
        <w:tblPrEx>
          <w:shd w:val="clear" w:color="auto" w:fill="FFFFFF" w:themeFill="background1"/>
          <w:tblLayout w:type="fixed"/>
          <w:tblCellMar>
            <w:top w:w="0" w:type="dxa"/>
            <w:left w:w="108" w:type="dxa"/>
            <w:bottom w:w="0" w:type="dxa"/>
            <w:right w:w="108" w:type="dxa"/>
          </w:tblCellMar>
        </w:tblPrEx>
        <w:trPr>
          <w:trHeight w:val="558" w:hRule="atLeast"/>
          <w:jc w:val="center"/>
        </w:trPr>
        <w:tc>
          <w:tcPr>
            <w:tcW w:w="174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车载摄像头</w:t>
            </w:r>
          </w:p>
        </w:tc>
        <w:tc>
          <w:tcPr>
            <w:tcW w:w="55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rPr>
                <w:rFonts w:ascii="宋体" w:hAnsi="宋体" w:cs="宋体"/>
                <w:color w:val="auto"/>
                <w:szCs w:val="21"/>
                <w:highlight w:val="none"/>
              </w:rPr>
            </w:pPr>
            <w:r>
              <w:rPr>
                <w:rFonts w:hint="eastAsia" w:ascii="宋体" w:hAnsi="宋体" w:cs="宋体"/>
                <w:color w:val="auto"/>
                <w:szCs w:val="21"/>
                <w:highlight w:val="none"/>
              </w:rPr>
              <w:t>1.防护等级：IP67</w:t>
            </w:r>
            <w:r>
              <w:rPr>
                <w:rFonts w:hint="eastAsia" w:ascii="宋体" w:hAnsi="宋体" w:cs="宋体"/>
                <w:color w:val="auto"/>
                <w:szCs w:val="21"/>
                <w:highlight w:val="none"/>
              </w:rPr>
              <w:br w:type="textWrapping"/>
            </w:r>
            <w:r>
              <w:rPr>
                <w:rFonts w:hint="eastAsia" w:ascii="宋体" w:hAnsi="宋体" w:cs="宋体"/>
                <w:color w:val="auto"/>
                <w:szCs w:val="21"/>
                <w:highlight w:val="none"/>
              </w:rPr>
              <w:t>2.传感器：1/3”CMOS，</w:t>
            </w:r>
            <w:r>
              <w:rPr>
                <w:rFonts w:hint="eastAsia" w:ascii="宋体" w:hAnsi="宋体" w:cs="宋体"/>
                <w:color w:val="auto"/>
                <w:szCs w:val="21"/>
                <w:highlight w:val="none"/>
              </w:rPr>
              <w:br w:type="textWrapping"/>
            </w:r>
            <w:r>
              <w:rPr>
                <w:rFonts w:hint="eastAsia" w:ascii="宋体" w:hAnsi="宋体" w:cs="宋体"/>
                <w:color w:val="auto"/>
                <w:szCs w:val="21"/>
                <w:highlight w:val="none"/>
              </w:rPr>
              <w:t>3.像素：200W</w:t>
            </w:r>
            <w:r>
              <w:rPr>
                <w:rFonts w:hint="eastAsia" w:ascii="宋体" w:hAnsi="宋体" w:cs="宋体"/>
                <w:color w:val="auto"/>
                <w:szCs w:val="21"/>
                <w:highlight w:val="none"/>
              </w:rPr>
              <w:br w:type="textWrapping"/>
            </w:r>
            <w:r>
              <w:rPr>
                <w:rFonts w:hint="eastAsia" w:ascii="宋体" w:hAnsi="宋体" w:cs="宋体"/>
                <w:color w:val="auto"/>
                <w:szCs w:val="21"/>
                <w:highlight w:val="none"/>
              </w:rPr>
              <w:t>4.工作温度：-20℃-70℃</w:t>
            </w:r>
            <w:r>
              <w:rPr>
                <w:rFonts w:hint="eastAsia" w:ascii="宋体" w:hAnsi="宋体" w:cs="宋体"/>
                <w:color w:val="auto"/>
                <w:szCs w:val="21"/>
                <w:highlight w:val="none"/>
              </w:rPr>
              <w:br w:type="textWrapping"/>
            </w:r>
            <w:r>
              <w:rPr>
                <w:rFonts w:hint="eastAsia" w:ascii="宋体" w:hAnsi="宋体" w:cs="宋体"/>
                <w:color w:val="auto"/>
                <w:szCs w:val="21"/>
                <w:highlight w:val="none"/>
              </w:rPr>
              <w:t>5.工作电压：DC5-12V</w:t>
            </w:r>
            <w:r>
              <w:rPr>
                <w:rFonts w:hint="eastAsia" w:ascii="宋体" w:hAnsi="宋体" w:cs="宋体"/>
                <w:color w:val="auto"/>
                <w:szCs w:val="21"/>
                <w:highlight w:val="none"/>
              </w:rPr>
              <w:br w:type="textWrapping"/>
            </w:r>
            <w:r>
              <w:rPr>
                <w:rFonts w:hint="eastAsia" w:ascii="宋体" w:hAnsi="宋体" w:cs="宋体"/>
                <w:color w:val="auto"/>
                <w:szCs w:val="21"/>
                <w:highlight w:val="none"/>
              </w:rPr>
              <w:t>6.工作电流：红外启动200mA-230mA，红外不启动40mA-45mA</w:t>
            </w:r>
            <w:r>
              <w:rPr>
                <w:rFonts w:hint="eastAsia" w:ascii="宋体" w:hAnsi="宋体" w:cs="宋体"/>
                <w:color w:val="auto"/>
                <w:szCs w:val="21"/>
                <w:highlight w:val="none"/>
              </w:rPr>
              <w:br w:type="textWrapping"/>
            </w:r>
            <w:r>
              <w:rPr>
                <w:rFonts w:hint="eastAsia" w:ascii="宋体" w:hAnsi="宋体" w:cs="宋体"/>
                <w:color w:val="auto"/>
                <w:szCs w:val="21"/>
                <w:highlight w:val="none"/>
              </w:rPr>
              <w:t>7.有效分辨率：1920（H）x1080（V）</w:t>
            </w:r>
            <w:r>
              <w:rPr>
                <w:rFonts w:hint="eastAsia" w:ascii="宋体" w:hAnsi="宋体" w:cs="宋体"/>
                <w:color w:val="auto"/>
                <w:szCs w:val="21"/>
                <w:highlight w:val="none"/>
              </w:rPr>
              <w:br w:type="textWrapping"/>
            </w:r>
            <w:r>
              <w:rPr>
                <w:rFonts w:hint="eastAsia" w:ascii="宋体" w:hAnsi="宋体" w:cs="宋体"/>
                <w:color w:val="auto"/>
                <w:szCs w:val="21"/>
                <w:highlight w:val="none"/>
              </w:rPr>
              <w:t>8.帧率：25fps/30fps</w:t>
            </w:r>
            <w:r>
              <w:rPr>
                <w:rFonts w:hint="eastAsia" w:ascii="宋体" w:hAnsi="宋体" w:cs="宋体"/>
                <w:color w:val="auto"/>
                <w:szCs w:val="21"/>
                <w:highlight w:val="none"/>
              </w:rPr>
              <w:br w:type="textWrapping"/>
            </w:r>
            <w:r>
              <w:rPr>
                <w:rFonts w:hint="eastAsia" w:ascii="宋体" w:hAnsi="宋体" w:cs="宋体"/>
                <w:color w:val="auto"/>
                <w:szCs w:val="21"/>
                <w:highlight w:val="none"/>
              </w:rPr>
              <w:t>9.扫描系统：2:1隔行扫描</w:t>
            </w:r>
            <w:r>
              <w:rPr>
                <w:rFonts w:hint="eastAsia" w:ascii="宋体" w:hAnsi="宋体" w:cs="宋体"/>
                <w:color w:val="auto"/>
                <w:szCs w:val="21"/>
                <w:highlight w:val="none"/>
              </w:rPr>
              <w:br w:type="textWrapping"/>
            </w:r>
            <w:r>
              <w:rPr>
                <w:rFonts w:hint="eastAsia" w:ascii="宋体" w:hAnsi="宋体" w:cs="宋体"/>
                <w:color w:val="auto"/>
                <w:szCs w:val="21"/>
                <w:highlight w:val="none"/>
              </w:rPr>
              <w:t>10.镜头角度：120°</w:t>
            </w:r>
            <w:r>
              <w:rPr>
                <w:rFonts w:hint="eastAsia" w:ascii="宋体" w:hAnsi="宋体" w:cs="宋体"/>
                <w:color w:val="auto"/>
                <w:szCs w:val="21"/>
                <w:highlight w:val="none"/>
              </w:rPr>
              <w:br w:type="textWrapping"/>
            </w:r>
            <w:r>
              <w:rPr>
                <w:rFonts w:hint="eastAsia" w:ascii="宋体" w:hAnsi="宋体" w:cs="宋体"/>
                <w:color w:val="auto"/>
                <w:szCs w:val="21"/>
                <w:highlight w:val="none"/>
              </w:rPr>
              <w:t>11.镜头：2.4mm</w:t>
            </w:r>
          </w:p>
        </w:tc>
        <w:tc>
          <w:tcPr>
            <w:tcW w:w="125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72</w:t>
            </w:r>
          </w:p>
        </w:tc>
      </w:tr>
      <w:tr>
        <w:tblPrEx>
          <w:shd w:val="clear" w:color="auto" w:fill="FFFFFF" w:themeFill="background1"/>
          <w:tblLayout w:type="fixed"/>
          <w:tblCellMar>
            <w:top w:w="0" w:type="dxa"/>
            <w:left w:w="108" w:type="dxa"/>
            <w:bottom w:w="0" w:type="dxa"/>
            <w:right w:w="108" w:type="dxa"/>
          </w:tblCellMar>
        </w:tblPrEx>
        <w:trPr>
          <w:trHeight w:val="1109" w:hRule="atLeast"/>
          <w:jc w:val="center"/>
        </w:trPr>
        <w:tc>
          <w:tcPr>
            <w:tcW w:w="174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车载显示屏</w:t>
            </w:r>
          </w:p>
        </w:tc>
        <w:tc>
          <w:tcPr>
            <w:tcW w:w="55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rPr>
                <w:rFonts w:ascii="宋体" w:hAnsi="宋体" w:cs="宋体"/>
                <w:color w:val="auto"/>
                <w:szCs w:val="21"/>
                <w:highlight w:val="none"/>
              </w:rPr>
            </w:pPr>
            <w:r>
              <w:rPr>
                <w:rFonts w:hint="eastAsia" w:ascii="宋体" w:hAnsi="宋体" w:cs="宋体"/>
                <w:color w:val="auto"/>
                <w:szCs w:val="21"/>
                <w:highlight w:val="none"/>
              </w:rPr>
              <w:t>1.视频彩色制式：PAL-4.43/NTSC-3.58</w:t>
            </w:r>
            <w:r>
              <w:rPr>
                <w:rFonts w:hint="eastAsia" w:ascii="宋体" w:hAnsi="宋体" w:cs="宋体"/>
                <w:color w:val="auto"/>
                <w:szCs w:val="21"/>
                <w:highlight w:val="none"/>
              </w:rPr>
              <w:br w:type="textWrapping"/>
            </w:r>
            <w:r>
              <w:rPr>
                <w:rFonts w:hint="eastAsia" w:ascii="宋体" w:hAnsi="宋体" w:cs="宋体"/>
                <w:color w:val="auto"/>
                <w:szCs w:val="21"/>
                <w:highlight w:val="none"/>
              </w:rPr>
              <w:t>2.两路视频输入端口：A CAM1.CAM2</w:t>
            </w:r>
            <w:r>
              <w:rPr>
                <w:rFonts w:hint="eastAsia" w:ascii="宋体" w:hAnsi="宋体" w:cs="宋体"/>
                <w:color w:val="auto"/>
                <w:szCs w:val="21"/>
                <w:highlight w:val="none"/>
              </w:rPr>
              <w:br w:type="textWrapping"/>
            </w:r>
            <w:r>
              <w:rPr>
                <w:rFonts w:hint="eastAsia" w:ascii="宋体" w:hAnsi="宋体" w:cs="宋体"/>
                <w:color w:val="auto"/>
                <w:szCs w:val="21"/>
                <w:highlight w:val="none"/>
              </w:rPr>
              <w:t>3.像素：384000pixels(800*480)</w:t>
            </w:r>
            <w:r>
              <w:rPr>
                <w:rFonts w:hint="eastAsia" w:ascii="宋体" w:hAnsi="宋体" w:cs="宋体"/>
                <w:color w:val="auto"/>
                <w:szCs w:val="21"/>
                <w:highlight w:val="none"/>
              </w:rPr>
              <w:br w:type="textWrapping"/>
            </w:r>
            <w:r>
              <w:rPr>
                <w:rFonts w:hint="eastAsia" w:ascii="宋体" w:hAnsi="宋体" w:cs="宋体"/>
                <w:color w:val="auto"/>
                <w:szCs w:val="21"/>
                <w:highlight w:val="none"/>
              </w:rPr>
              <w:t>4.对比度：500:1</w:t>
            </w:r>
            <w:r>
              <w:rPr>
                <w:rFonts w:hint="eastAsia" w:ascii="宋体" w:hAnsi="宋体" w:cs="宋体"/>
                <w:color w:val="auto"/>
                <w:szCs w:val="21"/>
                <w:highlight w:val="none"/>
              </w:rPr>
              <w:br w:type="textWrapping"/>
            </w:r>
            <w:r>
              <w:rPr>
                <w:rFonts w:hint="eastAsia" w:ascii="宋体" w:hAnsi="宋体" w:cs="宋体"/>
                <w:color w:val="auto"/>
                <w:szCs w:val="21"/>
                <w:highlight w:val="none"/>
              </w:rPr>
              <w:t>5.亮度：400cd/㎡</w:t>
            </w:r>
            <w:r>
              <w:rPr>
                <w:rFonts w:hint="eastAsia" w:ascii="宋体" w:hAnsi="宋体" w:cs="宋体"/>
                <w:color w:val="auto"/>
                <w:szCs w:val="21"/>
                <w:highlight w:val="none"/>
              </w:rPr>
              <w:br w:type="textWrapping"/>
            </w:r>
            <w:r>
              <w:rPr>
                <w:rFonts w:hint="eastAsia" w:ascii="宋体" w:hAnsi="宋体" w:cs="宋体"/>
                <w:color w:val="auto"/>
                <w:szCs w:val="21"/>
                <w:highlight w:val="none"/>
              </w:rPr>
              <w:t>6.可视角度：50/70（上下），70/70（作业）</w:t>
            </w:r>
            <w:r>
              <w:rPr>
                <w:rFonts w:hint="eastAsia" w:ascii="宋体" w:hAnsi="宋体" w:cs="宋体"/>
                <w:color w:val="auto"/>
                <w:szCs w:val="21"/>
                <w:highlight w:val="none"/>
              </w:rPr>
              <w:br w:type="textWrapping"/>
            </w:r>
            <w:r>
              <w:rPr>
                <w:rFonts w:hint="eastAsia" w:ascii="宋体" w:hAnsi="宋体" w:cs="宋体"/>
                <w:color w:val="auto"/>
                <w:szCs w:val="21"/>
                <w:highlight w:val="none"/>
              </w:rPr>
              <w:t>7.输入电压：DC10-36V 功耗小于5W，输出电压12V，供电电流小于0.5A</w:t>
            </w:r>
            <w:r>
              <w:rPr>
                <w:rFonts w:hint="eastAsia" w:ascii="宋体" w:hAnsi="宋体" w:cs="宋体"/>
                <w:color w:val="auto"/>
                <w:szCs w:val="21"/>
                <w:highlight w:val="none"/>
              </w:rPr>
              <w:br w:type="textWrapping"/>
            </w:r>
            <w:r>
              <w:rPr>
                <w:rFonts w:hint="eastAsia" w:ascii="宋体" w:hAnsi="宋体" w:cs="宋体"/>
                <w:color w:val="auto"/>
                <w:szCs w:val="21"/>
                <w:highlight w:val="none"/>
              </w:rPr>
              <w:t>8.工作温度：-30℃-65摄氏度</w:t>
            </w:r>
            <w:r>
              <w:rPr>
                <w:rFonts w:hint="eastAsia" w:ascii="宋体" w:hAnsi="宋体" w:cs="宋体"/>
                <w:color w:val="auto"/>
                <w:szCs w:val="21"/>
                <w:highlight w:val="none"/>
              </w:rPr>
              <w:br w:type="textWrapping"/>
            </w:r>
            <w:r>
              <w:rPr>
                <w:rFonts w:hint="eastAsia" w:ascii="宋体" w:hAnsi="宋体" w:cs="宋体"/>
                <w:color w:val="auto"/>
                <w:szCs w:val="21"/>
                <w:highlight w:val="none"/>
              </w:rPr>
              <w:t>9.湿度：0%-96%</w:t>
            </w:r>
            <w:r>
              <w:rPr>
                <w:rFonts w:hint="eastAsia" w:ascii="宋体" w:hAnsi="宋体" w:cs="宋体"/>
                <w:color w:val="auto"/>
                <w:szCs w:val="21"/>
                <w:highlight w:val="none"/>
              </w:rPr>
              <w:br w:type="textWrapping"/>
            </w:r>
            <w:r>
              <w:rPr>
                <w:rFonts w:hint="eastAsia" w:ascii="宋体" w:hAnsi="宋体" w:cs="宋体"/>
                <w:color w:val="auto"/>
                <w:szCs w:val="21"/>
                <w:highlight w:val="none"/>
              </w:rPr>
              <w:t>10.屏幕尺寸：7寸</w:t>
            </w:r>
            <w:r>
              <w:rPr>
                <w:rFonts w:hint="eastAsia" w:ascii="宋体" w:hAnsi="宋体" w:cs="宋体"/>
                <w:color w:val="auto"/>
                <w:szCs w:val="21"/>
                <w:highlight w:val="none"/>
              </w:rPr>
              <w:br w:type="textWrapping"/>
            </w:r>
            <w:r>
              <w:rPr>
                <w:rFonts w:hint="eastAsia" w:ascii="宋体" w:hAnsi="宋体" w:cs="宋体"/>
                <w:color w:val="auto"/>
                <w:szCs w:val="21"/>
                <w:highlight w:val="none"/>
              </w:rPr>
              <w:t>11.防护等级：IP53</w:t>
            </w:r>
            <w:r>
              <w:rPr>
                <w:rFonts w:hint="eastAsia" w:ascii="宋体" w:hAnsi="宋体" w:cs="宋体"/>
                <w:color w:val="auto"/>
                <w:szCs w:val="21"/>
                <w:highlight w:val="none"/>
              </w:rPr>
              <w:br w:type="textWrapping"/>
            </w:r>
            <w:r>
              <w:rPr>
                <w:rFonts w:hint="eastAsia" w:ascii="宋体" w:hAnsi="宋体" w:cs="宋体"/>
                <w:color w:val="auto"/>
                <w:szCs w:val="21"/>
                <w:highlight w:val="none"/>
              </w:rPr>
              <w:t>12.抗震等级：5g</w:t>
            </w:r>
            <w:r>
              <w:rPr>
                <w:rFonts w:hint="eastAsia" w:ascii="宋体" w:hAnsi="宋体" w:cs="宋体"/>
                <w:color w:val="auto"/>
                <w:szCs w:val="21"/>
                <w:highlight w:val="none"/>
              </w:rPr>
              <w:br w:type="textWrapping"/>
            </w:r>
            <w:r>
              <w:rPr>
                <w:rFonts w:hint="eastAsia" w:ascii="宋体" w:hAnsi="宋体" w:cs="宋体"/>
                <w:color w:val="auto"/>
                <w:szCs w:val="21"/>
                <w:highlight w:val="none"/>
              </w:rPr>
              <w:t>13.重量：500g</w:t>
            </w:r>
          </w:p>
        </w:tc>
        <w:tc>
          <w:tcPr>
            <w:tcW w:w="125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18</w:t>
            </w:r>
          </w:p>
        </w:tc>
      </w:tr>
      <w:tr>
        <w:tblPrEx>
          <w:shd w:val="clear" w:color="auto" w:fill="FFFFFF" w:themeFill="background1"/>
          <w:tblLayout w:type="fixed"/>
          <w:tblCellMar>
            <w:top w:w="0" w:type="dxa"/>
            <w:left w:w="108" w:type="dxa"/>
            <w:bottom w:w="0" w:type="dxa"/>
            <w:right w:w="108" w:type="dxa"/>
          </w:tblCellMar>
        </w:tblPrEx>
        <w:trPr>
          <w:trHeight w:val="316" w:hRule="atLeast"/>
          <w:jc w:val="center"/>
        </w:trPr>
        <w:tc>
          <w:tcPr>
            <w:tcW w:w="174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插入式油感</w:t>
            </w:r>
          </w:p>
        </w:tc>
        <w:tc>
          <w:tcPr>
            <w:tcW w:w="55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rPr>
                <w:rFonts w:ascii="宋体" w:hAnsi="宋体" w:cs="宋体"/>
                <w:color w:val="auto"/>
                <w:szCs w:val="21"/>
                <w:highlight w:val="none"/>
              </w:rPr>
            </w:pPr>
            <w:r>
              <w:rPr>
                <w:rFonts w:hint="eastAsia" w:ascii="宋体" w:hAnsi="宋体" w:cs="宋体"/>
                <w:color w:val="auto"/>
                <w:szCs w:val="21"/>
                <w:highlight w:val="none"/>
              </w:rPr>
              <w:t>1.工作电压：4～36VDC</w:t>
            </w:r>
            <w:r>
              <w:rPr>
                <w:rFonts w:hint="eastAsia" w:ascii="宋体" w:hAnsi="宋体" w:cs="宋体"/>
                <w:color w:val="auto"/>
                <w:szCs w:val="21"/>
                <w:highlight w:val="none"/>
              </w:rPr>
              <w:br w:type="textWrapping"/>
            </w:r>
            <w:r>
              <w:rPr>
                <w:rFonts w:hint="eastAsia" w:ascii="宋体" w:hAnsi="宋体" w:cs="宋体"/>
                <w:color w:val="auto"/>
                <w:szCs w:val="21"/>
                <w:highlight w:val="none"/>
              </w:rPr>
              <w:t>2.采集原理：电容式</w:t>
            </w:r>
            <w:r>
              <w:rPr>
                <w:rFonts w:hint="eastAsia" w:ascii="宋体" w:hAnsi="宋体" w:cs="宋体"/>
                <w:color w:val="auto"/>
                <w:szCs w:val="21"/>
                <w:highlight w:val="none"/>
              </w:rPr>
              <w:br w:type="textWrapping"/>
            </w:r>
            <w:r>
              <w:rPr>
                <w:rFonts w:hint="eastAsia" w:ascii="宋体" w:hAnsi="宋体" w:cs="宋体"/>
                <w:color w:val="auto"/>
                <w:szCs w:val="21"/>
                <w:highlight w:val="none"/>
              </w:rPr>
              <w:t>3.工作环境温度：-40℃～+85℃</w:t>
            </w:r>
            <w:r>
              <w:rPr>
                <w:rFonts w:hint="eastAsia" w:ascii="宋体" w:hAnsi="宋体" w:cs="宋体"/>
                <w:color w:val="auto"/>
                <w:szCs w:val="21"/>
                <w:highlight w:val="none"/>
              </w:rPr>
              <w:br w:type="textWrapping"/>
            </w:r>
            <w:r>
              <w:rPr>
                <w:rFonts w:hint="eastAsia" w:ascii="宋体" w:hAnsi="宋体" w:cs="宋体"/>
                <w:color w:val="auto"/>
                <w:szCs w:val="21"/>
                <w:highlight w:val="none"/>
              </w:rPr>
              <w:t>4.液体测量精度：±0.5%； 测量分辨率：0.1mm</w:t>
            </w:r>
            <w:r>
              <w:rPr>
                <w:rFonts w:hint="eastAsia" w:ascii="宋体" w:hAnsi="宋体" w:cs="宋体"/>
                <w:color w:val="auto"/>
                <w:szCs w:val="21"/>
                <w:highlight w:val="none"/>
              </w:rPr>
              <w:br w:type="textWrapping"/>
            </w:r>
            <w:r>
              <w:rPr>
                <w:rFonts w:hint="eastAsia" w:ascii="宋体" w:hAnsi="宋体" w:cs="宋体"/>
                <w:color w:val="auto"/>
                <w:szCs w:val="21"/>
                <w:highlight w:val="none"/>
              </w:rPr>
              <w:t>5.防护等级：IP67</w:t>
            </w:r>
            <w:r>
              <w:rPr>
                <w:rFonts w:hint="eastAsia" w:ascii="宋体" w:hAnsi="宋体" w:cs="宋体"/>
                <w:color w:val="auto"/>
                <w:szCs w:val="21"/>
                <w:highlight w:val="none"/>
              </w:rPr>
              <w:br w:type="textWrapping"/>
            </w:r>
            <w:r>
              <w:rPr>
                <w:rFonts w:hint="eastAsia" w:ascii="宋体" w:hAnsi="宋体" w:cs="宋体"/>
                <w:color w:val="auto"/>
                <w:szCs w:val="21"/>
                <w:highlight w:val="none"/>
              </w:rPr>
              <w:t>6.设备接口：RS232、RS485</w:t>
            </w:r>
            <w:r>
              <w:rPr>
                <w:rFonts w:hint="eastAsia" w:ascii="宋体" w:hAnsi="宋体" w:cs="宋体"/>
                <w:color w:val="auto"/>
                <w:szCs w:val="21"/>
                <w:highlight w:val="none"/>
              </w:rPr>
              <w:br w:type="textWrapping"/>
            </w:r>
            <w:r>
              <w:rPr>
                <w:rFonts w:hint="eastAsia" w:ascii="宋体" w:hAnsi="宋体" w:cs="宋体"/>
                <w:color w:val="auto"/>
                <w:szCs w:val="21"/>
                <w:highlight w:val="none"/>
              </w:rPr>
              <w:t>7.外壳材质：不锈钢</w:t>
            </w:r>
            <w:r>
              <w:rPr>
                <w:rFonts w:hint="eastAsia" w:ascii="宋体" w:hAnsi="宋体" w:cs="宋体"/>
                <w:color w:val="auto"/>
                <w:szCs w:val="21"/>
                <w:highlight w:val="none"/>
              </w:rPr>
              <w:br w:type="textWrapping"/>
            </w:r>
            <w:r>
              <w:rPr>
                <w:rFonts w:hint="eastAsia" w:ascii="宋体" w:hAnsi="宋体" w:cs="宋体"/>
                <w:color w:val="auto"/>
                <w:szCs w:val="21"/>
                <w:highlight w:val="none"/>
              </w:rPr>
              <w:t>8.整体结构：圆形式</w:t>
            </w:r>
            <w:r>
              <w:rPr>
                <w:rFonts w:hint="eastAsia" w:ascii="宋体" w:hAnsi="宋体" w:cs="宋体"/>
                <w:color w:val="auto"/>
                <w:szCs w:val="21"/>
                <w:highlight w:val="none"/>
              </w:rPr>
              <w:br w:type="textWrapping"/>
            </w:r>
            <w:r>
              <w:rPr>
                <w:rFonts w:hint="eastAsia" w:ascii="宋体" w:hAnsi="宋体" w:cs="宋体"/>
                <w:color w:val="auto"/>
                <w:szCs w:val="21"/>
                <w:highlight w:val="none"/>
              </w:rPr>
              <w:t>9.安装方式：底部安装</w:t>
            </w:r>
            <w:r>
              <w:rPr>
                <w:rFonts w:hint="eastAsia" w:ascii="宋体" w:hAnsi="宋体" w:cs="宋体"/>
                <w:color w:val="auto"/>
                <w:szCs w:val="21"/>
                <w:highlight w:val="none"/>
              </w:rPr>
              <w:br w:type="textWrapping"/>
            </w:r>
            <w:r>
              <w:rPr>
                <w:rFonts w:hint="eastAsia" w:ascii="宋体" w:hAnsi="宋体" w:cs="宋体"/>
                <w:color w:val="auto"/>
                <w:szCs w:val="21"/>
                <w:highlight w:val="none"/>
              </w:rPr>
              <w:t>10.通讯口参数：波特率默认为9600，无校验位，8位数据位，1位停止位，无流控</w:t>
            </w:r>
          </w:p>
        </w:tc>
        <w:tc>
          <w:tcPr>
            <w:tcW w:w="125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18</w:t>
            </w:r>
          </w:p>
        </w:tc>
      </w:tr>
    </w:tbl>
    <w:p>
      <w:pPr>
        <w:pStyle w:val="46"/>
        <w:jc w:val="both"/>
        <w:rPr>
          <w:rStyle w:val="58"/>
          <w:rFonts w:hAnsi="宋体" w:cs="宋体"/>
          <w:color w:val="auto"/>
          <w:highlight w:val="none"/>
        </w:rPr>
      </w:pPr>
    </w:p>
    <w:p>
      <w:pPr>
        <w:outlineLvl w:val="2"/>
        <w:rPr>
          <w:rFonts w:ascii="宋体" w:hAnsi="宋体" w:cs="宋体"/>
          <w:b/>
          <w:color w:val="auto"/>
          <w:szCs w:val="21"/>
          <w:highlight w:val="none"/>
        </w:rPr>
      </w:pPr>
      <w:r>
        <w:rPr>
          <w:rFonts w:hint="eastAsia" w:ascii="宋体" w:hAnsi="宋体" w:cs="宋体"/>
          <w:b/>
          <w:color w:val="auto"/>
          <w:szCs w:val="21"/>
          <w:highlight w:val="none"/>
        </w:rPr>
        <w:t>3.其他技术要求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本项目产品技术参数及功能要求仅供投标人参考，涉及具体品牌、型号、产地的产品，仅作为项目质量水平与配置的参考，在不低于此基准的前提下，投标人可以同档次或更优的同类产品替代。</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★1.投标人应在东莞市内有建立二类以上维修资质的售后服务点或中标后 30 天内须在东莞市内设立二类以上维修资质</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售后服务点。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★2.中标人提供的货物需开放接口，并由中标人接入采购人现有的智慧环卫系统及东莞市第三方平台，所产生的费用由中标人承担，设备完成接入且正常运行，方能开展验收工作。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rPr>
        <w:tab/>
      </w:r>
      <w:r>
        <w:rPr>
          <w:rFonts w:hint="eastAsia" w:ascii="宋体" w:hAnsi="宋体" w:cs="宋体"/>
          <w:color w:val="auto"/>
          <w:szCs w:val="21"/>
          <w:highlight w:val="none"/>
        </w:rPr>
        <w:t>所有车辆需购置交强险和商业险，包括但不限于：</w:t>
      </w:r>
    </w:p>
    <w:p>
      <w:pPr>
        <w:rPr>
          <w:rFonts w:ascii="宋体" w:hAnsi="宋体" w:cs="宋体"/>
          <w:color w:val="auto"/>
          <w:szCs w:val="21"/>
          <w:highlight w:val="none"/>
        </w:rPr>
      </w:pPr>
      <w:r>
        <w:rPr>
          <w:rFonts w:hint="eastAsia" w:ascii="宋体" w:hAnsi="宋体" w:cs="宋体"/>
          <w:color w:val="auto"/>
          <w:szCs w:val="21"/>
          <w:highlight w:val="none"/>
        </w:rPr>
        <w:t>（1）交强险；（2）车损险；（3）第三者责任险300万或以上；（4）车上人员责任险；（5）车船税</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rPr>
        <w:tab/>
      </w:r>
      <w:r>
        <w:rPr>
          <w:rFonts w:hint="eastAsia" w:ascii="宋体" w:hAnsi="宋体" w:cs="宋体"/>
          <w:color w:val="auto"/>
          <w:szCs w:val="21"/>
          <w:highlight w:val="none"/>
        </w:rPr>
        <w:t>中标人必须按采购人要求添加车身标识，具体方案与采购人商议确定。</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rPr>
        <w:tab/>
      </w:r>
      <w:r>
        <w:rPr>
          <w:rFonts w:hint="eastAsia" w:ascii="宋体" w:hAnsi="宋体" w:cs="宋体"/>
          <w:color w:val="auto"/>
          <w:szCs w:val="21"/>
          <w:highlight w:val="none"/>
        </w:rPr>
        <w:t>所有车辆（除车厢可卸式垃圾车外）需在后部加装一对不小于0.6m长的亮黄色LED安全导向指示灯，控制开关须在驾驶室内，具体加装位置需与采购人确认。</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rPr>
        <w:tab/>
      </w:r>
      <w:r>
        <w:rPr>
          <w:rFonts w:hint="eastAsia" w:ascii="宋体" w:hAnsi="宋体" w:cs="宋体"/>
          <w:color w:val="auto"/>
          <w:szCs w:val="21"/>
          <w:highlight w:val="none"/>
        </w:rPr>
        <w:t>平板自卸车除加装安全导向指示灯外，货箱加装与驾驶室顶部齐平的可拆卸式四面挡板（不高于行驶证车辆高度），货箱后栏板位置安装可拆卸式安全标语，具体内容须与采购人商议。</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rPr>
        <w:tab/>
      </w:r>
      <w:r>
        <w:rPr>
          <w:rFonts w:hint="eastAsia" w:ascii="宋体" w:hAnsi="宋体" w:cs="宋体"/>
          <w:color w:val="auto"/>
          <w:szCs w:val="21"/>
          <w:highlight w:val="none"/>
        </w:rPr>
        <w:t>中标人必须保证车辆为原厂生产的全新产品，底盘及上装等生产日期，不得早于验收日期前6个月。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8.</w:t>
      </w:r>
      <w:r>
        <w:rPr>
          <w:rFonts w:hint="eastAsia" w:ascii="宋体" w:hAnsi="宋体" w:cs="宋体"/>
          <w:color w:val="auto"/>
          <w:szCs w:val="21"/>
          <w:highlight w:val="none"/>
        </w:rPr>
        <w:tab/>
      </w:r>
      <w:r>
        <w:rPr>
          <w:rFonts w:hint="eastAsia" w:ascii="宋体" w:hAnsi="宋体" w:cs="宋体"/>
          <w:color w:val="auto"/>
          <w:szCs w:val="21"/>
          <w:highlight w:val="none"/>
        </w:rPr>
        <w:t>中标人须为车辆配备行车记录仪、盲区雷达监测及倒车后视系统。采购人不需为安装行车记录仪、盲区雷达监测及倒车后视系统增加费用。（注：右侧盲区雷达监测系统必须通过GB4943.1-2011《信息技术设备安全第1部分：通用要求》）</w:t>
      </w:r>
    </w:p>
    <w:p>
      <w:pPr>
        <w:pStyle w:val="6"/>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三、商务要求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1、车辆查验：</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车辆在上牌前需进行第一次查验，查验车辆应当在采购人指定地点（东莞市内，以采购人通知为准）进行，中标人应提供完整的产品技术资料（包括车辆合格证原件，产品说明书、用户手册、制造厂质量合格证书及其他相关文件资料），与合同的各项技术规格、指标和性能要求对比开展查验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中标人应派遣有经验有能力的工程师或委托第三方配合采购人检验其所供应的货物的外观性能和各项参数指标是否符合采购要求，同时采购人有权自行委托第三方机构对车辆设备进行车辆查验，中标人不得持有异议。查验不合格时第三方机构的查验服务费由中标人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(3)车辆的查验、试驾完成后，若查验合格，各方在查验证明上签字；若查验不合格，中标人需在查验证明上写明不合格内容及整改时限要求，因查验不合格导致逾期供货的，按上述逾期供货条款执行。</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2、车辆验收：</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车辆查验合格后，中标人需完成车辆上牌及配件安装（包括安装行车记录仪、右侧盲区雷达监测及倒车后视系统智慧环卫设备、贴膜等）等相关工作、并将车辆移交至采购人指定地点（东莞市内，以采购人通知为准）后开展验收工作，检查确认货物是否齐全（若发现车辆部件丢失、损坏，均由中标人承担责任）。若验收合格，各方于验收证明上签字并进行车辆交付；若查验不合格，中标人需在验收证明上写明不合格内容及整改时限要求，因验收不合格导致逾期供货的，按上述逾期供货条款执行。</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3、车辆交付：</w:t>
      </w:r>
    </w:p>
    <w:p>
      <w:pPr>
        <w:rPr>
          <w:rFonts w:ascii="宋体" w:hAnsi="宋体" w:cs="宋体"/>
          <w:color w:val="auto"/>
          <w:szCs w:val="21"/>
          <w:highlight w:val="none"/>
        </w:rPr>
      </w:pPr>
      <w:r>
        <w:rPr>
          <w:rFonts w:hint="eastAsia" w:ascii="宋体" w:hAnsi="宋体" w:cs="宋体"/>
          <w:color w:val="auto"/>
          <w:szCs w:val="21"/>
          <w:highlight w:val="none"/>
        </w:rPr>
        <w:t>车辆验收合格后进行车辆交付，交付时应确保所有车辆油表显示在一半或一半以上，以确保车辆验收后采购人的正常使用，同时中标人将车辆相关证件及资料移交至采购人，包括但不限于以下资料：车辆合格证复印件；质量服务卡或保修手册；车辆使用说明书或用户使用手册（中文）；随车工具及备件清单；三包凭证；车辆登记入户相关文件；购车发票；车辆一致性证书；机动车登记证书；新车交付确认表；保险单正本及其保险发票；交通强制险增值税专用发票；车船税发票；购置税发票；完税证明；交通强制险标。</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4、智慧环卫设备交付的标准：</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（1）设备完整性：所有设备必须完整，无缺失、损坏、损坏的零件或设备。</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（2）设备质量：所有设备必须符合国家质量认证标准和技术规范要求，保证其长期高效稳定运行。</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（3）设备功能：所有设备必须按照采购人要求并经过测试，保证所有功能正常，性能稳定可靠。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（4）设备安全性：所有设备必须通过安全性检测和测试，保证在使用过程中没有安全隐患。</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（5）设备易用性：所有设备必须设计合理，界面简洁明了，操作简便，易于使用。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（6）设备可维护性：所有设备必须便于维护和保养，以确保设备长期稳定运行。</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（7）设备配件：所有设备必须符合国家标准要求的配件，以确保设备的稳定性和可靠性。</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8）兼容性：所有设备必须开放接口，由中标人接入采购人现有的智慧环卫系统及东莞市第三方平台，保证能够在不同硬件和软件环境下正常工作，保证相互兼容性。按照国家标准要求进行安装，安装位置符合采购人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9）其他：中标人需提供项目实施过程资料（在项目实施过程中所产生的所有文件、记录（设备到场记录，开箱记录，安装记录，运行记录等）、数据以及其他信息资料（说明书，合格证，保修卡是否完整等），包括但不限于项目计划、工作分解结构、进度计划、风险管理计划、变更请求、验收记录、会议记录、问题记录等）。验收合格不代表对产品质量的最终认定，不可免除中标人对产品的瑕疵和缺陷承担相应责任；采购人在使用过程中发现设备不符合合同要求的，中标人应承担相应的退、换责任，因设备使用导致设备残值损失等由中标人自行承担。因设备质量发生争议，由广东省或东莞市质量技术监督部门进行质量鉴定。鉴定费用由中标人先行垫付。如质量符合质量标准的，鉴定费由采购人承担；不符合质量标准的，鉴定费用中标人承担。</w:t>
      </w:r>
    </w:p>
    <w:p>
      <w:pPr>
        <w:outlineLvl w:val="2"/>
        <w:rPr>
          <w:rFonts w:ascii="宋体" w:hAnsi="宋体" w:cs="宋体"/>
          <w:b/>
          <w:color w:val="auto"/>
          <w:szCs w:val="21"/>
          <w:highlight w:val="none"/>
        </w:rPr>
      </w:pPr>
      <w:r>
        <w:rPr>
          <w:rFonts w:hint="eastAsia" w:ascii="宋体" w:hAnsi="宋体" w:cs="宋体"/>
          <w:b/>
          <w:color w:val="auto"/>
          <w:szCs w:val="21"/>
          <w:highlight w:val="none"/>
        </w:rPr>
        <w:t>（四）售后要求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所有产品自验收合格之日起1年（平板自卸车质保2年）享受原厂质保。如技术规格书或厂家对单体产品有更高要求的，遵循更高要求。质保责任：在质保期内免费解决非采购人原因造成的质量问题，并按照国家相关法律承担三包责任。</w:t>
      </w:r>
    </w:p>
    <w:p>
      <w:pPr>
        <w:widowControl w:val="0"/>
        <w:autoSpaceDE w:val="0"/>
        <w:autoSpaceDN w:val="0"/>
        <w:adjustRightInd/>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2、中标人应提供 24 小时电话服务热线，确保能够及时响应采购人的设备报障，接到采购人设备故障通知后，2 小时内与采购人协商给出合理解决方案，具体方案是否合理按照采购人要求而定。</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质保期内中标人对采购人负有责任，对设备出现的不符合合同要求的、有问题的地方，应迅速响应并提供免费上门维修、保修或更换配件的服务。在质保期内，中标人负责维修、更换的设备、被更换的零部件的质保期为从更换日起计12个月，质保服务具体响应时间不得超过5个日历日。</w:t>
      </w:r>
    </w:p>
    <w:p>
      <w:pPr>
        <w:ind w:firstLine="420"/>
        <w:rPr>
          <w:rFonts w:ascii="宋体" w:hAnsi="宋体" w:cs="宋体"/>
          <w:color w:val="auto"/>
          <w:szCs w:val="21"/>
          <w:highlight w:val="none"/>
        </w:rPr>
      </w:pPr>
      <w:r>
        <w:rPr>
          <w:rFonts w:hint="eastAsia" w:ascii="宋体" w:hAnsi="宋体" w:cs="宋体"/>
          <w:color w:val="auto"/>
          <w:szCs w:val="21"/>
          <w:highlight w:val="none"/>
        </w:rPr>
        <w:t>3、中标人免费提供产品的首次检查保养</w:t>
      </w:r>
    </w:p>
    <w:p>
      <w:pPr>
        <w:ind w:firstLine="420"/>
        <w:rPr>
          <w:color w:val="auto"/>
          <w:highlight w:val="none"/>
        </w:rPr>
      </w:pPr>
      <w:r>
        <w:rPr>
          <w:rFonts w:hint="eastAsia" w:ascii="宋体" w:hAnsi="宋体" w:cs="宋体"/>
          <w:color w:val="auto"/>
          <w:szCs w:val="21"/>
          <w:highlight w:val="none"/>
        </w:rPr>
        <w:t>4、中标人需制定科学合理的培训计划，免费为采购人提供设备使用、维护等培训，确保采购人能安全正确使用设备。</w:t>
      </w:r>
    </w:p>
    <w:bookmarkEnd w:id="23"/>
    <w:bookmarkEnd w:id="24"/>
    <w:bookmarkEnd w:id="25"/>
    <w:bookmarkEnd w:id="26"/>
    <w:p>
      <w:pPr>
        <w:rPr>
          <w:color w:val="auto"/>
          <w:sz w:val="28"/>
          <w:szCs w:val="28"/>
          <w:highlight w:val="none"/>
        </w:rPr>
      </w:pPr>
      <w:r>
        <w:rPr>
          <w:rFonts w:hint="eastAsia"/>
          <w:color w:val="auto"/>
          <w:sz w:val="28"/>
          <w:szCs w:val="28"/>
          <w:highlight w:val="none"/>
        </w:rPr>
        <w:br w:type="page"/>
      </w:r>
    </w:p>
    <w:p>
      <w:pPr>
        <w:pStyle w:val="6"/>
        <w:spacing w:before="0" w:after="0" w:line="240" w:lineRule="auto"/>
        <w:jc w:val="center"/>
        <w:rPr>
          <w:color w:val="auto"/>
          <w:sz w:val="24"/>
          <w:szCs w:val="24"/>
          <w:highlight w:val="none"/>
        </w:rPr>
      </w:pPr>
      <w:bookmarkStart w:id="722" w:name="_Toc5833"/>
      <w:r>
        <w:rPr>
          <w:rFonts w:hint="eastAsia"/>
          <w:color w:val="auto"/>
          <w:sz w:val="28"/>
          <w:szCs w:val="28"/>
          <w:highlight w:val="none"/>
        </w:rPr>
        <w:t>第四部分投标人须知</w:t>
      </w:r>
      <w:bookmarkEnd w:id="722"/>
    </w:p>
    <w:p>
      <w:pPr>
        <w:pStyle w:val="7"/>
        <w:numPr>
          <w:ilvl w:val="0"/>
          <w:numId w:val="112"/>
        </w:numPr>
        <w:spacing w:before="0" w:after="0" w:line="480" w:lineRule="auto"/>
        <w:jc w:val="center"/>
        <w:rPr>
          <w:rFonts w:ascii="宋体" w:hAnsi="宋体"/>
          <w:color w:val="auto"/>
          <w:highlight w:val="none"/>
        </w:rPr>
      </w:pPr>
      <w:bookmarkStart w:id="723" w:name="_Toc15408"/>
      <w:r>
        <w:rPr>
          <w:rFonts w:hint="eastAsia" w:ascii="宋体" w:hAnsi="宋体"/>
          <w:color w:val="auto"/>
          <w:highlight w:val="none"/>
        </w:rPr>
        <w:t>说明</w:t>
      </w:r>
      <w:bookmarkEnd w:id="723"/>
    </w:p>
    <w:p>
      <w:pPr>
        <w:pStyle w:val="8"/>
        <w:widowControl w:val="0"/>
        <w:numPr>
          <w:ilvl w:val="0"/>
          <w:numId w:val="113"/>
        </w:numPr>
        <w:overflowPunct w:val="0"/>
        <w:rPr>
          <w:rFonts w:ascii="宋体" w:hAnsi="宋体" w:cs="宋体"/>
          <w:color w:val="auto"/>
          <w:sz w:val="21"/>
          <w:szCs w:val="21"/>
          <w:highlight w:val="none"/>
        </w:rPr>
      </w:pPr>
      <w:bookmarkStart w:id="724" w:name="_Toc10233"/>
      <w:r>
        <w:rPr>
          <w:rFonts w:hint="eastAsia" w:ascii="宋体" w:hAnsi="宋体" w:cs="宋体"/>
          <w:color w:val="auto"/>
          <w:sz w:val="21"/>
          <w:szCs w:val="21"/>
          <w:highlight w:val="none"/>
        </w:rPr>
        <w:t>适用范围</w:t>
      </w:r>
      <w:bookmarkEnd w:id="724"/>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采购范围：见本文件《用户需求书》</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25" w:name="_Toc382049092"/>
      <w:bookmarkStart w:id="726" w:name="_Toc1530"/>
      <w:bookmarkStart w:id="727" w:name="_Toc303084246"/>
      <w:bookmarkStart w:id="728" w:name="_Toc15953"/>
      <w:bookmarkStart w:id="729" w:name="_Toc298847174"/>
      <w:r>
        <w:rPr>
          <w:rFonts w:hint="eastAsia" w:ascii="宋体" w:hAnsi="宋体" w:cs="宋体"/>
          <w:color w:val="auto"/>
          <w:sz w:val="21"/>
          <w:szCs w:val="21"/>
          <w:highlight w:val="none"/>
        </w:rPr>
        <w:t>定义</w:t>
      </w:r>
      <w:bookmarkEnd w:id="725"/>
      <w:bookmarkEnd w:id="726"/>
      <w:bookmarkEnd w:id="727"/>
      <w:bookmarkEnd w:id="728"/>
      <w:bookmarkEnd w:id="729"/>
    </w:p>
    <w:p>
      <w:pPr>
        <w:pStyle w:val="46"/>
        <w:widowControl w:val="0"/>
        <w:adjustRightInd/>
        <w:snapToGrid/>
        <w:ind w:left="425"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采购人：见投标邀请书。</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投标人：响应采购并且符合采购文件规定资格条件和参加投标竞争的法人、其他组织或者自然人。</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中标人：指经评标委员会评审推荐、采购人确认的获得本项目中标资格的投标人。</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采购代理机构：见投标邀请书。</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评标委员会：评标委员会是依据相关规定组建的专门负责本次采购其评标工作的临时性机构。</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合同：指由本次采购所产生的合同或合约文件。</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公章：公章是指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时间：本文件规定按日计算期间的，开始当天不计入，从次日开始计算。期限的最后一日是国家法定节假日的，顺延到节假日后的次日为期限的最后一日。</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30" w:name="_Toc25894"/>
      <w:r>
        <w:rPr>
          <w:rFonts w:hint="eastAsia" w:ascii="宋体" w:hAnsi="宋体" w:cs="宋体"/>
          <w:color w:val="auto"/>
          <w:sz w:val="21"/>
          <w:szCs w:val="21"/>
          <w:highlight w:val="none"/>
        </w:rPr>
        <w:t>货物和服务</w:t>
      </w:r>
      <w:bookmarkEnd w:id="730"/>
    </w:p>
    <w:p>
      <w:pPr>
        <w:pStyle w:val="46"/>
        <w:widowControl w:val="0"/>
        <w:adjustRightInd/>
        <w:snapToGrid/>
        <w:ind w:left="425"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货物是指各种形态和种类的物品，包括原材料、燃料、设备、产品等。</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服务是指除货物和工程以外的其他采购对象。</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31" w:name="_Toc3646"/>
      <w:r>
        <w:rPr>
          <w:rFonts w:hint="eastAsia" w:ascii="宋体" w:hAnsi="宋体" w:cs="宋体"/>
          <w:color w:val="auto"/>
          <w:sz w:val="21"/>
          <w:szCs w:val="21"/>
          <w:highlight w:val="none"/>
        </w:rPr>
        <w:t>投标费用</w:t>
      </w:r>
      <w:bookmarkEnd w:id="731"/>
    </w:p>
    <w:p>
      <w:pPr>
        <w:pStyle w:val="46"/>
        <w:widowControl w:val="0"/>
        <w:adjustRightInd/>
        <w:snapToGrid/>
        <w:ind w:left="425"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jc w:val="both"/>
        <w:rPr>
          <w:rFonts w:ascii="宋体" w:hAnsi="宋体" w:cs="宋体"/>
          <w:color w:val="auto"/>
          <w:szCs w:val="21"/>
          <w:highlight w:val="none"/>
        </w:rPr>
      </w:pPr>
    </w:p>
    <w:p>
      <w:pPr>
        <w:pStyle w:val="8"/>
        <w:widowControl w:val="0"/>
        <w:numPr>
          <w:ilvl w:val="0"/>
          <w:numId w:val="113"/>
        </w:numPr>
        <w:overflowPunct w:val="0"/>
        <w:rPr>
          <w:rFonts w:ascii="宋体" w:hAnsi="宋体" w:cs="宋体"/>
          <w:color w:val="auto"/>
          <w:sz w:val="21"/>
          <w:szCs w:val="21"/>
          <w:highlight w:val="none"/>
        </w:rPr>
      </w:pPr>
      <w:bookmarkStart w:id="732" w:name="_Toc26779"/>
      <w:r>
        <w:rPr>
          <w:rFonts w:hint="eastAsia" w:ascii="宋体" w:hAnsi="宋体" w:cs="宋体"/>
          <w:color w:val="auto"/>
          <w:sz w:val="21"/>
          <w:szCs w:val="21"/>
          <w:highlight w:val="none"/>
        </w:rPr>
        <w:t>知识产权</w:t>
      </w:r>
      <w:bookmarkEnd w:id="732"/>
    </w:p>
    <w:p>
      <w:pPr>
        <w:pStyle w:val="46"/>
        <w:widowControl w:val="0"/>
        <w:adjustRightInd/>
        <w:snapToGrid/>
        <w:ind w:left="425"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采购货物为计算机办公设备时，投标人提供的产品必须是预装正版操作系统软件的计算机产品。</w:t>
      </w:r>
    </w:p>
    <w:p>
      <w:pPr>
        <w:widowControl w:val="0"/>
        <w:adjustRightInd/>
        <w:snapToGrid/>
        <w:ind w:left="567"/>
        <w:jc w:val="both"/>
        <w:rPr>
          <w:rFonts w:ascii="宋体" w:hAnsi="宋体" w:cs="宋体"/>
          <w:color w:val="auto"/>
          <w:szCs w:val="21"/>
          <w:highlight w:val="none"/>
        </w:rPr>
      </w:pPr>
    </w:p>
    <w:p>
      <w:pPr>
        <w:pStyle w:val="8"/>
        <w:widowControl w:val="0"/>
        <w:numPr>
          <w:ilvl w:val="0"/>
          <w:numId w:val="113"/>
        </w:numPr>
        <w:overflowPunct w:val="0"/>
        <w:rPr>
          <w:rFonts w:ascii="宋体" w:hAnsi="宋体" w:cs="宋体"/>
          <w:color w:val="auto"/>
          <w:sz w:val="21"/>
          <w:szCs w:val="21"/>
          <w:highlight w:val="none"/>
        </w:rPr>
      </w:pPr>
      <w:bookmarkStart w:id="733" w:name="_Toc3398"/>
      <w:r>
        <w:rPr>
          <w:rFonts w:hint="eastAsia" w:ascii="宋体" w:hAnsi="宋体" w:cs="宋体"/>
          <w:color w:val="auto"/>
          <w:sz w:val="21"/>
          <w:szCs w:val="21"/>
          <w:highlight w:val="none"/>
        </w:rPr>
        <w:t>关于联合体投标</w:t>
      </w:r>
      <w:bookmarkEnd w:id="733"/>
    </w:p>
    <w:p>
      <w:pPr>
        <w:pStyle w:val="46"/>
        <w:widowControl w:val="0"/>
        <w:adjustRightInd/>
        <w:snapToGrid/>
        <w:ind w:left="425"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对接受联合体投标的项目：两个以上的自然人、法人或者其他组织可以组成一个联合体，以一个投标人的身份共同参加采购活动。</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以联合体形式参与项目的供应商在领购采购文件时，应提供所有联合体组成成员的营业执照复印件，并加盖各联合体组成成员的公章。</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联合体各方均应具有独立承担民事责任能力的法人或其他组织。</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采购文件对投标人资格条件有规定的，联合体各方均应当具备规定的相应资格条件。由同一专业的单位组成的联合体，按照资质等级较低的单位确定资质等级。</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pPr>
        <w:widowControl w:val="0"/>
        <w:adjustRightInd/>
        <w:snapToGrid/>
        <w:ind w:left="567"/>
        <w:jc w:val="both"/>
        <w:rPr>
          <w:rFonts w:ascii="宋体" w:hAnsi="宋体" w:cs="宋体"/>
          <w:color w:val="auto"/>
          <w:szCs w:val="21"/>
          <w:highlight w:val="none"/>
        </w:rPr>
      </w:pPr>
    </w:p>
    <w:p>
      <w:pPr>
        <w:pStyle w:val="8"/>
        <w:widowControl w:val="0"/>
        <w:numPr>
          <w:ilvl w:val="0"/>
          <w:numId w:val="113"/>
        </w:numPr>
        <w:overflowPunct w:val="0"/>
        <w:rPr>
          <w:rFonts w:ascii="宋体" w:hAnsi="宋体" w:cs="宋体"/>
          <w:color w:val="auto"/>
          <w:sz w:val="21"/>
          <w:szCs w:val="21"/>
          <w:highlight w:val="none"/>
        </w:rPr>
      </w:pPr>
      <w:bookmarkStart w:id="734" w:name="_Toc9716"/>
      <w:r>
        <w:rPr>
          <w:rFonts w:hint="eastAsia" w:ascii="宋体" w:hAnsi="宋体" w:cs="宋体"/>
          <w:color w:val="auto"/>
          <w:sz w:val="21"/>
          <w:szCs w:val="21"/>
          <w:highlight w:val="none"/>
        </w:rPr>
        <w:t>关于分支机构投标</w:t>
      </w:r>
      <w:bookmarkEnd w:id="734"/>
    </w:p>
    <w:p>
      <w:pPr>
        <w:pStyle w:val="46"/>
        <w:widowControl w:val="0"/>
        <w:adjustRightInd/>
        <w:snapToGrid/>
        <w:ind w:left="425" w:firstLineChars="0"/>
        <w:jc w:val="both"/>
        <w:rPr>
          <w:rFonts w:ascii="宋体" w:hAnsi="宋体" w:cs="宋体"/>
          <w:vanish/>
          <w:color w:val="auto"/>
          <w:szCs w:val="21"/>
          <w:highlight w:val="none"/>
        </w:rPr>
      </w:pPr>
      <w:bookmarkStart w:id="735" w:name="EB389f116341dd4693875bc7987e7327f3"/>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对可接受分支机构投标的项目，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735"/>
    </w:p>
    <w:p>
      <w:pPr>
        <w:widowControl w:val="0"/>
        <w:adjustRightInd/>
        <w:snapToGrid/>
        <w:ind w:left="567"/>
        <w:jc w:val="both"/>
        <w:rPr>
          <w:rFonts w:ascii="宋体" w:hAnsi="宋体" w:cs="宋体"/>
          <w:color w:val="auto"/>
          <w:szCs w:val="21"/>
          <w:highlight w:val="none"/>
        </w:rPr>
      </w:pPr>
    </w:p>
    <w:p>
      <w:pPr>
        <w:pStyle w:val="8"/>
        <w:widowControl w:val="0"/>
        <w:numPr>
          <w:ilvl w:val="0"/>
          <w:numId w:val="113"/>
        </w:numPr>
        <w:overflowPunct w:val="0"/>
        <w:rPr>
          <w:rFonts w:ascii="宋体" w:hAnsi="宋体" w:cs="宋体"/>
          <w:color w:val="auto"/>
          <w:sz w:val="21"/>
          <w:szCs w:val="21"/>
          <w:highlight w:val="none"/>
        </w:rPr>
      </w:pPr>
      <w:bookmarkStart w:id="736" w:name="_Toc8711"/>
      <w:r>
        <w:rPr>
          <w:rFonts w:hint="eastAsia" w:ascii="宋体" w:hAnsi="宋体" w:cs="宋体"/>
          <w:color w:val="auto"/>
          <w:sz w:val="21"/>
          <w:szCs w:val="21"/>
          <w:highlight w:val="none"/>
        </w:rPr>
        <w:t>踏勘现场</w:t>
      </w:r>
      <w:bookmarkEnd w:id="736"/>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《投标资料表》规定组织踏勘现场的，采购人按《投标资料表》规定的时间、地点组织响应人踏勘项目现场；</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响应人踏勘现场发生的费用自理；</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除采购人的原因外，响应人自行负责在踏勘现场中所发生的人员伤亡和财产损失；</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采购人在踏勘现场中介绍的实施地点和相关的周边环境情况，供响应人在编制响应文件时参考，采购人不对响应人据此作出的判断和决策负责；</w:t>
      </w:r>
    </w:p>
    <w:p>
      <w:pPr>
        <w:rPr>
          <w:rFonts w:ascii="宋体" w:hAnsi="宋体" w:cs="宋体"/>
          <w:color w:val="auto"/>
          <w:highlight w:val="none"/>
        </w:rPr>
      </w:pPr>
    </w:p>
    <w:p>
      <w:pPr>
        <w:pStyle w:val="7"/>
        <w:numPr>
          <w:ilvl w:val="0"/>
          <w:numId w:val="112"/>
        </w:numPr>
        <w:spacing w:before="0" w:after="0" w:line="360" w:lineRule="auto"/>
        <w:jc w:val="center"/>
        <w:rPr>
          <w:rFonts w:ascii="宋体" w:hAnsi="宋体" w:cs="宋体"/>
          <w:color w:val="auto"/>
          <w:highlight w:val="none"/>
        </w:rPr>
      </w:pPr>
      <w:bookmarkStart w:id="737" w:name="_Toc3302"/>
      <w:r>
        <w:rPr>
          <w:rFonts w:hint="eastAsia" w:ascii="宋体" w:hAnsi="宋体" w:cs="宋体"/>
          <w:color w:val="auto"/>
          <w:highlight w:val="none"/>
        </w:rPr>
        <w:t>采购文件</w:t>
      </w:r>
      <w:bookmarkEnd w:id="737"/>
    </w:p>
    <w:p>
      <w:pPr>
        <w:pStyle w:val="8"/>
        <w:widowControl w:val="0"/>
        <w:numPr>
          <w:ilvl w:val="0"/>
          <w:numId w:val="113"/>
        </w:numPr>
        <w:overflowPunct w:val="0"/>
        <w:rPr>
          <w:rFonts w:ascii="宋体" w:hAnsi="宋体" w:cs="宋体"/>
          <w:color w:val="auto"/>
          <w:sz w:val="21"/>
          <w:szCs w:val="21"/>
          <w:highlight w:val="none"/>
        </w:rPr>
      </w:pPr>
      <w:bookmarkStart w:id="738" w:name="_Toc23219"/>
      <w:r>
        <w:rPr>
          <w:rFonts w:hint="eastAsia" w:ascii="宋体" w:hAnsi="宋体" w:cs="宋体"/>
          <w:color w:val="auto"/>
          <w:sz w:val="21"/>
          <w:szCs w:val="21"/>
          <w:highlight w:val="none"/>
        </w:rPr>
        <w:t>采购文件的组成</w:t>
      </w:r>
      <w:bookmarkEnd w:id="738"/>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采购文件包括：</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（1）投标邀请书；</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（2）投标资料表；</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（3）用户需求书；</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（4）投标人须知；</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（5）拟签订的合同文本；</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（6）投标文件格式；</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（7）在采购过程中由采购代理机构发出的澄清更正文件等。</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39" w:name="_Toc765"/>
      <w:r>
        <w:rPr>
          <w:rFonts w:hint="eastAsia" w:ascii="宋体" w:hAnsi="宋体" w:cs="宋体"/>
          <w:color w:val="auto"/>
          <w:sz w:val="21"/>
          <w:szCs w:val="21"/>
          <w:highlight w:val="none"/>
        </w:rPr>
        <w:t>采购文件的澄清或修改</w:t>
      </w:r>
      <w:bookmarkEnd w:id="739"/>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人或者采购代理机构可以对已发出的采购文件、资格预审文件、投标邀请书进行必要的澄清或者修改。澄清或者修改的内容为采购文件、资格预审文件、投标邀请书的组成部分，具有约束作用。当采购文件、采购文件的澄清或修改等在同一内容的表述上不一致时，以最后发出的书面文件及公告为准。</w:t>
      </w:r>
    </w:p>
    <w:p>
      <w:pPr>
        <w:widowControl w:val="0"/>
        <w:numPr>
          <w:ilvl w:val="1"/>
          <w:numId w:val="113"/>
        </w:numPr>
        <w:overflowPunct w:val="0"/>
        <w:rPr>
          <w:rFonts w:ascii="宋体" w:hAnsi="宋体" w:cs="宋体"/>
          <w:b/>
          <w:bCs/>
          <w:color w:val="auto"/>
          <w:szCs w:val="21"/>
          <w:highlight w:val="none"/>
        </w:rPr>
      </w:pPr>
      <w:r>
        <w:rPr>
          <w:rFonts w:hint="eastAsia" w:ascii="宋体" w:hAnsi="宋体" w:cs="宋体"/>
          <w:b/>
          <w:bCs/>
          <w:color w:val="auto"/>
          <w:szCs w:val="21"/>
          <w:highlight w:val="none"/>
        </w:rPr>
        <w:t>采购期间，投标人有义务上网查看，公告一经上网发布，即视为送达。因投标人未及时上网查看而造成的所有后果，由投标人自行承担。</w:t>
      </w:r>
    </w:p>
    <w:p>
      <w:pPr>
        <w:widowControl w:val="0"/>
        <w:adjustRightInd/>
        <w:snapToGrid/>
        <w:ind w:left="567"/>
        <w:jc w:val="both"/>
        <w:rPr>
          <w:rFonts w:ascii="宋体" w:hAnsi="宋体" w:cs="宋体"/>
          <w:color w:val="auto"/>
          <w:szCs w:val="21"/>
          <w:highlight w:val="none"/>
        </w:rPr>
      </w:pPr>
    </w:p>
    <w:p>
      <w:pPr>
        <w:pStyle w:val="7"/>
        <w:numPr>
          <w:ilvl w:val="0"/>
          <w:numId w:val="112"/>
        </w:numPr>
        <w:spacing w:before="0" w:after="0" w:line="360" w:lineRule="auto"/>
        <w:jc w:val="center"/>
        <w:rPr>
          <w:rFonts w:ascii="宋体" w:hAnsi="宋体" w:cs="宋体"/>
          <w:color w:val="auto"/>
          <w:highlight w:val="none"/>
        </w:rPr>
      </w:pPr>
      <w:bookmarkStart w:id="740" w:name="_Toc24125"/>
      <w:r>
        <w:rPr>
          <w:rFonts w:hint="eastAsia" w:ascii="宋体" w:hAnsi="宋体" w:cs="宋体"/>
          <w:color w:val="auto"/>
          <w:highlight w:val="none"/>
        </w:rPr>
        <w:t>投标文件的编制</w:t>
      </w:r>
      <w:bookmarkEnd w:id="740"/>
    </w:p>
    <w:p>
      <w:pPr>
        <w:pStyle w:val="8"/>
        <w:widowControl w:val="0"/>
        <w:numPr>
          <w:ilvl w:val="0"/>
          <w:numId w:val="113"/>
        </w:numPr>
        <w:overflowPunct w:val="0"/>
        <w:rPr>
          <w:rFonts w:ascii="宋体" w:hAnsi="宋体" w:cs="宋体"/>
          <w:color w:val="auto"/>
          <w:sz w:val="21"/>
          <w:szCs w:val="21"/>
          <w:highlight w:val="none"/>
        </w:rPr>
      </w:pPr>
      <w:bookmarkStart w:id="741" w:name="_Toc29844"/>
      <w:r>
        <w:rPr>
          <w:rFonts w:hint="eastAsia" w:ascii="宋体" w:hAnsi="宋体" w:cs="宋体"/>
          <w:color w:val="auto"/>
          <w:sz w:val="21"/>
          <w:szCs w:val="21"/>
          <w:highlight w:val="none"/>
        </w:rPr>
        <w:t>投标文件的语言及度量衡单位</w:t>
      </w:r>
      <w:bookmarkEnd w:id="741"/>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除非采购文件在技术规格中另有规定，投标人在投标文件中及其与采购代理机构和采购人所有往来文件中的所有计量单位均应采用中华人民共和国法定计量单位。</w:t>
      </w:r>
    </w:p>
    <w:p>
      <w:pPr>
        <w:widowControl w:val="0"/>
        <w:adjustRightInd/>
        <w:snapToGrid/>
        <w:ind w:left="567"/>
        <w:jc w:val="both"/>
        <w:rPr>
          <w:rFonts w:ascii="宋体" w:hAnsi="宋体" w:cs="宋体"/>
          <w:color w:val="auto"/>
          <w:szCs w:val="21"/>
          <w:highlight w:val="none"/>
        </w:rPr>
      </w:pPr>
    </w:p>
    <w:p>
      <w:pPr>
        <w:pStyle w:val="8"/>
        <w:widowControl w:val="0"/>
        <w:numPr>
          <w:ilvl w:val="0"/>
          <w:numId w:val="113"/>
        </w:numPr>
        <w:overflowPunct w:val="0"/>
        <w:rPr>
          <w:rFonts w:ascii="宋体" w:hAnsi="宋体" w:cs="宋体"/>
          <w:color w:val="auto"/>
          <w:sz w:val="21"/>
          <w:szCs w:val="21"/>
          <w:highlight w:val="none"/>
        </w:rPr>
      </w:pPr>
      <w:bookmarkStart w:id="742" w:name="_Toc307934854"/>
      <w:bookmarkStart w:id="743" w:name="_Toc303084256"/>
      <w:bookmarkStart w:id="744" w:name="_Toc28866"/>
      <w:bookmarkStart w:id="745" w:name="_Toc382049103"/>
      <w:bookmarkStart w:id="746" w:name="_Toc3072"/>
      <w:r>
        <w:rPr>
          <w:rFonts w:hint="eastAsia" w:ascii="宋体" w:hAnsi="宋体" w:cs="宋体"/>
          <w:color w:val="auto"/>
          <w:sz w:val="21"/>
          <w:szCs w:val="21"/>
          <w:highlight w:val="none"/>
        </w:rPr>
        <w:t>投标文件的组成</w:t>
      </w:r>
      <w:bookmarkEnd w:id="742"/>
      <w:bookmarkEnd w:id="743"/>
      <w:bookmarkEnd w:id="744"/>
      <w:bookmarkEnd w:id="745"/>
      <w:bookmarkEnd w:id="746"/>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包括但不限于采购文件附件格式中要求提供的表格。</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上述文件须按顺序装订成册，并编制投标文件目录。除上述文件资料外投标人还须按投标人须知的要求制作“唱标信封”。“唱标信封”作为投标文件的一部分，但须单独密封。</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47" w:name="_Toc32344"/>
      <w:r>
        <w:rPr>
          <w:rFonts w:hint="eastAsia" w:ascii="宋体" w:hAnsi="宋体" w:cs="宋体"/>
          <w:color w:val="auto"/>
          <w:sz w:val="21"/>
          <w:szCs w:val="21"/>
          <w:highlight w:val="none"/>
        </w:rPr>
        <w:t>投标文件编制</w:t>
      </w:r>
      <w:bookmarkEnd w:id="747"/>
    </w:p>
    <w:p>
      <w:pPr>
        <w:pStyle w:val="46"/>
        <w:widowControl w:val="0"/>
        <w:numPr>
          <w:ilvl w:val="0"/>
          <w:numId w:val="114"/>
        </w:numPr>
        <w:adjustRightInd/>
        <w:snapToGrid/>
        <w:ind w:firstLineChars="0"/>
        <w:jc w:val="both"/>
        <w:rPr>
          <w:rFonts w:ascii="宋体" w:hAnsi="宋体" w:cs="宋体"/>
          <w:vanish/>
          <w:color w:val="auto"/>
          <w:szCs w:val="21"/>
          <w:highlight w:val="none"/>
        </w:rPr>
      </w:pPr>
      <w:bookmarkStart w:id="748" w:name="_Toc303084258"/>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应按采购文件的规定以及附件要求的内容和格式完整地填写（表格可以按同样格式扩展）和提供资料，投标人必须对投标文件所提供的全部材料的真实性承担法律责任，并无条件接受采购人或采购代理机构对其中任何资料进行核实的要求。</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因投标文件编制存在歧义对投标人产生负面影响的，投标人自行承担后果。</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投标文件密封、标记及内容与本项目采购信息不符，导致无法分辨所投项目为本项目的，投标文件无效。</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投标人须客观撰写投标人简介（格式自理，并提供相关证明）以及所投的产品或服务说明。</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投标文件若出现以下内容，经评标委员会认定有可能间接影响评审秩序，作废标处理。</w:t>
      </w:r>
    </w:p>
    <w:p>
      <w:pPr>
        <w:pStyle w:val="46"/>
        <w:widowControl w:val="0"/>
        <w:numPr>
          <w:ilvl w:val="0"/>
          <w:numId w:val="115"/>
        </w:numPr>
        <w:adjustRightInd/>
        <w:snapToGrid/>
        <w:ind w:firstLineChars="0"/>
        <w:jc w:val="both"/>
        <w:rPr>
          <w:rFonts w:ascii="宋体" w:hAnsi="宋体" w:cs="宋体"/>
          <w:color w:val="auto"/>
          <w:szCs w:val="21"/>
          <w:highlight w:val="none"/>
        </w:rPr>
      </w:pPr>
      <w:r>
        <w:rPr>
          <w:rFonts w:hint="eastAsia" w:ascii="宋体" w:hAnsi="宋体" w:cs="宋体"/>
          <w:color w:val="auto"/>
          <w:szCs w:val="21"/>
          <w:highlight w:val="none"/>
        </w:rPr>
        <w:t>投标文件内出现无官方证明文件的行业地域排名或使用“国家级”、“最高级”、“最佳”等用语字眼的。</w:t>
      </w:r>
    </w:p>
    <w:p>
      <w:pPr>
        <w:pStyle w:val="46"/>
        <w:widowControl w:val="0"/>
        <w:numPr>
          <w:ilvl w:val="0"/>
          <w:numId w:val="115"/>
        </w:numPr>
        <w:adjustRightInd/>
        <w:snapToGrid/>
        <w:ind w:firstLineChars="0"/>
        <w:jc w:val="both"/>
        <w:rPr>
          <w:rFonts w:ascii="宋体" w:hAnsi="宋体" w:cs="宋体"/>
          <w:color w:val="auto"/>
          <w:szCs w:val="21"/>
          <w:highlight w:val="none"/>
        </w:rPr>
      </w:pPr>
      <w:r>
        <w:rPr>
          <w:rFonts w:hint="eastAsia" w:ascii="宋体" w:hAnsi="宋体" w:cs="宋体"/>
          <w:color w:val="auto"/>
          <w:szCs w:val="21"/>
          <w:highlight w:val="none"/>
        </w:rPr>
        <w:t>投标文件内出现恶意诋毁、贬低其他生产经营者的商品或者服务的内容。</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有下列情形之一的，视为投标人串通投标，其投标无效：</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（3）不同投标人的投标文件载明的项目管理成员或者联系人员为同一人；</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（5）不同投标人的投标文件相互混装；</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（6）不同投标人的投标保证金从同一单位或者个人的账户转出。</w:t>
      </w:r>
    </w:p>
    <w:bookmarkEnd w:id="748"/>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49" w:name="_Toc26026"/>
      <w:r>
        <w:rPr>
          <w:rFonts w:hint="eastAsia" w:ascii="宋体" w:hAnsi="宋体" w:cs="宋体"/>
          <w:color w:val="auto"/>
          <w:sz w:val="21"/>
          <w:szCs w:val="21"/>
          <w:highlight w:val="none"/>
        </w:rPr>
        <w:t>投标报价说明</w:t>
      </w:r>
      <w:bookmarkEnd w:id="749"/>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本次采购，投标人应按用户需求中的要求进行投标报价，少报无效。</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投标人所提供的货物或服务均以人民币（或相关费率）报价。</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投标报价应包含完成本次采购所有服务内容的费用，包含各种税务费及合同实施过程中的全部费用和售后服务费等。</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中标后开出的所有发票必须与中标人的名称一致。</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50" w:name="_Toc31762"/>
      <w:r>
        <w:rPr>
          <w:rFonts w:hint="eastAsia" w:ascii="宋体" w:hAnsi="宋体" w:cs="宋体"/>
          <w:color w:val="auto"/>
          <w:sz w:val="21"/>
          <w:szCs w:val="21"/>
          <w:highlight w:val="none"/>
        </w:rPr>
        <w:t>投标人所提供的服务或货物的证明文件</w:t>
      </w:r>
      <w:bookmarkEnd w:id="750"/>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bookmarkStart w:id="751" w:name="_Hlt107925668"/>
      <w:bookmarkEnd w:id="751"/>
      <w:bookmarkStart w:id="752" w:name="_Hlt107925638"/>
      <w:bookmarkEnd w:id="752"/>
      <w:r>
        <w:rPr>
          <w:rFonts w:hint="eastAsia" w:ascii="宋体" w:hAnsi="宋体" w:cs="宋体"/>
          <w:color w:val="auto"/>
          <w:szCs w:val="21"/>
          <w:highlight w:val="none"/>
        </w:rPr>
        <w:t>证明服务或货物的文件，它可以是文字资料、图纸和数据包括但不限于：服务主要内容、标准、质量、人员资质、计划安排、报告审核等的详细说明；对采购文件第三部分《用户需求书》中规定的要求进行详细应答和说明。</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有下列情形之一的，视为投标人弄虚作假，其投标无效：</w:t>
      </w:r>
    </w:p>
    <w:p>
      <w:pPr>
        <w:pStyle w:val="46"/>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1、使用通过受让或者租借等方式获取的资格、资质证书投标的，属于以他人名义投标。</w:t>
      </w:r>
    </w:p>
    <w:p>
      <w:pPr>
        <w:pStyle w:val="46"/>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2、投标人有下列情形之一的，属于以其他方式弄虚作假的行为：</w:t>
      </w:r>
    </w:p>
    <w:p>
      <w:pPr>
        <w:pStyle w:val="46"/>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（1）使用伪造、变造的许可证件；</w:t>
      </w:r>
    </w:p>
    <w:p>
      <w:pPr>
        <w:pStyle w:val="46"/>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（2）提供虚假的财务状况或者业绩；</w:t>
      </w:r>
    </w:p>
    <w:p>
      <w:pPr>
        <w:pStyle w:val="46"/>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（3）提供虚假的项目负责人或者主要技术人员简历、劳动关系证明；</w:t>
      </w:r>
    </w:p>
    <w:p>
      <w:pPr>
        <w:pStyle w:val="46"/>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（4）提供虚假的信用状况；</w:t>
      </w:r>
    </w:p>
    <w:p>
      <w:pPr>
        <w:pStyle w:val="46"/>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（5）其他弄虚作假的行为。</w:t>
      </w:r>
    </w:p>
    <w:p>
      <w:pPr>
        <w:pStyle w:val="8"/>
        <w:widowControl w:val="0"/>
        <w:numPr>
          <w:ilvl w:val="0"/>
          <w:numId w:val="113"/>
        </w:numPr>
        <w:overflowPunct w:val="0"/>
        <w:rPr>
          <w:rFonts w:ascii="宋体" w:hAnsi="宋体" w:cs="宋体"/>
          <w:color w:val="auto"/>
          <w:sz w:val="21"/>
          <w:szCs w:val="21"/>
          <w:highlight w:val="none"/>
        </w:rPr>
      </w:pPr>
      <w:bookmarkStart w:id="753" w:name="_Toc32111"/>
      <w:r>
        <w:rPr>
          <w:rFonts w:hint="eastAsia" w:ascii="宋体" w:hAnsi="宋体" w:cs="宋体"/>
          <w:color w:val="auto"/>
          <w:sz w:val="21"/>
          <w:szCs w:val="21"/>
          <w:highlight w:val="none"/>
        </w:rPr>
        <w:t>投标有效期</w:t>
      </w:r>
      <w:bookmarkEnd w:id="753"/>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投标文件应根据投标人须知的规定在投标截止日后的90天内保持有效。</w:t>
      </w:r>
    </w:p>
    <w:p>
      <w:pPr>
        <w:widowControl w:val="0"/>
        <w:adjustRightInd/>
        <w:snapToGrid/>
        <w:ind w:left="567"/>
        <w:jc w:val="both"/>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54" w:name="_Toc28301"/>
      <w:r>
        <w:rPr>
          <w:rFonts w:hint="eastAsia" w:ascii="宋体" w:hAnsi="宋体" w:cs="宋体"/>
          <w:color w:val="auto"/>
          <w:sz w:val="21"/>
          <w:szCs w:val="21"/>
          <w:highlight w:val="none"/>
        </w:rPr>
        <w:t>投标保证金</w:t>
      </w:r>
      <w:bookmarkEnd w:id="754"/>
    </w:p>
    <w:p>
      <w:pPr>
        <w:pStyle w:val="46"/>
        <w:widowControl w:val="0"/>
        <w:numPr>
          <w:ilvl w:val="0"/>
          <w:numId w:val="114"/>
        </w:numPr>
        <w:adjustRightInd/>
        <w:snapToGrid/>
        <w:ind w:firstLineChars="0"/>
        <w:jc w:val="both"/>
        <w:rPr>
          <w:rFonts w:ascii="宋体" w:hAnsi="宋体" w:cs="宋体"/>
          <w:vanish/>
          <w:color w:val="auto"/>
          <w:szCs w:val="21"/>
          <w:highlight w:val="none"/>
        </w:rPr>
      </w:pPr>
      <w:bookmarkStart w:id="755" w:name="_Ref179619405"/>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投标人应在投标文件递交截止前提交相应的投标保证金，并作为其投标的一部分。</w:t>
      </w:r>
      <w:bookmarkEnd w:id="755"/>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投标保证金是为了保护采购代理机构和采购人免遭因投标人的行为而蒙受的损失。采购代理机构和采购人在因投标人的行为受到损害时可根据本须知（17.7）的规定没收投标人的投标保证金。</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保证金采用转账、电汇方式方式提交，应符合以下要求：采用银行转账、电汇方式提交的，保证金汇入《投标资料表》中投标保证金专用账户，不接收由以投标人分支机构、私人账户和其他单位转入的保证金。投标保证金必须在投标文件递交截止前到账，投标保证金未按规定时间到达指定账户或提交金额不足的，将被视为无效投标。且在备注或用途中注明本项目的项目编号。</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凡没有根据本须知（17.1和17.3）的规定随附有效的投标保证金的投标，将被视为非响应性投标予以拒绝。</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投标保证金有效期应当与投标有效期一致。采购人如果按照采购文件另外规定延长了投标文件有效期，则投标担保的有效期也相应延长。</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中标人在签订采购合同并按采购文件第（33）条规定提交履约担保金后，携带退保证金声明函、投标保证金汇款单复印件（加盖公章）和合同正本到采购人处办理投标保证金（无息）退回手续。</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下列任何情况发生时，投标保证金将不予退还：</w:t>
      </w:r>
    </w:p>
    <w:p>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（1）投标人在采购文件中规定的投标有效期内撤回其投标；</w:t>
      </w:r>
    </w:p>
    <w:p>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（2）中标人无正当理由不与采购人订立合同，在签订合同时向采购人提出附加条件，或者不按照采购文件要求提交履约保证金的；</w:t>
      </w:r>
    </w:p>
    <w:p>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（3）中标人将本项目转让给他人，或者在投标文件中未说明，且未经采购人同意，将中标项目分包给他人的；</w:t>
      </w:r>
    </w:p>
    <w:p>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（4）投标人提供虚假投标文件或虚假补充文件的。</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在中标通知书发出后，未中标投标人的投标保证金，由采购人自行返还至投标人的原转出账户。</w:t>
      </w:r>
    </w:p>
    <w:p>
      <w:pPr>
        <w:rPr>
          <w:rFonts w:ascii="宋体" w:hAnsi="宋体" w:cs="宋体"/>
          <w:color w:val="auto"/>
          <w:highlight w:val="none"/>
        </w:rPr>
      </w:pPr>
    </w:p>
    <w:p>
      <w:pPr>
        <w:pStyle w:val="7"/>
        <w:numPr>
          <w:ilvl w:val="0"/>
          <w:numId w:val="112"/>
        </w:numPr>
        <w:spacing w:before="0" w:after="0" w:line="360" w:lineRule="auto"/>
        <w:jc w:val="center"/>
        <w:rPr>
          <w:rFonts w:ascii="宋体" w:hAnsi="宋体" w:cs="宋体"/>
          <w:color w:val="auto"/>
          <w:highlight w:val="none"/>
        </w:rPr>
      </w:pPr>
      <w:bookmarkStart w:id="756" w:name="_Toc12999"/>
      <w:r>
        <w:rPr>
          <w:rFonts w:hint="eastAsia" w:ascii="宋体" w:hAnsi="宋体" w:cs="宋体"/>
          <w:color w:val="auto"/>
          <w:highlight w:val="none"/>
        </w:rPr>
        <w:t>投标文件的递交</w:t>
      </w:r>
      <w:bookmarkEnd w:id="756"/>
    </w:p>
    <w:p>
      <w:pPr>
        <w:pStyle w:val="8"/>
        <w:widowControl w:val="0"/>
        <w:numPr>
          <w:ilvl w:val="0"/>
          <w:numId w:val="113"/>
        </w:numPr>
        <w:overflowPunct w:val="0"/>
        <w:rPr>
          <w:rFonts w:ascii="宋体" w:hAnsi="宋体" w:cs="宋体"/>
          <w:color w:val="auto"/>
          <w:sz w:val="21"/>
          <w:szCs w:val="21"/>
          <w:highlight w:val="none"/>
        </w:rPr>
      </w:pPr>
      <w:bookmarkStart w:id="757" w:name="_Toc31180"/>
      <w:bookmarkStart w:id="758" w:name="_Toc382049111"/>
      <w:bookmarkStart w:id="759" w:name="_Toc24997"/>
      <w:bookmarkStart w:id="760" w:name="_Toc303084264"/>
      <w:r>
        <w:rPr>
          <w:rFonts w:hint="eastAsia" w:ascii="宋体" w:hAnsi="宋体" w:cs="宋体"/>
          <w:color w:val="auto"/>
          <w:sz w:val="21"/>
          <w:szCs w:val="21"/>
          <w:highlight w:val="none"/>
        </w:rPr>
        <w:t>投标文件的装订，签署，密封和标记</w:t>
      </w:r>
      <w:bookmarkEnd w:id="757"/>
      <w:bookmarkEnd w:id="758"/>
      <w:bookmarkEnd w:id="759"/>
      <w:bookmarkEnd w:id="760"/>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ind w:left="0" w:firstLine="0"/>
        <w:rPr>
          <w:color w:val="auto"/>
          <w:highlight w:val="none"/>
        </w:rPr>
      </w:pPr>
      <w:r>
        <w:rPr>
          <w:rFonts w:hint="eastAsia" w:ascii="宋体" w:hAnsi="宋体"/>
          <w:color w:val="auto"/>
          <w:szCs w:val="21"/>
          <w:highlight w:val="none"/>
        </w:rPr>
        <w:t>投标人应按《投标资料表》的份数准备价格文件、商务文件、技术文件、唱标信封和电子文件（</w:t>
      </w:r>
      <w:r>
        <w:rPr>
          <w:rFonts w:hint="eastAsia" w:ascii="宋体" w:hAnsi="宋体"/>
          <w:b/>
          <w:color w:val="auto"/>
          <w:szCs w:val="21"/>
          <w:highlight w:val="none"/>
        </w:rPr>
        <w:t>价格文件、商务文件、技术文件分别单独装订成册</w:t>
      </w:r>
      <w:r>
        <w:rPr>
          <w:rFonts w:hint="eastAsia" w:ascii="宋体" w:hAnsi="宋体"/>
          <w:color w:val="auto"/>
          <w:szCs w:val="21"/>
          <w:highlight w:val="none"/>
        </w:rPr>
        <w:t>），每一份投标文件均需编上页次，装订成册（不允许使用活页夹，否则由此产生的风险由投标人自行承担）。所有投标文件必须封入密封完好的信封或包装，封口加盖公章</w:t>
      </w:r>
      <w:r>
        <w:rPr>
          <w:rFonts w:hint="eastAsia" w:ascii="宋体" w:hAnsi="宋体" w:cs="宋体"/>
          <w:color w:val="auto"/>
          <w:szCs w:val="21"/>
          <w:highlight w:val="none"/>
        </w:rPr>
        <w:t>。注：</w:t>
      </w:r>
      <w:r>
        <w:rPr>
          <w:rFonts w:hint="eastAsia" w:ascii="宋体" w:hAnsi="宋体"/>
          <w:b/>
          <w:color w:val="auto"/>
          <w:szCs w:val="21"/>
          <w:highlight w:val="none"/>
          <w:u w:val="single"/>
        </w:rPr>
        <w:t>包号：A包、B包、C包、D包、</w:t>
      </w:r>
      <w:r>
        <w:rPr>
          <w:rFonts w:hint="eastAsia" w:ascii="宋体" w:hAnsi="宋体"/>
          <w:b/>
          <w:color w:val="auto"/>
          <w:szCs w:val="21"/>
          <w:highlight w:val="none"/>
          <w:u w:val="single"/>
          <w:lang w:val="en-US" w:eastAsia="zh-CN"/>
        </w:rPr>
        <w:t>E</w:t>
      </w:r>
      <w:r>
        <w:rPr>
          <w:rFonts w:hint="eastAsia" w:ascii="宋体" w:hAnsi="宋体"/>
          <w:b/>
          <w:color w:val="auto"/>
          <w:szCs w:val="21"/>
          <w:highlight w:val="none"/>
          <w:u w:val="single"/>
        </w:rPr>
        <w:t>包投标文件须分别单独装订成册。</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文件正本均须用不褪色墨水书写或打印。投标文件的副本可采用投标文件的正本复印件，每套投标文件应当标明“正本”、“副本”的字样。投标文件的【正本】及所有【副本】的封面及骑缝均须加盖投标人公章（文件每页盖章等同于盖骑缝章）。若正本与副本不符，以正本为准。</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联合体投标文件的【正本】及【副本】的封面及骑缝均须加盖所有联合体组成成员的公章。（文件每页盖章等同于盖骑缝章）</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电子文件内容包括：由投标人自行制作的与正本文件一致的所有文件。电子文件由光盘或U盘储存，并注明投标人名称及项目名称、采购项目编号，随投标文件一同密封提交。</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除投标人对错误处修改外，全套投标文件应无涂改或行间插字和增删。如有修改，修改处须由法定代表人或其正式授权代表在旁边签字及盖章。</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投标人应将投标文件进行非透明的封装，以防止投标文件内容的泄露。采购代理机构将拒绝接收采用透明包装进行密封的投标文件。</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密封破损导致投标文件内容直接或间接泄露的投标文件，采购代理机构将拒绝接收。</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为方便开标唱标，投标人应将开标一览表和授权委托书单独密封提交，并在信封上标明“唱标信封”字样。唱标信封内还须包括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唱标信封”份数及签章等要求与投标文件正本相同（1份）。</w:t>
      </w:r>
    </w:p>
    <w:p>
      <w:pPr>
        <w:widowControl w:val="0"/>
        <w:numPr>
          <w:ilvl w:val="1"/>
          <w:numId w:val="113"/>
        </w:numPr>
        <w:overflowPunct w:val="0"/>
        <w:rPr>
          <w:rFonts w:ascii="宋体" w:hAnsi="宋体" w:cs="宋体"/>
          <w:b/>
          <w:bCs/>
          <w:color w:val="auto"/>
          <w:szCs w:val="21"/>
          <w:highlight w:val="none"/>
        </w:rPr>
      </w:pPr>
      <w:r>
        <w:rPr>
          <w:rFonts w:hint="eastAsia" w:ascii="宋体" w:hAnsi="宋体" w:cs="宋体"/>
          <w:b/>
          <w:bCs/>
          <w:color w:val="auto"/>
          <w:szCs w:val="21"/>
          <w:highlight w:val="none"/>
        </w:rPr>
        <w:t>未单独提交唱标信封的投标人投标文件不进行唱标，投标文件作无效处理。</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 xml:space="preserve">所有的信封均应注明： </w:t>
      </w:r>
    </w:p>
    <w:p>
      <w:pPr>
        <w:widowControl w:val="0"/>
        <w:numPr>
          <w:ilvl w:val="0"/>
          <w:numId w:val="116"/>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 xml:space="preserve">收件人： </w:t>
      </w:r>
      <w:r>
        <w:rPr>
          <w:rFonts w:hint="eastAsia" w:ascii="宋体" w:hAnsi="宋体" w:cs="宋体"/>
          <w:color w:val="auto"/>
          <w:szCs w:val="21"/>
          <w:highlight w:val="none"/>
          <w:lang w:eastAsia="zh-CN"/>
        </w:rPr>
        <w:t>广东志正招标有限公司东莞分公司</w:t>
      </w:r>
    </w:p>
    <w:p>
      <w:pPr>
        <w:widowControl w:val="0"/>
        <w:numPr>
          <w:ilvl w:val="0"/>
          <w:numId w:val="116"/>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投标单位名称：</w:t>
      </w:r>
    </w:p>
    <w:p>
      <w:pPr>
        <w:widowControl w:val="0"/>
        <w:numPr>
          <w:ilvl w:val="0"/>
          <w:numId w:val="116"/>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项目名称：东莞市寮步镇生活垃圾综合处理中心项目</w:t>
      </w:r>
      <w:r>
        <w:rPr>
          <w:rFonts w:hint="eastAsia" w:ascii="宋体" w:hAnsi="宋体" w:cs="宋体"/>
          <w:color w:val="auto"/>
          <w:szCs w:val="21"/>
          <w:highlight w:val="none"/>
          <w:u w:val="single"/>
        </w:rPr>
        <w:t>（商务标/技术标/价格标）</w:t>
      </w:r>
    </w:p>
    <w:p>
      <w:pPr>
        <w:widowControl w:val="0"/>
        <w:numPr>
          <w:ilvl w:val="0"/>
          <w:numId w:val="116"/>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包号：</w:t>
      </w:r>
      <w:r>
        <w:rPr>
          <w:rFonts w:hint="eastAsia" w:ascii="宋体" w:hAnsi="宋体" w:cs="宋体"/>
          <w:color w:val="auto"/>
          <w:szCs w:val="21"/>
          <w:highlight w:val="none"/>
          <w:u w:val="single"/>
        </w:rPr>
        <w:t>A包/B包/C包/D包/E包</w:t>
      </w:r>
    </w:p>
    <w:p>
      <w:pPr>
        <w:widowControl w:val="0"/>
        <w:numPr>
          <w:ilvl w:val="0"/>
          <w:numId w:val="116"/>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项目采购项目编号：</w:t>
      </w:r>
      <w:r>
        <w:rPr>
          <w:rFonts w:hint="eastAsia" w:ascii="宋体" w:hAnsi="宋体" w:cs="宋体"/>
          <w:color w:val="auto"/>
          <w:szCs w:val="21"/>
          <w:highlight w:val="none"/>
          <w:lang w:eastAsia="zh-CN"/>
        </w:rPr>
        <w:t>DSCF-LB-02-08-010(2023)</w:t>
      </w:r>
    </w:p>
    <w:p>
      <w:pPr>
        <w:widowControl w:val="0"/>
        <w:numPr>
          <w:ilvl w:val="255"/>
          <w:numId w:val="0"/>
        </w:numPr>
        <w:adjustRightInd/>
        <w:snapToGrid/>
        <w:spacing w:line="240" w:lineRule="auto"/>
        <w:ind w:firstLine="630" w:firstLineChars="300"/>
        <w:jc w:val="both"/>
        <w:rPr>
          <w:rFonts w:ascii="宋体" w:hAnsi="宋体" w:cs="宋体"/>
          <w:color w:val="auto"/>
          <w:szCs w:val="21"/>
          <w:highlight w:val="none"/>
        </w:rPr>
      </w:pPr>
      <w:r>
        <w:rPr>
          <w:rFonts w:hint="eastAsia" w:ascii="宋体" w:hAnsi="宋体" w:cs="宋体"/>
          <w:color w:val="auto"/>
          <w:szCs w:val="21"/>
          <w:highlight w:val="none"/>
        </w:rPr>
        <w:t>“在规定的开封时间之前不得启封”的字样。</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密封信封上的项目编号错误或项目名称出现严重歧义的（包括采购内容不符），采购代理机构将拒绝接收。</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采购代理机构对所有投标文件的误投或提前启封概不负责。</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投标人同时参加几个包投标时必须按采购文件要求按包号分别制作投标文件，分别密封递交。</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传真、电传的投标文件将被拒绝。</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递交的投标文件中所提供的通讯方式应保持联络畅通，因联系不上而导致的所有后果由投标人自行承担。</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61" w:name="_Toc6737"/>
      <w:r>
        <w:rPr>
          <w:rFonts w:hint="eastAsia" w:ascii="宋体" w:hAnsi="宋体" w:cs="宋体"/>
          <w:color w:val="auto"/>
          <w:sz w:val="21"/>
          <w:szCs w:val="21"/>
          <w:highlight w:val="none"/>
        </w:rPr>
        <w:t>迟交的投标文件</w:t>
      </w:r>
      <w:bookmarkEnd w:id="761"/>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投标人在投标截止时间之后提交的投标文件，采购代理机构将拒绝接收。</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有违反其他法律规定情形的，采购代理机构将拒绝接收。</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62" w:name="_Toc1528"/>
      <w:r>
        <w:rPr>
          <w:rFonts w:hint="eastAsia" w:ascii="宋体" w:hAnsi="宋体" w:cs="宋体"/>
          <w:color w:val="auto"/>
          <w:sz w:val="21"/>
          <w:szCs w:val="21"/>
          <w:highlight w:val="none"/>
        </w:rPr>
        <w:t>投标样品（如需提交）</w:t>
      </w:r>
      <w:bookmarkEnd w:id="762"/>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为方便评标，投标人在提供样品时，应在所提供的样品表面显著位置标注投标人的名称、包号、样品名称、采购文件规定的服务或货物编号。</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63" w:name="_Toc303084265"/>
      <w:bookmarkStart w:id="764" w:name="_Toc4491"/>
      <w:bookmarkStart w:id="765" w:name="_Toc382049112"/>
      <w:bookmarkStart w:id="766" w:name="_Toc9777"/>
      <w:r>
        <w:rPr>
          <w:rFonts w:hint="eastAsia" w:ascii="宋体" w:hAnsi="宋体" w:cs="宋体"/>
          <w:color w:val="auto"/>
          <w:sz w:val="21"/>
          <w:szCs w:val="21"/>
          <w:highlight w:val="none"/>
        </w:rPr>
        <w:t>投标截止期</w:t>
      </w:r>
      <w:bookmarkEnd w:id="763"/>
      <w:bookmarkEnd w:id="764"/>
      <w:bookmarkEnd w:id="765"/>
      <w:bookmarkEnd w:id="766"/>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投标人应在采购文件规定的截止日期和时间内，将投标文件送达到指定地点。</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采购代理机构可按本须知规定以澄清或修改通知的方式，酌情延长递交投标文件的截止时间。在此情况下，投标人的所有权利和义务以及投标人受制约的截止时间，均以延长后新的投标截止时间为准。</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67" w:name="_Toc8362"/>
      <w:r>
        <w:rPr>
          <w:rFonts w:hint="eastAsia" w:ascii="宋体" w:hAnsi="宋体" w:cs="宋体"/>
          <w:color w:val="auto"/>
          <w:sz w:val="21"/>
          <w:szCs w:val="21"/>
          <w:highlight w:val="none"/>
        </w:rPr>
        <w:t>投标文件的补充、修改与撤回</w:t>
      </w:r>
      <w:bookmarkEnd w:id="767"/>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投标人对投标文件的补充、修改的内容应当按采购文件要求的签署、盖章、密封后，作为投标文件的组成部分。并按照采购文件规定密封和标记的要求提交，并在投标文件密封袋上标明“补充、修改”字样。</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投标文件一经递交不予退还。</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7"/>
        <w:numPr>
          <w:ilvl w:val="0"/>
          <w:numId w:val="112"/>
        </w:numPr>
        <w:spacing w:before="0" w:after="0" w:line="360" w:lineRule="auto"/>
        <w:jc w:val="center"/>
        <w:rPr>
          <w:rFonts w:ascii="宋体" w:hAnsi="宋体" w:cs="宋体"/>
          <w:color w:val="auto"/>
          <w:highlight w:val="none"/>
        </w:rPr>
      </w:pPr>
      <w:bookmarkStart w:id="768" w:name="_Toc17786"/>
      <w:r>
        <w:rPr>
          <w:rFonts w:hint="eastAsia" w:ascii="宋体" w:hAnsi="宋体" w:cs="宋体"/>
          <w:color w:val="auto"/>
          <w:highlight w:val="none"/>
        </w:rPr>
        <w:t>开标与评标</w:t>
      </w:r>
      <w:bookmarkEnd w:id="768"/>
    </w:p>
    <w:p>
      <w:pPr>
        <w:pStyle w:val="8"/>
        <w:widowControl w:val="0"/>
        <w:numPr>
          <w:ilvl w:val="0"/>
          <w:numId w:val="113"/>
        </w:numPr>
        <w:overflowPunct w:val="0"/>
        <w:rPr>
          <w:rFonts w:ascii="宋体" w:hAnsi="宋体" w:cs="宋体"/>
          <w:color w:val="auto"/>
          <w:sz w:val="21"/>
          <w:szCs w:val="21"/>
          <w:highlight w:val="none"/>
        </w:rPr>
      </w:pPr>
      <w:bookmarkStart w:id="769" w:name="_Toc26995"/>
      <w:r>
        <w:rPr>
          <w:rFonts w:hint="eastAsia" w:ascii="宋体" w:hAnsi="宋体" w:cs="宋体"/>
          <w:color w:val="auto"/>
          <w:sz w:val="21"/>
          <w:szCs w:val="21"/>
          <w:highlight w:val="none"/>
        </w:rPr>
        <w:t>开标</w:t>
      </w:r>
      <w:bookmarkEnd w:id="769"/>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采购代理机构按本采购文件所规定的时间和地点公开开标，并邀请所有投标人代表参加。</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开标程序：</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开标会由采购代理机构主持，投标人的法定代表人或其授权代表携带有效身份证明准时参加开标会并签名报到。</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开标时，由投标人或者其推选的代表检查投标文件的密封情况；经确认无误后，由采购人或者采购代理机构工作人员当众拆封，宣布投标人名称、投标价格和采购文件规定的需要宣布的其他内容；</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投标人未参加开标的，视同认可开标结果。</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合格投标人不足3家的，不得开标；</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70" w:name="_Toc27521"/>
      <w:r>
        <w:rPr>
          <w:rFonts w:hint="eastAsia" w:ascii="宋体" w:hAnsi="宋体" w:cs="宋体"/>
          <w:color w:val="auto"/>
          <w:sz w:val="21"/>
          <w:szCs w:val="21"/>
          <w:highlight w:val="none"/>
        </w:rPr>
        <w:t>评标委员会及评标方法</w:t>
      </w:r>
      <w:bookmarkEnd w:id="770"/>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依法组成评标委员会，评标委员会由采购人和有关技术、经济等方面的专家组成，成员人数为五人或五人以上单数，其中技术、经济等方面的专家不少于成员总数的三分之二，并负责评标工作。</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评审方法：本次采购的评审方法采用综合评分法。</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定标原则：在最大限度满足采购文件实质性要求前提下，按照采购文件规定的各项评价因素进行量化打分，以评标总得分最高的投标人作为中标候选人或中标人。</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评标委员会和采购人在评审过程中有权核对投标文件中相关材料的原件，投标人在接到通知后应在评标委员会规定的时间内提交原件核查。</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71" w:name="_Toc27610"/>
      <w:r>
        <w:rPr>
          <w:rFonts w:hint="eastAsia" w:ascii="宋体" w:hAnsi="宋体" w:cs="宋体"/>
          <w:color w:val="auto"/>
          <w:sz w:val="21"/>
          <w:szCs w:val="21"/>
          <w:highlight w:val="none"/>
        </w:rPr>
        <w:t>评审原则及评标过程的保密</w:t>
      </w:r>
      <w:bookmarkEnd w:id="771"/>
    </w:p>
    <w:p>
      <w:pPr>
        <w:pStyle w:val="46"/>
        <w:widowControl w:val="0"/>
        <w:numPr>
          <w:ilvl w:val="0"/>
          <w:numId w:val="114"/>
        </w:numPr>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评审的基本原则：评标委员会将依据采购文件的规定，遵循“公开、公平、公正、择优、信用”的原则进行评审工作。</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任何单位和个人不得非法干预、影响评标的过程和结果。</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72" w:name="_Toc9714"/>
      <w:bookmarkStart w:id="773" w:name="_Toc7361"/>
      <w:r>
        <w:rPr>
          <w:rFonts w:hint="eastAsia" w:ascii="宋体" w:hAnsi="宋体" w:cs="宋体"/>
          <w:color w:val="auto"/>
          <w:sz w:val="21"/>
          <w:szCs w:val="21"/>
          <w:highlight w:val="none"/>
        </w:rPr>
        <w:t>评标程序</w:t>
      </w:r>
      <w:bookmarkEnd w:id="772"/>
    </w:p>
    <w:p>
      <w:pPr>
        <w:widowControl w:val="0"/>
        <w:numPr>
          <w:ilvl w:val="1"/>
          <w:numId w:val="113"/>
        </w:numPr>
        <w:overflowPunct w:val="0"/>
        <w:rPr>
          <w:rFonts w:ascii="宋体" w:hAnsi="宋体" w:cs="宋体"/>
          <w:b/>
          <w:bCs/>
          <w:color w:val="auto"/>
          <w:szCs w:val="21"/>
          <w:highlight w:val="none"/>
        </w:rPr>
      </w:pPr>
      <w:r>
        <w:rPr>
          <w:rFonts w:hint="eastAsia" w:ascii="宋体" w:hAnsi="宋体" w:cs="宋体"/>
          <w:b/>
          <w:bCs/>
          <w:color w:val="auto"/>
          <w:szCs w:val="21"/>
          <w:highlight w:val="none"/>
        </w:rPr>
        <w:t>资格性、符合性审查</w:t>
      </w:r>
    </w:p>
    <w:p>
      <w:pPr>
        <w:widowControl w:val="0"/>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公开采购项目开标结束后，评标委员会根据《资格性、符合性审查表》将依法对投标人进行资格性、符合性审查。投标人必须严格按照《资格性、符合性审查表》的评审内容的要求如实提供证明材料并应加盖投标人公章，对缺漏或不符合项将直接导致无效投标。合格投标人不足3家的，不得评标。未通过资格性、符合性审查的投标人不进入</w:t>
      </w:r>
      <w:r>
        <w:rPr>
          <w:rFonts w:hint="eastAsia" w:hAnsi="宋体" w:cs="宋体"/>
          <w:color w:val="auto"/>
          <w:szCs w:val="21"/>
          <w:highlight w:val="none"/>
        </w:rPr>
        <w:t>评标阶段</w:t>
      </w:r>
      <w:r>
        <w:rPr>
          <w:rFonts w:hint="eastAsia" w:ascii="宋体" w:hAnsi="宋体" w:cs="宋体"/>
          <w:color w:val="auto"/>
          <w:szCs w:val="21"/>
          <w:highlight w:val="none"/>
        </w:rPr>
        <w:t>的评审。</w:t>
      </w:r>
    </w:p>
    <w:p>
      <w:pPr>
        <w:jc w:val="center"/>
        <w:rPr>
          <w:b/>
          <w:bCs/>
          <w:color w:val="auto"/>
          <w:highlight w:val="none"/>
        </w:rPr>
      </w:pPr>
      <w:r>
        <w:rPr>
          <w:b/>
          <w:bCs/>
          <w:color w:val="auto"/>
          <w:highlight w:val="none"/>
        </w:rPr>
        <w:t>《资格性</w:t>
      </w:r>
      <w:r>
        <w:rPr>
          <w:rFonts w:hint="eastAsia"/>
          <w:b/>
          <w:bCs/>
          <w:color w:val="auto"/>
          <w:highlight w:val="none"/>
        </w:rPr>
        <w:t>、符合性</w:t>
      </w:r>
      <w:r>
        <w:rPr>
          <w:b/>
          <w:bCs/>
          <w:color w:val="auto"/>
          <w:highlight w:val="none"/>
        </w:rPr>
        <w:t>审查表》</w:t>
      </w:r>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restart"/>
            <w:tcBorders>
              <w:top w:val="single" w:color="auto" w:sz="4" w:space="0"/>
              <w:left w:val="single" w:color="auto" w:sz="4" w:space="0"/>
              <w:right w:val="single" w:color="auto" w:sz="4" w:space="0"/>
              <w:tl2br w:val="nil"/>
              <w:tr2bl w:val="nil"/>
            </w:tcBorders>
            <w:vAlign w:val="center"/>
          </w:tcPr>
          <w:p>
            <w:pPr>
              <w:numPr>
                <w:ilvl w:val="0"/>
                <w:numId w:val="117"/>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1）投标人须为在中华人民共和国境内登记注册的具有独立承担民事责任能力的法人或其他组织【提供《营业执照》复印件（加盖公章）或《事业单位法人证书》复印件（加盖公章）或其他主体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（2）参加采购活动前三年内，在经营活动中没有重大违法记录（须提供书面声明）；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（3）投标人的单位负责人为同一人或者存在直接控股、管理关系的不同投标人，不得参加同一合同项下的采购活动；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（4）未被列入“信用中国”网站(www.creditchina.gov.cn )“记录失信被执行人或重大税收违法失信主体或政府采购严重违法失信行为”记录名单。以代理机构于投标截止日当天在“信用中国”网站查询结果为准，如相关失信记录已失效，投标人需提供相关证明资料；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ascii="宋体" w:hAnsi="宋体" w:cs="宋体"/>
                <w:color w:val="auto"/>
                <w:szCs w:val="21"/>
                <w:highlight w:val="none"/>
              </w:rPr>
            </w:pPr>
            <w:r>
              <w:rPr>
                <w:rFonts w:hint="eastAsia" w:ascii="宋体" w:hAnsi="宋体"/>
                <w:color w:val="auto"/>
                <w:szCs w:val="21"/>
                <w:highlight w:val="none"/>
              </w:rPr>
              <w:t>（5）投标人未被列入东实环境及下属企业相关领域黑名单。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bottom w:val="single" w:color="auto" w:sz="4" w:space="0"/>
              <w:right w:val="single" w:color="auto" w:sz="4" w:space="0"/>
              <w:tl2br w:val="nil"/>
              <w:tr2bl w:val="nil"/>
            </w:tcBorders>
            <w:vAlign w:val="center"/>
          </w:tcPr>
          <w:p>
            <w:pP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（6）符合投标人资格要求中其他要求（如有）。（提供《附件9.相关资质证明文件》中对应证明文件。）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117"/>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投标人按照采购文件要求提交投标保证金；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117"/>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投标文件按照采购文件要求签署盖章；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117"/>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投标总价未超出采购预算或最高限价；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5</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投标文件未含有采购人不能接受的附加条件；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6</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无负偏离标注“★”符号的条款。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7</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rPr>
              <w:t>未出现</w:t>
            </w:r>
            <w:r>
              <w:rPr>
                <w:rFonts w:hint="eastAsia" w:ascii="宋体" w:hAnsi="宋体" w:cs="宋体"/>
                <w:color w:val="auto"/>
                <w:szCs w:val="21"/>
                <w:highlight w:val="none"/>
                <w:lang w:bidi="ar"/>
              </w:rPr>
              <w:t>法律、法规和采购文件规定的其他无效情形。</w:t>
            </w:r>
          </w:p>
        </w:tc>
      </w:tr>
      <w:bookmarkEnd w:id="773"/>
    </w:tbl>
    <w:p>
      <w:pPr>
        <w:widowControl w:val="0"/>
        <w:overflowPunct w:val="0"/>
        <w:ind w:firstLine="420" w:firstLineChars="200"/>
        <w:rPr>
          <w:rFonts w:ascii="宋体" w:hAnsi="宋体"/>
          <w:color w:val="auto"/>
          <w:szCs w:val="21"/>
          <w:highlight w:val="none"/>
        </w:rPr>
      </w:pPr>
      <w:r>
        <w:rPr>
          <w:rFonts w:hint="eastAsia" w:ascii="宋体" w:hAnsi="宋体"/>
          <w:color w:val="auto"/>
          <w:szCs w:val="21"/>
          <w:highlight w:val="none"/>
        </w:rPr>
        <w:t>以上资格性、符合性审查中带有不合格分项的投标文件，将作无效标处理。经评标委员会确认的无效投标文件，采购人和采购代理机构将予以拒绝，并且不允许通过修正或撤消其不符合要求的差异，使之成为具有符合性的投标文件。经评标委员会资格性、符合性审查确认具有有效投标文件的投标人不足三家时将重新组织采购。</w:t>
      </w:r>
    </w:p>
    <w:p>
      <w:pPr>
        <w:widowControl w:val="0"/>
        <w:numPr>
          <w:ilvl w:val="1"/>
          <w:numId w:val="113"/>
        </w:numPr>
        <w:overflowPunct w:val="0"/>
        <w:rPr>
          <w:rFonts w:ascii="宋体" w:hAnsi="宋体" w:cs="宋体"/>
          <w:b/>
          <w:bCs/>
          <w:color w:val="auto"/>
          <w:szCs w:val="21"/>
          <w:highlight w:val="none"/>
        </w:rPr>
      </w:pPr>
      <w:r>
        <w:rPr>
          <w:rFonts w:hint="eastAsia" w:ascii="宋体" w:hAnsi="宋体" w:cs="宋体"/>
          <w:b/>
          <w:bCs/>
          <w:color w:val="auto"/>
          <w:szCs w:val="21"/>
          <w:highlight w:val="none"/>
        </w:rPr>
        <w:t>投标文件报价出现前后不一致的，评标委员会按照下列规定修正：</w:t>
      </w:r>
    </w:p>
    <w:p>
      <w:pPr>
        <w:widowControl w:val="0"/>
        <w:numPr>
          <w:ilvl w:val="0"/>
          <w:numId w:val="118"/>
        </w:numPr>
        <w:overflowPunct w:val="0"/>
        <w:rPr>
          <w:rFonts w:ascii="宋体" w:hAnsi="宋体" w:cs="宋体"/>
          <w:color w:val="auto"/>
          <w:szCs w:val="21"/>
          <w:highlight w:val="none"/>
        </w:rPr>
      </w:pPr>
      <w:r>
        <w:rPr>
          <w:rFonts w:hint="eastAsia" w:ascii="宋体" w:hAnsi="宋体" w:cs="宋体"/>
          <w:color w:val="auto"/>
          <w:szCs w:val="21"/>
          <w:highlight w:val="none"/>
        </w:rPr>
        <w:t>投标文件中开标一览表（报价表）内容与投标文件中相应内容不一致的，以开标一览表（报价表）为准；</w:t>
      </w:r>
    </w:p>
    <w:p>
      <w:pPr>
        <w:widowControl w:val="0"/>
        <w:numPr>
          <w:ilvl w:val="0"/>
          <w:numId w:val="118"/>
        </w:numPr>
        <w:overflowPunct w:val="0"/>
        <w:rPr>
          <w:rFonts w:ascii="宋体" w:hAnsi="宋体" w:cs="宋体"/>
          <w:color w:val="auto"/>
          <w:szCs w:val="21"/>
          <w:highlight w:val="none"/>
        </w:rPr>
      </w:pPr>
      <w:r>
        <w:rPr>
          <w:rFonts w:hint="eastAsia" w:ascii="宋体" w:hAnsi="宋体" w:cs="宋体"/>
          <w:color w:val="auto"/>
          <w:szCs w:val="21"/>
          <w:highlight w:val="none"/>
        </w:rPr>
        <w:t>大写金额和小写金额不一致的，以大写金额为准；</w:t>
      </w:r>
    </w:p>
    <w:p>
      <w:pPr>
        <w:widowControl w:val="0"/>
        <w:numPr>
          <w:ilvl w:val="0"/>
          <w:numId w:val="118"/>
        </w:numPr>
        <w:overflowPunct w:val="0"/>
        <w:rPr>
          <w:rFonts w:ascii="宋体" w:hAnsi="宋体" w:cs="宋体"/>
          <w:color w:val="auto"/>
          <w:szCs w:val="21"/>
          <w:highlight w:val="none"/>
        </w:rPr>
      </w:pPr>
      <w:r>
        <w:rPr>
          <w:rFonts w:hint="eastAsia" w:ascii="宋体" w:hAnsi="宋体" w:cs="宋体"/>
          <w:color w:val="auto"/>
          <w:szCs w:val="21"/>
          <w:highlight w:val="none"/>
        </w:rPr>
        <w:t>单价金额小数点或者百分比有明显错位的，以开标一览表的总价为准，并修改单价；</w:t>
      </w:r>
    </w:p>
    <w:p>
      <w:pPr>
        <w:widowControl w:val="0"/>
        <w:numPr>
          <w:ilvl w:val="0"/>
          <w:numId w:val="118"/>
        </w:numPr>
        <w:overflowPunct w:val="0"/>
        <w:rPr>
          <w:rFonts w:ascii="宋体" w:hAnsi="宋体" w:cs="宋体"/>
          <w:color w:val="auto"/>
          <w:szCs w:val="21"/>
          <w:highlight w:val="none"/>
        </w:rPr>
      </w:pPr>
      <w:r>
        <w:rPr>
          <w:rFonts w:hint="eastAsia" w:ascii="宋体" w:hAnsi="宋体" w:cs="宋体"/>
          <w:color w:val="auto"/>
          <w:szCs w:val="21"/>
          <w:highlight w:val="none"/>
        </w:rPr>
        <w:t>总价金额与按单价汇总金额不一致的，以单价金额计算结果为准。</w:t>
      </w:r>
    </w:p>
    <w:p>
      <w:pPr>
        <w:widowControl w:val="0"/>
        <w:numPr>
          <w:ilvl w:val="0"/>
          <w:numId w:val="118"/>
        </w:numPr>
        <w:overflowPunct w:val="0"/>
        <w:rPr>
          <w:rFonts w:ascii="宋体" w:hAnsi="宋体" w:cs="宋体"/>
          <w:color w:val="auto"/>
          <w:szCs w:val="21"/>
          <w:highlight w:val="none"/>
        </w:rPr>
      </w:pPr>
      <w:r>
        <w:rPr>
          <w:rFonts w:hint="eastAsia" w:ascii="宋体" w:hAnsi="宋体" w:cs="宋体"/>
          <w:color w:val="auto"/>
          <w:szCs w:val="21"/>
          <w:highlight w:val="none"/>
        </w:rPr>
        <w:t>同时出现两种以上不一致的，按照前款规定的顺序修正。修正后的报价按照经投标人确认后产生约束力，投标人不确认的，其投标无效。</w:t>
      </w:r>
    </w:p>
    <w:p>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26.3  评标委员会认为投标人的报价明显低于其他通过符合性审查投标人的报价，有可能影响产品质量或者不能诚信履约的，应当要求其在评标现场合理的时间内提供书面说明（以现场通知时间为准），必要时提交相关证明材料；投标人不能证明其报价合理性的，评标委员会应当将其作为无效投标处理。</w:t>
      </w:r>
    </w:p>
    <w:p>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26.4  对于投标文件中不构成实质性偏差的不正规、不一致或不规则，评标委员会可以接受，但这种接受不能损害或影响任何投标人的相对排序。</w:t>
      </w:r>
    </w:p>
    <w:p>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26.5  在详细评标之前，评标委员会要审查每份投标文件是否实质上响应了采购文件的要求。实质上响应的投标应该是与采购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Style w:val="2"/>
        <w:rPr>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74" w:name="_Toc6703"/>
      <w:r>
        <w:rPr>
          <w:rFonts w:hint="eastAsia" w:ascii="宋体" w:hAnsi="宋体" w:cs="宋体"/>
          <w:color w:val="auto"/>
          <w:sz w:val="21"/>
          <w:szCs w:val="21"/>
          <w:highlight w:val="none"/>
        </w:rPr>
        <w:t>商务、技术、价格评审（具体评审项目详见投标资料表）</w:t>
      </w:r>
      <w:bookmarkEnd w:id="774"/>
    </w:p>
    <w:p>
      <w:pPr>
        <w:pStyle w:val="46"/>
        <w:widowControl w:val="0"/>
        <w:numPr>
          <w:ilvl w:val="0"/>
          <w:numId w:val="11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 xml:space="preserve">对通过资格性、符合性审查的有效供应商方有资格进入综合评审。采购文件中要求投标人提供的相关资质证书证明材料因国家政策变动导致新旧证书名称不一致，旧证书未取消且新旧证书具有同等效力的，投标人提供新证书与提供在有效期内的旧证书给予同等认可。 </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评标委员会对通过资格性、符合性审查的投标文件进行详细评审。评标委员会对每一投标文件进行详细的商务评审、技术评审。按照评审程序的规定和依据评分标准，各位评委就每个投标人的技术、商务状况及其对采购文件要求的响应情况进行评议和比较，评出其技术评分和商务评分。根据采购文件规定评出得分，将价格得分、商务得分、技术得分相加得出最终评标得分。</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采用综合评分法的，评标结果按评审后得分由高到低顺序排列。综合得分相同的，按价格评分由高到低顺序排列。综合</w:t>
      </w:r>
      <w:r>
        <w:rPr>
          <w:rFonts w:hint="eastAsia" w:ascii="宋体" w:hAnsi="宋体"/>
          <w:color w:val="auto"/>
          <w:szCs w:val="21"/>
          <w:highlight w:val="none"/>
        </w:rPr>
        <w:t>得分相同且价格评分相同的，按商务评分由高到低顺序排列，得分高的排前，得分低的排后；按上述环节依然存在同分情形而不能确认排名顺序时，由评标委员会进行投票，得票多的排名在先。当第一轮投票结果为投标人得票数相同时，再次进行投票，如此类推，直到能确定排序次序为止</w:t>
      </w:r>
      <w:r>
        <w:rPr>
          <w:rFonts w:hint="eastAsia" w:ascii="宋体" w:hAnsi="宋体" w:cs="宋体"/>
          <w:color w:val="auto"/>
          <w:szCs w:val="21"/>
          <w:highlight w:val="none"/>
        </w:rPr>
        <w:t>。</w:t>
      </w:r>
    </w:p>
    <w:p>
      <w:pPr>
        <w:widowControl w:val="0"/>
        <w:tabs>
          <w:tab w:val="left" w:pos="907"/>
        </w:tabs>
        <w:adjustRightInd/>
        <w:snapToGrid/>
        <w:ind w:left="567"/>
        <w:jc w:val="both"/>
        <w:rPr>
          <w:rFonts w:ascii="宋体" w:hAnsi="宋体" w:cs="宋体"/>
          <w:color w:val="auto"/>
          <w:szCs w:val="21"/>
          <w:highlight w:val="none"/>
        </w:rPr>
      </w:pPr>
    </w:p>
    <w:p>
      <w:pPr>
        <w:pStyle w:val="8"/>
        <w:widowControl w:val="0"/>
        <w:numPr>
          <w:ilvl w:val="0"/>
          <w:numId w:val="113"/>
        </w:numPr>
        <w:overflowPunct w:val="0"/>
        <w:rPr>
          <w:rFonts w:ascii="宋体" w:hAnsi="宋体" w:cs="宋体"/>
          <w:color w:val="auto"/>
          <w:sz w:val="21"/>
          <w:szCs w:val="21"/>
          <w:highlight w:val="none"/>
        </w:rPr>
      </w:pPr>
      <w:bookmarkStart w:id="775" w:name="_Toc316375620"/>
      <w:bookmarkStart w:id="776" w:name="_Toc382049120"/>
      <w:bookmarkStart w:id="777" w:name="_Toc6685"/>
      <w:bookmarkStart w:id="778" w:name="_Toc20328"/>
      <w:r>
        <w:rPr>
          <w:rFonts w:hint="eastAsia" w:ascii="宋体" w:hAnsi="宋体" w:cs="宋体"/>
          <w:color w:val="auto"/>
          <w:sz w:val="21"/>
          <w:szCs w:val="21"/>
          <w:highlight w:val="none"/>
        </w:rPr>
        <w:t>纪律和保密</w:t>
      </w:r>
      <w:bookmarkEnd w:id="775"/>
      <w:r>
        <w:rPr>
          <w:rFonts w:hint="eastAsia" w:ascii="宋体" w:hAnsi="宋体" w:cs="宋体"/>
          <w:color w:val="auto"/>
          <w:sz w:val="21"/>
          <w:szCs w:val="21"/>
          <w:highlight w:val="none"/>
        </w:rPr>
        <w:t>事项</w:t>
      </w:r>
      <w:bookmarkEnd w:id="776"/>
      <w:bookmarkEnd w:id="777"/>
      <w:bookmarkEnd w:id="778"/>
    </w:p>
    <w:p>
      <w:pPr>
        <w:pStyle w:val="46"/>
        <w:widowControl w:val="0"/>
        <w:numPr>
          <w:ilvl w:val="0"/>
          <w:numId w:val="11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投标人不得串通作弊，以不正当的手段妨碍、排挤其他投标人，扰乱采购市场，破坏公平竞争原则。否则将按相关法律规定严肃处理。</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获得本采购文件的投标人，应对文件进行保密，不得用作本次投标以外的任何用途。开标后，投标人应归还采购文件中要求保密的文件和资料。</w:t>
      </w:r>
    </w:p>
    <w:p>
      <w:pPr>
        <w:rPr>
          <w:rFonts w:ascii="宋体" w:hAnsi="宋体" w:cs="宋体"/>
          <w:color w:val="auto"/>
          <w:highlight w:val="none"/>
        </w:rPr>
      </w:pPr>
    </w:p>
    <w:p>
      <w:pPr>
        <w:pStyle w:val="7"/>
        <w:numPr>
          <w:ilvl w:val="0"/>
          <w:numId w:val="112"/>
        </w:numPr>
        <w:spacing w:before="0" w:after="0" w:line="360" w:lineRule="auto"/>
        <w:jc w:val="center"/>
        <w:rPr>
          <w:rFonts w:ascii="宋体" w:hAnsi="宋体" w:cs="宋体"/>
          <w:color w:val="auto"/>
          <w:highlight w:val="none"/>
        </w:rPr>
      </w:pPr>
      <w:bookmarkStart w:id="779" w:name="_Toc30673"/>
      <w:r>
        <w:rPr>
          <w:rFonts w:hint="eastAsia" w:ascii="宋体" w:hAnsi="宋体" w:cs="宋体"/>
          <w:color w:val="auto"/>
          <w:highlight w:val="none"/>
        </w:rPr>
        <w:t>授予合同</w:t>
      </w:r>
      <w:bookmarkEnd w:id="779"/>
    </w:p>
    <w:p>
      <w:pPr>
        <w:pStyle w:val="8"/>
        <w:widowControl w:val="0"/>
        <w:numPr>
          <w:ilvl w:val="0"/>
          <w:numId w:val="113"/>
        </w:numPr>
        <w:overflowPunct w:val="0"/>
        <w:rPr>
          <w:rFonts w:ascii="宋体" w:hAnsi="宋体" w:cs="宋体"/>
          <w:color w:val="auto"/>
          <w:sz w:val="21"/>
          <w:szCs w:val="21"/>
          <w:highlight w:val="none"/>
        </w:rPr>
      </w:pPr>
      <w:bookmarkStart w:id="780" w:name="_Toc508284011"/>
      <w:bookmarkStart w:id="781" w:name="_Toc11245"/>
      <w:r>
        <w:rPr>
          <w:rFonts w:hint="eastAsia" w:ascii="宋体" w:hAnsi="宋体" w:cs="宋体"/>
          <w:color w:val="auto"/>
          <w:sz w:val="21"/>
          <w:szCs w:val="21"/>
          <w:highlight w:val="none"/>
        </w:rPr>
        <w:t>合同授予标准</w:t>
      </w:r>
      <w:bookmarkEnd w:id="780"/>
      <w:bookmarkEnd w:id="781"/>
    </w:p>
    <w:p>
      <w:pPr>
        <w:pStyle w:val="46"/>
        <w:widowControl w:val="0"/>
        <w:numPr>
          <w:ilvl w:val="0"/>
          <w:numId w:val="11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根据评标委员会的评审结果，采购人按照评审报告推荐的中标候选人中按顺序依法确定中标人。</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82" w:name="_Toc14051"/>
      <w:bookmarkStart w:id="783" w:name="_Toc508284013"/>
      <w:r>
        <w:rPr>
          <w:rFonts w:hint="eastAsia" w:ascii="宋体" w:hAnsi="宋体" w:cs="宋体"/>
          <w:color w:val="auto"/>
          <w:sz w:val="21"/>
          <w:szCs w:val="21"/>
          <w:highlight w:val="none"/>
        </w:rPr>
        <w:t>发布中标结果</w:t>
      </w:r>
      <w:bookmarkEnd w:id="782"/>
      <w:bookmarkEnd w:id="783"/>
    </w:p>
    <w:p>
      <w:pPr>
        <w:pStyle w:val="46"/>
        <w:widowControl w:val="0"/>
        <w:numPr>
          <w:ilvl w:val="0"/>
          <w:numId w:val="11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评标委员会提出评标书面报告和推荐中标意见报采购人确认后，采购代理机构将在指定的信息发布媒体上发布公告。</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中标公告期限为3个日历日。</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《中标通知书》是合同的一个组成部分，《中标通知书》对采购人和中标人均具有同等法律效力。</w:t>
      </w:r>
    </w:p>
    <w:p>
      <w:pPr>
        <w:widowControl w:val="0"/>
        <w:tabs>
          <w:tab w:val="left" w:pos="907"/>
        </w:tabs>
        <w:adjustRightInd/>
        <w:snapToGrid/>
        <w:jc w:val="both"/>
        <w:rPr>
          <w:rFonts w:ascii="宋体" w:hAnsi="宋体" w:cs="宋体"/>
          <w:color w:val="auto"/>
          <w:szCs w:val="21"/>
          <w:highlight w:val="none"/>
        </w:rPr>
      </w:pPr>
    </w:p>
    <w:p>
      <w:pPr>
        <w:pStyle w:val="8"/>
        <w:widowControl w:val="0"/>
        <w:numPr>
          <w:ilvl w:val="0"/>
          <w:numId w:val="113"/>
        </w:numPr>
        <w:overflowPunct w:val="0"/>
        <w:rPr>
          <w:rFonts w:ascii="宋体" w:hAnsi="宋体" w:cs="宋体"/>
          <w:color w:val="auto"/>
          <w:sz w:val="21"/>
          <w:szCs w:val="21"/>
          <w:highlight w:val="none"/>
        </w:rPr>
      </w:pPr>
      <w:bookmarkStart w:id="784" w:name="_Toc13136"/>
      <w:r>
        <w:rPr>
          <w:rFonts w:hint="eastAsia" w:ascii="宋体" w:hAnsi="宋体" w:cs="宋体"/>
          <w:color w:val="auto"/>
          <w:sz w:val="21"/>
          <w:szCs w:val="21"/>
          <w:highlight w:val="none"/>
        </w:rPr>
        <w:t>资格后审</w:t>
      </w:r>
      <w:bookmarkEnd w:id="784"/>
    </w:p>
    <w:p>
      <w:pPr>
        <w:pStyle w:val="46"/>
        <w:widowControl w:val="0"/>
        <w:numPr>
          <w:ilvl w:val="0"/>
          <w:numId w:val="114"/>
        </w:numPr>
        <w:tabs>
          <w:tab w:val="left" w:pos="567"/>
          <w:tab w:val="left" w:pos="907"/>
        </w:tabs>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采购人将有权根据本文件中的要求，对评委会推荐的中标候选人进行资格后审。</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中标候选人须无条件配合资格后审，否则采购人有权取消其中标资格，且投标保证金可不予退还。</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资格后审须提供包括但不限于营业执照、税务登记证和在投标文件中提供的资质证明文件、业绩等重要证明文件的原件进行核对，综合考察中标人的履约能力。如采购人要求还须提供业绩证明的其他材料,中标候选人须配合提供。如授权其分支机构进行项目实施或提供售后服务的，亦应提供其与分支机构关系的法律证明材料。</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如发现中标候选人以他人名义投标或者以其他方式弄虚作假，骗取中标的，采购人有权取消其中标资格，且投标保证金可不予退还；给采购人造成损失的，应依法承担赔偿责任。</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人有权审查中标候选人是否具备履行合同的能力，包括但不限于对其规模、人员、场地、生产能力、供货能力等方面的核实或现场考察。如果审查通过，采购人将把合同授予该中标人；如果审查没有通过，采购人有权取消其中标资格，且投标保证金可不予退还，并依次审查下一名中标候选人是否具备履行合同的能力或重新采购。</w:t>
      </w:r>
    </w:p>
    <w:p>
      <w:pPr>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85" w:name="_Toc27788"/>
      <w:r>
        <w:rPr>
          <w:rFonts w:hint="eastAsia" w:ascii="宋体" w:hAnsi="宋体" w:cs="宋体"/>
          <w:color w:val="auto"/>
          <w:sz w:val="21"/>
          <w:szCs w:val="21"/>
          <w:highlight w:val="none"/>
        </w:rPr>
        <w:t>合同的签订与履行</w:t>
      </w:r>
      <w:bookmarkEnd w:id="785"/>
    </w:p>
    <w:p>
      <w:pPr>
        <w:pStyle w:val="46"/>
        <w:widowControl w:val="0"/>
        <w:numPr>
          <w:ilvl w:val="0"/>
          <w:numId w:val="11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中标人应当自采购人发出中标通知书之日起30日内，按照采购文件和中标人投标文件的规定，与采购人项目实际费用支付主体(采购人下属公司或参股公司)签署书面合同，否则采购人有权取消其中标资格。所签订的合同不得对采购文件确定的事项和中标人投标文件作实质性修改。</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采购人与中标人应当根据合同的约定依法履行合同义务。</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采购合同的履行、违约责任和解决争议的方法等适用《中华人民共和国民法典》。</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中标人在评审结束当天至合同履行结束，若因不可抗力的因素（如国家出台新法律法规等）造成投标人资质的变动，投标人应以纸质版形式通知采购人。若资质变动导致中标人不再具备履行合同资质要求，采购人有权中止合同。</w:t>
      </w:r>
    </w:p>
    <w:p>
      <w:pPr>
        <w:widowControl w:val="0"/>
        <w:tabs>
          <w:tab w:val="left" w:pos="907"/>
        </w:tabs>
        <w:adjustRightInd/>
        <w:snapToGrid/>
        <w:jc w:val="both"/>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86" w:name="_Toc382049124"/>
      <w:bookmarkStart w:id="787" w:name="_Toc29009"/>
      <w:bookmarkStart w:id="788" w:name="_Toc303084277"/>
      <w:bookmarkStart w:id="789" w:name="_Toc25085"/>
      <w:r>
        <w:rPr>
          <w:rFonts w:hint="eastAsia" w:ascii="宋体" w:hAnsi="宋体" w:cs="宋体"/>
          <w:color w:val="auto"/>
          <w:sz w:val="21"/>
          <w:szCs w:val="21"/>
          <w:highlight w:val="none"/>
        </w:rPr>
        <w:t>履约</w:t>
      </w:r>
      <w:bookmarkEnd w:id="786"/>
      <w:bookmarkEnd w:id="787"/>
      <w:bookmarkEnd w:id="788"/>
      <w:r>
        <w:rPr>
          <w:rFonts w:hint="eastAsia" w:ascii="宋体" w:hAnsi="宋体" w:cs="宋体"/>
          <w:color w:val="auto"/>
          <w:sz w:val="21"/>
          <w:szCs w:val="21"/>
          <w:highlight w:val="none"/>
        </w:rPr>
        <w:t>担保</w:t>
      </w:r>
      <w:bookmarkEnd w:id="789"/>
    </w:p>
    <w:p>
      <w:pPr>
        <w:pStyle w:val="46"/>
        <w:widowControl w:val="0"/>
        <w:numPr>
          <w:ilvl w:val="0"/>
          <w:numId w:val="11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中标人在采购（合同签署）时提交履约担保，履约担保金额不超过中标合同金额的10%，如果中标人提交的履约保函的有效期先于合同要求的履约保函有效期到达，中标人应在原提交的履约保函有效期满前15天，无条件办理保函延期手续。否则，视中标人违约，采购人可在保函到期前将保函金额转为现金存入履约保证金账户。</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履约担保期限从合同签订之日起至项目</w:t>
      </w:r>
      <w:r>
        <w:rPr>
          <w:rFonts w:hint="eastAsia" w:ascii="宋体" w:hAnsi="宋体"/>
          <w:color w:val="auto"/>
          <w:szCs w:val="21"/>
          <w:highlight w:val="none"/>
        </w:rPr>
        <w:t>完工</w:t>
      </w:r>
      <w:r>
        <w:rPr>
          <w:rFonts w:hint="eastAsia" w:ascii="宋体" w:hAnsi="宋体" w:cs="宋体"/>
          <w:color w:val="auto"/>
          <w:szCs w:val="21"/>
          <w:highlight w:val="none"/>
        </w:rPr>
        <w:t>验收合格并结算完毕后，经双方签字7天内保持有效。</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履约担保可以采用下列任何一种形式：</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（1）履约保函。如果中标人的履约担保是以银行保函形式提供的，则该银行保函应：</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①保函应由银行支行或以上银行机构开具。</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②保函的格式参考投标文件附件中提供的无条件不可撤销履约保函格式，保函担保期内若项目未能按期竣工，保函必须延期，办理延期手续时在银行方面所产生费用由中标人负责。</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③履约保函必须打印，手写、涂改无效。</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2）履约保证金。可采用电汇、银行汇票等银行转账方式提交，但不可以采用现金方式提交。履约保证金金额为中标价的10%。中标人人必须保证履约保证金以中标人的名称在（合同约定的日期）前提交至采购人指定账户。</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若中标人不能按本采购文件（33.1至33.3）的规定提交履约保证金的，采购人将有权取消中标人的中标资格（采购人可以按照评标委员会提出的中标候选人名单排序依次确定其他中标候选人为中标人，也可以重新采购），投标保证金不予退还，给采购人造成的损失如果超过投标保证金数额的，还应当对超过部分予以赔偿。</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为取得履约担保所需的费用，由中标人承担；若工期延误，履约担保时间延长，延长费用由中标人承担。</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若中标人在合同履行过程中出现项目质量事故、工期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下列任何情况发生时，采购人有权行使享有的担保权利：</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（1）中标人将本项目转让给他人，或者在投标文件中未说明，且未经采购人同意，将中标项目分包给他人的；</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（2）中标人在履行采购合同期间，违反有关法律法规的规定及合同约定的条款，损害了采购人的利益。</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在整个项目验收合格后，中标人向采购人提交退回履约担保的申请，采购人办理履约担保退还手续。</w:t>
      </w:r>
    </w:p>
    <w:p>
      <w:pPr>
        <w:widowControl w:val="0"/>
        <w:tabs>
          <w:tab w:val="left" w:pos="907"/>
        </w:tabs>
        <w:adjustRightInd/>
        <w:snapToGrid/>
        <w:jc w:val="both"/>
        <w:rPr>
          <w:rFonts w:ascii="宋体" w:hAnsi="宋体" w:cs="宋体"/>
          <w:color w:val="auto"/>
          <w:highlight w:val="none"/>
        </w:rPr>
      </w:pPr>
    </w:p>
    <w:p>
      <w:pPr>
        <w:pStyle w:val="8"/>
        <w:widowControl w:val="0"/>
        <w:numPr>
          <w:ilvl w:val="0"/>
          <w:numId w:val="113"/>
        </w:numPr>
        <w:overflowPunct w:val="0"/>
        <w:rPr>
          <w:rFonts w:ascii="宋体" w:hAnsi="宋体" w:cs="宋体"/>
          <w:color w:val="auto"/>
          <w:sz w:val="21"/>
          <w:szCs w:val="21"/>
          <w:highlight w:val="none"/>
        </w:rPr>
      </w:pPr>
      <w:bookmarkStart w:id="790" w:name="_Toc22569"/>
      <w:r>
        <w:rPr>
          <w:rFonts w:hint="eastAsia" w:ascii="宋体" w:hAnsi="宋体" w:cs="宋体"/>
          <w:color w:val="auto"/>
          <w:sz w:val="21"/>
          <w:szCs w:val="21"/>
          <w:highlight w:val="none"/>
        </w:rPr>
        <w:t>预付款保函（适用于预付款支付）</w:t>
      </w:r>
      <w:bookmarkEnd w:id="790"/>
    </w:p>
    <w:p>
      <w:pPr>
        <w:pStyle w:val="46"/>
        <w:widowControl w:val="0"/>
        <w:numPr>
          <w:ilvl w:val="0"/>
          <w:numId w:val="114"/>
        </w:numPr>
        <w:tabs>
          <w:tab w:val="left" w:pos="567"/>
          <w:tab w:val="left" w:pos="907"/>
        </w:tabs>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在签订合同时，中标人应按本须知规定向采购人提交一份合同预付款等额有效的预付款保函。预付款保函有效期从保函开立之日起至采购人向中标人抵扣完所有预付款之日止。如果中标人提交的预付款保函的有效期先于采购文件要求的预付款保函有效期到达，中标人应在原提交的预付款保函有效期前15日内，无条件办理预付款保函延期手续。否则视为中标人违约，采购人可在预付款保函到期前将未抵扣的预付款转为现金存入采购人账户</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预付款保函应：</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（1）由东莞市行政区域内的银行支行及以上银行机构开具。</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（2）必须打印，手写、涂改无效</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若中标人不能按本须知（34.1至34.2）的规定执行，采购人将不予支付预付款。</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如果中标人提交的预付款保函的有效期先于采购文件要求的预付款保函有效期到达，中标人应在原提交的预付款保函有效期满前15天内，无条件办理预付款保函延期手续。否则视为中标人违约，采购人可在预付款保函到期前将未抵扣的预付款金额转为现金存入采购人账户。</w:t>
      </w:r>
    </w:p>
    <w:p>
      <w:pPr>
        <w:rPr>
          <w:rFonts w:ascii="宋体" w:hAnsi="宋体" w:cs="宋体"/>
          <w:color w:val="auto"/>
          <w:highlight w:val="none"/>
        </w:rPr>
      </w:pPr>
    </w:p>
    <w:p>
      <w:pPr>
        <w:pStyle w:val="7"/>
        <w:numPr>
          <w:ilvl w:val="0"/>
          <w:numId w:val="112"/>
        </w:numPr>
        <w:spacing w:before="0" w:after="0" w:line="360" w:lineRule="auto"/>
        <w:jc w:val="center"/>
        <w:rPr>
          <w:rFonts w:ascii="宋体" w:hAnsi="宋体" w:cs="宋体"/>
          <w:color w:val="auto"/>
          <w:highlight w:val="none"/>
        </w:rPr>
      </w:pPr>
      <w:bookmarkStart w:id="791" w:name="_Toc1114"/>
      <w:r>
        <w:rPr>
          <w:rFonts w:hint="eastAsia" w:ascii="宋体" w:hAnsi="宋体" w:cs="宋体"/>
          <w:color w:val="auto"/>
          <w:highlight w:val="none"/>
        </w:rPr>
        <w:t>异议</w:t>
      </w:r>
      <w:bookmarkEnd w:id="791"/>
    </w:p>
    <w:p>
      <w:pPr>
        <w:pStyle w:val="8"/>
        <w:widowControl w:val="0"/>
        <w:numPr>
          <w:ilvl w:val="0"/>
          <w:numId w:val="113"/>
        </w:numPr>
        <w:overflowPunct w:val="0"/>
        <w:rPr>
          <w:rFonts w:ascii="宋体" w:hAnsi="宋体" w:cs="宋体"/>
          <w:color w:val="auto"/>
          <w:sz w:val="21"/>
          <w:szCs w:val="21"/>
          <w:highlight w:val="none"/>
        </w:rPr>
      </w:pPr>
      <w:bookmarkStart w:id="792" w:name="_Toc23836"/>
      <w:r>
        <w:rPr>
          <w:rFonts w:hint="eastAsia" w:ascii="宋体" w:hAnsi="宋体" w:cs="宋体"/>
          <w:color w:val="auto"/>
          <w:sz w:val="21"/>
          <w:szCs w:val="21"/>
          <w:highlight w:val="none"/>
        </w:rPr>
        <w:t>异议</w:t>
      </w:r>
      <w:bookmarkEnd w:id="792"/>
    </w:p>
    <w:p>
      <w:pPr>
        <w:pStyle w:val="46"/>
        <w:widowControl w:val="0"/>
        <w:numPr>
          <w:ilvl w:val="0"/>
          <w:numId w:val="11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lang w:val="zh-CN"/>
        </w:rPr>
        <w:t>采购文件的异议</w:t>
      </w:r>
      <w:r>
        <w:rPr>
          <w:rFonts w:hint="eastAsia" w:ascii="宋体" w:hAnsi="宋体" w:cs="宋体"/>
          <w:color w:val="auto"/>
          <w:szCs w:val="21"/>
          <w:highlight w:val="none"/>
        </w:rPr>
        <w:t xml:space="preserve">  </w:t>
      </w:r>
    </w:p>
    <w:p>
      <w:pPr>
        <w:widowControl w:val="0"/>
        <w:tabs>
          <w:tab w:val="left" w:pos="907"/>
        </w:tabs>
        <w:adjustRightInd/>
        <w:snapToGrid/>
        <w:ind w:firstLine="420" w:firstLineChars="200"/>
        <w:jc w:val="both"/>
        <w:rPr>
          <w:rFonts w:ascii="宋体" w:hAnsi="宋体" w:cs="宋体"/>
          <w:color w:val="auto"/>
          <w:szCs w:val="21"/>
          <w:highlight w:val="none"/>
        </w:rPr>
      </w:pPr>
      <w:r>
        <w:rPr>
          <w:rFonts w:hint="eastAsia" w:ascii="宋体" w:hAnsi="宋体" w:cs="宋体"/>
          <w:bCs/>
          <w:color w:val="auto"/>
          <w:kern w:val="2"/>
          <w:szCs w:val="21"/>
          <w:highlight w:val="none"/>
          <w:lang w:val="zh-CN"/>
        </w:rPr>
        <w:t>投标人或者其他利害关系人对采购文件有异议的，应当在投标截止时间10日前</w:t>
      </w:r>
      <w:r>
        <w:rPr>
          <w:rFonts w:hint="eastAsia" w:ascii="宋体" w:hAnsi="宋体" w:cs="宋体"/>
          <w:color w:val="auto"/>
          <w:kern w:val="2"/>
          <w:szCs w:val="21"/>
          <w:highlight w:val="none"/>
          <w:lang w:val="zh-CN"/>
        </w:rPr>
        <w:t>以书面形式向采购代理机构提出，并将材料原件送达采购代理机构，逾期则视为对采购文件所有内容无异议。</w:t>
      </w:r>
      <w:r>
        <w:rPr>
          <w:rFonts w:hint="eastAsia" w:ascii="宋体" w:hAnsi="宋体" w:cs="宋体"/>
          <w:bCs/>
          <w:color w:val="auto"/>
          <w:kern w:val="2"/>
          <w:szCs w:val="21"/>
          <w:highlight w:val="none"/>
          <w:lang w:val="zh-CN"/>
        </w:rPr>
        <w:t>异议</w:t>
      </w:r>
      <w:r>
        <w:rPr>
          <w:rFonts w:hint="eastAsia" w:ascii="宋体" w:hAnsi="宋体" w:cs="宋体"/>
          <w:color w:val="auto"/>
          <w:kern w:val="2"/>
          <w:szCs w:val="21"/>
          <w:highlight w:val="none"/>
          <w:lang w:val="zh-CN"/>
        </w:rPr>
        <w:t>书面材料必须加盖投标人法人公章，并注明联系人、联系电话、联系地址。</w:t>
      </w:r>
      <w:r>
        <w:rPr>
          <w:rFonts w:hint="eastAsia" w:ascii="宋体" w:hAnsi="宋体" w:cs="宋体"/>
          <w:bCs/>
          <w:color w:val="auto"/>
          <w:kern w:val="2"/>
          <w:szCs w:val="21"/>
          <w:highlight w:val="none"/>
          <w:lang w:val="zh-CN"/>
        </w:rPr>
        <w:t>超出</w:t>
      </w:r>
      <w:r>
        <w:rPr>
          <w:rFonts w:hint="eastAsia" w:ascii="宋体" w:hAnsi="宋体" w:cs="宋体"/>
          <w:color w:val="auto"/>
          <w:kern w:val="2"/>
          <w:szCs w:val="21"/>
          <w:highlight w:val="none"/>
          <w:lang w:val="zh-CN"/>
        </w:rPr>
        <w:t>提交接收异议截止时间而</w:t>
      </w:r>
      <w:r>
        <w:rPr>
          <w:rFonts w:hint="eastAsia" w:ascii="宋体" w:hAnsi="宋体" w:cs="宋体"/>
          <w:bCs/>
          <w:color w:val="auto"/>
          <w:kern w:val="2"/>
          <w:szCs w:val="21"/>
          <w:highlight w:val="none"/>
          <w:lang w:val="zh-CN"/>
        </w:rPr>
        <w:t>提出的任何疑问，</w:t>
      </w:r>
      <w:r>
        <w:rPr>
          <w:rFonts w:hint="eastAsia" w:ascii="宋体" w:hAnsi="宋体" w:cs="宋体"/>
          <w:bCs/>
          <w:color w:val="auto"/>
          <w:kern w:val="2"/>
          <w:szCs w:val="21"/>
          <w:highlight w:val="none"/>
        </w:rPr>
        <w:t>采购人或</w:t>
      </w:r>
      <w:r>
        <w:rPr>
          <w:rFonts w:hint="eastAsia" w:ascii="宋体" w:hAnsi="宋体" w:cs="宋体"/>
          <w:bCs/>
          <w:color w:val="auto"/>
          <w:kern w:val="2"/>
          <w:szCs w:val="21"/>
          <w:highlight w:val="none"/>
          <w:lang w:val="zh-CN"/>
        </w:rPr>
        <w:t>采购代理机构可不予答复。</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lang w:val="zh-CN"/>
        </w:rPr>
        <w:t>评标结果异议</w:t>
      </w:r>
      <w:r>
        <w:rPr>
          <w:rFonts w:hint="eastAsia" w:ascii="宋体" w:hAnsi="宋体" w:cs="宋体"/>
          <w:color w:val="auto"/>
          <w:szCs w:val="21"/>
          <w:highlight w:val="none"/>
        </w:rPr>
        <w:t xml:space="preserve">   </w:t>
      </w:r>
    </w:p>
    <w:p>
      <w:pPr>
        <w:widowControl w:val="0"/>
        <w:tabs>
          <w:tab w:val="left" w:pos="907"/>
        </w:tabs>
        <w:adjustRightInd/>
        <w:snapToGrid/>
        <w:ind w:firstLine="420" w:firstLineChars="200"/>
        <w:jc w:val="both"/>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投标人或者其他利害关系人对评标结果有异议的，应当在中标候选人公示期间向采购代理机构以书面的形式提出，并将完整的异议书面材料原件送达采购代理机构，逾期则视为对评标结果无异议。超出提交异议截止时间而提出的任何疑问，采购代理机构可不予答复。</w:t>
      </w:r>
    </w:p>
    <w:p>
      <w:pPr>
        <w:widowControl w:val="0"/>
        <w:tabs>
          <w:tab w:val="left" w:pos="907"/>
        </w:tabs>
        <w:adjustRightInd/>
        <w:snapToGrid/>
        <w:ind w:firstLine="420" w:firstLineChars="200"/>
        <w:jc w:val="both"/>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采购代理机构将拒收未能提供完整异议书面材料的异议，完整的异议书面材料必须同时包含：异议书（加盖法人公章，并注明联系人、联系电话、联系地址）、授权提交异议的法定代表人授权书原件、反映异议人主体资格的营业执照复印件（加盖法人公章）、以及合法来源的证据证明材料。</w:t>
      </w: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以联合体形式参加采购活动的，其异议应当由组成联合体的所有投标人共同提出。</w:t>
      </w:r>
    </w:p>
    <w:p>
      <w:pPr>
        <w:rPr>
          <w:rFonts w:ascii="宋体" w:hAnsi="宋体" w:cs="宋体"/>
          <w:color w:val="auto"/>
          <w:highlight w:val="none"/>
        </w:rPr>
      </w:pPr>
    </w:p>
    <w:p>
      <w:pPr>
        <w:pStyle w:val="7"/>
        <w:numPr>
          <w:ilvl w:val="0"/>
          <w:numId w:val="112"/>
        </w:numPr>
        <w:spacing w:before="0" w:after="0" w:line="360" w:lineRule="auto"/>
        <w:jc w:val="center"/>
        <w:rPr>
          <w:rFonts w:ascii="宋体" w:hAnsi="宋体" w:cs="宋体"/>
          <w:color w:val="auto"/>
          <w:highlight w:val="none"/>
        </w:rPr>
      </w:pPr>
      <w:bookmarkStart w:id="793" w:name="_Toc24199"/>
      <w:r>
        <w:rPr>
          <w:rFonts w:hint="eastAsia" w:ascii="宋体" w:hAnsi="宋体" w:cs="宋体"/>
          <w:color w:val="auto"/>
          <w:highlight w:val="none"/>
        </w:rPr>
        <w:t>其他</w:t>
      </w:r>
      <w:bookmarkEnd w:id="793"/>
    </w:p>
    <w:p>
      <w:pPr>
        <w:pStyle w:val="8"/>
        <w:widowControl w:val="0"/>
        <w:numPr>
          <w:ilvl w:val="0"/>
          <w:numId w:val="113"/>
        </w:numPr>
        <w:overflowPunct w:val="0"/>
        <w:rPr>
          <w:rFonts w:ascii="宋体" w:hAnsi="宋体" w:cs="宋体"/>
          <w:color w:val="auto"/>
          <w:sz w:val="21"/>
          <w:szCs w:val="21"/>
          <w:highlight w:val="none"/>
        </w:rPr>
      </w:pPr>
      <w:bookmarkStart w:id="794" w:name="_Toc3108"/>
      <w:r>
        <w:rPr>
          <w:rFonts w:hint="eastAsia" w:ascii="宋体" w:hAnsi="宋体" w:cs="宋体"/>
          <w:color w:val="auto"/>
          <w:sz w:val="21"/>
          <w:szCs w:val="21"/>
          <w:highlight w:val="none"/>
        </w:rPr>
        <w:t>采购文件的解释权</w:t>
      </w:r>
      <w:bookmarkEnd w:id="794"/>
    </w:p>
    <w:p>
      <w:pPr>
        <w:pStyle w:val="46"/>
        <w:widowControl w:val="0"/>
        <w:numPr>
          <w:ilvl w:val="0"/>
          <w:numId w:val="114"/>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113"/>
        </w:numPr>
        <w:overflowPunct w:val="0"/>
        <w:rPr>
          <w:rFonts w:ascii="宋体" w:hAnsi="宋体" w:cs="宋体"/>
          <w:color w:val="auto"/>
          <w:szCs w:val="21"/>
          <w:highlight w:val="none"/>
        </w:rPr>
      </w:pPr>
      <w:r>
        <w:rPr>
          <w:rFonts w:hint="eastAsia" w:ascii="宋体" w:hAnsi="宋体" w:cs="宋体"/>
          <w:color w:val="auto"/>
          <w:szCs w:val="21"/>
          <w:highlight w:val="none"/>
        </w:rPr>
        <w:t>本采购文件是根据国家有关法律、法规以及采购管理有关规定和参照国际惯例编制，解释权属本采购代理机构。</w:t>
      </w:r>
    </w:p>
    <w:p>
      <w:pPr>
        <w:widowControl w:val="0"/>
        <w:numPr>
          <w:ilvl w:val="1"/>
          <w:numId w:val="114"/>
        </w:numPr>
        <w:tabs>
          <w:tab w:val="left" w:pos="907"/>
        </w:tabs>
        <w:adjustRightInd/>
        <w:snapToGrid/>
        <w:jc w:val="both"/>
        <w:rPr>
          <w:rFonts w:ascii="宋体" w:hAnsi="宋体" w:cs="宋体"/>
          <w:color w:val="auto"/>
          <w:szCs w:val="21"/>
          <w:highlight w:val="none"/>
        </w:rPr>
      </w:pPr>
      <w:r>
        <w:rPr>
          <w:rFonts w:hint="eastAsia" w:ascii="宋体" w:hAnsi="宋体" w:cs="宋体"/>
          <w:color w:val="auto"/>
          <w:szCs w:val="21"/>
          <w:highlight w:val="none"/>
        </w:rPr>
        <w:br w:type="page"/>
      </w:r>
    </w:p>
    <w:p>
      <w:pPr>
        <w:pStyle w:val="6"/>
        <w:spacing w:before="0" w:after="0" w:line="240" w:lineRule="auto"/>
        <w:rPr>
          <w:color w:val="auto"/>
          <w:sz w:val="28"/>
          <w:szCs w:val="28"/>
          <w:highlight w:val="none"/>
        </w:rPr>
      </w:pPr>
      <w:bookmarkStart w:id="795" w:name="_Toc12000"/>
      <w:r>
        <w:rPr>
          <w:rFonts w:hint="eastAsia"/>
          <w:color w:val="auto"/>
          <w:sz w:val="28"/>
          <w:szCs w:val="28"/>
          <w:highlight w:val="none"/>
        </w:rPr>
        <w:t>第五部分  合同条款格式</w:t>
      </w:r>
      <w:bookmarkEnd w:id="795"/>
      <w:bookmarkStart w:id="796" w:name="_Toc15636"/>
    </w:p>
    <w:bookmarkEnd w:id="796"/>
    <w:p>
      <w:pPr>
        <w:rPr>
          <w:color w:val="auto"/>
          <w:highlight w:val="none"/>
          <w:lang w:bidi="zh-CN"/>
        </w:rPr>
      </w:pPr>
      <w:bookmarkStart w:id="797" w:name="_Hlt109815959"/>
      <w:bookmarkEnd w:id="797"/>
    </w:p>
    <w:p>
      <w:pPr>
        <w:widowControl w:val="0"/>
        <w:rPr>
          <w:rFonts w:ascii="宋体" w:hAnsi="宋体" w:cs="Times New Roman"/>
          <w:color w:val="auto"/>
          <w:kern w:val="2"/>
          <w:sz w:val="28"/>
          <w:szCs w:val="28"/>
          <w:highlight w:val="none"/>
        </w:rPr>
      </w:pPr>
      <w:bookmarkStart w:id="798" w:name="_Toc16481"/>
      <w:r>
        <w:rPr>
          <w:rFonts w:hint="eastAsia" w:ascii="宋体" w:hAnsi="宋体" w:cs="Times New Roman"/>
          <w:color w:val="auto"/>
          <w:kern w:val="2"/>
          <w:sz w:val="28"/>
          <w:szCs w:val="28"/>
          <w:highlight w:val="none"/>
        </w:rPr>
        <w:t>甲方合同编号：</w:t>
      </w:r>
    </w:p>
    <w:p>
      <w:pPr>
        <w:widowControl w:val="0"/>
        <w:rPr>
          <w:rFonts w:ascii="宋体" w:hAnsi="宋体" w:cs="Times New Roman"/>
          <w:color w:val="auto"/>
          <w:kern w:val="2"/>
          <w:sz w:val="28"/>
          <w:szCs w:val="28"/>
          <w:highlight w:val="none"/>
        </w:rPr>
      </w:pPr>
      <w:r>
        <w:rPr>
          <w:rFonts w:hint="eastAsia" w:ascii="宋体" w:hAnsi="宋体" w:cs="Times New Roman"/>
          <w:color w:val="auto"/>
          <w:kern w:val="2"/>
          <w:sz w:val="28"/>
          <w:szCs w:val="28"/>
          <w:highlight w:val="none"/>
        </w:rPr>
        <w:t>乙方合同编号：</w:t>
      </w:r>
    </w:p>
    <w:p>
      <w:pPr>
        <w:widowControl w:val="0"/>
        <w:jc w:val="center"/>
        <w:rPr>
          <w:rFonts w:ascii="宋体" w:hAnsi="宋体" w:cs="Times New Roman"/>
          <w:color w:val="auto"/>
          <w:kern w:val="2"/>
          <w:sz w:val="44"/>
          <w:szCs w:val="44"/>
          <w:highlight w:val="none"/>
        </w:rPr>
      </w:pPr>
    </w:p>
    <w:p>
      <w:pPr>
        <w:widowControl w:val="0"/>
        <w:jc w:val="center"/>
        <w:rPr>
          <w:rFonts w:ascii="宋体" w:hAnsi="宋体" w:cs="Times New Roman"/>
          <w:color w:val="auto"/>
          <w:kern w:val="2"/>
          <w:sz w:val="44"/>
          <w:szCs w:val="44"/>
          <w:highlight w:val="none"/>
        </w:rPr>
      </w:pPr>
    </w:p>
    <w:p>
      <w:pPr>
        <w:widowControl w:val="0"/>
        <w:jc w:val="center"/>
        <w:rPr>
          <w:rFonts w:ascii="宋体" w:hAnsi="宋体" w:cs="Times New Roman"/>
          <w:color w:val="auto"/>
          <w:kern w:val="2"/>
          <w:sz w:val="40"/>
          <w:szCs w:val="40"/>
          <w:highlight w:val="none"/>
        </w:rPr>
      </w:pPr>
    </w:p>
    <w:p>
      <w:pPr>
        <w:widowControl w:val="0"/>
        <w:jc w:val="center"/>
        <w:outlineLvl w:val="1"/>
        <w:rPr>
          <w:rFonts w:ascii="宋体" w:hAnsi="宋体" w:cs="Times New Roman"/>
          <w:b/>
          <w:bCs/>
          <w:color w:val="auto"/>
          <w:kern w:val="2"/>
          <w:sz w:val="40"/>
          <w:szCs w:val="40"/>
          <w:highlight w:val="none"/>
        </w:rPr>
      </w:pPr>
      <w:r>
        <w:rPr>
          <w:rFonts w:hint="eastAsia" w:ascii="宋体" w:hAnsi="宋体" w:cs="Times New Roman"/>
          <w:b/>
          <w:bCs/>
          <w:color w:val="auto"/>
          <w:kern w:val="2"/>
          <w:sz w:val="40"/>
          <w:szCs w:val="40"/>
          <w:highlight w:val="none"/>
        </w:rPr>
        <w:t>东莞市寮步镇生活垃圾综合处理中心项目合同</w:t>
      </w:r>
    </w:p>
    <w:p>
      <w:pPr>
        <w:widowControl w:val="0"/>
        <w:jc w:val="center"/>
        <w:outlineLvl w:val="1"/>
        <w:rPr>
          <w:rFonts w:ascii="宋体" w:hAnsi="Calibri" w:cs="Times New Roman"/>
          <w:b/>
          <w:bCs/>
          <w:color w:val="auto"/>
          <w:kern w:val="2"/>
          <w:sz w:val="28"/>
          <w:szCs w:val="28"/>
          <w:highlight w:val="none"/>
        </w:rPr>
      </w:pPr>
      <w:r>
        <w:rPr>
          <w:rFonts w:hint="eastAsia" w:ascii="宋体" w:hAnsi="宋体" w:cs="Times New Roman"/>
          <w:b/>
          <w:bCs/>
          <w:color w:val="auto"/>
          <w:kern w:val="2"/>
          <w:sz w:val="40"/>
          <w:szCs w:val="40"/>
          <w:highlight w:val="none"/>
        </w:rPr>
        <w:t>（适用于A包/B包/C包/D包）</w:t>
      </w:r>
    </w:p>
    <w:p>
      <w:pPr>
        <w:widowControl w:val="0"/>
        <w:jc w:val="both"/>
        <w:rPr>
          <w:rFonts w:ascii="Times" w:hAnsi="Times" w:cs="Times New Roman"/>
          <w:color w:val="auto"/>
          <w:kern w:val="2"/>
          <w:szCs w:val="24"/>
          <w:highlight w:val="none"/>
        </w:rPr>
      </w:pPr>
    </w:p>
    <w:p>
      <w:pPr>
        <w:widowControl w:val="0"/>
        <w:jc w:val="both"/>
        <w:rPr>
          <w:rFonts w:ascii="Times" w:hAnsi="Times" w:cs="Times New Roman"/>
          <w:color w:val="auto"/>
          <w:kern w:val="2"/>
          <w:szCs w:val="24"/>
          <w:highlight w:val="none"/>
        </w:rPr>
      </w:pPr>
    </w:p>
    <w:p>
      <w:pPr>
        <w:widowControl w:val="0"/>
        <w:jc w:val="both"/>
        <w:rPr>
          <w:rFonts w:ascii="Times" w:hAnsi="Times" w:cs="Times New Roman"/>
          <w:color w:val="auto"/>
          <w:kern w:val="2"/>
          <w:szCs w:val="24"/>
          <w:highlight w:val="none"/>
        </w:rPr>
      </w:pPr>
    </w:p>
    <w:p>
      <w:pPr>
        <w:widowControl w:val="0"/>
        <w:jc w:val="both"/>
        <w:rPr>
          <w:rFonts w:ascii="Times" w:hAnsi="Times" w:cs="Times New Roman"/>
          <w:color w:val="auto"/>
          <w:kern w:val="2"/>
          <w:szCs w:val="24"/>
          <w:highlight w:val="none"/>
        </w:rPr>
      </w:pPr>
    </w:p>
    <w:p>
      <w:pPr>
        <w:widowControl w:val="0"/>
        <w:jc w:val="both"/>
        <w:rPr>
          <w:rFonts w:ascii="宋体" w:hAnsi="Calibri" w:cs="Times New Roman"/>
          <w:color w:val="auto"/>
          <w:kern w:val="2"/>
          <w:sz w:val="30"/>
          <w:szCs w:val="30"/>
          <w:highlight w:val="none"/>
        </w:rPr>
      </w:pPr>
    </w:p>
    <w:p>
      <w:pPr>
        <w:widowControl w:val="0"/>
        <w:jc w:val="both"/>
        <w:rPr>
          <w:rFonts w:ascii="Times" w:hAnsi="Times" w:cs="Times New Roman"/>
          <w:color w:val="auto"/>
          <w:kern w:val="2"/>
          <w:sz w:val="30"/>
          <w:szCs w:val="30"/>
          <w:highlight w:val="none"/>
        </w:rPr>
      </w:pPr>
    </w:p>
    <w:p>
      <w:pPr>
        <w:widowControl w:val="0"/>
        <w:ind w:firstLine="1475" w:firstLineChars="527"/>
        <w:rPr>
          <w:rFonts w:ascii="宋体" w:hAnsi="宋体" w:cs="Times New Roman"/>
          <w:color w:val="auto"/>
          <w:kern w:val="2"/>
          <w:sz w:val="28"/>
          <w:szCs w:val="28"/>
          <w:highlight w:val="none"/>
          <w:u w:val="single"/>
        </w:rPr>
      </w:pPr>
      <w:r>
        <w:rPr>
          <w:rFonts w:hint="eastAsia" w:ascii="宋体" w:hAnsi="宋体" w:cs="Times New Roman"/>
          <w:color w:val="auto"/>
          <w:kern w:val="2"/>
          <w:sz w:val="28"/>
          <w:szCs w:val="28"/>
          <w:highlight w:val="none"/>
        </w:rPr>
        <w:t>甲方：</w:t>
      </w:r>
      <w:r>
        <w:rPr>
          <w:rFonts w:hint="eastAsia" w:ascii="宋体" w:hAnsi="宋体" w:cs="Times New Roman"/>
          <w:color w:val="auto"/>
          <w:kern w:val="2"/>
          <w:sz w:val="28"/>
          <w:szCs w:val="28"/>
          <w:highlight w:val="none"/>
          <w:lang w:eastAsia="zh-CN"/>
        </w:rPr>
        <w:t>东莞市东实城市环境服务有限公司</w:t>
      </w:r>
      <w:r>
        <w:rPr>
          <w:rFonts w:hint="eastAsia" w:ascii="宋体" w:hAnsi="宋体" w:cs="Times New Roman"/>
          <w:color w:val="auto"/>
          <w:kern w:val="2"/>
          <w:sz w:val="28"/>
          <w:szCs w:val="28"/>
          <w:highlight w:val="none"/>
          <w:u w:val="single"/>
        </w:rPr>
        <w:t xml:space="preserve">                             </w:t>
      </w:r>
    </w:p>
    <w:p>
      <w:pPr>
        <w:widowControl w:val="0"/>
        <w:ind w:firstLine="1475" w:firstLineChars="527"/>
        <w:rPr>
          <w:rFonts w:ascii="宋体" w:hAnsi="宋体" w:cs="Times New Roman"/>
          <w:color w:val="auto"/>
          <w:kern w:val="2"/>
          <w:sz w:val="28"/>
          <w:szCs w:val="28"/>
          <w:highlight w:val="none"/>
          <w:u w:val="single"/>
        </w:rPr>
      </w:pPr>
      <w:r>
        <w:rPr>
          <w:rFonts w:hint="eastAsia" w:ascii="宋体" w:hAnsi="宋体" w:cs="Times New Roman"/>
          <w:color w:val="auto"/>
          <w:kern w:val="2"/>
          <w:sz w:val="28"/>
          <w:szCs w:val="28"/>
          <w:highlight w:val="none"/>
        </w:rPr>
        <w:t>乙方：</w:t>
      </w:r>
      <w:r>
        <w:rPr>
          <w:rFonts w:hint="eastAsia" w:ascii="宋体" w:hAnsi="宋体" w:cs="Times New Roman"/>
          <w:color w:val="auto"/>
          <w:kern w:val="2"/>
          <w:sz w:val="28"/>
          <w:szCs w:val="28"/>
          <w:highlight w:val="none"/>
          <w:u w:val="single"/>
        </w:rPr>
        <w:t xml:space="preserve">XXX                          </w:t>
      </w:r>
    </w:p>
    <w:p>
      <w:pPr>
        <w:widowControl w:val="0"/>
        <w:jc w:val="both"/>
        <w:rPr>
          <w:rFonts w:ascii="Times" w:hAnsi="宋体" w:cs="Times New Roman"/>
          <w:color w:val="auto"/>
          <w:kern w:val="2"/>
          <w:szCs w:val="28"/>
          <w:highlight w:val="none"/>
        </w:rPr>
      </w:pPr>
    </w:p>
    <w:p>
      <w:pPr>
        <w:widowControl w:val="0"/>
        <w:jc w:val="both"/>
        <w:rPr>
          <w:rFonts w:ascii="Times" w:hAnsi="宋体" w:cs="Times New Roman"/>
          <w:color w:val="auto"/>
          <w:kern w:val="2"/>
          <w:szCs w:val="28"/>
          <w:highlight w:val="none"/>
        </w:rPr>
      </w:pPr>
    </w:p>
    <w:p>
      <w:pPr>
        <w:widowControl w:val="0"/>
        <w:jc w:val="both"/>
        <w:rPr>
          <w:rFonts w:ascii="Times" w:hAnsi="宋体" w:cs="Times New Roman"/>
          <w:color w:val="auto"/>
          <w:kern w:val="2"/>
          <w:szCs w:val="28"/>
          <w:highlight w:val="none"/>
        </w:rPr>
      </w:pPr>
    </w:p>
    <w:p>
      <w:pPr>
        <w:widowControl w:val="0"/>
        <w:jc w:val="center"/>
        <w:outlineLvl w:val="1"/>
        <w:rPr>
          <w:rFonts w:ascii="Times" w:hAnsi="宋体" w:cs="Times New Roman"/>
          <w:color w:val="auto"/>
          <w:kern w:val="2"/>
          <w:sz w:val="24"/>
          <w:szCs w:val="24"/>
          <w:highlight w:val="none"/>
        </w:rPr>
      </w:pPr>
      <w:r>
        <w:rPr>
          <w:rFonts w:hint="eastAsia" w:ascii="Times" w:hAnsi="宋体" w:cs="Times New Roman"/>
          <w:color w:val="auto"/>
          <w:kern w:val="2"/>
          <w:sz w:val="24"/>
          <w:szCs w:val="24"/>
          <w:highlight w:val="none"/>
        </w:rPr>
        <w:t>年    月    日</w:t>
      </w:r>
    </w:p>
    <w:p>
      <w:pPr>
        <w:widowControl w:val="0"/>
        <w:jc w:val="both"/>
        <w:rPr>
          <w:rFonts w:ascii="Times" w:hAnsi="宋体" w:cs="Times New Roman"/>
          <w:color w:val="auto"/>
          <w:kern w:val="2"/>
          <w:szCs w:val="28"/>
          <w:highlight w:val="none"/>
        </w:rPr>
      </w:pPr>
    </w:p>
    <w:p>
      <w:pPr>
        <w:widowControl w:val="0"/>
        <w:jc w:val="both"/>
        <w:rPr>
          <w:rFonts w:ascii="Times" w:hAnsi="宋体" w:cs="Times New Roman"/>
          <w:color w:val="auto"/>
          <w:kern w:val="2"/>
          <w:szCs w:val="28"/>
          <w:highlight w:val="none"/>
        </w:rPr>
      </w:pPr>
    </w:p>
    <w:p>
      <w:pPr>
        <w:widowControl w:val="0"/>
        <w:jc w:val="both"/>
        <w:rPr>
          <w:rFonts w:ascii="Times" w:hAnsi="宋体" w:cs="Times New Roman"/>
          <w:color w:val="auto"/>
          <w:kern w:val="2"/>
          <w:szCs w:val="28"/>
          <w:highlight w:val="none"/>
        </w:rPr>
      </w:pPr>
    </w:p>
    <w:p>
      <w:pPr>
        <w:widowControl w:val="0"/>
        <w:adjustRightInd/>
        <w:snapToGrid/>
        <w:jc w:val="both"/>
        <w:rPr>
          <w:rFonts w:ascii="Calibri" w:hAnsi="宋体" w:cs="仿宋_GB2312"/>
          <w:color w:val="auto"/>
          <w:kern w:val="2"/>
          <w:szCs w:val="21"/>
          <w:highlight w:val="none"/>
        </w:rPr>
      </w:pPr>
      <w:r>
        <w:rPr>
          <w:rFonts w:hint="eastAsia" w:ascii="宋体" w:hAnsi="宋体" w:cs="Times New Roman"/>
          <w:color w:val="auto"/>
          <w:kern w:val="2"/>
          <w:szCs w:val="21"/>
          <w:highlight w:val="none"/>
        </w:rPr>
        <w:br w:type="page"/>
      </w: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合同签字时间及地点：</w:t>
      </w:r>
    </w:p>
    <w:p>
      <w:pPr>
        <w:widowControl w:val="0"/>
        <w:adjustRightInd/>
        <w:snapToGrid/>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合同生效日期：</w:t>
      </w:r>
    </w:p>
    <w:p>
      <w:pPr>
        <w:widowControl w:val="0"/>
        <w:adjustRightInd/>
        <w:snapToGrid/>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合同双方：</w:t>
      </w: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u w:val="single"/>
        </w:rPr>
        <w:t>（采购人名称）</w:t>
      </w:r>
      <w:r>
        <w:rPr>
          <w:rFonts w:hint="eastAsia" w:ascii="Calibri" w:hAnsi="宋体" w:cs="仿宋_GB2312"/>
          <w:color w:val="auto"/>
          <w:kern w:val="2"/>
          <w:szCs w:val="21"/>
          <w:highlight w:val="none"/>
          <w:u w:val="single"/>
          <w:lang w:val="en-US" w:eastAsia="zh-CN"/>
        </w:rPr>
        <w:t xml:space="preserve">             </w:t>
      </w:r>
      <w:r>
        <w:rPr>
          <w:rFonts w:hint="eastAsia" w:ascii="Calibri" w:hAnsi="宋体" w:cs="仿宋_GB2312"/>
          <w:color w:val="auto"/>
          <w:kern w:val="2"/>
          <w:szCs w:val="21"/>
          <w:highlight w:val="none"/>
          <w:u w:val="single"/>
        </w:rPr>
        <w:t>（以下简称甲方）</w:t>
      </w:r>
    </w:p>
    <w:p>
      <w:pPr>
        <w:widowControl w:val="0"/>
        <w:adjustRightInd/>
        <w:snapToGrid/>
        <w:jc w:val="both"/>
        <w:rPr>
          <w:rFonts w:ascii="Calibri" w:hAnsi="宋体" w:cs="仿宋_GB2312"/>
          <w:color w:val="auto"/>
          <w:kern w:val="2"/>
          <w:szCs w:val="21"/>
          <w:highlight w:val="none"/>
          <w:u w:val="singl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u w:val="single"/>
        </w:rPr>
        <w:t>（投标人名称）</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u w:val="single"/>
        </w:rPr>
        <w:t>（以下简称乙方）</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供需双方达成协议，并同意按如下条款签订本合同。</w:t>
      </w:r>
    </w:p>
    <w:p>
      <w:pPr>
        <w:ind w:firstLine="420" w:firstLineChars="200"/>
        <w:outlineLvl w:val="1"/>
        <w:rPr>
          <w:rFonts w:hAnsi="宋体" w:cs="仿宋_GB2312"/>
          <w:color w:val="auto"/>
          <w:szCs w:val="21"/>
          <w:highlight w:val="none"/>
        </w:rPr>
      </w:pPr>
      <w:r>
        <w:rPr>
          <w:rFonts w:hint="eastAsia" w:hAnsi="宋体" w:cs="仿宋_GB2312"/>
          <w:color w:val="auto"/>
          <w:szCs w:val="21"/>
          <w:highlight w:val="none"/>
        </w:rPr>
        <w:t>1</w:t>
      </w:r>
      <w:r>
        <w:rPr>
          <w:rFonts w:hint="eastAsia" w:hAnsi="宋体" w:cs="仿宋_GB2312"/>
          <w:b/>
          <w:color w:val="auto"/>
          <w:szCs w:val="21"/>
          <w:highlight w:val="none"/>
        </w:rPr>
        <w:t>、定义</w:t>
      </w:r>
    </w:p>
    <w:p>
      <w:pPr>
        <w:ind w:firstLine="420" w:firstLineChars="200"/>
        <w:rPr>
          <w:rFonts w:hAnsi="宋体" w:cs="仿宋_GB2312"/>
          <w:color w:val="auto"/>
          <w:szCs w:val="21"/>
          <w:highlight w:val="none"/>
        </w:rPr>
      </w:pPr>
      <w:r>
        <w:rPr>
          <w:rFonts w:hint="eastAsia" w:hAnsi="宋体" w:cs="仿宋_GB2312"/>
          <w:color w:val="auto"/>
          <w:szCs w:val="21"/>
          <w:highlight w:val="none"/>
        </w:rPr>
        <w:t>本文件和附件中所用下列名词的含义在此予以确定。</w:t>
      </w:r>
    </w:p>
    <w:p>
      <w:pPr>
        <w:tabs>
          <w:tab w:val="left" w:pos="360"/>
        </w:tabs>
        <w:ind w:firstLine="420" w:firstLineChars="200"/>
        <w:rPr>
          <w:rFonts w:hAnsi="宋体" w:cs="仿宋_GB2312"/>
          <w:color w:val="auto"/>
          <w:szCs w:val="21"/>
          <w:highlight w:val="none"/>
        </w:rPr>
      </w:pPr>
      <w:r>
        <w:rPr>
          <w:rFonts w:hint="eastAsia" w:hAnsi="宋体" w:cs="仿宋_GB2312"/>
          <w:color w:val="auto"/>
          <w:szCs w:val="21"/>
          <w:highlight w:val="none"/>
        </w:rPr>
        <w:t>1.1“甲方”是指</w:t>
      </w:r>
      <w:r>
        <w:rPr>
          <w:rFonts w:hint="eastAsia" w:hAnsi="宋体" w:cs="仿宋_GB2312"/>
          <w:color w:val="auto"/>
          <w:szCs w:val="21"/>
          <w:highlight w:val="none"/>
          <w:lang w:val="en-US" w:eastAsia="zh-CN"/>
        </w:rPr>
        <w:t xml:space="preserve">                  </w:t>
      </w:r>
      <w:r>
        <w:rPr>
          <w:rFonts w:hint="eastAsia" w:hAnsi="宋体" w:cs="仿宋_GB2312"/>
          <w:color w:val="auto"/>
          <w:szCs w:val="21"/>
          <w:highlight w:val="none"/>
        </w:rPr>
        <w:t>，包括该法人的继任方和法人的受让方。</w:t>
      </w:r>
    </w:p>
    <w:p>
      <w:pPr>
        <w:tabs>
          <w:tab w:val="left" w:pos="360"/>
        </w:tabs>
        <w:ind w:left="420" w:leftChars="200"/>
        <w:rPr>
          <w:rFonts w:hAnsi="宋体" w:cs="仿宋_GB2312"/>
          <w:color w:val="auto"/>
          <w:szCs w:val="21"/>
          <w:highlight w:val="none"/>
        </w:rPr>
      </w:pPr>
      <w:r>
        <w:rPr>
          <w:rFonts w:hint="eastAsia" w:hAnsi="宋体" w:cs="仿宋_GB2312"/>
          <w:color w:val="auto"/>
          <w:szCs w:val="21"/>
          <w:highlight w:val="none"/>
        </w:rPr>
        <w:t>1.2“乙方”是指</w:t>
      </w:r>
      <w:r>
        <w:rPr>
          <w:rFonts w:hint="eastAsia" w:ascii="Calibri" w:hAnsi="宋体" w:cs="仿宋_GB2312"/>
          <w:color w:val="auto"/>
          <w:kern w:val="2"/>
          <w:szCs w:val="21"/>
          <w:highlight w:val="none"/>
          <w:u w:val="single"/>
          <w:lang w:eastAsia="zh-CN"/>
        </w:rPr>
        <w:t xml:space="preserve"> </w:t>
      </w:r>
      <w:r>
        <w:rPr>
          <w:rFonts w:hint="eastAsia" w:ascii="Calibri" w:hAnsi="宋体" w:cs="仿宋_GB2312"/>
          <w:color w:val="auto"/>
          <w:kern w:val="2"/>
          <w:szCs w:val="21"/>
          <w:highlight w:val="none"/>
          <w:u w:val="single"/>
          <w:lang w:val="en-US" w:eastAsia="zh-CN"/>
        </w:rPr>
        <w:t xml:space="preserve">                         </w:t>
      </w:r>
      <w:r>
        <w:rPr>
          <w:rFonts w:hint="eastAsia" w:hAnsi="宋体" w:cs="仿宋_GB2312"/>
          <w:color w:val="auto"/>
          <w:szCs w:val="21"/>
          <w:highlight w:val="none"/>
        </w:rPr>
        <w:t>，包括该法人的继任方和法人的受让方。</w:t>
      </w:r>
    </w:p>
    <w:p>
      <w:pPr>
        <w:tabs>
          <w:tab w:val="left" w:pos="360"/>
        </w:tabs>
        <w:ind w:left="420" w:leftChars="200"/>
        <w:rPr>
          <w:rFonts w:hAnsi="宋体" w:cs="仿宋_GB2312"/>
          <w:color w:val="auto"/>
          <w:szCs w:val="21"/>
          <w:highlight w:val="none"/>
        </w:rPr>
      </w:pPr>
      <w:r>
        <w:rPr>
          <w:rFonts w:hint="eastAsia" w:hAnsi="宋体" w:cs="仿宋_GB2312"/>
          <w:color w:val="auto"/>
          <w:szCs w:val="21"/>
          <w:highlight w:val="none"/>
        </w:rPr>
        <w:t>1.3“合同”是指本文件及其附件中的所有部分。</w:t>
      </w:r>
    </w:p>
    <w:p>
      <w:pPr>
        <w:tabs>
          <w:tab w:val="left" w:pos="360"/>
        </w:tabs>
        <w:ind w:left="420" w:leftChars="200"/>
        <w:rPr>
          <w:rFonts w:hAnsi="宋体" w:cs="仿宋_GB2312"/>
          <w:color w:val="auto"/>
          <w:szCs w:val="21"/>
          <w:highlight w:val="none"/>
        </w:rPr>
      </w:pPr>
      <w:r>
        <w:rPr>
          <w:rFonts w:hint="eastAsia" w:hAnsi="宋体" w:cs="仿宋_GB2312"/>
          <w:color w:val="auto"/>
          <w:szCs w:val="21"/>
          <w:highlight w:val="none"/>
        </w:rPr>
        <w:t>1.4“合同价格”是指在本合同相关规定的部分。</w:t>
      </w:r>
    </w:p>
    <w:p>
      <w:pPr>
        <w:tabs>
          <w:tab w:val="left" w:pos="360"/>
        </w:tabs>
        <w:ind w:left="420" w:leftChars="200"/>
        <w:rPr>
          <w:rFonts w:hAnsi="宋体" w:cs="仿宋_GB2312"/>
          <w:color w:val="auto"/>
          <w:szCs w:val="21"/>
          <w:highlight w:val="none"/>
        </w:rPr>
      </w:pPr>
      <w:r>
        <w:rPr>
          <w:rFonts w:hint="eastAsia" w:hAnsi="宋体" w:cs="仿宋_GB2312"/>
          <w:color w:val="auto"/>
          <w:szCs w:val="21"/>
          <w:highlight w:val="none"/>
        </w:rPr>
        <w:t>1.5“生效日期”是指本合同相关规定的合同的生效日期。</w:t>
      </w:r>
    </w:p>
    <w:p>
      <w:pPr>
        <w:tabs>
          <w:tab w:val="left" w:pos="360"/>
        </w:tabs>
        <w:ind w:left="420" w:leftChars="200"/>
        <w:rPr>
          <w:rFonts w:hAnsi="宋体" w:cs="仿宋_GB2312"/>
          <w:color w:val="auto"/>
          <w:szCs w:val="21"/>
          <w:highlight w:val="none"/>
        </w:rPr>
      </w:pPr>
      <w:r>
        <w:rPr>
          <w:rFonts w:hint="eastAsia" w:hAnsi="宋体" w:cs="仿宋_GB2312"/>
          <w:color w:val="auto"/>
          <w:szCs w:val="21"/>
          <w:highlight w:val="none"/>
        </w:rPr>
        <w:t>1.6“技术资料”是指合同设备及其与</w:t>
      </w:r>
      <w:r>
        <w:rPr>
          <w:rFonts w:hint="eastAsia" w:hAnsi="宋体" w:cs="仿宋_GB2312"/>
          <w:color w:val="auto"/>
          <w:szCs w:val="21"/>
          <w:highlight w:val="none"/>
          <w:lang w:eastAsia="zh-CN"/>
        </w:rPr>
        <w:t>东莞市寮步镇生活垃圾综合处理中心项目</w:t>
      </w:r>
      <w:r>
        <w:rPr>
          <w:rFonts w:hint="eastAsia" w:hAnsi="宋体" w:cs="仿宋_GB2312"/>
          <w:color w:val="auto"/>
          <w:szCs w:val="21"/>
          <w:highlight w:val="none"/>
        </w:rPr>
        <w:t>（A包/B包/C包/D包）合同项目包相关的货物、制造、监造检验、安装、调试、验收、性能验收试验、控制和技术指导等文件（包括图纸各种文字说明、标准、各种软件），和本合同及附件中规定的用于本合同设备正确运行和维护的文件。</w:t>
      </w:r>
    </w:p>
    <w:p>
      <w:pPr>
        <w:tabs>
          <w:tab w:val="left" w:pos="360"/>
        </w:tabs>
        <w:ind w:left="420" w:leftChars="200"/>
        <w:rPr>
          <w:rFonts w:hAnsi="宋体" w:cs="仿宋_GB2312"/>
          <w:color w:val="auto"/>
          <w:szCs w:val="21"/>
          <w:highlight w:val="none"/>
        </w:rPr>
      </w:pPr>
      <w:r>
        <w:rPr>
          <w:rFonts w:hint="eastAsia" w:hAnsi="宋体" w:cs="仿宋_GB2312"/>
          <w:color w:val="auto"/>
          <w:szCs w:val="21"/>
          <w:highlight w:val="none"/>
        </w:rPr>
        <w:t>1.7“合同设备”是指乙方根据合同所要供应的机器、装置、材料、物品、专用工具、仪器仪表、备品备件和所有各种物品，如本合同及附件所列示和规定。</w:t>
      </w:r>
    </w:p>
    <w:p>
      <w:pPr>
        <w:ind w:firstLine="420" w:firstLineChars="200"/>
        <w:rPr>
          <w:rFonts w:hAnsi="宋体" w:cs="仿宋_GB2312"/>
          <w:color w:val="auto"/>
          <w:szCs w:val="21"/>
          <w:highlight w:val="none"/>
        </w:rPr>
      </w:pPr>
      <w:r>
        <w:rPr>
          <w:rFonts w:hint="eastAsia" w:hAnsi="宋体" w:cs="仿宋_GB2312"/>
          <w:color w:val="auto"/>
          <w:szCs w:val="21"/>
          <w:highlight w:val="none"/>
        </w:rPr>
        <w:t>1.8“监造”是指在合同设备的制造过程中，由甲方派出代表对乙方提供的合同设备的关键部位进行质量监督，实行文件见证和现场见证。此种监造不构成乙方对合同设备所负的质量责任的任何减免。</w:t>
      </w:r>
    </w:p>
    <w:p>
      <w:pPr>
        <w:ind w:firstLine="420" w:firstLineChars="200"/>
        <w:rPr>
          <w:rFonts w:hAnsi="宋体" w:cs="仿宋_GB2312"/>
          <w:color w:val="auto"/>
          <w:szCs w:val="21"/>
          <w:highlight w:val="none"/>
        </w:rPr>
      </w:pPr>
      <w:r>
        <w:rPr>
          <w:rFonts w:hAnsi="宋体" w:cs="仿宋_GB2312"/>
          <w:color w:val="auto"/>
          <w:szCs w:val="21"/>
          <w:highlight w:val="none"/>
        </w:rPr>
        <w:t>1.9</w:t>
      </w:r>
      <w:r>
        <w:rPr>
          <w:rFonts w:hint="eastAsia" w:hAnsi="宋体" w:cs="仿宋_GB2312"/>
          <w:color w:val="auto"/>
          <w:szCs w:val="21"/>
          <w:highlight w:val="none"/>
        </w:rPr>
        <w:t>“日、月、年”是指公历的日、月、年；“</w:t>
      </w:r>
      <w:r>
        <w:rPr>
          <w:rFonts w:hint="eastAsia" w:hAnsi="宋体" w:cs="仿宋_GB2312"/>
          <w:color w:val="auto"/>
          <w:szCs w:val="21"/>
          <w:highlight w:val="none"/>
          <w:lang w:val="en-US" w:eastAsia="zh-CN"/>
        </w:rPr>
        <w:t>日</w:t>
      </w:r>
      <w:r>
        <w:rPr>
          <w:rFonts w:hint="eastAsia" w:hAnsi="宋体" w:cs="仿宋_GB2312"/>
          <w:color w:val="auto"/>
          <w:szCs w:val="21"/>
          <w:highlight w:val="none"/>
        </w:rPr>
        <w:t>”是指</w:t>
      </w:r>
      <w:r>
        <w:rPr>
          <w:rFonts w:hAnsi="宋体" w:cs="仿宋_GB2312"/>
          <w:color w:val="auto"/>
          <w:szCs w:val="21"/>
          <w:highlight w:val="none"/>
        </w:rPr>
        <w:t>24</w:t>
      </w:r>
      <w:r>
        <w:rPr>
          <w:rFonts w:hint="eastAsia" w:hAnsi="宋体" w:cs="仿宋_GB2312"/>
          <w:color w:val="auto"/>
          <w:szCs w:val="21"/>
          <w:highlight w:val="none"/>
        </w:rPr>
        <w:t>小时；“</w:t>
      </w:r>
      <w:r>
        <w:rPr>
          <w:rFonts w:hint="eastAsia" w:hAnsi="宋体" w:cs="仿宋_GB2312"/>
          <w:color w:val="auto"/>
          <w:szCs w:val="21"/>
          <w:highlight w:val="none"/>
          <w:lang w:val="en-US" w:eastAsia="zh-CN"/>
        </w:rPr>
        <w:t>月</w:t>
      </w:r>
      <w:r>
        <w:rPr>
          <w:rFonts w:hint="eastAsia" w:hAnsi="宋体" w:cs="仿宋_GB2312"/>
          <w:color w:val="auto"/>
          <w:szCs w:val="21"/>
          <w:highlight w:val="none"/>
        </w:rPr>
        <w:t>”是指</w:t>
      </w:r>
      <w:r>
        <w:rPr>
          <w:rFonts w:hint="eastAsia" w:hAnsi="宋体" w:cs="仿宋_GB2312"/>
          <w:color w:val="auto"/>
          <w:szCs w:val="21"/>
          <w:highlight w:val="none"/>
          <w:lang w:val="en-US" w:eastAsia="zh-CN"/>
        </w:rPr>
        <w:t>30</w:t>
      </w:r>
      <w:r>
        <w:rPr>
          <w:rFonts w:hint="eastAsia" w:hAnsi="宋体" w:cs="仿宋_GB2312"/>
          <w:color w:val="auto"/>
          <w:szCs w:val="21"/>
          <w:highlight w:val="none"/>
        </w:rPr>
        <w:t>天，</w:t>
      </w:r>
      <w:r>
        <w:rPr>
          <w:rFonts w:hint="eastAsia"/>
          <w:color w:val="auto"/>
          <w:highlight w:val="none"/>
        </w:rPr>
        <w:t>“年”是指365天</w:t>
      </w:r>
      <w:r>
        <w:rPr>
          <w:rFonts w:hint="eastAsia" w:hAnsi="宋体" w:cs="仿宋_GB2312"/>
          <w:color w:val="auto"/>
          <w:szCs w:val="21"/>
          <w:highlight w:val="none"/>
        </w:rPr>
        <w:t>。</w:t>
      </w:r>
    </w:p>
    <w:p>
      <w:pPr>
        <w:ind w:firstLine="420" w:firstLineChars="200"/>
        <w:rPr>
          <w:rFonts w:hAnsi="宋体" w:cs="仿宋_GB2312"/>
          <w:color w:val="auto"/>
          <w:szCs w:val="21"/>
          <w:highlight w:val="none"/>
        </w:rPr>
      </w:pPr>
      <w:r>
        <w:rPr>
          <w:rFonts w:hAnsi="宋体" w:cs="仿宋_GB2312"/>
          <w:color w:val="auto"/>
          <w:szCs w:val="21"/>
          <w:highlight w:val="none"/>
        </w:rPr>
        <w:t>1.10</w:t>
      </w:r>
      <w:r>
        <w:rPr>
          <w:rFonts w:hint="eastAsia" w:hAnsi="宋体" w:cs="仿宋_GB2312"/>
          <w:color w:val="auto"/>
          <w:szCs w:val="21"/>
          <w:highlight w:val="none"/>
        </w:rPr>
        <w:t>“技术服务”是指由乙方提供的与本合同设备有关的工程设计、设备监造、检验、土建、安装、调试、验收、性能验收试验、运行、检修时相应的技术指导、技术配合、技术培训等全过程的服务。</w:t>
      </w:r>
    </w:p>
    <w:p>
      <w:pPr>
        <w:ind w:firstLine="420" w:firstLineChars="200"/>
        <w:rPr>
          <w:rFonts w:hAnsi="宋体" w:cs="仿宋_GB2312"/>
          <w:color w:val="auto"/>
          <w:szCs w:val="21"/>
          <w:highlight w:val="none"/>
        </w:rPr>
      </w:pPr>
      <w:r>
        <w:rPr>
          <w:rFonts w:hint="eastAsia" w:hAnsi="宋体" w:cs="仿宋_GB2312"/>
          <w:color w:val="auto"/>
          <w:szCs w:val="21"/>
          <w:highlight w:val="none"/>
        </w:rPr>
        <w:t>1.11“现场</w:t>
      </w:r>
      <w:r>
        <w:rPr>
          <w:rFonts w:hAnsi="宋体" w:cs="仿宋_GB2312"/>
          <w:color w:val="auto"/>
          <w:szCs w:val="21"/>
          <w:highlight w:val="none"/>
        </w:rPr>
        <w:t>”</w:t>
      </w:r>
      <w:r>
        <w:rPr>
          <w:rFonts w:hint="eastAsia" w:hAnsi="宋体" w:cs="仿宋_GB2312"/>
          <w:color w:val="auto"/>
          <w:szCs w:val="21"/>
          <w:highlight w:val="none"/>
        </w:rPr>
        <w:t>是指</w:t>
      </w:r>
      <w:r>
        <w:rPr>
          <w:rFonts w:hint="eastAsia" w:hAnsi="宋体" w:cs="仿宋_GB2312"/>
          <w:color w:val="auto"/>
          <w:szCs w:val="21"/>
          <w:highlight w:val="none"/>
          <w:lang w:eastAsia="zh-CN"/>
        </w:rPr>
        <w:t>东莞市寮步镇生活垃圾综合处理中心项目</w:t>
      </w:r>
      <w:r>
        <w:rPr>
          <w:rFonts w:hint="eastAsia" w:hAnsi="宋体" w:cs="仿宋_GB2312"/>
          <w:color w:val="auto"/>
          <w:szCs w:val="21"/>
          <w:highlight w:val="none"/>
        </w:rPr>
        <w:t>（A包/B包/C包/D包）建设工地，为甲方安装合同设备所在地。</w:t>
      </w:r>
    </w:p>
    <w:p>
      <w:pPr>
        <w:ind w:firstLine="420" w:firstLineChars="200"/>
        <w:rPr>
          <w:rFonts w:hAnsi="宋体" w:cs="仿宋_GB2312"/>
          <w:color w:val="auto"/>
          <w:szCs w:val="21"/>
          <w:highlight w:val="none"/>
        </w:rPr>
      </w:pPr>
      <w:r>
        <w:rPr>
          <w:rFonts w:hint="eastAsia" w:hAnsi="宋体" w:cs="仿宋_GB2312"/>
          <w:color w:val="auto"/>
          <w:szCs w:val="21"/>
          <w:highlight w:val="none"/>
        </w:rPr>
        <w:t>1.12“备品备件”是指根据本合同提供的备用部件，包括随机备品备件。</w:t>
      </w:r>
    </w:p>
    <w:p>
      <w:pPr>
        <w:ind w:firstLine="420" w:firstLineChars="200"/>
        <w:rPr>
          <w:rFonts w:hAnsi="宋体" w:cs="仿宋_GB2312"/>
          <w:color w:val="auto"/>
          <w:szCs w:val="21"/>
          <w:highlight w:val="none"/>
        </w:rPr>
      </w:pPr>
      <w:r>
        <w:rPr>
          <w:rFonts w:hint="eastAsia" w:hAnsi="宋体" w:cs="仿宋_GB2312"/>
          <w:color w:val="auto"/>
          <w:szCs w:val="21"/>
          <w:highlight w:val="none"/>
        </w:rPr>
        <w:t>1.13“试运行”是指设备在调试和电厂试运行阶段进行的运行。</w:t>
      </w:r>
    </w:p>
    <w:p>
      <w:pPr>
        <w:ind w:firstLine="420" w:firstLineChars="200"/>
        <w:rPr>
          <w:rFonts w:hAnsi="宋体" w:cs="仿宋_GB2312"/>
          <w:color w:val="auto"/>
          <w:szCs w:val="21"/>
          <w:highlight w:val="none"/>
        </w:rPr>
      </w:pPr>
      <w:r>
        <w:rPr>
          <w:rFonts w:hint="eastAsia" w:hAnsi="宋体" w:cs="仿宋_GB2312"/>
          <w:color w:val="auto"/>
          <w:szCs w:val="21"/>
          <w:highlight w:val="none"/>
        </w:rPr>
        <w:t>1.14“机组”是指一套完整的</w:t>
      </w:r>
      <w:r>
        <w:rPr>
          <w:rFonts w:hint="eastAsia" w:hAnsi="宋体" w:cs="宋体"/>
          <w:color w:val="auto"/>
          <w:szCs w:val="21"/>
          <w:highlight w:val="none"/>
        </w:rPr>
        <w:t>设备</w:t>
      </w:r>
      <w:r>
        <w:rPr>
          <w:rFonts w:hint="eastAsia" w:hAnsi="宋体" w:cs="仿宋_GB2312"/>
          <w:color w:val="auto"/>
          <w:szCs w:val="21"/>
          <w:highlight w:val="none"/>
        </w:rPr>
        <w:t>。</w:t>
      </w:r>
    </w:p>
    <w:p>
      <w:pPr>
        <w:ind w:firstLine="420" w:firstLineChars="200"/>
        <w:rPr>
          <w:rFonts w:hAnsi="宋体" w:cs="仿宋_GB2312"/>
          <w:color w:val="auto"/>
          <w:szCs w:val="21"/>
          <w:highlight w:val="none"/>
        </w:rPr>
      </w:pPr>
      <w:r>
        <w:rPr>
          <w:rFonts w:hint="eastAsia" w:hAnsi="宋体" w:cs="仿宋_GB2312"/>
          <w:color w:val="auto"/>
          <w:szCs w:val="21"/>
          <w:highlight w:val="none"/>
        </w:rPr>
        <w:t>1.15“书面文件”是指任何手稿、打字或印刷的有印章和／或签名的文件。</w:t>
      </w:r>
    </w:p>
    <w:p>
      <w:pPr>
        <w:ind w:firstLine="420" w:firstLineChars="200"/>
        <w:rPr>
          <w:rFonts w:hAnsi="宋体" w:cs="仿宋_GB2312"/>
          <w:color w:val="auto"/>
          <w:szCs w:val="21"/>
          <w:highlight w:val="none"/>
        </w:rPr>
      </w:pPr>
      <w:r>
        <w:rPr>
          <w:rFonts w:hint="eastAsia" w:hAnsi="宋体" w:cs="仿宋_GB2312"/>
          <w:color w:val="auto"/>
          <w:szCs w:val="21"/>
          <w:highlight w:val="none"/>
        </w:rPr>
        <w:t>1.1</w:t>
      </w:r>
      <w:r>
        <w:rPr>
          <w:rFonts w:hAnsi="宋体" w:cs="仿宋_GB2312"/>
          <w:color w:val="auto"/>
          <w:szCs w:val="21"/>
          <w:highlight w:val="none"/>
        </w:rPr>
        <w:t>6</w:t>
      </w:r>
      <w:r>
        <w:rPr>
          <w:rFonts w:hint="eastAsia" w:hAnsi="宋体" w:cs="仿宋_GB2312"/>
          <w:color w:val="auto"/>
          <w:szCs w:val="21"/>
          <w:highlight w:val="none"/>
        </w:rPr>
        <w:t>“分包商”或“分供货商”是指由乙方将合同供货范围内任何部分的供货分包给其他的法人及该法人的继任方和该法人允许的受让方。</w:t>
      </w:r>
    </w:p>
    <w:p>
      <w:pPr>
        <w:ind w:firstLine="420" w:firstLineChars="200"/>
        <w:rPr>
          <w:rFonts w:hAnsi="宋体" w:cs="仿宋_GB2312"/>
          <w:color w:val="auto"/>
          <w:szCs w:val="21"/>
          <w:highlight w:val="none"/>
        </w:rPr>
      </w:pPr>
      <w:r>
        <w:rPr>
          <w:rFonts w:hint="eastAsia" w:hAnsi="宋体" w:cs="仿宋_GB2312"/>
          <w:color w:val="auto"/>
          <w:szCs w:val="21"/>
          <w:highlight w:val="none"/>
        </w:rPr>
        <w:t>1.17“最后一批交货”是指该批货物交付后，使得合同设备的已交付的货物总价值达到合同设备价格</w:t>
      </w:r>
      <w:r>
        <w:rPr>
          <w:rFonts w:hAnsi="宋体" w:cs="仿宋_GB2312"/>
          <w:color w:val="auto"/>
          <w:szCs w:val="21"/>
          <w:highlight w:val="none"/>
        </w:rPr>
        <w:t xml:space="preserve"> 98</w:t>
      </w:r>
      <w:r>
        <w:rPr>
          <w:rFonts w:hint="eastAsia" w:hAnsi="宋体" w:cs="仿宋_GB2312"/>
          <w:color w:val="auto"/>
          <w:szCs w:val="21"/>
          <w:highlight w:val="none"/>
        </w:rPr>
        <w:t>％以上，并且余下未交的设备不影响机组的安装、调试和性能验收试验。</w:t>
      </w:r>
    </w:p>
    <w:p>
      <w:pPr>
        <w:ind w:firstLine="420" w:firstLineChars="200"/>
        <w:rPr>
          <w:rFonts w:hAnsi="宋体" w:cs="仿宋_GB2312"/>
          <w:color w:val="auto"/>
          <w:szCs w:val="21"/>
          <w:highlight w:val="none"/>
        </w:rPr>
      </w:pPr>
      <w:r>
        <w:rPr>
          <w:rFonts w:hint="eastAsia" w:hAnsi="宋体" w:cs="仿宋_GB2312"/>
          <w:color w:val="auto"/>
          <w:szCs w:val="21"/>
          <w:highlight w:val="none"/>
        </w:rPr>
        <w:t>1.18“设备缺陷”是指乙方因设计、制造错误或疏忽所引起的本合同设备（包括部件、原材料、铸锻件、原器件等）达不到本合同规定的性能、质量标准要求的情形。</w:t>
      </w:r>
    </w:p>
    <w:p>
      <w:pPr>
        <w:ind w:firstLine="420" w:firstLineChars="200"/>
        <w:rPr>
          <w:rFonts w:hAnsi="宋体" w:cs="仿宋_GB2312"/>
          <w:color w:val="auto"/>
          <w:szCs w:val="21"/>
          <w:highlight w:val="none"/>
        </w:rPr>
      </w:pPr>
      <w:r>
        <w:rPr>
          <w:rFonts w:hint="eastAsia" w:hAnsi="宋体" w:cs="仿宋_GB2312"/>
          <w:color w:val="auto"/>
          <w:szCs w:val="21"/>
          <w:highlight w:val="none"/>
        </w:rPr>
        <w:t>1.19“性能测试”是指为检验本合同附件规定的性能保证值按本合同及</w:t>
      </w:r>
      <w:r>
        <w:rPr>
          <w:rFonts w:hAnsi="宋体" w:cs="仿宋_GB2312"/>
          <w:color w:val="auto"/>
          <w:szCs w:val="21"/>
          <w:highlight w:val="none"/>
        </w:rPr>
        <w:t>附件</w:t>
      </w:r>
      <w:r>
        <w:rPr>
          <w:rFonts w:hint="eastAsia" w:hAnsi="宋体" w:cs="仿宋_GB2312"/>
          <w:color w:val="auto"/>
          <w:szCs w:val="21"/>
          <w:highlight w:val="none"/>
        </w:rPr>
        <w:t>相关规定所进行的试验。</w:t>
      </w:r>
    </w:p>
    <w:p>
      <w:pPr>
        <w:ind w:firstLine="420" w:firstLineChars="200"/>
        <w:rPr>
          <w:rFonts w:hAnsi="宋体" w:cs="仿宋_GB2312"/>
          <w:color w:val="auto"/>
          <w:szCs w:val="21"/>
          <w:highlight w:val="none"/>
        </w:rPr>
      </w:pPr>
      <w:r>
        <w:rPr>
          <w:rFonts w:hint="eastAsia" w:hAnsi="宋体" w:cs="仿宋_GB2312"/>
          <w:color w:val="auto"/>
          <w:szCs w:val="21"/>
          <w:highlight w:val="none"/>
        </w:rPr>
        <w:t>1.20“初步验收”是指当性能验收试验的结果表明已达到了合同附件规定的保证值后，甲方对每台合同设备的验收。</w:t>
      </w:r>
    </w:p>
    <w:p>
      <w:pPr>
        <w:ind w:firstLine="420" w:firstLineChars="200"/>
        <w:rPr>
          <w:rFonts w:hAnsi="宋体" w:cs="仿宋_GB2312"/>
          <w:color w:val="auto"/>
          <w:szCs w:val="21"/>
          <w:highlight w:val="none"/>
        </w:rPr>
      </w:pPr>
      <w:r>
        <w:rPr>
          <w:rFonts w:hint="eastAsia" w:hAnsi="宋体" w:cs="仿宋_GB2312"/>
          <w:color w:val="auto"/>
          <w:szCs w:val="21"/>
          <w:highlight w:val="none"/>
        </w:rPr>
        <w:t>1.21“竣工验收”是指系统通过初步验收后，项目整体通过试运行，甲方组织相关单位对该系统工程及</w:t>
      </w:r>
      <w:r>
        <w:rPr>
          <w:rFonts w:hAnsi="宋体" w:cs="仿宋_GB2312"/>
          <w:color w:val="auto"/>
          <w:szCs w:val="21"/>
          <w:highlight w:val="none"/>
        </w:rPr>
        <w:t>设备安装质量进行全面检验，取得竣工合格资料、数据和凭证</w:t>
      </w:r>
      <w:r>
        <w:rPr>
          <w:rFonts w:hint="eastAsia" w:hAnsi="宋体" w:cs="仿宋_GB2312"/>
          <w:color w:val="auto"/>
          <w:szCs w:val="21"/>
          <w:highlight w:val="none"/>
        </w:rPr>
        <w:t>。</w:t>
      </w:r>
    </w:p>
    <w:p>
      <w:pPr>
        <w:widowControl w:val="0"/>
        <w:adjustRightInd/>
        <w:snapToGrid/>
        <w:ind w:firstLine="420" w:firstLineChars="200"/>
        <w:jc w:val="both"/>
        <w:rPr>
          <w:rFonts w:ascii="Calibri" w:hAnsi="宋体" w:cs="仿宋_GB2312"/>
          <w:color w:val="auto"/>
          <w:kern w:val="2"/>
          <w:szCs w:val="21"/>
          <w:highlight w:val="none"/>
        </w:rPr>
      </w:pPr>
      <w:r>
        <w:rPr>
          <w:rFonts w:hint="eastAsia" w:hAnsi="宋体" w:cs="仿宋_GB2312"/>
          <w:color w:val="auto"/>
          <w:szCs w:val="21"/>
          <w:highlight w:val="none"/>
        </w:rPr>
        <w:t>1.22“质保验收”是指甲方对合同设备质保期满后的验收。</w:t>
      </w:r>
      <w:r>
        <w:rPr>
          <w:rFonts w:hAnsi="宋体" w:cs="仿宋_GB2312"/>
          <w:color w:val="auto"/>
          <w:szCs w:val="21"/>
          <w:highlight w:val="none"/>
        </w:rPr>
        <w:t xml:space="preserve">  </w:t>
      </w:r>
      <w:r>
        <w:rPr>
          <w:rFonts w:ascii="Calibri" w:hAnsi="宋体" w:cs="仿宋_GB2312"/>
          <w:color w:val="auto"/>
          <w:kern w:val="2"/>
          <w:szCs w:val="21"/>
          <w:highlight w:val="none"/>
        </w:rPr>
        <w:t xml:space="preserve">     </w:t>
      </w:r>
    </w:p>
    <w:p>
      <w:pPr>
        <w:widowControl w:val="0"/>
        <w:adjustRightInd/>
        <w:snapToGrid/>
        <w:ind w:firstLine="420" w:firstLineChars="200"/>
        <w:jc w:val="both"/>
        <w:outlineLvl w:val="1"/>
        <w:rPr>
          <w:rFonts w:ascii="Calibri" w:hAnsi="宋体" w:cs="仿宋_GB2312"/>
          <w:b/>
          <w:color w:val="auto"/>
          <w:kern w:val="2"/>
          <w:szCs w:val="21"/>
          <w:highlight w:val="none"/>
        </w:rPr>
      </w:pPr>
      <w:r>
        <w:rPr>
          <w:rFonts w:hint="eastAsia" w:ascii="Calibri" w:hAnsi="宋体" w:cs="仿宋_GB2312"/>
          <w:color w:val="auto"/>
          <w:kern w:val="2"/>
          <w:szCs w:val="21"/>
          <w:highlight w:val="none"/>
        </w:rPr>
        <w:t>2、</w:t>
      </w:r>
      <w:r>
        <w:rPr>
          <w:rFonts w:hint="eastAsia" w:ascii="Calibri" w:hAnsi="宋体" w:cs="仿宋_GB2312"/>
          <w:b/>
          <w:color w:val="auto"/>
          <w:kern w:val="2"/>
          <w:szCs w:val="21"/>
          <w:highlight w:val="none"/>
        </w:rPr>
        <w:t>合同标的</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本合同所订设备将用于东莞市寮步镇生活垃圾综合处理中心项目</w:t>
      </w:r>
      <w:r>
        <w:rPr>
          <w:rFonts w:hint="eastAsia"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rPr>
        <w:t>包</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2.1</w:t>
      </w:r>
      <w:r>
        <w:rPr>
          <w:rFonts w:hint="eastAsia" w:ascii="Calibri" w:hAnsi="宋体" w:cs="仿宋_GB2312"/>
          <w:color w:val="auto"/>
          <w:kern w:val="2"/>
          <w:szCs w:val="21"/>
          <w:highlight w:val="none"/>
        </w:rPr>
        <w:t>设备名称、规格（型号）、数量</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设备名称：</w:t>
      </w:r>
      <w:r>
        <w:rPr>
          <w:rFonts w:hint="eastAsia" w:ascii="Calibri" w:hAnsi="宋体" w:cs="宋体"/>
          <w:color w:val="auto"/>
          <w:kern w:val="2"/>
          <w:szCs w:val="21"/>
          <w:highlight w:val="none"/>
        </w:rPr>
        <w:t xml:space="preserve"> </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设备规格型号：（厂家填写）</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数量：</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2.2</w:t>
      </w:r>
      <w:r>
        <w:rPr>
          <w:rFonts w:hint="eastAsia" w:ascii="Calibri" w:hAnsi="宋体" w:cs="仿宋_GB2312"/>
          <w:color w:val="auto"/>
          <w:kern w:val="2"/>
          <w:szCs w:val="21"/>
          <w:highlight w:val="none"/>
        </w:rPr>
        <w:t>设备的技术规范、技术经济指标和性能按本合同附件（采购文件及投标文件）。</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2.3</w:t>
      </w:r>
      <w:r>
        <w:rPr>
          <w:rFonts w:hint="eastAsia" w:ascii="Calibri" w:hAnsi="宋体" w:cs="仿宋_GB2312"/>
          <w:color w:val="auto"/>
          <w:kern w:val="2"/>
          <w:szCs w:val="21"/>
          <w:highlight w:val="none"/>
        </w:rPr>
        <w:t>乙方提供合同设备的供货范围按合同附件（采购文件及投标文件）。</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2.4</w:t>
      </w:r>
      <w:r>
        <w:rPr>
          <w:rFonts w:hint="eastAsia" w:ascii="Calibri" w:hAnsi="宋体" w:cs="仿宋_GB2312"/>
          <w:color w:val="auto"/>
          <w:kern w:val="2"/>
          <w:szCs w:val="21"/>
          <w:highlight w:val="none"/>
        </w:rPr>
        <w:t>乙方提供的技术资料按合同附件（采购文件及投标文件）。</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2.5</w:t>
      </w:r>
      <w:r>
        <w:rPr>
          <w:rFonts w:hint="eastAsia" w:ascii="Calibri" w:hAnsi="宋体" w:cs="仿宋_GB2312"/>
          <w:color w:val="auto"/>
          <w:kern w:val="2"/>
          <w:szCs w:val="21"/>
          <w:highlight w:val="none"/>
        </w:rPr>
        <w:t>乙方提供的技术服务按合同附件（采购文件及投标文件）。</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2.6</w:t>
      </w:r>
      <w:r>
        <w:rPr>
          <w:rFonts w:hint="eastAsia" w:ascii="Calibri" w:hAnsi="宋体" w:cs="仿宋_GB2312"/>
          <w:color w:val="auto"/>
          <w:kern w:val="2"/>
          <w:szCs w:val="21"/>
          <w:highlight w:val="none"/>
        </w:rPr>
        <w:t>乙方提供设备的运输及保险。</w:t>
      </w:r>
    </w:p>
    <w:p>
      <w:pPr>
        <w:widowControl w:val="0"/>
        <w:adjustRightInd/>
        <w:snapToGrid/>
        <w:ind w:firstLine="420" w:firstLineChars="200"/>
        <w:jc w:val="both"/>
        <w:outlineLvl w:val="1"/>
        <w:rPr>
          <w:rFonts w:ascii="Calibri" w:hAnsi="宋体" w:cs="仿宋_GB2312"/>
          <w:color w:val="auto"/>
          <w:kern w:val="2"/>
          <w:szCs w:val="21"/>
          <w:highlight w:val="none"/>
        </w:rPr>
      </w:pPr>
      <w:r>
        <w:rPr>
          <w:rFonts w:hint="eastAsia" w:ascii="Calibri" w:hAnsi="宋体" w:cs="仿宋_GB2312"/>
          <w:color w:val="auto"/>
          <w:kern w:val="2"/>
          <w:szCs w:val="21"/>
          <w:highlight w:val="none"/>
        </w:rPr>
        <w:t>3、</w:t>
      </w:r>
      <w:r>
        <w:rPr>
          <w:rFonts w:hint="eastAsia" w:ascii="Calibri" w:hAnsi="宋体" w:cs="仿宋_GB2312"/>
          <w:b/>
          <w:color w:val="auto"/>
          <w:kern w:val="2"/>
          <w:szCs w:val="21"/>
          <w:highlight w:val="none"/>
        </w:rPr>
        <w:t>供货范围</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3.1</w:t>
      </w:r>
      <w:r>
        <w:rPr>
          <w:rFonts w:hint="eastAsia" w:ascii="Calibri" w:hAnsi="宋体" w:cs="仿宋_GB2312"/>
          <w:color w:val="auto"/>
          <w:kern w:val="2"/>
          <w:szCs w:val="21"/>
          <w:highlight w:val="none"/>
        </w:rPr>
        <w:t>合同供货范围详见合同附件。</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3.2</w:t>
      </w:r>
      <w:r>
        <w:rPr>
          <w:rFonts w:hint="eastAsia" w:ascii="Calibri" w:hAnsi="宋体" w:cs="仿宋_GB2312"/>
          <w:color w:val="auto"/>
          <w:kern w:val="2"/>
          <w:szCs w:val="21"/>
          <w:highlight w:val="none"/>
        </w:rPr>
        <w:t>合同供货范围包括了所有设备、技术资料、专用工具、备品备件；在执行合同过程中如发现有任何漏项和短缺，在发货清单中并未列入</w:t>
      </w:r>
      <w:r>
        <w:rPr>
          <w:rFonts w:hint="eastAsia" w:ascii="Calibri" w:hAnsi="宋体" w:cs="仿宋_GB2312"/>
          <w:color w:val="auto"/>
          <w:kern w:val="2"/>
          <w:szCs w:val="21"/>
          <w:highlight w:val="none"/>
          <w:lang w:val="en-US" w:eastAsia="zh-CN"/>
        </w:rPr>
        <w:t>但</w:t>
      </w:r>
      <w:r>
        <w:rPr>
          <w:rFonts w:hint="eastAsia" w:ascii="Calibri" w:hAnsi="宋体" w:cs="仿宋_GB2312"/>
          <w:color w:val="auto"/>
          <w:kern w:val="2"/>
          <w:szCs w:val="21"/>
          <w:highlight w:val="none"/>
        </w:rPr>
        <w:t>确实是乙方供货范围中应该有的，并且是满足合同附件（采购文件及投标文件）对合同设备的性能保证值要求所必须的，均应由乙方负责将所缺的设备、技术资料、专用工具、备品备件等补齐，甲方无需另行支付费用。</w:t>
      </w:r>
    </w:p>
    <w:p>
      <w:pPr>
        <w:widowControl w:val="0"/>
        <w:adjustRightInd/>
        <w:snapToGrid/>
        <w:ind w:firstLine="420" w:firstLineChars="200"/>
        <w:jc w:val="both"/>
        <w:outlineLvl w:val="1"/>
        <w:rPr>
          <w:rFonts w:ascii="Calibri" w:hAnsi="宋体" w:cs="仿宋_GB2312"/>
          <w:color w:val="auto"/>
          <w:kern w:val="2"/>
          <w:szCs w:val="21"/>
          <w:highlight w:val="none"/>
        </w:rPr>
      </w:pPr>
      <w:r>
        <w:rPr>
          <w:rFonts w:hint="eastAsia" w:ascii="Calibri" w:hAnsi="宋体" w:cs="仿宋_GB2312"/>
          <w:color w:val="auto"/>
          <w:kern w:val="2"/>
          <w:szCs w:val="21"/>
          <w:highlight w:val="none"/>
        </w:rPr>
        <w:t>4、</w:t>
      </w:r>
      <w:r>
        <w:rPr>
          <w:rFonts w:hint="eastAsia" w:ascii="Calibri" w:hAnsi="宋体" w:cs="仿宋_GB2312"/>
          <w:b/>
          <w:color w:val="auto"/>
          <w:kern w:val="2"/>
          <w:szCs w:val="21"/>
          <w:highlight w:val="none"/>
        </w:rPr>
        <w:t>合同价格</w:t>
      </w:r>
    </w:p>
    <w:p>
      <w:pPr>
        <w:widowControl w:val="0"/>
        <w:adjustRightInd/>
        <w:snapToGrid/>
        <w:ind w:firstLine="420" w:firstLineChars="200"/>
        <w:jc w:val="both"/>
        <w:rPr>
          <w:rFonts w:hint="default" w:ascii="Calibri" w:hAnsi="宋体" w:cs="仿宋_GB2312"/>
          <w:color w:val="auto"/>
          <w:kern w:val="2"/>
          <w:szCs w:val="21"/>
          <w:highlight w:val="none"/>
          <w:lang w:val="en-US"/>
        </w:rPr>
      </w:pPr>
      <w:r>
        <w:rPr>
          <w:rFonts w:ascii="Calibri" w:hAnsi="宋体" w:cs="仿宋_GB2312"/>
          <w:color w:val="auto"/>
          <w:kern w:val="2"/>
          <w:szCs w:val="21"/>
          <w:highlight w:val="none"/>
        </w:rPr>
        <w:t>4.l</w:t>
      </w:r>
      <w:r>
        <w:rPr>
          <w:rFonts w:hint="eastAsia" w:ascii="Calibri" w:hAnsi="宋体" w:cs="仿宋_GB2312"/>
          <w:color w:val="auto"/>
          <w:kern w:val="2"/>
          <w:szCs w:val="21"/>
          <w:highlight w:val="none"/>
        </w:rPr>
        <w:t>本合同价格即合同总价为</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u w:val="single"/>
        </w:rPr>
        <w:t xml:space="preserve">    </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rPr>
        <w:t>元（大写</w:t>
      </w:r>
      <w:r>
        <w:rPr>
          <w:rFonts w:hint="eastAsia" w:ascii="Calibri" w:hAnsi="宋体" w:cs="仿宋_GB2312"/>
          <w:color w:val="auto"/>
          <w:kern w:val="2"/>
          <w:szCs w:val="21"/>
          <w:highlight w:val="none"/>
          <w:u w:val="single"/>
        </w:rPr>
        <w:t>：</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rPr>
        <w:t>）。</w:t>
      </w:r>
      <w:r>
        <w:rPr>
          <w:rFonts w:hint="eastAsia"/>
          <w:color w:val="auto"/>
          <w:highlight w:val="none"/>
          <w:lang w:val="en-US" w:eastAsia="zh-CN"/>
        </w:rPr>
        <w:t>开具增值税专用发票，税率   %，其中：</w:t>
      </w:r>
      <w:r>
        <w:rPr>
          <w:rFonts w:hint="eastAsia" w:ascii="Calibri" w:hAnsi="宋体" w:cs="仿宋_GB2312"/>
          <w:color w:val="auto"/>
          <w:kern w:val="2"/>
          <w:szCs w:val="21"/>
          <w:highlight w:val="none"/>
          <w:lang w:val="en-US" w:eastAsia="zh-CN"/>
        </w:rPr>
        <w:t>不含税金额     元，税金为    元。</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本合同价格包括但不限于本项目设备价格(含备品备件、专用工具)、税费、设备运杂费、安装调试费、售后服务费及相关的需在建构筑物上的开孔、植筋（栓）连接、破除等工程修缮费及其他全部费用总额。</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4.2</w:t>
      </w:r>
      <w:r>
        <w:rPr>
          <w:rFonts w:hint="eastAsia" w:ascii="Calibri" w:hAnsi="宋体" w:cs="仿宋_GB2312"/>
          <w:color w:val="auto"/>
          <w:kern w:val="2"/>
          <w:szCs w:val="21"/>
          <w:highlight w:val="none"/>
        </w:rPr>
        <w:t>合同的分项价格见合同附件（采购文件及投标文件）。</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4.3</w:t>
      </w:r>
      <w:r>
        <w:rPr>
          <w:rFonts w:hint="eastAsia" w:ascii="Calibri" w:hAnsi="宋体" w:cs="仿宋_GB2312"/>
          <w:color w:val="auto"/>
          <w:kern w:val="2"/>
          <w:szCs w:val="21"/>
          <w:highlight w:val="none"/>
        </w:rPr>
        <w:t>本合同总价在合同交货期内为不变价。</w:t>
      </w:r>
    </w:p>
    <w:p>
      <w:pPr>
        <w:widowControl w:val="0"/>
        <w:adjustRightInd/>
        <w:snapToGrid/>
        <w:ind w:firstLine="422" w:firstLineChars="200"/>
        <w:jc w:val="both"/>
        <w:rPr>
          <w:rFonts w:ascii="Calibri" w:hAnsi="宋体" w:cs="仿宋_GB2312"/>
          <w:b/>
          <w:color w:val="auto"/>
          <w:kern w:val="2"/>
          <w:szCs w:val="21"/>
          <w:highlight w:val="none"/>
        </w:rPr>
      </w:pPr>
      <w:r>
        <w:rPr>
          <w:rFonts w:hint="eastAsia" w:ascii="Calibri" w:hAnsi="宋体" w:cs="仿宋_GB2312"/>
          <w:b/>
          <w:color w:val="auto"/>
          <w:kern w:val="2"/>
          <w:szCs w:val="21"/>
          <w:highlight w:val="none"/>
        </w:rPr>
        <w:t>5、付</w:t>
      </w:r>
      <w:r>
        <w:rPr>
          <w:rFonts w:ascii="Calibri" w:hAnsi="宋体" w:cs="仿宋_GB2312"/>
          <w:b/>
          <w:color w:val="auto"/>
          <w:kern w:val="2"/>
          <w:szCs w:val="21"/>
          <w:highlight w:val="none"/>
        </w:rPr>
        <w:t xml:space="preserve">  </w:t>
      </w:r>
      <w:r>
        <w:rPr>
          <w:rFonts w:hint="eastAsia" w:ascii="Calibri" w:hAnsi="宋体" w:cs="仿宋_GB2312"/>
          <w:b/>
          <w:color w:val="auto"/>
          <w:kern w:val="2"/>
          <w:szCs w:val="21"/>
          <w:highlight w:val="none"/>
        </w:rPr>
        <w:t>款</w:t>
      </w:r>
    </w:p>
    <w:p>
      <w:pPr>
        <w:widowControl w:val="0"/>
        <w:adjustRightInd/>
        <w:snapToGrid/>
        <w:ind w:firstLine="420" w:firstLineChars="200"/>
        <w:jc w:val="both"/>
        <w:outlineLvl w:val="2"/>
        <w:rPr>
          <w:rFonts w:ascii="Calibri" w:hAnsi="宋体" w:cs="仿宋_GB2312"/>
          <w:color w:val="auto"/>
          <w:kern w:val="2"/>
          <w:szCs w:val="21"/>
          <w:highlight w:val="none"/>
        </w:rPr>
      </w:pPr>
      <w:r>
        <w:rPr>
          <w:rFonts w:ascii="Calibri" w:hAnsi="宋体" w:cs="仿宋_GB2312"/>
          <w:color w:val="auto"/>
          <w:kern w:val="2"/>
          <w:szCs w:val="21"/>
          <w:highlight w:val="none"/>
        </w:rPr>
        <w:t>5.1</w:t>
      </w:r>
      <w:r>
        <w:rPr>
          <w:rFonts w:hint="eastAsia" w:ascii="Calibri" w:hAnsi="宋体" w:cs="仿宋_GB2312"/>
          <w:color w:val="auto"/>
          <w:kern w:val="2"/>
          <w:szCs w:val="21"/>
          <w:highlight w:val="none"/>
        </w:rPr>
        <w:t>本合同使用货币种类为人民币。</w:t>
      </w:r>
    </w:p>
    <w:p>
      <w:pPr>
        <w:widowControl w:val="0"/>
        <w:adjustRightInd/>
        <w:snapToGrid/>
        <w:ind w:firstLine="420" w:firstLineChars="200"/>
        <w:jc w:val="both"/>
        <w:outlineLvl w:val="2"/>
        <w:rPr>
          <w:rFonts w:ascii="Calibri" w:hAnsi="宋体" w:cs="仿宋_GB2312"/>
          <w:color w:val="auto"/>
          <w:kern w:val="2"/>
          <w:szCs w:val="21"/>
          <w:highlight w:val="none"/>
        </w:rPr>
      </w:pPr>
      <w:r>
        <w:rPr>
          <w:rFonts w:ascii="Calibri" w:hAnsi="宋体" w:cs="仿宋_GB2312"/>
          <w:color w:val="auto"/>
          <w:kern w:val="2"/>
          <w:szCs w:val="21"/>
          <w:highlight w:val="none"/>
        </w:rPr>
        <w:t>5.2</w:t>
      </w:r>
      <w:r>
        <w:rPr>
          <w:rFonts w:hint="eastAsia" w:ascii="Calibri" w:hAnsi="宋体" w:cs="仿宋_GB2312"/>
          <w:color w:val="auto"/>
          <w:kern w:val="2"/>
          <w:szCs w:val="21"/>
          <w:highlight w:val="none"/>
        </w:rPr>
        <w:t>付款方式：银行转账。</w:t>
      </w:r>
    </w:p>
    <w:p>
      <w:pPr>
        <w:widowControl w:val="0"/>
        <w:adjustRightInd/>
        <w:snapToGrid/>
        <w:ind w:firstLine="420" w:firstLineChars="200"/>
        <w:jc w:val="both"/>
        <w:outlineLvl w:val="2"/>
        <w:rPr>
          <w:rFonts w:ascii="Calibri" w:hAnsi="宋体" w:cs="仿宋_GB2312"/>
          <w:color w:val="auto"/>
          <w:kern w:val="2"/>
          <w:szCs w:val="21"/>
          <w:highlight w:val="none"/>
        </w:rPr>
      </w:pPr>
      <w:r>
        <w:rPr>
          <w:rFonts w:hint="eastAsia" w:ascii="Calibri" w:hAnsi="宋体" w:cs="仿宋_GB2312"/>
          <w:color w:val="auto"/>
          <w:kern w:val="2"/>
          <w:szCs w:val="21"/>
          <w:highlight w:val="none"/>
        </w:rPr>
        <w:t>账户名称：</w:t>
      </w:r>
      <w:r>
        <w:rPr>
          <w:rFonts w:ascii="Calibri" w:hAnsi="宋体" w:cs="仿宋_GB2312"/>
          <w:color w:val="auto"/>
          <w:kern w:val="2"/>
          <w:szCs w:val="21"/>
          <w:highlight w:val="none"/>
        </w:rPr>
        <w:t xml:space="preserve">              </w:t>
      </w:r>
    </w:p>
    <w:p>
      <w:pPr>
        <w:widowControl w:val="0"/>
        <w:adjustRightInd/>
        <w:snapToGrid/>
        <w:ind w:firstLine="420" w:firstLineChars="200"/>
        <w:jc w:val="both"/>
        <w:outlineLvl w:val="2"/>
        <w:rPr>
          <w:rFonts w:ascii="Calibri" w:hAnsi="宋体" w:cs="仿宋_GB2312"/>
          <w:color w:val="auto"/>
          <w:kern w:val="2"/>
          <w:szCs w:val="21"/>
          <w:highlight w:val="none"/>
        </w:rPr>
      </w:pPr>
      <w:r>
        <w:rPr>
          <w:rFonts w:hint="eastAsia" w:ascii="Calibri" w:hAnsi="宋体" w:cs="仿宋_GB2312"/>
          <w:color w:val="auto"/>
          <w:kern w:val="2"/>
          <w:szCs w:val="21"/>
          <w:highlight w:val="none"/>
        </w:rPr>
        <w:t>银行账号：</w:t>
      </w:r>
      <w:r>
        <w:rPr>
          <w:rFonts w:ascii="Calibri" w:hAnsi="宋体" w:cs="仿宋_GB2312"/>
          <w:color w:val="auto"/>
          <w:kern w:val="2"/>
          <w:szCs w:val="21"/>
          <w:highlight w:val="none"/>
        </w:rPr>
        <w:t xml:space="preserve">            </w:t>
      </w:r>
    </w:p>
    <w:p>
      <w:pPr>
        <w:widowControl w:val="0"/>
        <w:adjustRightInd/>
        <w:snapToGrid/>
        <w:ind w:firstLine="420" w:firstLineChars="200"/>
        <w:jc w:val="both"/>
        <w:outlineLvl w:val="2"/>
        <w:rPr>
          <w:rFonts w:ascii="Calibri" w:hAnsi="宋体" w:cs="仿宋_GB2312"/>
          <w:color w:val="auto"/>
          <w:kern w:val="2"/>
          <w:szCs w:val="21"/>
          <w:highlight w:val="none"/>
          <w:u w:val="single"/>
        </w:rPr>
      </w:pPr>
      <w:r>
        <w:rPr>
          <w:rFonts w:hint="eastAsia" w:ascii="Calibri" w:hAnsi="宋体" w:cs="仿宋_GB2312"/>
          <w:color w:val="auto"/>
          <w:kern w:val="2"/>
          <w:szCs w:val="21"/>
          <w:highlight w:val="none"/>
        </w:rPr>
        <w:t>开户行：</w:t>
      </w: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 xml:space="preserve">      。</w:t>
      </w:r>
      <w:r>
        <w:rPr>
          <w:rFonts w:ascii="Calibri" w:hAnsi="宋体" w:cs="仿宋_GB2312"/>
          <w:color w:val="auto"/>
          <w:kern w:val="2"/>
          <w:szCs w:val="21"/>
          <w:highlight w:val="none"/>
          <w:u w:val="single"/>
        </w:rPr>
        <w:t xml:space="preserve"> </w:t>
      </w:r>
    </w:p>
    <w:p>
      <w:pPr>
        <w:widowControl w:val="0"/>
        <w:adjustRightInd/>
        <w:snapToGrid/>
        <w:ind w:firstLine="420" w:firstLineChars="200"/>
        <w:jc w:val="both"/>
        <w:outlineLvl w:val="2"/>
        <w:rPr>
          <w:rFonts w:ascii="Calibri" w:hAnsi="宋体" w:cs="仿宋_GB2312"/>
          <w:color w:val="auto"/>
          <w:kern w:val="2"/>
          <w:szCs w:val="21"/>
          <w:highlight w:val="none"/>
        </w:rPr>
      </w:pPr>
      <w:r>
        <w:rPr>
          <w:rFonts w:hint="eastAsia" w:ascii="Calibri" w:hAnsi="宋体" w:cs="仿宋_GB2312"/>
          <w:color w:val="auto"/>
          <w:kern w:val="2"/>
          <w:szCs w:val="21"/>
          <w:highlight w:val="none"/>
        </w:rPr>
        <w:t>5.3合同价款的支付：</w:t>
      </w:r>
    </w:p>
    <w:p>
      <w:pPr>
        <w:widowControl w:val="0"/>
        <w:ind w:firstLine="420" w:firstLineChars="200"/>
        <w:jc w:val="both"/>
        <w:rPr>
          <w:rFonts w:ascii="宋体" w:hAnsi="宋体" w:cs="Times New Roman"/>
          <w:color w:val="auto"/>
          <w:kern w:val="2"/>
          <w:szCs w:val="21"/>
          <w:highlight w:val="none"/>
        </w:rPr>
      </w:pPr>
      <w:r>
        <w:rPr>
          <w:rFonts w:ascii="宋体" w:hAnsi="宋体" w:cs="Times New Roman"/>
          <w:color w:val="auto"/>
          <w:kern w:val="2"/>
          <w:szCs w:val="21"/>
          <w:highlight w:val="none"/>
        </w:rPr>
        <w:t>5.3.1</w:t>
      </w:r>
      <w:r>
        <w:rPr>
          <w:rFonts w:hint="eastAsia" w:ascii="宋体" w:hAnsi="宋体" w:cs="Times New Roman"/>
          <w:color w:val="auto"/>
          <w:kern w:val="2"/>
          <w:szCs w:val="21"/>
          <w:highlight w:val="none"/>
        </w:rPr>
        <w:t>.合同签订完后，乙方向甲方提交请款报告及等额增值税专用发票，甲方收到前述材料之日起三十个日历日内向乙方支付至合同总价的20%作为定金；</w:t>
      </w:r>
    </w:p>
    <w:p>
      <w:pPr>
        <w:widowControl w:val="0"/>
        <w:ind w:firstLine="420" w:firstLineChars="200"/>
        <w:jc w:val="both"/>
        <w:rPr>
          <w:rFonts w:ascii="宋体" w:hAnsi="宋体" w:cs="Times New Roman"/>
          <w:color w:val="auto"/>
          <w:kern w:val="2"/>
          <w:szCs w:val="21"/>
          <w:highlight w:val="none"/>
        </w:rPr>
      </w:pPr>
      <w:r>
        <w:rPr>
          <w:rFonts w:ascii="宋体" w:hAnsi="宋体" w:cs="Times New Roman"/>
          <w:color w:val="auto"/>
          <w:kern w:val="2"/>
          <w:szCs w:val="21"/>
          <w:highlight w:val="none"/>
        </w:rPr>
        <w:t>5.3.</w:t>
      </w:r>
      <w:r>
        <w:rPr>
          <w:rFonts w:hint="eastAsia" w:ascii="宋体" w:hAnsi="宋体" w:cs="Times New Roman"/>
          <w:color w:val="auto"/>
          <w:kern w:val="2"/>
          <w:szCs w:val="21"/>
          <w:highlight w:val="none"/>
        </w:rPr>
        <w:t>2.乙方将货物运至甲方指定地点，开箱验收合格后, 乙方向甲方提交请款报告及等额增值税专用发票，甲方收到前述材料之日起三十个日历日内向乙方支付至合同总价的60%。</w:t>
      </w:r>
    </w:p>
    <w:p>
      <w:pPr>
        <w:widowControl w:val="0"/>
        <w:ind w:firstLine="420" w:firstLineChars="200"/>
        <w:jc w:val="both"/>
        <w:rPr>
          <w:rFonts w:ascii="宋体" w:hAnsi="宋体" w:cs="Times New Roman"/>
          <w:color w:val="auto"/>
          <w:kern w:val="2"/>
          <w:szCs w:val="21"/>
          <w:highlight w:val="none"/>
        </w:rPr>
      </w:pPr>
      <w:r>
        <w:rPr>
          <w:rFonts w:ascii="宋体" w:hAnsi="宋体" w:cs="Times New Roman"/>
          <w:color w:val="auto"/>
          <w:kern w:val="2"/>
          <w:szCs w:val="21"/>
          <w:highlight w:val="none"/>
        </w:rPr>
        <w:t>5.3.3</w:t>
      </w:r>
      <w:r>
        <w:rPr>
          <w:rFonts w:hint="eastAsia" w:ascii="宋体" w:hAnsi="宋体" w:cs="Times New Roman"/>
          <w:color w:val="auto"/>
          <w:kern w:val="2"/>
          <w:szCs w:val="21"/>
          <w:highlight w:val="none"/>
        </w:rPr>
        <w:t>项目整体安装完毕，联动调试合格、完成，乙方向甲方提交请款报告及等额增值税专用发票，甲方收到前述材料之日起三十个日历日向乙方支付至合同总价的80%。</w:t>
      </w:r>
    </w:p>
    <w:p>
      <w:pPr>
        <w:widowControl w:val="0"/>
        <w:ind w:firstLine="420" w:firstLineChars="200"/>
        <w:jc w:val="both"/>
        <w:rPr>
          <w:rFonts w:ascii="宋体" w:hAnsi="宋体" w:cs="Times New Roman"/>
          <w:color w:val="auto"/>
          <w:kern w:val="2"/>
          <w:szCs w:val="21"/>
          <w:highlight w:val="none"/>
        </w:rPr>
      </w:pPr>
      <w:r>
        <w:rPr>
          <w:rFonts w:ascii="宋体" w:hAnsi="宋体" w:cs="Times New Roman"/>
          <w:color w:val="auto"/>
          <w:kern w:val="2"/>
          <w:szCs w:val="21"/>
          <w:highlight w:val="none"/>
        </w:rPr>
        <w:t>5.3.4</w:t>
      </w:r>
      <w:r>
        <w:rPr>
          <w:rFonts w:hint="eastAsia" w:ascii="宋体" w:hAnsi="宋体" w:cs="Times New Roman"/>
          <w:color w:val="auto"/>
          <w:kern w:val="2"/>
          <w:szCs w:val="21"/>
          <w:highlight w:val="none"/>
        </w:rPr>
        <w:t>整体项目性能测试合格后，并完成结算，乙方向甲方提交请款报告及等额增值税专用发票，甲方收到前述材料之日起三十个日历日向乙方支付至结算总价的95%。</w:t>
      </w:r>
    </w:p>
    <w:p>
      <w:pPr>
        <w:widowControl w:val="0"/>
        <w:ind w:firstLine="420" w:firstLineChars="200"/>
        <w:jc w:val="both"/>
        <w:rPr>
          <w:rFonts w:ascii="宋体" w:hAnsi="宋体" w:cs="Times New Roman"/>
          <w:color w:val="auto"/>
          <w:kern w:val="2"/>
          <w:szCs w:val="21"/>
          <w:highlight w:val="none"/>
        </w:rPr>
      </w:pPr>
      <w:r>
        <w:rPr>
          <w:rFonts w:ascii="宋体" w:hAnsi="宋体" w:cs="Times New Roman"/>
          <w:color w:val="auto"/>
          <w:kern w:val="2"/>
          <w:szCs w:val="21"/>
          <w:highlight w:val="none"/>
        </w:rPr>
        <w:t>5.3.5</w:t>
      </w:r>
      <w:r>
        <w:rPr>
          <w:rFonts w:hint="eastAsia" w:ascii="宋体" w:hAnsi="宋体" w:cs="Times New Roman"/>
          <w:color w:val="auto"/>
          <w:kern w:val="2"/>
          <w:szCs w:val="21"/>
          <w:highlight w:val="none"/>
        </w:rPr>
        <w:t>剩余合同结算总价的5%为质保金，质保期满后，若乙方不存在任何违约情形的，则由乙方提交请款资料，甲方在收到请款资料核验无误之日起三十个日历日一次性无息支付；质保期间，若</w:t>
      </w:r>
      <w:r>
        <w:rPr>
          <w:rFonts w:hint="eastAsia" w:ascii="宋体" w:hAnsi="宋体" w:cs="Times New Roman"/>
          <w:color w:val="auto"/>
          <w:kern w:val="2"/>
          <w:szCs w:val="21"/>
          <w:highlight w:val="none"/>
          <w:lang w:val="en-US" w:eastAsia="zh-CN"/>
        </w:rPr>
        <w:t>乙方</w:t>
      </w:r>
      <w:r>
        <w:rPr>
          <w:rFonts w:hint="eastAsia" w:ascii="宋体" w:hAnsi="宋体" w:cs="Times New Roman"/>
          <w:color w:val="auto"/>
          <w:kern w:val="2"/>
          <w:szCs w:val="21"/>
          <w:highlight w:val="none"/>
        </w:rPr>
        <w:t>存在任何违约情形的，</w:t>
      </w:r>
      <w:r>
        <w:rPr>
          <w:rFonts w:hint="eastAsia" w:ascii="宋体" w:hAnsi="宋体" w:cs="Times New Roman"/>
          <w:color w:val="auto"/>
          <w:kern w:val="2"/>
          <w:szCs w:val="21"/>
          <w:highlight w:val="none"/>
          <w:lang w:val="en-US" w:eastAsia="zh-CN"/>
        </w:rPr>
        <w:t>甲方在</w:t>
      </w:r>
      <w:r>
        <w:rPr>
          <w:rFonts w:hint="eastAsia" w:ascii="宋体" w:hAnsi="宋体" w:cs="Times New Roman"/>
          <w:color w:val="auto"/>
          <w:kern w:val="2"/>
          <w:szCs w:val="21"/>
          <w:highlight w:val="none"/>
        </w:rPr>
        <w:t>质保金</w:t>
      </w:r>
      <w:r>
        <w:rPr>
          <w:rFonts w:hint="eastAsia" w:ascii="宋体" w:hAnsi="宋体" w:cs="Times New Roman"/>
          <w:color w:val="auto"/>
          <w:kern w:val="2"/>
          <w:szCs w:val="21"/>
          <w:highlight w:val="none"/>
          <w:lang w:val="en-US" w:eastAsia="zh-CN"/>
        </w:rPr>
        <w:t>内扣除乙方应承担的相应费用和违约金后无息返还</w:t>
      </w:r>
      <w:r>
        <w:rPr>
          <w:rFonts w:hint="eastAsia" w:ascii="宋体" w:hAnsi="宋体" w:cs="Times New Roman"/>
          <w:color w:val="auto"/>
          <w:kern w:val="2"/>
          <w:szCs w:val="21"/>
          <w:highlight w:val="none"/>
        </w:rPr>
        <w:t>。</w:t>
      </w:r>
    </w:p>
    <w:p>
      <w:pPr>
        <w:widowControl w:val="0"/>
        <w:ind w:firstLine="420" w:firstLineChars="200"/>
        <w:jc w:val="both"/>
        <w:rPr>
          <w:rFonts w:ascii="宋体" w:hAnsi="宋体" w:cs="Times New Roman"/>
          <w:color w:val="auto"/>
          <w:kern w:val="2"/>
          <w:szCs w:val="21"/>
          <w:highlight w:val="none"/>
        </w:rPr>
      </w:pPr>
      <w:r>
        <w:rPr>
          <w:rFonts w:ascii="宋体" w:hAnsi="宋体" w:cs="Times New Roman"/>
          <w:color w:val="auto"/>
          <w:kern w:val="2"/>
          <w:szCs w:val="21"/>
          <w:highlight w:val="none"/>
        </w:rPr>
        <w:t>5.3.6</w:t>
      </w:r>
      <w:r>
        <w:rPr>
          <w:rFonts w:hint="eastAsia" w:ascii="宋体" w:hAnsi="宋体" w:cs="Times New Roman"/>
          <w:color w:val="auto"/>
          <w:kern w:val="2"/>
          <w:szCs w:val="21"/>
          <w:highlight w:val="none"/>
        </w:rPr>
        <w:t>乙方请款前需向甲方提供请款材料和开具合法有效等额的增值税专用发票，否则甲方有权拒绝付款，不视为甲方违约，并且不承担延期支付的任何责任。</w:t>
      </w:r>
    </w:p>
    <w:p>
      <w:pPr>
        <w:widowControl w:val="0"/>
        <w:adjustRightInd/>
        <w:snapToGrid/>
        <w:ind w:firstLine="422" w:firstLineChars="200"/>
        <w:jc w:val="both"/>
        <w:rPr>
          <w:rFonts w:ascii="Calibri" w:hAnsi="宋体" w:cs="仿宋_GB2312"/>
          <w:b/>
          <w:color w:val="auto"/>
          <w:kern w:val="2"/>
          <w:szCs w:val="21"/>
          <w:highlight w:val="none"/>
        </w:rPr>
      </w:pPr>
      <w:r>
        <w:rPr>
          <w:rFonts w:hint="eastAsia" w:ascii="Calibri" w:hAnsi="宋体" w:cs="仿宋_GB2312"/>
          <w:b/>
          <w:color w:val="auto"/>
          <w:kern w:val="2"/>
          <w:szCs w:val="21"/>
          <w:highlight w:val="none"/>
        </w:rPr>
        <w:t>6、交货和运输</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6</w:t>
      </w:r>
      <w:r>
        <w:rPr>
          <w:rFonts w:ascii="Calibri" w:hAnsi="宋体" w:cs="仿宋_GB2312"/>
          <w:color w:val="auto"/>
          <w:kern w:val="2"/>
          <w:szCs w:val="21"/>
          <w:highlight w:val="none"/>
        </w:rPr>
        <w:t>.1</w:t>
      </w:r>
      <w:r>
        <w:rPr>
          <w:rFonts w:hint="eastAsia" w:ascii="Calibri" w:hAnsi="宋体" w:cs="仿宋_GB2312"/>
          <w:color w:val="auto"/>
          <w:kern w:val="2"/>
          <w:szCs w:val="21"/>
          <w:highlight w:val="none"/>
        </w:rPr>
        <w:t>本合同设备的交货期及交货顺序应满足工程建设设备安装进度和顺序的要求，应保证及时和部套的完整性。</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6.1.1交货时间及工期：</w:t>
      </w:r>
    </w:p>
    <w:p>
      <w:pPr>
        <w:pStyle w:val="32"/>
        <w:ind w:left="0" w:firstLine="0" w:firstLineChars="0"/>
        <w:jc w:val="left"/>
        <w:rPr>
          <w:color w:val="auto"/>
          <w:highlight w:val="none"/>
        </w:rPr>
      </w:pPr>
      <w:r>
        <w:rPr>
          <w:rFonts w:hint="eastAsia" w:ascii="Times" w:hAnsi="宋体" w:cs="仿宋_GB2312"/>
          <w:b/>
          <w:bCs/>
          <w:color w:val="auto"/>
          <w:kern w:val="2"/>
          <w:sz w:val="21"/>
          <w:szCs w:val="21"/>
          <w:highlight w:val="none"/>
        </w:rPr>
        <w:t>A包：污水处理系统采购及安装</w:t>
      </w:r>
    </w:p>
    <w:tbl>
      <w:tblPr>
        <w:tblStyle w:val="35"/>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004"/>
        <w:gridCol w:w="2976"/>
        <w:gridCol w:w="2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6"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004"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主要节点</w:t>
            </w:r>
          </w:p>
        </w:tc>
        <w:tc>
          <w:tcPr>
            <w:tcW w:w="2976"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日期</w:t>
            </w:r>
          </w:p>
        </w:tc>
        <w:tc>
          <w:tcPr>
            <w:tcW w:w="2623"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6" w:type="dxa"/>
            <w:vAlign w:val="center"/>
          </w:tcPr>
          <w:p>
            <w:pPr>
              <w:widowControl w:val="0"/>
              <w:autoSpaceDE w:val="0"/>
              <w:autoSpaceDN w:val="0"/>
              <w:adjustRightInd/>
              <w:snapToGrid/>
              <w:jc w:val="center"/>
              <w:rPr>
                <w:rFonts w:ascii="宋体" w:hAnsi="宋体" w:cs="宋体"/>
                <w:color w:val="auto"/>
                <w:szCs w:val="21"/>
                <w:highlight w:val="none"/>
              </w:rPr>
            </w:pPr>
            <w:r>
              <w:rPr>
                <w:rFonts w:ascii="Noto Sans CJK JP Regular" w:hAnsi="Noto Sans CJK JP Regular" w:eastAsia="Noto Sans CJK JP Regular" w:cs="Noto Sans CJK JP Regular"/>
                <w:color w:val="auto"/>
                <w:szCs w:val="21"/>
                <w:highlight w:val="none"/>
              </w:rPr>
              <w:t>1</w:t>
            </w:r>
          </w:p>
        </w:tc>
        <w:tc>
          <w:tcPr>
            <w:tcW w:w="2004"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土建设计条件提资</w:t>
            </w:r>
          </w:p>
        </w:tc>
        <w:tc>
          <w:tcPr>
            <w:tcW w:w="2976"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中标通知书发出后一周内</w:t>
            </w:r>
          </w:p>
        </w:tc>
        <w:tc>
          <w:tcPr>
            <w:tcW w:w="2623" w:type="dxa"/>
            <w:vAlign w:val="center"/>
          </w:tcPr>
          <w:p>
            <w:pPr>
              <w:widowControl w:val="0"/>
              <w:autoSpaceDE w:val="0"/>
              <w:autoSpaceDN w:val="0"/>
              <w:adjustRightInd/>
              <w:snapToGrid/>
              <w:jc w:val="both"/>
              <w:rPr>
                <w:rFonts w:ascii="宋体" w:hAnsi="宋体" w:cs="宋体"/>
                <w:bCs/>
                <w:color w:val="auto"/>
                <w:szCs w:val="21"/>
                <w:highlight w:val="none"/>
              </w:rPr>
            </w:pPr>
            <w:r>
              <w:rPr>
                <w:rFonts w:hint="eastAsia" w:ascii="宋体" w:hAnsi="宋体" w:cs="宋体"/>
                <w:bCs/>
                <w:color w:val="auto"/>
                <w:szCs w:val="21"/>
                <w:highlight w:val="none"/>
              </w:rPr>
              <w:t>根据车间土建方案图结合设备进行微调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6" w:type="dxa"/>
            <w:vAlign w:val="center"/>
          </w:tcPr>
          <w:p>
            <w:pPr>
              <w:widowControl w:val="0"/>
              <w:autoSpaceDE w:val="0"/>
              <w:autoSpaceDN w:val="0"/>
              <w:adjustRightInd/>
              <w:snapToGrid/>
              <w:jc w:val="center"/>
              <w:rPr>
                <w:rFonts w:ascii="Noto Sans CJK JP Regular" w:hAnsi="Noto Sans CJK JP Regular" w:eastAsia="Noto Sans CJK JP Regular" w:cs="Noto Sans CJK JP Regular"/>
                <w:color w:val="auto"/>
                <w:szCs w:val="21"/>
                <w:highlight w:val="none"/>
              </w:rPr>
            </w:pPr>
            <w:r>
              <w:rPr>
                <w:rFonts w:hint="eastAsia" w:ascii="Noto Sans CJK JP Regular" w:hAnsi="Noto Sans CJK JP Regular" w:eastAsia="Noto Sans CJK JP Regular" w:cs="Noto Sans CJK JP Regular"/>
                <w:color w:val="auto"/>
                <w:szCs w:val="21"/>
                <w:highlight w:val="none"/>
              </w:rPr>
              <w:t>2</w:t>
            </w:r>
          </w:p>
        </w:tc>
        <w:tc>
          <w:tcPr>
            <w:tcW w:w="2004"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设备到货</w:t>
            </w:r>
          </w:p>
        </w:tc>
        <w:tc>
          <w:tcPr>
            <w:tcW w:w="2976"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color w:val="auto"/>
                <w:highlight w:val="none"/>
              </w:rPr>
              <w:t>收到甲方进场通知后一周</w:t>
            </w:r>
          </w:p>
        </w:tc>
        <w:tc>
          <w:tcPr>
            <w:tcW w:w="2623" w:type="dxa"/>
            <w:vAlign w:val="center"/>
          </w:tcPr>
          <w:p>
            <w:pPr>
              <w:widowControl w:val="0"/>
              <w:autoSpaceDE w:val="0"/>
              <w:autoSpaceDN w:val="0"/>
              <w:adjustRightInd/>
              <w:snapToGrid/>
              <w:jc w:val="center"/>
              <w:rPr>
                <w:rFonts w:ascii="Noto Sans CJK JP Regular" w:hAnsi="Noto Sans CJK JP Regular" w:cs="Noto Sans CJK JP Regular"/>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6" w:type="dxa"/>
            <w:vAlign w:val="center"/>
          </w:tcPr>
          <w:p>
            <w:pPr>
              <w:widowControl w:val="0"/>
              <w:autoSpaceDE w:val="0"/>
              <w:autoSpaceDN w:val="0"/>
              <w:adjustRightInd/>
              <w:snapToGrid/>
              <w:jc w:val="center"/>
              <w:rPr>
                <w:rFonts w:ascii="Noto Sans CJK JP Regular" w:hAnsi="Noto Sans CJK JP Regular" w:eastAsia="Noto Sans CJK JP Regular" w:cs="Noto Sans CJK JP Regular"/>
                <w:color w:val="auto"/>
                <w:szCs w:val="21"/>
                <w:highlight w:val="none"/>
              </w:rPr>
            </w:pPr>
            <w:r>
              <w:rPr>
                <w:rFonts w:hint="eastAsia" w:ascii="Noto Sans CJK JP Regular" w:hAnsi="Noto Sans CJK JP Regular" w:eastAsia="Noto Sans CJK JP Regular" w:cs="Noto Sans CJK JP Regular"/>
                <w:color w:val="auto"/>
                <w:szCs w:val="21"/>
                <w:highlight w:val="none"/>
              </w:rPr>
              <w:t>3</w:t>
            </w:r>
          </w:p>
        </w:tc>
        <w:tc>
          <w:tcPr>
            <w:tcW w:w="2004"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设备安装完成</w:t>
            </w:r>
          </w:p>
        </w:tc>
        <w:tc>
          <w:tcPr>
            <w:tcW w:w="2976"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设备到货后一个半月内</w:t>
            </w:r>
          </w:p>
        </w:tc>
        <w:tc>
          <w:tcPr>
            <w:tcW w:w="2623" w:type="dxa"/>
            <w:vAlign w:val="center"/>
          </w:tcPr>
          <w:p>
            <w:pPr>
              <w:widowControl w:val="0"/>
              <w:autoSpaceDE w:val="0"/>
              <w:autoSpaceDN w:val="0"/>
              <w:adjustRightInd/>
              <w:snapToGrid/>
              <w:jc w:val="center"/>
              <w:rPr>
                <w:rFonts w:ascii="Noto Sans CJK JP Regular" w:hAnsi="Noto Sans CJK JP Regular" w:eastAsia="Noto Sans CJK JP Regular" w:cs="Noto Sans CJK JP Regula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6" w:type="dxa"/>
            <w:vAlign w:val="center"/>
          </w:tcPr>
          <w:p>
            <w:pPr>
              <w:widowControl w:val="0"/>
              <w:autoSpaceDE w:val="0"/>
              <w:autoSpaceDN w:val="0"/>
              <w:adjustRightInd/>
              <w:snapToGrid/>
              <w:jc w:val="center"/>
              <w:rPr>
                <w:rFonts w:ascii="Noto Sans CJK JP Regular" w:hAnsi="Noto Sans CJK JP Regular" w:eastAsia="Noto Sans CJK JP Regular" w:cs="Noto Sans CJK JP Regular"/>
                <w:color w:val="auto"/>
                <w:szCs w:val="21"/>
                <w:highlight w:val="none"/>
              </w:rPr>
            </w:pPr>
            <w:r>
              <w:rPr>
                <w:rFonts w:hint="eastAsia" w:ascii="Noto Sans CJK JP Regular" w:hAnsi="Noto Sans CJK JP Regular" w:eastAsia="Noto Sans CJK JP Regular" w:cs="Noto Sans CJK JP Regular"/>
                <w:color w:val="auto"/>
                <w:szCs w:val="21"/>
                <w:highlight w:val="none"/>
              </w:rPr>
              <w:t>4</w:t>
            </w:r>
          </w:p>
        </w:tc>
        <w:tc>
          <w:tcPr>
            <w:tcW w:w="2004"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设备调试</w:t>
            </w:r>
          </w:p>
        </w:tc>
        <w:tc>
          <w:tcPr>
            <w:tcW w:w="2976"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设备安装完成后一个月内</w:t>
            </w:r>
          </w:p>
        </w:tc>
        <w:tc>
          <w:tcPr>
            <w:tcW w:w="2623" w:type="dxa"/>
            <w:vAlign w:val="center"/>
          </w:tcPr>
          <w:p>
            <w:pPr>
              <w:widowControl w:val="0"/>
              <w:autoSpaceDE w:val="0"/>
              <w:autoSpaceDN w:val="0"/>
              <w:adjustRightInd/>
              <w:snapToGrid/>
              <w:jc w:val="center"/>
              <w:rPr>
                <w:rFonts w:ascii="Noto Sans CJK JP Regular" w:hAnsi="Noto Sans CJK JP Regular" w:cs="Noto Sans CJK JP Regular"/>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6" w:type="dxa"/>
            <w:vAlign w:val="center"/>
          </w:tcPr>
          <w:p>
            <w:pPr>
              <w:widowControl w:val="0"/>
              <w:autoSpaceDE w:val="0"/>
              <w:autoSpaceDN w:val="0"/>
              <w:adjustRightInd/>
              <w:snapToGrid/>
              <w:jc w:val="center"/>
              <w:rPr>
                <w:rFonts w:ascii="Noto Sans CJK JP Regular" w:hAnsi="Noto Sans CJK JP Regular" w:eastAsia="Noto Sans CJK JP Regular" w:cs="Noto Sans CJK JP Regular"/>
                <w:color w:val="auto"/>
                <w:szCs w:val="21"/>
                <w:highlight w:val="none"/>
              </w:rPr>
            </w:pPr>
            <w:r>
              <w:rPr>
                <w:rFonts w:hint="eastAsia" w:ascii="Noto Sans CJK JP Regular" w:hAnsi="Noto Sans CJK JP Regular" w:eastAsia="Noto Sans CJK JP Regular" w:cs="Noto Sans CJK JP Regular"/>
                <w:color w:val="auto"/>
                <w:szCs w:val="21"/>
                <w:highlight w:val="none"/>
              </w:rPr>
              <w:t>5</w:t>
            </w:r>
          </w:p>
        </w:tc>
        <w:tc>
          <w:tcPr>
            <w:tcW w:w="2004"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性能测试完成</w:t>
            </w:r>
          </w:p>
        </w:tc>
        <w:tc>
          <w:tcPr>
            <w:tcW w:w="2976"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中转站投入使用后一个月内</w:t>
            </w:r>
          </w:p>
        </w:tc>
        <w:tc>
          <w:tcPr>
            <w:tcW w:w="2623" w:type="dxa"/>
            <w:vAlign w:val="center"/>
          </w:tcPr>
          <w:p>
            <w:pPr>
              <w:widowControl w:val="0"/>
              <w:autoSpaceDE w:val="0"/>
              <w:autoSpaceDN w:val="0"/>
              <w:adjustRightInd/>
              <w:snapToGrid/>
              <w:jc w:val="center"/>
              <w:rPr>
                <w:rFonts w:ascii="宋体" w:hAnsi="宋体" w:cs="宋体"/>
                <w:color w:val="auto"/>
                <w:szCs w:val="21"/>
                <w:highlight w:val="none"/>
              </w:rPr>
            </w:pPr>
          </w:p>
        </w:tc>
      </w:tr>
    </w:tbl>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注：因乙方土建提资有误导致的返工、整改等费用由乙方自行承担。</w:t>
      </w:r>
    </w:p>
    <w:p>
      <w:pPr>
        <w:widowControl w:val="0"/>
        <w:adjustRightInd/>
        <w:snapToGrid/>
        <w:ind w:firstLine="422" w:firstLineChars="200"/>
        <w:jc w:val="both"/>
        <w:rPr>
          <w:rFonts w:ascii="Calibri" w:hAnsi="宋体" w:cs="仿宋_GB2312"/>
          <w:b/>
          <w:bCs/>
          <w:color w:val="auto"/>
          <w:kern w:val="2"/>
          <w:szCs w:val="21"/>
          <w:highlight w:val="none"/>
        </w:rPr>
      </w:pPr>
      <w:r>
        <w:rPr>
          <w:rFonts w:hint="eastAsia" w:ascii="Calibri" w:hAnsi="宋体" w:cs="仿宋_GB2312"/>
          <w:b/>
          <w:bCs/>
          <w:color w:val="auto"/>
          <w:kern w:val="2"/>
          <w:szCs w:val="21"/>
          <w:highlight w:val="none"/>
        </w:rPr>
        <w:t>B包：生活垃圾压缩系统和大件垃圾处理系统采购及安装</w:t>
      </w:r>
    </w:p>
    <w:tbl>
      <w:tblPr>
        <w:tblStyle w:val="35"/>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841"/>
        <w:gridCol w:w="3682"/>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7"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84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主要节点</w:t>
            </w:r>
          </w:p>
        </w:tc>
        <w:tc>
          <w:tcPr>
            <w:tcW w:w="3682"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日期</w:t>
            </w:r>
          </w:p>
        </w:tc>
        <w:tc>
          <w:tcPr>
            <w:tcW w:w="2159"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7"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w:t>
            </w:r>
          </w:p>
        </w:tc>
        <w:tc>
          <w:tcPr>
            <w:tcW w:w="184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土建设计条件提资</w:t>
            </w:r>
          </w:p>
        </w:tc>
        <w:tc>
          <w:tcPr>
            <w:tcW w:w="3682"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中标通知书发出后一周内</w:t>
            </w:r>
          </w:p>
        </w:tc>
        <w:tc>
          <w:tcPr>
            <w:tcW w:w="2159" w:type="dxa"/>
            <w:vAlign w:val="center"/>
          </w:tcPr>
          <w:p>
            <w:pPr>
              <w:widowControl w:val="0"/>
              <w:autoSpaceDE w:val="0"/>
              <w:autoSpaceDN w:val="0"/>
              <w:adjustRightInd/>
              <w:snapToGrid/>
              <w:jc w:val="both"/>
              <w:rPr>
                <w:rFonts w:ascii="宋体" w:hAnsi="宋体" w:cs="宋体"/>
                <w:bCs/>
                <w:color w:val="auto"/>
                <w:szCs w:val="21"/>
                <w:highlight w:val="none"/>
              </w:rPr>
            </w:pPr>
            <w:r>
              <w:rPr>
                <w:rFonts w:hint="eastAsia" w:ascii="宋体" w:hAnsi="宋体" w:cs="宋体"/>
                <w:bCs/>
                <w:color w:val="auto"/>
                <w:szCs w:val="21"/>
                <w:highlight w:val="none"/>
              </w:rPr>
              <w:t>根据车间土建方案图结合设备进行微调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7"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w:t>
            </w:r>
          </w:p>
        </w:tc>
        <w:tc>
          <w:tcPr>
            <w:tcW w:w="184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设备到货</w:t>
            </w:r>
          </w:p>
        </w:tc>
        <w:tc>
          <w:tcPr>
            <w:tcW w:w="3682"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color w:val="auto"/>
                <w:highlight w:val="none"/>
              </w:rPr>
              <w:t>收到甲方进场通知后一周</w:t>
            </w:r>
          </w:p>
        </w:tc>
        <w:tc>
          <w:tcPr>
            <w:tcW w:w="2159" w:type="dxa"/>
            <w:vAlign w:val="center"/>
          </w:tcPr>
          <w:p>
            <w:pPr>
              <w:widowControl w:val="0"/>
              <w:autoSpaceDE w:val="0"/>
              <w:autoSpaceDN w:val="0"/>
              <w:adjustRightInd/>
              <w:snapToGrid/>
              <w:jc w:val="center"/>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7"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w:t>
            </w:r>
          </w:p>
        </w:tc>
        <w:tc>
          <w:tcPr>
            <w:tcW w:w="184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设备安装完成</w:t>
            </w:r>
          </w:p>
        </w:tc>
        <w:tc>
          <w:tcPr>
            <w:tcW w:w="3682"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设备到货后一个半月内</w:t>
            </w:r>
          </w:p>
        </w:tc>
        <w:tc>
          <w:tcPr>
            <w:tcW w:w="2159" w:type="dxa"/>
            <w:vAlign w:val="center"/>
          </w:tcPr>
          <w:p>
            <w:pPr>
              <w:widowControl w:val="0"/>
              <w:autoSpaceDE w:val="0"/>
              <w:autoSpaceDN w:val="0"/>
              <w:adjustRightInd/>
              <w:snapToGrid/>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7"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4</w:t>
            </w:r>
          </w:p>
        </w:tc>
        <w:tc>
          <w:tcPr>
            <w:tcW w:w="184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设备调试</w:t>
            </w:r>
          </w:p>
        </w:tc>
        <w:tc>
          <w:tcPr>
            <w:tcW w:w="3682"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设备安装完成后一个月内</w:t>
            </w:r>
          </w:p>
        </w:tc>
        <w:tc>
          <w:tcPr>
            <w:tcW w:w="2159" w:type="dxa"/>
            <w:vAlign w:val="center"/>
          </w:tcPr>
          <w:p>
            <w:pPr>
              <w:widowControl w:val="0"/>
              <w:autoSpaceDE w:val="0"/>
              <w:autoSpaceDN w:val="0"/>
              <w:adjustRightInd/>
              <w:snapToGrid/>
              <w:jc w:val="center"/>
              <w:rPr>
                <w:rFonts w:ascii="宋体" w:hAnsi="宋体" w:cs="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7"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5</w:t>
            </w:r>
          </w:p>
        </w:tc>
        <w:tc>
          <w:tcPr>
            <w:tcW w:w="184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性能测试完成</w:t>
            </w:r>
          </w:p>
        </w:tc>
        <w:tc>
          <w:tcPr>
            <w:tcW w:w="3682"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中转站投入使用后一个月内</w:t>
            </w:r>
          </w:p>
        </w:tc>
        <w:tc>
          <w:tcPr>
            <w:tcW w:w="2159" w:type="dxa"/>
            <w:vAlign w:val="center"/>
          </w:tcPr>
          <w:p>
            <w:pPr>
              <w:widowControl w:val="0"/>
              <w:autoSpaceDE w:val="0"/>
              <w:autoSpaceDN w:val="0"/>
              <w:adjustRightInd/>
              <w:snapToGrid/>
              <w:jc w:val="center"/>
              <w:rPr>
                <w:rFonts w:ascii="宋体" w:hAnsi="宋体" w:cs="宋体"/>
                <w:color w:val="auto"/>
                <w:szCs w:val="21"/>
                <w:highlight w:val="none"/>
              </w:rPr>
            </w:pPr>
          </w:p>
        </w:tc>
      </w:tr>
    </w:tbl>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注：因乙方土建提资有误导致的返工、整改等费用由乙方自行承担。</w:t>
      </w:r>
    </w:p>
    <w:p>
      <w:pPr>
        <w:pStyle w:val="32"/>
        <w:ind w:left="0" w:firstLine="0" w:firstLineChars="0"/>
        <w:jc w:val="left"/>
        <w:rPr>
          <w:color w:val="auto"/>
          <w:sz w:val="21"/>
          <w:szCs w:val="21"/>
          <w:highlight w:val="none"/>
        </w:rPr>
      </w:pPr>
      <w:r>
        <w:rPr>
          <w:rFonts w:hint="eastAsia" w:ascii="Calibri" w:hAnsi="宋体" w:cs="仿宋_GB2312"/>
          <w:b/>
          <w:bCs/>
          <w:color w:val="auto"/>
          <w:kern w:val="2"/>
          <w:sz w:val="21"/>
          <w:szCs w:val="21"/>
          <w:highlight w:val="none"/>
        </w:rPr>
        <w:t>C包：除臭系统采购及安装</w:t>
      </w:r>
    </w:p>
    <w:tbl>
      <w:tblPr>
        <w:tblStyle w:val="35"/>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2031"/>
        <w:gridCol w:w="2810"/>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6"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03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主要节点</w:t>
            </w:r>
          </w:p>
        </w:tc>
        <w:tc>
          <w:tcPr>
            <w:tcW w:w="2810"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日期</w:t>
            </w:r>
          </w:p>
        </w:tc>
        <w:tc>
          <w:tcPr>
            <w:tcW w:w="2732"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6" w:type="dxa"/>
            <w:vAlign w:val="center"/>
          </w:tcPr>
          <w:p>
            <w:pPr>
              <w:widowControl w:val="0"/>
              <w:autoSpaceDE w:val="0"/>
              <w:autoSpaceDN w:val="0"/>
              <w:adjustRightInd/>
              <w:snapToGrid/>
              <w:jc w:val="center"/>
              <w:rPr>
                <w:rFonts w:ascii="宋体" w:hAnsi="宋体" w:cs="宋体"/>
                <w:color w:val="auto"/>
                <w:szCs w:val="21"/>
                <w:highlight w:val="none"/>
              </w:rPr>
            </w:pPr>
            <w:r>
              <w:rPr>
                <w:rFonts w:ascii="Noto Sans CJK JP Regular" w:hAnsi="Noto Sans CJK JP Regular" w:eastAsia="Noto Sans CJK JP Regular" w:cs="Noto Sans CJK JP Regular"/>
                <w:color w:val="auto"/>
                <w:szCs w:val="21"/>
                <w:highlight w:val="none"/>
              </w:rPr>
              <w:t>1</w:t>
            </w:r>
          </w:p>
        </w:tc>
        <w:tc>
          <w:tcPr>
            <w:tcW w:w="2031" w:type="dxa"/>
            <w:vAlign w:val="center"/>
          </w:tcPr>
          <w:p>
            <w:pPr>
              <w:widowControl w:val="0"/>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土建设计条件提资</w:t>
            </w:r>
          </w:p>
        </w:tc>
        <w:tc>
          <w:tcPr>
            <w:tcW w:w="2810" w:type="dxa"/>
          </w:tcPr>
          <w:p>
            <w:pPr>
              <w:widowControl w:val="0"/>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中标通知书发出后一周内</w:t>
            </w:r>
          </w:p>
        </w:tc>
        <w:tc>
          <w:tcPr>
            <w:tcW w:w="2732" w:type="dxa"/>
            <w:vAlign w:val="center"/>
          </w:tcPr>
          <w:p>
            <w:pPr>
              <w:widowControl w:val="0"/>
              <w:autoSpaceDE w:val="0"/>
              <w:autoSpaceDN w:val="0"/>
              <w:adjustRightInd/>
              <w:snapToGrid/>
              <w:rPr>
                <w:rFonts w:ascii="宋体" w:hAnsi="宋体" w:cs="宋体"/>
                <w:bCs/>
                <w:color w:val="auto"/>
                <w:szCs w:val="21"/>
                <w:highlight w:val="none"/>
              </w:rPr>
            </w:pPr>
            <w:r>
              <w:rPr>
                <w:rFonts w:hint="eastAsia" w:ascii="宋体" w:hAnsi="宋体" w:cs="宋体"/>
                <w:bCs/>
                <w:color w:val="auto"/>
                <w:szCs w:val="21"/>
                <w:highlight w:val="none"/>
              </w:rPr>
              <w:t>根据设备基础平面调整非标设备尺寸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6" w:type="dxa"/>
            <w:vAlign w:val="center"/>
          </w:tcPr>
          <w:p>
            <w:pPr>
              <w:widowControl w:val="0"/>
              <w:autoSpaceDE w:val="0"/>
              <w:autoSpaceDN w:val="0"/>
              <w:adjustRightInd/>
              <w:snapToGrid/>
              <w:jc w:val="center"/>
              <w:rPr>
                <w:rFonts w:ascii="Noto Sans CJK JP Regular" w:hAnsi="Noto Sans CJK JP Regular" w:eastAsia="Noto Sans CJK JP Regular" w:cs="Noto Sans CJK JP Regular"/>
                <w:color w:val="auto"/>
                <w:szCs w:val="21"/>
                <w:highlight w:val="none"/>
              </w:rPr>
            </w:pPr>
            <w:r>
              <w:rPr>
                <w:rFonts w:hint="eastAsia" w:ascii="Noto Sans CJK JP Regular" w:hAnsi="Noto Sans CJK JP Regular" w:eastAsia="Noto Sans CJK JP Regular" w:cs="Noto Sans CJK JP Regular"/>
                <w:color w:val="auto"/>
                <w:szCs w:val="21"/>
                <w:highlight w:val="none"/>
              </w:rPr>
              <w:t>2</w:t>
            </w:r>
          </w:p>
        </w:tc>
        <w:tc>
          <w:tcPr>
            <w:tcW w:w="2031" w:type="dxa"/>
            <w:vAlign w:val="center"/>
          </w:tcPr>
          <w:p>
            <w:pPr>
              <w:widowControl w:val="0"/>
              <w:autoSpaceDE w:val="0"/>
              <w:autoSpaceDN w:val="0"/>
              <w:adjustRightInd/>
              <w:snapToGrid/>
              <w:jc w:val="center"/>
              <w:rPr>
                <w:rFonts w:ascii="Noto Sans CJK JP Regular" w:hAnsi="Noto Sans CJK JP Regular" w:eastAsia="Noto Sans CJK JP Regular" w:cs="Noto Sans CJK JP Regular"/>
                <w:color w:val="auto"/>
                <w:szCs w:val="21"/>
                <w:highlight w:val="none"/>
              </w:rPr>
            </w:pPr>
            <w:r>
              <w:rPr>
                <w:rFonts w:hint="eastAsia" w:ascii="宋体" w:hAnsi="宋体" w:cs="宋体"/>
                <w:color w:val="auto"/>
                <w:szCs w:val="21"/>
                <w:highlight w:val="none"/>
              </w:rPr>
              <w:t>设备到货</w:t>
            </w:r>
          </w:p>
        </w:tc>
        <w:tc>
          <w:tcPr>
            <w:tcW w:w="2810" w:type="dxa"/>
          </w:tcPr>
          <w:p>
            <w:pPr>
              <w:widowControl w:val="0"/>
              <w:autoSpaceDE w:val="0"/>
              <w:autoSpaceDN w:val="0"/>
              <w:adjustRightInd/>
              <w:snapToGrid/>
              <w:rPr>
                <w:rFonts w:ascii="Noto Sans CJK JP Regular" w:hAnsi="Noto Sans CJK JP Regular" w:eastAsia="Noto Sans CJK JP Regular" w:cs="Noto Sans CJK JP Regular"/>
                <w:color w:val="auto"/>
                <w:szCs w:val="21"/>
                <w:highlight w:val="none"/>
              </w:rPr>
            </w:pPr>
            <w:r>
              <w:rPr>
                <w:rFonts w:hint="eastAsia"/>
                <w:color w:val="auto"/>
                <w:highlight w:val="none"/>
              </w:rPr>
              <w:t>收到甲方进场通知后一周</w:t>
            </w:r>
          </w:p>
        </w:tc>
        <w:tc>
          <w:tcPr>
            <w:tcW w:w="2732" w:type="dxa"/>
            <w:vAlign w:val="center"/>
          </w:tcPr>
          <w:p>
            <w:pPr>
              <w:widowControl w:val="0"/>
              <w:autoSpaceDE w:val="0"/>
              <w:autoSpaceDN w:val="0"/>
              <w:adjustRightInd/>
              <w:snapToGrid/>
              <w:rPr>
                <w:rFonts w:ascii="Noto Sans CJK JP Regular" w:hAnsi="Noto Sans CJK JP Regular" w:cs="Noto Sans CJK JP Regular"/>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6" w:type="dxa"/>
            <w:vAlign w:val="center"/>
          </w:tcPr>
          <w:p>
            <w:pPr>
              <w:widowControl w:val="0"/>
              <w:autoSpaceDE w:val="0"/>
              <w:autoSpaceDN w:val="0"/>
              <w:adjustRightInd/>
              <w:snapToGrid/>
              <w:jc w:val="center"/>
              <w:rPr>
                <w:rFonts w:ascii="Noto Sans CJK JP Regular" w:hAnsi="Noto Sans CJK JP Regular" w:eastAsia="Noto Sans CJK JP Regular" w:cs="Noto Sans CJK JP Regular"/>
                <w:color w:val="auto"/>
                <w:szCs w:val="21"/>
                <w:highlight w:val="none"/>
              </w:rPr>
            </w:pPr>
            <w:r>
              <w:rPr>
                <w:rFonts w:hint="eastAsia" w:ascii="Noto Sans CJK JP Regular" w:hAnsi="Noto Sans CJK JP Regular" w:eastAsia="Noto Sans CJK JP Regular" w:cs="Noto Sans CJK JP Regular"/>
                <w:color w:val="auto"/>
                <w:szCs w:val="21"/>
                <w:highlight w:val="none"/>
              </w:rPr>
              <w:t>3</w:t>
            </w:r>
          </w:p>
        </w:tc>
        <w:tc>
          <w:tcPr>
            <w:tcW w:w="2031" w:type="dxa"/>
            <w:vAlign w:val="center"/>
          </w:tcPr>
          <w:p>
            <w:pPr>
              <w:widowControl w:val="0"/>
              <w:autoSpaceDE w:val="0"/>
              <w:autoSpaceDN w:val="0"/>
              <w:adjustRightInd/>
              <w:snapToGrid/>
              <w:jc w:val="center"/>
              <w:rPr>
                <w:rFonts w:ascii="Noto Sans CJK JP Regular" w:hAnsi="Noto Sans CJK JP Regular" w:eastAsia="Noto Sans CJK JP Regular" w:cs="Noto Sans CJK JP Regular"/>
                <w:color w:val="auto"/>
                <w:szCs w:val="21"/>
                <w:highlight w:val="none"/>
              </w:rPr>
            </w:pPr>
            <w:r>
              <w:rPr>
                <w:rFonts w:hint="eastAsia" w:ascii="宋体" w:hAnsi="宋体" w:cs="宋体"/>
                <w:color w:val="auto"/>
                <w:szCs w:val="21"/>
                <w:highlight w:val="none"/>
              </w:rPr>
              <w:t>设备安装完成</w:t>
            </w:r>
          </w:p>
        </w:tc>
        <w:tc>
          <w:tcPr>
            <w:tcW w:w="2810" w:type="dxa"/>
          </w:tcPr>
          <w:p>
            <w:pPr>
              <w:widowControl w:val="0"/>
              <w:autoSpaceDE w:val="0"/>
              <w:autoSpaceDN w:val="0"/>
              <w:adjustRightInd/>
              <w:snapToGrid/>
              <w:rPr>
                <w:rFonts w:ascii="Noto Sans CJK JP Regular" w:hAnsi="Noto Sans CJK JP Regular" w:eastAsia="Noto Sans CJK JP Regular" w:cs="Noto Sans CJK JP Regular"/>
                <w:color w:val="auto"/>
                <w:szCs w:val="21"/>
                <w:highlight w:val="none"/>
              </w:rPr>
            </w:pPr>
            <w:r>
              <w:rPr>
                <w:rFonts w:hint="eastAsia" w:ascii="宋体" w:hAnsi="宋体" w:cs="宋体"/>
                <w:color w:val="auto"/>
                <w:szCs w:val="21"/>
                <w:highlight w:val="none"/>
              </w:rPr>
              <w:t>设备到货后一个半月内</w:t>
            </w:r>
          </w:p>
        </w:tc>
        <w:tc>
          <w:tcPr>
            <w:tcW w:w="2732" w:type="dxa"/>
            <w:vAlign w:val="center"/>
          </w:tcPr>
          <w:p>
            <w:pPr>
              <w:widowControl w:val="0"/>
              <w:autoSpaceDE w:val="0"/>
              <w:autoSpaceDN w:val="0"/>
              <w:adjustRightInd/>
              <w:snapToGrid/>
              <w:rPr>
                <w:rFonts w:ascii="Noto Sans CJK JP Regular" w:hAnsi="Noto Sans CJK JP Regular" w:eastAsia="Noto Sans CJK JP Regular" w:cs="Noto Sans CJK JP Regula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6" w:type="dxa"/>
            <w:vAlign w:val="center"/>
          </w:tcPr>
          <w:p>
            <w:pPr>
              <w:widowControl w:val="0"/>
              <w:autoSpaceDE w:val="0"/>
              <w:autoSpaceDN w:val="0"/>
              <w:adjustRightInd/>
              <w:snapToGrid/>
              <w:jc w:val="center"/>
              <w:rPr>
                <w:rFonts w:ascii="Noto Sans CJK JP Regular" w:hAnsi="Noto Sans CJK JP Regular" w:eastAsia="Noto Sans CJK JP Regular" w:cs="Noto Sans CJK JP Regular"/>
                <w:color w:val="auto"/>
                <w:szCs w:val="21"/>
                <w:highlight w:val="none"/>
              </w:rPr>
            </w:pPr>
            <w:r>
              <w:rPr>
                <w:rFonts w:hint="eastAsia" w:ascii="Noto Sans CJK JP Regular" w:hAnsi="Noto Sans CJK JP Regular" w:eastAsia="Noto Sans CJK JP Regular" w:cs="Noto Sans CJK JP Regular"/>
                <w:color w:val="auto"/>
                <w:szCs w:val="21"/>
                <w:highlight w:val="none"/>
              </w:rPr>
              <w:t>4</w:t>
            </w:r>
          </w:p>
        </w:tc>
        <w:tc>
          <w:tcPr>
            <w:tcW w:w="2031" w:type="dxa"/>
            <w:vAlign w:val="center"/>
          </w:tcPr>
          <w:p>
            <w:pPr>
              <w:widowControl w:val="0"/>
              <w:autoSpaceDE w:val="0"/>
              <w:autoSpaceDN w:val="0"/>
              <w:adjustRightInd/>
              <w:snapToGrid/>
              <w:jc w:val="center"/>
              <w:rPr>
                <w:rFonts w:ascii="Noto Sans CJK JP Regular" w:hAnsi="Noto Sans CJK JP Regular" w:eastAsia="Noto Sans CJK JP Regular" w:cs="Noto Sans CJK JP Regular"/>
                <w:color w:val="auto"/>
                <w:szCs w:val="21"/>
                <w:highlight w:val="none"/>
              </w:rPr>
            </w:pPr>
            <w:r>
              <w:rPr>
                <w:rFonts w:hint="eastAsia" w:ascii="宋体" w:hAnsi="宋体" w:cs="宋体"/>
                <w:color w:val="auto"/>
                <w:szCs w:val="21"/>
                <w:highlight w:val="none"/>
              </w:rPr>
              <w:t>主要设备调试</w:t>
            </w:r>
          </w:p>
        </w:tc>
        <w:tc>
          <w:tcPr>
            <w:tcW w:w="2810" w:type="dxa"/>
          </w:tcPr>
          <w:p>
            <w:pPr>
              <w:widowControl w:val="0"/>
              <w:autoSpaceDE w:val="0"/>
              <w:autoSpaceDN w:val="0"/>
              <w:adjustRightInd/>
              <w:snapToGrid/>
              <w:rPr>
                <w:rFonts w:ascii="Noto Sans CJK JP Regular" w:hAnsi="Noto Sans CJK JP Regular" w:eastAsia="Noto Sans CJK JP Regular" w:cs="Noto Sans CJK JP Regular"/>
                <w:color w:val="auto"/>
                <w:szCs w:val="21"/>
                <w:highlight w:val="none"/>
              </w:rPr>
            </w:pPr>
            <w:r>
              <w:rPr>
                <w:rFonts w:hint="eastAsia" w:ascii="宋体" w:hAnsi="宋体" w:cs="宋体"/>
                <w:color w:val="auto"/>
                <w:szCs w:val="21"/>
                <w:highlight w:val="none"/>
              </w:rPr>
              <w:t>设备安装完成后一个月内</w:t>
            </w:r>
          </w:p>
        </w:tc>
        <w:tc>
          <w:tcPr>
            <w:tcW w:w="2732" w:type="dxa"/>
            <w:vAlign w:val="center"/>
          </w:tcPr>
          <w:p>
            <w:pPr>
              <w:widowControl w:val="0"/>
              <w:autoSpaceDE w:val="0"/>
              <w:autoSpaceDN w:val="0"/>
              <w:adjustRightInd/>
              <w:snapToGrid/>
              <w:rPr>
                <w:rFonts w:ascii="Noto Sans CJK JP Regular" w:hAnsi="Noto Sans CJK JP Regular" w:cs="Noto Sans CJK JP Regular"/>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6" w:type="dxa"/>
            <w:vAlign w:val="center"/>
          </w:tcPr>
          <w:p>
            <w:pPr>
              <w:widowControl w:val="0"/>
              <w:autoSpaceDE w:val="0"/>
              <w:autoSpaceDN w:val="0"/>
              <w:adjustRightInd/>
              <w:snapToGrid/>
              <w:jc w:val="center"/>
              <w:rPr>
                <w:rFonts w:ascii="Noto Sans CJK JP Regular" w:hAnsi="Noto Sans CJK JP Regular" w:eastAsia="Noto Sans CJK JP Regular" w:cs="Noto Sans CJK JP Regular"/>
                <w:color w:val="auto"/>
                <w:szCs w:val="21"/>
                <w:highlight w:val="none"/>
              </w:rPr>
            </w:pPr>
            <w:r>
              <w:rPr>
                <w:rFonts w:hint="eastAsia" w:ascii="Noto Sans CJK JP Regular" w:hAnsi="Noto Sans CJK JP Regular" w:eastAsia="Noto Sans CJK JP Regular" w:cs="Noto Sans CJK JP Regular"/>
                <w:color w:val="auto"/>
                <w:szCs w:val="21"/>
                <w:highlight w:val="none"/>
              </w:rPr>
              <w:t>5</w:t>
            </w:r>
          </w:p>
        </w:tc>
        <w:tc>
          <w:tcPr>
            <w:tcW w:w="2031" w:type="dxa"/>
            <w:vAlign w:val="center"/>
          </w:tcPr>
          <w:p>
            <w:pPr>
              <w:widowControl w:val="0"/>
              <w:autoSpaceDE w:val="0"/>
              <w:autoSpaceDN w:val="0"/>
              <w:adjustRightInd/>
              <w:snapToGrid/>
              <w:jc w:val="center"/>
              <w:rPr>
                <w:rFonts w:ascii="Noto Sans CJK JP Regular" w:hAnsi="Noto Sans CJK JP Regular" w:eastAsia="Noto Sans CJK JP Regular" w:cs="Noto Sans CJK JP Regular"/>
                <w:color w:val="auto"/>
                <w:szCs w:val="21"/>
                <w:highlight w:val="none"/>
              </w:rPr>
            </w:pPr>
            <w:r>
              <w:rPr>
                <w:rFonts w:hint="eastAsia" w:ascii="宋体" w:hAnsi="宋体" w:cs="宋体"/>
                <w:color w:val="auto"/>
                <w:szCs w:val="21"/>
                <w:highlight w:val="none"/>
              </w:rPr>
              <w:t>性能测试完成</w:t>
            </w:r>
          </w:p>
        </w:tc>
        <w:tc>
          <w:tcPr>
            <w:tcW w:w="2810" w:type="dxa"/>
          </w:tcPr>
          <w:p>
            <w:pPr>
              <w:widowControl w:val="0"/>
              <w:autoSpaceDE w:val="0"/>
              <w:autoSpaceDN w:val="0"/>
              <w:adjustRightInd/>
              <w:snapToGrid/>
              <w:rPr>
                <w:rFonts w:ascii="Noto Sans CJK JP Regular" w:hAnsi="Noto Sans CJK JP Regular" w:eastAsia="Noto Sans CJK JP Regular" w:cs="Noto Sans CJK JP Regular"/>
                <w:color w:val="auto"/>
                <w:szCs w:val="21"/>
                <w:highlight w:val="none"/>
              </w:rPr>
            </w:pPr>
            <w:r>
              <w:rPr>
                <w:rFonts w:hint="eastAsia" w:ascii="宋体" w:hAnsi="宋体" w:cs="宋体"/>
                <w:color w:val="auto"/>
                <w:szCs w:val="21"/>
                <w:highlight w:val="none"/>
              </w:rPr>
              <w:t>中转站投入使用后一个月内</w:t>
            </w:r>
          </w:p>
        </w:tc>
        <w:tc>
          <w:tcPr>
            <w:tcW w:w="2732" w:type="dxa"/>
            <w:vAlign w:val="center"/>
          </w:tcPr>
          <w:p>
            <w:pPr>
              <w:widowControl w:val="0"/>
              <w:autoSpaceDE w:val="0"/>
              <w:autoSpaceDN w:val="0"/>
              <w:adjustRightInd/>
              <w:snapToGrid/>
              <w:rPr>
                <w:rFonts w:ascii="宋体" w:hAnsi="宋体" w:cs="宋体"/>
                <w:color w:val="auto"/>
                <w:szCs w:val="21"/>
                <w:highlight w:val="none"/>
              </w:rPr>
            </w:pPr>
          </w:p>
        </w:tc>
      </w:tr>
    </w:tbl>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注：因乙方土建提资有误导致的返工、整改等费用由乙方自行承担。</w:t>
      </w:r>
    </w:p>
    <w:p>
      <w:pPr>
        <w:pStyle w:val="32"/>
        <w:ind w:left="0" w:firstLine="0" w:firstLineChars="0"/>
        <w:jc w:val="left"/>
        <w:rPr>
          <w:color w:val="auto"/>
          <w:sz w:val="21"/>
          <w:szCs w:val="21"/>
          <w:highlight w:val="none"/>
        </w:rPr>
      </w:pPr>
      <w:r>
        <w:rPr>
          <w:rFonts w:hint="eastAsia" w:ascii="Calibri" w:hAnsi="宋体" w:cs="仿宋_GB2312"/>
          <w:b/>
          <w:bCs/>
          <w:color w:val="auto"/>
          <w:kern w:val="2"/>
          <w:sz w:val="21"/>
          <w:szCs w:val="21"/>
          <w:highlight w:val="none"/>
        </w:rPr>
        <w:t>D包：厨余处理系统采购及安装</w:t>
      </w:r>
    </w:p>
    <w:tbl>
      <w:tblPr>
        <w:tblStyle w:val="35"/>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2441"/>
        <w:gridCol w:w="3000"/>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Align w:val="center"/>
          </w:tcPr>
          <w:p>
            <w:pPr>
              <w:widowControl w:val="0"/>
              <w:autoSpaceDE w:val="0"/>
              <w:autoSpaceDN w:val="0"/>
              <w:adjustRightInd/>
              <w:snapToGrid/>
              <w:spacing w:line="24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441" w:type="dxa"/>
            <w:vAlign w:val="center"/>
          </w:tcPr>
          <w:p>
            <w:pPr>
              <w:widowControl w:val="0"/>
              <w:autoSpaceDE w:val="0"/>
              <w:autoSpaceDN w:val="0"/>
              <w:adjustRightInd/>
              <w:snapToGrid/>
              <w:spacing w:line="240" w:lineRule="auto"/>
              <w:jc w:val="center"/>
              <w:rPr>
                <w:rFonts w:ascii="宋体" w:hAnsi="宋体" w:cs="宋体"/>
                <w:color w:val="auto"/>
                <w:szCs w:val="21"/>
                <w:highlight w:val="none"/>
              </w:rPr>
            </w:pPr>
            <w:r>
              <w:rPr>
                <w:rFonts w:hint="eastAsia" w:ascii="宋体" w:hAnsi="宋体" w:cs="宋体"/>
                <w:color w:val="auto"/>
                <w:szCs w:val="21"/>
                <w:highlight w:val="none"/>
              </w:rPr>
              <w:t>主要节点</w:t>
            </w:r>
          </w:p>
        </w:tc>
        <w:tc>
          <w:tcPr>
            <w:tcW w:w="3000" w:type="dxa"/>
            <w:vAlign w:val="center"/>
          </w:tcPr>
          <w:p>
            <w:pPr>
              <w:widowControl w:val="0"/>
              <w:autoSpaceDE w:val="0"/>
              <w:autoSpaceDN w:val="0"/>
              <w:adjustRightInd/>
              <w:snapToGrid/>
              <w:spacing w:line="240" w:lineRule="auto"/>
              <w:jc w:val="center"/>
              <w:rPr>
                <w:rFonts w:ascii="宋体" w:hAnsi="宋体" w:cs="宋体"/>
                <w:color w:val="auto"/>
                <w:szCs w:val="21"/>
                <w:highlight w:val="none"/>
              </w:rPr>
            </w:pPr>
            <w:r>
              <w:rPr>
                <w:rFonts w:hint="eastAsia" w:ascii="宋体" w:hAnsi="宋体" w:cs="宋体"/>
                <w:color w:val="auto"/>
                <w:szCs w:val="21"/>
                <w:highlight w:val="none"/>
              </w:rPr>
              <w:t>日期</w:t>
            </w:r>
          </w:p>
        </w:tc>
        <w:tc>
          <w:tcPr>
            <w:tcW w:w="2159" w:type="dxa"/>
            <w:vAlign w:val="center"/>
          </w:tcPr>
          <w:p>
            <w:pPr>
              <w:widowControl w:val="0"/>
              <w:autoSpaceDE w:val="0"/>
              <w:autoSpaceDN w:val="0"/>
              <w:adjustRightInd/>
              <w:snapToGrid/>
              <w:spacing w:line="240" w:lineRule="auto"/>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Align w:val="center"/>
          </w:tcPr>
          <w:p>
            <w:pPr>
              <w:widowControl w:val="0"/>
              <w:autoSpaceDE w:val="0"/>
              <w:autoSpaceDN w:val="0"/>
              <w:adjustRightInd/>
              <w:snapToGrid/>
              <w:spacing w:line="240" w:lineRule="auto"/>
              <w:jc w:val="center"/>
              <w:rPr>
                <w:rFonts w:ascii="宋体" w:hAnsi="宋体" w:cs="宋体"/>
                <w:color w:val="auto"/>
                <w:szCs w:val="21"/>
                <w:highlight w:val="none"/>
              </w:rPr>
            </w:pPr>
            <w:r>
              <w:rPr>
                <w:rFonts w:ascii="宋体" w:hAnsi="Noto Sans CJK JP Regular" w:cs="Noto Sans CJK JP Regular"/>
                <w:color w:val="auto"/>
                <w:szCs w:val="21"/>
                <w:highlight w:val="none"/>
              </w:rPr>
              <w:t>1</w:t>
            </w:r>
          </w:p>
        </w:tc>
        <w:tc>
          <w:tcPr>
            <w:tcW w:w="2441" w:type="dxa"/>
            <w:vAlign w:val="center"/>
          </w:tcPr>
          <w:p>
            <w:pPr>
              <w:widowControl w:val="0"/>
              <w:autoSpaceDE w:val="0"/>
              <w:autoSpaceDN w:val="0"/>
              <w:adjustRightInd/>
              <w:snapToGrid/>
              <w:spacing w:line="240" w:lineRule="auto"/>
              <w:jc w:val="center"/>
              <w:rPr>
                <w:rFonts w:ascii="宋体" w:hAnsi="宋体" w:cs="宋体"/>
                <w:color w:val="auto"/>
                <w:szCs w:val="21"/>
                <w:highlight w:val="none"/>
              </w:rPr>
            </w:pPr>
            <w:r>
              <w:rPr>
                <w:rFonts w:hint="eastAsia" w:ascii="宋体" w:hAnsi="宋体" w:cs="宋体"/>
                <w:color w:val="auto"/>
                <w:szCs w:val="21"/>
                <w:highlight w:val="none"/>
              </w:rPr>
              <w:t>土建设计条件提资</w:t>
            </w:r>
          </w:p>
        </w:tc>
        <w:tc>
          <w:tcPr>
            <w:tcW w:w="3000" w:type="dxa"/>
            <w:vAlign w:val="center"/>
          </w:tcPr>
          <w:p>
            <w:pPr>
              <w:widowControl w:val="0"/>
              <w:autoSpaceDE w:val="0"/>
              <w:autoSpaceDN w:val="0"/>
              <w:adjustRightInd/>
              <w:snapToGrid/>
              <w:spacing w:line="240" w:lineRule="auto"/>
              <w:jc w:val="both"/>
              <w:rPr>
                <w:rFonts w:ascii="宋体" w:hAnsi="宋体" w:cs="宋体"/>
                <w:color w:val="auto"/>
                <w:szCs w:val="21"/>
                <w:highlight w:val="none"/>
              </w:rPr>
            </w:pPr>
            <w:r>
              <w:rPr>
                <w:rFonts w:hint="eastAsia" w:ascii="宋体" w:hAnsi="宋体" w:cs="宋体"/>
                <w:color w:val="auto"/>
                <w:szCs w:val="21"/>
                <w:highlight w:val="none"/>
              </w:rPr>
              <w:t>中标通知书发出后一周内</w:t>
            </w:r>
          </w:p>
        </w:tc>
        <w:tc>
          <w:tcPr>
            <w:tcW w:w="2159" w:type="dxa"/>
            <w:vAlign w:val="center"/>
          </w:tcPr>
          <w:p>
            <w:pPr>
              <w:widowControl w:val="0"/>
              <w:autoSpaceDE w:val="0"/>
              <w:autoSpaceDN w:val="0"/>
              <w:adjustRightInd/>
              <w:snapToGrid/>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根据设备基础平面调整非标设备尺寸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Align w:val="center"/>
          </w:tcPr>
          <w:p>
            <w:pPr>
              <w:widowControl w:val="0"/>
              <w:autoSpaceDE w:val="0"/>
              <w:autoSpaceDN w:val="0"/>
              <w:adjustRightInd/>
              <w:snapToGrid/>
              <w:spacing w:line="240" w:lineRule="auto"/>
              <w:jc w:val="center"/>
              <w:rPr>
                <w:rFonts w:ascii="宋体" w:hAnsi="Noto Sans CJK JP Regular" w:cs="Noto Sans CJK JP Regular"/>
                <w:color w:val="auto"/>
                <w:szCs w:val="21"/>
                <w:highlight w:val="none"/>
              </w:rPr>
            </w:pPr>
            <w:r>
              <w:rPr>
                <w:rFonts w:hint="eastAsia" w:ascii="宋体" w:hAnsi="Noto Sans CJK JP Regular" w:cs="Noto Sans CJK JP Regular"/>
                <w:color w:val="auto"/>
                <w:szCs w:val="21"/>
                <w:highlight w:val="none"/>
              </w:rPr>
              <w:t>2</w:t>
            </w:r>
          </w:p>
        </w:tc>
        <w:tc>
          <w:tcPr>
            <w:tcW w:w="2441" w:type="dxa"/>
            <w:vAlign w:val="center"/>
          </w:tcPr>
          <w:p>
            <w:pPr>
              <w:widowControl w:val="0"/>
              <w:autoSpaceDE w:val="0"/>
              <w:autoSpaceDN w:val="0"/>
              <w:adjustRightInd/>
              <w:snapToGrid/>
              <w:spacing w:line="240" w:lineRule="auto"/>
              <w:jc w:val="center"/>
              <w:rPr>
                <w:rFonts w:ascii="宋体" w:hAnsi="宋体" w:cs="宋体"/>
                <w:color w:val="auto"/>
                <w:szCs w:val="21"/>
                <w:highlight w:val="none"/>
              </w:rPr>
            </w:pPr>
            <w:r>
              <w:rPr>
                <w:rFonts w:hint="eastAsia" w:ascii="宋体" w:hAnsi="宋体" w:cs="宋体"/>
                <w:color w:val="auto"/>
                <w:szCs w:val="21"/>
                <w:highlight w:val="none"/>
              </w:rPr>
              <w:t>设备到货</w:t>
            </w:r>
          </w:p>
        </w:tc>
        <w:tc>
          <w:tcPr>
            <w:tcW w:w="3000"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color w:val="auto"/>
                <w:highlight w:val="none"/>
              </w:rPr>
              <w:t>收到甲方进场通知后一周</w:t>
            </w:r>
          </w:p>
        </w:tc>
        <w:tc>
          <w:tcPr>
            <w:tcW w:w="2159" w:type="dxa"/>
            <w:vAlign w:val="center"/>
          </w:tcPr>
          <w:p>
            <w:pPr>
              <w:widowControl w:val="0"/>
              <w:autoSpaceDE w:val="0"/>
              <w:autoSpaceDN w:val="0"/>
              <w:adjustRightInd/>
              <w:snapToGrid/>
              <w:spacing w:line="240" w:lineRule="auto"/>
              <w:jc w:val="center"/>
              <w:rPr>
                <w:rFonts w:ascii="宋体" w:hAnsi="Noto Sans CJK JP Regular" w:cs="Noto Sans CJK JP Regular"/>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Align w:val="center"/>
          </w:tcPr>
          <w:p>
            <w:pPr>
              <w:widowControl w:val="0"/>
              <w:autoSpaceDE w:val="0"/>
              <w:autoSpaceDN w:val="0"/>
              <w:adjustRightInd/>
              <w:snapToGrid/>
              <w:spacing w:line="240" w:lineRule="auto"/>
              <w:jc w:val="center"/>
              <w:rPr>
                <w:rFonts w:ascii="宋体" w:hAnsi="Noto Sans CJK JP Regular" w:cs="Noto Sans CJK JP Regular"/>
                <w:color w:val="auto"/>
                <w:szCs w:val="21"/>
                <w:highlight w:val="none"/>
              </w:rPr>
            </w:pPr>
            <w:r>
              <w:rPr>
                <w:rFonts w:hint="eastAsia" w:ascii="宋体" w:hAnsi="Noto Sans CJK JP Regular" w:cs="Noto Sans CJK JP Regular"/>
                <w:color w:val="auto"/>
                <w:szCs w:val="21"/>
                <w:highlight w:val="none"/>
              </w:rPr>
              <w:t>3</w:t>
            </w:r>
          </w:p>
        </w:tc>
        <w:tc>
          <w:tcPr>
            <w:tcW w:w="2441" w:type="dxa"/>
            <w:vAlign w:val="center"/>
          </w:tcPr>
          <w:p>
            <w:pPr>
              <w:widowControl w:val="0"/>
              <w:autoSpaceDE w:val="0"/>
              <w:autoSpaceDN w:val="0"/>
              <w:adjustRightInd/>
              <w:snapToGrid/>
              <w:spacing w:line="240" w:lineRule="auto"/>
              <w:jc w:val="center"/>
              <w:rPr>
                <w:rFonts w:ascii="宋体" w:hAnsi="宋体" w:cs="宋体"/>
                <w:color w:val="auto"/>
                <w:szCs w:val="21"/>
                <w:highlight w:val="none"/>
              </w:rPr>
            </w:pPr>
            <w:r>
              <w:rPr>
                <w:rFonts w:hint="eastAsia" w:ascii="宋体" w:hAnsi="宋体" w:cs="宋体"/>
                <w:color w:val="auto"/>
                <w:szCs w:val="21"/>
                <w:highlight w:val="none"/>
              </w:rPr>
              <w:t>设备安装完成</w:t>
            </w:r>
          </w:p>
        </w:tc>
        <w:tc>
          <w:tcPr>
            <w:tcW w:w="3000"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设备到货后一个半月内</w:t>
            </w:r>
          </w:p>
        </w:tc>
        <w:tc>
          <w:tcPr>
            <w:tcW w:w="2159" w:type="dxa"/>
            <w:vAlign w:val="center"/>
          </w:tcPr>
          <w:p>
            <w:pPr>
              <w:widowControl w:val="0"/>
              <w:autoSpaceDE w:val="0"/>
              <w:autoSpaceDN w:val="0"/>
              <w:adjustRightInd/>
              <w:snapToGrid/>
              <w:spacing w:line="240" w:lineRule="auto"/>
              <w:jc w:val="center"/>
              <w:rPr>
                <w:rFonts w:ascii="宋体" w:hAnsi="Noto Sans CJK JP Regular" w:cs="Noto Sans CJK JP Regula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Align w:val="center"/>
          </w:tcPr>
          <w:p>
            <w:pPr>
              <w:widowControl w:val="0"/>
              <w:autoSpaceDE w:val="0"/>
              <w:autoSpaceDN w:val="0"/>
              <w:adjustRightInd/>
              <w:snapToGrid/>
              <w:spacing w:line="240" w:lineRule="auto"/>
              <w:jc w:val="center"/>
              <w:rPr>
                <w:rFonts w:ascii="宋体" w:hAnsi="Noto Sans CJK JP Regular" w:cs="Noto Sans CJK JP Regular"/>
                <w:color w:val="auto"/>
                <w:szCs w:val="21"/>
                <w:highlight w:val="none"/>
              </w:rPr>
            </w:pPr>
            <w:r>
              <w:rPr>
                <w:rFonts w:hint="eastAsia" w:ascii="宋体" w:hAnsi="Noto Sans CJK JP Regular" w:cs="Noto Sans CJK JP Regular"/>
                <w:color w:val="auto"/>
                <w:szCs w:val="21"/>
                <w:highlight w:val="none"/>
              </w:rPr>
              <w:t>4</w:t>
            </w:r>
          </w:p>
        </w:tc>
        <w:tc>
          <w:tcPr>
            <w:tcW w:w="2441" w:type="dxa"/>
            <w:vAlign w:val="center"/>
          </w:tcPr>
          <w:p>
            <w:pPr>
              <w:widowControl w:val="0"/>
              <w:autoSpaceDE w:val="0"/>
              <w:autoSpaceDN w:val="0"/>
              <w:adjustRightInd/>
              <w:snapToGrid/>
              <w:spacing w:line="240" w:lineRule="auto"/>
              <w:jc w:val="center"/>
              <w:rPr>
                <w:rFonts w:ascii="宋体" w:hAnsi="宋体" w:cs="宋体"/>
                <w:color w:val="auto"/>
                <w:szCs w:val="21"/>
                <w:highlight w:val="none"/>
              </w:rPr>
            </w:pPr>
            <w:r>
              <w:rPr>
                <w:rFonts w:hint="eastAsia" w:ascii="宋体" w:hAnsi="宋体" w:cs="宋体"/>
                <w:color w:val="auto"/>
                <w:szCs w:val="21"/>
                <w:highlight w:val="none"/>
              </w:rPr>
              <w:t>主要设备调试</w:t>
            </w:r>
          </w:p>
        </w:tc>
        <w:tc>
          <w:tcPr>
            <w:tcW w:w="3000"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设备安装完成后一个月内</w:t>
            </w:r>
          </w:p>
        </w:tc>
        <w:tc>
          <w:tcPr>
            <w:tcW w:w="2159" w:type="dxa"/>
            <w:vAlign w:val="center"/>
          </w:tcPr>
          <w:p>
            <w:pPr>
              <w:widowControl w:val="0"/>
              <w:autoSpaceDE w:val="0"/>
              <w:autoSpaceDN w:val="0"/>
              <w:adjustRightInd/>
              <w:snapToGrid/>
              <w:spacing w:line="240" w:lineRule="auto"/>
              <w:jc w:val="center"/>
              <w:rPr>
                <w:rFonts w:ascii="宋体" w:hAnsi="Noto Sans CJK JP Regular" w:cs="Noto Sans CJK JP Regular"/>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9" w:type="dxa"/>
            <w:vAlign w:val="center"/>
          </w:tcPr>
          <w:p>
            <w:pPr>
              <w:widowControl w:val="0"/>
              <w:autoSpaceDE w:val="0"/>
              <w:autoSpaceDN w:val="0"/>
              <w:adjustRightInd/>
              <w:snapToGrid/>
              <w:spacing w:line="240" w:lineRule="auto"/>
              <w:jc w:val="center"/>
              <w:rPr>
                <w:rFonts w:ascii="宋体" w:hAnsi="Noto Sans CJK JP Regular" w:cs="Noto Sans CJK JP Regular"/>
                <w:color w:val="auto"/>
                <w:szCs w:val="21"/>
                <w:highlight w:val="none"/>
              </w:rPr>
            </w:pPr>
            <w:r>
              <w:rPr>
                <w:rFonts w:hint="eastAsia" w:ascii="宋体" w:hAnsi="Noto Sans CJK JP Regular" w:cs="Noto Sans CJK JP Regular"/>
                <w:color w:val="auto"/>
                <w:szCs w:val="21"/>
                <w:highlight w:val="none"/>
              </w:rPr>
              <w:t>5</w:t>
            </w:r>
          </w:p>
        </w:tc>
        <w:tc>
          <w:tcPr>
            <w:tcW w:w="2441" w:type="dxa"/>
            <w:vAlign w:val="center"/>
          </w:tcPr>
          <w:p>
            <w:pPr>
              <w:widowControl w:val="0"/>
              <w:autoSpaceDE w:val="0"/>
              <w:autoSpaceDN w:val="0"/>
              <w:adjustRightInd/>
              <w:snapToGrid/>
              <w:spacing w:line="240" w:lineRule="auto"/>
              <w:jc w:val="center"/>
              <w:rPr>
                <w:rFonts w:ascii="宋体" w:hAnsi="宋体" w:cs="宋体"/>
                <w:color w:val="auto"/>
                <w:szCs w:val="21"/>
                <w:highlight w:val="none"/>
              </w:rPr>
            </w:pPr>
            <w:r>
              <w:rPr>
                <w:rFonts w:hint="eastAsia" w:ascii="宋体" w:hAnsi="宋体" w:cs="宋体"/>
                <w:color w:val="auto"/>
                <w:szCs w:val="21"/>
                <w:highlight w:val="none"/>
              </w:rPr>
              <w:t>性能测试完成</w:t>
            </w:r>
          </w:p>
        </w:tc>
        <w:tc>
          <w:tcPr>
            <w:tcW w:w="3000" w:type="dxa"/>
            <w:vAlign w:val="center"/>
          </w:tcPr>
          <w:p>
            <w:pPr>
              <w:widowControl w:val="0"/>
              <w:autoSpaceDE w:val="0"/>
              <w:autoSpaceDN w:val="0"/>
              <w:adjustRightInd/>
              <w:snapToGrid/>
              <w:jc w:val="both"/>
              <w:rPr>
                <w:rFonts w:ascii="宋体" w:hAnsi="宋体" w:cs="宋体"/>
                <w:color w:val="auto"/>
                <w:szCs w:val="21"/>
                <w:highlight w:val="none"/>
              </w:rPr>
            </w:pPr>
            <w:r>
              <w:rPr>
                <w:rFonts w:hint="eastAsia" w:ascii="宋体" w:hAnsi="宋体" w:cs="宋体"/>
                <w:color w:val="auto"/>
                <w:szCs w:val="21"/>
                <w:highlight w:val="none"/>
              </w:rPr>
              <w:t>中转站投入使用后一个月内</w:t>
            </w:r>
          </w:p>
        </w:tc>
        <w:tc>
          <w:tcPr>
            <w:tcW w:w="2159" w:type="dxa"/>
            <w:vAlign w:val="center"/>
          </w:tcPr>
          <w:p>
            <w:pPr>
              <w:widowControl w:val="0"/>
              <w:autoSpaceDE w:val="0"/>
              <w:autoSpaceDN w:val="0"/>
              <w:adjustRightInd/>
              <w:snapToGrid/>
              <w:spacing w:line="240" w:lineRule="auto"/>
              <w:jc w:val="center"/>
              <w:rPr>
                <w:rFonts w:ascii="宋体" w:hAnsi="宋体" w:cs="宋体"/>
                <w:color w:val="auto"/>
                <w:szCs w:val="21"/>
                <w:highlight w:val="none"/>
              </w:rPr>
            </w:pPr>
          </w:p>
        </w:tc>
      </w:tr>
    </w:tbl>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注：因乙方土建提资有误导致的返工、整改等费用由乙方自行承担。</w:t>
      </w:r>
    </w:p>
    <w:p>
      <w:pPr>
        <w:ind w:firstLine="420" w:firstLineChars="200"/>
        <w:rPr>
          <w:rFonts w:hAnsi="宋体" w:cs="仿宋_GB2312"/>
          <w:color w:val="auto"/>
          <w:szCs w:val="21"/>
          <w:highlight w:val="none"/>
        </w:rPr>
      </w:pPr>
      <w:r>
        <w:rPr>
          <w:rFonts w:hint="eastAsia" w:hAnsi="宋体" w:cs="仿宋_GB2312"/>
          <w:color w:val="auto"/>
          <w:szCs w:val="21"/>
          <w:highlight w:val="none"/>
        </w:rPr>
        <w:t>6.1.2确保施工进度</w:t>
      </w:r>
    </w:p>
    <w:p>
      <w:pPr>
        <w:ind w:firstLine="420" w:firstLineChars="200"/>
        <w:rPr>
          <w:rFonts w:hAnsi="宋体" w:cs="仿宋_GB2312"/>
          <w:color w:val="auto"/>
          <w:szCs w:val="21"/>
          <w:highlight w:val="none"/>
        </w:rPr>
      </w:pPr>
      <w:r>
        <w:rPr>
          <w:rFonts w:hint="eastAsia" w:hAnsi="宋体" w:cs="仿宋_GB2312"/>
          <w:color w:val="auto"/>
          <w:szCs w:val="21"/>
          <w:highlight w:val="none"/>
        </w:rPr>
        <w:t>在乙方无任何理由要求延长工期的情况下，经甲方评估，按照当时的施工进度，大概率不能按合同预定的工程完工期限完工时，则甲方可将此情况通知乙方，而乙方应据此采取甲方同意的必要措施，以加快施工进度，使工程能在预定的工期内完工。乙方无权就采取这些步骤要求甲方支付任何费用。</w:t>
      </w:r>
    </w:p>
    <w:p>
      <w:pPr>
        <w:ind w:firstLine="420" w:firstLineChars="200"/>
        <w:rPr>
          <w:rFonts w:hAnsi="宋体" w:cs="仿宋_GB2312"/>
          <w:color w:val="auto"/>
          <w:szCs w:val="21"/>
          <w:highlight w:val="none"/>
        </w:rPr>
      </w:pPr>
      <w:r>
        <w:rPr>
          <w:rFonts w:hint="eastAsia" w:hAnsi="宋体" w:cs="仿宋_GB2312"/>
          <w:color w:val="auto"/>
          <w:szCs w:val="21"/>
          <w:highlight w:val="none"/>
        </w:rPr>
        <w:t>6</w:t>
      </w:r>
      <w:r>
        <w:rPr>
          <w:rFonts w:hAnsi="宋体" w:cs="仿宋_GB2312"/>
          <w:color w:val="auto"/>
          <w:szCs w:val="21"/>
          <w:highlight w:val="none"/>
        </w:rPr>
        <w:t>.2</w:t>
      </w:r>
      <w:r>
        <w:rPr>
          <w:rFonts w:hint="eastAsia" w:hAnsi="宋体" w:cs="仿宋_GB2312"/>
          <w:color w:val="auto"/>
          <w:szCs w:val="21"/>
          <w:highlight w:val="none"/>
        </w:rPr>
        <w:t>交货地点：</w:t>
      </w:r>
      <w:r>
        <w:rPr>
          <w:rFonts w:hint="eastAsia" w:hAnsi="宋体" w:cs="仿宋_GB2312"/>
          <w:color w:val="auto"/>
          <w:szCs w:val="21"/>
          <w:highlight w:val="none"/>
          <w:lang w:eastAsia="zh-CN"/>
        </w:rPr>
        <w:t>东莞市寮步镇生活垃圾综合处理中心项目</w:t>
      </w:r>
      <w:r>
        <w:rPr>
          <w:rFonts w:hint="eastAsia" w:hAnsi="宋体" w:cs="仿宋_GB2312"/>
          <w:color w:val="auto"/>
          <w:szCs w:val="21"/>
          <w:highlight w:val="none"/>
        </w:rPr>
        <w:t>工地现场。</w:t>
      </w:r>
    </w:p>
    <w:p>
      <w:pPr>
        <w:ind w:firstLine="420" w:firstLineChars="200"/>
        <w:rPr>
          <w:rFonts w:hAnsi="宋体" w:cs="仿宋_GB2312"/>
          <w:color w:val="auto"/>
          <w:szCs w:val="21"/>
          <w:highlight w:val="none"/>
        </w:rPr>
      </w:pPr>
      <w:r>
        <w:rPr>
          <w:rFonts w:hint="eastAsia" w:hAnsi="宋体" w:cs="仿宋_GB2312"/>
          <w:color w:val="auto"/>
          <w:szCs w:val="21"/>
          <w:highlight w:val="none"/>
        </w:rPr>
        <w:t>6</w:t>
      </w:r>
      <w:r>
        <w:rPr>
          <w:rFonts w:hAnsi="宋体" w:cs="仿宋_GB2312"/>
          <w:color w:val="auto"/>
          <w:szCs w:val="21"/>
          <w:highlight w:val="none"/>
        </w:rPr>
        <w:t>.3</w:t>
      </w:r>
      <w:r>
        <w:rPr>
          <w:rFonts w:hint="eastAsia" w:hAnsi="宋体" w:cs="仿宋_GB2312"/>
          <w:color w:val="auto"/>
          <w:szCs w:val="21"/>
          <w:highlight w:val="none"/>
        </w:rPr>
        <w:t>合同生效后7天内乙方应按照本合同附件的规定向甲方提供每批货物名称、总重量、总体积和交货日期的初步交货计划及本合同项下的货物总清单和装箱总清单，甲方有权根据招投标文件和项目实际情况予以确认或要求乙方调整，甲方确认后作为合同履行依据。在每批货物预计启运2天前，乙方应以邮件或传真将合同约定的各项内容通知甲方。</w:t>
      </w:r>
    </w:p>
    <w:p>
      <w:pPr>
        <w:ind w:firstLine="420" w:firstLineChars="200"/>
        <w:rPr>
          <w:rFonts w:hAnsi="宋体" w:cs="仿宋_GB2312"/>
          <w:color w:val="auto"/>
          <w:szCs w:val="21"/>
          <w:highlight w:val="none"/>
        </w:rPr>
      </w:pPr>
      <w:r>
        <w:rPr>
          <w:rFonts w:hint="eastAsia" w:hAnsi="宋体" w:cs="仿宋_GB2312"/>
          <w:color w:val="auto"/>
          <w:szCs w:val="21"/>
          <w:highlight w:val="none"/>
        </w:rPr>
        <w:t>6</w:t>
      </w:r>
      <w:r>
        <w:rPr>
          <w:rFonts w:hAnsi="宋体" w:cs="仿宋_GB2312"/>
          <w:color w:val="auto"/>
          <w:szCs w:val="21"/>
          <w:highlight w:val="none"/>
        </w:rPr>
        <w:t>.4</w:t>
      </w:r>
      <w:r>
        <w:rPr>
          <w:rFonts w:hint="eastAsia" w:hAnsi="宋体" w:cs="仿宋_GB2312"/>
          <w:color w:val="auto"/>
          <w:szCs w:val="21"/>
          <w:highlight w:val="none"/>
        </w:rPr>
        <w:t>每批合同设备交货日期以甲方签收单（</w:t>
      </w:r>
      <w:r>
        <w:rPr>
          <w:rFonts w:hint="eastAsia" w:hAnsi="宋体" w:cs="仿宋_GB2312"/>
          <w:color w:val="auto"/>
          <w:szCs w:val="21"/>
          <w:highlight w:val="none"/>
          <w:lang w:val="en-US" w:eastAsia="zh-CN"/>
        </w:rPr>
        <w:t>以</w:t>
      </w:r>
      <w:r>
        <w:rPr>
          <w:rFonts w:hint="eastAsia" w:hAnsi="宋体" w:cs="仿宋_GB2312"/>
          <w:color w:val="auto"/>
          <w:szCs w:val="21"/>
          <w:highlight w:val="none"/>
        </w:rPr>
        <w:t>甲方盖章）为准。此日期即本合同</w:t>
      </w:r>
      <w:r>
        <w:rPr>
          <w:rFonts w:hAnsi="宋体" w:cs="仿宋_GB2312"/>
          <w:color w:val="auto"/>
          <w:szCs w:val="21"/>
          <w:highlight w:val="none"/>
        </w:rPr>
        <w:t>11.</w:t>
      </w:r>
      <w:r>
        <w:rPr>
          <w:rFonts w:hint="eastAsia" w:hAnsi="宋体" w:cs="仿宋_GB2312"/>
          <w:color w:val="auto"/>
          <w:szCs w:val="21"/>
          <w:highlight w:val="none"/>
        </w:rPr>
        <w:t>10款计算迟交货物违约金时的根据。</w:t>
      </w:r>
    </w:p>
    <w:p>
      <w:pPr>
        <w:ind w:firstLine="420" w:firstLineChars="200"/>
        <w:rPr>
          <w:rFonts w:hAnsi="宋体" w:cs="仿宋_GB2312"/>
          <w:color w:val="auto"/>
          <w:szCs w:val="21"/>
          <w:highlight w:val="none"/>
        </w:rPr>
      </w:pPr>
      <w:r>
        <w:rPr>
          <w:rFonts w:hint="eastAsia" w:hAnsi="宋体" w:cs="仿宋_GB2312"/>
          <w:color w:val="auto"/>
          <w:szCs w:val="21"/>
          <w:highlight w:val="none"/>
        </w:rPr>
        <w:t>6</w:t>
      </w:r>
      <w:r>
        <w:rPr>
          <w:rFonts w:hAnsi="宋体" w:cs="仿宋_GB2312"/>
          <w:color w:val="auto"/>
          <w:szCs w:val="21"/>
          <w:highlight w:val="none"/>
        </w:rPr>
        <w:t>.5</w:t>
      </w:r>
      <w:r>
        <w:rPr>
          <w:rFonts w:hint="eastAsia" w:hAnsi="宋体" w:cs="仿宋_GB2312"/>
          <w:color w:val="auto"/>
          <w:szCs w:val="21"/>
          <w:highlight w:val="none"/>
        </w:rPr>
        <w:t>乙方须向承运部门办理申请发运设备所需要的运输工具计划，负责合同设备从乙方到现场交货地点的运输。</w:t>
      </w:r>
    </w:p>
    <w:p>
      <w:pPr>
        <w:ind w:firstLine="420" w:firstLineChars="200"/>
        <w:rPr>
          <w:rFonts w:hAnsi="宋体" w:cs="仿宋_GB2312"/>
          <w:color w:val="auto"/>
          <w:szCs w:val="21"/>
          <w:highlight w:val="none"/>
        </w:rPr>
      </w:pPr>
      <w:r>
        <w:rPr>
          <w:rFonts w:hint="eastAsia" w:hAnsi="宋体" w:cs="仿宋_GB2312"/>
          <w:color w:val="auto"/>
          <w:szCs w:val="21"/>
          <w:highlight w:val="none"/>
        </w:rPr>
        <w:t>6</w:t>
      </w:r>
      <w:r>
        <w:rPr>
          <w:rFonts w:hAnsi="宋体" w:cs="仿宋_GB2312"/>
          <w:color w:val="auto"/>
          <w:szCs w:val="21"/>
          <w:highlight w:val="none"/>
        </w:rPr>
        <w:t>.6</w:t>
      </w:r>
      <w:r>
        <w:rPr>
          <w:rFonts w:hint="eastAsia" w:hAnsi="宋体" w:cs="仿宋_GB2312"/>
          <w:color w:val="auto"/>
          <w:szCs w:val="21"/>
          <w:highlight w:val="none"/>
        </w:rPr>
        <w:t>在每批货物备妥及装运车辆／船发出</w:t>
      </w:r>
      <w:r>
        <w:rPr>
          <w:rFonts w:hAnsi="宋体" w:cs="仿宋_GB2312"/>
          <w:color w:val="auto"/>
          <w:szCs w:val="21"/>
          <w:highlight w:val="none"/>
        </w:rPr>
        <w:t>24</w:t>
      </w:r>
      <w:r>
        <w:rPr>
          <w:rFonts w:hint="eastAsia" w:hAnsi="宋体" w:cs="仿宋_GB2312"/>
          <w:color w:val="auto"/>
          <w:szCs w:val="21"/>
          <w:highlight w:val="none"/>
        </w:rPr>
        <w:t>小时内，乙方应以邮件或传真将该批货物的如下内容通知甲方。</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w:t>
      </w:r>
      <w:r>
        <w:rPr>
          <w:rFonts w:ascii="Calibri" w:hAnsi="宋体" w:cs="仿宋_GB2312"/>
          <w:color w:val="auto"/>
          <w:kern w:val="2"/>
          <w:szCs w:val="21"/>
          <w:highlight w:val="none"/>
        </w:rPr>
        <w:t>l</w:t>
      </w:r>
      <w:r>
        <w:rPr>
          <w:rFonts w:hint="eastAsia" w:ascii="Calibri" w:hAnsi="宋体" w:cs="仿宋_GB2312"/>
          <w:color w:val="auto"/>
          <w:kern w:val="2"/>
          <w:szCs w:val="21"/>
          <w:highlight w:val="none"/>
        </w:rPr>
        <w:t>）合同号</w:t>
      </w:r>
      <w:r>
        <w:rPr>
          <w:rFonts w:ascii="Calibri" w:hAnsi="宋体" w:cs="仿宋_GB2312"/>
          <w:color w:val="auto"/>
          <w:kern w:val="2"/>
          <w:szCs w:val="21"/>
          <w:highlight w:val="none"/>
        </w:rPr>
        <w:t>:</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w:t>
      </w:r>
      <w:r>
        <w:rPr>
          <w:rFonts w:ascii="Calibri" w:hAnsi="宋体" w:cs="仿宋_GB2312"/>
          <w:color w:val="auto"/>
          <w:kern w:val="2"/>
          <w:szCs w:val="21"/>
          <w:highlight w:val="none"/>
        </w:rPr>
        <w:t>2</w:t>
      </w:r>
      <w:r>
        <w:rPr>
          <w:rFonts w:hint="eastAsia" w:ascii="Calibri" w:hAnsi="宋体" w:cs="仿宋_GB2312"/>
          <w:color w:val="auto"/>
          <w:kern w:val="2"/>
          <w:szCs w:val="21"/>
          <w:highlight w:val="none"/>
        </w:rPr>
        <w:t>）设备号</w:t>
      </w:r>
      <w:r>
        <w:rPr>
          <w:rFonts w:ascii="Calibri" w:hAnsi="宋体" w:cs="仿宋_GB2312"/>
          <w:color w:val="auto"/>
          <w:kern w:val="2"/>
          <w:szCs w:val="21"/>
          <w:highlight w:val="none"/>
        </w:rPr>
        <w:t>:</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w:t>
      </w:r>
      <w:r>
        <w:rPr>
          <w:rFonts w:ascii="Calibri" w:hAnsi="宋体" w:cs="仿宋_GB2312"/>
          <w:color w:val="auto"/>
          <w:kern w:val="2"/>
          <w:szCs w:val="21"/>
          <w:highlight w:val="none"/>
        </w:rPr>
        <w:t>3</w:t>
      </w:r>
      <w:r>
        <w:rPr>
          <w:rFonts w:hint="eastAsia" w:ascii="Calibri" w:hAnsi="宋体" w:cs="仿宋_GB2312"/>
          <w:color w:val="auto"/>
          <w:kern w:val="2"/>
          <w:szCs w:val="21"/>
          <w:highlight w:val="none"/>
        </w:rPr>
        <w:t>）货物备妥发运日</w:t>
      </w:r>
      <w:r>
        <w:rPr>
          <w:rFonts w:ascii="Calibri" w:hAnsi="宋体" w:cs="仿宋_GB2312"/>
          <w:color w:val="auto"/>
          <w:kern w:val="2"/>
          <w:szCs w:val="21"/>
          <w:highlight w:val="none"/>
        </w:rPr>
        <w:t>:</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w:t>
      </w:r>
      <w:r>
        <w:rPr>
          <w:rFonts w:ascii="Calibri" w:hAnsi="宋体" w:cs="仿宋_GB2312"/>
          <w:color w:val="auto"/>
          <w:kern w:val="2"/>
          <w:szCs w:val="21"/>
          <w:highlight w:val="none"/>
        </w:rPr>
        <w:t>4</w:t>
      </w:r>
      <w:r>
        <w:rPr>
          <w:rFonts w:hint="eastAsia" w:ascii="Calibri" w:hAnsi="宋体" w:cs="仿宋_GB2312"/>
          <w:color w:val="auto"/>
          <w:kern w:val="2"/>
          <w:szCs w:val="21"/>
          <w:highlight w:val="none"/>
        </w:rPr>
        <w:t>）货物名称及编号和价格</w:t>
      </w:r>
      <w:r>
        <w:rPr>
          <w:rFonts w:ascii="Calibri" w:hAnsi="宋体" w:cs="仿宋_GB2312"/>
          <w:color w:val="auto"/>
          <w:kern w:val="2"/>
          <w:szCs w:val="21"/>
          <w:highlight w:val="none"/>
        </w:rPr>
        <w:t>:</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w:t>
      </w:r>
      <w:r>
        <w:rPr>
          <w:rFonts w:ascii="Calibri" w:hAnsi="宋体" w:cs="仿宋_GB2312"/>
          <w:color w:val="auto"/>
          <w:kern w:val="2"/>
          <w:szCs w:val="21"/>
          <w:highlight w:val="none"/>
        </w:rPr>
        <w:t>5</w:t>
      </w:r>
      <w:r>
        <w:rPr>
          <w:rFonts w:hint="eastAsia" w:ascii="Calibri" w:hAnsi="宋体" w:cs="仿宋_GB2312"/>
          <w:color w:val="auto"/>
          <w:kern w:val="2"/>
          <w:szCs w:val="21"/>
          <w:highlight w:val="none"/>
        </w:rPr>
        <w:t>）货物总毛重</w:t>
      </w:r>
      <w:r>
        <w:rPr>
          <w:rFonts w:ascii="Calibri" w:hAnsi="宋体" w:cs="仿宋_GB2312"/>
          <w:color w:val="auto"/>
          <w:kern w:val="2"/>
          <w:szCs w:val="21"/>
          <w:highlight w:val="none"/>
        </w:rPr>
        <w:t>:</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w:t>
      </w:r>
      <w:r>
        <w:rPr>
          <w:rFonts w:ascii="Calibri" w:hAnsi="宋体" w:cs="仿宋_GB2312"/>
          <w:color w:val="auto"/>
          <w:kern w:val="2"/>
          <w:szCs w:val="21"/>
          <w:highlight w:val="none"/>
        </w:rPr>
        <w:t>7</w:t>
      </w:r>
      <w:r>
        <w:rPr>
          <w:rFonts w:hint="eastAsia" w:ascii="Calibri" w:hAnsi="宋体" w:cs="仿宋_GB2312"/>
          <w:color w:val="auto"/>
          <w:kern w:val="2"/>
          <w:szCs w:val="21"/>
          <w:highlight w:val="none"/>
        </w:rPr>
        <w:t>）货物总体积</w:t>
      </w:r>
      <w:r>
        <w:rPr>
          <w:rFonts w:ascii="Calibri" w:hAnsi="宋体" w:cs="仿宋_GB2312"/>
          <w:color w:val="auto"/>
          <w:kern w:val="2"/>
          <w:szCs w:val="21"/>
          <w:highlight w:val="none"/>
        </w:rPr>
        <w:t>:</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w:t>
      </w:r>
      <w:r>
        <w:rPr>
          <w:rFonts w:ascii="Calibri" w:hAnsi="宋体" w:cs="仿宋_GB2312"/>
          <w:color w:val="auto"/>
          <w:kern w:val="2"/>
          <w:szCs w:val="21"/>
          <w:highlight w:val="none"/>
        </w:rPr>
        <w:t>7</w:t>
      </w:r>
      <w:r>
        <w:rPr>
          <w:rFonts w:hint="eastAsia" w:ascii="Calibri" w:hAnsi="宋体" w:cs="仿宋_GB2312"/>
          <w:color w:val="auto"/>
          <w:kern w:val="2"/>
          <w:szCs w:val="21"/>
          <w:highlight w:val="none"/>
        </w:rPr>
        <w:t>）总包装件数</w:t>
      </w:r>
      <w:r>
        <w:rPr>
          <w:rFonts w:ascii="Calibri" w:hAnsi="宋体" w:cs="仿宋_GB2312"/>
          <w:color w:val="auto"/>
          <w:kern w:val="2"/>
          <w:szCs w:val="21"/>
          <w:highlight w:val="none"/>
        </w:rPr>
        <w:t>:</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w:t>
      </w:r>
      <w:r>
        <w:rPr>
          <w:rFonts w:ascii="Calibri" w:hAnsi="宋体" w:cs="仿宋_GB2312"/>
          <w:color w:val="auto"/>
          <w:kern w:val="2"/>
          <w:szCs w:val="21"/>
          <w:highlight w:val="none"/>
        </w:rPr>
        <w:t>8</w:t>
      </w:r>
      <w:r>
        <w:rPr>
          <w:rFonts w:hint="eastAsia" w:ascii="Calibri" w:hAnsi="宋体" w:cs="仿宋_GB2312"/>
          <w:color w:val="auto"/>
          <w:kern w:val="2"/>
          <w:szCs w:val="21"/>
          <w:highlight w:val="none"/>
        </w:rPr>
        <w:t>）交运车站／码头名称、车号／船号和运单号</w:t>
      </w:r>
      <w:r>
        <w:rPr>
          <w:rFonts w:ascii="Calibri" w:hAnsi="宋体" w:cs="仿宋_GB2312"/>
          <w:color w:val="auto"/>
          <w:kern w:val="2"/>
          <w:szCs w:val="21"/>
          <w:highlight w:val="none"/>
        </w:rPr>
        <w:t>:</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w:t>
      </w:r>
      <w:r>
        <w:rPr>
          <w:rFonts w:ascii="Calibri" w:hAnsi="宋体" w:cs="仿宋_GB2312"/>
          <w:color w:val="auto"/>
          <w:kern w:val="2"/>
          <w:szCs w:val="21"/>
          <w:highlight w:val="none"/>
        </w:rPr>
        <w:t>9</w:t>
      </w:r>
      <w:r>
        <w:rPr>
          <w:rFonts w:hint="eastAsia" w:ascii="Calibri" w:hAnsi="宋体" w:cs="仿宋_GB2312"/>
          <w:color w:val="auto"/>
          <w:kern w:val="2"/>
          <w:szCs w:val="21"/>
          <w:highlight w:val="none"/>
        </w:rPr>
        <w:t>）重量超过十吨或尺寸超过</w:t>
      </w:r>
      <w:r>
        <w:rPr>
          <w:rFonts w:ascii="Calibri" w:hAnsi="宋体" w:cs="仿宋_GB2312"/>
          <w:color w:val="auto"/>
          <w:kern w:val="2"/>
          <w:szCs w:val="21"/>
          <w:highlight w:val="none"/>
        </w:rPr>
        <w:t xml:space="preserve"> 9</w:t>
      </w:r>
      <w:r>
        <w:rPr>
          <w:rFonts w:hint="eastAsia" w:ascii="Calibri" w:hAnsi="宋体" w:cs="仿宋_GB2312"/>
          <w:color w:val="auto"/>
          <w:kern w:val="2"/>
          <w:szCs w:val="21"/>
          <w:highlight w:val="none"/>
        </w:rPr>
        <w:t>米×</w:t>
      </w:r>
      <w:r>
        <w:rPr>
          <w:rFonts w:ascii="Calibri" w:hAnsi="宋体" w:cs="仿宋_GB2312"/>
          <w:color w:val="auto"/>
          <w:kern w:val="2"/>
          <w:szCs w:val="21"/>
          <w:highlight w:val="none"/>
        </w:rPr>
        <w:t xml:space="preserve"> 3</w:t>
      </w:r>
      <w:r>
        <w:rPr>
          <w:rFonts w:hint="eastAsia" w:ascii="Calibri" w:hAnsi="宋体" w:cs="仿宋_GB2312"/>
          <w:color w:val="auto"/>
          <w:kern w:val="2"/>
          <w:szCs w:val="21"/>
          <w:highlight w:val="none"/>
        </w:rPr>
        <w:t>米×</w:t>
      </w:r>
      <w:r>
        <w:rPr>
          <w:rFonts w:ascii="Calibri" w:hAnsi="宋体" w:cs="仿宋_GB2312"/>
          <w:color w:val="auto"/>
          <w:kern w:val="2"/>
          <w:szCs w:val="21"/>
          <w:highlight w:val="none"/>
        </w:rPr>
        <w:t xml:space="preserve"> 3</w:t>
      </w:r>
      <w:r>
        <w:rPr>
          <w:rFonts w:hint="eastAsia" w:ascii="Calibri" w:hAnsi="宋体" w:cs="仿宋_GB2312"/>
          <w:color w:val="auto"/>
          <w:kern w:val="2"/>
          <w:szCs w:val="21"/>
          <w:highlight w:val="none"/>
        </w:rPr>
        <w:t>米的每件货物的名称、重量、体积和件数。对每件该类设备（部件）必须标明重心和吊点位置，并附有草图。</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w:t>
      </w:r>
      <w:r>
        <w:rPr>
          <w:rFonts w:ascii="Calibri" w:hAnsi="宋体" w:cs="仿宋_GB2312"/>
          <w:color w:val="auto"/>
          <w:kern w:val="2"/>
          <w:szCs w:val="21"/>
          <w:highlight w:val="none"/>
        </w:rPr>
        <w:t>10</w:t>
      </w:r>
      <w:r>
        <w:rPr>
          <w:rFonts w:hint="eastAsia" w:ascii="Calibri" w:hAnsi="宋体" w:cs="仿宋_GB2312"/>
          <w:color w:val="auto"/>
          <w:kern w:val="2"/>
          <w:szCs w:val="21"/>
          <w:highlight w:val="none"/>
        </w:rPr>
        <w:t>）对于特殊物品（易燃、易爆、有毒物品及其它危险品和运输过程中对温度等环境因素和震动有特殊要求的设备或物品）必须特别标明其品名、性质、特殊保护措施、保存方法以及处理意外情况的方法。</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6</w:t>
      </w:r>
      <w:r>
        <w:rPr>
          <w:rFonts w:ascii="Calibri" w:hAnsi="宋体" w:cs="仿宋_GB2312"/>
          <w:color w:val="auto"/>
          <w:kern w:val="2"/>
          <w:szCs w:val="21"/>
          <w:highlight w:val="none"/>
        </w:rPr>
        <w:t>.7</w:t>
      </w:r>
      <w:r>
        <w:rPr>
          <w:rFonts w:hint="eastAsia" w:ascii="Calibri" w:hAnsi="宋体" w:cs="仿宋_GB2312"/>
          <w:color w:val="auto"/>
          <w:kern w:val="2"/>
          <w:szCs w:val="21"/>
          <w:highlight w:val="none"/>
        </w:rPr>
        <w:t>招投标文件中没有开列的货物应配合安装进度进行交货。</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6</w:t>
      </w:r>
      <w:r>
        <w:rPr>
          <w:rFonts w:ascii="Calibri" w:hAnsi="宋体" w:cs="仿宋_GB2312"/>
          <w:color w:val="auto"/>
          <w:kern w:val="2"/>
          <w:szCs w:val="21"/>
          <w:highlight w:val="none"/>
        </w:rPr>
        <w:t>.8</w:t>
      </w:r>
      <w:r>
        <w:rPr>
          <w:rFonts w:hint="eastAsia" w:ascii="Calibri" w:hAnsi="宋体" w:cs="仿宋_GB2312"/>
          <w:color w:val="auto"/>
          <w:kern w:val="2"/>
          <w:szCs w:val="21"/>
          <w:highlight w:val="none"/>
        </w:rPr>
        <w:t>在质保期内和在质保期满后至第一次大修时止由于乙方的过失或疏忽造成的供应设备（或部件）的损坏或潜在缺陷，而动用了甲方库存中的备品备件以调换损坏的设备或部件，则乙方应负责免费将动用的备品备件补齐，最迟不得超过发生日起</w:t>
      </w:r>
      <w:r>
        <w:rPr>
          <w:rFonts w:ascii="Calibri" w:hAnsi="宋体" w:cs="仿宋_GB2312"/>
          <w:color w:val="auto"/>
          <w:kern w:val="2"/>
          <w:szCs w:val="21"/>
          <w:highlight w:val="none"/>
        </w:rPr>
        <w:t>15</w:t>
      </w:r>
      <w:r>
        <w:rPr>
          <w:rFonts w:hint="eastAsia" w:ascii="Calibri" w:hAnsi="宋体" w:cs="仿宋_GB2312"/>
          <w:color w:val="auto"/>
          <w:kern w:val="2"/>
          <w:szCs w:val="21"/>
          <w:highlight w:val="none"/>
        </w:rPr>
        <w:t>天运到甲方工地。</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6</w:t>
      </w:r>
      <w:r>
        <w:rPr>
          <w:rFonts w:ascii="Calibri" w:hAnsi="宋体" w:cs="仿宋_GB2312"/>
          <w:color w:val="auto"/>
          <w:kern w:val="2"/>
          <w:szCs w:val="21"/>
          <w:highlight w:val="none"/>
        </w:rPr>
        <w:t>.9</w:t>
      </w:r>
      <w:r>
        <w:rPr>
          <w:rFonts w:hint="eastAsia" w:ascii="Calibri" w:hAnsi="宋体" w:cs="仿宋_GB2312"/>
          <w:color w:val="auto"/>
          <w:kern w:val="2"/>
          <w:szCs w:val="21"/>
          <w:highlight w:val="none"/>
        </w:rPr>
        <w:t>乙方应按本</w:t>
      </w:r>
      <w:r>
        <w:rPr>
          <w:rFonts w:ascii="Calibri" w:hAnsi="宋体" w:cs="仿宋_GB2312"/>
          <w:color w:val="auto"/>
          <w:kern w:val="2"/>
          <w:szCs w:val="21"/>
          <w:highlight w:val="none"/>
        </w:rPr>
        <w:t>合同</w:t>
      </w:r>
      <w:r>
        <w:rPr>
          <w:rFonts w:hint="eastAsia" w:ascii="Calibri" w:hAnsi="宋体" w:cs="仿宋_GB2312"/>
          <w:color w:val="auto"/>
          <w:kern w:val="2"/>
          <w:szCs w:val="21"/>
          <w:highlight w:val="none"/>
        </w:rPr>
        <w:t>及</w:t>
      </w:r>
      <w:r>
        <w:rPr>
          <w:rFonts w:ascii="Calibri" w:hAnsi="宋体" w:cs="仿宋_GB2312"/>
          <w:color w:val="auto"/>
          <w:kern w:val="2"/>
          <w:szCs w:val="21"/>
          <w:highlight w:val="none"/>
        </w:rPr>
        <w:t>附件</w:t>
      </w:r>
      <w:r>
        <w:rPr>
          <w:rFonts w:hint="eastAsia" w:ascii="Calibri" w:hAnsi="宋体" w:cs="仿宋_GB2312"/>
          <w:color w:val="auto"/>
          <w:kern w:val="2"/>
          <w:szCs w:val="21"/>
          <w:highlight w:val="none"/>
        </w:rPr>
        <w:t>中相关规定，向甲方分批提供满足东莞市寮步镇生活垃圾综合处理中心项目</w:t>
      </w:r>
      <w:r>
        <w:rPr>
          <w:rFonts w:hint="eastAsia"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rPr>
        <w:t>包设计、监造、施工、调试、试验、检验、培训、运行和维修所需的技术资料。按合同及</w:t>
      </w:r>
      <w:r>
        <w:rPr>
          <w:rFonts w:ascii="Calibri" w:hAnsi="宋体" w:cs="仿宋_GB2312"/>
          <w:color w:val="auto"/>
          <w:kern w:val="2"/>
          <w:szCs w:val="21"/>
          <w:highlight w:val="none"/>
        </w:rPr>
        <w:t>附件</w:t>
      </w:r>
      <w:r>
        <w:rPr>
          <w:rFonts w:hint="eastAsia" w:ascii="Calibri" w:hAnsi="宋体" w:cs="仿宋_GB2312"/>
          <w:color w:val="auto"/>
          <w:kern w:val="2"/>
          <w:szCs w:val="21"/>
          <w:highlight w:val="none"/>
        </w:rPr>
        <w:t>中的相关规定提供技术资料。应分别列出上述技术资料的清单及符合合同及</w:t>
      </w:r>
      <w:r>
        <w:rPr>
          <w:rFonts w:ascii="Calibri" w:hAnsi="宋体" w:cs="仿宋_GB2312"/>
          <w:color w:val="auto"/>
          <w:kern w:val="2"/>
          <w:szCs w:val="21"/>
          <w:highlight w:val="none"/>
        </w:rPr>
        <w:t>附件</w:t>
      </w:r>
      <w:r>
        <w:rPr>
          <w:rFonts w:hint="eastAsia" w:ascii="Calibri" w:hAnsi="宋体" w:cs="仿宋_GB2312"/>
          <w:color w:val="auto"/>
          <w:kern w:val="2"/>
          <w:szCs w:val="21"/>
          <w:highlight w:val="none"/>
        </w:rPr>
        <w:t>中</w:t>
      </w:r>
      <w:r>
        <w:rPr>
          <w:rFonts w:ascii="Calibri" w:hAnsi="宋体" w:cs="仿宋_GB2312"/>
          <w:color w:val="auto"/>
          <w:kern w:val="2"/>
          <w:szCs w:val="21"/>
          <w:highlight w:val="none"/>
        </w:rPr>
        <w:t>相关</w:t>
      </w:r>
      <w:r>
        <w:rPr>
          <w:rFonts w:hint="eastAsia" w:ascii="Calibri" w:hAnsi="宋体" w:cs="仿宋_GB2312"/>
          <w:color w:val="auto"/>
          <w:kern w:val="2"/>
          <w:szCs w:val="21"/>
          <w:highlight w:val="none"/>
        </w:rPr>
        <w:t>规定的交付进度。</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6</w:t>
      </w:r>
      <w:r>
        <w:rPr>
          <w:rFonts w:ascii="Calibri" w:hAnsi="宋体" w:cs="仿宋_GB2312"/>
          <w:color w:val="auto"/>
          <w:kern w:val="2"/>
          <w:szCs w:val="21"/>
          <w:highlight w:val="none"/>
        </w:rPr>
        <w:t>.10</w:t>
      </w:r>
      <w:r>
        <w:rPr>
          <w:rFonts w:hint="eastAsia" w:ascii="Calibri" w:hAnsi="宋体" w:cs="仿宋_GB2312"/>
          <w:color w:val="auto"/>
          <w:kern w:val="2"/>
          <w:szCs w:val="21"/>
          <w:highlight w:val="none"/>
        </w:rPr>
        <w:t>技术资料一般以当面交付或邮寄方式递交，每批技术资料交邮后，乙方应在</w:t>
      </w:r>
      <w:r>
        <w:rPr>
          <w:rFonts w:ascii="Calibri" w:hAnsi="宋体" w:cs="仿宋_GB2312"/>
          <w:color w:val="auto"/>
          <w:kern w:val="2"/>
          <w:szCs w:val="21"/>
          <w:highlight w:val="none"/>
        </w:rPr>
        <w:t>24</w:t>
      </w:r>
      <w:r>
        <w:rPr>
          <w:rFonts w:hint="eastAsia" w:ascii="Calibri" w:hAnsi="宋体" w:cs="仿宋_GB2312"/>
          <w:color w:val="auto"/>
          <w:kern w:val="2"/>
          <w:szCs w:val="21"/>
          <w:highlight w:val="none"/>
        </w:rPr>
        <w:t>小时内将技术资料的交邮日期、邮单号、技术资料的详细清单、件数及重量、合同号等以传真或邮件通知甲方。</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6</w:t>
      </w:r>
      <w:r>
        <w:rPr>
          <w:rFonts w:ascii="Calibri" w:hAnsi="宋体" w:cs="仿宋_GB2312"/>
          <w:color w:val="auto"/>
          <w:kern w:val="2"/>
          <w:szCs w:val="21"/>
          <w:highlight w:val="none"/>
        </w:rPr>
        <w:t>.11</w:t>
      </w:r>
      <w:r>
        <w:rPr>
          <w:rFonts w:hint="eastAsia" w:ascii="Calibri" w:hAnsi="宋体" w:cs="仿宋_GB2312"/>
          <w:color w:val="auto"/>
          <w:kern w:val="2"/>
          <w:szCs w:val="21"/>
          <w:highlight w:val="none"/>
        </w:rPr>
        <w:t>技术资料以邮政部门提货通知单戳记时间或甲方有关人员签字时间为技术资料的实际交付日期。此日期将作为对任何延期交付资料进行延期违约金计算的依据。如果技术资料经甲方或甲方代表检查后发现有缺少、丢失或损坏，且非甲方原因，乙方应在收到甲方通知后三天内（对急用者应在一天内）免费向现场补充提供缺少、丢失或损坏的部分。如因甲方原因发生缺少、丢失或损坏，乙方应在接到甲方通知后五天内（对急用者应在两天内），向现场补充提供缺少、丢失或损坏部分，费用由甲方承担。</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6</w:t>
      </w:r>
      <w:r>
        <w:rPr>
          <w:rFonts w:ascii="Calibri" w:hAnsi="宋体" w:cs="仿宋_GB2312"/>
          <w:color w:val="auto"/>
          <w:kern w:val="2"/>
          <w:szCs w:val="21"/>
          <w:highlight w:val="none"/>
        </w:rPr>
        <w:t>.12</w:t>
      </w:r>
      <w:r>
        <w:rPr>
          <w:rFonts w:hint="eastAsia" w:ascii="Calibri" w:hAnsi="宋体" w:cs="仿宋_GB2312"/>
          <w:color w:val="auto"/>
          <w:kern w:val="2"/>
          <w:szCs w:val="21"/>
          <w:highlight w:val="none"/>
        </w:rPr>
        <w:t>甲方可派遣代表到乙方工厂及装货车站检查包装质量和监督装车情况。乙方应提前五天通知甲方交运日期。如果甲方代表不参加或不能及时参加检验时，乙方有权发货。上述甲方代表的检查与监督不构成乙方对设备质量保证的任何减免。</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6</w:t>
      </w:r>
      <w:r>
        <w:rPr>
          <w:rFonts w:ascii="Calibri" w:hAnsi="宋体" w:cs="仿宋_GB2312"/>
          <w:color w:val="auto"/>
          <w:kern w:val="2"/>
          <w:szCs w:val="21"/>
          <w:highlight w:val="none"/>
        </w:rPr>
        <w:t>.1</w:t>
      </w:r>
      <w:r>
        <w:rPr>
          <w:rFonts w:hint="eastAsia" w:ascii="Calibri" w:hAnsi="宋体" w:cs="仿宋_GB2312"/>
          <w:color w:val="auto"/>
          <w:kern w:val="2"/>
          <w:szCs w:val="21"/>
          <w:highlight w:val="none"/>
        </w:rPr>
        <w:t>3到货地点（整车）：东莞市寮步镇生活垃圾综合处理中心项目工地现场；</w:t>
      </w:r>
    </w:p>
    <w:p>
      <w:pPr>
        <w:widowControl w:val="0"/>
        <w:adjustRightInd/>
        <w:snapToGrid/>
        <w:ind w:firstLine="420" w:firstLineChars="200"/>
        <w:jc w:val="both"/>
        <w:rPr>
          <w:rFonts w:hint="default" w:ascii="Calibri" w:hAnsi="宋体" w:eastAsia="宋体" w:cs="仿宋_GB2312"/>
          <w:color w:val="auto"/>
          <w:kern w:val="2"/>
          <w:szCs w:val="21"/>
          <w:highlight w:val="none"/>
          <w:lang w:val="en-US" w:eastAsia="zh-CN"/>
        </w:rPr>
      </w:pPr>
      <w:r>
        <w:rPr>
          <w:rFonts w:hint="eastAsia" w:ascii="Calibri" w:hAnsi="宋体" w:cs="仿宋_GB2312"/>
          <w:color w:val="auto"/>
          <w:kern w:val="2"/>
          <w:szCs w:val="21"/>
          <w:highlight w:val="none"/>
        </w:rPr>
        <w:t>6</w:t>
      </w:r>
      <w:r>
        <w:rPr>
          <w:rFonts w:ascii="Calibri" w:hAnsi="宋体" w:cs="仿宋_GB2312"/>
          <w:color w:val="auto"/>
          <w:kern w:val="2"/>
          <w:szCs w:val="21"/>
          <w:highlight w:val="none"/>
        </w:rPr>
        <w:t>.1</w:t>
      </w:r>
      <w:r>
        <w:rPr>
          <w:rFonts w:hint="eastAsia" w:ascii="Calibri" w:hAnsi="宋体" w:cs="仿宋_GB2312"/>
          <w:color w:val="auto"/>
          <w:kern w:val="2"/>
          <w:szCs w:val="21"/>
          <w:highlight w:val="none"/>
        </w:rPr>
        <w:t>4收货单位：</w:t>
      </w:r>
      <w:r>
        <w:rPr>
          <w:rFonts w:hint="eastAsia" w:ascii="Calibri" w:hAnsi="宋体" w:cs="仿宋_GB2312"/>
          <w:color w:val="auto"/>
          <w:kern w:val="2"/>
          <w:szCs w:val="21"/>
          <w:highlight w:val="none"/>
          <w:lang w:val="en-US" w:eastAsia="zh-CN"/>
        </w:rPr>
        <w:t xml:space="preserve">    </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6</w:t>
      </w:r>
      <w:r>
        <w:rPr>
          <w:rFonts w:ascii="Calibri" w:hAnsi="宋体" w:cs="仿宋_GB2312"/>
          <w:color w:val="auto"/>
          <w:kern w:val="2"/>
          <w:szCs w:val="21"/>
          <w:highlight w:val="none"/>
        </w:rPr>
        <w:t>.1</w:t>
      </w:r>
      <w:r>
        <w:rPr>
          <w:rFonts w:hint="eastAsia" w:ascii="Calibri" w:hAnsi="宋体" w:cs="仿宋_GB2312"/>
          <w:color w:val="auto"/>
          <w:kern w:val="2"/>
          <w:szCs w:val="21"/>
          <w:highlight w:val="none"/>
        </w:rPr>
        <w:t>5技术资料邮寄地址：东莞市麻涌镇大步村海心沙</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ascii="Calibri" w:hAnsi="宋体" w:cs="仿宋_GB2312"/>
          <w:color w:val="auto"/>
          <w:kern w:val="2"/>
          <w:szCs w:val="21"/>
          <w:highlight w:val="none"/>
        </w:rPr>
        <w:tab/>
      </w:r>
      <w:r>
        <w:rPr>
          <w:rFonts w:hint="eastAsia" w:ascii="Calibri" w:hAnsi="宋体" w:cs="仿宋_GB2312"/>
          <w:color w:val="auto"/>
          <w:kern w:val="2"/>
          <w:szCs w:val="21"/>
          <w:highlight w:val="none"/>
        </w:rPr>
        <w:t xml:space="preserve"> 邮编：523000</w:t>
      </w:r>
      <w:r>
        <w:rPr>
          <w:rFonts w:ascii="Calibri" w:hAnsi="宋体" w:cs="仿宋_GB2312"/>
          <w:color w:val="auto"/>
          <w:kern w:val="2"/>
          <w:szCs w:val="21"/>
          <w:highlight w:val="none"/>
        </w:rPr>
        <w:t xml:space="preserve">            </w:t>
      </w:r>
    </w:p>
    <w:p>
      <w:pPr>
        <w:widowControl w:val="0"/>
        <w:adjustRightInd/>
        <w:snapToGrid/>
        <w:ind w:firstLine="422" w:firstLineChars="200"/>
        <w:jc w:val="both"/>
        <w:rPr>
          <w:rFonts w:ascii="Calibri" w:hAnsi="宋体" w:cs="仿宋_GB2312"/>
          <w:b/>
          <w:color w:val="auto"/>
          <w:kern w:val="2"/>
          <w:szCs w:val="21"/>
          <w:highlight w:val="none"/>
          <w:u w:val="single"/>
        </w:rPr>
      </w:pPr>
      <w:r>
        <w:rPr>
          <w:rFonts w:ascii="Calibri" w:hAnsi="宋体" w:cs="仿宋_GB2312"/>
          <w:b/>
          <w:color w:val="auto"/>
          <w:kern w:val="2"/>
          <w:szCs w:val="21"/>
          <w:highlight w:val="none"/>
        </w:rPr>
        <w:t>7、</w:t>
      </w:r>
      <w:r>
        <w:rPr>
          <w:rFonts w:hint="eastAsia" w:ascii="Calibri" w:hAnsi="宋体" w:cs="仿宋_GB2312"/>
          <w:b/>
          <w:color w:val="auto"/>
          <w:kern w:val="2"/>
          <w:szCs w:val="21"/>
          <w:highlight w:val="none"/>
        </w:rPr>
        <w:t>包装与标记</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7.1</w:t>
      </w:r>
      <w:r>
        <w:rPr>
          <w:rFonts w:hint="eastAsia" w:ascii="Calibri" w:hAnsi="宋体" w:cs="仿宋_GB2312"/>
          <w:color w:val="auto"/>
          <w:kern w:val="2"/>
          <w:szCs w:val="21"/>
          <w:highlight w:val="none"/>
        </w:rPr>
        <w:t>乙方交付的所有货物要符合供货设备相关规范的包装、储运指示标志的规定及国家相关管理部门的规定。具有适合长途运输、多次搬运和装卸的坚固包装，包装应保证在运输、装卸过程中完好无损，并有减振、防冲击的措施。若包装无法防止运输、装卸过程中垂直、水平加速度等引起的设备损坏，乙方要在设备的设计结构上予以解决。包装应按设备特点，按需要分别加上防潮、防霉、防锈、防腐蚀的保护措施，以保证货物在没有任何损坏和腐蚀的情况下安全运抵合同设备安装现场。产品包装前，乙方负责按部套进行检查清理，不留异物，并保证零部件齐全。</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7.2</w:t>
      </w:r>
      <w:r>
        <w:rPr>
          <w:rFonts w:hint="eastAsia" w:ascii="Calibri" w:hAnsi="宋体" w:cs="仿宋_GB2312"/>
          <w:color w:val="auto"/>
          <w:kern w:val="2"/>
          <w:szCs w:val="21"/>
          <w:highlight w:val="none"/>
        </w:rPr>
        <w:t>乙方对包装箱内和捆内的各散装部件在装配图中的部件号、零件号应标记清楚。</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7.3</w:t>
      </w:r>
      <w:r>
        <w:rPr>
          <w:rFonts w:hint="eastAsia" w:ascii="Calibri" w:hAnsi="宋体" w:cs="仿宋_GB2312"/>
          <w:color w:val="auto"/>
          <w:kern w:val="2"/>
          <w:szCs w:val="21"/>
          <w:highlight w:val="none"/>
        </w:rPr>
        <w:t>乙方应在每件包装箱的两个侧面上，用不褪色的油漆以明显易见的中文字样印刷以下标记：</w:t>
      </w:r>
    </w:p>
    <w:p>
      <w:pPr>
        <w:widowControl w:val="0"/>
        <w:numPr>
          <w:ilvl w:val="0"/>
          <w:numId w:val="119"/>
        </w:numPr>
        <w:tabs>
          <w:tab w:val="left" w:pos="1050"/>
          <w:tab w:val="clear" w:pos="2295"/>
        </w:tabs>
        <w:adjustRightInd/>
        <w:snapToGrid/>
        <w:ind w:left="0"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合同号</w:t>
      </w:r>
      <w:r>
        <w:rPr>
          <w:rFonts w:ascii="Calibri" w:hAnsi="宋体" w:cs="仿宋_GB2312"/>
          <w:color w:val="auto"/>
          <w:kern w:val="2"/>
          <w:szCs w:val="21"/>
          <w:highlight w:val="none"/>
        </w:rPr>
        <w:t>:</w:t>
      </w:r>
    </w:p>
    <w:p>
      <w:pPr>
        <w:widowControl w:val="0"/>
        <w:numPr>
          <w:ilvl w:val="0"/>
          <w:numId w:val="119"/>
        </w:numPr>
        <w:tabs>
          <w:tab w:val="left" w:pos="1050"/>
          <w:tab w:val="clear" w:pos="2295"/>
        </w:tabs>
        <w:adjustRightInd/>
        <w:snapToGrid/>
        <w:ind w:left="0"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目的地</w:t>
      </w:r>
      <w:r>
        <w:rPr>
          <w:rFonts w:ascii="Calibri" w:hAnsi="宋体" w:cs="仿宋_GB2312"/>
          <w:color w:val="auto"/>
          <w:kern w:val="2"/>
          <w:szCs w:val="21"/>
          <w:highlight w:val="none"/>
        </w:rPr>
        <w:t>:</w:t>
      </w:r>
    </w:p>
    <w:p>
      <w:pPr>
        <w:widowControl w:val="0"/>
        <w:numPr>
          <w:ilvl w:val="0"/>
          <w:numId w:val="119"/>
        </w:numPr>
        <w:tabs>
          <w:tab w:val="left" w:pos="1050"/>
          <w:tab w:val="clear" w:pos="2295"/>
        </w:tabs>
        <w:adjustRightInd/>
        <w:snapToGrid/>
        <w:ind w:left="0"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供货、收货单位名称</w:t>
      </w:r>
      <w:r>
        <w:rPr>
          <w:rFonts w:ascii="Calibri" w:hAnsi="宋体" w:cs="仿宋_GB2312"/>
          <w:color w:val="auto"/>
          <w:kern w:val="2"/>
          <w:szCs w:val="21"/>
          <w:highlight w:val="none"/>
        </w:rPr>
        <w:t>:</w:t>
      </w:r>
    </w:p>
    <w:p>
      <w:pPr>
        <w:widowControl w:val="0"/>
        <w:numPr>
          <w:ilvl w:val="0"/>
          <w:numId w:val="119"/>
        </w:numPr>
        <w:tabs>
          <w:tab w:val="left" w:pos="1050"/>
          <w:tab w:val="clear" w:pos="2295"/>
        </w:tabs>
        <w:adjustRightInd/>
        <w:snapToGrid/>
        <w:ind w:left="0"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设备名称、图号</w:t>
      </w:r>
      <w:r>
        <w:rPr>
          <w:rFonts w:ascii="Calibri" w:hAnsi="宋体" w:cs="仿宋_GB2312"/>
          <w:color w:val="auto"/>
          <w:kern w:val="2"/>
          <w:szCs w:val="21"/>
          <w:highlight w:val="none"/>
        </w:rPr>
        <w:t>:</w:t>
      </w:r>
    </w:p>
    <w:p>
      <w:pPr>
        <w:widowControl w:val="0"/>
        <w:numPr>
          <w:ilvl w:val="0"/>
          <w:numId w:val="119"/>
        </w:numPr>
        <w:tabs>
          <w:tab w:val="left" w:pos="1050"/>
          <w:tab w:val="clear" w:pos="2295"/>
        </w:tabs>
        <w:adjustRightInd/>
        <w:snapToGrid/>
        <w:ind w:left="0"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箱号／件号</w:t>
      </w:r>
      <w:r>
        <w:rPr>
          <w:rFonts w:ascii="Calibri" w:hAnsi="宋体" w:cs="仿宋_GB2312"/>
          <w:color w:val="auto"/>
          <w:kern w:val="2"/>
          <w:szCs w:val="21"/>
          <w:highlight w:val="none"/>
        </w:rPr>
        <w:t>:</w:t>
      </w:r>
    </w:p>
    <w:p>
      <w:pPr>
        <w:widowControl w:val="0"/>
        <w:numPr>
          <w:ilvl w:val="0"/>
          <w:numId w:val="119"/>
        </w:numPr>
        <w:tabs>
          <w:tab w:val="left" w:pos="1050"/>
          <w:tab w:val="clear" w:pos="2295"/>
        </w:tabs>
        <w:adjustRightInd/>
        <w:snapToGrid/>
        <w:ind w:left="0"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毛重／净重（公斤）；</w:t>
      </w:r>
    </w:p>
    <w:p>
      <w:pPr>
        <w:widowControl w:val="0"/>
        <w:numPr>
          <w:ilvl w:val="0"/>
          <w:numId w:val="119"/>
        </w:numPr>
        <w:tabs>
          <w:tab w:val="left" w:pos="1050"/>
          <w:tab w:val="clear" w:pos="2295"/>
        </w:tabs>
        <w:adjustRightInd/>
        <w:snapToGrid/>
        <w:ind w:left="0"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体积（长×宽×高，以毫米表示）。</w:t>
      </w:r>
    </w:p>
    <w:p>
      <w:pPr>
        <w:widowControl w:val="0"/>
        <w:numPr>
          <w:ilvl w:val="0"/>
          <w:numId w:val="119"/>
        </w:numPr>
        <w:tabs>
          <w:tab w:val="left" w:pos="1050"/>
          <w:tab w:val="clear" w:pos="2295"/>
        </w:tabs>
        <w:adjustRightInd/>
        <w:snapToGrid/>
        <w:ind w:left="0"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包装箱外部应有如下运输作业标志</w:t>
      </w:r>
      <w:r>
        <w:rPr>
          <w:rFonts w:ascii="Calibri" w:hAnsi="宋体" w:cs="仿宋_GB2312"/>
          <w:color w:val="auto"/>
          <w:kern w:val="2"/>
          <w:szCs w:val="21"/>
          <w:highlight w:val="none"/>
        </w:rPr>
        <w:t>:</w:t>
      </w:r>
      <w:r>
        <w:rPr>
          <w:rFonts w:hint="eastAsia" w:ascii="Calibri" w:hAnsi="宋体" w:cs="仿宋_GB2312"/>
          <w:color w:val="auto"/>
          <w:kern w:val="2"/>
          <w:szCs w:val="21"/>
          <w:highlight w:val="none"/>
        </w:rPr>
        <w:t>包括防潮、防震、放置方向</w:t>
      </w:r>
      <w:r>
        <w:rPr>
          <w:rFonts w:ascii="Calibri" w:hAnsi="宋体" w:cs="仿宋_GB2312"/>
          <w:color w:val="auto"/>
          <w:kern w:val="2"/>
          <w:szCs w:val="21"/>
          <w:highlight w:val="none"/>
        </w:rPr>
        <w:t>,</w:t>
      </w:r>
      <w:r>
        <w:rPr>
          <w:rFonts w:hint="eastAsia" w:ascii="Calibri" w:hAnsi="宋体" w:cs="仿宋_GB2312"/>
          <w:color w:val="auto"/>
          <w:kern w:val="2"/>
          <w:szCs w:val="21"/>
          <w:highlight w:val="none"/>
        </w:rPr>
        <w:t>重心位置、绳索固定部位等。</w:t>
      </w:r>
    </w:p>
    <w:p>
      <w:pPr>
        <w:widowControl w:val="0"/>
        <w:numPr>
          <w:ilvl w:val="0"/>
          <w:numId w:val="119"/>
        </w:numPr>
        <w:tabs>
          <w:tab w:val="left" w:pos="1050"/>
          <w:tab w:val="clear" w:pos="2295"/>
        </w:tabs>
        <w:adjustRightInd/>
        <w:snapToGrid/>
        <w:ind w:left="0"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凡重量为二吨或超过二吨的货物，应在包装箱的侧面以运输常用的标记和图案标明重心位置及起吊点，以便于装卸搬运。按照货物的特点，装卸和运输上的不同要求，包装箱上应明显地印刷有“轻放”、“勿倒置”和“防雨”等字样。</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7.4</w:t>
      </w:r>
      <w:r>
        <w:rPr>
          <w:rFonts w:hint="eastAsia" w:ascii="Calibri" w:hAnsi="宋体" w:cs="仿宋_GB2312"/>
          <w:color w:val="auto"/>
          <w:kern w:val="2"/>
          <w:szCs w:val="21"/>
          <w:highlight w:val="none"/>
        </w:rPr>
        <w:t>对裸装货物应以金属标签或直接在设备本身上注明上述有关内容。大件货物应带有足够的货物支架或包装垫木。</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7.5</w:t>
      </w:r>
      <w:r>
        <w:rPr>
          <w:rFonts w:hint="eastAsia" w:ascii="Calibri" w:hAnsi="宋体" w:cs="仿宋_GB2312"/>
          <w:color w:val="auto"/>
          <w:kern w:val="2"/>
          <w:szCs w:val="21"/>
          <w:highlight w:val="none"/>
        </w:rPr>
        <w:t>每件包装箱内，应附有包括分件名称、规格型号、数量、价格、图号的详细装箱单、合格证。外购件包装箱内应有产品出厂质量合格证明书、技术说明各一份。另邮寄装箱清单各两份。</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w:t>
      </w:r>
      <w:r>
        <w:rPr>
          <w:rFonts w:hint="eastAsia" w:ascii="Calibri" w:hAnsi="宋体" w:cs="仿宋_GB2312"/>
          <w:color w:val="auto"/>
          <w:kern w:val="2"/>
          <w:szCs w:val="21"/>
          <w:highlight w:val="none"/>
        </w:rPr>
        <w:t>6本</w:t>
      </w:r>
      <w:r>
        <w:rPr>
          <w:rFonts w:ascii="Calibri" w:hAnsi="宋体" w:cs="仿宋_GB2312"/>
          <w:color w:val="auto"/>
          <w:kern w:val="2"/>
          <w:szCs w:val="21"/>
          <w:highlight w:val="none"/>
        </w:rPr>
        <w:t>合同</w:t>
      </w:r>
      <w:r>
        <w:rPr>
          <w:rFonts w:hint="eastAsia" w:ascii="Calibri" w:hAnsi="宋体" w:cs="仿宋_GB2312"/>
          <w:color w:val="auto"/>
          <w:kern w:val="2"/>
          <w:szCs w:val="21"/>
          <w:highlight w:val="none"/>
        </w:rPr>
        <w:t>及</w:t>
      </w:r>
      <w:r>
        <w:rPr>
          <w:rFonts w:ascii="Calibri" w:hAnsi="宋体" w:cs="仿宋_GB2312"/>
          <w:color w:val="auto"/>
          <w:kern w:val="2"/>
          <w:szCs w:val="21"/>
          <w:highlight w:val="none"/>
        </w:rPr>
        <w:t>附件</w:t>
      </w:r>
      <w:r>
        <w:rPr>
          <w:rFonts w:hint="eastAsia" w:ascii="Calibri" w:hAnsi="宋体" w:cs="仿宋_GB2312"/>
          <w:color w:val="auto"/>
          <w:kern w:val="2"/>
          <w:szCs w:val="21"/>
          <w:highlight w:val="none"/>
        </w:rPr>
        <w:t>中列明的备品备件应按每套设备分别包装，并在包装箱外加以注明，一次性发货。</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7.7</w:t>
      </w:r>
      <w:r>
        <w:rPr>
          <w:rFonts w:hint="eastAsia" w:ascii="Calibri" w:hAnsi="宋体" w:cs="仿宋_GB2312"/>
          <w:color w:val="auto"/>
          <w:kern w:val="2"/>
          <w:szCs w:val="21"/>
          <w:highlight w:val="none"/>
        </w:rPr>
        <w:t>备品备件应分别包装并按</w:t>
      </w:r>
      <w:r>
        <w:rPr>
          <w:rFonts w:ascii="Calibri" w:hAnsi="宋体" w:cs="仿宋_GB2312"/>
          <w:color w:val="auto"/>
          <w:kern w:val="2"/>
          <w:szCs w:val="21"/>
          <w:highlight w:val="none"/>
        </w:rPr>
        <w:t>7.2</w:t>
      </w:r>
      <w:r>
        <w:rPr>
          <w:rFonts w:hint="eastAsia" w:ascii="Calibri" w:hAnsi="宋体" w:cs="仿宋_GB2312"/>
          <w:color w:val="auto"/>
          <w:kern w:val="2"/>
          <w:szCs w:val="21"/>
          <w:highlight w:val="none"/>
        </w:rPr>
        <w:t>及7.3款注明上述内容，专用工具也应分别包装。</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7.8</w:t>
      </w:r>
      <w:r>
        <w:rPr>
          <w:rFonts w:hint="eastAsia" w:ascii="Calibri" w:hAnsi="宋体" w:cs="仿宋_GB2312"/>
          <w:color w:val="auto"/>
          <w:kern w:val="2"/>
          <w:szCs w:val="21"/>
          <w:highlight w:val="none"/>
        </w:rPr>
        <w:t>各种设备的松散零星部件应采用好的包装方式，装入尺寸适当的箱内，并尽可能整车发运以减少运输费用。</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7.9</w:t>
      </w:r>
      <w:r>
        <w:rPr>
          <w:rFonts w:hint="eastAsia" w:ascii="Calibri" w:hAnsi="宋体" w:cs="仿宋_GB2312"/>
          <w:color w:val="auto"/>
          <w:kern w:val="2"/>
          <w:szCs w:val="21"/>
          <w:highlight w:val="none"/>
        </w:rPr>
        <w:t>栅格式箱子和／或类似的包装，应能用于盛装不至于被偷窃或被其他物品或雨水造成损坏的设备及零部件。</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7.10</w:t>
      </w:r>
      <w:r>
        <w:rPr>
          <w:rFonts w:hint="eastAsia" w:ascii="Calibri" w:hAnsi="宋体" w:cs="仿宋_GB2312"/>
          <w:color w:val="auto"/>
          <w:kern w:val="2"/>
          <w:szCs w:val="21"/>
          <w:highlight w:val="none"/>
        </w:rPr>
        <w:t>所有管道、管件、阀门及其它设备的端口必须用保护盖或其它方式妥善防护。</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7.11</w:t>
      </w:r>
      <w:r>
        <w:rPr>
          <w:rFonts w:hint="eastAsia" w:ascii="Calibri" w:hAnsi="宋体" w:cs="仿宋_GB2312"/>
          <w:color w:val="auto"/>
          <w:kern w:val="2"/>
          <w:szCs w:val="21"/>
          <w:highlight w:val="none"/>
        </w:rPr>
        <w:t>乙方和／或其分包商不得用同一箱号标明任何两个箱件。</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7.12</w:t>
      </w:r>
      <w:r>
        <w:rPr>
          <w:rFonts w:hint="eastAsia" w:ascii="Calibri" w:hAnsi="宋体" w:cs="仿宋_GB2312"/>
          <w:color w:val="auto"/>
          <w:kern w:val="2"/>
          <w:szCs w:val="21"/>
          <w:highlight w:val="none"/>
        </w:rPr>
        <w:t>对于需要精确装配的明亮洁净加工面的货物，加工面应采用优良，耐久的保护层（不得用油漆）以防止在安装前发生锈蚀和损坏。</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7.13</w:t>
      </w:r>
      <w:r>
        <w:rPr>
          <w:rFonts w:hint="eastAsia" w:ascii="Calibri" w:hAnsi="宋体" w:cs="仿宋_GB2312"/>
          <w:color w:val="auto"/>
          <w:kern w:val="2"/>
          <w:szCs w:val="21"/>
          <w:highlight w:val="none"/>
        </w:rPr>
        <w:t>乙方交付的技术资料应使用适合于长途各类运输、多次搬运、防雨和防潮的包装。每包技术资料的封面上应注明下述内容：</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w:t>
      </w:r>
      <w:r>
        <w:rPr>
          <w:rFonts w:ascii="Calibri" w:hAnsi="宋体" w:cs="仿宋_GB2312"/>
          <w:color w:val="auto"/>
          <w:kern w:val="2"/>
          <w:szCs w:val="21"/>
          <w:highlight w:val="none"/>
        </w:rPr>
        <w:t>1</w:t>
      </w:r>
      <w:r>
        <w:rPr>
          <w:rFonts w:hint="eastAsia" w:ascii="Calibri" w:hAnsi="宋体" w:cs="仿宋_GB2312"/>
          <w:color w:val="auto"/>
          <w:kern w:val="2"/>
          <w:szCs w:val="21"/>
          <w:highlight w:val="none"/>
        </w:rPr>
        <w:t>）合同号</w:t>
      </w:r>
      <w:r>
        <w:rPr>
          <w:rFonts w:ascii="Calibri" w:hAnsi="宋体" w:cs="仿宋_GB2312"/>
          <w:color w:val="auto"/>
          <w:kern w:val="2"/>
          <w:szCs w:val="21"/>
          <w:highlight w:val="none"/>
        </w:rPr>
        <w:t>:</w:t>
      </w:r>
    </w:p>
    <w:p>
      <w:pPr>
        <w:widowControl w:val="0"/>
        <w:tabs>
          <w:tab w:val="left" w:pos="360"/>
        </w:tabs>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w:t>
      </w:r>
      <w:r>
        <w:rPr>
          <w:rFonts w:ascii="Calibri" w:hAnsi="宋体" w:cs="仿宋_GB2312"/>
          <w:color w:val="auto"/>
          <w:kern w:val="2"/>
          <w:szCs w:val="21"/>
          <w:highlight w:val="none"/>
        </w:rPr>
        <w:t>2</w:t>
      </w:r>
      <w:r>
        <w:rPr>
          <w:rFonts w:hint="eastAsia" w:ascii="Calibri" w:hAnsi="宋体" w:cs="仿宋_GB2312"/>
          <w:color w:val="auto"/>
          <w:kern w:val="2"/>
          <w:szCs w:val="21"/>
          <w:highlight w:val="none"/>
        </w:rPr>
        <w:t>）供货、收货单位名称</w:t>
      </w:r>
      <w:r>
        <w:rPr>
          <w:rFonts w:ascii="Calibri" w:hAnsi="宋体" w:cs="仿宋_GB2312"/>
          <w:color w:val="auto"/>
          <w:kern w:val="2"/>
          <w:szCs w:val="21"/>
          <w:highlight w:val="none"/>
        </w:rPr>
        <w:t>:</w:t>
      </w:r>
    </w:p>
    <w:p>
      <w:pPr>
        <w:widowControl w:val="0"/>
        <w:tabs>
          <w:tab w:val="left" w:pos="360"/>
        </w:tabs>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w:t>
      </w:r>
      <w:r>
        <w:rPr>
          <w:rFonts w:ascii="Calibri" w:hAnsi="宋体" w:cs="仿宋_GB2312"/>
          <w:color w:val="auto"/>
          <w:kern w:val="2"/>
          <w:szCs w:val="21"/>
          <w:highlight w:val="none"/>
        </w:rPr>
        <w:t>3</w:t>
      </w:r>
      <w:r>
        <w:rPr>
          <w:rFonts w:hint="eastAsia" w:ascii="Calibri" w:hAnsi="宋体" w:cs="仿宋_GB2312"/>
          <w:color w:val="auto"/>
          <w:kern w:val="2"/>
          <w:szCs w:val="21"/>
          <w:highlight w:val="none"/>
        </w:rPr>
        <w:t>）目的地</w:t>
      </w:r>
      <w:r>
        <w:rPr>
          <w:rFonts w:ascii="Calibri" w:hAnsi="宋体" w:cs="仿宋_GB2312"/>
          <w:color w:val="auto"/>
          <w:kern w:val="2"/>
          <w:szCs w:val="21"/>
          <w:highlight w:val="none"/>
        </w:rPr>
        <w:t>:</w:t>
      </w:r>
    </w:p>
    <w:p>
      <w:pPr>
        <w:widowControl w:val="0"/>
        <w:tabs>
          <w:tab w:val="left" w:pos="360"/>
        </w:tabs>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w:t>
      </w:r>
      <w:r>
        <w:rPr>
          <w:rFonts w:ascii="Calibri" w:hAnsi="宋体" w:cs="仿宋_GB2312"/>
          <w:color w:val="auto"/>
          <w:kern w:val="2"/>
          <w:szCs w:val="21"/>
          <w:highlight w:val="none"/>
        </w:rPr>
        <w:t>4</w:t>
      </w:r>
      <w:r>
        <w:rPr>
          <w:rFonts w:hint="eastAsia" w:ascii="Calibri" w:hAnsi="宋体" w:cs="仿宋_GB2312"/>
          <w:color w:val="auto"/>
          <w:kern w:val="2"/>
          <w:szCs w:val="21"/>
          <w:highlight w:val="none"/>
        </w:rPr>
        <w:t>）毛重</w:t>
      </w:r>
      <w:r>
        <w:rPr>
          <w:rFonts w:ascii="Calibri" w:hAnsi="宋体" w:cs="仿宋_GB2312"/>
          <w:color w:val="auto"/>
          <w:kern w:val="2"/>
          <w:szCs w:val="21"/>
          <w:highlight w:val="none"/>
        </w:rPr>
        <w:t>:</w:t>
      </w:r>
    </w:p>
    <w:p>
      <w:pPr>
        <w:widowControl w:val="0"/>
        <w:tabs>
          <w:tab w:val="left" w:pos="360"/>
        </w:tabs>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w:t>
      </w:r>
      <w:r>
        <w:rPr>
          <w:rFonts w:ascii="Calibri" w:hAnsi="宋体" w:cs="仿宋_GB2312"/>
          <w:color w:val="auto"/>
          <w:kern w:val="2"/>
          <w:szCs w:val="21"/>
          <w:highlight w:val="none"/>
        </w:rPr>
        <w:t>5</w:t>
      </w:r>
      <w:r>
        <w:rPr>
          <w:rFonts w:hint="eastAsia" w:ascii="Calibri" w:hAnsi="宋体" w:cs="仿宋_GB2312"/>
          <w:color w:val="auto"/>
          <w:kern w:val="2"/>
          <w:szCs w:val="21"/>
          <w:highlight w:val="none"/>
        </w:rPr>
        <w:t>）箱号／件号。</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每一包资料内应附有技术资料的详细清单一式二份，标明技术资料的序号、文件项号、名称和页数。</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7.14</w:t>
      </w:r>
      <w:r>
        <w:rPr>
          <w:rFonts w:hint="eastAsia" w:ascii="Calibri" w:hAnsi="宋体" w:cs="仿宋_GB2312"/>
          <w:color w:val="auto"/>
          <w:kern w:val="2"/>
          <w:szCs w:val="21"/>
          <w:highlight w:val="none"/>
        </w:rPr>
        <w:t>凡由于乙方包装或保管不善致使货物遭到损坏或丢失时，不论在何时何地发现，一经证实，乙方均应按本合同第</w:t>
      </w:r>
      <w:r>
        <w:rPr>
          <w:rFonts w:ascii="Calibri" w:hAnsi="宋体" w:cs="仿宋_GB2312"/>
          <w:color w:val="auto"/>
          <w:kern w:val="2"/>
          <w:szCs w:val="21"/>
          <w:highlight w:val="none"/>
        </w:rPr>
        <w:t>11</w:t>
      </w:r>
      <w:r>
        <w:rPr>
          <w:rFonts w:hint="eastAsia" w:ascii="Calibri" w:hAnsi="宋体" w:cs="仿宋_GB2312"/>
          <w:color w:val="auto"/>
          <w:kern w:val="2"/>
          <w:szCs w:val="21"/>
          <w:highlight w:val="none"/>
        </w:rPr>
        <w:t>条款的规定负责及时修理、更换或赔偿。在运输中如发生货物损坏和丢失时，乙方负责与承运部门及保险公司交涉，同时乙方应尽快向甲方补供货物以满足工期需要。</w:t>
      </w:r>
    </w:p>
    <w:p>
      <w:pPr>
        <w:widowControl w:val="0"/>
        <w:adjustRightInd/>
        <w:snapToGrid/>
        <w:ind w:firstLine="422" w:firstLineChars="200"/>
        <w:jc w:val="both"/>
        <w:rPr>
          <w:rFonts w:ascii="Calibri" w:hAnsi="宋体" w:cs="仿宋_GB2312"/>
          <w:b/>
          <w:color w:val="auto"/>
          <w:kern w:val="2"/>
          <w:szCs w:val="21"/>
          <w:highlight w:val="none"/>
        </w:rPr>
      </w:pPr>
      <w:r>
        <w:rPr>
          <w:rFonts w:hint="eastAsia" w:ascii="Calibri" w:hAnsi="宋体" w:cs="仿宋_GB2312"/>
          <w:b/>
          <w:color w:val="auto"/>
          <w:kern w:val="2"/>
          <w:szCs w:val="21"/>
          <w:highlight w:val="none"/>
        </w:rPr>
        <w:t>8、技术服务和联络</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8.l</w:t>
      </w:r>
      <w:r>
        <w:rPr>
          <w:rFonts w:hint="eastAsia" w:ascii="Calibri" w:hAnsi="宋体" w:cs="仿宋_GB2312"/>
          <w:color w:val="auto"/>
          <w:kern w:val="2"/>
          <w:szCs w:val="21"/>
          <w:highlight w:val="none"/>
        </w:rPr>
        <w:t>乙方应及时提供与本合同设备有关的工程设计、设备监造、检验、土建、安装、调试、验收、性能验收试验、运行、检修等相应的技术指导、技术配合、技术培训等全过程的服务。</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8.2</w:t>
      </w:r>
      <w:r>
        <w:rPr>
          <w:rFonts w:hint="eastAsia" w:ascii="Calibri" w:hAnsi="宋体" w:cs="仿宋_GB2312"/>
          <w:color w:val="auto"/>
          <w:kern w:val="2"/>
          <w:szCs w:val="21"/>
          <w:highlight w:val="none"/>
        </w:rPr>
        <w:t>乙方必须长期派代表到现场进行技术服务，</w:t>
      </w:r>
      <w:r>
        <w:rPr>
          <w:rFonts w:hint="eastAsia"/>
          <w:color w:val="auto"/>
          <w:highlight w:val="none"/>
        </w:rPr>
        <w:t>乙方完成设备安装交甲方使用后，一些设备的安装、更换由甲方负责，乙方进行指导</w:t>
      </w:r>
      <w:r>
        <w:rPr>
          <w:rFonts w:hint="eastAsia" w:ascii="Calibri" w:hAnsi="宋体" w:cs="仿宋_GB2312"/>
          <w:color w:val="auto"/>
          <w:kern w:val="2"/>
          <w:szCs w:val="21"/>
          <w:highlight w:val="none"/>
        </w:rPr>
        <w:t>，并负责解决合同设备在安装调试、试运行中发现的制造质量及性能等有关问题。</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8.3</w:t>
      </w:r>
      <w:r>
        <w:rPr>
          <w:rFonts w:hint="eastAsia" w:ascii="Calibri" w:hAnsi="宋体" w:cs="仿宋_GB2312"/>
          <w:color w:val="auto"/>
          <w:kern w:val="2"/>
          <w:szCs w:val="21"/>
          <w:highlight w:val="none"/>
        </w:rPr>
        <w:t>乙方应在合同生效后</w:t>
      </w:r>
      <w:r>
        <w:rPr>
          <w:rFonts w:hint="eastAsia" w:ascii="Calibri" w:hAnsi="宋体" w:cs="仿宋_GB2312"/>
          <w:color w:val="auto"/>
          <w:kern w:val="2"/>
          <w:szCs w:val="21"/>
          <w:highlight w:val="none"/>
          <w:u w:val="single"/>
        </w:rPr>
        <w:t>7天</w:t>
      </w:r>
      <w:r>
        <w:rPr>
          <w:rFonts w:hint="eastAsia" w:ascii="Calibri" w:hAnsi="宋体" w:cs="仿宋_GB2312"/>
          <w:color w:val="auto"/>
          <w:kern w:val="2"/>
          <w:szCs w:val="21"/>
          <w:highlight w:val="none"/>
        </w:rPr>
        <w:t>内以邮寄方式分批向甲方提交执行</w:t>
      </w:r>
      <w:r>
        <w:rPr>
          <w:rFonts w:ascii="Calibri" w:hAnsi="宋体" w:cs="仿宋_GB2312"/>
          <w:color w:val="auto"/>
          <w:kern w:val="2"/>
          <w:szCs w:val="21"/>
          <w:highlight w:val="none"/>
        </w:rPr>
        <w:t>8.l</w:t>
      </w:r>
      <w:r>
        <w:rPr>
          <w:rFonts w:hint="eastAsia" w:ascii="Calibri" w:hAnsi="宋体" w:cs="仿宋_GB2312"/>
          <w:color w:val="auto"/>
          <w:kern w:val="2"/>
          <w:szCs w:val="21"/>
          <w:highlight w:val="none"/>
        </w:rPr>
        <w:t>和</w:t>
      </w:r>
      <w:r>
        <w:rPr>
          <w:rFonts w:ascii="Calibri" w:hAnsi="宋体" w:cs="仿宋_GB2312"/>
          <w:color w:val="auto"/>
          <w:kern w:val="2"/>
          <w:szCs w:val="21"/>
          <w:highlight w:val="none"/>
        </w:rPr>
        <w:t>8.2</w:t>
      </w:r>
      <w:r>
        <w:rPr>
          <w:rFonts w:hint="eastAsia" w:ascii="Calibri" w:hAnsi="宋体" w:cs="仿宋_GB2312"/>
          <w:color w:val="auto"/>
          <w:kern w:val="2"/>
          <w:szCs w:val="21"/>
          <w:highlight w:val="none"/>
        </w:rPr>
        <w:t>款中规定的服务工作的组织计划一式两份，并确保计划能满足本项目工期要求。</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8.4</w:t>
      </w:r>
      <w:r>
        <w:rPr>
          <w:rFonts w:hint="eastAsia" w:ascii="Calibri" w:hAnsi="宋体" w:cs="仿宋_GB2312"/>
          <w:color w:val="auto"/>
          <w:kern w:val="2"/>
          <w:szCs w:val="21"/>
          <w:highlight w:val="none"/>
        </w:rPr>
        <w:t>在合同生效后</w:t>
      </w:r>
      <w:r>
        <w:rPr>
          <w:rFonts w:hint="eastAsia" w:ascii="Calibri" w:hAnsi="宋体" w:cs="仿宋_GB2312"/>
          <w:color w:val="auto"/>
          <w:kern w:val="2"/>
          <w:szCs w:val="21"/>
          <w:highlight w:val="none"/>
          <w:u w:val="single"/>
        </w:rPr>
        <w:t>7日</w:t>
      </w:r>
      <w:r>
        <w:rPr>
          <w:rFonts w:hint="eastAsia" w:ascii="Calibri" w:hAnsi="宋体" w:cs="仿宋_GB2312"/>
          <w:color w:val="auto"/>
          <w:kern w:val="2"/>
          <w:szCs w:val="21"/>
          <w:highlight w:val="none"/>
        </w:rPr>
        <w:t>内，双方确定技术联络会的次数、时间和地点。</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8.5</w:t>
      </w:r>
      <w:r>
        <w:rPr>
          <w:rFonts w:hint="eastAsia" w:ascii="Calibri" w:hAnsi="宋体" w:cs="仿宋_GB2312"/>
          <w:color w:val="auto"/>
          <w:kern w:val="2"/>
          <w:szCs w:val="21"/>
          <w:highlight w:val="none"/>
        </w:rPr>
        <w:t>乙方有义务在必要时邀请甲方参与乙方的技术设计，并向甲方解释技术设计。</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8.6</w:t>
      </w:r>
      <w:r>
        <w:rPr>
          <w:rFonts w:hint="eastAsia" w:ascii="Calibri" w:hAnsi="宋体" w:cs="仿宋_GB2312"/>
          <w:color w:val="auto"/>
          <w:kern w:val="2"/>
          <w:szCs w:val="21"/>
          <w:highlight w:val="none"/>
        </w:rPr>
        <w:t>如遇有重大问题需要双方立即研究协商时，任何一方均可建议召开会议，在一般情况下，另一方应同意参加。</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8.7</w:t>
      </w:r>
      <w:r>
        <w:rPr>
          <w:rFonts w:hint="eastAsia" w:ascii="Calibri" w:hAnsi="宋体" w:cs="仿宋_GB2312"/>
          <w:color w:val="auto"/>
          <w:kern w:val="2"/>
          <w:szCs w:val="21"/>
          <w:highlight w:val="none"/>
        </w:rPr>
        <w:t>各次会议及其他联络方式双方均应签订会议或联络纪要，所签纪要双方均应执行。在不对本</w:t>
      </w:r>
      <w:r>
        <w:rPr>
          <w:rFonts w:ascii="Calibri" w:hAnsi="宋体" w:cs="仿宋_GB2312"/>
          <w:color w:val="auto"/>
          <w:kern w:val="2"/>
          <w:szCs w:val="21"/>
          <w:highlight w:val="none"/>
        </w:rPr>
        <w:t>合同</w:t>
      </w:r>
      <w:r>
        <w:rPr>
          <w:rFonts w:hint="eastAsia" w:ascii="Calibri" w:hAnsi="宋体" w:cs="仿宋_GB2312"/>
          <w:color w:val="auto"/>
          <w:kern w:val="2"/>
          <w:szCs w:val="21"/>
          <w:highlight w:val="none"/>
        </w:rPr>
        <w:t>及</w:t>
      </w:r>
      <w:r>
        <w:rPr>
          <w:rFonts w:ascii="Calibri" w:hAnsi="宋体" w:cs="仿宋_GB2312"/>
          <w:color w:val="auto"/>
          <w:kern w:val="2"/>
          <w:szCs w:val="21"/>
          <w:highlight w:val="none"/>
        </w:rPr>
        <w:t>附件</w:t>
      </w:r>
      <w:r>
        <w:rPr>
          <w:rFonts w:hint="eastAsia" w:ascii="Calibri" w:hAnsi="宋体" w:cs="仿宋_GB2312"/>
          <w:color w:val="auto"/>
          <w:kern w:val="2"/>
          <w:szCs w:val="21"/>
          <w:highlight w:val="none"/>
        </w:rPr>
        <w:t>构成实质性背离的前提下，如涉及合同条款有修改时和有重大技术方案修正引起合同价格的修改，需经双方法定代表人批准或其授权代表批准，所有修改应形成文本，并签字盖章确认。</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8.8</w:t>
      </w:r>
      <w:r>
        <w:rPr>
          <w:rFonts w:hint="eastAsia" w:ascii="Calibri" w:hAnsi="宋体" w:cs="仿宋_GB2312"/>
          <w:color w:val="auto"/>
          <w:kern w:val="2"/>
          <w:szCs w:val="21"/>
          <w:highlight w:val="none"/>
        </w:rPr>
        <w:t>乙方提出并经双方在会议上确定的安装、调试和运行技术服务方案，乙方如有修改，须以书面形式通知甲方，经甲方确认后方可进行。为适应现场条件的要求，甲方有权提出变更或修改意见，并书面通知乙方，乙方应给予充分考虑，应设法满足甲方要求。</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8.9</w:t>
      </w:r>
      <w:r>
        <w:rPr>
          <w:rFonts w:hint="eastAsia" w:ascii="Calibri" w:hAnsi="宋体" w:cs="仿宋_GB2312"/>
          <w:color w:val="auto"/>
          <w:kern w:val="2"/>
          <w:szCs w:val="21"/>
          <w:highlight w:val="none"/>
        </w:rPr>
        <w:t>甲方有权将乙方所提供的一切与本合同设备有关的资料分发给与本工程有关的各方，乙方应确保甲方并不由此而构成任何侵权，但甲方不得向任何与本工程无关的第三方提供。</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8.10</w:t>
      </w:r>
      <w:r>
        <w:rPr>
          <w:rFonts w:hint="eastAsia" w:ascii="Calibri" w:hAnsi="宋体" w:cs="仿宋_GB2312"/>
          <w:color w:val="auto"/>
          <w:kern w:val="2"/>
          <w:szCs w:val="21"/>
          <w:highlight w:val="none"/>
        </w:rPr>
        <w:t>对盖有“密件”及相同性质印章的乙方提供给甲方的资料，双方都有为对方保密的义务。保密义务为长期，不因本合同解除、终止而终止双方的保密义务。</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8.11</w:t>
      </w:r>
      <w:r>
        <w:rPr>
          <w:rFonts w:hint="eastAsia" w:ascii="Calibri" w:hAnsi="宋体" w:cs="仿宋_GB2312"/>
          <w:color w:val="auto"/>
          <w:kern w:val="2"/>
          <w:szCs w:val="21"/>
          <w:highlight w:val="none"/>
        </w:rPr>
        <w:t>乙方的分包商的技术服务或到甲方现场工作，应由乙方统一组织并征得甲方同意，费用由乙方或分包商自行负担。</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8.12</w:t>
      </w:r>
      <w:r>
        <w:rPr>
          <w:rFonts w:hint="eastAsia" w:ascii="Calibri" w:hAnsi="宋体" w:cs="仿宋_GB2312"/>
          <w:color w:val="auto"/>
          <w:kern w:val="2"/>
          <w:szCs w:val="21"/>
          <w:highlight w:val="none"/>
        </w:rPr>
        <w:t>乙方（包括分包与外购）须对一切与本合同有关的供货、设备及技术接口、技术服务等问题负全部责任。</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8.13</w:t>
      </w:r>
      <w:r>
        <w:rPr>
          <w:rFonts w:hint="eastAsia" w:ascii="Calibri" w:hAnsi="宋体" w:cs="仿宋_GB2312"/>
          <w:color w:val="auto"/>
          <w:kern w:val="2"/>
          <w:szCs w:val="21"/>
          <w:highlight w:val="none"/>
        </w:rPr>
        <w:t>凡与本合同设备相连接的其它设备装置，乙方有提供接口和技术配合的义务，并不由此而发生合同价格以外的任何费用。</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8.14</w:t>
      </w:r>
      <w:r>
        <w:rPr>
          <w:rFonts w:hint="eastAsia" w:ascii="Calibri" w:hAnsi="宋体" w:cs="仿宋_GB2312"/>
          <w:color w:val="auto"/>
          <w:kern w:val="2"/>
          <w:szCs w:val="21"/>
          <w:highlight w:val="none"/>
        </w:rPr>
        <w:t>乙方派到现场服务的技术人员应是有实践经验、可胜任此项工作的人员。乙方应在本合同生效后</w:t>
      </w:r>
      <w:r>
        <w:rPr>
          <w:rFonts w:hint="eastAsia" w:ascii="Calibri" w:hAnsi="宋体" w:cs="仿宋_GB2312"/>
          <w:color w:val="auto"/>
          <w:kern w:val="2"/>
          <w:szCs w:val="21"/>
          <w:highlight w:val="none"/>
          <w:u w:val="single"/>
        </w:rPr>
        <w:t>7日</w:t>
      </w:r>
      <w:r>
        <w:rPr>
          <w:rFonts w:hint="eastAsia" w:ascii="Calibri" w:hAnsi="宋体" w:cs="仿宋_GB2312"/>
          <w:color w:val="auto"/>
          <w:kern w:val="2"/>
          <w:szCs w:val="21"/>
          <w:highlight w:val="none"/>
        </w:rPr>
        <w:t>内提交乙方派到现场服务的技术人员给甲方予以确认。甲方有权提出更换不符合要求的乙方现场服务人员，乙方应根据现场需要，3天内重新选派甲方认可的服务人员，并保证不因此而导致延误工期。如果甲方书面提出该项要求后3天内乙方没有重新选派甲方认可的人员，将按</w:t>
      </w:r>
      <w:r>
        <w:rPr>
          <w:rFonts w:ascii="Calibri" w:hAnsi="宋体" w:cs="仿宋_GB2312"/>
          <w:color w:val="auto"/>
          <w:kern w:val="2"/>
          <w:szCs w:val="21"/>
          <w:highlight w:val="none"/>
        </w:rPr>
        <w:t>11.12</w:t>
      </w:r>
      <w:r>
        <w:rPr>
          <w:rFonts w:hint="eastAsia" w:ascii="Calibri" w:hAnsi="宋体" w:cs="仿宋_GB2312"/>
          <w:color w:val="auto"/>
          <w:kern w:val="2"/>
          <w:szCs w:val="21"/>
          <w:highlight w:val="none"/>
        </w:rPr>
        <w:t>款为延误工期等同处理。</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8.15</w:t>
      </w:r>
      <w:r>
        <w:rPr>
          <w:rFonts w:hint="eastAsia" w:ascii="Calibri" w:hAnsi="宋体" w:cs="仿宋_GB2312"/>
          <w:color w:val="auto"/>
          <w:kern w:val="2"/>
          <w:szCs w:val="21"/>
          <w:highlight w:val="none"/>
        </w:rPr>
        <w:t>由于乙方技术服务人员对安装、调试、试运的技术指导的疏忽和错误以及乙方未按要求派人指导而造成的损失应由乙方负责。</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8.16</w:t>
      </w:r>
      <w:r>
        <w:rPr>
          <w:rFonts w:hint="eastAsia" w:ascii="Calibri" w:hAnsi="宋体" w:cs="仿宋_GB2312"/>
          <w:color w:val="auto"/>
          <w:kern w:val="2"/>
          <w:szCs w:val="21"/>
          <w:highlight w:val="none"/>
        </w:rPr>
        <w:t>技术服务和联络的具体要求见招投标文件。</w:t>
      </w:r>
    </w:p>
    <w:p>
      <w:pPr>
        <w:widowControl w:val="0"/>
        <w:adjustRightInd/>
        <w:snapToGrid/>
        <w:ind w:firstLine="422" w:firstLineChars="200"/>
        <w:jc w:val="both"/>
        <w:rPr>
          <w:rFonts w:ascii="Calibri" w:hAnsi="宋体" w:cs="仿宋_GB2312"/>
          <w:b/>
          <w:color w:val="auto"/>
          <w:kern w:val="2"/>
          <w:szCs w:val="21"/>
          <w:highlight w:val="none"/>
        </w:rPr>
      </w:pPr>
      <w:r>
        <w:rPr>
          <w:rFonts w:hint="eastAsia" w:ascii="Calibri" w:hAnsi="宋体" w:cs="仿宋_GB2312"/>
          <w:b/>
          <w:color w:val="auto"/>
          <w:kern w:val="2"/>
          <w:szCs w:val="21"/>
          <w:highlight w:val="none"/>
        </w:rPr>
        <w:t>9、设备监造与检验</w:t>
      </w:r>
    </w:p>
    <w:p>
      <w:pPr>
        <w:widowControl w:val="0"/>
        <w:adjustRightInd/>
        <w:snapToGrid/>
        <w:ind w:firstLine="420" w:firstLineChars="200"/>
        <w:jc w:val="both"/>
        <w:outlineLvl w:val="2"/>
        <w:rPr>
          <w:rFonts w:ascii="Calibri" w:hAnsi="宋体" w:cs="仿宋_GB2312"/>
          <w:color w:val="auto"/>
          <w:kern w:val="2"/>
          <w:szCs w:val="21"/>
          <w:highlight w:val="none"/>
        </w:rPr>
      </w:pPr>
      <w:r>
        <w:rPr>
          <w:rFonts w:ascii="Calibri" w:hAnsi="宋体" w:cs="仿宋_GB2312"/>
          <w:color w:val="auto"/>
          <w:kern w:val="2"/>
          <w:szCs w:val="21"/>
          <w:highlight w:val="none"/>
        </w:rPr>
        <w:t>9.1</w:t>
      </w:r>
      <w:r>
        <w:rPr>
          <w:rFonts w:hint="eastAsia" w:ascii="Calibri" w:hAnsi="宋体" w:cs="仿宋_GB2312"/>
          <w:color w:val="auto"/>
          <w:kern w:val="2"/>
          <w:szCs w:val="21"/>
          <w:highlight w:val="none"/>
        </w:rPr>
        <w:t>监造</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9.1.1</w:t>
      </w:r>
      <w:r>
        <w:rPr>
          <w:rFonts w:hint="eastAsia" w:ascii="Calibri" w:hAnsi="宋体" w:cs="仿宋_GB2312"/>
          <w:color w:val="auto"/>
          <w:kern w:val="2"/>
          <w:szCs w:val="21"/>
          <w:highlight w:val="none"/>
        </w:rPr>
        <w:t>乙方应在本合同生效日期起7天内，向甲方提供本合同设备的设计、制造和检验标准的目录。设计、制造和检验标准应符合本</w:t>
      </w:r>
      <w:r>
        <w:rPr>
          <w:rFonts w:ascii="Calibri" w:hAnsi="宋体" w:cs="仿宋_GB2312"/>
          <w:color w:val="auto"/>
          <w:kern w:val="2"/>
          <w:szCs w:val="21"/>
          <w:highlight w:val="none"/>
        </w:rPr>
        <w:t>合同</w:t>
      </w:r>
      <w:r>
        <w:rPr>
          <w:rFonts w:hint="eastAsia" w:ascii="Calibri" w:hAnsi="宋体" w:cs="仿宋_GB2312"/>
          <w:color w:val="auto"/>
          <w:kern w:val="2"/>
          <w:szCs w:val="21"/>
          <w:highlight w:val="none"/>
        </w:rPr>
        <w:t>及</w:t>
      </w:r>
      <w:r>
        <w:rPr>
          <w:rFonts w:ascii="Calibri" w:hAnsi="宋体" w:cs="仿宋_GB2312"/>
          <w:color w:val="auto"/>
          <w:kern w:val="2"/>
          <w:szCs w:val="21"/>
          <w:highlight w:val="none"/>
        </w:rPr>
        <w:t>附件</w:t>
      </w:r>
      <w:r>
        <w:rPr>
          <w:rFonts w:hint="eastAsia" w:ascii="Calibri" w:hAnsi="宋体" w:cs="仿宋_GB2312"/>
          <w:color w:val="auto"/>
          <w:kern w:val="2"/>
          <w:szCs w:val="21"/>
          <w:highlight w:val="none"/>
        </w:rPr>
        <w:t>的规定。</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9.1.2</w:t>
      </w:r>
      <w:r>
        <w:rPr>
          <w:rFonts w:hint="eastAsia" w:ascii="Calibri" w:hAnsi="宋体" w:cs="仿宋_GB2312"/>
          <w:color w:val="auto"/>
          <w:kern w:val="2"/>
          <w:szCs w:val="21"/>
          <w:highlight w:val="none"/>
        </w:rPr>
        <w:t>甲方将派遣专业人员进行设备监造。监造检验的标准为本</w:t>
      </w:r>
      <w:r>
        <w:rPr>
          <w:rFonts w:ascii="Calibri" w:hAnsi="宋体" w:cs="仿宋_GB2312"/>
          <w:color w:val="auto"/>
          <w:kern w:val="2"/>
          <w:szCs w:val="21"/>
          <w:highlight w:val="none"/>
        </w:rPr>
        <w:t>合同</w:t>
      </w:r>
      <w:r>
        <w:rPr>
          <w:rFonts w:hint="eastAsia" w:ascii="Calibri" w:hAnsi="宋体" w:cs="仿宋_GB2312"/>
          <w:color w:val="auto"/>
          <w:kern w:val="2"/>
          <w:szCs w:val="21"/>
          <w:highlight w:val="none"/>
        </w:rPr>
        <w:t>及</w:t>
      </w:r>
      <w:r>
        <w:rPr>
          <w:rFonts w:ascii="Calibri" w:hAnsi="宋体" w:cs="仿宋_GB2312"/>
          <w:color w:val="auto"/>
          <w:kern w:val="2"/>
          <w:szCs w:val="21"/>
          <w:highlight w:val="none"/>
        </w:rPr>
        <w:t>附件</w:t>
      </w:r>
      <w:r>
        <w:rPr>
          <w:rFonts w:hint="eastAsia" w:ascii="Calibri" w:hAnsi="宋体" w:cs="仿宋_GB2312"/>
          <w:color w:val="auto"/>
          <w:kern w:val="2"/>
          <w:szCs w:val="21"/>
          <w:highlight w:val="none"/>
        </w:rPr>
        <w:t>所列的相应标准。乙方有配合监造的义务，在监造中及时提供相应资料和标准，并不由此而发生任何费用。</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9.1.3</w:t>
      </w:r>
      <w:r>
        <w:rPr>
          <w:rFonts w:hint="eastAsia" w:ascii="Calibri" w:hAnsi="宋体" w:cs="仿宋_GB2312"/>
          <w:color w:val="auto"/>
          <w:kern w:val="2"/>
          <w:szCs w:val="21"/>
          <w:highlight w:val="none"/>
        </w:rPr>
        <w:t>监造的范围及具体监造检验／见证项目见本</w:t>
      </w:r>
      <w:r>
        <w:rPr>
          <w:rFonts w:ascii="Calibri" w:hAnsi="宋体" w:cs="仿宋_GB2312"/>
          <w:color w:val="auto"/>
          <w:kern w:val="2"/>
          <w:szCs w:val="21"/>
          <w:highlight w:val="none"/>
        </w:rPr>
        <w:t>合同附件</w:t>
      </w:r>
      <w:r>
        <w:rPr>
          <w:rFonts w:hint="eastAsia" w:ascii="Calibri" w:hAnsi="宋体" w:cs="仿宋_GB2312"/>
          <w:color w:val="auto"/>
          <w:kern w:val="2"/>
          <w:szCs w:val="21"/>
          <w:highlight w:val="none"/>
        </w:rPr>
        <w:t>。</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9.1.4</w:t>
      </w:r>
      <w:r>
        <w:rPr>
          <w:rFonts w:hint="eastAsia" w:ascii="Calibri" w:hAnsi="宋体" w:cs="仿宋_GB2312"/>
          <w:color w:val="auto"/>
          <w:kern w:val="2"/>
          <w:szCs w:val="21"/>
          <w:highlight w:val="none"/>
        </w:rPr>
        <w:t>乙方必须为监造代表的监造检验提供：</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9.1.4.1</w:t>
      </w:r>
      <w:r>
        <w:rPr>
          <w:rFonts w:hint="eastAsia" w:ascii="Calibri" w:hAnsi="宋体" w:cs="仿宋_GB2312"/>
          <w:color w:val="auto"/>
          <w:kern w:val="2"/>
          <w:szCs w:val="21"/>
          <w:highlight w:val="none"/>
        </w:rPr>
        <w:t>本合同设备投料时提供整套设备的生产计划及每一个月度实际生产进度和月度检验计划。</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9.1.4.2</w:t>
      </w:r>
      <w:r>
        <w:rPr>
          <w:rFonts w:hint="eastAsia" w:ascii="Calibri" w:hAnsi="宋体" w:cs="仿宋_GB2312"/>
          <w:color w:val="auto"/>
          <w:kern w:val="2"/>
          <w:szCs w:val="21"/>
          <w:highlight w:val="none"/>
        </w:rPr>
        <w:t>提前</w:t>
      </w:r>
      <w:r>
        <w:rPr>
          <w:rFonts w:hint="eastAsia" w:ascii="Calibri" w:hAnsi="宋体" w:cs="仿宋_GB2312"/>
          <w:color w:val="auto"/>
          <w:kern w:val="2"/>
          <w:szCs w:val="21"/>
          <w:highlight w:val="none"/>
          <w:u w:val="single"/>
        </w:rPr>
        <w:t>3</w:t>
      </w:r>
      <w:r>
        <w:rPr>
          <w:rFonts w:hint="eastAsia" w:ascii="Calibri" w:hAnsi="宋体" w:cs="仿宋_GB2312"/>
          <w:color w:val="auto"/>
          <w:kern w:val="2"/>
          <w:szCs w:val="21"/>
          <w:highlight w:val="none"/>
        </w:rPr>
        <w:t>天书面提供设备的监造内容和检验时间。</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9.1.4.3</w:t>
      </w:r>
      <w:r>
        <w:rPr>
          <w:rFonts w:hint="eastAsia" w:ascii="Calibri" w:hAnsi="宋体" w:cs="仿宋_GB2312"/>
          <w:color w:val="auto"/>
          <w:kern w:val="2"/>
          <w:szCs w:val="21"/>
          <w:highlight w:val="none"/>
        </w:rPr>
        <w:t>与本合同设备监造有关的标准（包括工厂标准）、图纸、资料、工艺及实际工艺过程和检验记录（包括中间检验记录和／或不一致性报告）及招投标文件规定的有关文件以及复印件。</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9.1.4.4</w:t>
      </w:r>
      <w:r>
        <w:rPr>
          <w:rFonts w:hint="eastAsia" w:ascii="Calibri" w:hAnsi="宋体" w:cs="仿宋_GB2312"/>
          <w:color w:val="auto"/>
          <w:kern w:val="2"/>
          <w:szCs w:val="21"/>
          <w:highlight w:val="none"/>
        </w:rPr>
        <w:t>向监造代表提供工作、生活方便。</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9.1.5</w:t>
      </w:r>
      <w:r>
        <w:rPr>
          <w:rFonts w:hint="eastAsia" w:ascii="Calibri" w:hAnsi="宋体" w:cs="仿宋_GB2312"/>
          <w:color w:val="auto"/>
          <w:kern w:val="2"/>
          <w:szCs w:val="21"/>
          <w:highlight w:val="none"/>
        </w:rPr>
        <w:t>监造检验／见证（一般为现场见证）一般不得影响乙方的正常生产进度（不包括发现重大问题时的停工检验），应尽量结合乙方工厂实际生产过程。若监造代表不能按乙方通知时间及时到场，乙方工厂的试验工作可正常进行，试验结果有效，但是监造代表有权事后了解、查阅、复制检查试验报告和结果（转为文件见证人）。若乙方未及时通知监造代表而单独检验，甲方将不承认该检验结果，乙方应在甲方代表在场的情况下进行该项试验。</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9.1.</w:t>
      </w:r>
      <w:r>
        <w:rPr>
          <w:rFonts w:hint="eastAsia" w:ascii="Calibri" w:hAnsi="宋体" w:cs="仿宋_GB2312"/>
          <w:color w:val="auto"/>
          <w:kern w:val="2"/>
          <w:szCs w:val="21"/>
          <w:highlight w:val="none"/>
        </w:rPr>
        <w:t>6监造代表在监造中如发现设备和材料存在质量问题或不符合本规定的标准或包装要求时，有权提出意见并暂不予以签字，乙方须采取相应改进措施，以保证交货质量，直至监造代表在监造与检验报告上签字。无论监造代表是否要求和是否知道，乙方均有义务主动及时地向其提供合同设备制造过程中出现的较大的质量缺陷和问题，不得隐瞒，在监造单位不知道的情况下乙方不得擅自处理。</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9.1.7</w:t>
      </w:r>
      <w:r>
        <w:rPr>
          <w:rFonts w:hint="eastAsia" w:ascii="Calibri" w:hAnsi="宋体" w:cs="仿宋_GB2312"/>
          <w:color w:val="auto"/>
          <w:kern w:val="2"/>
          <w:szCs w:val="21"/>
          <w:highlight w:val="none"/>
        </w:rPr>
        <w:t>不论监造代表是否参与参加了监造检验，并且签署了监造与检验报告，均不能被视为乙方按合同</w:t>
      </w:r>
      <w:r>
        <w:rPr>
          <w:rFonts w:ascii="Calibri" w:hAnsi="宋体" w:cs="仿宋_GB2312"/>
          <w:color w:val="auto"/>
          <w:kern w:val="2"/>
          <w:szCs w:val="21"/>
          <w:highlight w:val="none"/>
        </w:rPr>
        <w:t xml:space="preserve"> 11</w:t>
      </w:r>
      <w:r>
        <w:rPr>
          <w:rFonts w:hint="eastAsia" w:ascii="Calibri" w:hAnsi="宋体" w:cs="仿宋_GB2312"/>
          <w:color w:val="auto"/>
          <w:kern w:val="2"/>
          <w:szCs w:val="21"/>
          <w:highlight w:val="none"/>
        </w:rPr>
        <w:t>款规定应承担的质量保证责任的解除，也不能免除乙方对设备质量应负的责任。</w:t>
      </w:r>
    </w:p>
    <w:p>
      <w:pPr>
        <w:widowControl w:val="0"/>
        <w:adjustRightInd/>
        <w:snapToGrid/>
        <w:ind w:firstLine="420" w:firstLineChars="200"/>
        <w:jc w:val="both"/>
        <w:outlineLvl w:val="2"/>
        <w:rPr>
          <w:rFonts w:ascii="Calibri" w:hAnsi="宋体" w:cs="仿宋_GB2312"/>
          <w:color w:val="auto"/>
          <w:kern w:val="2"/>
          <w:szCs w:val="21"/>
          <w:highlight w:val="none"/>
        </w:rPr>
      </w:pPr>
      <w:r>
        <w:rPr>
          <w:rFonts w:ascii="Calibri" w:hAnsi="宋体" w:cs="仿宋_GB2312"/>
          <w:color w:val="auto"/>
          <w:kern w:val="2"/>
          <w:szCs w:val="21"/>
          <w:highlight w:val="none"/>
        </w:rPr>
        <w:t>9.2</w:t>
      </w:r>
      <w:r>
        <w:rPr>
          <w:rFonts w:hint="eastAsia" w:ascii="Calibri" w:hAnsi="宋体" w:cs="仿宋_GB2312"/>
          <w:color w:val="auto"/>
          <w:kern w:val="2"/>
          <w:szCs w:val="21"/>
          <w:highlight w:val="none"/>
        </w:rPr>
        <w:t>工厂检验与现场开箱检验</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9.2.1</w:t>
      </w:r>
      <w:r>
        <w:rPr>
          <w:rFonts w:hint="eastAsia" w:ascii="Calibri" w:hAnsi="宋体" w:cs="仿宋_GB2312"/>
          <w:color w:val="auto"/>
          <w:kern w:val="2"/>
          <w:szCs w:val="21"/>
          <w:highlight w:val="none"/>
        </w:rPr>
        <w:t>由乙方供应的所有合同设备／部件（包括分包与外购），在生产过程中都须进行严格的检验和试验，出厂前须进行部套和／或整机总装和试验。所有检验、试验和总装（装配）必须有正式的记录文件。以上工作完成之后，合格者才能出厂发运。所有这些正式的记录文件及合格证作为技术资料的一部分邮寄给甲方存档。此外，乙方还应在随机文件中提供合格证和质量证明文件。</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9.2.2</w:t>
      </w:r>
      <w:r>
        <w:rPr>
          <w:rFonts w:hint="eastAsia" w:ascii="Calibri" w:hAnsi="宋体" w:cs="仿宋_GB2312"/>
          <w:color w:val="auto"/>
          <w:kern w:val="2"/>
          <w:szCs w:val="21"/>
          <w:highlight w:val="none"/>
        </w:rPr>
        <w:t>设备到达安装现场后</w:t>
      </w:r>
      <w:r>
        <w:rPr>
          <w:rFonts w:ascii="Calibri" w:hAnsi="宋体" w:cs="仿宋_GB2312"/>
          <w:color w:val="auto"/>
          <w:kern w:val="2"/>
          <w:szCs w:val="21"/>
          <w:highlight w:val="none"/>
        </w:rPr>
        <w:t>,</w:t>
      </w:r>
      <w:r>
        <w:rPr>
          <w:rFonts w:hint="eastAsia" w:ascii="Calibri" w:hAnsi="宋体" w:cs="仿宋_GB2312"/>
          <w:color w:val="auto"/>
          <w:kern w:val="2"/>
          <w:szCs w:val="21"/>
          <w:highlight w:val="none"/>
        </w:rPr>
        <w:t>应按国家相关标准的规定存放和保管。如乙方有特殊要求</w:t>
      </w:r>
      <w:r>
        <w:rPr>
          <w:rFonts w:ascii="Calibri" w:hAnsi="宋体" w:cs="仿宋_GB2312"/>
          <w:color w:val="auto"/>
          <w:kern w:val="2"/>
          <w:szCs w:val="21"/>
          <w:highlight w:val="none"/>
        </w:rPr>
        <w:t>,</w:t>
      </w:r>
      <w:r>
        <w:rPr>
          <w:rFonts w:hint="eastAsia" w:ascii="Calibri" w:hAnsi="宋体" w:cs="仿宋_GB2312"/>
          <w:color w:val="auto"/>
          <w:kern w:val="2"/>
          <w:szCs w:val="21"/>
          <w:highlight w:val="none"/>
        </w:rPr>
        <w:t>应向甲方及早提出。</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货物到达目的地后，乙方在接到甲方通知后应及时到现场，与甲方一起根据运单和装箱单对货物的包装、外观及件数进行清点检验。如发现有任何不符之处，应由乙方处理解决。货物运到现场后，甲方应尽快开箱检验，检验货物的数量、规格和质量。甲方应在开箱检查前</w:t>
      </w:r>
      <w:r>
        <w:rPr>
          <w:rFonts w:hint="eastAsia" w:ascii="Calibri" w:hAnsi="宋体" w:cs="仿宋_GB2312"/>
          <w:color w:val="auto"/>
          <w:kern w:val="2"/>
          <w:szCs w:val="21"/>
          <w:highlight w:val="none"/>
          <w:lang w:val="en-US" w:eastAsia="zh-CN"/>
        </w:rPr>
        <w:t>2</w:t>
      </w:r>
      <w:r>
        <w:rPr>
          <w:rFonts w:hint="eastAsia" w:ascii="Calibri" w:hAnsi="宋体" w:cs="仿宋_GB2312"/>
          <w:color w:val="auto"/>
          <w:kern w:val="2"/>
          <w:szCs w:val="21"/>
          <w:highlight w:val="none"/>
        </w:rPr>
        <w:t>天通知乙方开箱检验日期，乙方应派遣检验人员参加现场检验工作，甲方应尽量为乙方检验人员提供工作和生活方便。如检验时，乙方人员未按时赴现场(甲方已通知乙方），甲方有权自行开箱检验，检验结果和记录对双方同样有效，并作为甲方向乙方提出索赔的有效证据。</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9.2.3</w:t>
      </w:r>
      <w:r>
        <w:rPr>
          <w:rFonts w:hint="eastAsia" w:ascii="Calibri" w:hAnsi="宋体" w:cs="仿宋_GB2312"/>
          <w:color w:val="auto"/>
          <w:kern w:val="2"/>
          <w:szCs w:val="21"/>
          <w:highlight w:val="none"/>
        </w:rPr>
        <w:t>现场检验时，如发现设备由于乙方原因（包括运输）有任何损坏、缺陷、短少或不符合合同中规定的质量标准和规范时，应做好记录，并由双方代表签字，各执一份，作为甲方向乙方提出修理和／或更换和／或索赔的依据；如果乙方委托甲方修理损坏的设备，乙方提供技术指导，所有修理设备的费用和责任由乙方承担；如果由于甲方原因，造成设备损坏或发生丢失，乙方在接到甲方通知后，应尽快提供或替换相应的部件，但费用由甲方自负。</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9.2.4</w:t>
      </w:r>
      <w:r>
        <w:rPr>
          <w:rFonts w:hint="eastAsia" w:ascii="Calibri" w:hAnsi="宋体" w:cs="仿宋_GB2312"/>
          <w:color w:val="auto"/>
          <w:kern w:val="2"/>
          <w:szCs w:val="21"/>
          <w:highlight w:val="none"/>
        </w:rPr>
        <w:t>乙方如对上述甲方提出的修理、更换、索赔的要求有异议，应在接到甲方书面通知后</w:t>
      </w:r>
      <w:r>
        <w:rPr>
          <w:rFonts w:hint="eastAsia" w:ascii="Calibri" w:hAnsi="宋体" w:cs="仿宋_GB2312"/>
          <w:color w:val="auto"/>
          <w:kern w:val="2"/>
          <w:szCs w:val="21"/>
          <w:highlight w:val="none"/>
          <w:u w:val="single"/>
        </w:rPr>
        <w:t>3</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rPr>
        <w:t>天内提出，否则视为乙方认可甲方要求。如有异议，乙方在接到通知后</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u w:val="single"/>
        </w:rPr>
        <w:t>3</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rPr>
        <w:t>天内，自费派代表赴现场同甲方代表共同复验。</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9.2.5</w:t>
      </w:r>
      <w:r>
        <w:rPr>
          <w:rFonts w:hint="eastAsia" w:ascii="Calibri" w:hAnsi="宋体" w:cs="仿宋_GB2312"/>
          <w:color w:val="auto"/>
          <w:kern w:val="2"/>
          <w:szCs w:val="21"/>
          <w:highlight w:val="none"/>
        </w:rPr>
        <w:t>如双方代表在会同检验中对检验记录不能取得一致意见时，可由双方委托共同认可的权威的第三方检验机构进行检验。检验结果对双方都有约束力，检验费用由责任方负担。</w:t>
      </w:r>
      <w:r>
        <w:rPr>
          <w:rFonts w:hint="eastAsia" w:ascii="Calibri" w:hAnsi="宋体" w:cs="仿宋_GB2312"/>
          <w:color w:val="auto"/>
          <w:kern w:val="2"/>
          <w:szCs w:val="21"/>
          <w:highlight w:val="none"/>
          <w:lang w:val="en-US" w:eastAsia="zh-CN"/>
        </w:rPr>
        <w:t>如果乙方在接到甲方通知后，未在甲方通知的时间内到场与甲方共同检验，或双方共同检验过程中不能取得一致意见且乙方拒绝在甲方限定的时间内共同委托权威第三方检验机构进行检验的，视为乙方应承担相应的责任，设备的修理、更换费用等由乙方承担。</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9.2.</w:t>
      </w:r>
      <w:r>
        <w:rPr>
          <w:rFonts w:hint="eastAsia" w:ascii="Calibri" w:hAnsi="宋体" w:cs="仿宋_GB2312"/>
          <w:color w:val="auto"/>
          <w:kern w:val="2"/>
          <w:szCs w:val="21"/>
          <w:highlight w:val="none"/>
        </w:rPr>
        <w:t>6乙方在接到甲方按本合同</w:t>
      </w:r>
      <w:r>
        <w:rPr>
          <w:rFonts w:ascii="Calibri" w:hAnsi="宋体" w:cs="仿宋_GB2312"/>
          <w:color w:val="auto"/>
          <w:kern w:val="2"/>
          <w:szCs w:val="21"/>
          <w:highlight w:val="none"/>
        </w:rPr>
        <w:t>9.2.2</w:t>
      </w:r>
      <w:r>
        <w:rPr>
          <w:rFonts w:hint="eastAsia" w:ascii="Calibri" w:hAnsi="宋体" w:cs="仿宋_GB2312"/>
          <w:color w:val="auto"/>
          <w:kern w:val="2"/>
          <w:szCs w:val="21"/>
          <w:highlight w:val="none"/>
        </w:rPr>
        <w:t>至</w:t>
      </w:r>
      <w:r>
        <w:rPr>
          <w:rFonts w:ascii="Calibri" w:hAnsi="宋体" w:cs="仿宋_GB2312"/>
          <w:color w:val="auto"/>
          <w:kern w:val="2"/>
          <w:szCs w:val="21"/>
          <w:highlight w:val="none"/>
        </w:rPr>
        <w:t>9.2.4</w:t>
      </w:r>
      <w:r>
        <w:rPr>
          <w:rFonts w:hint="eastAsia" w:ascii="Calibri" w:hAnsi="宋体" w:cs="仿宋_GB2312"/>
          <w:color w:val="auto"/>
          <w:kern w:val="2"/>
          <w:szCs w:val="21"/>
          <w:highlight w:val="none"/>
        </w:rPr>
        <w:t>款规定提出的索赔后，应按</w:t>
      </w:r>
      <w:r>
        <w:rPr>
          <w:rFonts w:ascii="Calibri" w:hAnsi="宋体" w:cs="仿宋_GB2312"/>
          <w:color w:val="auto"/>
          <w:kern w:val="2"/>
          <w:szCs w:val="21"/>
          <w:highlight w:val="none"/>
        </w:rPr>
        <w:t>9.2.7</w:t>
      </w:r>
      <w:r>
        <w:rPr>
          <w:rFonts w:hint="eastAsia" w:ascii="Calibri" w:hAnsi="宋体" w:cs="仿宋_GB2312"/>
          <w:color w:val="auto"/>
          <w:kern w:val="2"/>
          <w:szCs w:val="21"/>
          <w:highlight w:val="none"/>
        </w:rPr>
        <w:t>款的规定尽快修理、更换或补发短缺部分，由此产生的制造、修理和运费及保险费均应由责任方负担。对于</w:t>
      </w:r>
      <w:r>
        <w:rPr>
          <w:rFonts w:hint="eastAsia" w:ascii="Calibri" w:hAnsi="宋体" w:cs="仿宋_GB2312"/>
          <w:color w:val="auto"/>
          <w:kern w:val="2"/>
          <w:szCs w:val="21"/>
          <w:highlight w:val="none"/>
          <w:lang w:val="en-US" w:eastAsia="zh-CN"/>
        </w:rPr>
        <w:t>甲方向乙方提出的</w:t>
      </w:r>
      <w:r>
        <w:rPr>
          <w:rFonts w:hint="eastAsia" w:ascii="Calibri" w:hAnsi="宋体" w:cs="仿宋_GB2312"/>
          <w:color w:val="auto"/>
          <w:kern w:val="2"/>
          <w:szCs w:val="21"/>
          <w:highlight w:val="none"/>
        </w:rPr>
        <w:t>索赔</w:t>
      </w:r>
      <w:r>
        <w:rPr>
          <w:rFonts w:hint="eastAsia" w:ascii="Calibri" w:hAnsi="宋体" w:cs="仿宋_GB2312"/>
          <w:color w:val="auto"/>
          <w:kern w:val="2"/>
          <w:szCs w:val="21"/>
          <w:highlight w:val="none"/>
          <w:lang w:val="en-US" w:eastAsia="zh-CN"/>
        </w:rPr>
        <w:t>以及根据9.2.5条的约定应由乙方承担的费用</w:t>
      </w:r>
      <w:r>
        <w:rPr>
          <w:rFonts w:hint="eastAsia" w:ascii="Calibri" w:hAnsi="宋体" w:cs="仿宋_GB2312"/>
          <w:color w:val="auto"/>
          <w:kern w:val="2"/>
          <w:szCs w:val="21"/>
          <w:highlight w:val="none"/>
        </w:rPr>
        <w:t>，由甲方从履约保证金（履约保函）或下次付款中扣除。</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9.2.7</w:t>
      </w:r>
      <w:r>
        <w:rPr>
          <w:rFonts w:hint="eastAsia" w:ascii="Calibri" w:hAnsi="宋体" w:cs="仿宋_GB2312"/>
          <w:color w:val="auto"/>
          <w:kern w:val="2"/>
          <w:szCs w:val="21"/>
          <w:highlight w:val="none"/>
        </w:rPr>
        <w:t>由于乙方原因而引起的设备或部件的修理或更换的时间，以不影响工程建设进度为原则， 但最迟不得晚于发现缺陷、损坏或短缺等之后</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u w:val="single"/>
        </w:rPr>
        <w:t>7</w:t>
      </w:r>
      <w:r>
        <w:rPr>
          <w:rFonts w:hint="eastAsia" w:ascii="Calibri" w:hAnsi="宋体" w:cs="仿宋_GB2312"/>
          <w:color w:val="auto"/>
          <w:kern w:val="2"/>
          <w:szCs w:val="21"/>
          <w:highlight w:val="none"/>
        </w:rPr>
        <w:t>日，否则参照</w:t>
      </w:r>
      <w:r>
        <w:rPr>
          <w:rFonts w:ascii="Calibri" w:hAnsi="宋体" w:cs="仿宋_GB2312"/>
          <w:color w:val="auto"/>
          <w:kern w:val="2"/>
          <w:szCs w:val="21"/>
          <w:highlight w:val="none"/>
        </w:rPr>
        <w:t>11.10</w:t>
      </w:r>
      <w:r>
        <w:rPr>
          <w:rFonts w:hint="eastAsia" w:ascii="Calibri" w:hAnsi="宋体" w:cs="仿宋_GB2312"/>
          <w:color w:val="auto"/>
          <w:kern w:val="2"/>
          <w:szCs w:val="21"/>
          <w:highlight w:val="none"/>
        </w:rPr>
        <w:t>款处理。</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9.2.8上述所述的各项检验仅是现场的到货检验，即使所发现问题已由乙方按索赔要求予进行了更换或修理均不能被视为乙方按合同</w:t>
      </w:r>
      <w:r>
        <w:rPr>
          <w:rFonts w:ascii="Calibri" w:hAnsi="宋体" w:cs="仿宋_GB2312"/>
          <w:color w:val="auto"/>
          <w:kern w:val="2"/>
          <w:szCs w:val="21"/>
          <w:highlight w:val="none"/>
        </w:rPr>
        <w:t>11</w:t>
      </w:r>
      <w:r>
        <w:rPr>
          <w:rFonts w:hint="eastAsia" w:ascii="Calibri" w:hAnsi="宋体" w:cs="仿宋_GB2312"/>
          <w:color w:val="auto"/>
          <w:kern w:val="2"/>
          <w:szCs w:val="21"/>
          <w:highlight w:val="none"/>
        </w:rPr>
        <w:t>款及合同附件的规定应承担的质量保证责任的解除。</w:t>
      </w:r>
    </w:p>
    <w:p>
      <w:pPr>
        <w:widowControl w:val="0"/>
        <w:adjustRightInd/>
        <w:snapToGrid/>
        <w:ind w:firstLine="422" w:firstLineChars="200"/>
        <w:jc w:val="both"/>
        <w:rPr>
          <w:rFonts w:ascii="Calibri" w:hAnsi="宋体" w:cs="仿宋_GB2312"/>
          <w:b/>
          <w:color w:val="auto"/>
          <w:kern w:val="2"/>
          <w:szCs w:val="21"/>
          <w:highlight w:val="none"/>
        </w:rPr>
      </w:pPr>
      <w:r>
        <w:rPr>
          <w:rFonts w:ascii="Calibri" w:hAnsi="宋体" w:cs="仿宋_GB2312"/>
          <w:b/>
          <w:color w:val="auto"/>
          <w:kern w:val="2"/>
          <w:szCs w:val="21"/>
          <w:highlight w:val="none"/>
        </w:rPr>
        <w:t>10、安装、调试、试运和验收</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10.1</w:t>
      </w:r>
      <w:r>
        <w:rPr>
          <w:rFonts w:hint="eastAsia" w:ascii="Calibri" w:hAnsi="宋体" w:cs="仿宋_GB2312"/>
          <w:color w:val="auto"/>
          <w:kern w:val="2"/>
          <w:szCs w:val="21"/>
          <w:highlight w:val="none"/>
        </w:rPr>
        <w:t>本合同设备由乙方根据甲方提供的技术资料、检验标准、图纸及说明书进行安装、调试、运行和维修。重要工序须经乙方现场技术服务人员签字确认。重要工序由乙方提供（见合同</w:t>
      </w:r>
      <w:r>
        <w:rPr>
          <w:rFonts w:ascii="Calibri" w:hAnsi="宋体" w:cs="仿宋_GB2312"/>
          <w:color w:val="auto"/>
          <w:kern w:val="2"/>
          <w:szCs w:val="21"/>
          <w:highlight w:val="none"/>
        </w:rPr>
        <w:t>附件</w:t>
      </w:r>
      <w:r>
        <w:rPr>
          <w:rFonts w:hint="eastAsia" w:ascii="Calibri" w:hAnsi="宋体" w:cs="仿宋_GB2312"/>
          <w:color w:val="auto"/>
          <w:kern w:val="2"/>
          <w:szCs w:val="21"/>
          <w:highlight w:val="none"/>
        </w:rPr>
        <w:t>）。安装、调试过程中，若甲方未按乙方的技术资料规定和现场技术服务人员指导、未经乙方现场技术服务人员签字确认而出现问题，甲方自行负责（设备问题除外）；若甲方按乙方技术资料规定和现场技术服务人员的指导、乙方现场技术服务人员签字确认而出现问题，乙方承担责任。</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10.2</w:t>
      </w:r>
      <w:r>
        <w:rPr>
          <w:rFonts w:hint="eastAsia" w:ascii="Calibri" w:hAnsi="宋体" w:cs="仿宋_GB2312"/>
          <w:color w:val="auto"/>
          <w:kern w:val="2"/>
          <w:szCs w:val="21"/>
          <w:highlight w:val="none"/>
        </w:rPr>
        <w:t>本合同设备安装完毕后的验收工作按照本</w:t>
      </w:r>
      <w:r>
        <w:rPr>
          <w:rFonts w:ascii="Calibri" w:hAnsi="宋体" w:cs="仿宋_GB2312"/>
          <w:color w:val="auto"/>
          <w:kern w:val="2"/>
          <w:szCs w:val="21"/>
          <w:highlight w:val="none"/>
        </w:rPr>
        <w:t>合同附件中的</w:t>
      </w:r>
      <w:r>
        <w:rPr>
          <w:rFonts w:hint="eastAsia" w:ascii="Calibri" w:hAnsi="宋体" w:cs="仿宋_GB2312"/>
          <w:color w:val="auto"/>
          <w:kern w:val="2"/>
          <w:szCs w:val="21"/>
          <w:highlight w:val="none"/>
        </w:rPr>
        <w:t>相关</w:t>
      </w:r>
      <w:r>
        <w:rPr>
          <w:rFonts w:ascii="Calibri" w:hAnsi="宋体" w:cs="仿宋_GB2312"/>
          <w:color w:val="auto"/>
          <w:kern w:val="2"/>
          <w:szCs w:val="21"/>
          <w:highlight w:val="none"/>
        </w:rPr>
        <w:t>规定</w:t>
      </w:r>
      <w:r>
        <w:rPr>
          <w:rFonts w:hint="eastAsia" w:ascii="Calibri" w:hAnsi="宋体" w:cs="仿宋_GB2312"/>
          <w:color w:val="auto"/>
          <w:kern w:val="2"/>
          <w:szCs w:val="21"/>
          <w:highlight w:val="none"/>
        </w:rPr>
        <w:t>的要求进行。</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10.3</w:t>
      </w:r>
      <w:r>
        <w:rPr>
          <w:rFonts w:hint="eastAsia" w:ascii="Calibri" w:hAnsi="宋体" w:cs="仿宋_GB2312"/>
          <w:color w:val="auto"/>
          <w:kern w:val="2"/>
          <w:szCs w:val="21"/>
          <w:highlight w:val="none"/>
        </w:rPr>
        <w:t>合同设备安装完毕后，乙方应派人参加调试进行技术指导，并应尽快解决调试中出现的设备问题，其所需时间应不超过1</w:t>
      </w:r>
      <w:r>
        <w:rPr>
          <w:rFonts w:ascii="Calibri" w:hAnsi="宋体" w:cs="仿宋_GB2312"/>
          <w:color w:val="auto"/>
          <w:kern w:val="2"/>
          <w:szCs w:val="21"/>
          <w:highlight w:val="none"/>
        </w:rPr>
        <w:t>5</w:t>
      </w:r>
      <w:r>
        <w:rPr>
          <w:rFonts w:hint="eastAsia" w:ascii="Calibri" w:hAnsi="宋体" w:cs="仿宋_GB2312"/>
          <w:color w:val="auto"/>
          <w:kern w:val="2"/>
          <w:szCs w:val="21"/>
          <w:highlight w:val="none"/>
        </w:rPr>
        <w:t>日，否则将参照</w:t>
      </w:r>
      <w:r>
        <w:rPr>
          <w:rFonts w:ascii="Calibri" w:hAnsi="宋体" w:cs="仿宋_GB2312"/>
          <w:color w:val="auto"/>
          <w:kern w:val="2"/>
          <w:szCs w:val="21"/>
          <w:highlight w:val="none"/>
        </w:rPr>
        <w:t>11.10</w:t>
      </w:r>
      <w:r>
        <w:rPr>
          <w:rFonts w:hint="eastAsia" w:ascii="Calibri" w:hAnsi="宋体" w:cs="仿宋_GB2312"/>
          <w:color w:val="auto"/>
          <w:kern w:val="2"/>
          <w:szCs w:val="21"/>
          <w:highlight w:val="none"/>
        </w:rPr>
        <w:t>款的延误工期进行处理。</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10.4</w:t>
      </w:r>
      <w:r>
        <w:rPr>
          <w:rFonts w:hint="eastAsia" w:ascii="Calibri" w:hAnsi="宋体" w:cs="仿宋_GB2312"/>
          <w:color w:val="auto"/>
          <w:kern w:val="2"/>
          <w:szCs w:val="21"/>
          <w:highlight w:val="none"/>
        </w:rPr>
        <w:t>性能验收试验应在全部设备运转稳定</w:t>
      </w:r>
      <w:r>
        <w:rPr>
          <w:rFonts w:hint="eastAsia" w:ascii="Calibri" w:hAnsi="Calibri" w:cs="Times New Roman"/>
          <w:color w:val="auto"/>
          <w:kern w:val="2"/>
          <w:szCs w:val="21"/>
          <w:highlight w:val="none"/>
        </w:rPr>
        <w:t>、连续</w:t>
      </w:r>
      <w:r>
        <w:rPr>
          <w:rFonts w:ascii="Calibri" w:hAnsi="Calibri" w:cs="Times New Roman"/>
          <w:color w:val="auto"/>
          <w:kern w:val="2"/>
          <w:szCs w:val="21"/>
          <w:highlight w:val="none"/>
        </w:rPr>
        <w:t xml:space="preserve"> </w:t>
      </w:r>
      <w:r>
        <w:rPr>
          <w:rFonts w:ascii="Calibri" w:hAnsi="Calibri" w:cs="Times New Roman"/>
          <w:color w:val="auto"/>
          <w:kern w:val="2"/>
          <w:szCs w:val="21"/>
          <w:highlight w:val="none"/>
          <w:u w:val="single"/>
        </w:rPr>
        <w:t xml:space="preserve">  </w:t>
      </w:r>
      <w:r>
        <w:rPr>
          <w:rFonts w:hint="eastAsia" w:ascii="Calibri" w:hAnsi="Calibri" w:cs="Times New Roman"/>
          <w:color w:val="auto"/>
          <w:kern w:val="2"/>
          <w:szCs w:val="21"/>
          <w:highlight w:val="none"/>
          <w:u w:val="single"/>
        </w:rPr>
        <w:t>吨/天</w:t>
      </w:r>
      <w:r>
        <w:rPr>
          <w:rFonts w:hint="eastAsia" w:ascii="Calibri" w:hAnsi="Calibri" w:cs="Times New Roman"/>
          <w:color w:val="auto"/>
          <w:kern w:val="2"/>
          <w:szCs w:val="21"/>
          <w:highlight w:val="none"/>
        </w:rPr>
        <w:t>满负荷带料运行</w:t>
      </w:r>
      <w:r>
        <w:rPr>
          <w:rFonts w:hint="eastAsia" w:ascii="Calibri" w:hAnsi="Calibri" w:cs="Times New Roman"/>
          <w:color w:val="auto"/>
          <w:kern w:val="2"/>
          <w:szCs w:val="21"/>
          <w:highlight w:val="none"/>
          <w:lang w:val="en-US" w:eastAsia="zh-CN"/>
        </w:rPr>
        <w:t>≥7天</w:t>
      </w:r>
      <w:r>
        <w:rPr>
          <w:rFonts w:hint="eastAsia" w:ascii="Calibri" w:hAnsi="Calibri" w:cs="Times New Roman"/>
          <w:color w:val="auto"/>
          <w:kern w:val="2"/>
          <w:szCs w:val="21"/>
          <w:highlight w:val="none"/>
        </w:rPr>
        <w:t>，且运行期间无出现以下不达标情况，则视为验收合格（不达标情况：设备运行性能不达合同要求、突发设备故障、非人为操作不当的物料跑冒滴漏等的情况）。</w:t>
      </w:r>
      <w:r>
        <w:rPr>
          <w:rFonts w:hint="eastAsia" w:ascii="Calibri" w:hAnsi="宋体" w:cs="仿宋_GB2312"/>
          <w:color w:val="auto"/>
          <w:kern w:val="2"/>
          <w:szCs w:val="21"/>
          <w:highlight w:val="none"/>
        </w:rPr>
        <w:t>该项验收试验由甲方负责，乙方参加。</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性能保证测试完毕，合同设备达到本合同附件所规定的各项性能保证值指标后，甲方应在</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u w:val="single"/>
        </w:rPr>
        <w:t>三十</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rPr>
        <w:t>天内签署由乙方会签的本合同设备初步验收证书一式二份，双方各执一份。</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如果合同设备不能达到本合同附件所规定的一项或多项保证指标时则按</w:t>
      </w:r>
      <w:r>
        <w:rPr>
          <w:rFonts w:ascii="Calibri" w:hAnsi="宋体" w:cs="仿宋_GB2312"/>
          <w:color w:val="auto"/>
          <w:kern w:val="2"/>
          <w:szCs w:val="21"/>
          <w:highlight w:val="none"/>
        </w:rPr>
        <w:t>10.7</w:t>
      </w:r>
      <w:r>
        <w:rPr>
          <w:rFonts w:hint="eastAsia" w:ascii="Calibri" w:hAnsi="宋体" w:cs="仿宋_GB2312"/>
          <w:color w:val="auto"/>
          <w:kern w:val="2"/>
          <w:szCs w:val="21"/>
          <w:highlight w:val="none"/>
        </w:rPr>
        <w:t>款和</w:t>
      </w:r>
      <w:r>
        <w:rPr>
          <w:rFonts w:ascii="Calibri" w:hAnsi="宋体" w:cs="仿宋_GB2312"/>
          <w:color w:val="auto"/>
          <w:kern w:val="2"/>
          <w:szCs w:val="21"/>
          <w:highlight w:val="none"/>
        </w:rPr>
        <w:t>11.7</w:t>
      </w:r>
      <w:r>
        <w:rPr>
          <w:rFonts w:hint="eastAsia" w:ascii="Calibri" w:hAnsi="宋体" w:cs="仿宋_GB2312"/>
          <w:color w:val="auto"/>
          <w:kern w:val="2"/>
          <w:szCs w:val="21"/>
          <w:highlight w:val="none"/>
        </w:rPr>
        <w:t>款办理。</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10.5</w:t>
      </w:r>
      <w:r>
        <w:rPr>
          <w:rFonts w:hint="eastAsia" w:ascii="Calibri" w:hAnsi="宋体" w:cs="仿宋_GB2312"/>
          <w:color w:val="auto"/>
          <w:kern w:val="2"/>
          <w:szCs w:val="21"/>
          <w:highlight w:val="none"/>
        </w:rPr>
        <w:t>在不影响本合同设备安全、可靠运行的条件下，如有个别微小缺陷，乙方在双方商定的时间内免费修理上述的缺陷，甲方则可同意签署初步验收证书。</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10.</w:t>
      </w:r>
      <w:r>
        <w:rPr>
          <w:rFonts w:hint="eastAsia" w:ascii="Calibri" w:hAnsi="宋体" w:cs="仿宋_GB2312"/>
          <w:color w:val="auto"/>
          <w:kern w:val="2"/>
          <w:szCs w:val="21"/>
          <w:highlight w:val="none"/>
        </w:rPr>
        <w:t>6如果第一次性能保证测试达不到本合同附件所规定的一项或多项性能保证值，则双方应共同分析原因，澄清责任，由责任一方采取措施，并在第一次验收试验结束后</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u w:val="single"/>
        </w:rPr>
        <w:t>三</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rPr>
        <w:t>个月内进行第二次验收试验。</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10.</w:t>
      </w:r>
      <w:r>
        <w:rPr>
          <w:rFonts w:hint="eastAsia" w:ascii="Calibri" w:hAnsi="宋体" w:cs="仿宋_GB2312"/>
          <w:color w:val="auto"/>
          <w:kern w:val="2"/>
          <w:szCs w:val="21"/>
          <w:highlight w:val="none"/>
        </w:rPr>
        <w:t>7在第二次性能保证测试后，如仍有一项或多项指标未能达到本合同附件所规定的性能保证值，双方应共同研究，分析原因，澄清责任：</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如属乙方原因，则应按本合同</w:t>
      </w:r>
      <w:r>
        <w:rPr>
          <w:rFonts w:ascii="Calibri" w:hAnsi="宋体" w:cs="仿宋_GB2312"/>
          <w:color w:val="auto"/>
          <w:kern w:val="2"/>
          <w:szCs w:val="21"/>
          <w:highlight w:val="none"/>
        </w:rPr>
        <w:t>11</w:t>
      </w:r>
      <w:r>
        <w:rPr>
          <w:rFonts w:hint="eastAsia" w:ascii="Calibri" w:hAnsi="宋体" w:cs="仿宋_GB2312"/>
          <w:color w:val="auto"/>
          <w:kern w:val="2"/>
          <w:szCs w:val="21"/>
          <w:highlight w:val="none"/>
        </w:rPr>
        <w:t>款执行。</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如属甲方原因，本合同设备应被认为初步验收通过，此后</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u w:val="single"/>
        </w:rPr>
        <w:t>三十</w:t>
      </w:r>
      <w:r>
        <w:rPr>
          <w:rFonts w:hint="eastAsia" w:ascii="Calibri" w:hAnsi="宋体" w:cs="仿宋_GB2312"/>
          <w:color w:val="auto"/>
          <w:kern w:val="2"/>
          <w:szCs w:val="21"/>
          <w:highlight w:val="none"/>
        </w:rPr>
        <w:t>天内由甲方代表签署由乙方代表会签的本合同设备初步验收证书一式二份，双方各执一份。此时乙方仍有义务与甲方一起采取措施，使合同设备性能达到保证值。</w:t>
      </w:r>
    </w:p>
    <w:p>
      <w:pPr>
        <w:widowControl w:val="0"/>
        <w:adjustRightInd/>
        <w:snapToGrid/>
        <w:ind w:firstLine="420" w:firstLineChars="200"/>
        <w:jc w:val="both"/>
        <w:rPr>
          <w:rFonts w:ascii="Calibri" w:hAnsi="Calibri" w:cs="Times New Roman"/>
          <w:color w:val="auto"/>
          <w:kern w:val="2"/>
          <w:szCs w:val="24"/>
          <w:highlight w:val="none"/>
        </w:rPr>
      </w:pPr>
      <w:r>
        <w:rPr>
          <w:rFonts w:ascii="Calibri" w:hAnsi="宋体" w:cs="仿宋_GB2312"/>
          <w:color w:val="auto"/>
          <w:kern w:val="2"/>
          <w:szCs w:val="21"/>
          <w:highlight w:val="none"/>
        </w:rPr>
        <w:t>10.</w:t>
      </w:r>
      <w:r>
        <w:rPr>
          <w:rFonts w:hint="eastAsia" w:ascii="Calibri" w:hAnsi="宋体" w:cs="仿宋_GB2312"/>
          <w:color w:val="auto"/>
          <w:kern w:val="2"/>
          <w:szCs w:val="21"/>
          <w:highlight w:val="none"/>
        </w:rPr>
        <w:t>8自项目</w:t>
      </w:r>
      <w:r>
        <w:rPr>
          <w:rFonts w:ascii="Calibri" w:hAnsi="宋体" w:cs="仿宋_GB2312"/>
          <w:color w:val="auto"/>
          <w:kern w:val="2"/>
          <w:szCs w:val="21"/>
          <w:highlight w:val="none"/>
        </w:rPr>
        <w:t>完工</w:t>
      </w:r>
      <w:r>
        <w:rPr>
          <w:rFonts w:hint="eastAsia" w:ascii="Calibri" w:hAnsi="宋体" w:cs="仿宋_GB2312"/>
          <w:color w:val="auto"/>
          <w:kern w:val="2"/>
          <w:szCs w:val="21"/>
          <w:highlight w:val="none"/>
        </w:rPr>
        <w:t>验收合格之日起计算质保期。</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10.</w:t>
      </w:r>
      <w:r>
        <w:rPr>
          <w:rFonts w:hint="eastAsia" w:ascii="Calibri" w:hAnsi="宋体" w:cs="仿宋_GB2312"/>
          <w:color w:val="auto"/>
          <w:kern w:val="2"/>
          <w:szCs w:val="21"/>
          <w:highlight w:val="none"/>
        </w:rPr>
        <w:t>9按合同条款出具的初步验收证书只是证明乙方所提供的合同设备性能和参数截至出具初步验收证明时可以按合同要求予以接受，但不能视为乙方对合同设备中潜在缺陷所应负的责任解除的证据，同样，竣工验收证书也不能被视为乙方对合同设备中潜在缺陷应负责任的解除的证据。当发现这类潜在缺陷时，乙方应按照本合同条款款的规定进行修理或调换，相关费用由乙方承担。</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10.</w:t>
      </w:r>
      <w:r>
        <w:rPr>
          <w:rFonts w:hint="eastAsia" w:ascii="Calibri" w:hAnsi="宋体" w:cs="仿宋_GB2312"/>
          <w:color w:val="auto"/>
          <w:kern w:val="2"/>
          <w:szCs w:val="21"/>
          <w:highlight w:val="none"/>
        </w:rPr>
        <w:t>10在合同执行过程中的任何时候，对由于乙方责任需要进行的检查、试验、再试验、修理或调换，在乙方提出请求时，甲方应作好安排进行配合以便进行上述工作。乙方应负担修理或调换所发生的各种费用。如果乙方委托甲方进行加工和／或修理、更换设备，因乙方设计图纸错误或乙方技术服务人员的指导错误造成返工，乙方应按下列公式向甲方支付费用：（所有费用按发生时的费用水平计费）</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P=ah+M+cm</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其中：</w:t>
      </w:r>
      <w:r>
        <w:rPr>
          <w:rFonts w:ascii="Calibri" w:hAnsi="宋体" w:cs="仿宋_GB2312"/>
          <w:color w:val="auto"/>
          <w:kern w:val="2"/>
          <w:szCs w:val="21"/>
          <w:highlight w:val="none"/>
        </w:rPr>
        <w:t>P</w:t>
      </w:r>
      <w:r>
        <w:rPr>
          <w:rFonts w:hint="eastAsia" w:ascii="Calibri" w:hAnsi="宋体" w:cs="仿宋_GB2312"/>
          <w:color w:val="auto"/>
          <w:kern w:val="2"/>
          <w:szCs w:val="21"/>
          <w:highlight w:val="none"/>
        </w:rPr>
        <w:t>－总费用（元）</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a</w:t>
      </w:r>
      <w:r>
        <w:rPr>
          <w:rFonts w:hint="eastAsia" w:ascii="Calibri" w:hAnsi="宋体" w:cs="仿宋_GB2312"/>
          <w:color w:val="auto"/>
          <w:kern w:val="2"/>
          <w:szCs w:val="21"/>
          <w:highlight w:val="none"/>
        </w:rPr>
        <w:t>－人工费（元</w:t>
      </w:r>
      <w:r>
        <w:rPr>
          <w:rFonts w:ascii="Calibri" w:hAnsi="宋体" w:cs="仿宋_GB2312"/>
          <w:color w:val="auto"/>
          <w:kern w:val="2"/>
          <w:szCs w:val="21"/>
          <w:highlight w:val="none"/>
        </w:rPr>
        <w:t>/</w:t>
      </w:r>
      <w:r>
        <w:rPr>
          <w:rFonts w:hint="eastAsia" w:ascii="Calibri" w:hAnsi="宋体" w:cs="仿宋_GB2312"/>
          <w:color w:val="auto"/>
          <w:kern w:val="2"/>
          <w:szCs w:val="21"/>
          <w:highlight w:val="none"/>
        </w:rPr>
        <w:t>小时·人）</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h</w:t>
      </w:r>
      <w:r>
        <w:rPr>
          <w:rFonts w:hint="eastAsia" w:ascii="Calibri" w:hAnsi="宋体" w:cs="仿宋_GB2312"/>
          <w:color w:val="auto"/>
          <w:kern w:val="2"/>
          <w:szCs w:val="21"/>
          <w:highlight w:val="none"/>
        </w:rPr>
        <w:t>－人时（小时·人）</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M</w:t>
      </w:r>
      <w:r>
        <w:rPr>
          <w:rFonts w:hint="eastAsia" w:ascii="Calibri" w:hAnsi="宋体" w:cs="仿宋_GB2312"/>
          <w:color w:val="auto"/>
          <w:kern w:val="2"/>
          <w:szCs w:val="21"/>
          <w:highlight w:val="none"/>
        </w:rPr>
        <w:t>－材料费（元）</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c</w:t>
      </w:r>
      <w:r>
        <w:rPr>
          <w:rFonts w:hint="eastAsia" w:ascii="Calibri" w:hAnsi="宋体" w:cs="仿宋_GB2312"/>
          <w:color w:val="auto"/>
          <w:kern w:val="2"/>
          <w:szCs w:val="21"/>
          <w:highlight w:val="none"/>
        </w:rPr>
        <w:t>－台班数（台·班）</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 xml:space="preserve">          m</w:t>
      </w:r>
      <w:r>
        <w:rPr>
          <w:rFonts w:hint="eastAsia" w:ascii="Calibri" w:hAnsi="宋体" w:cs="仿宋_GB2312"/>
          <w:color w:val="auto"/>
          <w:kern w:val="2"/>
          <w:szCs w:val="21"/>
          <w:highlight w:val="none"/>
        </w:rPr>
        <w:t>－每台设备的台班费（元／台·班）</w:t>
      </w:r>
    </w:p>
    <w:p>
      <w:pPr>
        <w:widowControl w:val="0"/>
        <w:adjustRightInd/>
        <w:snapToGrid/>
        <w:ind w:firstLine="422" w:firstLineChars="200"/>
        <w:jc w:val="both"/>
        <w:rPr>
          <w:rFonts w:ascii="Calibri" w:hAnsi="宋体" w:cs="仿宋_GB2312"/>
          <w:b/>
          <w:color w:val="auto"/>
          <w:kern w:val="2"/>
          <w:szCs w:val="21"/>
          <w:highlight w:val="none"/>
        </w:rPr>
      </w:pPr>
      <w:r>
        <w:rPr>
          <w:rFonts w:ascii="Calibri" w:hAnsi="宋体" w:cs="仿宋_GB2312"/>
          <w:b/>
          <w:color w:val="auto"/>
          <w:kern w:val="2"/>
          <w:szCs w:val="21"/>
          <w:highlight w:val="none"/>
        </w:rPr>
        <w:t>11、保证与索赔</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11.1</w:t>
      </w:r>
      <w:r>
        <w:rPr>
          <w:rFonts w:hint="eastAsia" w:ascii="Calibri" w:hAnsi="宋体" w:cs="宋体"/>
          <w:color w:val="auto"/>
          <w:kern w:val="2"/>
          <w:szCs w:val="21"/>
          <w:highlight w:val="none"/>
        </w:rPr>
        <w:t>质保期：项目完工验收合格后</w:t>
      </w:r>
      <w:r>
        <w:rPr>
          <w:rFonts w:hint="eastAsia" w:ascii="Calibri" w:hAnsi="宋体" w:cs="宋体"/>
          <w:color w:val="auto"/>
          <w:kern w:val="2"/>
          <w:szCs w:val="21"/>
          <w:highlight w:val="none"/>
          <w:u w:val="single"/>
        </w:rPr>
        <w:t xml:space="preserve">    </w:t>
      </w:r>
      <w:r>
        <w:rPr>
          <w:rFonts w:hint="eastAsia" w:ascii="Calibri" w:hAnsi="宋体" w:cs="宋体"/>
          <w:color w:val="auto"/>
          <w:kern w:val="2"/>
          <w:szCs w:val="21"/>
          <w:highlight w:val="none"/>
        </w:rPr>
        <w:t>年。如个体设备有更高要求的，遵循更高要求</w:t>
      </w:r>
      <w:r>
        <w:rPr>
          <w:rFonts w:hint="eastAsia" w:ascii="Calibri" w:hAnsi="宋体" w:cs="仿宋_GB2312"/>
          <w:color w:val="auto"/>
          <w:kern w:val="2"/>
          <w:szCs w:val="21"/>
          <w:highlight w:val="none"/>
        </w:rPr>
        <w:t>，质保期内由乙方提供免费上门维修及检测服务，期间所有产生涉及定期维修保养的费用（如人工费、交通费、食宿费、设备配件备件费、运输费等）由乙方自行承担。如在设备质保期间设备损坏导致无法维修或无法短时间内完成维修的，由乙方免费提供备件供甲方使用直至原设备维修完成。该质保期的具体内容按本合同的有关条款执行。</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11.2</w:t>
      </w:r>
      <w:r>
        <w:rPr>
          <w:rFonts w:hint="eastAsia" w:ascii="Calibri" w:hAnsi="宋体" w:cs="仿宋_GB2312"/>
          <w:color w:val="auto"/>
          <w:kern w:val="2"/>
          <w:szCs w:val="21"/>
          <w:highlight w:val="none"/>
        </w:rPr>
        <w:t>乙方保证其供应的本合同设备是全新的，技术水平是先进的、成熟的、质量优良的，设备的设计制造均符合安全可靠、经济运行和易于维护的要求。乙方保证根据本合同附件（招投标文件）所交付的技术资料完整统一和内容正确、准确的并能满足合同设备的设计、安装、调试、运行和维修的要求，合同设备在初步验收后的</w:t>
      </w:r>
      <w:r>
        <w:rPr>
          <w:rFonts w:ascii="Calibri" w:hAnsi="宋体" w:cs="仿宋_GB2312"/>
          <w:color w:val="auto"/>
          <w:kern w:val="2"/>
          <w:szCs w:val="21"/>
          <w:highlight w:val="none"/>
        </w:rPr>
        <w:t>运行小时数</w:t>
      </w:r>
      <w:r>
        <w:rPr>
          <w:rFonts w:hint="eastAsia" w:ascii="Calibri" w:hAnsi="宋体" w:cs="仿宋_GB2312"/>
          <w:color w:val="auto"/>
          <w:kern w:val="2"/>
          <w:szCs w:val="21"/>
          <w:highlight w:val="none"/>
        </w:rPr>
        <w:t>要求：（A包、C包：大于</w:t>
      </w:r>
      <w:r>
        <w:rPr>
          <w:rFonts w:ascii="Calibri" w:hAnsi="宋体" w:cs="仿宋_GB2312"/>
          <w:color w:val="auto"/>
          <w:kern w:val="2"/>
          <w:szCs w:val="21"/>
          <w:highlight w:val="none"/>
        </w:rPr>
        <w:t>8000</w:t>
      </w:r>
      <w:r>
        <w:rPr>
          <w:rFonts w:hint="eastAsia" w:ascii="Calibri" w:hAnsi="宋体" w:cs="仿宋_GB2312"/>
          <w:color w:val="auto"/>
          <w:kern w:val="2"/>
          <w:szCs w:val="21"/>
          <w:highlight w:val="none"/>
        </w:rPr>
        <w:t>小时</w:t>
      </w:r>
      <w:r>
        <w:rPr>
          <w:rFonts w:ascii="Calibri" w:hAnsi="宋体" w:cs="仿宋_GB2312"/>
          <w:color w:val="auto"/>
          <w:kern w:val="2"/>
          <w:szCs w:val="21"/>
          <w:highlight w:val="none"/>
        </w:rPr>
        <w:t>/</w:t>
      </w:r>
      <w:r>
        <w:rPr>
          <w:rFonts w:hint="eastAsia" w:ascii="Calibri" w:hAnsi="宋体" w:cs="仿宋_GB2312"/>
          <w:color w:val="auto"/>
          <w:kern w:val="2"/>
          <w:szCs w:val="21"/>
          <w:highlight w:val="none"/>
        </w:rPr>
        <w:t>年）；B包：大于6</w:t>
      </w:r>
      <w:r>
        <w:rPr>
          <w:rFonts w:ascii="Calibri" w:hAnsi="宋体" w:cs="仿宋_GB2312"/>
          <w:color w:val="auto"/>
          <w:kern w:val="2"/>
          <w:szCs w:val="21"/>
          <w:highlight w:val="none"/>
        </w:rPr>
        <w:t>000</w:t>
      </w:r>
      <w:r>
        <w:rPr>
          <w:rFonts w:hint="eastAsia" w:ascii="Calibri" w:hAnsi="宋体" w:cs="仿宋_GB2312"/>
          <w:color w:val="auto"/>
          <w:kern w:val="2"/>
          <w:szCs w:val="21"/>
          <w:highlight w:val="none"/>
        </w:rPr>
        <w:t>小时</w:t>
      </w:r>
      <w:r>
        <w:rPr>
          <w:rFonts w:ascii="Calibri" w:hAnsi="宋体" w:cs="仿宋_GB2312"/>
          <w:color w:val="auto"/>
          <w:kern w:val="2"/>
          <w:szCs w:val="21"/>
          <w:highlight w:val="none"/>
        </w:rPr>
        <w:t>/</w:t>
      </w:r>
      <w:r>
        <w:rPr>
          <w:rFonts w:hint="eastAsia" w:ascii="Calibri" w:hAnsi="宋体" w:cs="仿宋_GB2312"/>
          <w:color w:val="auto"/>
          <w:kern w:val="2"/>
          <w:szCs w:val="21"/>
          <w:highlight w:val="none"/>
        </w:rPr>
        <w:t>年；D包：大于</w:t>
      </w:r>
      <w:r>
        <w:rPr>
          <w:rFonts w:ascii="Calibri" w:hAnsi="宋体" w:cs="仿宋_GB2312"/>
          <w:color w:val="auto"/>
          <w:kern w:val="2"/>
          <w:szCs w:val="21"/>
          <w:highlight w:val="none"/>
        </w:rPr>
        <w:t>8000</w:t>
      </w:r>
      <w:r>
        <w:rPr>
          <w:rFonts w:hint="eastAsia" w:ascii="Calibri" w:hAnsi="宋体" w:cs="仿宋_GB2312"/>
          <w:color w:val="auto"/>
          <w:kern w:val="2"/>
          <w:szCs w:val="21"/>
          <w:highlight w:val="none"/>
        </w:rPr>
        <w:t>小时</w:t>
      </w:r>
      <w:r>
        <w:rPr>
          <w:rFonts w:ascii="Calibri" w:hAnsi="宋体" w:cs="仿宋_GB2312"/>
          <w:color w:val="auto"/>
          <w:kern w:val="2"/>
          <w:szCs w:val="21"/>
          <w:highlight w:val="none"/>
        </w:rPr>
        <w:t>/</w:t>
      </w:r>
      <w:r>
        <w:rPr>
          <w:rFonts w:hint="eastAsia" w:ascii="Calibri" w:hAnsi="宋体" w:cs="仿宋_GB2312"/>
          <w:color w:val="auto"/>
          <w:kern w:val="2"/>
          <w:szCs w:val="21"/>
          <w:highlight w:val="none"/>
        </w:rPr>
        <w:t>年因乙方设备原因造成的年强迫设备停止运行次数不大于两次。</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11.3</w:t>
      </w:r>
      <w:r>
        <w:rPr>
          <w:rFonts w:hint="eastAsia" w:ascii="Calibri" w:hAnsi="宋体" w:cs="仿宋_GB2312"/>
          <w:color w:val="auto"/>
          <w:kern w:val="2"/>
          <w:szCs w:val="21"/>
          <w:highlight w:val="none"/>
        </w:rPr>
        <w:t>如果乙方提供的设备有缺陷或技术资料有错误，或者由于乙方技术人员指导错误或疏忽，造成工程返工、报废，乙方应立即无偿更换和修理。如需更换或修理，乙方应负担由此产生的到安装现场更换或修理的一切费用，更换或修理期限应不迟于证实属乙方责任之日起的半个月内，否则，应按</w:t>
      </w:r>
      <w:r>
        <w:rPr>
          <w:rFonts w:ascii="Calibri" w:hAnsi="宋体" w:cs="仿宋_GB2312"/>
          <w:color w:val="auto"/>
          <w:kern w:val="2"/>
          <w:szCs w:val="21"/>
          <w:highlight w:val="none"/>
        </w:rPr>
        <w:t>11.10</w:t>
      </w:r>
      <w:r>
        <w:rPr>
          <w:rFonts w:hint="eastAsia" w:ascii="Calibri" w:hAnsi="宋体" w:cs="仿宋_GB2312"/>
          <w:color w:val="auto"/>
          <w:kern w:val="2"/>
          <w:szCs w:val="21"/>
          <w:highlight w:val="none"/>
        </w:rPr>
        <w:t>款处理。</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11.4由于甲方未按乙方所提供的技术资料、图纸、说明书和乙方现场技术服务人员的指导而进行施工、安装、调试造成的设备损坏，由甲方负责修理、更换，但乙方有义务尽快提供所需更换的部件，对于甲方要求的紧急部件，乙方应安排最快的方式运输到甲方施工工地，所有费用均由甲方负担。</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11.5合同规定的质保期满后，</w:t>
      </w:r>
      <w:r>
        <w:rPr>
          <w:rFonts w:hint="eastAsia" w:ascii="Calibri" w:hAnsi="宋体" w:cs="仿宋_GB2312"/>
          <w:color w:val="auto"/>
          <w:kern w:val="2"/>
          <w:szCs w:val="21"/>
          <w:highlight w:val="none"/>
          <w:lang w:val="en-US" w:eastAsia="zh-CN"/>
        </w:rPr>
        <w:t>若</w:t>
      </w:r>
      <w:r>
        <w:rPr>
          <w:rFonts w:hint="eastAsia" w:ascii="Calibri" w:hAnsi="宋体" w:cs="仿宋_GB2312"/>
          <w:color w:val="auto"/>
          <w:kern w:val="2"/>
          <w:szCs w:val="21"/>
          <w:highlight w:val="none"/>
        </w:rPr>
        <w:t>在此期间乙方完成</w:t>
      </w:r>
      <w:r>
        <w:rPr>
          <w:rFonts w:hint="eastAsia" w:ascii="Calibri" w:hAnsi="宋体" w:cs="仿宋_GB2312"/>
          <w:color w:val="auto"/>
          <w:kern w:val="2"/>
          <w:szCs w:val="21"/>
          <w:highlight w:val="none"/>
          <w:lang w:val="en-US" w:eastAsia="zh-CN"/>
        </w:rPr>
        <w:t>了</w:t>
      </w:r>
      <w:r>
        <w:rPr>
          <w:rFonts w:hint="eastAsia" w:ascii="Calibri" w:hAnsi="宋体" w:cs="仿宋_GB2312"/>
          <w:color w:val="auto"/>
          <w:kern w:val="2"/>
          <w:szCs w:val="21"/>
          <w:highlight w:val="none"/>
        </w:rPr>
        <w:t>甲方在质保期满前提出的索赔和赔偿</w:t>
      </w:r>
      <w:r>
        <w:rPr>
          <w:rFonts w:hint="eastAsia" w:ascii="Calibri" w:hAnsi="宋体" w:cs="仿宋_GB2312"/>
          <w:color w:val="auto"/>
          <w:kern w:val="2"/>
          <w:szCs w:val="21"/>
          <w:highlight w:val="none"/>
          <w:lang w:eastAsia="zh-CN"/>
        </w:rPr>
        <w:t>，</w:t>
      </w:r>
      <w:r>
        <w:rPr>
          <w:rFonts w:ascii="Calibri" w:hAnsi="宋体" w:cs="仿宋_GB2312"/>
          <w:color w:val="auto"/>
          <w:kern w:val="2"/>
          <w:szCs w:val="21"/>
          <w:highlight w:val="none"/>
        </w:rPr>
        <w:t>甲方在15</w:t>
      </w:r>
      <w:r>
        <w:rPr>
          <w:rFonts w:hint="eastAsia" w:ascii="Calibri" w:hAnsi="宋体" w:cs="仿宋_GB2312"/>
          <w:color w:val="auto"/>
          <w:kern w:val="2"/>
          <w:szCs w:val="21"/>
          <w:highlight w:val="none"/>
        </w:rPr>
        <w:t>天内出具合同设备质保期满竣工验收证书交给乙方。但乙方对甲方</w:t>
      </w:r>
      <w:r>
        <w:rPr>
          <w:rFonts w:ascii="Calibri" w:hAnsi="宋体" w:cs="仿宋_GB2312"/>
          <w:color w:val="auto"/>
          <w:kern w:val="2"/>
          <w:szCs w:val="21"/>
          <w:highlight w:val="none"/>
        </w:rPr>
        <w:t>的</w:t>
      </w:r>
      <w:r>
        <w:rPr>
          <w:rFonts w:hint="eastAsia" w:ascii="Calibri" w:hAnsi="宋体" w:cs="仿宋_GB2312"/>
          <w:color w:val="auto"/>
          <w:kern w:val="2"/>
          <w:szCs w:val="21"/>
          <w:highlight w:val="none"/>
        </w:rPr>
        <w:t>非正常维修和误操作以及由于正常磨损造成的损失</w:t>
      </w:r>
      <w:r>
        <w:rPr>
          <w:rFonts w:hint="eastAsia" w:ascii="Calibri" w:hAnsi="宋体" w:cs="仿宋_GB2312"/>
          <w:color w:val="auto"/>
          <w:kern w:val="2"/>
          <w:szCs w:val="21"/>
          <w:highlight w:val="none"/>
          <w:lang w:eastAsia="zh-CN"/>
        </w:rPr>
        <w:t>，</w:t>
      </w:r>
      <w:r>
        <w:rPr>
          <w:rFonts w:hint="eastAsia" w:ascii="Calibri" w:hAnsi="宋体" w:cs="仿宋_GB2312"/>
          <w:color w:val="auto"/>
          <w:kern w:val="2"/>
          <w:szCs w:val="21"/>
          <w:highlight w:val="none"/>
        </w:rPr>
        <w:t>乙方不负责任。</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11.6在质保期内，如发现设备有缺陷，不符合本合同规定时，如</w:t>
      </w:r>
      <w:r>
        <w:rPr>
          <w:rFonts w:hint="eastAsia" w:ascii="Calibri" w:hAnsi="宋体" w:cs="仿宋_GB2312"/>
          <w:color w:val="auto"/>
          <w:kern w:val="2"/>
          <w:szCs w:val="21"/>
          <w:highlight w:val="none"/>
          <w:lang w:val="en-US" w:eastAsia="zh-CN"/>
        </w:rPr>
        <w:t>甲方认为</w:t>
      </w:r>
      <w:r>
        <w:rPr>
          <w:rFonts w:ascii="Calibri" w:hAnsi="宋体" w:cs="仿宋_GB2312"/>
          <w:color w:val="auto"/>
          <w:kern w:val="2"/>
          <w:szCs w:val="21"/>
          <w:highlight w:val="none"/>
        </w:rPr>
        <w:t>属乙方责任，则甲方有权向乙方以书面形式提出索赔。如乙方对索赔有异议按9.2.4</w:t>
      </w:r>
      <w:r>
        <w:rPr>
          <w:rFonts w:hint="eastAsia" w:ascii="Calibri" w:hAnsi="宋体" w:cs="仿宋_GB2312"/>
          <w:color w:val="auto"/>
          <w:kern w:val="2"/>
          <w:szCs w:val="21"/>
          <w:highlight w:val="none"/>
        </w:rPr>
        <w:t>条款办理。否则乙方在接到甲方索赔文件后，应立即无偿修理、更换、赔款或委托甲方安排大型修理。包括由此产生的到安装现场的人员差旅费、更换费用、运费及保险费由乙方负担。</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11.7如由于乙方责任需要更换、修理有缺陷的设备，而使合同设备停运或推迟安装时，则质保期应按实际修理或更换所延误的时间做相应的延长。</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11.8由于乙方责任，在招投标文件规定的性能验收试验后，如经第二次验收试验仍不能达到本合同附件所规定的一项或多项保证指标时，乙方应采取各种措施以便设备达到各项经济指标。乙方提供的设备、技术服务、技术资料等存在严重的质量问题（所提供设备无法正常运作）时，乙方应尽快采取办法解决，出现问题后72小时内乙方仍无法解决，乙方应提供同等设备给予甲方使用。如出现问题</w:t>
      </w:r>
      <w:r>
        <w:rPr>
          <w:rFonts w:hint="eastAsia" w:ascii="Calibri" w:hAnsi="宋体" w:cs="仿宋_GB2312"/>
          <w:color w:val="auto"/>
          <w:kern w:val="2"/>
          <w:szCs w:val="21"/>
          <w:highlight w:val="none"/>
          <w:lang w:val="en-US" w:eastAsia="zh-CN"/>
        </w:rPr>
        <w:t>超过5天</w:t>
      </w:r>
      <w:r>
        <w:rPr>
          <w:rFonts w:ascii="Calibri" w:hAnsi="宋体" w:cs="仿宋_GB2312"/>
          <w:color w:val="auto"/>
          <w:kern w:val="2"/>
          <w:szCs w:val="21"/>
          <w:highlight w:val="none"/>
        </w:rPr>
        <w:t>乙方</w:t>
      </w:r>
      <w:r>
        <w:rPr>
          <w:rFonts w:hint="eastAsia" w:ascii="Calibri" w:hAnsi="宋体" w:cs="仿宋_GB2312"/>
          <w:color w:val="auto"/>
          <w:kern w:val="2"/>
          <w:szCs w:val="21"/>
          <w:highlight w:val="none"/>
          <w:lang w:val="en-US" w:eastAsia="zh-CN"/>
        </w:rPr>
        <w:t>仍未采取措施</w:t>
      </w:r>
      <w:r>
        <w:rPr>
          <w:rFonts w:ascii="Calibri" w:hAnsi="宋体" w:cs="仿宋_GB2312"/>
          <w:color w:val="auto"/>
          <w:kern w:val="2"/>
          <w:szCs w:val="21"/>
          <w:highlight w:val="none"/>
        </w:rPr>
        <w:t>予</w:t>
      </w:r>
      <w:r>
        <w:rPr>
          <w:rFonts w:hint="eastAsia" w:ascii="Calibri" w:hAnsi="宋体" w:cs="仿宋_GB2312"/>
          <w:color w:val="auto"/>
          <w:kern w:val="2"/>
          <w:szCs w:val="21"/>
          <w:highlight w:val="none"/>
          <w:lang w:val="en-US" w:eastAsia="zh-CN"/>
        </w:rPr>
        <w:t>以</w:t>
      </w:r>
      <w:r>
        <w:rPr>
          <w:rFonts w:ascii="Calibri" w:hAnsi="宋体" w:cs="仿宋_GB2312"/>
          <w:color w:val="auto"/>
          <w:kern w:val="2"/>
          <w:szCs w:val="21"/>
          <w:highlight w:val="none"/>
        </w:rPr>
        <w:t>解决</w:t>
      </w:r>
      <w:r>
        <w:rPr>
          <w:rFonts w:hint="eastAsia" w:ascii="Calibri" w:hAnsi="宋体" w:cs="仿宋_GB2312"/>
          <w:color w:val="auto"/>
          <w:kern w:val="2"/>
          <w:szCs w:val="21"/>
          <w:highlight w:val="none"/>
          <w:lang w:val="en-US" w:eastAsia="zh-CN"/>
        </w:rPr>
        <w:t>或明确表示不解决</w:t>
      </w:r>
      <w:r>
        <w:rPr>
          <w:rFonts w:ascii="Calibri" w:hAnsi="宋体" w:cs="仿宋_GB2312"/>
          <w:color w:val="auto"/>
          <w:kern w:val="2"/>
          <w:szCs w:val="21"/>
          <w:highlight w:val="none"/>
        </w:rPr>
        <w:t>，甲方有权解除合同。</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11.9如合同设备在质保期内发现属乙方责任的十分严重的缺陷（如设备性能达不到要求等）则质保期将自该缺陷修正后</w:t>
      </w:r>
      <w:r>
        <w:rPr>
          <w:rFonts w:hint="eastAsia" w:ascii="Calibri" w:hAnsi="宋体" w:cs="仿宋_GB2312"/>
          <w:color w:val="auto"/>
          <w:kern w:val="2"/>
          <w:szCs w:val="21"/>
          <w:highlight w:val="none"/>
          <w:lang w:val="en-US" w:eastAsia="zh-CN"/>
        </w:rPr>
        <w:t>重新</w:t>
      </w:r>
      <w:r>
        <w:rPr>
          <w:rFonts w:ascii="Calibri" w:hAnsi="宋体" w:cs="仿宋_GB2312"/>
          <w:color w:val="auto"/>
          <w:kern w:val="2"/>
          <w:szCs w:val="21"/>
          <w:highlight w:val="none"/>
        </w:rPr>
        <w:t>开始计算，乙方并按照11.3的约定进行处理。</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11.10如果不是由于甲方原因或甲方要求，</w:t>
      </w:r>
      <w:r>
        <w:rPr>
          <w:rFonts w:hint="eastAsia" w:ascii="Calibri" w:hAnsi="宋体" w:cs="仿宋_GB2312"/>
          <w:color w:val="auto"/>
          <w:kern w:val="2"/>
          <w:szCs w:val="21"/>
          <w:highlight w:val="none"/>
        </w:rPr>
        <w:t>乙方未能在本合同约定的时间内完成项目竣工验收的，</w:t>
      </w:r>
      <w:r>
        <w:rPr>
          <w:rFonts w:ascii="Calibri" w:hAnsi="宋体" w:cs="仿宋_GB2312"/>
          <w:color w:val="auto"/>
          <w:kern w:val="2"/>
          <w:szCs w:val="21"/>
          <w:highlight w:val="none"/>
        </w:rPr>
        <w:t>甲方有权按下列比例向乙方收取违约金：</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（1）逾期第1~5 日历日，每延误一日按合同总价的 0.4%计算违约金；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（2）逾期第6~10 日历日，每延误一日按合同总价的 0.7%计算违约金；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（3）逾期第11~15 日历日，每延误一日按合同总价的 0.9%计算违约金。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注：以上违约金分段累计。</w:t>
      </w:r>
    </w:p>
    <w:p>
      <w:pPr>
        <w:widowControl w:val="0"/>
        <w:adjustRightInd/>
        <w:snapToGrid/>
        <w:spacing w:line="240" w:lineRule="auto"/>
        <w:ind w:firstLine="420" w:firstLineChars="200"/>
        <w:jc w:val="both"/>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违约金不足以弥补因此给甲方造成的损失的，乙方还应补足，乙方未在甲方通知的期限内补足的，甲方有权在未付合同款中扣除；乙方支付违约金，并不解除乙方按照合同继续交货的义务；若延误累计超出 15 日历日的，甲方有权没收合同履约保证金（如有），乙方应按合同总价款之20%向甲方支付违约金，且甲方有权单方解除合同。同时，造成甲方损失（包括但不限于经济损失、律师费、诉讼费、保险费、保全费、担保费、公证费、鉴定费等费用损失等)，均由乙方承担。</w:t>
      </w:r>
    </w:p>
    <w:p>
      <w:pPr>
        <w:widowControl w:val="0"/>
        <w:adjustRightInd/>
        <w:snapToGrid/>
        <w:spacing w:line="240" w:lineRule="auto"/>
        <w:ind w:firstLine="420" w:firstLineChars="200"/>
        <w:jc w:val="both"/>
        <w:rPr>
          <w:rFonts w:ascii="Calibri" w:hAnsi="Calibri" w:cs="Times New Roman"/>
          <w:color w:val="auto"/>
          <w:kern w:val="2"/>
          <w:szCs w:val="24"/>
          <w:highlight w:val="none"/>
        </w:rPr>
      </w:pPr>
      <w:r>
        <w:rPr>
          <w:rFonts w:hint="eastAsia" w:cs="宋体" w:asciiTheme="minorEastAsia" w:hAnsiTheme="minorEastAsia" w:eastAsiaTheme="minorEastAsia"/>
          <w:color w:val="auto"/>
          <w:szCs w:val="21"/>
          <w:highlight w:val="none"/>
        </w:rPr>
        <w:t xml:space="preserve">若经甲方同意给予了延长期，则根据本款应支付的违约金从延期后的期限到期日开始计算。 </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11.11如由于确属乙方责任未能按本合同附件（招投标文件）的规定按时交付影响施工的关键技术资料时，则每迟交一周（不足一周的以一周计），乙方支付违约金5</w:t>
      </w:r>
      <w:r>
        <w:rPr>
          <w:rFonts w:hint="eastAsia" w:ascii="Calibri" w:hAnsi="宋体" w:cs="仿宋_GB2312"/>
          <w:color w:val="auto"/>
          <w:kern w:val="2"/>
          <w:szCs w:val="21"/>
          <w:highlight w:val="none"/>
        </w:rPr>
        <w:t>万元／件，迟交时间的计算以合同条款规定为准。违约赔偿金不足以弥补因此给甲方造成的损失的，乙方还应补足。</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11.12如果由于乙方技术服务的延误、疏忽和／或错误，在执行合同中造成延误，每延误工期一周（不足一周的以一周计）乙方将向甲方支付合同总价的0.5</w:t>
      </w:r>
      <w:r>
        <w:rPr>
          <w:rFonts w:hint="eastAsia" w:ascii="Calibri" w:hAnsi="宋体" w:cs="仿宋_GB2312"/>
          <w:color w:val="auto"/>
          <w:kern w:val="2"/>
          <w:szCs w:val="21"/>
          <w:highlight w:val="none"/>
        </w:rPr>
        <w:t>％违约赔偿金，违约赔偿金不足以弥补因此给甲方造成的损失的，乙方还应补足。</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11.13</w:t>
      </w:r>
      <w:r>
        <w:rPr>
          <w:rFonts w:hint="eastAsia" w:ascii="Calibri" w:hAnsi="宋体" w:cs="仿宋_GB2312"/>
          <w:color w:val="auto"/>
          <w:kern w:val="2"/>
          <w:szCs w:val="21"/>
          <w:highlight w:val="none"/>
        </w:rPr>
        <w:t>乙方支付迟交违约金并不解除按合同所规定的相应义务。</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11.1</w:t>
      </w:r>
      <w:r>
        <w:rPr>
          <w:rFonts w:hint="eastAsia" w:ascii="Calibri" w:hAnsi="宋体" w:cs="仿宋_GB2312"/>
          <w:color w:val="auto"/>
          <w:kern w:val="2"/>
          <w:szCs w:val="21"/>
          <w:highlight w:val="none"/>
        </w:rPr>
        <w:t>4</w:t>
      </w: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合同签订后，因乙方原因导致乙方未按招投标文件和本合同约定进行供货、安装的，乙方应向甲方双倍返还定金；在乙方完成供货、安装后因甲方</w:t>
      </w:r>
      <w:r>
        <w:rPr>
          <w:rFonts w:hint="eastAsia" w:ascii="Calibri" w:hAnsi="宋体" w:cs="仿宋_GB2312"/>
          <w:color w:val="auto"/>
          <w:kern w:val="2"/>
          <w:szCs w:val="21"/>
          <w:highlight w:val="none"/>
          <w:lang w:val="en-US" w:eastAsia="zh-CN"/>
        </w:rPr>
        <w:t>单方</w:t>
      </w:r>
      <w:r>
        <w:rPr>
          <w:rFonts w:hint="eastAsia" w:ascii="Calibri" w:hAnsi="宋体" w:cs="仿宋_GB2312"/>
          <w:color w:val="auto"/>
          <w:kern w:val="2"/>
          <w:szCs w:val="21"/>
          <w:highlight w:val="none"/>
        </w:rPr>
        <w:t>原因导致合同解除的，乙方有权没收定金。</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11.1</w:t>
      </w:r>
      <w:r>
        <w:rPr>
          <w:rFonts w:hint="eastAsia" w:ascii="Calibri" w:hAnsi="宋体" w:cs="仿宋_GB2312"/>
          <w:color w:val="auto"/>
          <w:kern w:val="2"/>
          <w:szCs w:val="21"/>
          <w:highlight w:val="none"/>
        </w:rPr>
        <w:t>5</w:t>
      </w:r>
      <w:r>
        <w:rPr>
          <w:rFonts w:ascii="Calibri" w:hAnsi="宋体" w:cs="仿宋_GB2312"/>
          <w:color w:val="auto"/>
          <w:kern w:val="2"/>
          <w:szCs w:val="21"/>
          <w:highlight w:val="none"/>
        </w:rPr>
        <w:t>乙方投标时投标文件中的所有投标承诺的服务响应时间作为履约过程的考核及检验要求，如履约及验收过程中发生乙方无法达到投标承诺的服务响应时间，</w:t>
      </w:r>
      <w:r>
        <w:rPr>
          <w:rFonts w:hint="eastAsia" w:ascii="Calibri" w:hAnsi="宋体" w:cs="仿宋_GB2312"/>
          <w:color w:val="auto"/>
          <w:kern w:val="2"/>
          <w:szCs w:val="21"/>
          <w:highlight w:val="none"/>
        </w:rPr>
        <w:t>甲方有权针对承诺而未满足条款按时间承诺每次扣罚</w:t>
      </w:r>
      <w:r>
        <w:rPr>
          <w:rFonts w:hint="eastAsia" w:ascii="Calibri" w:hAnsi="宋体" w:cs="仿宋_GB2312"/>
          <w:color w:val="auto"/>
          <w:kern w:val="2"/>
          <w:szCs w:val="21"/>
          <w:highlight w:val="none"/>
          <w:lang w:val="en-US" w:eastAsia="zh-CN"/>
        </w:rPr>
        <w:t xml:space="preserve">           ，</w:t>
      </w:r>
      <w:r>
        <w:rPr>
          <w:rFonts w:hint="eastAsia" w:ascii="Calibri" w:hAnsi="宋体" w:cs="仿宋_GB2312"/>
          <w:color w:val="auto"/>
          <w:kern w:val="2"/>
          <w:szCs w:val="21"/>
          <w:highlight w:val="none"/>
        </w:rPr>
        <w:t>并要求乙方承担赔偿因此造成的一切损失等法律责任。</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11.1</w:t>
      </w:r>
      <w:r>
        <w:rPr>
          <w:rFonts w:hint="eastAsia" w:ascii="Calibri" w:hAnsi="宋体" w:cs="仿宋_GB2312"/>
          <w:color w:val="auto"/>
          <w:kern w:val="2"/>
          <w:szCs w:val="21"/>
          <w:highlight w:val="none"/>
        </w:rPr>
        <w:t>6</w:t>
      </w:r>
      <w:r>
        <w:rPr>
          <w:rFonts w:ascii="Calibri" w:hAnsi="宋体" w:cs="仿宋_GB2312"/>
          <w:color w:val="auto"/>
          <w:kern w:val="2"/>
          <w:szCs w:val="21"/>
          <w:highlight w:val="none"/>
        </w:rPr>
        <w:t>乙方投标时投标文件中的所有投标承诺及响应情况均作为履约过程及验收的考核及检验要求，如履约及验收过程中发生乙方无法达到投标时承诺的条件的，甲方每次发现将向乙方收取合同总金额</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u w:val="single"/>
        </w:rPr>
        <w:t>10</w:t>
      </w:r>
      <w:r>
        <w:rPr>
          <w:rFonts w:ascii="Calibri" w:hAnsi="宋体" w:cs="仿宋_GB2312"/>
          <w:color w:val="auto"/>
          <w:kern w:val="2"/>
          <w:szCs w:val="21"/>
          <w:highlight w:val="none"/>
          <w:u w:val="single"/>
        </w:rPr>
        <w:t xml:space="preserve">%  </w:t>
      </w:r>
      <w:r>
        <w:rPr>
          <w:rFonts w:hint="eastAsia" w:ascii="Calibri" w:hAnsi="宋体" w:cs="仿宋_GB2312"/>
          <w:color w:val="auto"/>
          <w:kern w:val="2"/>
          <w:szCs w:val="21"/>
          <w:highlight w:val="none"/>
        </w:rPr>
        <w:t>的违约金</w:t>
      </w:r>
      <w:r>
        <w:rPr>
          <w:rFonts w:hint="eastAsia" w:ascii="Calibri" w:hAnsi="宋体" w:cs="宋体"/>
          <w:color w:val="auto"/>
          <w:kern w:val="2"/>
          <w:szCs w:val="21"/>
          <w:highlight w:val="none"/>
          <w:lang w:val="zh-CN"/>
        </w:rPr>
        <w:t>并要求乙方承担赔偿因此造成的一切损失等法律责任</w:t>
      </w:r>
      <w:r>
        <w:rPr>
          <w:rFonts w:hint="eastAsia" w:ascii="Calibri" w:hAnsi="宋体" w:cs="仿宋_GB2312"/>
          <w:color w:val="auto"/>
          <w:kern w:val="2"/>
          <w:szCs w:val="21"/>
          <w:highlight w:val="none"/>
        </w:rPr>
        <w:t>，违约金不足以弥补因此给甲方造成的损失的，乙方还应补足。</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11.17</w:t>
      </w:r>
      <w:r>
        <w:rPr>
          <w:rFonts w:hint="eastAsia" w:ascii="Calibri" w:hAnsi="宋体" w:cs="仿宋_GB2312"/>
          <w:color w:val="auto"/>
          <w:kern w:val="2"/>
          <w:szCs w:val="21"/>
          <w:highlight w:val="none"/>
          <w:lang w:val="en-US" w:eastAsia="zh-CN"/>
        </w:rPr>
        <w:t>质保期：</w:t>
      </w:r>
      <w:r>
        <w:rPr>
          <w:rFonts w:hint="eastAsia" w:ascii="Calibri" w:hAnsi="宋体" w:cs="宋体"/>
          <w:color w:val="auto"/>
          <w:kern w:val="2"/>
          <w:szCs w:val="21"/>
          <w:highlight w:val="none"/>
        </w:rPr>
        <w:t>项目完工验收合格后</w:t>
      </w:r>
      <w:r>
        <w:rPr>
          <w:rFonts w:hint="eastAsia" w:ascii="Calibri" w:hAnsi="宋体" w:cs="宋体"/>
          <w:color w:val="auto"/>
          <w:kern w:val="2"/>
          <w:szCs w:val="21"/>
          <w:highlight w:val="none"/>
          <w:u w:val="single"/>
        </w:rPr>
        <w:t xml:space="preserve">    </w:t>
      </w:r>
      <w:r>
        <w:rPr>
          <w:rFonts w:hint="eastAsia" w:ascii="Calibri" w:hAnsi="宋体" w:cs="宋体"/>
          <w:color w:val="auto"/>
          <w:kern w:val="2"/>
          <w:szCs w:val="21"/>
          <w:highlight w:val="none"/>
        </w:rPr>
        <w:t>年</w:t>
      </w:r>
      <w:r>
        <w:rPr>
          <w:rFonts w:hint="eastAsia" w:cs="宋体" w:asciiTheme="minorEastAsia" w:hAnsiTheme="minorEastAsia" w:eastAsiaTheme="minorEastAsia"/>
          <w:color w:val="auto"/>
          <w:szCs w:val="21"/>
          <w:highlight w:val="none"/>
        </w:rPr>
        <w:t>，</w:t>
      </w:r>
      <w:r>
        <w:rPr>
          <w:rFonts w:hint="eastAsia" w:ascii="宋体" w:hAnsi="宋体" w:cs="宋体"/>
          <w:color w:val="auto"/>
          <w:szCs w:val="21"/>
          <w:highlight w:val="none"/>
        </w:rPr>
        <w:t>如个体设备有更高要求的，遵循更高要求。</w:t>
      </w:r>
      <w:r>
        <w:rPr>
          <w:rFonts w:hint="eastAsia" w:ascii="宋体" w:hAnsi="宋体" w:cs="宋体"/>
          <w:color w:val="auto"/>
          <w:szCs w:val="21"/>
          <w:highlight w:val="none"/>
          <w:lang w:val="en-US" w:eastAsia="zh-CN"/>
        </w:rPr>
        <w:t>待</w:t>
      </w:r>
      <w:r>
        <w:rPr>
          <w:rFonts w:hint="eastAsia" w:asciiTheme="minorEastAsia" w:hAnsiTheme="minorEastAsia" w:eastAsiaTheme="minorEastAsia" w:cstheme="minorEastAsia"/>
          <w:color w:val="auto"/>
          <w:highlight w:val="none"/>
        </w:rPr>
        <w:t>整体项目通过性能测试及验收合格后，并完成结算</w:t>
      </w:r>
      <w:r>
        <w:rPr>
          <w:rFonts w:hint="eastAsia" w:asciiTheme="minorEastAsia" w:hAnsiTheme="minorEastAsia" w:eastAsiaTheme="minorEastAsia" w:cstheme="minorEastAsia"/>
          <w:color w:val="auto"/>
          <w:highlight w:val="none"/>
          <w:lang w:val="en-US" w:eastAsia="zh-CN"/>
        </w:rPr>
        <w:t>后留</w:t>
      </w:r>
      <w:r>
        <w:rPr>
          <w:rFonts w:hint="eastAsia" w:asciiTheme="minorEastAsia" w:hAnsiTheme="minorEastAsia" w:eastAsiaTheme="minorEastAsia" w:cstheme="minorEastAsia"/>
          <w:color w:val="auto"/>
          <w:highlight w:val="none"/>
        </w:rPr>
        <w:t>合同总价的5%</w:t>
      </w:r>
      <w:r>
        <w:rPr>
          <w:rFonts w:hint="eastAsia" w:asciiTheme="minorEastAsia" w:hAnsiTheme="minorEastAsia" w:eastAsiaTheme="minorEastAsia" w:cstheme="minorEastAsia"/>
          <w:color w:val="auto"/>
          <w:highlight w:val="none"/>
          <w:lang w:val="en-US" w:eastAsia="zh-CN"/>
        </w:rPr>
        <w:t>作</w:t>
      </w:r>
      <w:r>
        <w:rPr>
          <w:rFonts w:hint="eastAsia" w:asciiTheme="minorEastAsia" w:hAnsiTheme="minorEastAsia" w:eastAsiaTheme="minorEastAsia" w:cstheme="minorEastAsia"/>
          <w:color w:val="auto"/>
          <w:highlight w:val="none"/>
        </w:rPr>
        <w:t>为质保金</w:t>
      </w:r>
      <w:r>
        <w:rPr>
          <w:rFonts w:hint="eastAsia" w:asciiTheme="minorEastAsia" w:hAnsiTheme="minorEastAsia" w:eastAsiaTheme="minorEastAsia" w:cstheme="minorEastAsia"/>
          <w:color w:val="auto"/>
          <w:highlight w:val="none"/>
          <w:lang w:eastAsia="zh-CN"/>
        </w:rPr>
        <w:t>。</w:t>
      </w:r>
      <w:r>
        <w:rPr>
          <w:rFonts w:hint="eastAsia" w:ascii="宋体" w:hAnsi="宋体" w:cs="宋体"/>
          <w:color w:val="auto"/>
          <w:szCs w:val="21"/>
          <w:highlight w:val="none"/>
        </w:rPr>
        <w:t>质保期满后，若</w:t>
      </w:r>
      <w:r>
        <w:rPr>
          <w:rFonts w:hint="eastAsia" w:ascii="宋体" w:hAnsi="宋体" w:cs="宋体"/>
          <w:color w:val="auto"/>
          <w:szCs w:val="21"/>
          <w:highlight w:val="none"/>
          <w:lang w:val="en-US" w:eastAsia="zh-CN"/>
        </w:rPr>
        <w:t>乙方</w:t>
      </w:r>
      <w:r>
        <w:rPr>
          <w:rFonts w:hint="eastAsia" w:ascii="宋体" w:hAnsi="宋体" w:cs="宋体"/>
          <w:color w:val="auto"/>
          <w:szCs w:val="21"/>
          <w:highlight w:val="none"/>
        </w:rPr>
        <w:t>不存在任何违约情形的，则由</w:t>
      </w:r>
      <w:r>
        <w:rPr>
          <w:rFonts w:hint="eastAsia" w:ascii="宋体" w:hAnsi="宋体" w:cs="宋体"/>
          <w:color w:val="auto"/>
          <w:szCs w:val="21"/>
          <w:highlight w:val="none"/>
          <w:lang w:val="en-US" w:eastAsia="zh-CN"/>
        </w:rPr>
        <w:t>乙方</w:t>
      </w:r>
      <w:r>
        <w:rPr>
          <w:rFonts w:hint="eastAsia" w:ascii="宋体" w:hAnsi="宋体" w:cs="宋体"/>
          <w:color w:val="auto"/>
          <w:szCs w:val="21"/>
          <w:highlight w:val="none"/>
        </w:rPr>
        <w:t>提交请款资料，</w:t>
      </w:r>
      <w:r>
        <w:rPr>
          <w:rFonts w:hint="eastAsia" w:ascii="宋体" w:hAnsi="宋体" w:cs="宋体"/>
          <w:color w:val="auto"/>
          <w:szCs w:val="21"/>
          <w:highlight w:val="none"/>
          <w:lang w:val="en-US" w:eastAsia="zh-CN"/>
        </w:rPr>
        <w:t>甲方</w:t>
      </w:r>
      <w:r>
        <w:rPr>
          <w:rFonts w:hint="eastAsia" w:ascii="宋体" w:hAnsi="宋体" w:cs="宋体"/>
          <w:color w:val="auto"/>
          <w:szCs w:val="21"/>
          <w:highlight w:val="none"/>
        </w:rPr>
        <w:t>在收到请款资料核验无误之日起三十个日历日内一次性无息支付；</w:t>
      </w:r>
      <w:r>
        <w:rPr>
          <w:rFonts w:hint="eastAsia" w:ascii="宋体" w:hAnsi="宋体" w:cs="宋体"/>
          <w:color w:val="auto"/>
          <w:szCs w:val="21"/>
          <w:highlight w:val="none"/>
          <w:lang w:val="en-US" w:eastAsia="zh-CN"/>
        </w:rPr>
        <w:t>质保期内乙方存在违约情形，甲方有权从质保金中扣除相应的费用、违约金，</w:t>
      </w:r>
      <w:r>
        <w:rPr>
          <w:rFonts w:hint="eastAsia" w:ascii="宋体" w:hAnsi="宋体" w:cs="宋体"/>
          <w:color w:val="auto"/>
          <w:szCs w:val="21"/>
          <w:highlight w:val="none"/>
        </w:rPr>
        <w:t>质保金不足以扣除的，</w:t>
      </w:r>
      <w:r>
        <w:rPr>
          <w:rFonts w:hint="eastAsia" w:ascii="宋体" w:hAnsi="宋体" w:cs="宋体"/>
          <w:color w:val="auto"/>
          <w:szCs w:val="21"/>
          <w:highlight w:val="none"/>
          <w:lang w:val="en-US" w:eastAsia="zh-CN"/>
        </w:rPr>
        <w:t>乙方</w:t>
      </w:r>
      <w:r>
        <w:rPr>
          <w:rFonts w:hint="eastAsia" w:ascii="宋体" w:hAnsi="宋体" w:cs="宋体"/>
          <w:color w:val="auto"/>
          <w:szCs w:val="21"/>
          <w:highlight w:val="none"/>
        </w:rPr>
        <w:t>应补足；</w:t>
      </w:r>
      <w:r>
        <w:rPr>
          <w:rFonts w:hint="eastAsia" w:asciiTheme="minorEastAsia" w:hAnsiTheme="minorEastAsia" w:eastAsiaTheme="minorEastAsia" w:cstheme="minorEastAsia"/>
          <w:color w:val="auto"/>
          <w:szCs w:val="21"/>
          <w:highlight w:val="none"/>
        </w:rPr>
        <w:t>(注：本条仅适用于承诺质保一致的设备，如有</w:t>
      </w:r>
      <w:r>
        <w:rPr>
          <w:rFonts w:hint="eastAsia" w:asciiTheme="minorEastAsia" w:hAnsiTheme="minorEastAsia" w:eastAsiaTheme="minorEastAsia" w:cstheme="minorEastAsia"/>
          <w:color w:val="auto"/>
          <w:szCs w:val="21"/>
          <w:highlight w:val="none"/>
          <w:lang w:val="en-US" w:eastAsia="zh-CN"/>
        </w:rPr>
        <w:t>个单个设备承</w:t>
      </w:r>
      <w:r>
        <w:rPr>
          <w:rFonts w:hint="eastAsia" w:asciiTheme="minorEastAsia" w:hAnsiTheme="minorEastAsia" w:eastAsiaTheme="minorEastAsia" w:cstheme="minorEastAsia"/>
          <w:color w:val="auto"/>
          <w:szCs w:val="21"/>
          <w:highlight w:val="none"/>
        </w:rPr>
        <w:t>质保期</w:t>
      </w:r>
      <w:r>
        <w:rPr>
          <w:rFonts w:hint="eastAsia" w:asciiTheme="minorEastAsia" w:hAnsiTheme="minorEastAsia" w:eastAsiaTheme="minorEastAsia" w:cstheme="minorEastAsia"/>
          <w:color w:val="auto"/>
          <w:szCs w:val="21"/>
          <w:highlight w:val="none"/>
          <w:lang w:val="en-US" w:eastAsia="zh-CN"/>
        </w:rPr>
        <w:t>诺</w:t>
      </w:r>
      <w:r>
        <w:rPr>
          <w:rFonts w:hint="eastAsia" w:asciiTheme="minorEastAsia" w:hAnsiTheme="minorEastAsia" w:eastAsiaTheme="minorEastAsia" w:cstheme="minorEastAsia"/>
          <w:color w:val="auto"/>
          <w:szCs w:val="21"/>
          <w:highlight w:val="none"/>
        </w:rPr>
        <w:t>更长的情况，需办理结算价5%的保函，且保函的有效期需大于或等于设备的质保期。)</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11.18乙方在投标文件中所承诺达到的标准将作为重点响应条款，如若在合同履行过程中无法实现，甲方有权要求乙方支付合同金额10%的违约金，并要求乙方承担赔偿因此造成的一切损失等法律责。</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11.19本合同所称损失包括实际损失和合同履行后可以获得的利益、诉讼费</w:t>
      </w:r>
      <w:r>
        <w:rPr>
          <w:rFonts w:hint="eastAsia" w:ascii="Calibri" w:hAnsi="宋体" w:cs="仿宋_GB2312"/>
          <w:color w:val="auto"/>
          <w:kern w:val="2"/>
          <w:szCs w:val="21"/>
          <w:highlight w:val="none"/>
          <w:lang w:eastAsia="zh-CN"/>
        </w:rPr>
        <w:t>、</w:t>
      </w:r>
      <w:r>
        <w:rPr>
          <w:rFonts w:hint="eastAsia" w:ascii="Calibri" w:hAnsi="宋体" w:cs="仿宋_GB2312"/>
          <w:color w:val="auto"/>
          <w:kern w:val="2"/>
          <w:szCs w:val="21"/>
          <w:highlight w:val="none"/>
        </w:rPr>
        <w:t>调查费、律师费、保全费、担保费、鉴定费等相关法律费用。</w:t>
      </w:r>
    </w:p>
    <w:p>
      <w:pPr>
        <w:widowControl w:val="0"/>
        <w:adjustRightInd/>
        <w:snapToGrid/>
        <w:ind w:firstLine="420" w:firstLineChars="200"/>
        <w:jc w:val="both"/>
        <w:rPr>
          <w:rFonts w:ascii="宋体" w:hAnsi="宋体" w:cs="Times New Roman"/>
          <w:color w:val="auto"/>
          <w:kern w:val="2"/>
          <w:szCs w:val="21"/>
          <w:highlight w:val="none"/>
        </w:rPr>
      </w:pPr>
      <w:r>
        <w:rPr>
          <w:rFonts w:hint="eastAsia" w:ascii="宋体" w:hAnsi="宋体" w:cs="Times New Roman"/>
          <w:color w:val="auto"/>
          <w:kern w:val="2"/>
          <w:szCs w:val="21"/>
          <w:highlight w:val="none"/>
        </w:rPr>
        <w:t>1</w:t>
      </w:r>
      <w:r>
        <w:rPr>
          <w:rFonts w:ascii="宋体" w:hAnsi="宋体" w:cs="Times New Roman"/>
          <w:color w:val="auto"/>
          <w:kern w:val="2"/>
          <w:szCs w:val="21"/>
          <w:highlight w:val="none"/>
        </w:rPr>
        <w:t>1.20</w:t>
      </w:r>
      <w:r>
        <w:rPr>
          <w:rFonts w:hint="eastAsia" w:ascii="宋体" w:hAnsi="宋体" w:cs="Times New Roman"/>
          <w:color w:val="auto"/>
          <w:kern w:val="2"/>
          <w:szCs w:val="21"/>
          <w:highlight w:val="none"/>
        </w:rPr>
        <w:t>甲方可从应支付给乙方的任何款项中扣除乙方应承担的赔偿费、违约金等费用或向出具履约保函的银行索赔。缴纳或扣除了上述赔偿费、违约金，并不能免除乙方完成本工程的义务以及本合同对其规定的其他职责、义务或责任。</w:t>
      </w:r>
    </w:p>
    <w:p>
      <w:pPr>
        <w:widowControl w:val="0"/>
        <w:adjustRightInd/>
        <w:snapToGrid/>
        <w:ind w:firstLine="422" w:firstLineChars="200"/>
        <w:jc w:val="both"/>
        <w:rPr>
          <w:rFonts w:ascii="Calibri" w:hAnsi="宋体" w:cs="仿宋_GB2312"/>
          <w:b/>
          <w:color w:val="auto"/>
          <w:kern w:val="2"/>
          <w:szCs w:val="21"/>
          <w:highlight w:val="none"/>
        </w:rPr>
      </w:pPr>
      <w:r>
        <w:rPr>
          <w:rFonts w:ascii="Calibri" w:hAnsi="宋体" w:cs="仿宋_GB2312"/>
          <w:b/>
          <w:color w:val="auto"/>
          <w:kern w:val="2"/>
          <w:szCs w:val="21"/>
          <w:highlight w:val="none"/>
        </w:rPr>
        <w:t xml:space="preserve">12、保 </w:t>
      </w:r>
      <w:r>
        <w:rPr>
          <w:rFonts w:hint="eastAsia" w:ascii="Calibri" w:hAnsi="宋体" w:cs="仿宋_GB2312"/>
          <w:b/>
          <w:color w:val="auto"/>
          <w:kern w:val="2"/>
          <w:szCs w:val="21"/>
          <w:highlight w:val="none"/>
        </w:rPr>
        <w:t>险</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12.1</w:t>
      </w:r>
      <w:r>
        <w:rPr>
          <w:rFonts w:hint="eastAsia" w:ascii="Calibri" w:hAnsi="宋体" w:cs="仿宋_GB2312"/>
          <w:color w:val="auto"/>
          <w:kern w:val="2"/>
          <w:szCs w:val="21"/>
          <w:highlight w:val="none"/>
        </w:rPr>
        <w:t>乙方须对合同设备，根据水运、陆运和空运等运输方式，向保险公司以乙方为受益人投保发运合同设备价格</w:t>
      </w:r>
      <w:r>
        <w:rPr>
          <w:rFonts w:ascii="Calibri" w:hAnsi="宋体" w:cs="仿宋_GB2312"/>
          <w:color w:val="auto"/>
          <w:kern w:val="2"/>
          <w:szCs w:val="21"/>
          <w:highlight w:val="none"/>
        </w:rPr>
        <w:t>110</w:t>
      </w:r>
      <w:r>
        <w:rPr>
          <w:rFonts w:hint="eastAsia" w:ascii="Calibri" w:hAnsi="宋体" w:cs="仿宋_GB2312"/>
          <w:color w:val="auto"/>
          <w:kern w:val="2"/>
          <w:szCs w:val="21"/>
          <w:highlight w:val="none"/>
        </w:rPr>
        <w:t>％的运输一切险，保险区段为乙方仓库到工地交货（包括卸货）后</w:t>
      </w:r>
      <w:r>
        <w:rPr>
          <w:rFonts w:ascii="Calibri" w:hAnsi="宋体" w:cs="仿宋_GB2312"/>
          <w:color w:val="auto"/>
          <w:kern w:val="2"/>
          <w:szCs w:val="21"/>
          <w:highlight w:val="none"/>
        </w:rPr>
        <w:t>30</w:t>
      </w:r>
      <w:r>
        <w:rPr>
          <w:rFonts w:hint="eastAsia" w:ascii="Calibri" w:hAnsi="宋体" w:cs="仿宋_GB2312"/>
          <w:color w:val="auto"/>
          <w:kern w:val="2"/>
          <w:szCs w:val="21"/>
          <w:highlight w:val="none"/>
        </w:rPr>
        <w:t>天止。</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12.2</w:t>
      </w:r>
      <w:r>
        <w:rPr>
          <w:rFonts w:hint="eastAsia" w:ascii="Calibri" w:hAnsi="宋体" w:cs="仿宋_GB2312"/>
          <w:color w:val="auto"/>
          <w:kern w:val="2"/>
          <w:szCs w:val="21"/>
          <w:highlight w:val="none"/>
        </w:rPr>
        <w:t>乙方须对合同设备的关键部件的加工制造过程向保险公司投保合同设备关键部件价格</w:t>
      </w:r>
      <w:r>
        <w:rPr>
          <w:rFonts w:ascii="Calibri" w:hAnsi="宋体" w:cs="仿宋_GB2312"/>
          <w:color w:val="auto"/>
          <w:kern w:val="2"/>
          <w:szCs w:val="21"/>
          <w:highlight w:val="none"/>
        </w:rPr>
        <w:t>110</w:t>
      </w:r>
      <w:r>
        <w:rPr>
          <w:rFonts w:hint="eastAsia" w:ascii="Calibri" w:hAnsi="宋体" w:cs="仿宋_GB2312"/>
          <w:color w:val="auto"/>
          <w:kern w:val="2"/>
          <w:szCs w:val="21"/>
          <w:highlight w:val="none"/>
        </w:rPr>
        <w:t>％的，以乙方为受益人的设备制造质量险，投保范围为制造过程中合同设备发生制造质量问题和／或车间内搬运等损坏和现场安装、调试、运行直至质保期满出现的设备质量问题。</w:t>
      </w:r>
    </w:p>
    <w:p>
      <w:pPr>
        <w:adjustRightInd/>
        <w:snapToGrid/>
        <w:ind w:firstLine="420"/>
        <w:rPr>
          <w:rFonts w:ascii="Calibri" w:hAnsi="宋体" w:cs="仿宋_GB2312"/>
          <w:color w:val="auto"/>
          <w:kern w:val="2"/>
          <w:szCs w:val="21"/>
          <w:highlight w:val="none"/>
        </w:rPr>
      </w:pPr>
      <w:r>
        <w:rPr>
          <w:rFonts w:ascii="Calibri" w:hAnsi="宋体" w:cs="仿宋_GB2312"/>
          <w:color w:val="auto"/>
          <w:kern w:val="2"/>
          <w:szCs w:val="21"/>
          <w:highlight w:val="none"/>
        </w:rPr>
        <w:t>12.3</w:t>
      </w:r>
      <w:r>
        <w:rPr>
          <w:rFonts w:hint="eastAsia" w:ascii="Calibri" w:hAnsi="宋体" w:cs="仿宋_GB2312"/>
          <w:color w:val="auto"/>
          <w:kern w:val="2"/>
          <w:szCs w:val="21"/>
          <w:highlight w:val="none"/>
        </w:rPr>
        <w:t>一旦上述货物发生保险事故，乙方除依法向保险人请求赔偿保险金外，应继续依约向甲方提供满足项目要求的货物，由此造成的交期延误的，按合同</w:t>
      </w:r>
      <w:r>
        <w:rPr>
          <w:rFonts w:ascii="Calibri" w:hAnsi="宋体" w:cs="仿宋_GB2312"/>
          <w:color w:val="auto"/>
          <w:kern w:val="2"/>
          <w:szCs w:val="21"/>
          <w:highlight w:val="none"/>
        </w:rPr>
        <w:t>11.10</w:t>
      </w:r>
      <w:r>
        <w:rPr>
          <w:rFonts w:hint="eastAsia" w:ascii="Calibri" w:hAnsi="宋体" w:cs="仿宋_GB2312"/>
          <w:color w:val="auto"/>
          <w:kern w:val="2"/>
          <w:szCs w:val="21"/>
          <w:highlight w:val="none"/>
        </w:rPr>
        <w:t>款规定处理。</w:t>
      </w:r>
    </w:p>
    <w:p>
      <w:pPr>
        <w:widowControl w:val="0"/>
        <w:adjustRightInd/>
        <w:snapToGrid/>
        <w:ind w:firstLine="422" w:firstLineChars="200"/>
        <w:jc w:val="both"/>
        <w:rPr>
          <w:rFonts w:ascii="Calibri" w:hAnsi="宋体" w:cs="仿宋_GB2312"/>
          <w:b/>
          <w:bCs/>
          <w:color w:val="auto"/>
          <w:kern w:val="2"/>
          <w:szCs w:val="21"/>
          <w:highlight w:val="none"/>
        </w:rPr>
      </w:pPr>
      <w:r>
        <w:rPr>
          <w:rFonts w:ascii="Calibri" w:hAnsi="宋体" w:cs="仿宋_GB2312"/>
          <w:b/>
          <w:bCs/>
          <w:color w:val="auto"/>
          <w:kern w:val="2"/>
          <w:szCs w:val="21"/>
          <w:highlight w:val="none"/>
        </w:rPr>
        <w:t xml:space="preserve">13、税 </w:t>
      </w:r>
      <w:r>
        <w:rPr>
          <w:rFonts w:hint="eastAsia" w:ascii="Calibri" w:hAnsi="宋体" w:cs="仿宋_GB2312"/>
          <w:b/>
          <w:bCs/>
          <w:color w:val="auto"/>
          <w:kern w:val="2"/>
          <w:szCs w:val="21"/>
          <w:highlight w:val="none"/>
        </w:rPr>
        <w:t>费</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13.1</w:t>
      </w:r>
      <w:r>
        <w:rPr>
          <w:rFonts w:hint="eastAsia" w:ascii="Calibri" w:hAnsi="宋体" w:cs="仿宋_GB2312"/>
          <w:color w:val="auto"/>
          <w:kern w:val="2"/>
          <w:szCs w:val="21"/>
          <w:highlight w:val="none"/>
        </w:rPr>
        <w:t>根据国家有关税务的法律、法规和规定，乙方应该交纳的与本合同有关的税费，由乙方承担。</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13.2本合同价格为含税价。乙方提供的设备、技术资料、服务（也包括运输）、进口设备／部件等所有税费（包括保险费）已全部包含在合同价格内，由乙方承担</w:t>
      </w:r>
      <w:r>
        <w:rPr>
          <w:rFonts w:hint="eastAsia" w:ascii="Calibri" w:hAnsi="宋体" w:cs="仿宋_GB2312"/>
          <w:color w:val="auto"/>
          <w:kern w:val="2"/>
          <w:szCs w:val="21"/>
          <w:highlight w:val="none"/>
        </w:rPr>
        <w:t>，</w:t>
      </w:r>
      <w:r>
        <w:rPr>
          <w:rFonts w:hint="eastAsia" w:ascii="宋体" w:hAnsi="宋体" w:cs="Times New Roman"/>
          <w:color w:val="auto"/>
          <w:spacing w:val="-6"/>
          <w:szCs w:val="21"/>
          <w:highlight w:val="none"/>
        </w:rPr>
        <w:t>如遇国家调整税率，不含税合同款不予调整，税金按调整后税率及相关细则执行</w:t>
      </w:r>
      <w:r>
        <w:rPr>
          <w:rFonts w:ascii="Calibri" w:hAnsi="宋体" w:cs="仿宋_GB2312"/>
          <w:color w:val="auto"/>
          <w:kern w:val="2"/>
          <w:szCs w:val="21"/>
          <w:highlight w:val="none"/>
        </w:rPr>
        <w:t>。</w:t>
      </w:r>
    </w:p>
    <w:p>
      <w:pPr>
        <w:widowControl w:val="0"/>
        <w:adjustRightInd/>
        <w:snapToGrid/>
        <w:ind w:firstLine="422" w:firstLineChars="200"/>
        <w:jc w:val="both"/>
        <w:rPr>
          <w:rFonts w:ascii="Calibri" w:hAnsi="宋体" w:cs="仿宋_GB2312"/>
          <w:b/>
          <w:color w:val="auto"/>
          <w:kern w:val="2"/>
          <w:szCs w:val="21"/>
          <w:highlight w:val="none"/>
        </w:rPr>
      </w:pPr>
      <w:r>
        <w:rPr>
          <w:rFonts w:ascii="Calibri" w:hAnsi="宋体" w:cs="仿宋_GB2312"/>
          <w:b/>
          <w:color w:val="auto"/>
          <w:kern w:val="2"/>
          <w:szCs w:val="21"/>
          <w:highlight w:val="none"/>
        </w:rPr>
        <w:t>14、分包与外购</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14.1</w:t>
      </w:r>
      <w:r>
        <w:rPr>
          <w:rFonts w:hint="eastAsia" w:ascii="Calibri" w:hAnsi="宋体" w:cs="仿宋_GB2312"/>
          <w:color w:val="auto"/>
          <w:kern w:val="2"/>
          <w:szCs w:val="21"/>
          <w:highlight w:val="none"/>
        </w:rPr>
        <w:t>本项目中涉及土建和设备安装范围，如乙方无此项专业技术服务能力，在经甲方书面同意后可进行专业分包，但乙方须对分包内容负全部责任</w:t>
      </w:r>
      <w:r>
        <w:rPr>
          <w:rFonts w:hint="eastAsia" w:ascii="宋体" w:hAnsi="MS Sans Serif" w:cs="宋体"/>
          <w:color w:val="auto"/>
          <w:szCs w:val="21"/>
          <w:highlight w:val="none"/>
          <w:lang w:val="zh-CN"/>
        </w:rPr>
        <w:t>，</w:t>
      </w:r>
      <w:r>
        <w:rPr>
          <w:rFonts w:hint="eastAsia" w:ascii="宋体" w:hAnsi="MS Sans Serif" w:cs="宋体"/>
          <w:color w:val="auto"/>
          <w:szCs w:val="21"/>
          <w:highlight w:val="none"/>
        </w:rPr>
        <w:t>乙方</w:t>
      </w:r>
      <w:r>
        <w:rPr>
          <w:rFonts w:hint="eastAsia" w:ascii="宋体" w:hAnsi="MS Sans Serif" w:cs="宋体"/>
          <w:color w:val="auto"/>
          <w:szCs w:val="21"/>
          <w:highlight w:val="none"/>
          <w:lang w:val="zh-CN"/>
        </w:rPr>
        <w:t>与分包人就分包工程向</w:t>
      </w:r>
      <w:r>
        <w:rPr>
          <w:rFonts w:hint="eastAsia" w:ascii="宋体" w:hAnsi="MS Sans Serif" w:cs="宋体"/>
          <w:color w:val="auto"/>
          <w:szCs w:val="21"/>
          <w:highlight w:val="none"/>
        </w:rPr>
        <w:t>甲方</w:t>
      </w:r>
      <w:r>
        <w:rPr>
          <w:rFonts w:hint="eastAsia" w:ascii="宋体" w:hAnsi="MS Sans Serif" w:cs="宋体"/>
          <w:color w:val="auto"/>
          <w:szCs w:val="21"/>
          <w:highlight w:val="none"/>
          <w:lang w:val="zh-CN"/>
        </w:rPr>
        <w:t>承担连带责任</w:t>
      </w:r>
      <w:r>
        <w:rPr>
          <w:rFonts w:hint="eastAsia" w:ascii="Calibri" w:hAnsi="宋体" w:cs="仿宋_GB2312"/>
          <w:color w:val="auto"/>
          <w:kern w:val="2"/>
          <w:szCs w:val="21"/>
          <w:highlight w:val="none"/>
        </w:rPr>
        <w:t>。</w:t>
      </w: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14.2乙方未经甲方书面同意不得将本合同范围内的设备</w:t>
      </w:r>
      <w:r>
        <w:rPr>
          <w:rFonts w:ascii="Calibri" w:hAnsi="宋体" w:cs="仿宋_GB2312"/>
          <w:color w:val="auto"/>
          <w:kern w:val="2"/>
          <w:szCs w:val="21"/>
          <w:highlight w:val="none"/>
        </w:rPr>
        <w:t>/</w:t>
      </w:r>
      <w:r>
        <w:rPr>
          <w:rFonts w:hint="eastAsia" w:ascii="Calibri" w:hAnsi="宋体" w:cs="仿宋_GB2312"/>
          <w:color w:val="auto"/>
          <w:kern w:val="2"/>
          <w:szCs w:val="21"/>
          <w:highlight w:val="none"/>
        </w:rPr>
        <w:t>部件进行分包（包括主要部件外购），个别部件如在乙方的联营单位生产也应征得甲方书面同意，否则不许可。</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14.</w:t>
      </w:r>
      <w:r>
        <w:rPr>
          <w:rFonts w:hint="eastAsia" w:ascii="Calibri" w:hAnsi="宋体" w:cs="仿宋_GB2312"/>
          <w:color w:val="auto"/>
          <w:kern w:val="2"/>
          <w:szCs w:val="21"/>
          <w:highlight w:val="none"/>
        </w:rPr>
        <w:t>3乙方将本合同范围内需由联营单位生产的设备／部件的内容和比例提交并征得甲方同意后，在十个工作日内，将此部分设备／部件的联营单位预选名单、联营单位资质、生产能力等材料，提交给甲方。甲方收到乙方提交的联营单位文件后壹个月内进行审查，审查同意后，以书面形式予以答复。乙方须在甲方同意的联营单位名单中选定联营单位，并以书面形式正式通知甲方。</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14.</w:t>
      </w:r>
      <w:r>
        <w:rPr>
          <w:rFonts w:hint="eastAsia" w:ascii="Calibri" w:hAnsi="宋体" w:cs="仿宋_GB2312"/>
          <w:color w:val="auto"/>
          <w:kern w:val="2"/>
          <w:szCs w:val="21"/>
          <w:highlight w:val="none"/>
        </w:rPr>
        <w:t>4分包</w:t>
      </w:r>
      <w:r>
        <w:rPr>
          <w:rFonts w:ascii="Calibri" w:hAnsi="宋体" w:cs="仿宋_GB2312"/>
          <w:color w:val="auto"/>
          <w:kern w:val="2"/>
          <w:szCs w:val="21"/>
          <w:highlight w:val="none"/>
        </w:rPr>
        <w:t>(</w:t>
      </w:r>
      <w:r>
        <w:rPr>
          <w:rFonts w:hint="eastAsia" w:ascii="Calibri" w:hAnsi="宋体" w:cs="仿宋_GB2312"/>
          <w:color w:val="auto"/>
          <w:kern w:val="2"/>
          <w:szCs w:val="21"/>
          <w:highlight w:val="none"/>
        </w:rPr>
        <w:t>外购）设备／部件的技术服务、技术配合按</w:t>
      </w:r>
      <w:r>
        <w:rPr>
          <w:rFonts w:ascii="Calibri" w:hAnsi="宋体" w:cs="仿宋_GB2312"/>
          <w:color w:val="auto"/>
          <w:kern w:val="2"/>
          <w:szCs w:val="21"/>
          <w:highlight w:val="none"/>
        </w:rPr>
        <w:t>8.11</w:t>
      </w:r>
      <w:r>
        <w:rPr>
          <w:rFonts w:hint="eastAsia" w:ascii="Calibri" w:hAnsi="宋体" w:cs="仿宋_GB2312"/>
          <w:color w:val="auto"/>
          <w:kern w:val="2"/>
          <w:szCs w:val="21"/>
          <w:highlight w:val="none"/>
        </w:rPr>
        <w:t>、</w:t>
      </w:r>
      <w:r>
        <w:rPr>
          <w:rFonts w:ascii="Calibri" w:hAnsi="宋体" w:cs="仿宋_GB2312"/>
          <w:color w:val="auto"/>
          <w:kern w:val="2"/>
          <w:szCs w:val="21"/>
          <w:highlight w:val="none"/>
        </w:rPr>
        <w:t>8.12</w:t>
      </w:r>
      <w:r>
        <w:rPr>
          <w:rFonts w:hint="eastAsia" w:ascii="Calibri" w:hAnsi="宋体" w:cs="仿宋_GB2312"/>
          <w:color w:val="auto"/>
          <w:kern w:val="2"/>
          <w:szCs w:val="21"/>
          <w:highlight w:val="none"/>
        </w:rPr>
        <w:t>款的规定办理。</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14.</w:t>
      </w:r>
      <w:r>
        <w:rPr>
          <w:rFonts w:hint="eastAsia" w:ascii="Calibri" w:hAnsi="宋体" w:cs="仿宋_GB2312"/>
          <w:color w:val="auto"/>
          <w:kern w:val="2"/>
          <w:szCs w:val="21"/>
          <w:highlight w:val="none"/>
        </w:rPr>
        <w:t>5乙方对所有分包设备、部件承担本合同项下的全部责任。</w:t>
      </w:r>
    </w:p>
    <w:p>
      <w:pPr>
        <w:widowControl w:val="0"/>
        <w:adjustRightInd/>
        <w:snapToGrid/>
        <w:ind w:firstLine="422" w:firstLineChars="200"/>
        <w:jc w:val="both"/>
        <w:rPr>
          <w:rFonts w:ascii="Calibri" w:hAnsi="宋体" w:cs="仿宋_GB2312"/>
          <w:b/>
          <w:color w:val="auto"/>
          <w:kern w:val="2"/>
          <w:szCs w:val="21"/>
          <w:highlight w:val="none"/>
        </w:rPr>
      </w:pPr>
      <w:r>
        <w:rPr>
          <w:rFonts w:ascii="Calibri" w:hAnsi="宋体" w:cs="仿宋_GB2312"/>
          <w:b/>
          <w:color w:val="auto"/>
          <w:kern w:val="2"/>
          <w:szCs w:val="21"/>
          <w:highlight w:val="none"/>
        </w:rPr>
        <w:t>15、合同的变更、修改、中止和终止</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15.</w:t>
      </w:r>
      <w:r>
        <w:rPr>
          <w:rFonts w:hint="eastAsia" w:ascii="Calibri" w:hAnsi="宋体" w:cs="仿宋_GB2312"/>
          <w:color w:val="auto"/>
          <w:kern w:val="2"/>
          <w:szCs w:val="21"/>
          <w:highlight w:val="none"/>
        </w:rPr>
        <w:t>1本合同一经生效，合同双方均不得擅自对本合同的内容（包括招投标文件）作任何单方的修改。但任何一方均可以对合同内容以书面形式提出变更、修改、取消或补充的建议。该项建议应以书面形式通知对方。</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15.2如果乙方有违反或拒绝执行本合同规定的行为时，甲方将用书面通知乙方，乙方在接到通知后3天内确认无误后应对违反或拒绝作出修正，如果认为在3天内来不及纠正时，应提出修正计划。如果得不到纠正或提不出修正计划，甲方将保留中止本合同的一部分或全部份的权利。对于这种中止，甲方将不出具变更通知书，由此而发生的一切费用、损失和索赔将由乙方负担。如果乙方的违约行为在本合同其它条款有明确规定，则按有关条款处理。</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15.3</w:t>
      </w:r>
      <w:r>
        <w:rPr>
          <w:rFonts w:hint="eastAsia" w:ascii="Calibri" w:hAnsi="宋体" w:cs="仿宋_GB2312"/>
          <w:color w:val="auto"/>
          <w:kern w:val="2"/>
          <w:szCs w:val="21"/>
          <w:highlight w:val="none"/>
        </w:rPr>
        <w:t>如果甲方行使中止权利，甲方有权停付到期应向乙方支付的中止部分的款项，并有权将在执行合同中预付给乙方的中止部分款项索回。</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15.4</w:t>
      </w:r>
      <w:r>
        <w:rPr>
          <w:rFonts w:hint="eastAsia" w:ascii="Calibri" w:hAnsi="宋体" w:cs="仿宋_GB2312"/>
          <w:color w:val="auto"/>
          <w:kern w:val="2"/>
          <w:szCs w:val="21"/>
          <w:highlight w:val="none"/>
        </w:rPr>
        <w:t>在合同执行过程中，若因国家计划调整或其他不可抗拒力而引起本合同无法正常执行时，乙方和／或甲方可以向对方提出中止执行合同或修改合同有关条款的建议，与之有关的事宜双方协商办理。</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15.5因乙方原因而不能交货（不能在本合同约定的时间内交货的或逾期交货超过【15】日的，乙方应向甲方偿付违约金，违约金为不能交货部分设备价格的30％，并赔偿甲方由此产生的经济损失。</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15.</w:t>
      </w:r>
      <w:r>
        <w:rPr>
          <w:rFonts w:hint="eastAsia" w:ascii="Calibri" w:hAnsi="宋体" w:cs="仿宋_GB2312"/>
          <w:color w:val="auto"/>
          <w:kern w:val="2"/>
          <w:szCs w:val="21"/>
          <w:highlight w:val="none"/>
        </w:rPr>
        <w:t>6因乙方原因而不能交货，乙方应向甲方偿付违约金，违约金为不能交货部分设备价格的</w:t>
      </w:r>
      <w:r>
        <w:rPr>
          <w:rFonts w:ascii="Calibri" w:hAnsi="宋体" w:cs="仿宋_GB2312"/>
          <w:color w:val="auto"/>
          <w:kern w:val="2"/>
          <w:szCs w:val="21"/>
          <w:highlight w:val="none"/>
        </w:rPr>
        <w:t>30</w:t>
      </w:r>
      <w:r>
        <w:rPr>
          <w:rFonts w:hint="eastAsia" w:ascii="Calibri" w:hAnsi="宋体" w:cs="仿宋_GB2312"/>
          <w:color w:val="auto"/>
          <w:kern w:val="2"/>
          <w:szCs w:val="21"/>
          <w:highlight w:val="none"/>
        </w:rPr>
        <w:t>％，并赔偿甲方由此产生的经济损失。</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15.</w:t>
      </w:r>
      <w:r>
        <w:rPr>
          <w:rFonts w:hint="eastAsia" w:ascii="Calibri" w:hAnsi="宋体" w:cs="仿宋_GB2312"/>
          <w:color w:val="auto"/>
          <w:kern w:val="2"/>
          <w:szCs w:val="21"/>
          <w:highlight w:val="none"/>
        </w:rPr>
        <w:t>7如果乙方破产、产权变更（被兼并、合并、解体、注销）或无偿还能力，或为了债权人的利益在破产管理下经营其业务，甲方有权立即书面通知乙方或破产清算管理人或合同归属人终止合同，或向该破产管理人、清算人或该合同归属人提供选择，视其给出合理忠实履行合同的保证情况，执行经过甲方同意的一部分合同。</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15.</w:t>
      </w:r>
      <w:r>
        <w:rPr>
          <w:rFonts w:hint="eastAsia" w:ascii="Calibri" w:hAnsi="宋体" w:cs="仿宋_GB2312"/>
          <w:color w:val="auto"/>
          <w:kern w:val="2"/>
          <w:szCs w:val="21"/>
          <w:highlight w:val="none"/>
        </w:rPr>
        <w:t>8若</w:t>
      </w:r>
      <w:r>
        <w:rPr>
          <w:rFonts w:ascii="Calibri" w:hAnsi="宋体" w:cs="仿宋_GB2312"/>
          <w:color w:val="auto"/>
          <w:kern w:val="2"/>
          <w:szCs w:val="21"/>
          <w:highlight w:val="none"/>
        </w:rPr>
        <w:t>15.6</w:t>
      </w:r>
      <w:r>
        <w:rPr>
          <w:rFonts w:hint="eastAsia" w:ascii="Calibri" w:hAnsi="宋体" w:cs="仿宋_GB2312"/>
          <w:color w:val="auto"/>
          <w:kern w:val="2"/>
          <w:szCs w:val="21"/>
          <w:highlight w:val="none"/>
        </w:rPr>
        <w:t>款考虑的情况确实发生，甲方有权从乙方手中将与本合同设备有关的工作接管并收归己有，并在合理期限内从乙方的现场房屋中迁出所有与本合同设备有关的设计、图纸、说明和材料，这些东西的所有权已属甲方，乙方应给甲方提供全权处理并提供一切合理的方便，使其能搬走上述这类设计、图纸、说明和材料，甲方对这种终止合同直接或间接引起的对乙方的任何索赔不承担责任。此外，双方应对乙方已经实际履行的合同部分评价达成协议，并处理合同提前结束的一切后果。</w:t>
      </w:r>
    </w:p>
    <w:p>
      <w:pPr>
        <w:widowControl w:val="0"/>
        <w:adjustRightInd/>
        <w:snapToGrid/>
        <w:ind w:firstLine="422" w:firstLineChars="200"/>
        <w:jc w:val="both"/>
        <w:rPr>
          <w:rFonts w:ascii="Calibri" w:hAnsi="宋体" w:cs="仿宋_GB2312"/>
          <w:b/>
          <w:color w:val="auto"/>
          <w:kern w:val="2"/>
          <w:szCs w:val="21"/>
          <w:highlight w:val="none"/>
        </w:rPr>
      </w:pPr>
      <w:r>
        <w:rPr>
          <w:rFonts w:ascii="Calibri" w:hAnsi="宋体" w:cs="仿宋_GB2312"/>
          <w:b/>
          <w:color w:val="auto"/>
          <w:kern w:val="2"/>
          <w:szCs w:val="21"/>
          <w:highlight w:val="none"/>
        </w:rPr>
        <w:t>16</w:t>
      </w:r>
      <w:r>
        <w:rPr>
          <w:rFonts w:hint="eastAsia" w:ascii="Calibri" w:hAnsi="宋体" w:cs="仿宋_GB2312"/>
          <w:b/>
          <w:color w:val="auto"/>
          <w:kern w:val="2"/>
          <w:szCs w:val="21"/>
          <w:highlight w:val="none"/>
        </w:rPr>
        <w:t>、不可抗力</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16.1</w:t>
      </w:r>
      <w:r>
        <w:rPr>
          <w:rFonts w:hint="eastAsia" w:ascii="Calibri" w:hAnsi="宋体" w:cs="仿宋_GB2312"/>
          <w:color w:val="auto"/>
          <w:kern w:val="2"/>
          <w:szCs w:val="21"/>
          <w:highlight w:val="none"/>
        </w:rPr>
        <w:t>不可抗力是指：严重的自然灾害和灾难（如台风、洪水、地震、火灾和爆炸等）、战争（不论是否宣战）、叛乱、动乱等等。合同双方中的任何一方，由于不可抗力事件而影响合同义务的执行时，则延迟履行合同义务的期限相当于不可抗力事件影响的时间，但是不能因为不可抗力的延迟而调整合同价格。</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16.2</w:t>
      </w:r>
      <w:r>
        <w:rPr>
          <w:rFonts w:hint="eastAsia" w:ascii="Calibri" w:hAnsi="宋体" w:cs="仿宋_GB2312"/>
          <w:color w:val="auto"/>
          <w:kern w:val="2"/>
          <w:szCs w:val="21"/>
          <w:highlight w:val="none"/>
        </w:rPr>
        <w:t>受到不可抗力影响的一方应在不可抗力事故发生后，尽快将所发生的不可抗力事件的情况以传真通知另一方，并在</w:t>
      </w:r>
      <w:r>
        <w:rPr>
          <w:rFonts w:ascii="Calibri" w:hAnsi="宋体" w:cs="仿宋_GB2312"/>
          <w:color w:val="auto"/>
          <w:kern w:val="2"/>
          <w:szCs w:val="21"/>
          <w:highlight w:val="none"/>
        </w:rPr>
        <w:t>15</w:t>
      </w:r>
      <w:r>
        <w:rPr>
          <w:rFonts w:hint="eastAsia" w:ascii="Calibri" w:hAnsi="宋体" w:cs="仿宋_GB2312"/>
          <w:color w:val="auto"/>
          <w:kern w:val="2"/>
          <w:szCs w:val="21"/>
          <w:highlight w:val="none"/>
        </w:rPr>
        <w:t>天内将有关当局出具的证明文件提交给另一方审阅确认，受影响的一方同时应尽量设法缩小这种影响和由此而引起的延误，一旦不可抗力的影响消除后，应将此情况立即通知对方。</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16.3</w:t>
      </w:r>
      <w:r>
        <w:rPr>
          <w:rFonts w:hint="eastAsia" w:ascii="Calibri" w:hAnsi="宋体" w:cs="仿宋_GB2312"/>
          <w:color w:val="auto"/>
          <w:kern w:val="2"/>
          <w:szCs w:val="21"/>
          <w:highlight w:val="none"/>
        </w:rPr>
        <w:t>如双方对不可抗力事件的影响估计将延续到</w:t>
      </w:r>
      <w:r>
        <w:rPr>
          <w:rFonts w:ascii="Calibri" w:hAnsi="宋体" w:cs="仿宋_GB2312"/>
          <w:color w:val="auto"/>
          <w:kern w:val="2"/>
          <w:szCs w:val="21"/>
          <w:highlight w:val="none"/>
        </w:rPr>
        <w:t>120</w:t>
      </w:r>
      <w:r>
        <w:rPr>
          <w:rFonts w:hint="eastAsia" w:ascii="Calibri" w:hAnsi="宋体" w:cs="仿宋_GB2312"/>
          <w:color w:val="auto"/>
          <w:kern w:val="2"/>
          <w:szCs w:val="21"/>
          <w:highlight w:val="none"/>
        </w:rPr>
        <w:t>天以上时，双方应通过友好协商解决本合同的执行问题（包括交货、安装、试运行和验收等问题）。</w:t>
      </w:r>
    </w:p>
    <w:p>
      <w:pPr>
        <w:widowControl w:val="0"/>
        <w:adjustRightInd/>
        <w:snapToGrid/>
        <w:ind w:firstLine="422" w:firstLineChars="200"/>
        <w:jc w:val="both"/>
        <w:rPr>
          <w:rFonts w:ascii="Calibri" w:hAnsi="宋体" w:cs="仿宋_GB2312"/>
          <w:b/>
          <w:color w:val="auto"/>
          <w:kern w:val="2"/>
          <w:szCs w:val="21"/>
          <w:highlight w:val="none"/>
        </w:rPr>
      </w:pPr>
      <w:r>
        <w:rPr>
          <w:rFonts w:ascii="Calibri" w:hAnsi="宋体" w:cs="仿宋_GB2312"/>
          <w:b/>
          <w:color w:val="auto"/>
          <w:kern w:val="2"/>
          <w:szCs w:val="21"/>
          <w:highlight w:val="none"/>
        </w:rPr>
        <w:t>17、合同争议的解决</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17.l</w:t>
      </w:r>
      <w:r>
        <w:rPr>
          <w:rFonts w:hint="eastAsia" w:ascii="Calibri" w:hAnsi="宋体" w:cs="仿宋_GB2312"/>
          <w:color w:val="auto"/>
          <w:kern w:val="2"/>
          <w:szCs w:val="21"/>
          <w:highlight w:val="none"/>
        </w:rPr>
        <w:t>凡与本合同有关而引起的一切争议，双方应首先通过协商解决，如经协商后仍不能达成协议时，则任何一方可以向甲方住所地有管辖权的人民法院提出诉讼。</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17.2</w:t>
      </w:r>
      <w:r>
        <w:rPr>
          <w:rFonts w:hint="eastAsia" w:ascii="Calibri" w:hAnsi="宋体" w:cs="仿宋_GB2312"/>
          <w:color w:val="auto"/>
          <w:kern w:val="2"/>
          <w:szCs w:val="21"/>
          <w:highlight w:val="none"/>
        </w:rPr>
        <w:t>在诉讼进行期间，除提交法院审理的事项外，合同仍应继续履行。</w:t>
      </w:r>
    </w:p>
    <w:p>
      <w:pPr>
        <w:widowControl w:val="0"/>
        <w:adjustRightInd/>
        <w:snapToGrid/>
        <w:ind w:firstLine="422" w:firstLineChars="200"/>
        <w:jc w:val="both"/>
        <w:rPr>
          <w:rFonts w:ascii="Calibri" w:hAnsi="宋体" w:cs="仿宋_GB2312"/>
          <w:b/>
          <w:color w:val="auto"/>
          <w:kern w:val="2"/>
          <w:szCs w:val="21"/>
          <w:highlight w:val="none"/>
        </w:rPr>
      </w:pPr>
      <w:r>
        <w:rPr>
          <w:rFonts w:ascii="Calibri" w:hAnsi="宋体" w:cs="仿宋_GB2312"/>
          <w:b/>
          <w:color w:val="auto"/>
          <w:kern w:val="2"/>
          <w:szCs w:val="21"/>
          <w:highlight w:val="none"/>
        </w:rPr>
        <w:t>18、合同生效</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18.1</w:t>
      </w:r>
      <w:r>
        <w:rPr>
          <w:rFonts w:hint="eastAsia" w:ascii="Calibri" w:hAnsi="宋体" w:cs="仿宋_GB2312"/>
          <w:color w:val="auto"/>
          <w:kern w:val="2"/>
          <w:szCs w:val="21"/>
          <w:highlight w:val="none"/>
        </w:rPr>
        <w:t>本合同需经双方法定代表人或委托代理人（须经法定代表人书面授权委托）签字，加盖合同专用章或公章且乙方提交本合同的履约担保后方可生效。</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18.2</w:t>
      </w:r>
      <w:r>
        <w:rPr>
          <w:rFonts w:hint="eastAsia" w:ascii="Calibri" w:hAnsi="宋体" w:cs="仿宋_GB2312"/>
          <w:color w:val="auto"/>
          <w:kern w:val="2"/>
          <w:szCs w:val="21"/>
          <w:highlight w:val="none"/>
        </w:rPr>
        <w:t>本合同有效期：从合同生效之日起到质保期</w:t>
      </w:r>
      <w:r>
        <w:rPr>
          <w:rFonts w:ascii="Calibri" w:hAnsi="宋体" w:cs="仿宋_GB2312"/>
          <w:color w:val="auto"/>
          <w:kern w:val="2"/>
          <w:szCs w:val="21"/>
          <w:highlight w:val="none"/>
        </w:rPr>
        <w:t>届满</w:t>
      </w:r>
      <w:r>
        <w:rPr>
          <w:rFonts w:hint="eastAsia" w:ascii="Calibri" w:hAnsi="宋体" w:cs="仿宋_GB2312"/>
          <w:color w:val="auto"/>
          <w:kern w:val="2"/>
          <w:szCs w:val="21"/>
          <w:highlight w:val="none"/>
        </w:rPr>
        <w:t>并理赔完毕货款两清之日止。</w:t>
      </w:r>
    </w:p>
    <w:p>
      <w:pPr>
        <w:widowControl w:val="0"/>
        <w:adjustRightInd/>
        <w:snapToGrid/>
        <w:ind w:firstLine="422" w:firstLineChars="200"/>
        <w:jc w:val="both"/>
        <w:rPr>
          <w:rFonts w:ascii="Calibri" w:hAnsi="宋体" w:cs="仿宋_GB2312"/>
          <w:b/>
          <w:color w:val="auto"/>
          <w:kern w:val="2"/>
          <w:szCs w:val="21"/>
          <w:highlight w:val="none"/>
        </w:rPr>
      </w:pPr>
      <w:r>
        <w:rPr>
          <w:rFonts w:ascii="Calibri" w:hAnsi="宋体" w:cs="仿宋_GB2312"/>
          <w:b/>
          <w:color w:val="auto"/>
          <w:kern w:val="2"/>
          <w:szCs w:val="21"/>
          <w:highlight w:val="none"/>
        </w:rPr>
        <w:t>19、其它</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19.1</w:t>
      </w:r>
      <w:r>
        <w:rPr>
          <w:rFonts w:hint="eastAsia" w:ascii="Calibri" w:hAnsi="宋体" w:cs="仿宋_GB2312"/>
          <w:color w:val="auto"/>
          <w:kern w:val="2"/>
          <w:szCs w:val="21"/>
          <w:highlight w:val="none"/>
        </w:rPr>
        <w:t>本合同适用法律为中华人民共和国法律。</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19.2</w:t>
      </w:r>
      <w:r>
        <w:rPr>
          <w:rFonts w:hint="eastAsia" w:ascii="Calibri" w:hAnsi="宋体" w:cs="仿宋_GB2312"/>
          <w:color w:val="auto"/>
          <w:kern w:val="2"/>
          <w:szCs w:val="21"/>
          <w:highlight w:val="none"/>
        </w:rPr>
        <w:t>本合同所包括的附件，是本合同不可分割的一部分，具有同等的法律效力。</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19.3</w:t>
      </w:r>
      <w:r>
        <w:rPr>
          <w:rFonts w:hint="eastAsia" w:ascii="Calibri" w:hAnsi="宋体" w:cs="仿宋_GB2312"/>
          <w:color w:val="auto"/>
          <w:kern w:val="2"/>
          <w:szCs w:val="21"/>
          <w:highlight w:val="none"/>
        </w:rPr>
        <w:t>合同双方承担的合同义务都不得超过合同的规定，合同任何一方也不得对另一方作出有约束力的声明，陈述，许诺或行动。</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19.4</w:t>
      </w:r>
      <w:r>
        <w:rPr>
          <w:rFonts w:hint="eastAsia" w:ascii="Calibri" w:hAnsi="宋体" w:cs="仿宋_GB2312"/>
          <w:color w:val="auto"/>
          <w:kern w:val="2"/>
          <w:szCs w:val="21"/>
          <w:highlight w:val="none"/>
        </w:rPr>
        <w:t>本合同列明了双方的责任、义务、补偿和补救条款。任何一方不承担本合同规定以外的责任、义务、补偿和补救。</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19.5</w:t>
      </w:r>
      <w:r>
        <w:rPr>
          <w:rFonts w:hint="eastAsia" w:ascii="Calibri" w:hAnsi="宋体" w:cs="仿宋_GB2312"/>
          <w:color w:val="auto"/>
          <w:kern w:val="2"/>
          <w:szCs w:val="21"/>
          <w:highlight w:val="none"/>
        </w:rPr>
        <w:t>双方任何一方未取得另一方事先同意前，不得将本合同项下的部分或全部权利或义务转让给第三方。</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19.</w:t>
      </w:r>
      <w:r>
        <w:rPr>
          <w:rFonts w:hint="eastAsia" w:ascii="Calibri" w:hAnsi="宋体" w:cs="仿宋_GB2312"/>
          <w:color w:val="auto"/>
          <w:kern w:val="2"/>
          <w:szCs w:val="21"/>
          <w:highlight w:val="none"/>
        </w:rPr>
        <w:t>6本合同项下双方相互提供的文件、资料，双方除为履行合同的目的外，均不得提供给与“合同设备”和相关工程无关的第三方。</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19.7</w:t>
      </w:r>
      <w:r>
        <w:rPr>
          <w:rFonts w:hint="eastAsia" w:ascii="Calibri" w:hAnsi="宋体" w:cs="仿宋_GB2312"/>
          <w:color w:val="auto"/>
          <w:kern w:val="2"/>
          <w:szCs w:val="21"/>
          <w:highlight w:val="none"/>
        </w:rPr>
        <w:t>合同双方应指定二名授权代表，分别负责直接处理“本合同设备”的技术和商务问题。双方授权代表的名称和通讯地址在合同生效的同时通知对方。</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19.8任何一方向对方提出的函电通知或要求，如系正式书写并按对方下述地址派员递送或挂号、航空邮寄、传真或电传发送的，在取得对方人员和／或通讯设施接收确认后，即被认为已经被对方正式接收。</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19.9</w:t>
      </w:r>
      <w:r>
        <w:rPr>
          <w:rFonts w:hint="eastAsia" w:ascii="Calibri" w:hAnsi="宋体" w:cs="仿宋_GB2312"/>
          <w:color w:val="auto"/>
          <w:kern w:val="2"/>
          <w:szCs w:val="21"/>
          <w:highlight w:val="none"/>
        </w:rPr>
        <w:t>本合同一式陆份，甲方执肆份，乙方</w:t>
      </w:r>
      <w:r>
        <w:rPr>
          <w:rFonts w:ascii="Calibri" w:hAnsi="宋体" w:cs="仿宋_GB2312"/>
          <w:color w:val="auto"/>
          <w:kern w:val="2"/>
          <w:szCs w:val="21"/>
          <w:highlight w:val="none"/>
        </w:rPr>
        <w:t>执</w:t>
      </w:r>
      <w:r>
        <w:rPr>
          <w:rFonts w:hint="eastAsia" w:ascii="Calibri" w:hAnsi="宋体" w:cs="仿宋_GB2312"/>
          <w:color w:val="auto"/>
          <w:kern w:val="2"/>
          <w:szCs w:val="21"/>
          <w:highlight w:val="none"/>
        </w:rPr>
        <w:t>贰份，具有</w:t>
      </w:r>
      <w:r>
        <w:rPr>
          <w:rFonts w:ascii="Calibri" w:hAnsi="宋体" w:cs="仿宋_GB2312"/>
          <w:color w:val="auto"/>
          <w:kern w:val="2"/>
          <w:szCs w:val="21"/>
          <w:highlight w:val="none"/>
        </w:rPr>
        <w:t>同等</w:t>
      </w:r>
      <w:r>
        <w:rPr>
          <w:rFonts w:hint="eastAsia" w:ascii="Calibri" w:hAnsi="宋体" w:cs="仿宋_GB2312"/>
          <w:color w:val="auto"/>
          <w:kern w:val="2"/>
          <w:szCs w:val="21"/>
          <w:highlight w:val="none"/>
        </w:rPr>
        <w:t>法律</w:t>
      </w:r>
      <w:r>
        <w:rPr>
          <w:rFonts w:ascii="Calibri" w:hAnsi="宋体" w:cs="仿宋_GB2312"/>
          <w:color w:val="auto"/>
          <w:kern w:val="2"/>
          <w:szCs w:val="21"/>
          <w:highlight w:val="none"/>
        </w:rPr>
        <w:t>效力</w:t>
      </w:r>
      <w:r>
        <w:rPr>
          <w:rFonts w:hint="eastAsia" w:ascii="Calibri" w:hAnsi="宋体" w:cs="仿宋_GB2312"/>
          <w:color w:val="auto"/>
          <w:kern w:val="2"/>
          <w:szCs w:val="21"/>
          <w:highlight w:val="none"/>
        </w:rPr>
        <w:t>。</w:t>
      </w:r>
    </w:p>
    <w:p>
      <w:pPr>
        <w:widowControl w:val="0"/>
        <w:adjustRightInd/>
        <w:snapToGrid/>
        <w:ind w:firstLine="420" w:firstLineChars="200"/>
        <w:jc w:val="both"/>
        <w:rPr>
          <w:rFonts w:ascii="Calibri" w:hAnsi="宋体" w:cs="仿宋_GB2312"/>
          <w:color w:val="auto"/>
          <w:kern w:val="2"/>
          <w:szCs w:val="21"/>
          <w:highlight w:val="none"/>
        </w:rPr>
      </w:pPr>
      <w:r>
        <w:rPr>
          <w:rFonts w:ascii="Calibri" w:hAnsi="宋体" w:cs="仿宋_GB2312"/>
          <w:color w:val="auto"/>
          <w:kern w:val="2"/>
          <w:szCs w:val="21"/>
          <w:highlight w:val="none"/>
        </w:rPr>
        <w:t>19.10</w:t>
      </w:r>
      <w:r>
        <w:rPr>
          <w:rFonts w:hint="eastAsia" w:ascii="Calibri" w:hAnsi="宋体" w:cs="仿宋_GB2312"/>
          <w:color w:val="auto"/>
          <w:kern w:val="2"/>
          <w:szCs w:val="21"/>
          <w:highlight w:val="none"/>
        </w:rPr>
        <w:t>本合同双方的地址如下：</w:t>
      </w:r>
    </w:p>
    <w:p>
      <w:pPr>
        <w:widowControl w:val="0"/>
        <w:adjustRightInd/>
        <w:snapToGrid/>
        <w:ind w:firstLine="420" w:firstLineChars="200"/>
        <w:jc w:val="both"/>
        <w:rPr>
          <w:rFonts w:ascii="Calibri" w:hAnsi="Calibri" w:cs="Times New Roman"/>
          <w:color w:val="auto"/>
          <w:kern w:val="2"/>
          <w:szCs w:val="21"/>
          <w:highlight w:val="none"/>
        </w:rPr>
      </w:pPr>
      <w:r>
        <w:rPr>
          <w:rFonts w:ascii="Calibri" w:hAnsi="Calibri" w:cs="Times New Roman"/>
          <w:color w:val="auto"/>
          <w:kern w:val="2"/>
          <w:szCs w:val="21"/>
          <w:highlight w:val="none"/>
        </w:rPr>
        <w:t>19.11</w:t>
      </w:r>
      <w:r>
        <w:rPr>
          <w:rFonts w:hint="eastAsia" w:ascii="Calibri" w:hAnsi="Calibri" w:cs="Times New Roman"/>
          <w:color w:val="auto"/>
          <w:kern w:val="2"/>
          <w:szCs w:val="21"/>
          <w:highlight w:val="none"/>
        </w:rPr>
        <w:t>本</w:t>
      </w:r>
      <w:r>
        <w:rPr>
          <w:rFonts w:ascii="Calibri" w:hAnsi="Calibri" w:cs="Times New Roman"/>
          <w:color w:val="auto"/>
          <w:kern w:val="2"/>
          <w:szCs w:val="21"/>
          <w:highlight w:val="none"/>
        </w:rPr>
        <w:t>合同</w:t>
      </w:r>
      <w:r>
        <w:rPr>
          <w:rFonts w:hint="eastAsia" w:ascii="Calibri" w:hAnsi="Calibri" w:cs="Times New Roman"/>
          <w:color w:val="auto"/>
          <w:kern w:val="2"/>
          <w:szCs w:val="21"/>
          <w:highlight w:val="none"/>
        </w:rPr>
        <w:t>组成部分</w:t>
      </w:r>
      <w:r>
        <w:rPr>
          <w:rFonts w:ascii="Calibri" w:hAnsi="Calibri" w:cs="Times New Roman"/>
          <w:color w:val="auto"/>
          <w:kern w:val="2"/>
          <w:szCs w:val="21"/>
          <w:highlight w:val="none"/>
        </w:rPr>
        <w:t>：</w:t>
      </w:r>
    </w:p>
    <w:p>
      <w:pPr>
        <w:widowControl w:val="0"/>
        <w:adjustRightInd/>
        <w:snapToGrid/>
        <w:ind w:firstLine="420" w:firstLineChars="200"/>
        <w:jc w:val="both"/>
        <w:outlineLvl w:val="1"/>
        <w:rPr>
          <w:rFonts w:ascii="Calibri" w:hAnsi="宋体" w:cs="仿宋_GB2312"/>
          <w:color w:val="auto"/>
          <w:kern w:val="2"/>
          <w:szCs w:val="21"/>
          <w:highlight w:val="none"/>
        </w:rPr>
      </w:pPr>
      <w:r>
        <w:rPr>
          <w:rFonts w:hint="eastAsia" w:ascii="Calibri" w:hAnsi="宋体" w:cs="仿宋_GB2312"/>
          <w:color w:val="auto"/>
          <w:kern w:val="2"/>
          <w:szCs w:val="21"/>
          <w:highlight w:val="none"/>
        </w:rPr>
        <w:t>附件1.安全协议</w:t>
      </w:r>
    </w:p>
    <w:p>
      <w:pPr>
        <w:widowControl w:val="0"/>
        <w:adjustRightInd/>
        <w:snapToGrid/>
        <w:ind w:firstLine="420" w:firstLineChars="200"/>
        <w:jc w:val="both"/>
        <w:outlineLvl w:val="1"/>
        <w:rPr>
          <w:rFonts w:ascii="Calibri" w:hAnsi="宋体" w:cs="仿宋_GB2312"/>
          <w:color w:val="auto"/>
          <w:kern w:val="2"/>
          <w:szCs w:val="21"/>
          <w:highlight w:val="none"/>
        </w:rPr>
      </w:pPr>
      <w:r>
        <w:rPr>
          <w:rFonts w:hint="eastAsia" w:ascii="Calibri" w:hAnsi="宋体" w:cs="仿宋_GB2312"/>
          <w:color w:val="auto"/>
          <w:kern w:val="2"/>
          <w:szCs w:val="21"/>
          <w:highlight w:val="none"/>
        </w:rPr>
        <w:t>附件2.阳光合作协议</w:t>
      </w:r>
    </w:p>
    <w:p>
      <w:pPr>
        <w:widowControl w:val="0"/>
        <w:adjustRightInd/>
        <w:snapToGrid/>
        <w:ind w:firstLine="420" w:firstLineChars="200"/>
        <w:jc w:val="both"/>
        <w:outlineLvl w:val="1"/>
        <w:rPr>
          <w:rFonts w:ascii="Calibri" w:hAnsi="宋体" w:cs="仿宋_GB2312"/>
          <w:color w:val="auto"/>
          <w:kern w:val="2"/>
          <w:szCs w:val="21"/>
          <w:highlight w:val="none"/>
        </w:rPr>
      </w:pPr>
      <w:r>
        <w:rPr>
          <w:rFonts w:hint="eastAsia" w:ascii="Calibri" w:hAnsi="宋体" w:cs="仿宋_GB2312"/>
          <w:color w:val="auto"/>
          <w:kern w:val="2"/>
          <w:szCs w:val="21"/>
          <w:highlight w:val="none"/>
        </w:rPr>
        <w:t>附件2.中标通知书</w:t>
      </w:r>
    </w:p>
    <w:p>
      <w:pPr>
        <w:widowControl w:val="0"/>
        <w:adjustRightInd/>
        <w:snapToGrid/>
        <w:ind w:firstLine="420" w:firstLineChars="200"/>
        <w:jc w:val="both"/>
        <w:outlineLvl w:val="1"/>
        <w:rPr>
          <w:rFonts w:ascii="Calibri" w:hAnsi="宋体" w:cs="仿宋_GB2312"/>
          <w:color w:val="auto"/>
          <w:kern w:val="2"/>
          <w:szCs w:val="21"/>
          <w:highlight w:val="none"/>
        </w:rPr>
      </w:pPr>
      <w:r>
        <w:rPr>
          <w:rFonts w:hint="eastAsia" w:ascii="Calibri" w:hAnsi="宋体" w:cs="仿宋_GB2312"/>
          <w:color w:val="auto"/>
          <w:kern w:val="2"/>
          <w:szCs w:val="21"/>
          <w:highlight w:val="none"/>
        </w:rPr>
        <w:t>附件3.投标文件</w:t>
      </w:r>
    </w:p>
    <w:p>
      <w:pPr>
        <w:widowControl w:val="0"/>
        <w:adjustRightInd/>
        <w:snapToGrid/>
        <w:ind w:firstLine="420" w:firstLineChars="200"/>
        <w:jc w:val="both"/>
        <w:outlineLvl w:val="1"/>
        <w:rPr>
          <w:rFonts w:ascii="Calibri" w:hAnsi="宋体" w:cs="仿宋_GB2312"/>
          <w:color w:val="auto"/>
          <w:kern w:val="2"/>
          <w:szCs w:val="21"/>
          <w:highlight w:val="none"/>
        </w:rPr>
      </w:pPr>
      <w:r>
        <w:rPr>
          <w:rFonts w:hint="eastAsia" w:ascii="Calibri" w:hAnsi="宋体" w:cs="仿宋_GB2312"/>
          <w:color w:val="auto"/>
          <w:kern w:val="2"/>
          <w:szCs w:val="21"/>
          <w:highlight w:val="none"/>
        </w:rPr>
        <w:t>附件4.本项目的采购文件及澄清文件</w:t>
      </w:r>
    </w:p>
    <w:p>
      <w:pPr>
        <w:widowControl w:val="0"/>
        <w:adjustRightInd/>
        <w:snapToGrid/>
        <w:ind w:firstLine="420" w:firstLineChars="200"/>
        <w:jc w:val="both"/>
        <w:rPr>
          <w:rFonts w:ascii="Calibri" w:hAnsi="宋体" w:cs="仿宋_GB2312"/>
          <w:color w:val="auto"/>
          <w:kern w:val="2"/>
          <w:szCs w:val="21"/>
          <w:highlight w:val="none"/>
        </w:rPr>
      </w:pPr>
    </w:p>
    <w:p>
      <w:pPr>
        <w:widowControl w:val="0"/>
        <w:adjustRightInd/>
        <w:snapToGrid/>
        <w:ind w:firstLine="420" w:firstLineChars="200"/>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本页以下无正文</w:t>
      </w:r>
    </w:p>
    <w:p>
      <w:pPr>
        <w:pStyle w:val="32"/>
        <w:ind w:firstLine="560"/>
        <w:rPr>
          <w:rFonts w:ascii="Calibri" w:hAnsi="宋体" w:cs="仿宋_GB2312"/>
          <w:color w:val="auto"/>
          <w:kern w:val="2"/>
          <w:szCs w:val="21"/>
          <w:highlight w:val="none"/>
        </w:rPr>
      </w:pPr>
    </w:p>
    <w:p>
      <w:pPr>
        <w:widowControl w:val="0"/>
        <w:adjustRightInd/>
        <w:snapToGrid/>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甲方</w:t>
      </w: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 xml:space="preserve">           </w:t>
      </w: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乙方</w:t>
      </w:r>
      <w:r>
        <w:rPr>
          <w:rFonts w:ascii="Calibri" w:hAnsi="宋体" w:cs="仿宋_GB2312"/>
          <w:color w:val="auto"/>
          <w:kern w:val="2"/>
          <w:szCs w:val="21"/>
          <w:highlight w:val="none"/>
        </w:rPr>
        <w:t xml:space="preserve">       </w:t>
      </w:r>
    </w:p>
    <w:p>
      <w:pPr>
        <w:widowControl w:val="0"/>
        <w:adjustRightInd/>
        <w:snapToGrid/>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单位名称：                              单位名称：</w:t>
      </w:r>
    </w:p>
    <w:p>
      <w:pPr>
        <w:widowControl w:val="0"/>
        <w:adjustRightInd/>
        <w:snapToGrid/>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地址：</w:t>
      </w: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 xml:space="preserve">                                 地址：</w:t>
      </w:r>
      <w:r>
        <w:rPr>
          <w:rFonts w:ascii="Calibri" w:hAnsi="宋体" w:cs="仿宋_GB2312"/>
          <w:color w:val="auto"/>
          <w:kern w:val="2"/>
          <w:szCs w:val="21"/>
          <w:highlight w:val="none"/>
        </w:rPr>
        <w:t xml:space="preserve">   </w:t>
      </w:r>
    </w:p>
    <w:p>
      <w:pPr>
        <w:widowControl w:val="0"/>
        <w:adjustRightInd/>
        <w:snapToGrid/>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邮编：                                  邮编：</w:t>
      </w:r>
    </w:p>
    <w:p>
      <w:pPr>
        <w:widowControl w:val="0"/>
        <w:adjustRightInd/>
        <w:snapToGrid/>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电话：                                  电话：</w:t>
      </w:r>
    </w:p>
    <w:p>
      <w:pPr>
        <w:widowControl w:val="0"/>
        <w:adjustRightInd/>
        <w:snapToGrid/>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传真：                                  传真：</w:t>
      </w:r>
    </w:p>
    <w:p>
      <w:pPr>
        <w:widowControl w:val="0"/>
        <w:adjustRightInd/>
        <w:snapToGrid/>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开户银行：                              开户银行：</w:t>
      </w:r>
    </w:p>
    <w:p>
      <w:pPr>
        <w:widowControl w:val="0"/>
        <w:adjustRightInd/>
        <w:snapToGrid/>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账号：                                  账号：</w:t>
      </w:r>
    </w:p>
    <w:p>
      <w:pPr>
        <w:widowControl w:val="0"/>
        <w:adjustRightInd/>
        <w:snapToGrid/>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纳税人登记号：                          纳税人登记号：</w:t>
      </w:r>
    </w:p>
    <w:p>
      <w:pPr>
        <w:widowControl w:val="0"/>
        <w:adjustRightInd/>
        <w:snapToGrid/>
        <w:jc w:val="both"/>
        <w:rPr>
          <w:rFonts w:ascii="Calibri" w:hAnsi="宋体" w:cs="仿宋_GB2312"/>
          <w:color w:val="auto"/>
          <w:kern w:val="2"/>
          <w:szCs w:val="21"/>
          <w:highlight w:val="none"/>
        </w:rPr>
      </w:pPr>
      <w:r>
        <w:rPr>
          <w:rFonts w:hint="eastAsia" w:ascii="Calibri" w:hAnsi="宋体" w:cs="仿宋_GB2312"/>
          <w:color w:val="auto"/>
          <w:kern w:val="2"/>
          <w:szCs w:val="21"/>
          <w:highlight w:val="none"/>
        </w:rPr>
        <w:t>签字人：                                签字人：</w:t>
      </w:r>
    </w:p>
    <w:p>
      <w:pPr>
        <w:widowControl w:val="0"/>
        <w:adjustRightInd/>
        <w:snapToGrid/>
        <w:jc w:val="both"/>
        <w:rPr>
          <w:rFonts w:hint="eastAsia" w:ascii="Calibri" w:hAnsi="宋体" w:cs="仿宋_GB2312"/>
          <w:color w:val="auto"/>
          <w:kern w:val="2"/>
          <w:szCs w:val="21"/>
          <w:highlight w:val="none"/>
        </w:rPr>
      </w:pPr>
      <w:r>
        <w:rPr>
          <w:rFonts w:hint="eastAsia" w:ascii="Calibri" w:hAnsi="宋体" w:cs="仿宋_GB2312"/>
          <w:color w:val="auto"/>
          <w:kern w:val="2"/>
          <w:szCs w:val="21"/>
          <w:highlight w:val="none"/>
        </w:rPr>
        <w:t>签字日期：</w:t>
      </w: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 xml:space="preserve">            </w:t>
      </w:r>
      <w:r>
        <w:rPr>
          <w:rFonts w:ascii="Calibri" w:hAnsi="宋体" w:cs="仿宋_GB2312"/>
          <w:color w:val="auto"/>
          <w:kern w:val="2"/>
          <w:szCs w:val="21"/>
          <w:highlight w:val="none"/>
        </w:rPr>
        <w:t xml:space="preserve"> </w:t>
      </w:r>
      <w:r>
        <w:rPr>
          <w:rFonts w:hint="eastAsia" w:ascii="Calibri" w:hAnsi="宋体" w:cs="仿宋_GB2312"/>
          <w:color w:val="auto"/>
          <w:kern w:val="2"/>
          <w:szCs w:val="21"/>
          <w:highlight w:val="none"/>
        </w:rPr>
        <w:t>签字日期：</w:t>
      </w:r>
    </w:p>
    <w:p>
      <w:pPr>
        <w:rPr>
          <w:color w:val="auto"/>
          <w:highlight w:val="none"/>
        </w:rPr>
      </w:pPr>
      <w:r>
        <w:rPr>
          <w:color w:val="auto"/>
          <w:highlight w:val="none"/>
        </w:rPr>
        <w:br w:type="page"/>
      </w:r>
    </w:p>
    <w:p>
      <w:pPr>
        <w:pStyle w:val="6"/>
        <w:spacing w:before="0" w:after="0" w:line="240" w:lineRule="auto"/>
        <w:rPr>
          <w:color w:val="auto"/>
          <w:sz w:val="28"/>
          <w:szCs w:val="28"/>
          <w:highlight w:val="none"/>
        </w:rPr>
      </w:pPr>
      <w:r>
        <w:rPr>
          <w:rFonts w:hint="eastAsia"/>
          <w:color w:val="auto"/>
          <w:sz w:val="28"/>
          <w:szCs w:val="28"/>
          <w:highlight w:val="none"/>
        </w:rPr>
        <w:t>第五部分  合同条款格式</w:t>
      </w:r>
    </w:p>
    <w:p>
      <w:pPr>
        <w:rPr>
          <w:color w:val="auto"/>
          <w:highlight w:val="none"/>
          <w:lang w:bidi="zh-CN"/>
        </w:rPr>
      </w:pPr>
    </w:p>
    <w:p>
      <w:pPr>
        <w:widowControl w:val="0"/>
        <w:rPr>
          <w:rFonts w:ascii="宋体" w:hAnsi="宋体" w:cs="Times New Roman"/>
          <w:color w:val="auto"/>
          <w:kern w:val="2"/>
          <w:sz w:val="28"/>
          <w:szCs w:val="28"/>
          <w:highlight w:val="none"/>
        </w:rPr>
      </w:pPr>
      <w:r>
        <w:rPr>
          <w:rFonts w:hint="eastAsia" w:ascii="宋体" w:hAnsi="宋体" w:cs="Times New Roman"/>
          <w:color w:val="auto"/>
          <w:kern w:val="2"/>
          <w:sz w:val="28"/>
          <w:szCs w:val="28"/>
          <w:highlight w:val="none"/>
        </w:rPr>
        <w:t>甲方合同编号：</w:t>
      </w:r>
    </w:p>
    <w:p>
      <w:pPr>
        <w:widowControl w:val="0"/>
        <w:rPr>
          <w:rFonts w:ascii="宋体" w:hAnsi="宋体" w:cs="Times New Roman"/>
          <w:color w:val="auto"/>
          <w:kern w:val="2"/>
          <w:sz w:val="28"/>
          <w:szCs w:val="28"/>
          <w:highlight w:val="none"/>
        </w:rPr>
      </w:pPr>
      <w:r>
        <w:rPr>
          <w:rFonts w:hint="eastAsia" w:ascii="宋体" w:hAnsi="宋体" w:cs="Times New Roman"/>
          <w:color w:val="auto"/>
          <w:kern w:val="2"/>
          <w:sz w:val="28"/>
          <w:szCs w:val="28"/>
          <w:highlight w:val="none"/>
        </w:rPr>
        <w:t>乙方合同编号：</w:t>
      </w:r>
    </w:p>
    <w:p>
      <w:pPr>
        <w:widowControl w:val="0"/>
        <w:jc w:val="center"/>
        <w:rPr>
          <w:rFonts w:ascii="宋体" w:hAnsi="宋体" w:cs="Times New Roman"/>
          <w:color w:val="auto"/>
          <w:kern w:val="2"/>
          <w:sz w:val="44"/>
          <w:szCs w:val="44"/>
          <w:highlight w:val="none"/>
        </w:rPr>
      </w:pPr>
    </w:p>
    <w:p>
      <w:pPr>
        <w:widowControl w:val="0"/>
        <w:jc w:val="center"/>
        <w:rPr>
          <w:rFonts w:ascii="宋体" w:hAnsi="宋体" w:cs="Times New Roman"/>
          <w:color w:val="auto"/>
          <w:kern w:val="2"/>
          <w:sz w:val="44"/>
          <w:szCs w:val="44"/>
          <w:highlight w:val="none"/>
        </w:rPr>
      </w:pPr>
    </w:p>
    <w:p>
      <w:pPr>
        <w:widowControl w:val="0"/>
        <w:jc w:val="center"/>
        <w:rPr>
          <w:rFonts w:ascii="宋体" w:hAnsi="宋体" w:cs="Times New Roman"/>
          <w:color w:val="auto"/>
          <w:kern w:val="2"/>
          <w:sz w:val="40"/>
          <w:szCs w:val="40"/>
          <w:highlight w:val="none"/>
        </w:rPr>
      </w:pPr>
    </w:p>
    <w:p>
      <w:pPr>
        <w:widowControl w:val="0"/>
        <w:jc w:val="center"/>
        <w:outlineLvl w:val="1"/>
        <w:rPr>
          <w:rFonts w:ascii="宋体" w:hAnsi="宋体" w:cs="Times New Roman"/>
          <w:b/>
          <w:bCs/>
          <w:color w:val="auto"/>
          <w:kern w:val="2"/>
          <w:sz w:val="40"/>
          <w:szCs w:val="40"/>
          <w:highlight w:val="none"/>
        </w:rPr>
      </w:pPr>
      <w:r>
        <w:rPr>
          <w:rFonts w:hint="eastAsia" w:ascii="宋体" w:hAnsi="宋体" w:cs="Times New Roman"/>
          <w:b/>
          <w:bCs/>
          <w:color w:val="auto"/>
          <w:kern w:val="2"/>
          <w:sz w:val="40"/>
          <w:szCs w:val="40"/>
          <w:highlight w:val="none"/>
        </w:rPr>
        <w:t>东莞市寮步镇生活垃圾综合处理中心项目合同</w:t>
      </w:r>
    </w:p>
    <w:p>
      <w:pPr>
        <w:widowControl w:val="0"/>
        <w:jc w:val="center"/>
        <w:outlineLvl w:val="1"/>
        <w:rPr>
          <w:rFonts w:ascii="宋体" w:hAnsi="Calibri" w:cs="Times New Roman"/>
          <w:b/>
          <w:bCs/>
          <w:color w:val="auto"/>
          <w:kern w:val="2"/>
          <w:sz w:val="28"/>
          <w:szCs w:val="28"/>
          <w:highlight w:val="none"/>
        </w:rPr>
      </w:pPr>
      <w:r>
        <w:rPr>
          <w:rFonts w:hint="eastAsia" w:ascii="宋体" w:hAnsi="宋体" w:cs="Times New Roman"/>
          <w:b/>
          <w:bCs/>
          <w:color w:val="auto"/>
          <w:kern w:val="2"/>
          <w:sz w:val="40"/>
          <w:szCs w:val="40"/>
          <w:highlight w:val="none"/>
        </w:rPr>
        <w:t>（适用于E包）</w:t>
      </w:r>
    </w:p>
    <w:p>
      <w:pPr>
        <w:widowControl w:val="0"/>
        <w:jc w:val="both"/>
        <w:rPr>
          <w:rFonts w:ascii="Times" w:hAnsi="Times" w:cs="Times New Roman"/>
          <w:color w:val="auto"/>
          <w:kern w:val="2"/>
          <w:szCs w:val="24"/>
          <w:highlight w:val="none"/>
        </w:rPr>
      </w:pPr>
    </w:p>
    <w:p>
      <w:pPr>
        <w:widowControl w:val="0"/>
        <w:jc w:val="both"/>
        <w:rPr>
          <w:rFonts w:ascii="Times" w:hAnsi="Times" w:cs="Times New Roman"/>
          <w:color w:val="auto"/>
          <w:kern w:val="2"/>
          <w:szCs w:val="24"/>
          <w:highlight w:val="none"/>
        </w:rPr>
      </w:pPr>
    </w:p>
    <w:p>
      <w:pPr>
        <w:widowControl w:val="0"/>
        <w:jc w:val="both"/>
        <w:rPr>
          <w:rFonts w:ascii="Times" w:hAnsi="Times" w:cs="Times New Roman"/>
          <w:color w:val="auto"/>
          <w:kern w:val="2"/>
          <w:szCs w:val="24"/>
          <w:highlight w:val="none"/>
        </w:rPr>
      </w:pPr>
    </w:p>
    <w:p>
      <w:pPr>
        <w:widowControl w:val="0"/>
        <w:jc w:val="both"/>
        <w:rPr>
          <w:rFonts w:ascii="Times" w:hAnsi="Times" w:cs="Times New Roman"/>
          <w:color w:val="auto"/>
          <w:kern w:val="2"/>
          <w:szCs w:val="24"/>
          <w:highlight w:val="none"/>
        </w:rPr>
      </w:pPr>
    </w:p>
    <w:p>
      <w:pPr>
        <w:widowControl w:val="0"/>
        <w:jc w:val="both"/>
        <w:rPr>
          <w:rFonts w:ascii="宋体" w:hAnsi="Calibri" w:cs="Times New Roman"/>
          <w:color w:val="auto"/>
          <w:kern w:val="2"/>
          <w:sz w:val="30"/>
          <w:szCs w:val="30"/>
          <w:highlight w:val="none"/>
        </w:rPr>
      </w:pPr>
    </w:p>
    <w:p>
      <w:pPr>
        <w:widowControl w:val="0"/>
        <w:jc w:val="both"/>
        <w:rPr>
          <w:rFonts w:ascii="Times" w:hAnsi="Times" w:cs="Times New Roman"/>
          <w:color w:val="auto"/>
          <w:kern w:val="2"/>
          <w:sz w:val="30"/>
          <w:szCs w:val="30"/>
          <w:highlight w:val="none"/>
        </w:rPr>
      </w:pPr>
    </w:p>
    <w:p>
      <w:pPr>
        <w:widowControl w:val="0"/>
        <w:ind w:firstLine="1475" w:firstLineChars="527"/>
        <w:rPr>
          <w:rFonts w:ascii="宋体" w:hAnsi="宋体" w:cs="Times New Roman"/>
          <w:color w:val="auto"/>
          <w:kern w:val="2"/>
          <w:sz w:val="28"/>
          <w:szCs w:val="28"/>
          <w:highlight w:val="none"/>
          <w:u w:val="single"/>
        </w:rPr>
      </w:pPr>
      <w:r>
        <w:rPr>
          <w:rFonts w:hint="eastAsia" w:ascii="宋体" w:hAnsi="宋体" w:cs="Times New Roman"/>
          <w:color w:val="auto"/>
          <w:kern w:val="2"/>
          <w:sz w:val="28"/>
          <w:szCs w:val="28"/>
          <w:highlight w:val="none"/>
        </w:rPr>
        <w:t>甲方：</w:t>
      </w:r>
      <w:r>
        <w:rPr>
          <w:rFonts w:hint="eastAsia" w:ascii="宋体" w:hAnsi="宋体" w:cs="Times New Roman"/>
          <w:color w:val="auto"/>
          <w:kern w:val="2"/>
          <w:sz w:val="28"/>
          <w:szCs w:val="28"/>
          <w:highlight w:val="none"/>
          <w:lang w:val="en-US" w:eastAsia="zh-CN"/>
        </w:rPr>
        <w:t xml:space="preserve"> </w:t>
      </w:r>
      <w:r>
        <w:rPr>
          <w:rFonts w:hint="eastAsia" w:ascii="宋体" w:hAnsi="宋体" w:cs="Times New Roman"/>
          <w:color w:val="auto"/>
          <w:kern w:val="2"/>
          <w:sz w:val="28"/>
          <w:szCs w:val="28"/>
          <w:highlight w:val="none"/>
          <w:u w:val="single"/>
        </w:rPr>
        <w:t xml:space="preserve">                          </w:t>
      </w:r>
    </w:p>
    <w:p>
      <w:pPr>
        <w:widowControl w:val="0"/>
        <w:ind w:firstLine="1475" w:firstLineChars="527"/>
        <w:rPr>
          <w:rFonts w:ascii="宋体" w:hAnsi="宋体" w:cs="Times New Roman"/>
          <w:color w:val="auto"/>
          <w:kern w:val="2"/>
          <w:sz w:val="28"/>
          <w:szCs w:val="28"/>
          <w:highlight w:val="none"/>
          <w:u w:val="single"/>
        </w:rPr>
      </w:pPr>
      <w:r>
        <w:rPr>
          <w:rFonts w:hint="eastAsia" w:ascii="宋体" w:hAnsi="宋体" w:cs="Times New Roman"/>
          <w:color w:val="auto"/>
          <w:kern w:val="2"/>
          <w:sz w:val="28"/>
          <w:szCs w:val="28"/>
          <w:highlight w:val="none"/>
        </w:rPr>
        <w:t>乙方：</w:t>
      </w:r>
      <w:r>
        <w:rPr>
          <w:rFonts w:hint="eastAsia" w:ascii="宋体" w:hAnsi="宋体" w:cs="Times New Roman"/>
          <w:color w:val="auto"/>
          <w:kern w:val="2"/>
          <w:sz w:val="28"/>
          <w:szCs w:val="28"/>
          <w:highlight w:val="none"/>
          <w:u w:val="single"/>
        </w:rPr>
        <w:t xml:space="preserve">XXX                          </w:t>
      </w:r>
    </w:p>
    <w:p>
      <w:pPr>
        <w:widowControl w:val="0"/>
        <w:jc w:val="both"/>
        <w:rPr>
          <w:rFonts w:ascii="Times" w:hAnsi="宋体" w:cs="Times New Roman"/>
          <w:color w:val="auto"/>
          <w:kern w:val="2"/>
          <w:szCs w:val="28"/>
          <w:highlight w:val="none"/>
        </w:rPr>
      </w:pPr>
    </w:p>
    <w:p>
      <w:pPr>
        <w:widowControl w:val="0"/>
        <w:jc w:val="both"/>
        <w:rPr>
          <w:rFonts w:ascii="Times" w:hAnsi="宋体" w:cs="Times New Roman"/>
          <w:color w:val="auto"/>
          <w:kern w:val="2"/>
          <w:szCs w:val="28"/>
          <w:highlight w:val="none"/>
        </w:rPr>
      </w:pPr>
    </w:p>
    <w:p>
      <w:pPr>
        <w:widowControl w:val="0"/>
        <w:jc w:val="both"/>
        <w:rPr>
          <w:rFonts w:ascii="Times" w:hAnsi="宋体" w:cs="Times New Roman"/>
          <w:color w:val="auto"/>
          <w:kern w:val="2"/>
          <w:szCs w:val="28"/>
          <w:highlight w:val="none"/>
        </w:rPr>
      </w:pPr>
    </w:p>
    <w:p>
      <w:pPr>
        <w:widowControl w:val="0"/>
        <w:jc w:val="center"/>
        <w:outlineLvl w:val="1"/>
        <w:rPr>
          <w:rFonts w:ascii="Times" w:hAnsi="宋体" w:cs="Times New Roman"/>
          <w:color w:val="auto"/>
          <w:kern w:val="2"/>
          <w:sz w:val="24"/>
          <w:szCs w:val="24"/>
          <w:highlight w:val="none"/>
        </w:rPr>
      </w:pPr>
      <w:r>
        <w:rPr>
          <w:rFonts w:hint="eastAsia" w:ascii="Times" w:hAnsi="宋体" w:cs="Times New Roman"/>
          <w:color w:val="auto"/>
          <w:kern w:val="2"/>
          <w:sz w:val="24"/>
          <w:szCs w:val="24"/>
          <w:highlight w:val="none"/>
        </w:rPr>
        <w:t>年    月    日</w:t>
      </w:r>
    </w:p>
    <w:p>
      <w:pPr>
        <w:pStyle w:val="2"/>
        <w:rPr>
          <w:color w:val="auto"/>
          <w:szCs w:val="24"/>
          <w:highlight w:val="none"/>
        </w:rPr>
      </w:pPr>
    </w:p>
    <w:p>
      <w:pPr>
        <w:snapToGrid/>
        <w:ind w:firstLine="480" w:firstLineChars="200"/>
        <w:rPr>
          <w:rFonts w:cs="宋体" w:asciiTheme="minorEastAsia" w:hAnsiTheme="minorEastAsia" w:eastAsiaTheme="minorEastAsia"/>
          <w:color w:val="auto"/>
          <w:szCs w:val="21"/>
          <w:highlight w:val="none"/>
        </w:rPr>
      </w:pPr>
      <w:r>
        <w:rPr>
          <w:rFonts w:hint="eastAsia" w:ascii="宋体" w:hAnsi="宋体" w:cs="宋体"/>
          <w:color w:val="auto"/>
          <w:sz w:val="24"/>
          <w:szCs w:val="24"/>
          <w:highlight w:val="none"/>
        </w:rPr>
        <w:br w:type="page"/>
      </w:r>
      <w:r>
        <w:rPr>
          <w:rFonts w:hint="eastAsia" w:cs="宋体" w:asciiTheme="minorEastAsia" w:hAnsiTheme="minorEastAsia" w:eastAsiaTheme="minorEastAsia"/>
          <w:color w:val="auto"/>
          <w:szCs w:val="21"/>
          <w:highlight w:val="none"/>
        </w:rPr>
        <w:t xml:space="preserve">甲方：（采购人名称）： </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乙方：（中标人名称）：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甲、乙双方根据《中华人民共和国民法典》及其他有关法律、法规规定，遵循平等、自愿、公平和诚实信用的原则，就</w:t>
      </w:r>
      <w:r>
        <w:rPr>
          <w:rFonts w:hint="eastAsia" w:cs="宋体" w:asciiTheme="minorEastAsia" w:hAnsiTheme="minorEastAsia" w:eastAsiaTheme="minorEastAsia"/>
          <w:color w:val="auto"/>
          <w:szCs w:val="21"/>
          <w:highlight w:val="none"/>
          <w:u w:val="single"/>
        </w:rPr>
        <w:t>东莞市寮步镇生活垃圾综合处理中心项目E包（  ）合同</w:t>
      </w:r>
      <w:r>
        <w:rPr>
          <w:rFonts w:hint="eastAsia" w:cs="宋体" w:asciiTheme="minorEastAsia" w:hAnsiTheme="minorEastAsia" w:eastAsiaTheme="minorEastAsia"/>
          <w:color w:val="auto"/>
          <w:szCs w:val="21"/>
          <w:highlight w:val="none"/>
        </w:rPr>
        <w:t>的相关供货安装事宜协商一致，特订立本合同，双方共同遵守如下条款（技术说明及其他有关合同项目的特定信息由合同附件予以说明，合同附件及本项目的采购文件、投标文件等均为本合同不可分割之一部分）：</w:t>
      </w:r>
    </w:p>
    <w:p>
      <w:pPr>
        <w:snapToGrid/>
        <w:ind w:firstLine="420" w:firstLineChars="200"/>
        <w:rPr>
          <w:rFonts w:cs="宋体" w:asciiTheme="minorEastAsia" w:hAnsiTheme="minorEastAsia" w:eastAsiaTheme="minorEastAsia"/>
          <w:color w:val="auto"/>
          <w:szCs w:val="21"/>
          <w:highlight w:val="none"/>
        </w:rPr>
      </w:pPr>
    </w:p>
    <w:p>
      <w:pPr>
        <w:snapToGrid/>
        <w:ind w:firstLine="422" w:firstLineChars="200"/>
        <w:outlineLvl w:val="0"/>
        <w:rPr>
          <w:rFonts w:cs="宋体" w:asciiTheme="minorEastAsia" w:hAnsiTheme="minorEastAsia" w:eastAsiaTheme="minorEastAsia"/>
          <w:b/>
          <w:bCs/>
          <w:color w:val="auto"/>
          <w:szCs w:val="21"/>
          <w:highlight w:val="none"/>
        </w:rPr>
      </w:pPr>
      <w:bookmarkStart w:id="799" w:name="_Toc141447063"/>
      <w:r>
        <w:rPr>
          <w:rFonts w:hint="eastAsia" w:cs="宋体" w:asciiTheme="minorEastAsia" w:hAnsiTheme="minorEastAsia" w:eastAsiaTheme="minorEastAsia"/>
          <w:b/>
          <w:bCs/>
          <w:color w:val="auto"/>
          <w:szCs w:val="21"/>
          <w:highlight w:val="none"/>
        </w:rPr>
        <w:t>一、合同标的</w:t>
      </w:r>
      <w:bookmarkEnd w:id="799"/>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乙方根据甲方要求提供以下货物：</w:t>
      </w:r>
    </w:p>
    <w:tbl>
      <w:tblPr>
        <w:tblStyle w:val="3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773"/>
        <w:gridCol w:w="1239"/>
        <w:gridCol w:w="1014"/>
        <w:gridCol w:w="600"/>
        <w:gridCol w:w="612"/>
        <w:gridCol w:w="866"/>
        <w:gridCol w:w="1044"/>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Pr>
        <w:tc>
          <w:tcPr>
            <w:tcW w:w="882" w:type="dxa"/>
            <w:vAlign w:val="center"/>
          </w:tcPr>
          <w:p>
            <w:pPr>
              <w:adjustRightInd/>
              <w:snapToGrid/>
              <w:spacing w:line="240" w:lineRule="auto"/>
              <w:jc w:val="center"/>
              <w:outlineLvl w:val="1"/>
              <w:rPr>
                <w:rFonts w:cs="宋体" w:asciiTheme="minorEastAsia" w:hAnsiTheme="minorEastAsia" w:eastAsiaTheme="minorEastAsia"/>
                <w:color w:val="auto"/>
                <w:szCs w:val="21"/>
                <w:highlight w:val="none"/>
              </w:rPr>
            </w:pPr>
            <w:bookmarkStart w:id="800" w:name="_Toc24112"/>
            <w:bookmarkStart w:id="801" w:name="_Toc8060"/>
            <w:bookmarkStart w:id="802" w:name="_Toc15259"/>
            <w:bookmarkStart w:id="803" w:name="_Toc141447064"/>
            <w:r>
              <w:rPr>
                <w:rFonts w:hint="eastAsia" w:cs="宋体" w:asciiTheme="minorEastAsia" w:hAnsiTheme="minorEastAsia" w:eastAsiaTheme="minorEastAsia"/>
                <w:color w:val="auto"/>
                <w:szCs w:val="21"/>
                <w:highlight w:val="none"/>
              </w:rPr>
              <w:t>名 称</w:t>
            </w:r>
            <w:bookmarkEnd w:id="800"/>
            <w:bookmarkEnd w:id="801"/>
            <w:bookmarkEnd w:id="802"/>
            <w:bookmarkEnd w:id="803"/>
          </w:p>
        </w:tc>
        <w:tc>
          <w:tcPr>
            <w:tcW w:w="773" w:type="dxa"/>
            <w:vAlign w:val="center"/>
          </w:tcPr>
          <w:p>
            <w:pPr>
              <w:adjustRightInd/>
              <w:snapToGrid/>
              <w:spacing w:line="240" w:lineRule="auto"/>
              <w:jc w:val="center"/>
              <w:outlineLvl w:val="1"/>
              <w:rPr>
                <w:rFonts w:cs="宋体" w:asciiTheme="minorEastAsia" w:hAnsiTheme="minorEastAsia" w:eastAsiaTheme="minorEastAsia"/>
                <w:color w:val="auto"/>
                <w:szCs w:val="21"/>
                <w:highlight w:val="none"/>
              </w:rPr>
            </w:pPr>
            <w:bookmarkStart w:id="804" w:name="_Toc141447065"/>
            <w:bookmarkStart w:id="805" w:name="_Toc23907"/>
            <w:bookmarkStart w:id="806" w:name="_Toc29343"/>
            <w:bookmarkStart w:id="807" w:name="_Toc15653"/>
            <w:r>
              <w:rPr>
                <w:rFonts w:hint="eastAsia" w:cs="宋体" w:asciiTheme="minorEastAsia" w:hAnsiTheme="minorEastAsia" w:eastAsiaTheme="minorEastAsia"/>
                <w:color w:val="auto"/>
                <w:szCs w:val="21"/>
                <w:highlight w:val="none"/>
              </w:rPr>
              <w:t>品牌</w:t>
            </w:r>
            <w:bookmarkEnd w:id="804"/>
            <w:bookmarkEnd w:id="805"/>
            <w:bookmarkEnd w:id="806"/>
            <w:bookmarkEnd w:id="807"/>
          </w:p>
        </w:tc>
        <w:tc>
          <w:tcPr>
            <w:tcW w:w="1239" w:type="dxa"/>
            <w:vAlign w:val="center"/>
          </w:tcPr>
          <w:p>
            <w:pPr>
              <w:adjustRightInd/>
              <w:snapToGrid/>
              <w:spacing w:line="240" w:lineRule="auto"/>
              <w:jc w:val="center"/>
              <w:outlineLvl w:val="1"/>
              <w:rPr>
                <w:rFonts w:cs="宋体" w:asciiTheme="minorEastAsia" w:hAnsiTheme="minorEastAsia" w:eastAsiaTheme="minorEastAsia"/>
                <w:color w:val="auto"/>
                <w:szCs w:val="21"/>
                <w:highlight w:val="none"/>
              </w:rPr>
            </w:pPr>
            <w:bookmarkStart w:id="808" w:name="_Toc31063"/>
            <w:bookmarkStart w:id="809" w:name="_Toc141447066"/>
            <w:bookmarkStart w:id="810" w:name="_Toc10455"/>
            <w:bookmarkStart w:id="811" w:name="_Toc6346"/>
            <w:r>
              <w:rPr>
                <w:rFonts w:hint="eastAsia" w:cs="宋体" w:asciiTheme="minorEastAsia" w:hAnsiTheme="minorEastAsia" w:eastAsiaTheme="minorEastAsia"/>
                <w:color w:val="auto"/>
                <w:szCs w:val="21"/>
                <w:highlight w:val="none"/>
              </w:rPr>
              <w:t>规格型号</w:t>
            </w:r>
            <w:bookmarkEnd w:id="808"/>
            <w:bookmarkEnd w:id="809"/>
            <w:bookmarkEnd w:id="810"/>
            <w:bookmarkEnd w:id="811"/>
          </w:p>
        </w:tc>
        <w:tc>
          <w:tcPr>
            <w:tcW w:w="1014" w:type="dxa"/>
            <w:vAlign w:val="center"/>
          </w:tcPr>
          <w:p>
            <w:pPr>
              <w:adjustRightInd/>
              <w:snapToGrid/>
              <w:spacing w:line="240" w:lineRule="auto"/>
              <w:jc w:val="center"/>
              <w:outlineLvl w:val="1"/>
              <w:rPr>
                <w:rFonts w:cs="宋体" w:asciiTheme="minorEastAsia" w:hAnsiTheme="minorEastAsia" w:eastAsiaTheme="minorEastAsia"/>
                <w:color w:val="auto"/>
                <w:szCs w:val="21"/>
                <w:highlight w:val="none"/>
              </w:rPr>
            </w:pPr>
            <w:bookmarkStart w:id="812" w:name="_Toc7093"/>
            <w:bookmarkStart w:id="813" w:name="_Toc16444"/>
            <w:bookmarkStart w:id="814" w:name="_Toc5782"/>
            <w:bookmarkStart w:id="815" w:name="_Toc141447067"/>
            <w:r>
              <w:rPr>
                <w:rFonts w:hint="eastAsia" w:cs="宋体" w:asciiTheme="minorEastAsia" w:hAnsiTheme="minorEastAsia" w:eastAsiaTheme="minorEastAsia"/>
                <w:color w:val="auto"/>
                <w:szCs w:val="21"/>
                <w:highlight w:val="none"/>
              </w:rPr>
              <w:t>产地</w:t>
            </w:r>
            <w:bookmarkEnd w:id="812"/>
            <w:bookmarkEnd w:id="813"/>
            <w:bookmarkEnd w:id="814"/>
            <w:bookmarkEnd w:id="815"/>
          </w:p>
        </w:tc>
        <w:tc>
          <w:tcPr>
            <w:tcW w:w="600" w:type="dxa"/>
            <w:vAlign w:val="center"/>
          </w:tcPr>
          <w:p>
            <w:pPr>
              <w:adjustRightInd/>
              <w:snapToGrid/>
              <w:spacing w:line="240" w:lineRule="auto"/>
              <w:jc w:val="center"/>
              <w:outlineLvl w:val="1"/>
              <w:rPr>
                <w:rFonts w:cs="宋体" w:asciiTheme="minorEastAsia" w:hAnsiTheme="minorEastAsia" w:eastAsiaTheme="minorEastAsia"/>
                <w:color w:val="auto"/>
                <w:szCs w:val="21"/>
                <w:highlight w:val="none"/>
              </w:rPr>
            </w:pPr>
            <w:bookmarkStart w:id="816" w:name="_Toc9486"/>
            <w:bookmarkStart w:id="817" w:name="_Toc30099"/>
            <w:bookmarkStart w:id="818" w:name="_Toc141447068"/>
            <w:bookmarkStart w:id="819" w:name="_Toc30272"/>
            <w:r>
              <w:rPr>
                <w:rFonts w:hint="eastAsia" w:cs="宋体" w:asciiTheme="minorEastAsia" w:hAnsiTheme="minorEastAsia" w:eastAsiaTheme="minorEastAsia"/>
                <w:color w:val="auto"/>
                <w:szCs w:val="21"/>
                <w:highlight w:val="none"/>
              </w:rPr>
              <w:t>数量</w:t>
            </w:r>
            <w:bookmarkEnd w:id="816"/>
            <w:bookmarkEnd w:id="817"/>
            <w:bookmarkEnd w:id="818"/>
            <w:bookmarkEnd w:id="819"/>
          </w:p>
        </w:tc>
        <w:tc>
          <w:tcPr>
            <w:tcW w:w="612" w:type="dxa"/>
            <w:vAlign w:val="center"/>
          </w:tcPr>
          <w:p>
            <w:pPr>
              <w:adjustRightInd/>
              <w:snapToGrid/>
              <w:spacing w:line="240" w:lineRule="auto"/>
              <w:jc w:val="center"/>
              <w:outlineLvl w:val="1"/>
              <w:rPr>
                <w:rFonts w:cs="宋体" w:asciiTheme="minorEastAsia" w:hAnsiTheme="minorEastAsia" w:eastAsiaTheme="minorEastAsia"/>
                <w:color w:val="auto"/>
                <w:szCs w:val="21"/>
                <w:highlight w:val="none"/>
              </w:rPr>
            </w:pPr>
            <w:bookmarkStart w:id="820" w:name="_Toc141447069"/>
            <w:bookmarkStart w:id="821" w:name="_Toc1603"/>
            <w:bookmarkStart w:id="822" w:name="_Toc29865"/>
            <w:bookmarkStart w:id="823" w:name="_Toc5023"/>
            <w:r>
              <w:rPr>
                <w:rFonts w:hint="eastAsia" w:cs="宋体" w:asciiTheme="minorEastAsia" w:hAnsiTheme="minorEastAsia" w:eastAsiaTheme="minorEastAsia"/>
                <w:color w:val="auto"/>
                <w:szCs w:val="21"/>
                <w:highlight w:val="none"/>
              </w:rPr>
              <w:t>计量</w:t>
            </w:r>
            <w:bookmarkEnd w:id="820"/>
            <w:bookmarkEnd w:id="821"/>
            <w:bookmarkEnd w:id="822"/>
            <w:bookmarkEnd w:id="823"/>
          </w:p>
          <w:p>
            <w:pPr>
              <w:adjustRightInd/>
              <w:snapToGrid/>
              <w:spacing w:line="240" w:lineRule="auto"/>
              <w:jc w:val="center"/>
              <w:outlineLvl w:val="1"/>
              <w:rPr>
                <w:rFonts w:cs="宋体" w:asciiTheme="minorEastAsia" w:hAnsiTheme="minorEastAsia" w:eastAsiaTheme="minorEastAsia"/>
                <w:color w:val="auto"/>
                <w:szCs w:val="21"/>
                <w:highlight w:val="none"/>
              </w:rPr>
            </w:pPr>
            <w:bookmarkStart w:id="824" w:name="_Toc26501"/>
            <w:bookmarkStart w:id="825" w:name="_Toc11615"/>
            <w:bookmarkStart w:id="826" w:name="_Toc16144"/>
            <w:bookmarkStart w:id="827" w:name="_Toc141447070"/>
            <w:r>
              <w:rPr>
                <w:rFonts w:hint="eastAsia" w:cs="宋体" w:asciiTheme="minorEastAsia" w:hAnsiTheme="minorEastAsia" w:eastAsiaTheme="minorEastAsia"/>
                <w:color w:val="auto"/>
                <w:szCs w:val="21"/>
                <w:highlight w:val="none"/>
              </w:rPr>
              <w:t>单位</w:t>
            </w:r>
            <w:bookmarkEnd w:id="824"/>
            <w:bookmarkEnd w:id="825"/>
            <w:bookmarkEnd w:id="826"/>
            <w:bookmarkEnd w:id="827"/>
          </w:p>
        </w:tc>
        <w:tc>
          <w:tcPr>
            <w:tcW w:w="866" w:type="dxa"/>
            <w:vAlign w:val="center"/>
          </w:tcPr>
          <w:p>
            <w:pPr>
              <w:adjustRightInd/>
              <w:snapToGrid/>
              <w:spacing w:line="240" w:lineRule="auto"/>
              <w:jc w:val="center"/>
              <w:outlineLvl w:val="1"/>
              <w:rPr>
                <w:rFonts w:cs="宋体" w:asciiTheme="minorEastAsia" w:hAnsiTheme="minorEastAsia" w:eastAsiaTheme="minorEastAsia"/>
                <w:color w:val="auto"/>
                <w:szCs w:val="21"/>
                <w:highlight w:val="none"/>
              </w:rPr>
            </w:pPr>
            <w:bookmarkStart w:id="828" w:name="_Toc7447"/>
            <w:bookmarkStart w:id="829" w:name="_Toc15387"/>
            <w:bookmarkStart w:id="830" w:name="_Toc141447071"/>
            <w:bookmarkStart w:id="831" w:name="_Toc21928"/>
            <w:r>
              <w:rPr>
                <w:rFonts w:hint="eastAsia" w:cs="宋体" w:asciiTheme="minorEastAsia" w:hAnsiTheme="minorEastAsia" w:eastAsiaTheme="minorEastAsia"/>
                <w:color w:val="auto"/>
                <w:szCs w:val="21"/>
                <w:highlight w:val="none"/>
              </w:rPr>
              <w:t>单价</w:t>
            </w:r>
            <w:bookmarkEnd w:id="828"/>
            <w:bookmarkEnd w:id="829"/>
            <w:bookmarkEnd w:id="830"/>
            <w:bookmarkEnd w:id="831"/>
          </w:p>
          <w:p>
            <w:pPr>
              <w:adjustRightInd/>
              <w:snapToGrid/>
              <w:spacing w:line="240" w:lineRule="auto"/>
              <w:jc w:val="both"/>
              <w:outlineLvl w:val="1"/>
              <w:rPr>
                <w:rFonts w:cs="宋体" w:asciiTheme="minorEastAsia" w:hAnsiTheme="minorEastAsia" w:eastAsiaTheme="minorEastAsia"/>
                <w:color w:val="auto"/>
                <w:szCs w:val="21"/>
                <w:highlight w:val="none"/>
              </w:rPr>
            </w:pPr>
            <w:bookmarkStart w:id="832" w:name="_Toc4232"/>
            <w:bookmarkStart w:id="833" w:name="_Toc141447072"/>
            <w:bookmarkStart w:id="834" w:name="_Toc18595"/>
            <w:bookmarkStart w:id="835" w:name="_Toc20653"/>
            <w:r>
              <w:rPr>
                <w:rFonts w:hint="eastAsia" w:cs="宋体" w:asciiTheme="minorEastAsia" w:hAnsiTheme="minorEastAsia" w:eastAsiaTheme="minorEastAsia"/>
                <w:color w:val="auto"/>
                <w:szCs w:val="21"/>
                <w:highlight w:val="none"/>
              </w:rPr>
              <w:t>(万元）</w:t>
            </w:r>
            <w:bookmarkEnd w:id="832"/>
            <w:bookmarkEnd w:id="833"/>
            <w:bookmarkEnd w:id="834"/>
            <w:bookmarkEnd w:id="835"/>
          </w:p>
        </w:tc>
        <w:tc>
          <w:tcPr>
            <w:tcW w:w="1044" w:type="dxa"/>
            <w:vAlign w:val="center"/>
          </w:tcPr>
          <w:p>
            <w:pPr>
              <w:adjustRightInd/>
              <w:snapToGrid/>
              <w:spacing w:line="240" w:lineRule="auto"/>
              <w:jc w:val="center"/>
              <w:outlineLvl w:val="1"/>
              <w:rPr>
                <w:rFonts w:cs="宋体" w:asciiTheme="minorEastAsia" w:hAnsiTheme="minorEastAsia" w:eastAsiaTheme="minorEastAsia"/>
                <w:color w:val="auto"/>
                <w:szCs w:val="21"/>
                <w:highlight w:val="none"/>
              </w:rPr>
            </w:pPr>
            <w:bookmarkStart w:id="836" w:name="_Toc141447073"/>
            <w:bookmarkStart w:id="837" w:name="_Toc22560"/>
            <w:bookmarkStart w:id="838" w:name="_Toc20386"/>
            <w:bookmarkStart w:id="839" w:name="_Toc1757"/>
            <w:r>
              <w:rPr>
                <w:rFonts w:hint="eastAsia" w:cs="宋体" w:asciiTheme="minorEastAsia" w:hAnsiTheme="minorEastAsia" w:eastAsiaTheme="minorEastAsia"/>
                <w:color w:val="auto"/>
                <w:szCs w:val="21"/>
                <w:highlight w:val="none"/>
              </w:rPr>
              <w:t>金额</w:t>
            </w:r>
            <w:bookmarkEnd w:id="836"/>
            <w:bookmarkEnd w:id="837"/>
            <w:bookmarkEnd w:id="838"/>
            <w:bookmarkEnd w:id="839"/>
          </w:p>
          <w:p>
            <w:pPr>
              <w:adjustRightInd/>
              <w:snapToGrid/>
              <w:spacing w:line="240" w:lineRule="auto"/>
              <w:jc w:val="center"/>
              <w:outlineLvl w:val="1"/>
              <w:rPr>
                <w:rFonts w:cs="宋体" w:asciiTheme="minorEastAsia" w:hAnsiTheme="minorEastAsia" w:eastAsiaTheme="minorEastAsia"/>
                <w:color w:val="auto"/>
                <w:szCs w:val="21"/>
                <w:highlight w:val="none"/>
              </w:rPr>
            </w:pPr>
            <w:bookmarkStart w:id="840" w:name="_Toc31128"/>
            <w:bookmarkStart w:id="841" w:name="_Toc141447074"/>
            <w:bookmarkStart w:id="842" w:name="_Toc1123"/>
            <w:bookmarkStart w:id="843" w:name="_Toc13981"/>
            <w:r>
              <w:rPr>
                <w:rFonts w:hint="eastAsia" w:cs="宋体" w:asciiTheme="minorEastAsia" w:hAnsiTheme="minorEastAsia" w:eastAsiaTheme="minorEastAsia"/>
                <w:color w:val="auto"/>
                <w:szCs w:val="21"/>
                <w:highlight w:val="none"/>
              </w:rPr>
              <w:t>（万元）</w:t>
            </w:r>
            <w:bookmarkEnd w:id="840"/>
            <w:bookmarkEnd w:id="841"/>
            <w:bookmarkEnd w:id="842"/>
            <w:bookmarkEnd w:id="843"/>
          </w:p>
        </w:tc>
        <w:tc>
          <w:tcPr>
            <w:tcW w:w="1489" w:type="dxa"/>
            <w:vAlign w:val="center"/>
          </w:tcPr>
          <w:p>
            <w:pPr>
              <w:adjustRightInd/>
              <w:snapToGrid/>
              <w:spacing w:line="240" w:lineRule="auto"/>
              <w:jc w:val="center"/>
              <w:outlineLvl w:val="1"/>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发票类型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2" w:hRule="atLeast"/>
        </w:trPr>
        <w:tc>
          <w:tcPr>
            <w:tcW w:w="882" w:type="dxa"/>
            <w:vAlign w:val="center"/>
          </w:tcPr>
          <w:p>
            <w:pPr>
              <w:adjustRightInd/>
              <w:snapToGrid/>
              <w:spacing w:line="240" w:lineRule="auto"/>
              <w:jc w:val="center"/>
              <w:rPr>
                <w:rFonts w:ascii="宋体" w:hAnsi="宋体" w:cs="宋体"/>
                <w:color w:val="auto"/>
                <w:szCs w:val="21"/>
                <w:highlight w:val="none"/>
              </w:rPr>
            </w:pPr>
          </w:p>
        </w:tc>
        <w:tc>
          <w:tcPr>
            <w:tcW w:w="773" w:type="dxa"/>
            <w:vAlign w:val="center"/>
          </w:tcPr>
          <w:p>
            <w:pPr>
              <w:adjustRightInd/>
              <w:snapToGrid/>
              <w:spacing w:line="240" w:lineRule="auto"/>
              <w:jc w:val="center"/>
              <w:rPr>
                <w:rFonts w:ascii="宋体" w:hAnsi="宋体" w:cs="宋体"/>
                <w:color w:val="auto"/>
                <w:szCs w:val="21"/>
                <w:highlight w:val="none"/>
              </w:rPr>
            </w:pPr>
          </w:p>
        </w:tc>
        <w:tc>
          <w:tcPr>
            <w:tcW w:w="1239" w:type="dxa"/>
            <w:vAlign w:val="center"/>
          </w:tcPr>
          <w:p>
            <w:pPr>
              <w:adjustRightInd/>
              <w:snapToGrid/>
              <w:spacing w:line="240" w:lineRule="auto"/>
              <w:jc w:val="center"/>
              <w:rPr>
                <w:rFonts w:ascii="宋体" w:hAnsi="宋体" w:cs="宋体"/>
                <w:color w:val="auto"/>
                <w:szCs w:val="21"/>
                <w:highlight w:val="none"/>
              </w:rPr>
            </w:pPr>
          </w:p>
        </w:tc>
        <w:tc>
          <w:tcPr>
            <w:tcW w:w="1014" w:type="dxa"/>
            <w:vAlign w:val="center"/>
          </w:tcPr>
          <w:p>
            <w:pPr>
              <w:adjustRightInd/>
              <w:snapToGrid/>
              <w:spacing w:line="240" w:lineRule="auto"/>
              <w:jc w:val="center"/>
              <w:outlineLvl w:val="1"/>
              <w:rPr>
                <w:rFonts w:cs="宋体" w:asciiTheme="minorEastAsia" w:hAnsiTheme="minorEastAsia" w:eastAsiaTheme="minorEastAsia"/>
                <w:color w:val="auto"/>
                <w:szCs w:val="21"/>
                <w:highlight w:val="none"/>
              </w:rPr>
            </w:pPr>
          </w:p>
        </w:tc>
        <w:tc>
          <w:tcPr>
            <w:tcW w:w="600" w:type="dxa"/>
            <w:vAlign w:val="center"/>
          </w:tcPr>
          <w:p>
            <w:pPr>
              <w:adjustRightInd/>
              <w:snapToGrid/>
              <w:jc w:val="center"/>
              <w:rPr>
                <w:rFonts w:ascii="宋体" w:hAnsi="宋体" w:cs="宋体"/>
                <w:color w:val="auto"/>
                <w:szCs w:val="21"/>
                <w:highlight w:val="none"/>
              </w:rPr>
            </w:pPr>
          </w:p>
        </w:tc>
        <w:tc>
          <w:tcPr>
            <w:tcW w:w="612" w:type="dxa"/>
            <w:vAlign w:val="center"/>
          </w:tcPr>
          <w:p>
            <w:pPr>
              <w:adjustRightInd/>
              <w:snapToGrid/>
              <w:jc w:val="center"/>
              <w:rPr>
                <w:rFonts w:ascii="宋体" w:hAnsi="宋体" w:cs="宋体"/>
                <w:color w:val="auto"/>
                <w:szCs w:val="21"/>
                <w:highlight w:val="none"/>
              </w:rPr>
            </w:pPr>
          </w:p>
        </w:tc>
        <w:tc>
          <w:tcPr>
            <w:tcW w:w="866" w:type="dxa"/>
            <w:vAlign w:val="center"/>
          </w:tcPr>
          <w:p>
            <w:pPr>
              <w:adjustRightInd/>
              <w:snapToGrid/>
              <w:jc w:val="center"/>
              <w:rPr>
                <w:rFonts w:ascii="宋体" w:hAnsi="宋体" w:cs="宋体"/>
                <w:color w:val="auto"/>
                <w:szCs w:val="21"/>
                <w:highlight w:val="none"/>
              </w:rPr>
            </w:pPr>
          </w:p>
        </w:tc>
        <w:tc>
          <w:tcPr>
            <w:tcW w:w="1044" w:type="dxa"/>
            <w:vAlign w:val="center"/>
          </w:tcPr>
          <w:p>
            <w:pPr>
              <w:adjustRightInd/>
              <w:snapToGrid/>
              <w:jc w:val="center"/>
              <w:rPr>
                <w:rFonts w:ascii="宋体" w:hAnsi="宋体" w:cs="宋体"/>
                <w:color w:val="auto"/>
                <w:szCs w:val="21"/>
                <w:highlight w:val="none"/>
              </w:rPr>
            </w:pPr>
          </w:p>
        </w:tc>
        <w:tc>
          <w:tcPr>
            <w:tcW w:w="1489" w:type="dxa"/>
            <w:vAlign w:val="center"/>
          </w:tcPr>
          <w:p>
            <w:pPr>
              <w:adjustRightInd/>
              <w:snapToGrid/>
              <w:jc w:val="center"/>
              <w:rPr>
                <w:rFonts w:ascii="宋体" w:hAnsi="宋体" w:cs="宋体"/>
                <w:color w:val="auto"/>
                <w:szCs w:val="21"/>
                <w:highlight w:val="none"/>
              </w:rPr>
            </w:pPr>
          </w:p>
        </w:tc>
      </w:tr>
    </w:tbl>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以上货物具体的供货范围、技术规格和技术要求详见合同附件。</w:t>
      </w:r>
    </w:p>
    <w:p>
      <w:pPr>
        <w:snapToGrid/>
        <w:ind w:firstLine="420" w:firstLineChars="200"/>
        <w:rPr>
          <w:rFonts w:cs="宋体" w:asciiTheme="minorEastAsia" w:hAnsiTheme="minorEastAsia" w:eastAsiaTheme="minorEastAsia"/>
          <w:color w:val="auto"/>
          <w:szCs w:val="21"/>
          <w:highlight w:val="none"/>
        </w:rPr>
      </w:pPr>
    </w:p>
    <w:p>
      <w:pPr>
        <w:snapToGrid/>
        <w:ind w:firstLine="422" w:firstLineChars="200"/>
        <w:outlineLvl w:val="0"/>
        <w:rPr>
          <w:rFonts w:cs="宋体" w:asciiTheme="minorEastAsia" w:hAnsiTheme="minorEastAsia" w:eastAsiaTheme="minorEastAsia"/>
          <w:b/>
          <w:bCs/>
          <w:color w:val="auto"/>
          <w:szCs w:val="21"/>
          <w:highlight w:val="none"/>
        </w:rPr>
      </w:pPr>
      <w:bookmarkStart w:id="844" w:name="_Toc141447075"/>
      <w:r>
        <w:rPr>
          <w:rFonts w:hint="eastAsia" w:cs="宋体" w:asciiTheme="minorEastAsia" w:hAnsiTheme="minorEastAsia" w:eastAsiaTheme="minorEastAsia"/>
          <w:b/>
          <w:bCs/>
          <w:color w:val="auto"/>
          <w:szCs w:val="21"/>
          <w:highlight w:val="none"/>
        </w:rPr>
        <w:t>二、价格</w:t>
      </w:r>
      <w:bookmarkEnd w:id="844"/>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2.1 合同</w:t>
      </w:r>
      <w:r>
        <w:rPr>
          <w:rFonts w:hint="eastAsia" w:cs="宋体" w:asciiTheme="minorEastAsia" w:hAnsiTheme="minorEastAsia" w:eastAsiaTheme="minorEastAsia"/>
          <w:color w:val="auto"/>
          <w:szCs w:val="21"/>
          <w:highlight w:val="none"/>
          <w:lang w:val="en-US" w:eastAsia="zh-CN"/>
        </w:rPr>
        <w:t>含税</w:t>
      </w:r>
      <w:r>
        <w:rPr>
          <w:rFonts w:hint="eastAsia" w:cs="宋体" w:asciiTheme="minorEastAsia" w:hAnsiTheme="minorEastAsia" w:eastAsiaTheme="minorEastAsia"/>
          <w:color w:val="auto"/>
          <w:szCs w:val="21"/>
          <w:highlight w:val="none"/>
        </w:rPr>
        <w:t>总价（大写）：人民币    即RMB（¥  元）。其中：车辆总费用：¥</w:t>
      </w:r>
      <w:r>
        <w:rPr>
          <w:rFonts w:hint="eastAsia" w:cs="宋体" w:asciiTheme="minorEastAsia" w:hAnsiTheme="minorEastAsia" w:eastAsiaTheme="minorEastAsia"/>
          <w:color w:val="auto"/>
          <w:szCs w:val="21"/>
          <w:highlight w:val="none"/>
          <w:u w:val="single"/>
        </w:rPr>
        <w:t xml:space="preserve">  </w:t>
      </w:r>
      <w:r>
        <w:rPr>
          <w:rFonts w:hint="eastAsia" w:cs="宋体" w:asciiTheme="minorEastAsia" w:hAnsiTheme="minorEastAsia" w:eastAsiaTheme="minorEastAsia"/>
          <w:color w:val="auto"/>
          <w:szCs w:val="21"/>
          <w:highlight w:val="none"/>
        </w:rPr>
        <w:t>元（提供   发票  %）；其他设备总费用：¥</w:t>
      </w:r>
      <w:r>
        <w:rPr>
          <w:rFonts w:hint="eastAsia" w:cs="宋体" w:asciiTheme="minorEastAsia" w:hAnsiTheme="minorEastAsia" w:eastAsiaTheme="minorEastAsia"/>
          <w:color w:val="auto"/>
          <w:szCs w:val="21"/>
          <w:highlight w:val="none"/>
          <w:u w:val="single"/>
        </w:rPr>
        <w:t xml:space="preserve">   </w:t>
      </w:r>
      <w:r>
        <w:rPr>
          <w:rFonts w:hint="eastAsia" w:cs="宋体" w:asciiTheme="minorEastAsia" w:hAnsiTheme="minorEastAsia" w:eastAsiaTheme="minorEastAsia"/>
          <w:color w:val="auto"/>
          <w:szCs w:val="21"/>
          <w:highlight w:val="none"/>
        </w:rPr>
        <w:t>元（提供发票税率为  %）。</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合同价格包含所有设备价，车身价，机动车辆第一年的保险费（每一种车型均需购买包括但不限于车辆交强险和商业险，包括但不限于：（1）交强险；（2）车损险；（3）第三者责任险300万或以上加不计免赔；（4）车上人员责任险；（5）车船税，</w:t>
      </w:r>
      <w:r>
        <w:rPr>
          <w:rFonts w:hint="eastAsia" w:ascii="宋体" w:hAnsi="宋体" w:cs="宋体"/>
          <w:color w:val="auto"/>
          <w:szCs w:val="21"/>
          <w:highlight w:val="none"/>
        </w:rPr>
        <w:t>税金及所有的上牌费用,运输费（含运输至采购人指定交货地点的运输费）、安装、调试、检验、技术服务和培训以及为所有机动车辆（本项目所采购的运输设备）配备安装</w:t>
      </w:r>
      <w:r>
        <w:rPr>
          <w:rFonts w:hint="eastAsia" w:ascii="宋体" w:hAnsi="宋体" w:cs="宋体"/>
          <w:color w:val="auto"/>
          <w:szCs w:val="21"/>
          <w:highlight w:val="none"/>
          <w:lang w:bidi="zh-CN"/>
        </w:rPr>
        <w:t>右侧盲区雷达监测及倒车后视系统</w:t>
      </w:r>
      <w:r>
        <w:rPr>
          <w:rFonts w:hint="eastAsia" w:ascii="宋体" w:hAnsi="宋体" w:cs="宋体"/>
          <w:color w:val="auto"/>
          <w:szCs w:val="21"/>
          <w:highlight w:val="none"/>
        </w:rPr>
        <w:t>、行车记录仪、车身喷涂（按采购人要求）</w:t>
      </w:r>
      <w:r>
        <w:rPr>
          <w:rFonts w:hint="eastAsia" w:cs="宋体" w:asciiTheme="minorEastAsia" w:hAnsiTheme="minorEastAsia" w:eastAsiaTheme="minorEastAsia"/>
          <w:color w:val="auto"/>
          <w:szCs w:val="21"/>
          <w:highlight w:val="none"/>
        </w:rPr>
        <w:t>等乙方履行本合同义务而甲方需支付乙方的一切可预见及不可预见的费用。如遇国家调整税率，不含税合同价款不予调整，税金按调整后税率及相关细则执行。</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2.2 本合同价格为固定总价包干，以签订的合同价结算。</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2.3乙方应按合同总价之10%向甲方提供履约保证金，形式为采用银行转账或不可撤销见索即付银行履约保函形式，履约担保期限从合同签订之日起至项目安装调试完毕验收合格后，经双方签字7天内保持有效。合同履行过程中，若因乙方责任导致合同解除的，甲方有权没收履约保证金。若乙方以银行转账的形式支付履约保证金，担保期限届满后，乙方向甲方提出退款申请，甲方将扣罚后剩余履约保证金无息退回乙方。</w:t>
      </w:r>
    </w:p>
    <w:p>
      <w:pPr>
        <w:pStyle w:val="2"/>
        <w:rPr>
          <w:color w:val="auto"/>
          <w:highlight w:val="none"/>
        </w:rPr>
      </w:pPr>
    </w:p>
    <w:p>
      <w:pPr>
        <w:snapToGrid/>
        <w:ind w:firstLine="422" w:firstLineChars="200"/>
        <w:outlineLvl w:val="0"/>
        <w:rPr>
          <w:rFonts w:cs="宋体" w:asciiTheme="minorEastAsia" w:hAnsiTheme="minorEastAsia" w:eastAsiaTheme="minorEastAsia"/>
          <w:b/>
          <w:bCs/>
          <w:color w:val="auto"/>
          <w:szCs w:val="21"/>
          <w:highlight w:val="none"/>
        </w:rPr>
      </w:pPr>
      <w:bookmarkStart w:id="845" w:name="_Toc8011"/>
      <w:bookmarkStart w:id="846" w:name="_Toc6212"/>
      <w:bookmarkStart w:id="847" w:name="_Toc141447076"/>
      <w:r>
        <w:rPr>
          <w:rFonts w:hint="eastAsia" w:cs="宋体" w:asciiTheme="minorEastAsia" w:hAnsiTheme="minorEastAsia" w:eastAsiaTheme="minorEastAsia"/>
          <w:b/>
          <w:bCs/>
          <w:color w:val="auto"/>
          <w:szCs w:val="21"/>
          <w:highlight w:val="none"/>
        </w:rPr>
        <w:t>三、货物产地及标准</w:t>
      </w:r>
      <w:bookmarkEnd w:id="845"/>
      <w:bookmarkEnd w:id="846"/>
      <w:bookmarkEnd w:id="847"/>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3.1 乙方所供货物必须是原装、全新、未经使用的产品，其质量、规格及技术特征符合国家标准、规范及采购需求书、合同的要求。供货车型须为投标文件所约定车辆品牌、型号、配置。</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3.2 本项目提出的是最低限度的要求，并未对一切细节作出规定，也未充分引述全部有关标准和规范的条文，乙方提供的所有货物都应符合采购时已颁布的现行中国国家或国家认可的（部颁、行业）标准和国内外标准化组织以及等效或更优的其他国家的权威性标准和规范的有关条文。如无前述标准的，则采用货物来源适用的且经甲方认可的官方标准。这些标准必须是有关机构发布的最新版本的标准。乙方保证所供应的本合同货物符合质量标准和</w:t>
      </w:r>
      <w:r>
        <w:rPr>
          <w:rFonts w:hint="eastAsia" w:ascii="宋体" w:hAnsi="宋体" w:cs="宋体"/>
          <w:color w:val="auto"/>
          <w:szCs w:val="21"/>
          <w:highlight w:val="none"/>
        </w:rPr>
        <w:t>相关验收标准</w:t>
      </w:r>
      <w:r>
        <w:rPr>
          <w:rFonts w:hint="eastAsia" w:cs="宋体" w:asciiTheme="minorEastAsia" w:hAnsiTheme="minorEastAsia" w:eastAsiaTheme="minorEastAsia"/>
          <w:color w:val="auto"/>
          <w:szCs w:val="21"/>
          <w:highlight w:val="none"/>
        </w:rPr>
        <w:t>，不存在任何缺陷。</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3.3 </w:t>
      </w:r>
      <w:r>
        <w:rPr>
          <w:rFonts w:hint="eastAsia" w:ascii="宋体" w:hAnsi="宋体" w:cs="宋体"/>
          <w:color w:val="auto"/>
          <w:szCs w:val="21"/>
          <w:highlight w:val="none"/>
        </w:rPr>
        <w:t>所有货物在开箱检验时必须完好，无破损，配置与装箱单相符。货物外观清洁，标记编号以及盘面显示等字体清晰，明确。</w:t>
      </w:r>
    </w:p>
    <w:p>
      <w:pPr>
        <w:widowControl w:val="0"/>
        <w:adjustRightInd/>
        <w:snapToGrid/>
        <w:ind w:firstLine="420" w:firstLineChars="200"/>
        <w:jc w:val="both"/>
        <w:rPr>
          <w:rFonts w:ascii="宋体" w:hAnsi="宋体" w:cs="宋体"/>
          <w:color w:val="auto"/>
          <w:szCs w:val="21"/>
          <w:highlight w:val="none"/>
        </w:rPr>
      </w:pPr>
      <w:r>
        <w:rPr>
          <w:rFonts w:hint="eastAsia" w:cs="宋体" w:asciiTheme="minorEastAsia" w:hAnsiTheme="minorEastAsia" w:eastAsiaTheme="minorEastAsia"/>
          <w:color w:val="auto"/>
          <w:szCs w:val="21"/>
          <w:highlight w:val="none"/>
        </w:rPr>
        <w:t xml:space="preserve">3.4 </w:t>
      </w:r>
      <w:r>
        <w:rPr>
          <w:rFonts w:hint="eastAsia" w:ascii="宋体" w:hAnsi="宋体" w:cs="宋体"/>
          <w:color w:val="auto"/>
          <w:szCs w:val="21"/>
          <w:highlight w:val="none"/>
        </w:rPr>
        <w:t>对于影响货物正常工作的必要组成部分，无论在技术规范中指出与否，乙方都应提供并在合同附件中明确列出。</w:t>
      </w:r>
    </w:p>
    <w:p>
      <w:pPr>
        <w:widowControl w:val="0"/>
        <w:adjustRightInd/>
        <w:snapToGrid/>
        <w:ind w:firstLine="420" w:firstLineChars="200"/>
        <w:jc w:val="both"/>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3.5 乙方所投货物应符合中华人民共和国有关规范和安全要求。</w:t>
      </w:r>
    </w:p>
    <w:p>
      <w:pPr>
        <w:widowControl w:val="0"/>
        <w:adjustRightInd/>
        <w:snapToGrid/>
        <w:ind w:firstLine="420" w:firstLineChars="200"/>
        <w:jc w:val="both"/>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3.6 乙方交货时应将所供货物的所有相关资料一并交付给甲方，否则，视为未完成交货义务。</w:t>
      </w:r>
    </w:p>
    <w:p>
      <w:pPr>
        <w:widowControl w:val="0"/>
        <w:adjustRightInd/>
        <w:snapToGrid/>
        <w:ind w:firstLine="420" w:firstLineChars="200"/>
        <w:jc w:val="both"/>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3.7乙方须负责货物装卸运输、安装调试（①货物到达交货点后，乙方即按甲方时间进度计划派出有经验的项目经理及工程技术人员到本项目现场进行安装；②由乙方派技术人员负责安装调试，直到设备正常运行；③设备完成安装后，乙方技术人员对甲方进行指导培训和基本保养；④甲方应当提供符合合同货物安装条件的场所和提供只能由甲方给予的必要的配合）、试运行（符合功能性设计的要求）、验收和售后服务、培训（功能介绍、维护管理、故障保证，培训时间不少于30天）等。</w:t>
      </w:r>
    </w:p>
    <w:p>
      <w:pPr>
        <w:widowControl w:val="0"/>
        <w:adjustRightInd/>
        <w:snapToGrid/>
        <w:ind w:firstLine="420" w:firstLineChars="200"/>
        <w:jc w:val="both"/>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3.8乙方必须保证车辆为原厂生产的全新产品，底盘及上装等生产日期，不得早于验收日期前6个月。</w:t>
      </w:r>
    </w:p>
    <w:p>
      <w:pPr>
        <w:widowControl w:val="0"/>
        <w:adjustRightInd/>
        <w:snapToGrid/>
        <w:ind w:firstLine="420" w:firstLineChars="200"/>
        <w:jc w:val="both"/>
        <w:rPr>
          <w:rFonts w:cs="宋体" w:asciiTheme="minorEastAsia" w:hAnsiTheme="minorEastAsia" w:eastAsiaTheme="minorEastAsia"/>
          <w:color w:val="auto"/>
          <w:szCs w:val="21"/>
          <w:highlight w:val="none"/>
        </w:rPr>
      </w:pPr>
    </w:p>
    <w:p>
      <w:pPr>
        <w:snapToGrid/>
        <w:ind w:firstLine="422" w:firstLineChars="200"/>
        <w:outlineLvl w:val="0"/>
        <w:rPr>
          <w:rFonts w:cs="宋体" w:asciiTheme="minorEastAsia" w:hAnsiTheme="minorEastAsia" w:eastAsiaTheme="minorEastAsia"/>
          <w:b/>
          <w:bCs/>
          <w:color w:val="auto"/>
          <w:szCs w:val="21"/>
          <w:highlight w:val="none"/>
        </w:rPr>
      </w:pPr>
      <w:bookmarkStart w:id="848" w:name="_Toc5270"/>
      <w:bookmarkStart w:id="849" w:name="_Toc141447077"/>
      <w:bookmarkStart w:id="850" w:name="_Toc20495"/>
      <w:r>
        <w:rPr>
          <w:rFonts w:hint="eastAsia" w:cs="宋体" w:asciiTheme="minorEastAsia" w:hAnsiTheme="minorEastAsia" w:eastAsiaTheme="minorEastAsia"/>
          <w:b/>
          <w:bCs/>
          <w:color w:val="auto"/>
          <w:szCs w:val="21"/>
          <w:highlight w:val="none"/>
        </w:rPr>
        <w:t>四、执行进度</w:t>
      </w:r>
      <w:bookmarkEnd w:id="848"/>
      <w:bookmarkEnd w:id="849"/>
      <w:bookmarkEnd w:id="850"/>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4.1 交货地点：东莞地区内甲方指定地点。</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4.2 乙方收到中标通知书后15个日历日内，即</w:t>
      </w:r>
      <w:r>
        <w:rPr>
          <w:rFonts w:hint="eastAsia" w:cs="宋体" w:asciiTheme="minorEastAsia" w:hAnsiTheme="minorEastAsia" w:eastAsiaTheme="minorEastAsia"/>
          <w:color w:val="auto"/>
          <w:szCs w:val="21"/>
          <w:highlight w:val="none"/>
          <w:u w:val="single"/>
        </w:rPr>
        <w:t xml:space="preserve">  年  月  日</w:t>
      </w:r>
      <w:r>
        <w:rPr>
          <w:rFonts w:hint="eastAsia" w:cs="宋体" w:asciiTheme="minorEastAsia" w:hAnsiTheme="minorEastAsia" w:eastAsiaTheme="minorEastAsia"/>
          <w:color w:val="auto"/>
          <w:szCs w:val="21"/>
          <w:highlight w:val="none"/>
        </w:rPr>
        <w:t>前负责将本合同设备运抵现场交货并由甲方验收合格，验收合格后5个日历日内完成安装（包括安装行车记录仪、右侧盲区雷达监测及倒车后视系统智慧环卫设备）、接入甲方智慧环卫系统、第三方平台并经甲方验收合格。车辆设备验收合格后10个日历日内完成上牌（必须为东莞市车牌）。交货期内，甲方有权根据实际情况变更交货日期并将该日期书面通知乙方，乙方应在接到甲方书面通知后按甲方要求的日期交货。甲方有权要求乙方将本合同约定的交货期推迟期限延长2个月，甲方无需因此向乙方承担任何违约责任。乙方应在接到甲方书面通知后按甲方要求的日期交货。</w:t>
      </w:r>
    </w:p>
    <w:p>
      <w:pPr>
        <w:snapToGrid/>
        <w:ind w:firstLine="420" w:firstLineChars="200"/>
        <w:rPr>
          <w:rFonts w:cs="宋体" w:asciiTheme="minorEastAsia" w:hAnsiTheme="minorEastAsia" w:eastAsiaTheme="minorEastAsia"/>
          <w:color w:val="auto"/>
          <w:szCs w:val="21"/>
          <w:highlight w:val="none"/>
          <w:lang w:bidi="zh-CN"/>
        </w:rPr>
      </w:pPr>
      <w:r>
        <w:rPr>
          <w:rFonts w:hint="eastAsia" w:cs="宋体" w:asciiTheme="minorEastAsia" w:hAnsiTheme="minorEastAsia" w:eastAsiaTheme="minorEastAsia"/>
          <w:color w:val="auto"/>
          <w:szCs w:val="21"/>
          <w:highlight w:val="none"/>
        </w:rPr>
        <w:t xml:space="preserve">4.3 </w:t>
      </w:r>
      <w:r>
        <w:rPr>
          <w:rFonts w:hint="eastAsia" w:cs="宋体" w:asciiTheme="minorEastAsia" w:hAnsiTheme="minorEastAsia" w:eastAsiaTheme="minorEastAsia"/>
          <w:color w:val="auto"/>
          <w:szCs w:val="21"/>
          <w:highlight w:val="none"/>
          <w:lang w:bidi="zh-CN"/>
        </w:rPr>
        <w:t>乙方在车管所上牌后车辆需配备行车记录仪、右侧盲区雷达监测及倒车后视系统，甲方不需为安装行车记录仪、右侧盲区雷达监测及倒车后视系统增加费用。（注：右侧盲区雷达监测系统必须通过GB4943.1-2011《信息技术设备安全第1部份：通用要求》）</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lang w:bidi="zh-CN"/>
        </w:rPr>
        <w:t>4.4</w:t>
      </w:r>
      <w:r>
        <w:rPr>
          <w:rFonts w:hint="eastAsia" w:cs="宋体" w:asciiTheme="minorEastAsia" w:hAnsiTheme="minorEastAsia" w:eastAsiaTheme="minorEastAsia"/>
          <w:color w:val="auto"/>
          <w:szCs w:val="21"/>
          <w:highlight w:val="none"/>
        </w:rPr>
        <w:t>所有货物需在显眼的展示区域包括但不限于车身周围、车尾处标注甲方要求的标识，具体与甲方商议确定为准。</w:t>
      </w:r>
    </w:p>
    <w:p>
      <w:pPr>
        <w:snapToGrid/>
        <w:ind w:firstLine="420" w:firstLineChars="200"/>
        <w:rPr>
          <w:rFonts w:cs="宋体" w:asciiTheme="minorEastAsia" w:hAnsiTheme="minorEastAsia" w:eastAsiaTheme="minorEastAsia"/>
          <w:color w:val="auto"/>
          <w:szCs w:val="21"/>
          <w:highlight w:val="none"/>
          <w:lang w:bidi="zh-CN"/>
        </w:rPr>
      </w:pPr>
      <w:r>
        <w:rPr>
          <w:rFonts w:hint="eastAsia" w:cs="宋体" w:asciiTheme="minorEastAsia" w:hAnsiTheme="minorEastAsia" w:eastAsiaTheme="minorEastAsia"/>
          <w:color w:val="auto"/>
          <w:szCs w:val="21"/>
          <w:highlight w:val="none"/>
          <w:lang w:bidi="zh-CN"/>
        </w:rPr>
        <w:t>4.5 所有车辆（除车厢可卸式垃圾车外）需在后部加装一对不小于0.6m长的亮黄色LED安全导向指示灯，控制开关须在驾驶室内，具体加装位置需与甲方确认。</w:t>
      </w:r>
    </w:p>
    <w:p>
      <w:pPr>
        <w:snapToGrid/>
        <w:ind w:firstLine="420" w:firstLineChars="200"/>
        <w:rPr>
          <w:rFonts w:cs="宋体" w:asciiTheme="minorEastAsia" w:hAnsiTheme="minorEastAsia" w:eastAsiaTheme="minorEastAsia"/>
          <w:color w:val="auto"/>
          <w:szCs w:val="21"/>
          <w:highlight w:val="none"/>
          <w:lang w:bidi="zh-CN"/>
        </w:rPr>
      </w:pPr>
      <w:r>
        <w:rPr>
          <w:rFonts w:hint="eastAsia" w:cs="宋体" w:asciiTheme="minorEastAsia" w:hAnsiTheme="minorEastAsia" w:eastAsiaTheme="minorEastAsia"/>
          <w:color w:val="auto"/>
          <w:szCs w:val="21"/>
          <w:highlight w:val="none"/>
          <w:lang w:bidi="zh-CN"/>
        </w:rPr>
        <w:t>4.6平板自卸车除加装安全导向指示灯外，货箱加装与驾驶室顶部齐平的可拆卸式四面挡板（不高于行驶证车辆高度），货箱后栏板位置安装可拆卸式安全标语，具体内容须与甲方商议。</w:t>
      </w:r>
    </w:p>
    <w:p>
      <w:pPr>
        <w:snapToGrid/>
        <w:ind w:firstLine="420" w:firstLineChars="200"/>
        <w:rPr>
          <w:rFonts w:cs="宋体" w:asciiTheme="minorEastAsia" w:hAnsiTheme="minorEastAsia" w:eastAsiaTheme="minorEastAsia"/>
          <w:color w:val="auto"/>
          <w:szCs w:val="21"/>
          <w:highlight w:val="none"/>
          <w:lang w:bidi="zh-CN"/>
        </w:rPr>
      </w:pPr>
      <w:r>
        <w:rPr>
          <w:rFonts w:hint="eastAsia" w:cs="宋体" w:asciiTheme="minorEastAsia" w:hAnsiTheme="minorEastAsia" w:eastAsiaTheme="minorEastAsia"/>
          <w:color w:val="auto"/>
          <w:szCs w:val="21"/>
          <w:highlight w:val="none"/>
          <w:lang w:bidi="zh-CN"/>
        </w:rPr>
        <w:t>4.7乙方必须保证车辆为原厂生产的全新产品，底盘及上装等生产日期，不得早于验收日期前6个月。</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4.8由乙方为甲方提供上牌服务，相关费用已含在合同总价内。</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4.9 乙方提供的</w:t>
      </w:r>
      <w:r>
        <w:rPr>
          <w:rFonts w:hint="eastAsia" w:cs="宋体" w:asciiTheme="minorEastAsia" w:hAnsiTheme="minorEastAsia" w:eastAsiaTheme="minorEastAsia"/>
          <w:color w:val="auto"/>
          <w:szCs w:val="21"/>
          <w:highlight w:val="none"/>
          <w:lang w:bidi="zh-CN"/>
        </w:rPr>
        <w:t>车辆需留有接口，到货验收合格后5个日历日内</w:t>
      </w:r>
      <w:r>
        <w:rPr>
          <w:rFonts w:hint="eastAsia" w:cs="宋体" w:asciiTheme="minorEastAsia" w:hAnsiTheme="minorEastAsia" w:eastAsiaTheme="minorEastAsia"/>
          <w:color w:val="auto"/>
          <w:szCs w:val="21"/>
          <w:highlight w:val="none"/>
        </w:rPr>
        <w:t>接入甲方现有的智慧环卫系统及第三方平台，所产生的费用由乙方承担。</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5.0乙方需在东莞市内有建立二类以上维修资质的售后服务点为甲方提供售后保障。</w:t>
      </w:r>
    </w:p>
    <w:p>
      <w:pPr>
        <w:snapToGrid/>
        <w:ind w:firstLine="420" w:firstLineChars="200"/>
        <w:rPr>
          <w:rFonts w:cs="宋体" w:asciiTheme="minorEastAsia" w:hAnsiTheme="minorEastAsia" w:eastAsiaTheme="minorEastAsia"/>
          <w:color w:val="auto"/>
          <w:szCs w:val="21"/>
          <w:highlight w:val="none"/>
        </w:rPr>
      </w:pPr>
    </w:p>
    <w:p>
      <w:pPr>
        <w:snapToGrid/>
        <w:ind w:firstLine="422" w:firstLineChars="200"/>
        <w:outlineLvl w:val="0"/>
        <w:rPr>
          <w:rFonts w:cs="宋体" w:asciiTheme="minorEastAsia" w:hAnsiTheme="minorEastAsia" w:eastAsiaTheme="minorEastAsia"/>
          <w:b/>
          <w:bCs/>
          <w:color w:val="auto"/>
          <w:szCs w:val="21"/>
          <w:highlight w:val="none"/>
        </w:rPr>
      </w:pPr>
      <w:bookmarkStart w:id="851" w:name="_Toc141447078"/>
      <w:bookmarkStart w:id="852" w:name="_Toc24279"/>
      <w:bookmarkStart w:id="853" w:name="_Toc17434"/>
      <w:r>
        <w:rPr>
          <w:rFonts w:hint="eastAsia" w:cs="宋体" w:asciiTheme="minorEastAsia" w:hAnsiTheme="minorEastAsia" w:eastAsiaTheme="minorEastAsia"/>
          <w:b/>
          <w:bCs/>
          <w:color w:val="auto"/>
          <w:szCs w:val="21"/>
          <w:highlight w:val="none"/>
        </w:rPr>
        <w:t>五、包装和运输</w:t>
      </w:r>
      <w:bookmarkEnd w:id="851"/>
      <w:bookmarkEnd w:id="852"/>
      <w:bookmarkEnd w:id="853"/>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5.1 包装必须与运输方式相适应，乙方负责确定包装方式；由于不适当的包装造成货物在运输过程中有任何损坏由乙方负责。</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5.2 包装费、运费、</w:t>
      </w:r>
      <w:r>
        <w:rPr>
          <w:rFonts w:hint="eastAsia"/>
          <w:color w:val="auto"/>
          <w:highlight w:val="none"/>
        </w:rPr>
        <w:t>运输保险费</w:t>
      </w:r>
      <w:r>
        <w:rPr>
          <w:rFonts w:hint="eastAsia" w:cs="宋体" w:asciiTheme="minorEastAsia" w:hAnsiTheme="minorEastAsia" w:eastAsiaTheme="minorEastAsia"/>
          <w:color w:val="auto"/>
          <w:szCs w:val="21"/>
          <w:highlight w:val="none"/>
        </w:rPr>
        <w:t>已包含在合同总价内。</w:t>
      </w:r>
    </w:p>
    <w:p>
      <w:pPr>
        <w:snapToGrid/>
        <w:ind w:firstLine="420" w:firstLineChars="200"/>
        <w:rPr>
          <w:rFonts w:cs="宋体" w:asciiTheme="minorEastAsia" w:hAnsiTheme="minorEastAsia" w:eastAsiaTheme="minorEastAsia"/>
          <w:color w:val="auto"/>
          <w:szCs w:val="21"/>
          <w:highlight w:val="none"/>
        </w:rPr>
      </w:pPr>
    </w:p>
    <w:p>
      <w:pPr>
        <w:snapToGrid/>
        <w:ind w:firstLine="422" w:firstLineChars="200"/>
        <w:outlineLvl w:val="0"/>
        <w:rPr>
          <w:rFonts w:cs="宋体" w:asciiTheme="minorEastAsia" w:hAnsiTheme="minorEastAsia" w:eastAsiaTheme="minorEastAsia"/>
          <w:b/>
          <w:bCs/>
          <w:color w:val="auto"/>
          <w:szCs w:val="21"/>
          <w:highlight w:val="none"/>
        </w:rPr>
      </w:pPr>
      <w:bookmarkStart w:id="854" w:name="_Toc141447079"/>
      <w:bookmarkStart w:id="855" w:name="_Toc22554"/>
      <w:bookmarkStart w:id="856" w:name="_Toc16543"/>
      <w:r>
        <w:rPr>
          <w:rFonts w:hint="eastAsia" w:cs="宋体" w:asciiTheme="minorEastAsia" w:hAnsiTheme="minorEastAsia" w:eastAsiaTheme="minorEastAsia"/>
          <w:b/>
          <w:bCs/>
          <w:color w:val="auto"/>
          <w:szCs w:val="21"/>
          <w:highlight w:val="none"/>
        </w:rPr>
        <w:t>六、验收要求</w:t>
      </w:r>
      <w:bookmarkEnd w:id="854"/>
      <w:bookmarkEnd w:id="855"/>
      <w:bookmarkEnd w:id="856"/>
    </w:p>
    <w:p>
      <w:pPr>
        <w:numPr>
          <w:ilvl w:val="255"/>
          <w:numId w:val="0"/>
        </w:num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6.1车辆验收要求</w:t>
      </w:r>
    </w:p>
    <w:p>
      <w:pPr>
        <w:numPr>
          <w:ilvl w:val="255"/>
          <w:numId w:val="0"/>
        </w:num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6.1.1车辆查验：</w:t>
      </w:r>
    </w:p>
    <w:p>
      <w:pPr>
        <w:pStyle w:val="2"/>
        <w:numPr>
          <w:ilvl w:val="255"/>
          <w:numId w:val="0"/>
        </w:numPr>
        <w:spacing w:before="0"/>
        <w:ind w:left="-5" w:firstLine="420" w:firstLineChars="200"/>
        <w:rPr>
          <w:rFonts w:eastAsiaTheme="minorEastAsia"/>
          <w:color w:val="auto"/>
          <w:sz w:val="21"/>
          <w:szCs w:val="21"/>
          <w:highlight w:val="none"/>
          <w:lang w:val="en-US" w:bidi="ar-SA"/>
        </w:rPr>
      </w:pPr>
      <w:r>
        <w:rPr>
          <w:rFonts w:hint="eastAsia" w:eastAsiaTheme="minorEastAsia"/>
          <w:color w:val="auto"/>
          <w:sz w:val="21"/>
          <w:szCs w:val="21"/>
          <w:highlight w:val="none"/>
          <w:lang w:val="en-US" w:bidi="ar-SA"/>
        </w:rPr>
        <w:t>6.1.1.1车辆在上牌前需进行第一次查验，查验车辆应当在甲方指定地点（东莞市内，以甲方通知为准）进行，</w:t>
      </w:r>
      <w:r>
        <w:rPr>
          <w:rFonts w:hint="eastAsia" w:ascii="宋体" w:hAnsi="宋体" w:eastAsiaTheme="minorEastAsia"/>
          <w:color w:val="auto"/>
          <w:sz w:val="21"/>
          <w:szCs w:val="21"/>
          <w:highlight w:val="none"/>
          <w:lang w:val="en-US" w:bidi="ar-SA"/>
        </w:rPr>
        <w:t>乙方</w:t>
      </w:r>
      <w:r>
        <w:rPr>
          <w:rFonts w:hint="eastAsia" w:eastAsiaTheme="minorEastAsia"/>
          <w:color w:val="auto"/>
          <w:sz w:val="21"/>
          <w:szCs w:val="21"/>
          <w:highlight w:val="none"/>
          <w:lang w:val="en-US" w:bidi="ar-SA"/>
        </w:rPr>
        <w:t>应提供完整的产品技术资料（包括车辆合格证原件，产品说明书、用户手册、制造厂质量合格证书及其他相关文件资料），与合同的各项技术规格、指标和性能要求对比开展查验工作。</w:t>
      </w:r>
    </w:p>
    <w:p>
      <w:pPr>
        <w:pStyle w:val="2"/>
        <w:numPr>
          <w:ilvl w:val="255"/>
          <w:numId w:val="0"/>
        </w:numPr>
        <w:spacing w:before="0"/>
        <w:ind w:left="-5" w:firstLine="420" w:firstLineChars="200"/>
        <w:rPr>
          <w:rFonts w:eastAsiaTheme="minorEastAsia"/>
          <w:color w:val="auto"/>
          <w:sz w:val="21"/>
          <w:szCs w:val="21"/>
          <w:highlight w:val="none"/>
          <w:lang w:val="en-US" w:bidi="ar-SA"/>
        </w:rPr>
      </w:pPr>
      <w:r>
        <w:rPr>
          <w:rFonts w:hint="eastAsia" w:eastAsiaTheme="minorEastAsia"/>
          <w:color w:val="auto"/>
          <w:sz w:val="21"/>
          <w:szCs w:val="21"/>
          <w:highlight w:val="none"/>
          <w:lang w:val="en-US" w:bidi="ar-SA"/>
        </w:rPr>
        <w:t>6.1.1.2</w:t>
      </w:r>
      <w:r>
        <w:rPr>
          <w:rFonts w:hint="eastAsia" w:ascii="宋体" w:hAnsi="宋体" w:eastAsiaTheme="minorEastAsia"/>
          <w:color w:val="auto"/>
          <w:sz w:val="21"/>
          <w:szCs w:val="21"/>
          <w:highlight w:val="none"/>
          <w:lang w:val="en-US" w:bidi="ar-SA"/>
        </w:rPr>
        <w:t>乙方</w:t>
      </w:r>
      <w:r>
        <w:rPr>
          <w:rFonts w:hint="eastAsia" w:eastAsiaTheme="minorEastAsia"/>
          <w:color w:val="auto"/>
          <w:sz w:val="21"/>
          <w:szCs w:val="21"/>
          <w:highlight w:val="none"/>
          <w:lang w:val="en-US" w:bidi="ar-SA"/>
        </w:rPr>
        <w:t>应派遣有经验有能力的工程师或委托第三方配合甲方检验其所供应的货物的外观性能和各项参数指标是否符合采购要求，同时甲方有权自行委托第三方机构对车辆设备进行车辆查验，</w:t>
      </w:r>
      <w:r>
        <w:rPr>
          <w:rFonts w:hint="eastAsia" w:ascii="宋体" w:hAnsi="宋体" w:eastAsiaTheme="minorEastAsia"/>
          <w:color w:val="auto"/>
          <w:sz w:val="21"/>
          <w:szCs w:val="21"/>
          <w:highlight w:val="none"/>
          <w:lang w:val="en-US" w:bidi="ar-SA"/>
        </w:rPr>
        <w:t>乙方</w:t>
      </w:r>
      <w:r>
        <w:rPr>
          <w:rFonts w:hint="eastAsia" w:eastAsiaTheme="minorEastAsia"/>
          <w:color w:val="auto"/>
          <w:sz w:val="21"/>
          <w:szCs w:val="21"/>
          <w:highlight w:val="none"/>
          <w:lang w:val="en-US" w:bidi="ar-SA"/>
        </w:rPr>
        <w:t>不得持有异议。查验不合格时第三方机构的查验服务费由</w:t>
      </w:r>
      <w:r>
        <w:rPr>
          <w:rFonts w:hint="eastAsia" w:ascii="宋体" w:hAnsi="宋体" w:eastAsiaTheme="minorEastAsia"/>
          <w:color w:val="auto"/>
          <w:sz w:val="21"/>
          <w:szCs w:val="21"/>
          <w:highlight w:val="none"/>
          <w:lang w:val="en-US" w:bidi="ar-SA"/>
        </w:rPr>
        <w:t>乙方</w:t>
      </w:r>
      <w:r>
        <w:rPr>
          <w:rFonts w:hint="eastAsia" w:eastAsiaTheme="minorEastAsia"/>
          <w:color w:val="auto"/>
          <w:sz w:val="21"/>
          <w:szCs w:val="21"/>
          <w:highlight w:val="none"/>
          <w:lang w:val="en-US" w:bidi="ar-SA"/>
        </w:rPr>
        <w:t>承担。</w:t>
      </w:r>
    </w:p>
    <w:p>
      <w:pPr>
        <w:pStyle w:val="2"/>
        <w:numPr>
          <w:ilvl w:val="255"/>
          <w:numId w:val="0"/>
        </w:numPr>
        <w:spacing w:before="0"/>
        <w:ind w:left="-5" w:firstLine="420" w:firstLineChars="200"/>
        <w:rPr>
          <w:rFonts w:hint="eastAsia" w:eastAsiaTheme="minorEastAsia"/>
          <w:color w:val="auto"/>
          <w:sz w:val="21"/>
          <w:szCs w:val="21"/>
          <w:highlight w:val="none"/>
          <w:lang w:val="en-US" w:bidi="ar-SA"/>
        </w:rPr>
      </w:pPr>
      <w:r>
        <w:rPr>
          <w:rFonts w:hint="eastAsia" w:eastAsiaTheme="minorEastAsia"/>
          <w:color w:val="auto"/>
          <w:sz w:val="21"/>
          <w:szCs w:val="21"/>
          <w:highlight w:val="none"/>
          <w:lang w:val="en-US" w:bidi="ar-SA"/>
        </w:rPr>
        <w:t>6.1.1.3车辆的查验、试驾完成后，若查验合格，各方在查验证明上签字；若查验不合格，</w:t>
      </w:r>
      <w:r>
        <w:rPr>
          <w:rFonts w:hint="eastAsia" w:ascii="宋体" w:hAnsi="宋体" w:eastAsiaTheme="minorEastAsia"/>
          <w:color w:val="auto"/>
          <w:sz w:val="21"/>
          <w:szCs w:val="21"/>
          <w:highlight w:val="none"/>
          <w:lang w:val="en-US" w:bidi="ar-SA"/>
        </w:rPr>
        <w:t>甲方</w:t>
      </w:r>
      <w:r>
        <w:rPr>
          <w:rFonts w:hint="eastAsia" w:eastAsiaTheme="minorEastAsia"/>
          <w:color w:val="auto"/>
          <w:sz w:val="21"/>
          <w:szCs w:val="21"/>
          <w:highlight w:val="none"/>
          <w:lang w:val="en-US" w:bidi="ar-SA"/>
        </w:rPr>
        <w:t>需在查验证明上写明不合格内容及整改时限要求，因查验不合格导致逾期供货的，按逾期供货条款执行。</w:t>
      </w:r>
    </w:p>
    <w:p>
      <w:pPr>
        <w:pStyle w:val="2"/>
        <w:numPr>
          <w:ilvl w:val="255"/>
          <w:numId w:val="0"/>
        </w:numPr>
        <w:spacing w:before="0"/>
        <w:ind w:left="-5" w:firstLine="420" w:firstLineChars="200"/>
        <w:rPr>
          <w:rFonts w:hint="eastAsia" w:eastAsiaTheme="minorEastAsia"/>
          <w:color w:val="auto"/>
          <w:sz w:val="21"/>
          <w:szCs w:val="21"/>
          <w:highlight w:val="none"/>
          <w:lang w:val="en-US" w:bidi="ar-SA"/>
        </w:rPr>
      </w:pPr>
      <w:r>
        <w:rPr>
          <w:rFonts w:hint="eastAsia" w:eastAsiaTheme="minorEastAsia"/>
          <w:color w:val="auto"/>
          <w:sz w:val="21"/>
          <w:szCs w:val="21"/>
          <w:highlight w:val="none"/>
          <w:lang w:val="en-US" w:bidi="ar-SA"/>
        </w:rPr>
        <w:t>6.1.2车辆验收</w:t>
      </w:r>
    </w:p>
    <w:p>
      <w:pPr>
        <w:pStyle w:val="2"/>
        <w:numPr>
          <w:ilvl w:val="255"/>
          <w:numId w:val="0"/>
        </w:numPr>
        <w:spacing w:before="0"/>
        <w:ind w:left="-5" w:firstLine="420" w:firstLineChars="200"/>
        <w:rPr>
          <w:rFonts w:hint="eastAsia" w:eastAsiaTheme="minorEastAsia"/>
          <w:color w:val="auto"/>
          <w:sz w:val="21"/>
          <w:szCs w:val="21"/>
          <w:highlight w:val="none"/>
          <w:lang w:val="en-US" w:bidi="ar-SA"/>
        </w:rPr>
      </w:pPr>
      <w:r>
        <w:rPr>
          <w:rFonts w:hint="eastAsia" w:eastAsiaTheme="minorEastAsia"/>
          <w:color w:val="auto"/>
          <w:sz w:val="21"/>
          <w:szCs w:val="21"/>
          <w:highlight w:val="none"/>
          <w:lang w:val="en-US" w:bidi="ar-SA"/>
        </w:rPr>
        <w:t>车辆查验合格后，乙方需完成车辆上牌及配件安装（包括安装行车记录仪、右侧盲区雷达监测及倒车后视系统智慧环卫设备、贴膜等）等相关工作、并将车辆移交至甲方指定地点（东莞市内，以甲方通知为准）后开展验收工作，检查确认货物是否齐全（若发现车辆部件丢失、损坏，均由乙方承担责任）。若验收合格，各方于验收证明上签字并进行车辆交付；若查验不合格，乙方需在验收证明上写明不合格内容及整改时限要求，因验收不合格导致逾期供货的，按逾期供货条款执行。</w:t>
      </w:r>
    </w:p>
    <w:p>
      <w:pPr>
        <w:pStyle w:val="2"/>
        <w:numPr>
          <w:ilvl w:val="255"/>
          <w:numId w:val="0"/>
        </w:numPr>
        <w:spacing w:before="0"/>
        <w:ind w:left="-5" w:firstLine="420" w:firstLineChars="200"/>
        <w:rPr>
          <w:rFonts w:eastAsiaTheme="minorEastAsia"/>
          <w:color w:val="auto"/>
          <w:sz w:val="21"/>
          <w:szCs w:val="21"/>
          <w:highlight w:val="none"/>
        </w:rPr>
      </w:pPr>
      <w:r>
        <w:rPr>
          <w:rFonts w:hint="eastAsia" w:eastAsiaTheme="minorEastAsia"/>
          <w:color w:val="auto"/>
          <w:sz w:val="21"/>
          <w:szCs w:val="21"/>
          <w:highlight w:val="none"/>
          <w:lang w:val="en-US"/>
        </w:rPr>
        <w:t>6.1.3车辆</w:t>
      </w:r>
      <w:r>
        <w:rPr>
          <w:rFonts w:hint="eastAsia" w:eastAsiaTheme="minorEastAsia"/>
          <w:color w:val="auto"/>
          <w:sz w:val="21"/>
          <w:szCs w:val="21"/>
          <w:highlight w:val="none"/>
        </w:rPr>
        <w:t>交付：</w:t>
      </w:r>
    </w:p>
    <w:p>
      <w:pPr>
        <w:pStyle w:val="2"/>
        <w:numPr>
          <w:ilvl w:val="255"/>
          <w:numId w:val="0"/>
        </w:numPr>
        <w:spacing w:before="0"/>
        <w:ind w:left="-5" w:firstLine="420" w:firstLineChars="200"/>
        <w:rPr>
          <w:rFonts w:ascii="Tahoma" w:hAnsi="Tahoma" w:cstheme="minorBidi"/>
          <w:color w:val="auto"/>
          <w:sz w:val="21"/>
          <w:szCs w:val="21"/>
          <w:highlight w:val="none"/>
          <w:lang w:val="en-US" w:bidi="ar-SA"/>
        </w:rPr>
      </w:pPr>
      <w:r>
        <w:rPr>
          <w:rFonts w:hint="eastAsia" w:eastAsiaTheme="minorEastAsia"/>
          <w:color w:val="auto"/>
          <w:sz w:val="21"/>
          <w:szCs w:val="21"/>
          <w:highlight w:val="none"/>
        </w:rPr>
        <w:t>车辆验收</w:t>
      </w:r>
      <w:r>
        <w:rPr>
          <w:rFonts w:hint="eastAsia" w:ascii="Tahoma" w:hAnsi="Tahoma" w:cstheme="minorBidi"/>
          <w:color w:val="auto"/>
          <w:sz w:val="21"/>
          <w:szCs w:val="21"/>
          <w:highlight w:val="none"/>
          <w:lang w:val="en-US" w:bidi="ar-SA"/>
        </w:rPr>
        <w:t>合格后进行车辆交付，交付时应确保所有车辆油表显示在一半或一半以上，以确保车辆验收后甲方的正常使用，同时乙方将车辆相关证件及资料移交至甲方，包括但不限于以下资料：车辆合格证复印件；质量服务卡或保修手册；车辆使用说明书或用户使用手册（中文）；随车工具及备件清单；三包凭证；车辆登记入户相关文件；购车发票；车辆一致性证书；机动车登记证书；新车交付确认表；保险单正本及其保险发票；交通强制险增值税专用发票；车船税发票；购置税发票；完税证明；交通强制险标等。</w:t>
      </w:r>
    </w:p>
    <w:p>
      <w:pPr>
        <w:numPr>
          <w:ilvl w:val="255"/>
          <w:numId w:val="0"/>
        </w:numPr>
        <w:ind w:firstLine="420" w:firstLineChars="200"/>
        <w:rPr>
          <w:color w:val="auto"/>
          <w:szCs w:val="21"/>
          <w:highlight w:val="none"/>
        </w:rPr>
      </w:pPr>
      <w:r>
        <w:rPr>
          <w:rFonts w:hint="eastAsia" w:cs="宋体" w:asciiTheme="minorEastAsia" w:hAnsiTheme="minorEastAsia" w:eastAsiaTheme="minorEastAsia"/>
          <w:color w:val="auto"/>
          <w:szCs w:val="21"/>
          <w:highlight w:val="none"/>
        </w:rPr>
        <w:t>6.2</w:t>
      </w:r>
      <w:r>
        <w:rPr>
          <w:rFonts w:hint="eastAsia"/>
          <w:color w:val="auto"/>
          <w:szCs w:val="21"/>
          <w:highlight w:val="none"/>
        </w:rPr>
        <w:t>智慧环卫设备交付的标准：</w:t>
      </w:r>
    </w:p>
    <w:p>
      <w:pPr>
        <w:numPr>
          <w:ilvl w:val="255"/>
          <w:numId w:val="0"/>
        </w:numPr>
        <w:ind w:firstLine="420" w:firstLineChars="200"/>
        <w:rPr>
          <w:color w:val="auto"/>
          <w:szCs w:val="21"/>
          <w:highlight w:val="none"/>
        </w:rPr>
      </w:pPr>
      <w:r>
        <w:rPr>
          <w:rFonts w:hint="eastAsia" w:cs="宋体" w:asciiTheme="minorEastAsia" w:hAnsiTheme="minorEastAsia" w:eastAsiaTheme="minorEastAsia"/>
          <w:color w:val="auto"/>
          <w:szCs w:val="21"/>
          <w:highlight w:val="none"/>
          <w:lang w:bidi="zh-CN"/>
        </w:rPr>
        <w:t>6.2.1</w:t>
      </w:r>
      <w:r>
        <w:rPr>
          <w:rFonts w:hint="eastAsia"/>
          <w:color w:val="auto"/>
          <w:szCs w:val="21"/>
          <w:highlight w:val="none"/>
        </w:rPr>
        <w:t>设备完整性：所有设备必须完整，无缺失、损坏、损坏的零件或设备。设备质量：所有设备必须符合国家质量认证标准和技术规范要求，保证其长期高效稳定运行。</w:t>
      </w:r>
    </w:p>
    <w:p>
      <w:pPr>
        <w:numPr>
          <w:ilvl w:val="255"/>
          <w:numId w:val="0"/>
        </w:numPr>
        <w:ind w:firstLine="420" w:firstLineChars="200"/>
        <w:rPr>
          <w:color w:val="auto"/>
          <w:szCs w:val="21"/>
          <w:highlight w:val="none"/>
        </w:rPr>
      </w:pPr>
      <w:r>
        <w:rPr>
          <w:rFonts w:hint="eastAsia" w:cs="宋体" w:asciiTheme="minorEastAsia" w:hAnsiTheme="minorEastAsia" w:eastAsiaTheme="minorEastAsia"/>
          <w:color w:val="auto"/>
          <w:szCs w:val="21"/>
          <w:highlight w:val="none"/>
          <w:lang w:bidi="zh-CN"/>
        </w:rPr>
        <w:t>6.2.2</w:t>
      </w:r>
      <w:r>
        <w:rPr>
          <w:rFonts w:hint="eastAsia"/>
          <w:color w:val="auto"/>
          <w:szCs w:val="21"/>
          <w:highlight w:val="none"/>
        </w:rPr>
        <w:t>设备功能：所有设备必须按照用户要求并经过测试，保证所有功能正常，性能稳定可靠。</w:t>
      </w:r>
    </w:p>
    <w:p>
      <w:pPr>
        <w:numPr>
          <w:ilvl w:val="255"/>
          <w:numId w:val="0"/>
        </w:numPr>
        <w:ind w:firstLine="420" w:firstLineChars="200"/>
        <w:rPr>
          <w:color w:val="auto"/>
          <w:szCs w:val="21"/>
          <w:highlight w:val="none"/>
        </w:rPr>
      </w:pPr>
      <w:r>
        <w:rPr>
          <w:rFonts w:hint="eastAsia" w:cs="宋体" w:asciiTheme="minorEastAsia" w:hAnsiTheme="minorEastAsia" w:eastAsiaTheme="minorEastAsia"/>
          <w:color w:val="auto"/>
          <w:szCs w:val="21"/>
          <w:highlight w:val="none"/>
          <w:lang w:bidi="zh-CN"/>
        </w:rPr>
        <w:t>6.2.3</w:t>
      </w:r>
      <w:r>
        <w:rPr>
          <w:rFonts w:hint="eastAsia"/>
          <w:color w:val="auto"/>
          <w:szCs w:val="21"/>
          <w:highlight w:val="none"/>
        </w:rPr>
        <w:t>设备安全性：所有设备必须通过安全性检测和测试，保证在使用过程中没有安全隐患。</w:t>
      </w:r>
    </w:p>
    <w:p>
      <w:pPr>
        <w:numPr>
          <w:ilvl w:val="255"/>
          <w:numId w:val="0"/>
        </w:numPr>
        <w:ind w:firstLine="420" w:firstLineChars="200"/>
        <w:rPr>
          <w:color w:val="auto"/>
          <w:szCs w:val="21"/>
          <w:highlight w:val="none"/>
        </w:rPr>
      </w:pPr>
      <w:r>
        <w:rPr>
          <w:rFonts w:hint="eastAsia" w:cs="宋体" w:asciiTheme="minorEastAsia" w:hAnsiTheme="minorEastAsia" w:eastAsiaTheme="minorEastAsia"/>
          <w:color w:val="auto"/>
          <w:szCs w:val="21"/>
          <w:highlight w:val="none"/>
          <w:lang w:bidi="zh-CN"/>
        </w:rPr>
        <w:t>6.2.4</w:t>
      </w:r>
      <w:r>
        <w:rPr>
          <w:rFonts w:hint="eastAsia"/>
          <w:color w:val="auto"/>
          <w:szCs w:val="21"/>
          <w:highlight w:val="none"/>
        </w:rPr>
        <w:t>设备易用性：所有设备必须设计合理，界面简洁明了，操作简便，易于使用。</w:t>
      </w:r>
    </w:p>
    <w:p>
      <w:pPr>
        <w:numPr>
          <w:ilvl w:val="255"/>
          <w:numId w:val="0"/>
        </w:numPr>
        <w:ind w:firstLine="420" w:firstLineChars="200"/>
        <w:rPr>
          <w:color w:val="auto"/>
          <w:szCs w:val="21"/>
          <w:highlight w:val="none"/>
        </w:rPr>
      </w:pPr>
      <w:r>
        <w:rPr>
          <w:rFonts w:hint="eastAsia" w:cs="宋体" w:asciiTheme="minorEastAsia" w:hAnsiTheme="minorEastAsia" w:eastAsiaTheme="minorEastAsia"/>
          <w:color w:val="auto"/>
          <w:szCs w:val="21"/>
          <w:highlight w:val="none"/>
          <w:lang w:bidi="zh-CN"/>
        </w:rPr>
        <w:t>6.2.5</w:t>
      </w:r>
      <w:r>
        <w:rPr>
          <w:rFonts w:hint="eastAsia"/>
          <w:color w:val="auto"/>
          <w:szCs w:val="21"/>
          <w:highlight w:val="none"/>
        </w:rPr>
        <w:t>设备可维护性：所有设备必须便于维护和保养，以确保设备长期稳定运行。</w:t>
      </w:r>
    </w:p>
    <w:p>
      <w:pPr>
        <w:numPr>
          <w:ilvl w:val="255"/>
          <w:numId w:val="0"/>
        </w:numPr>
        <w:ind w:firstLine="420" w:firstLineChars="200"/>
        <w:rPr>
          <w:color w:val="auto"/>
          <w:szCs w:val="21"/>
          <w:highlight w:val="none"/>
        </w:rPr>
      </w:pPr>
      <w:r>
        <w:rPr>
          <w:rFonts w:hint="eastAsia" w:cs="宋体" w:asciiTheme="minorEastAsia" w:hAnsiTheme="minorEastAsia" w:eastAsiaTheme="minorEastAsia"/>
          <w:color w:val="auto"/>
          <w:szCs w:val="21"/>
          <w:highlight w:val="none"/>
          <w:lang w:bidi="zh-CN"/>
        </w:rPr>
        <w:t>6.2.6</w:t>
      </w:r>
      <w:r>
        <w:rPr>
          <w:rFonts w:hint="eastAsia"/>
          <w:color w:val="auto"/>
          <w:szCs w:val="21"/>
          <w:highlight w:val="none"/>
        </w:rPr>
        <w:t>设备配件：所有设备必须符合国家标准要求的配件，以确保设备的稳定性和可靠性。</w:t>
      </w:r>
    </w:p>
    <w:p>
      <w:pPr>
        <w:numPr>
          <w:ilvl w:val="255"/>
          <w:numId w:val="0"/>
        </w:numPr>
        <w:ind w:firstLine="420" w:firstLineChars="200"/>
        <w:rPr>
          <w:color w:val="auto"/>
          <w:szCs w:val="21"/>
          <w:highlight w:val="none"/>
        </w:rPr>
      </w:pPr>
      <w:r>
        <w:rPr>
          <w:rFonts w:hint="eastAsia" w:cs="宋体" w:asciiTheme="minorEastAsia" w:hAnsiTheme="minorEastAsia" w:eastAsiaTheme="minorEastAsia"/>
          <w:color w:val="auto"/>
          <w:szCs w:val="21"/>
          <w:highlight w:val="none"/>
          <w:lang w:bidi="zh-CN"/>
        </w:rPr>
        <w:t>6.2.7</w:t>
      </w:r>
      <w:r>
        <w:rPr>
          <w:rFonts w:hint="eastAsia"/>
          <w:color w:val="auto"/>
          <w:szCs w:val="21"/>
          <w:highlight w:val="none"/>
        </w:rPr>
        <w:t>兼容性：所有设备必须</w:t>
      </w:r>
      <w:r>
        <w:rPr>
          <w:rFonts w:hint="eastAsia" w:ascii="宋体" w:hAnsi="宋体" w:cs="宋体"/>
          <w:color w:val="auto"/>
          <w:szCs w:val="21"/>
          <w:highlight w:val="none"/>
          <w:lang w:bidi="zh-CN"/>
        </w:rPr>
        <w:t>开放接口，由乙方</w:t>
      </w:r>
      <w:r>
        <w:rPr>
          <w:rFonts w:hint="eastAsia" w:ascii="宋体" w:hAnsi="宋体" w:cs="宋体"/>
          <w:color w:val="auto"/>
          <w:szCs w:val="21"/>
          <w:highlight w:val="none"/>
        </w:rPr>
        <w:t>接入甲方现有的智慧环卫系统及东莞市第三方平台，</w:t>
      </w:r>
      <w:r>
        <w:rPr>
          <w:rFonts w:hint="eastAsia" w:cs="宋体"/>
          <w:color w:val="auto"/>
          <w:szCs w:val="21"/>
          <w:highlight w:val="none"/>
        </w:rPr>
        <w:t>保证</w:t>
      </w:r>
      <w:r>
        <w:rPr>
          <w:rFonts w:hint="eastAsia"/>
          <w:color w:val="auto"/>
          <w:szCs w:val="21"/>
          <w:highlight w:val="none"/>
        </w:rPr>
        <w:t>能够在不同硬件和软件环境下正常工作，保证相互兼容性。按照国家标准要求进行安装，安装位置符合甲方要求；</w:t>
      </w:r>
    </w:p>
    <w:p>
      <w:pPr>
        <w:numPr>
          <w:ilvl w:val="255"/>
          <w:numId w:val="0"/>
        </w:numPr>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6.3其他：</w:t>
      </w:r>
    </w:p>
    <w:p>
      <w:pPr>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乙方需提供项目实施过程资料（在项目实施过程中所产生的所有文件、记录（设备到场记录，开箱记录，安装记录，运行记录等）、数据以及其他信息资料（说明书，合格证，保修卡是否完整等），包括但不限于项目计划、工作分解结构、进度计划、风险管理计划、变更请求、验收记录、会议记录、问题记录等）。验收合格不代表对产品质量的最终认定，不可免除乙方对产品的瑕疵和缺陷承担相应责任；甲方在使用过程中发现设备不符合合同要求的，乙方应承担相应的退、换责任，因设备使用导致设备残值损失等由乙方自行承担。因设备质量发生争议，由广东省或东莞市质量技术监督部门进行质量鉴定。鉴定费用由乙方先行垫付。如质量符合质量标准的，鉴定费由甲方承担；不符合质量标准的，鉴定费用乙方承担。</w:t>
      </w:r>
    </w:p>
    <w:p>
      <w:pPr>
        <w:pStyle w:val="2"/>
        <w:rPr>
          <w:color w:val="auto"/>
          <w:highlight w:val="none"/>
        </w:rPr>
      </w:pPr>
    </w:p>
    <w:p>
      <w:pPr>
        <w:snapToGrid/>
        <w:ind w:firstLine="422" w:firstLineChars="200"/>
        <w:outlineLvl w:val="0"/>
        <w:rPr>
          <w:rFonts w:cs="宋体" w:asciiTheme="minorEastAsia" w:hAnsiTheme="minorEastAsia" w:eastAsiaTheme="minorEastAsia"/>
          <w:b/>
          <w:bCs/>
          <w:color w:val="auto"/>
          <w:szCs w:val="21"/>
          <w:highlight w:val="none"/>
        </w:rPr>
      </w:pPr>
      <w:bookmarkStart w:id="857" w:name="_Toc8428"/>
      <w:bookmarkStart w:id="858" w:name="_Toc78"/>
      <w:bookmarkStart w:id="859" w:name="_Toc141447080"/>
      <w:r>
        <w:rPr>
          <w:rFonts w:hint="eastAsia" w:cs="宋体" w:asciiTheme="minorEastAsia" w:hAnsiTheme="minorEastAsia" w:eastAsiaTheme="minorEastAsia"/>
          <w:b/>
          <w:bCs/>
          <w:color w:val="auto"/>
          <w:szCs w:val="21"/>
          <w:highlight w:val="none"/>
        </w:rPr>
        <w:t>七、保险</w:t>
      </w:r>
      <w:bookmarkEnd w:id="857"/>
      <w:bookmarkEnd w:id="858"/>
      <w:bookmarkEnd w:id="859"/>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所采购的机动车每一种车型均需购买包括但不限于（1）交强险；（2）车损险；（3）第三者责任险300万或以上加不计免赔；（4）车上人员责任险；（5）车船税</w:t>
      </w:r>
      <w:r>
        <w:rPr>
          <w:rFonts w:hint="eastAsia" w:ascii="宋体" w:hAnsi="宋体" w:cs="宋体"/>
          <w:color w:val="auto"/>
          <w:szCs w:val="21"/>
          <w:highlight w:val="none"/>
        </w:rPr>
        <w:t>等，</w:t>
      </w:r>
      <w:r>
        <w:rPr>
          <w:rFonts w:hint="eastAsia" w:cs="宋体" w:asciiTheme="minorEastAsia" w:hAnsiTheme="minorEastAsia" w:eastAsiaTheme="minorEastAsia"/>
          <w:color w:val="auto"/>
          <w:szCs w:val="21"/>
          <w:highlight w:val="none"/>
        </w:rPr>
        <w:t>由乙方负责购买，保险费用已包含在合同总价内，乙方应按甲方要求交付相关保险凭证。</w:t>
      </w:r>
    </w:p>
    <w:p>
      <w:pPr>
        <w:snapToGrid/>
        <w:ind w:firstLine="420" w:firstLineChars="200"/>
        <w:rPr>
          <w:rFonts w:cs="宋体" w:asciiTheme="minorEastAsia" w:hAnsiTheme="minorEastAsia" w:eastAsiaTheme="minorEastAsia"/>
          <w:color w:val="auto"/>
          <w:szCs w:val="21"/>
          <w:highlight w:val="none"/>
        </w:rPr>
      </w:pPr>
    </w:p>
    <w:p>
      <w:pPr>
        <w:snapToGrid/>
        <w:ind w:firstLine="422" w:firstLineChars="200"/>
        <w:outlineLvl w:val="0"/>
        <w:rPr>
          <w:rFonts w:cs="宋体" w:asciiTheme="minorEastAsia" w:hAnsiTheme="minorEastAsia" w:eastAsiaTheme="minorEastAsia"/>
          <w:b/>
          <w:bCs/>
          <w:color w:val="auto"/>
          <w:szCs w:val="21"/>
          <w:highlight w:val="none"/>
        </w:rPr>
      </w:pPr>
      <w:bookmarkStart w:id="860" w:name="_Toc141447081"/>
      <w:bookmarkStart w:id="861" w:name="_Toc12952"/>
      <w:bookmarkStart w:id="862" w:name="_Toc9209"/>
      <w:r>
        <w:rPr>
          <w:rFonts w:hint="eastAsia" w:cs="宋体" w:asciiTheme="minorEastAsia" w:hAnsiTheme="minorEastAsia" w:eastAsiaTheme="minorEastAsia"/>
          <w:b/>
          <w:bCs/>
          <w:color w:val="auto"/>
          <w:szCs w:val="21"/>
          <w:highlight w:val="none"/>
        </w:rPr>
        <w:t>八、付款</w:t>
      </w:r>
      <w:bookmarkEnd w:id="860"/>
      <w:bookmarkEnd w:id="861"/>
      <w:bookmarkEnd w:id="862"/>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8.1 合同签订完后，乙方向甲方提交请款报告及等额值增值税专用发票，甲方收到前述材料并核对无误后三十个日历日内向乙方支付至合同总价的20%作为定金；</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8.2 </w:t>
      </w:r>
      <w:r>
        <w:rPr>
          <w:rFonts w:hint="eastAsia" w:cs="宋体" w:asciiTheme="minorEastAsia" w:hAnsiTheme="minorEastAsia" w:eastAsiaTheme="minorEastAsia"/>
          <w:color w:val="auto"/>
          <w:szCs w:val="21"/>
          <w:highlight w:val="none"/>
          <w:lang w:val="en-US" w:eastAsia="zh-CN"/>
        </w:rPr>
        <w:t>全部</w:t>
      </w:r>
      <w:r>
        <w:rPr>
          <w:rFonts w:hint="eastAsia" w:cs="宋体" w:asciiTheme="minorEastAsia" w:hAnsiTheme="minorEastAsia" w:eastAsiaTheme="minorEastAsia"/>
          <w:color w:val="auto"/>
          <w:szCs w:val="21"/>
          <w:highlight w:val="none"/>
        </w:rPr>
        <w:t>设备到货并经甲方开箱验收合格后，乙方向甲方提交请款报告及等额值增值税专用发票，甲方收到前述材料并核对无误后三十个日历日内向乙方支付至合同总价的70%；</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8.3 乙方完成</w:t>
      </w:r>
      <w:r>
        <w:rPr>
          <w:rFonts w:hint="eastAsia" w:cs="宋体" w:asciiTheme="minorEastAsia" w:hAnsiTheme="minorEastAsia" w:eastAsiaTheme="minorEastAsia"/>
          <w:color w:val="auto"/>
          <w:szCs w:val="21"/>
          <w:highlight w:val="none"/>
          <w:lang w:val="en-US" w:eastAsia="zh-CN"/>
        </w:rPr>
        <w:t>全部</w:t>
      </w:r>
      <w:r>
        <w:rPr>
          <w:rFonts w:hint="eastAsia" w:cs="宋体" w:asciiTheme="minorEastAsia" w:hAnsiTheme="minorEastAsia" w:eastAsiaTheme="minorEastAsia"/>
          <w:color w:val="auto"/>
          <w:szCs w:val="21"/>
          <w:highlight w:val="none"/>
        </w:rPr>
        <w:t>设备安装、上牌、信息化系统接入以及其他配套建设等工作，完成相关使用培训和售后整改，并经甲方以及有关主管部门验收合格后，双方进行结算，乙方向甲方提交结算报告、请款报告及与剩余未支付价款等额的增值税专用发票给甲方，甲方收到前述材料并核对无误后三十个日历日内向乙方支付至结算价的95%；</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8.4 剩余结算价的5%为质保金，质保期满后，若乙方不存在任何违约情形的，则由乙方提交请款资料，甲方在收到请款资料核验无误之日起三十个日历日内一次性无息支付；质保期间，若乙方存在任何违约情形的，甲方在扣除乙方应承担的费用后，将剩余部分退还；质保金不足以扣除的，乙方应补足；</w:t>
      </w:r>
      <w:r>
        <w:rPr>
          <w:rFonts w:hint="eastAsia" w:asciiTheme="minorEastAsia" w:hAnsiTheme="minorEastAsia" w:eastAsiaTheme="minorEastAsia" w:cstheme="minorEastAsia"/>
          <w:color w:val="auto"/>
          <w:szCs w:val="21"/>
          <w:highlight w:val="none"/>
        </w:rPr>
        <w:t>(注：本条仅适用于承诺质保一致的设备，如有</w:t>
      </w:r>
      <w:r>
        <w:rPr>
          <w:rFonts w:hint="eastAsia" w:asciiTheme="minorEastAsia" w:hAnsiTheme="minorEastAsia" w:eastAsiaTheme="minorEastAsia" w:cstheme="minorEastAsia"/>
          <w:color w:val="auto"/>
          <w:szCs w:val="21"/>
          <w:highlight w:val="none"/>
          <w:lang w:val="en-US" w:eastAsia="zh-CN"/>
        </w:rPr>
        <w:t>单个设备</w:t>
      </w:r>
      <w:r>
        <w:rPr>
          <w:rFonts w:hint="eastAsia" w:asciiTheme="minorEastAsia" w:hAnsiTheme="minorEastAsia" w:eastAsiaTheme="minorEastAsia" w:cstheme="minorEastAsia"/>
          <w:color w:val="auto"/>
          <w:szCs w:val="21"/>
          <w:highlight w:val="none"/>
        </w:rPr>
        <w:t>承诺质保期更长的情况，需办理结算价5%的保函，且保函的有效期需大于或等于设备的质保期。)</w:t>
      </w:r>
    </w:p>
    <w:p>
      <w:pPr>
        <w:snapToGrid/>
        <w:spacing w:line="240" w:lineRule="auto"/>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8.5 乙方请款前需向甲方提供请款材料和开具合法有效等额的增值税专用发票，否则甲方有权拒绝付款，甲方不视为违约，并无需承担迟延付款责任。 </w:t>
      </w:r>
    </w:p>
    <w:p>
      <w:pPr>
        <w:snapToGrid/>
        <w:ind w:firstLine="420" w:firstLineChars="200"/>
        <w:rPr>
          <w:rFonts w:cs="宋体" w:asciiTheme="minorEastAsia" w:hAnsiTheme="minorEastAsia" w:eastAsiaTheme="minorEastAsia"/>
          <w:color w:val="auto"/>
          <w:szCs w:val="21"/>
          <w:highlight w:val="none"/>
        </w:rPr>
      </w:pPr>
    </w:p>
    <w:p>
      <w:pPr>
        <w:snapToGrid/>
        <w:ind w:firstLine="422" w:firstLineChars="200"/>
        <w:outlineLvl w:val="0"/>
        <w:rPr>
          <w:rFonts w:cs="宋体" w:asciiTheme="minorEastAsia" w:hAnsiTheme="minorEastAsia" w:eastAsiaTheme="minorEastAsia"/>
          <w:b/>
          <w:bCs/>
          <w:color w:val="auto"/>
          <w:szCs w:val="21"/>
          <w:highlight w:val="none"/>
        </w:rPr>
      </w:pPr>
      <w:bookmarkStart w:id="863" w:name="_Toc18821"/>
      <w:bookmarkStart w:id="864" w:name="_Toc141447082"/>
      <w:bookmarkStart w:id="865" w:name="_Toc23387"/>
      <w:r>
        <w:rPr>
          <w:rFonts w:hint="eastAsia" w:cs="宋体" w:asciiTheme="minorEastAsia" w:hAnsiTheme="minorEastAsia" w:eastAsiaTheme="minorEastAsia"/>
          <w:b/>
          <w:bCs/>
          <w:color w:val="auto"/>
          <w:szCs w:val="21"/>
          <w:highlight w:val="none"/>
        </w:rPr>
        <w:t>九、知识产权</w:t>
      </w:r>
      <w:bookmarkEnd w:id="863"/>
      <w:bookmarkEnd w:id="864"/>
      <w:bookmarkEnd w:id="865"/>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9.1 乙方保证，甲方在中华人民共和国使用该货物或货物的全部或任何一部分时，免受第三方提出的侵犯其专利权、商标权或其他知识产权的起诉。如发生此类纠纷，由乙方承担一切责任；如因此给甲方造成损失的，乙方负责全额赔偿，且乙方应向甲方支付本合同总价 20%的违约金。</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9.2 乙方为执行本合同而提供的技术资料、软件的使用权归甲方所有。</w:t>
      </w:r>
    </w:p>
    <w:p>
      <w:pPr>
        <w:snapToGrid/>
        <w:ind w:firstLine="420" w:firstLineChars="200"/>
        <w:rPr>
          <w:rFonts w:cs="宋体" w:asciiTheme="minorEastAsia" w:hAnsiTheme="minorEastAsia" w:eastAsiaTheme="minorEastAsia"/>
          <w:color w:val="auto"/>
          <w:szCs w:val="21"/>
          <w:highlight w:val="none"/>
        </w:rPr>
      </w:pPr>
    </w:p>
    <w:p>
      <w:pPr>
        <w:snapToGrid/>
        <w:ind w:firstLine="422" w:firstLineChars="200"/>
        <w:outlineLvl w:val="0"/>
        <w:rPr>
          <w:rFonts w:cs="宋体" w:asciiTheme="minorEastAsia" w:hAnsiTheme="minorEastAsia" w:eastAsiaTheme="minorEastAsia"/>
          <w:b/>
          <w:bCs/>
          <w:color w:val="auto"/>
          <w:szCs w:val="21"/>
          <w:highlight w:val="none"/>
        </w:rPr>
      </w:pPr>
      <w:bookmarkStart w:id="866" w:name="_Toc15658"/>
      <w:bookmarkStart w:id="867" w:name="_Toc8491"/>
      <w:bookmarkStart w:id="868" w:name="_Toc141447083"/>
      <w:r>
        <w:rPr>
          <w:rFonts w:hint="eastAsia" w:cs="宋体" w:asciiTheme="minorEastAsia" w:hAnsiTheme="minorEastAsia" w:eastAsiaTheme="minorEastAsia"/>
          <w:b/>
          <w:bCs/>
          <w:color w:val="auto"/>
          <w:szCs w:val="21"/>
          <w:highlight w:val="none"/>
        </w:rPr>
        <w:t>十、双方权利义务</w:t>
      </w:r>
      <w:bookmarkEnd w:id="866"/>
      <w:bookmarkEnd w:id="867"/>
      <w:bookmarkEnd w:id="868"/>
      <w:r>
        <w:rPr>
          <w:rFonts w:hint="eastAsia" w:cs="宋体" w:asciiTheme="minorEastAsia" w:hAnsiTheme="minorEastAsia" w:eastAsiaTheme="minorEastAsia"/>
          <w:b/>
          <w:bCs/>
          <w:color w:val="auto"/>
          <w:szCs w:val="21"/>
          <w:highlight w:val="none"/>
        </w:rPr>
        <w:t xml:space="preserve"> </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10.1 甲方权利义务 </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10.1.1 按合同规定日期向乙方支付合同款； </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10.1.2 依据本协议约定对货物进行验收及试验，验收及试验单位为甲方或甲方委托的第三方单位； </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10.1.3 乙方按合同或甲方供货通知要求的时间将货物运到指定地点，货物运抵前 3 小时通知甲方准备接收；货物到交货点后，甲方应在合理时间内清点和检查验收；乙方应同时提供产地证明、装箱单、产品出厂合格证、质量保证 等交甲方确认，甲方按本合同约定对产品的外观、数量、型号进行初验,并予以签收确认，但甲方的初验结果不免除乙方因货物质量问题应承担的责任； </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10.1.4 对乙方提请确认的内容，甲方应在 48 工作小时内给以确认或提出修改意见。如在 48 工作小时内不能确认，</w:t>
      </w:r>
      <w:r>
        <w:rPr>
          <w:rFonts w:hint="eastAsia"/>
          <w:color w:val="auto"/>
          <w:highlight w:val="none"/>
        </w:rPr>
        <w:t>乙方应书面催告甲方进行确认，若经催告后甲方仍未确认的，</w:t>
      </w:r>
      <w:r>
        <w:rPr>
          <w:rFonts w:hint="eastAsia" w:cs="宋体" w:asciiTheme="minorEastAsia" w:hAnsiTheme="minorEastAsia" w:eastAsiaTheme="minorEastAsia"/>
          <w:color w:val="auto"/>
          <w:szCs w:val="21"/>
          <w:highlight w:val="none"/>
        </w:rPr>
        <w:t xml:space="preserve">供货时间得以顺延。 </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10.2 乙方权利义务 </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10.2.1 乙方应按本合同的约定时间及标准完成供货及保修服务； </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10.2.2 乙方应确保货物的包装在正常情况下能够保证设备的完好。凡由于包装不良造成的损失和由此产生的费用均由乙方承担； </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10.2.3 乙方应确保货物的质量符合国家及地方有关的规定、规范、行业标准，符合甲方需求以及本合同相关约定（如前述标准不一致的，以较高标准为准），且乙方保证所提供的产品是全新的、未使用过的、不存在任何权利瑕疵，且为产品生产厂家原厂生产。 如甲方在货物验收过程中或货物验收后的使用过程中发现货物不符合上述要求的，甲方有权要求更换或退货。如甲方选择更换的，乙方应在十个日历日内以同等或更优的货物予以更换并承担因此产生的费用和甲方损失。如甲、乙双方对设备是否存在质量问题无法达成一致的，甲方有权聘请第三方机构进行检测，</w:t>
      </w:r>
      <w:r>
        <w:rPr>
          <w:rFonts w:hint="eastAsia"/>
          <w:color w:val="auto"/>
          <w:highlight w:val="none"/>
        </w:rPr>
        <w:t>检测费用由乙方垫付，</w:t>
      </w:r>
      <w:r>
        <w:rPr>
          <w:rFonts w:hint="eastAsia" w:cs="宋体" w:asciiTheme="minorEastAsia" w:hAnsiTheme="minorEastAsia" w:eastAsiaTheme="minorEastAsia"/>
          <w:color w:val="auto"/>
          <w:szCs w:val="21"/>
          <w:highlight w:val="none"/>
        </w:rPr>
        <w:t xml:space="preserve">如检测结果为设备存在质量问题，则检测费用最终由乙方承担。 </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10.2.4 乙方应保证本项目货物、服务或其任何一部分不会产生因第三方提出侵犯其专利权、商标权等知识产权或其他合法权益而引起的法律和经济纠纷；如因第三方提出其专利权、商标权或其他知识产权或权利瑕疵的侵权之诉，则一切法律责任由乙方承担。本条款为独立条款，不受合同效力的限制。 </w:t>
      </w:r>
    </w:p>
    <w:p>
      <w:pPr>
        <w:snapToGrid/>
        <w:ind w:firstLine="420" w:firstLineChars="200"/>
        <w:rPr>
          <w:rFonts w:cs="宋体" w:asciiTheme="minorEastAsia" w:hAnsiTheme="minorEastAsia" w:eastAsiaTheme="minorEastAsia"/>
          <w:color w:val="auto"/>
          <w:szCs w:val="21"/>
          <w:highlight w:val="none"/>
        </w:rPr>
      </w:pPr>
    </w:p>
    <w:p>
      <w:pPr>
        <w:snapToGrid/>
        <w:ind w:firstLine="422" w:firstLineChars="200"/>
        <w:outlineLvl w:val="0"/>
        <w:rPr>
          <w:rFonts w:cs="宋体" w:asciiTheme="minorEastAsia" w:hAnsiTheme="minorEastAsia" w:eastAsiaTheme="minorEastAsia"/>
          <w:b/>
          <w:bCs/>
          <w:color w:val="auto"/>
          <w:szCs w:val="21"/>
          <w:highlight w:val="none"/>
        </w:rPr>
      </w:pPr>
      <w:bookmarkStart w:id="869" w:name="_Toc141447084"/>
      <w:bookmarkStart w:id="870" w:name="_Toc13196"/>
      <w:bookmarkStart w:id="871" w:name="_Toc17183"/>
      <w:r>
        <w:rPr>
          <w:rFonts w:hint="eastAsia" w:cs="宋体" w:asciiTheme="minorEastAsia" w:hAnsiTheme="minorEastAsia" w:eastAsiaTheme="minorEastAsia"/>
          <w:b/>
          <w:bCs/>
          <w:color w:val="auto"/>
          <w:szCs w:val="21"/>
          <w:highlight w:val="none"/>
        </w:rPr>
        <w:t>十一、质保期及售后服务</w:t>
      </w:r>
      <w:bookmarkEnd w:id="869"/>
      <w:bookmarkEnd w:id="870"/>
      <w:bookmarkEnd w:id="871"/>
    </w:p>
    <w:p>
      <w:pPr>
        <w:snapToGrid/>
        <w:ind w:firstLine="420" w:firstLineChars="200"/>
        <w:rPr>
          <w:rFonts w:cs="宋体" w:asciiTheme="minorEastAsia" w:hAnsiTheme="minorEastAsia" w:eastAsiaTheme="minorEastAsia"/>
          <w:color w:val="auto"/>
          <w:szCs w:val="21"/>
          <w:highlight w:val="none"/>
          <w:u w:val="single"/>
        </w:rPr>
      </w:pPr>
      <w:r>
        <w:rPr>
          <w:rFonts w:hint="eastAsia" w:cs="宋体" w:asciiTheme="minorEastAsia" w:hAnsiTheme="minorEastAsia" w:eastAsiaTheme="minorEastAsia"/>
          <w:color w:val="auto"/>
          <w:szCs w:val="21"/>
          <w:highlight w:val="none"/>
        </w:rPr>
        <w:t>11.1  所有产品自验收合格之日起计算</w:t>
      </w:r>
      <w:r>
        <w:rPr>
          <w:rFonts w:hint="eastAsia" w:ascii="宋体" w:hAnsi="宋体" w:cs="宋体"/>
          <w:color w:val="auto"/>
          <w:szCs w:val="21"/>
          <w:highlight w:val="none"/>
        </w:rPr>
        <w:t>质保    年（平板自卸车质保  年）</w:t>
      </w:r>
      <w:r>
        <w:rPr>
          <w:rFonts w:hint="eastAsia" w:cs="宋体" w:asciiTheme="minorEastAsia" w:hAnsiTheme="minorEastAsia" w:eastAsiaTheme="minorEastAsia"/>
          <w:color w:val="auto"/>
          <w:szCs w:val="21"/>
          <w:highlight w:val="none"/>
        </w:rPr>
        <w:t>，</w:t>
      </w:r>
      <w:r>
        <w:rPr>
          <w:rFonts w:hint="eastAsia" w:ascii="宋体" w:hAnsi="宋体" w:cs="宋体"/>
          <w:color w:val="auto"/>
          <w:szCs w:val="21"/>
          <w:highlight w:val="none"/>
        </w:rPr>
        <w:t>如个体设备有更高要求的，遵循更高要求。</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质保期内，乙方负责对其提供的货物整体进行维修和系统维护，维修保养、系统维护费用计入总价，乙方不再收取任何费用。</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11.2  质保期内，因货物质量造成的货物损坏、失效或已达到报废标准的零部件除无偿更换外，对更换后的零部件的质保期从更换日起计。</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11.3 质保期内，乙方负责提供不低于原厂配置的维修保养服务，货物非人为原因造成质量问题，乙方应负责免费修理或更换。</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11.4  所有货物质保服务方式均为乙方上门服务，即由乙方派员到货物使用现场维修，由此产生一切费用均由乙方承担。</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11.5  质保期过后，仍须提供终身维修，维修只收取配件成本费，免收工时费和差旅费。</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11.6  乙方在东莞市设有车辆的售后服务站，提供24小时电话服务热线，保证在接到故障电话（或书面通知）</w:t>
      </w:r>
      <w:r>
        <w:rPr>
          <w:rFonts w:hint="eastAsia" w:cs="宋体" w:asciiTheme="minorEastAsia" w:hAnsiTheme="minorEastAsia" w:eastAsiaTheme="minorEastAsia"/>
          <w:color w:val="auto"/>
          <w:szCs w:val="21"/>
          <w:highlight w:val="none"/>
          <w:u w:val="none"/>
          <w:shd w:val="clear" w:color="auto" w:fill="FFFFFF"/>
          <w:lang w:val="en-US" w:eastAsia="zh-CN"/>
        </w:rPr>
        <w:t xml:space="preserve">         </w:t>
      </w:r>
      <w:r>
        <w:rPr>
          <w:rFonts w:hint="eastAsia" w:cs="宋体" w:asciiTheme="minorEastAsia" w:hAnsiTheme="minorEastAsia" w:eastAsiaTheme="minorEastAsia"/>
          <w:color w:val="auto"/>
          <w:szCs w:val="21"/>
          <w:highlight w:val="none"/>
          <w:shd w:val="clear" w:color="auto" w:fill="FFFFFF"/>
        </w:rPr>
        <w:t>小时（含）内到达甲方指定地点</w:t>
      </w:r>
      <w:r>
        <w:rPr>
          <w:rFonts w:hint="eastAsia" w:cs="宋体" w:asciiTheme="minorEastAsia" w:hAnsiTheme="minorEastAsia" w:eastAsiaTheme="minorEastAsia"/>
          <w:color w:val="auto"/>
          <w:szCs w:val="21"/>
          <w:highlight w:val="none"/>
        </w:rPr>
        <w:t>，并在</w:t>
      </w:r>
      <w:r>
        <w:rPr>
          <w:rFonts w:hint="eastAsia" w:cs="宋体" w:asciiTheme="minorEastAsia" w:hAnsiTheme="minorEastAsia" w:eastAsiaTheme="minorEastAsia"/>
          <w:color w:val="auto"/>
          <w:szCs w:val="21"/>
          <w:highlight w:val="none"/>
          <w:u w:val="none"/>
          <w:lang w:val="en-US" w:eastAsia="zh-CN"/>
        </w:rPr>
        <w:t xml:space="preserve">     </w:t>
      </w:r>
      <w:r>
        <w:rPr>
          <w:rFonts w:hint="eastAsia" w:cs="宋体" w:asciiTheme="minorEastAsia" w:hAnsiTheme="minorEastAsia" w:eastAsiaTheme="minorEastAsia"/>
          <w:color w:val="auto"/>
          <w:szCs w:val="21"/>
          <w:highlight w:val="none"/>
        </w:rPr>
        <w:t>小时内修复（交通事故导致车辆损坏或损毁除外），逾期未到指定地点履行维修义务、修复的，每逾期一次，乙方应向甲方支付</w:t>
      </w:r>
      <w:r>
        <w:rPr>
          <w:rFonts w:hint="eastAsia"/>
          <w:color w:val="auto"/>
          <w:highlight w:val="none"/>
          <w:u w:val="none"/>
          <w:lang w:val="en-US" w:eastAsia="zh-CN"/>
        </w:rPr>
        <w:t xml:space="preserve">      </w:t>
      </w:r>
      <w:r>
        <w:rPr>
          <w:rFonts w:hint="eastAsia" w:cs="宋体" w:asciiTheme="minorEastAsia" w:hAnsiTheme="minorEastAsia" w:eastAsiaTheme="minorEastAsia"/>
          <w:color w:val="auto"/>
          <w:szCs w:val="21"/>
          <w:highlight w:val="none"/>
          <w:u w:val="single"/>
        </w:rPr>
        <w:t>元/次</w:t>
      </w:r>
      <w:r>
        <w:rPr>
          <w:rFonts w:hint="eastAsia" w:cs="宋体" w:asciiTheme="minorEastAsia" w:hAnsiTheme="minorEastAsia" w:eastAsiaTheme="minorEastAsia"/>
          <w:color w:val="auto"/>
          <w:szCs w:val="21"/>
          <w:highlight w:val="none"/>
        </w:rPr>
        <w:t>违约金。</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11.7 乙方应为甲方提供免费培训服务，出具培训方案，并指派专人负责与甲方联系售后服务事宜。主要培训内容为车辆设备的基本结构、主要部件的构造、日常使用操作、保养与管理、常见故障的排除、紧急情况的处理等，如甲方未使用过同类型货物，乙方还需就货物的功能对甲方进行相应的技术培训和安全操作规范培训，培训地点主要在车辆交付现场或由双方约定。</w:t>
      </w:r>
    </w:p>
    <w:p>
      <w:pPr>
        <w:snapToGrid/>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11.8 乙方应建立质量跟踪档案，对甲方进行每月一次的定期回访（电话或现场），以保证设备的正常高效运行。</w:t>
      </w:r>
    </w:p>
    <w:p>
      <w:pPr>
        <w:pStyle w:val="2"/>
        <w:ind w:firstLine="420" w:firstLineChars="200"/>
        <w:rPr>
          <w:rFonts w:asciiTheme="minorEastAsia" w:hAnsiTheme="minorEastAsia" w:eastAsiaTheme="minorEastAsia"/>
          <w:color w:val="auto"/>
          <w:sz w:val="21"/>
          <w:szCs w:val="21"/>
          <w:highlight w:val="none"/>
        </w:rPr>
      </w:pPr>
    </w:p>
    <w:p>
      <w:pPr>
        <w:snapToGrid/>
        <w:ind w:firstLine="422" w:firstLineChars="200"/>
        <w:outlineLvl w:val="0"/>
        <w:rPr>
          <w:rFonts w:cs="宋体" w:asciiTheme="minorEastAsia" w:hAnsiTheme="minorEastAsia" w:eastAsiaTheme="minorEastAsia"/>
          <w:b/>
          <w:bCs/>
          <w:color w:val="auto"/>
          <w:szCs w:val="21"/>
          <w:highlight w:val="none"/>
        </w:rPr>
      </w:pPr>
      <w:bookmarkStart w:id="872" w:name="_Toc10246"/>
      <w:bookmarkStart w:id="873" w:name="_Toc141447085"/>
      <w:bookmarkStart w:id="874" w:name="_Toc8671"/>
      <w:r>
        <w:rPr>
          <w:rFonts w:hint="eastAsia" w:cs="宋体" w:asciiTheme="minorEastAsia" w:hAnsiTheme="minorEastAsia" w:eastAsiaTheme="minorEastAsia"/>
          <w:b/>
          <w:bCs/>
          <w:color w:val="auto"/>
          <w:szCs w:val="21"/>
          <w:highlight w:val="none"/>
        </w:rPr>
        <w:t>十二、异议索赔</w:t>
      </w:r>
      <w:bookmarkEnd w:id="872"/>
      <w:bookmarkEnd w:id="873"/>
      <w:bookmarkEnd w:id="874"/>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12.1 乙方对于所提供的货物与本项目的采购文件及合同要求不相符，乙方同意甲方拒收货物，乙方负担由此发生的一切损失和费用，包括但不限于银行利息、运输和保险费、检验费、仓储和装卸费等必要的费用。</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12.2 对有缺陷的零件、部件和设备，乙方同意免费更换，以达到合同规定的规格、质量和性能，乙方承担一切费用和风险并负担甲方遭受的一切损失。同时乙方相应顺延被更换货物的质保期，同时甲方有权根据本合同约定追究乙方其他违约责任。</w:t>
      </w:r>
    </w:p>
    <w:p>
      <w:pP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12.3 如果在甲方发出索赔通知后 7 天内，乙方未作答复，上述索赔应视为已被乙方接受。如乙方未能在收到索赔通知后 7 天内或征得甲方同意的延长期内，按照甲方选择的方法解决索赔事宜，甲方将有权从货款或从乙方开具的履约保函、支付的履约保证金中扣回索赔金额，履约保函、支付的履约保证金不足以支付的，甲方有权在未付合同款中扣除，同时保留进一步要求索赔的权利。</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12.4 甲方可聘请第三方检测单位对上述参数进行检测（相关检测费用由乙方支付），如未达到所承诺的要求，甲方将对乙方发出整改通知，如在规定时限内未整改合格，甲方有权没收其履约保证金/履约保函/质保金，并拒付设备进度款。</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12.5 乙方投标时投标文件中的所有投标承诺及响应情况均作为履约过程及验收的考核及检验要求，如履约及验收过程中发生乙方无法达到投标时承诺及响应系统处理能力、性能指标的，甲方将向乙方收取合同总金额  10%  的违约金</w:t>
      </w:r>
      <w:r>
        <w:rPr>
          <w:rFonts w:hint="eastAsia" w:cs="宋体" w:asciiTheme="minorEastAsia" w:hAnsiTheme="minorEastAsia" w:eastAsiaTheme="minorEastAsia"/>
          <w:color w:val="auto"/>
          <w:szCs w:val="21"/>
          <w:highlight w:val="none"/>
          <w:lang w:val="zh-CN"/>
        </w:rPr>
        <w:t>并要求乙方赔偿因此造成的一切损失</w:t>
      </w:r>
      <w:r>
        <w:rPr>
          <w:rFonts w:hint="eastAsia" w:cs="宋体" w:asciiTheme="minorEastAsia" w:hAnsiTheme="minorEastAsia" w:eastAsiaTheme="minorEastAsia"/>
          <w:color w:val="auto"/>
          <w:szCs w:val="21"/>
          <w:highlight w:val="none"/>
        </w:rPr>
        <w:t>。</w:t>
      </w:r>
    </w:p>
    <w:p>
      <w:pPr>
        <w:pStyle w:val="2"/>
        <w:ind w:firstLine="420" w:firstLineChars="200"/>
        <w:rPr>
          <w:rFonts w:asciiTheme="minorEastAsia" w:hAnsiTheme="minorEastAsia" w:eastAsiaTheme="minorEastAsia"/>
          <w:color w:val="auto"/>
          <w:sz w:val="21"/>
          <w:szCs w:val="21"/>
          <w:highlight w:val="none"/>
          <w:lang w:val="en-US"/>
        </w:rPr>
      </w:pPr>
      <w:r>
        <w:rPr>
          <w:rFonts w:hint="eastAsia" w:asciiTheme="minorEastAsia" w:hAnsiTheme="minorEastAsia" w:eastAsiaTheme="minorEastAsia"/>
          <w:color w:val="auto"/>
          <w:sz w:val="21"/>
          <w:szCs w:val="21"/>
          <w:highlight w:val="none"/>
          <w:lang w:val="en-US"/>
        </w:rPr>
        <w:t>12.6乙方投标时投标文件中的所有投标承诺的服务响应时间作为履约过程的考核及检验要求，如履约及验收过程中发生乙方无法达到投标承诺的服务响应时间，乙方应按</w:t>
      </w:r>
      <w:r>
        <w:rPr>
          <w:rFonts w:hint="eastAsia" w:asciiTheme="minorEastAsia" w:hAnsiTheme="minorEastAsia" w:eastAsiaTheme="minorEastAsia"/>
          <w:color w:val="auto"/>
          <w:sz w:val="21"/>
          <w:szCs w:val="21"/>
          <w:highlight w:val="none"/>
          <w:lang w:val="en-US" w:eastAsia="zh-CN"/>
        </w:rPr>
        <w:t xml:space="preserve">   </w:t>
      </w:r>
      <w:r>
        <w:rPr>
          <w:rFonts w:hint="eastAsia"/>
          <w:color w:val="auto"/>
          <w:highlight w:val="none"/>
          <w:u w:val="single"/>
          <w:lang w:val="en-US"/>
        </w:rPr>
        <w:t>元/</w:t>
      </w:r>
      <w:r>
        <w:rPr>
          <w:rFonts w:hint="eastAsia" w:asciiTheme="minorEastAsia" w:hAnsiTheme="minorEastAsia" w:eastAsiaTheme="minorEastAsia"/>
          <w:color w:val="auto"/>
          <w:sz w:val="21"/>
          <w:szCs w:val="21"/>
          <w:highlight w:val="none"/>
          <w:u w:val="single"/>
          <w:lang w:val="en-US"/>
        </w:rPr>
        <w:t>次</w:t>
      </w:r>
      <w:r>
        <w:rPr>
          <w:rFonts w:hint="eastAsia" w:asciiTheme="minorEastAsia" w:hAnsiTheme="minorEastAsia" w:eastAsiaTheme="minorEastAsia"/>
          <w:color w:val="auto"/>
          <w:sz w:val="21"/>
          <w:szCs w:val="21"/>
          <w:highlight w:val="none"/>
          <w:lang w:val="en-US"/>
        </w:rPr>
        <w:t>承担违约金并赔偿因此造成的一切损失。</w:t>
      </w:r>
    </w:p>
    <w:p>
      <w:pPr>
        <w:ind w:firstLine="420" w:firstLineChars="200"/>
        <w:rPr>
          <w:rFonts w:cs="宋体" w:asciiTheme="minorEastAsia" w:hAnsiTheme="minorEastAsia" w:eastAsiaTheme="minorEastAsia"/>
          <w:color w:val="auto"/>
          <w:szCs w:val="21"/>
          <w:highlight w:val="none"/>
        </w:rPr>
      </w:pPr>
    </w:p>
    <w:p>
      <w:pPr>
        <w:ind w:firstLine="422" w:firstLineChars="200"/>
        <w:outlineLvl w:val="0"/>
        <w:rPr>
          <w:rFonts w:cs="宋体" w:asciiTheme="minorEastAsia" w:hAnsiTheme="minorEastAsia" w:eastAsiaTheme="minorEastAsia"/>
          <w:b/>
          <w:bCs/>
          <w:color w:val="auto"/>
          <w:szCs w:val="21"/>
          <w:highlight w:val="none"/>
        </w:rPr>
      </w:pPr>
      <w:bookmarkStart w:id="875" w:name="_Toc21038"/>
      <w:bookmarkStart w:id="876" w:name="_Toc27193"/>
      <w:bookmarkStart w:id="877" w:name="_Toc141447086"/>
      <w:r>
        <w:rPr>
          <w:rFonts w:hint="eastAsia" w:cs="宋体" w:asciiTheme="minorEastAsia" w:hAnsiTheme="minorEastAsia" w:eastAsiaTheme="minorEastAsia"/>
          <w:b/>
          <w:bCs/>
          <w:color w:val="auto"/>
          <w:szCs w:val="21"/>
          <w:highlight w:val="none"/>
        </w:rPr>
        <w:t>十三、违约责任</w:t>
      </w:r>
      <w:bookmarkEnd w:id="875"/>
      <w:bookmarkEnd w:id="876"/>
      <w:bookmarkEnd w:id="877"/>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13.1 乙方未按时供货（包括相关的技术资料）、安装或履行其他义务的违约责任：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（1）逾期第1~5 日历日，每延误一日按合同总价的 0.4%计算违约金；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（2）逾期第6~10 日历日，每延误一日按合同总价的 0.7%计算违约金；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（3）逾期第11~15 日历日，每延误一日按合同总价的 0.9%计算违约金。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注：以上违约金分段累计。</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违约金不足以弥补因此给甲方造成的损失的，乙方还应补足，乙方未在甲方通知的期限内补足的，甲方有权在未付合同款中扣除，；乙方支付违约金，并不解除乙方按照合同继续交货的义务；若延误累计超出 15 日历日的，甲方有权没收合同履约保证金（如有），乙方应按合同总价款之20%向甲方支付违约金，且甲方有权单方解除合同。同时，造成甲方损失（包括但不限于经济损失、律师费、诉讼费、保险费、保全费、担保费、公证费、鉴定费等费用损失等)，均由乙方承担。若经甲方同意给予了延长期，则根据本款应支付的违约金从延期后的期限到期日开始计算。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13.2 乙方提供的货物不满足本合同约定的质量要求导致甲方退货的，甲方有权另行委托第三方完成供货。甲方无须向乙方支付相应货款，如甲方已付相应货款的（包括定金），乙方应予以退还。同时，乙方应支付甲方合同总金额 20%的违约金，并赔偿甲方损失。 </w:t>
      </w:r>
    </w:p>
    <w:p>
      <w:pPr>
        <w:ind w:firstLine="420" w:firstLineChars="200"/>
        <w:rPr>
          <w:color w:val="auto"/>
          <w:highlight w:val="none"/>
        </w:rPr>
      </w:pPr>
      <w:r>
        <w:rPr>
          <w:rFonts w:hint="eastAsia" w:ascii="宋体" w:hAnsi="宋体" w:cs="宋体"/>
          <w:color w:val="auto"/>
          <w:szCs w:val="21"/>
          <w:highlight w:val="none"/>
          <w:lang w:bidi="zh-CN"/>
        </w:rPr>
        <w:t>13.3 乙方未按时完成设备接入甲方智慧环卫系统、第三方平台（经甲方验收合格），且在收到甲方中标通知书之日起30个日历日内仍未完成的，甲方有权直接委托第三方进行智慧环卫系统、第三方平台接入，因此产生的费用从应支付给乙方的款项中直接扣除。同时，乙方应按本协议第13.1条承担违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13.4  乙方在履约过程中因违约应承担违约金、罚款或甲方损失的，甲方有权直接从履约保证金中扣除相应金额。如履约保证金不足以扣除的，乙方应当补足，</w:t>
      </w:r>
      <w:r>
        <w:rPr>
          <w:rFonts w:hint="eastAsia" w:cs="宋体" w:asciiTheme="minorEastAsia" w:hAnsiTheme="minorEastAsia" w:eastAsiaTheme="minorEastAsia"/>
          <w:color w:val="auto"/>
          <w:szCs w:val="21"/>
          <w:highlight w:val="none"/>
        </w:rPr>
        <w:t>乙方未在甲方通知的期限内补足的，甲方有权在未付合同款中扣除，无剩余货款或货款不足以扣除的，</w:t>
      </w:r>
      <w:r>
        <w:rPr>
          <w:rFonts w:hint="eastAsia" w:ascii="宋体" w:hAnsi="宋体" w:cs="宋体"/>
          <w:color w:val="auto"/>
          <w:szCs w:val="21"/>
          <w:highlight w:val="none"/>
        </w:rPr>
        <w:t xml:space="preserve">甲方有权另行追偿。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13.5因一方或双方遇不可抗力不能继续履行合同时，双方互免承担违约责任，可在结清已发生费用后解除合同。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13.6 在甲方场所，乙方履行合同应当遵守甲方对于场所的各项管理规定， 造成甲方或第三方人身安全或财产经济损失的，由乙方负责全额赔偿（甲方可直接在甲方应付款中扣除）。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13.7 乙方无正当理由拒不履行本合同约定，经甲方书面通知后，仍未在限期内整改的，甲方有权解除合同，乙方应向甲方退回所有已收取款项，且应按合同总付款的 20%向甲方支付违约金。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13.8 甲方依法律相关规定或本合同约定解除合同的，乙方所有人员、产品必须在甲方解除合同书面通知送达之日起 3 个工作日内撤离，逾期未撤离的， 乙方应向甲方支付场地占用费 500 元/日。解除合同书面通知送达之日起，甲方无须对乙方的产品负保管义务和责任，若相关产品损坏或损毁，均由乙方自行承担损失。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13.9甲方支付定金后非因法定或约定的事由无故解除合同的，乙方有权没收定金。乙方未按合同约定按时将符合合同约定的所有货物交付甲方并通过甲方验收的，甲方加有权选择要求乙方双倍返还定金或者收取本合同约定的违约金，双倍返还定金或者收取违约金后，甲方仍可按法律规定和合同约定要求乙方承担赔偿责任。</w:t>
      </w:r>
    </w:p>
    <w:p>
      <w:pPr>
        <w:ind w:firstLine="420" w:firstLineChars="200"/>
        <w:rPr>
          <w:rFonts w:cs="宋体" w:asciiTheme="minorEastAsia" w:hAnsiTheme="minorEastAsia" w:eastAsiaTheme="minorEastAsia"/>
          <w:b/>
          <w:bCs/>
          <w:color w:val="auto"/>
          <w:szCs w:val="21"/>
          <w:highlight w:val="none"/>
        </w:rPr>
      </w:pPr>
      <w:r>
        <w:rPr>
          <w:rFonts w:hint="eastAsia" w:ascii="宋体" w:hAnsi="宋体" w:cs="宋体"/>
          <w:color w:val="auto"/>
          <w:szCs w:val="21"/>
          <w:highlight w:val="none"/>
        </w:rPr>
        <w:t>13.10 因乙方违约而甲方主张权利产生的包括但不限于律师费、诉讼费、保全费、担保费等一切费用，均由乙方承担。</w:t>
      </w:r>
    </w:p>
    <w:p>
      <w:pPr>
        <w:pStyle w:val="2"/>
        <w:rPr>
          <w:color w:val="auto"/>
          <w:highlight w:val="none"/>
        </w:rPr>
      </w:pPr>
    </w:p>
    <w:p>
      <w:pPr>
        <w:ind w:firstLine="422" w:firstLineChars="200"/>
        <w:outlineLvl w:val="0"/>
        <w:rPr>
          <w:rFonts w:cs="宋体" w:asciiTheme="minorEastAsia" w:hAnsiTheme="minorEastAsia" w:eastAsiaTheme="minorEastAsia"/>
          <w:color w:val="auto"/>
          <w:szCs w:val="21"/>
          <w:highlight w:val="none"/>
        </w:rPr>
      </w:pPr>
      <w:bookmarkStart w:id="878" w:name="_Toc141447087"/>
      <w:bookmarkStart w:id="879" w:name="_Toc7511"/>
      <w:bookmarkStart w:id="880" w:name="_Toc16475"/>
      <w:r>
        <w:rPr>
          <w:rFonts w:hint="eastAsia" w:cs="宋体" w:asciiTheme="minorEastAsia" w:hAnsiTheme="minorEastAsia" w:eastAsiaTheme="minorEastAsia"/>
          <w:b/>
          <w:bCs/>
          <w:color w:val="auto"/>
          <w:szCs w:val="21"/>
          <w:highlight w:val="none"/>
        </w:rPr>
        <w:t>十四、不可抗力</w:t>
      </w:r>
      <w:bookmarkEnd w:id="878"/>
      <w:bookmarkEnd w:id="879"/>
      <w:bookmarkEnd w:id="880"/>
      <w:r>
        <w:rPr>
          <w:rFonts w:hint="eastAsia" w:cs="宋体" w:asciiTheme="minorEastAsia" w:hAnsiTheme="minorEastAsia" w:eastAsiaTheme="minorEastAsia"/>
          <w:b/>
          <w:bCs/>
          <w:color w:val="auto"/>
          <w:szCs w:val="21"/>
          <w:highlight w:val="none"/>
        </w:rPr>
        <w:t xml:space="preserve">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甲乙双方中任何一方由于不可抗力影响合同执行时，发生不可抗力一方应 在 24 小时内通知另一方。在此情况下，乙方仍然有责任采取必要的措施加速供货，双方应通过友好协商尽快解决本合同的执行问题。 </w:t>
      </w:r>
    </w:p>
    <w:p>
      <w:pPr>
        <w:pStyle w:val="2"/>
        <w:ind w:firstLine="420" w:firstLineChars="200"/>
        <w:rPr>
          <w:rFonts w:asciiTheme="minorEastAsia" w:hAnsiTheme="minorEastAsia" w:eastAsiaTheme="minorEastAsia"/>
          <w:color w:val="auto"/>
          <w:sz w:val="21"/>
          <w:szCs w:val="21"/>
          <w:highlight w:val="none"/>
        </w:rPr>
      </w:pPr>
    </w:p>
    <w:p>
      <w:pPr>
        <w:ind w:firstLine="422" w:firstLineChars="200"/>
        <w:outlineLvl w:val="0"/>
        <w:rPr>
          <w:rFonts w:cs="宋体" w:asciiTheme="minorEastAsia" w:hAnsiTheme="minorEastAsia" w:eastAsiaTheme="minorEastAsia"/>
          <w:color w:val="auto"/>
          <w:szCs w:val="21"/>
          <w:highlight w:val="none"/>
        </w:rPr>
      </w:pPr>
      <w:bookmarkStart w:id="881" w:name="_Toc141447088"/>
      <w:bookmarkStart w:id="882" w:name="_Toc26040"/>
      <w:bookmarkStart w:id="883" w:name="_Toc29067"/>
      <w:r>
        <w:rPr>
          <w:rFonts w:hint="eastAsia" w:cs="宋体" w:asciiTheme="minorEastAsia" w:hAnsiTheme="minorEastAsia" w:eastAsiaTheme="minorEastAsia"/>
          <w:b/>
          <w:bCs/>
          <w:color w:val="auto"/>
          <w:szCs w:val="21"/>
          <w:highlight w:val="none"/>
        </w:rPr>
        <w:t>十五、争议的解决</w:t>
      </w:r>
      <w:bookmarkEnd w:id="881"/>
      <w:bookmarkEnd w:id="882"/>
      <w:bookmarkEnd w:id="883"/>
      <w:r>
        <w:rPr>
          <w:rFonts w:hint="eastAsia" w:cs="宋体" w:asciiTheme="minorEastAsia" w:hAnsiTheme="minorEastAsia" w:eastAsiaTheme="minorEastAsia"/>
          <w:b/>
          <w:bCs/>
          <w:color w:val="auto"/>
          <w:szCs w:val="21"/>
          <w:highlight w:val="none"/>
        </w:rPr>
        <w:t xml:space="preserve">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因履行本合同发生的任何争议，双方本着友好互利的原则协商解决。协商不成时应向甲方所在地人民法院提起诉讼。除有争议的部分外，双方应继续履行本合同所约定的义务。 </w:t>
      </w:r>
    </w:p>
    <w:p>
      <w:pPr>
        <w:pStyle w:val="2"/>
        <w:ind w:firstLine="420" w:firstLineChars="200"/>
        <w:rPr>
          <w:rFonts w:asciiTheme="minorEastAsia" w:hAnsiTheme="minorEastAsia" w:eastAsiaTheme="minorEastAsia"/>
          <w:color w:val="auto"/>
          <w:sz w:val="21"/>
          <w:szCs w:val="21"/>
          <w:highlight w:val="none"/>
        </w:rPr>
      </w:pPr>
    </w:p>
    <w:p>
      <w:pPr>
        <w:ind w:firstLine="422" w:firstLineChars="200"/>
        <w:outlineLvl w:val="0"/>
        <w:rPr>
          <w:rFonts w:cs="宋体" w:asciiTheme="minorEastAsia" w:hAnsiTheme="minorEastAsia" w:eastAsiaTheme="minorEastAsia"/>
          <w:color w:val="auto"/>
          <w:szCs w:val="21"/>
          <w:highlight w:val="none"/>
        </w:rPr>
      </w:pPr>
      <w:bookmarkStart w:id="884" w:name="_Toc141447089"/>
      <w:bookmarkStart w:id="885" w:name="_Toc23613"/>
      <w:bookmarkStart w:id="886" w:name="_Toc7781"/>
      <w:r>
        <w:rPr>
          <w:rFonts w:hint="eastAsia" w:cs="宋体" w:asciiTheme="minorEastAsia" w:hAnsiTheme="minorEastAsia" w:eastAsiaTheme="minorEastAsia"/>
          <w:b/>
          <w:bCs/>
          <w:color w:val="auto"/>
          <w:szCs w:val="21"/>
          <w:highlight w:val="none"/>
        </w:rPr>
        <w:t>十六、其它约定</w:t>
      </w:r>
      <w:bookmarkEnd w:id="884"/>
      <w:bookmarkEnd w:id="885"/>
      <w:bookmarkEnd w:id="886"/>
      <w:r>
        <w:rPr>
          <w:rFonts w:hint="eastAsia" w:cs="宋体" w:asciiTheme="minorEastAsia" w:hAnsiTheme="minorEastAsia" w:eastAsiaTheme="minorEastAsia"/>
          <w:b/>
          <w:bCs/>
          <w:color w:val="auto"/>
          <w:szCs w:val="21"/>
          <w:highlight w:val="none"/>
        </w:rPr>
        <w:t xml:space="preserve">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16.1本合同任何内容的修改，须由双方进行协商，并另行签订补充协议或书面文件。合同中未尽事项，由双方协商另行签订补充协议。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16.2 任何一方未经另一方的书面同意，均不得将本合同的权利、义务转让给第三方。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16.3 本合同一式陆份，甲方执肆份、乙方执贰份。本合同自双方法定代表人或委托代理人签字并加合同章（或公章）后生效，合同履行完毕后自行失效。 </w:t>
      </w:r>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16.4 本合同附件： </w:t>
      </w:r>
    </w:p>
    <w:p>
      <w:pPr>
        <w:ind w:firstLine="420" w:firstLineChars="200"/>
        <w:rPr>
          <w:rFonts w:ascii="宋体" w:hAnsi="宋体" w:cs="宋体"/>
          <w:color w:val="auto"/>
          <w:highlight w:val="none"/>
        </w:rPr>
      </w:pPr>
      <w:bookmarkStart w:id="887" w:name="_Toc5739"/>
      <w:r>
        <w:rPr>
          <w:rFonts w:hint="eastAsia" w:ascii="宋体" w:hAnsi="宋体" w:cs="宋体"/>
          <w:color w:val="auto"/>
          <w:highlight w:val="none"/>
        </w:rPr>
        <w:t>附件1.阳光合作协议</w:t>
      </w:r>
      <w:bookmarkEnd w:id="887"/>
    </w:p>
    <w:p>
      <w:pPr>
        <w:ind w:firstLine="420" w:firstLineChars="200"/>
        <w:rPr>
          <w:rFonts w:ascii="宋体" w:hAnsi="宋体" w:cs="宋体"/>
          <w:color w:val="auto"/>
          <w:highlight w:val="none"/>
        </w:rPr>
      </w:pPr>
      <w:bookmarkStart w:id="888" w:name="_Toc10369"/>
      <w:r>
        <w:rPr>
          <w:rFonts w:hint="eastAsia" w:ascii="宋体" w:hAnsi="宋体" w:cs="宋体"/>
          <w:color w:val="auto"/>
          <w:highlight w:val="none"/>
        </w:rPr>
        <w:t>附件2.中标通知书</w:t>
      </w:r>
      <w:bookmarkEnd w:id="888"/>
    </w:p>
    <w:p>
      <w:pPr>
        <w:ind w:firstLine="420" w:firstLineChars="200"/>
        <w:rPr>
          <w:rFonts w:ascii="宋体" w:hAnsi="宋体" w:cs="宋体"/>
          <w:color w:val="auto"/>
          <w:highlight w:val="none"/>
        </w:rPr>
      </w:pPr>
      <w:bookmarkStart w:id="889" w:name="_Toc25103"/>
      <w:r>
        <w:rPr>
          <w:rFonts w:hint="eastAsia" w:ascii="宋体" w:hAnsi="宋体" w:cs="宋体"/>
          <w:color w:val="auto"/>
          <w:highlight w:val="none"/>
        </w:rPr>
        <w:t>附件3.投标文件</w:t>
      </w:r>
      <w:bookmarkEnd w:id="889"/>
    </w:p>
    <w:p>
      <w:pPr>
        <w:ind w:firstLine="420" w:firstLineChars="200"/>
        <w:rPr>
          <w:rFonts w:ascii="宋体" w:hAnsi="宋体" w:cs="宋体"/>
          <w:color w:val="auto"/>
          <w:highlight w:val="none"/>
        </w:rPr>
      </w:pPr>
      <w:bookmarkStart w:id="890" w:name="_Toc4330"/>
      <w:r>
        <w:rPr>
          <w:rFonts w:hint="eastAsia" w:ascii="宋体" w:hAnsi="宋体" w:cs="宋体"/>
          <w:color w:val="auto"/>
          <w:highlight w:val="none"/>
        </w:rPr>
        <w:t>附件4.本项目的采购文件</w:t>
      </w:r>
      <w:bookmarkEnd w:id="890"/>
    </w:p>
    <w:p>
      <w:pPr>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本页以下无正文</w:t>
      </w:r>
    </w:p>
    <w:p>
      <w:pPr>
        <w:pStyle w:val="4"/>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rPr>
          <w:rFonts w:ascii="宋体" w:hAnsi="宋体" w:cs="宋体"/>
          <w:color w:val="auto"/>
          <w:szCs w:val="21"/>
          <w:highlight w:val="none"/>
        </w:rPr>
      </w:pPr>
      <w:r>
        <w:rPr>
          <w:rFonts w:hint="eastAsia" w:ascii="宋体" w:hAnsi="宋体" w:cs="宋体"/>
          <w:color w:val="auto"/>
          <w:szCs w:val="21"/>
          <w:highlight w:val="none"/>
        </w:rPr>
        <w:t>（本页为盖章页）</w:t>
      </w:r>
    </w:p>
    <w:p>
      <w:pPr>
        <w:adjustRightInd/>
        <w:snapToGrid/>
        <w:rPr>
          <w:rFonts w:ascii="宋体" w:hAnsi="宋体" w:cs="宋体"/>
          <w:color w:val="auto"/>
          <w:szCs w:val="21"/>
          <w:highlight w:val="none"/>
        </w:rPr>
      </w:pPr>
      <w:r>
        <w:rPr>
          <w:rFonts w:hint="eastAsia" w:ascii="宋体" w:hAnsi="宋体" w:cs="宋体"/>
          <w:color w:val="auto"/>
          <w:szCs w:val="21"/>
          <w:highlight w:val="none"/>
        </w:rPr>
        <w:t xml:space="preserve">甲方                               乙方     </w:t>
      </w:r>
    </w:p>
    <w:p>
      <w:pPr>
        <w:adjustRightInd/>
        <w:snapToGrid/>
        <w:rPr>
          <w:rFonts w:ascii="宋体" w:hAnsi="宋体" w:cs="宋体"/>
          <w:color w:val="auto"/>
          <w:szCs w:val="21"/>
          <w:highlight w:val="none"/>
        </w:rPr>
      </w:pPr>
      <w:r>
        <w:rPr>
          <w:rFonts w:hint="eastAsia" w:ascii="宋体" w:hAnsi="宋体" w:cs="宋体"/>
          <w:color w:val="auto"/>
          <w:szCs w:val="21"/>
          <w:highlight w:val="none"/>
        </w:rPr>
        <w:t>单位名称：                        单位名称：</w:t>
      </w:r>
    </w:p>
    <w:p>
      <w:pPr>
        <w:adjustRightInd/>
        <w:snapToGrid/>
        <w:rPr>
          <w:rFonts w:ascii="宋体" w:hAnsi="宋体" w:cs="宋体"/>
          <w:color w:val="auto"/>
          <w:szCs w:val="21"/>
          <w:highlight w:val="none"/>
        </w:rPr>
      </w:pPr>
      <w:r>
        <w:rPr>
          <w:rFonts w:hint="eastAsia" w:ascii="宋体" w:hAnsi="宋体" w:cs="宋体"/>
          <w:color w:val="auto"/>
          <w:szCs w:val="21"/>
          <w:highlight w:val="none"/>
        </w:rPr>
        <w:t xml:space="preserve">地址：                            地址： </w:t>
      </w:r>
    </w:p>
    <w:p>
      <w:pPr>
        <w:adjustRightInd/>
        <w:snapToGrid/>
        <w:rPr>
          <w:rFonts w:ascii="宋体" w:hAnsi="宋体" w:cs="宋体"/>
          <w:color w:val="auto"/>
          <w:szCs w:val="21"/>
          <w:highlight w:val="none"/>
        </w:rPr>
      </w:pPr>
      <w:r>
        <w:rPr>
          <w:rFonts w:hint="eastAsia" w:ascii="宋体" w:hAnsi="宋体" w:cs="宋体"/>
          <w:color w:val="auto"/>
          <w:szCs w:val="21"/>
          <w:highlight w:val="none"/>
        </w:rPr>
        <w:t>邮编：                            邮编：</w:t>
      </w:r>
    </w:p>
    <w:p>
      <w:pPr>
        <w:adjustRightInd/>
        <w:snapToGrid/>
        <w:rPr>
          <w:rFonts w:ascii="宋体" w:hAnsi="宋体" w:cs="宋体"/>
          <w:color w:val="auto"/>
          <w:szCs w:val="21"/>
          <w:highlight w:val="none"/>
        </w:rPr>
      </w:pPr>
      <w:r>
        <w:rPr>
          <w:rFonts w:hint="eastAsia" w:ascii="宋体" w:hAnsi="宋体" w:cs="宋体"/>
          <w:color w:val="auto"/>
          <w:szCs w:val="21"/>
          <w:highlight w:val="none"/>
        </w:rPr>
        <w:t xml:space="preserve">电话：                            电话： </w:t>
      </w:r>
    </w:p>
    <w:p>
      <w:pPr>
        <w:adjustRightInd/>
        <w:snapToGrid/>
        <w:rPr>
          <w:rFonts w:ascii="宋体" w:hAnsi="宋体" w:cs="宋体"/>
          <w:color w:val="auto"/>
          <w:szCs w:val="21"/>
          <w:highlight w:val="none"/>
        </w:rPr>
      </w:pPr>
      <w:r>
        <w:rPr>
          <w:rFonts w:hint="eastAsia" w:ascii="宋体" w:hAnsi="宋体" w:cs="宋体"/>
          <w:color w:val="auto"/>
          <w:szCs w:val="21"/>
          <w:highlight w:val="none"/>
        </w:rPr>
        <w:t>传真：                            传真：</w:t>
      </w:r>
    </w:p>
    <w:p>
      <w:pPr>
        <w:adjustRightInd/>
        <w:snapToGrid/>
        <w:rPr>
          <w:rFonts w:ascii="宋体" w:hAnsi="宋体" w:cs="宋体"/>
          <w:color w:val="auto"/>
          <w:szCs w:val="21"/>
          <w:highlight w:val="none"/>
        </w:rPr>
      </w:pPr>
      <w:r>
        <w:rPr>
          <w:rFonts w:hint="eastAsia" w:ascii="宋体" w:hAnsi="宋体" w:cs="宋体"/>
          <w:color w:val="auto"/>
          <w:szCs w:val="21"/>
          <w:highlight w:val="none"/>
        </w:rPr>
        <w:t>开户银行：                        开户银行：</w:t>
      </w:r>
    </w:p>
    <w:p>
      <w:pPr>
        <w:adjustRightInd/>
        <w:snapToGrid/>
        <w:rPr>
          <w:rFonts w:ascii="宋体" w:hAnsi="宋体" w:cs="宋体"/>
          <w:color w:val="auto"/>
          <w:szCs w:val="21"/>
          <w:highlight w:val="none"/>
        </w:rPr>
      </w:pPr>
      <w:r>
        <w:rPr>
          <w:rFonts w:hint="eastAsia" w:ascii="宋体" w:hAnsi="宋体" w:cs="宋体"/>
          <w:color w:val="auto"/>
          <w:szCs w:val="21"/>
          <w:highlight w:val="none"/>
        </w:rPr>
        <w:t>账号：                            账号：</w:t>
      </w:r>
    </w:p>
    <w:p>
      <w:pPr>
        <w:adjustRightInd/>
        <w:snapToGrid/>
        <w:rPr>
          <w:rFonts w:ascii="宋体" w:hAnsi="宋体" w:cs="宋体"/>
          <w:color w:val="auto"/>
          <w:szCs w:val="21"/>
          <w:highlight w:val="none"/>
        </w:rPr>
      </w:pPr>
      <w:r>
        <w:rPr>
          <w:rFonts w:hint="eastAsia" w:ascii="宋体" w:hAnsi="宋体" w:cs="宋体"/>
          <w:color w:val="auto"/>
          <w:szCs w:val="21"/>
          <w:highlight w:val="none"/>
        </w:rPr>
        <w:t>纳税人登记号：                    纳税人登记号：</w:t>
      </w:r>
    </w:p>
    <w:p>
      <w:pPr>
        <w:adjustRightInd/>
        <w:snapToGrid/>
        <w:rPr>
          <w:rFonts w:ascii="宋体" w:hAnsi="宋体" w:cs="宋体"/>
          <w:color w:val="auto"/>
          <w:szCs w:val="21"/>
          <w:highlight w:val="none"/>
        </w:rPr>
      </w:pPr>
      <w:r>
        <w:rPr>
          <w:rFonts w:hint="eastAsia" w:ascii="宋体" w:hAnsi="宋体" w:cs="宋体"/>
          <w:color w:val="auto"/>
          <w:szCs w:val="21"/>
          <w:highlight w:val="none"/>
        </w:rPr>
        <w:t>签字人：                          签字人：</w:t>
      </w:r>
    </w:p>
    <w:p>
      <w:pPr>
        <w:adjustRightInd/>
        <w:snapToGrid/>
        <w:rPr>
          <w:rFonts w:ascii="宋体" w:hAnsi="宋体" w:cs="宋体"/>
          <w:color w:val="auto"/>
          <w:szCs w:val="21"/>
          <w:highlight w:val="none"/>
        </w:rPr>
      </w:pPr>
      <w:r>
        <w:rPr>
          <w:rFonts w:hint="eastAsia" w:ascii="宋体" w:hAnsi="宋体" w:cs="宋体"/>
          <w:color w:val="auto"/>
          <w:szCs w:val="21"/>
          <w:highlight w:val="none"/>
        </w:rPr>
        <w:t>签字日期：                        签字日期：</w:t>
      </w:r>
    </w:p>
    <w:p>
      <w:pPr>
        <w:rPr>
          <w:rFonts w:ascii="宋体" w:hAnsi="宋体" w:cs="宋体"/>
          <w:color w:val="auto"/>
          <w:szCs w:val="21"/>
          <w:highlight w:val="none"/>
        </w:rPr>
      </w:pPr>
    </w:p>
    <w:p>
      <w:pPr>
        <w:pStyle w:val="2"/>
        <w:rPr>
          <w:color w:val="auto"/>
          <w:sz w:val="21"/>
          <w:szCs w:val="21"/>
          <w:highlight w:val="none"/>
        </w:rPr>
      </w:pPr>
    </w:p>
    <w:p>
      <w:pPr>
        <w:adjustRightInd/>
        <w:snapToGrid/>
        <w:rPr>
          <w:rFonts w:ascii="Calibri" w:hAnsi="宋体" w:cs="仿宋_GB2312"/>
          <w:color w:val="auto"/>
          <w:kern w:val="2"/>
          <w:szCs w:val="21"/>
          <w:highlight w:val="none"/>
        </w:rPr>
      </w:pPr>
      <w:r>
        <w:rPr>
          <w:rFonts w:hint="eastAsia" w:ascii="Calibri" w:hAnsi="宋体" w:cs="仿宋_GB2312"/>
          <w:color w:val="auto"/>
          <w:kern w:val="2"/>
          <w:szCs w:val="21"/>
          <w:highlight w:val="none"/>
        </w:rPr>
        <w:br w:type="page"/>
      </w:r>
    </w:p>
    <w:p>
      <w:pPr>
        <w:widowControl w:val="0"/>
        <w:adjustRightInd/>
        <w:snapToGrid/>
        <w:spacing w:line="480" w:lineRule="exact"/>
        <w:jc w:val="both"/>
        <w:outlineLvl w:val="1"/>
        <w:rPr>
          <w:rFonts w:ascii="宋体" w:hAnsi="宋体" w:cs="宋体"/>
          <w:b/>
          <w:color w:val="auto"/>
          <w:kern w:val="2"/>
          <w:sz w:val="24"/>
          <w:szCs w:val="24"/>
          <w:highlight w:val="none"/>
        </w:rPr>
      </w:pPr>
      <w:r>
        <w:rPr>
          <w:rFonts w:hint="eastAsia" w:ascii="宋体" w:hAnsi="宋体" w:cs="宋体"/>
          <w:b/>
          <w:color w:val="auto"/>
          <w:kern w:val="2"/>
          <w:sz w:val="24"/>
          <w:szCs w:val="24"/>
          <w:highlight w:val="none"/>
        </w:rPr>
        <w:t>附件1:安全协议（A/B/C/D包）</w:t>
      </w:r>
    </w:p>
    <w:p>
      <w:pPr>
        <w:widowControl w:val="0"/>
        <w:adjustRightInd/>
        <w:snapToGrid/>
        <w:spacing w:before="5040" w:beforeLines="1400" w:line="240" w:lineRule="auto"/>
        <w:jc w:val="center"/>
        <w:outlineLvl w:val="2"/>
        <w:rPr>
          <w:rFonts w:ascii="仿宋" w:hAnsi="仿宋" w:eastAsia="仿宋" w:cs="Arial"/>
          <w:color w:val="auto"/>
          <w:kern w:val="2"/>
          <w:sz w:val="96"/>
          <w:szCs w:val="36"/>
          <w:highlight w:val="none"/>
        </w:rPr>
      </w:pPr>
      <w:r>
        <w:rPr>
          <w:rFonts w:hint="eastAsia" w:ascii="仿宋" w:hAnsi="仿宋" w:eastAsia="仿宋" w:cs="Arial"/>
          <w:color w:val="auto"/>
          <w:kern w:val="2"/>
          <w:sz w:val="96"/>
          <w:szCs w:val="36"/>
          <w:highlight w:val="none"/>
        </w:rPr>
        <w:t>安全管理协议书</w:t>
      </w:r>
    </w:p>
    <w:p>
      <w:pPr>
        <w:widowControl w:val="0"/>
        <w:adjustRightInd/>
        <w:snapToGrid/>
        <w:spacing w:line="240" w:lineRule="auto"/>
        <w:jc w:val="center"/>
        <w:rPr>
          <w:rFonts w:ascii="仿宋" w:hAnsi="仿宋" w:eastAsia="仿宋" w:cs="Arial"/>
          <w:color w:val="auto"/>
          <w:kern w:val="2"/>
          <w:sz w:val="44"/>
          <w:szCs w:val="36"/>
          <w:highlight w:val="none"/>
        </w:rPr>
      </w:pPr>
    </w:p>
    <w:p>
      <w:pPr>
        <w:widowControl w:val="0"/>
        <w:adjustRightInd/>
        <w:snapToGrid/>
        <w:spacing w:line="240" w:lineRule="auto"/>
        <w:jc w:val="center"/>
        <w:rPr>
          <w:rFonts w:ascii="仿宋" w:hAnsi="仿宋" w:eastAsia="仿宋" w:cs="Arial"/>
          <w:color w:val="auto"/>
          <w:kern w:val="2"/>
          <w:sz w:val="44"/>
          <w:szCs w:val="36"/>
          <w:highlight w:val="none"/>
        </w:rPr>
      </w:pPr>
    </w:p>
    <w:p>
      <w:pPr>
        <w:widowControl w:val="0"/>
        <w:adjustRightInd/>
        <w:snapToGrid/>
        <w:spacing w:line="240" w:lineRule="auto"/>
        <w:jc w:val="center"/>
        <w:rPr>
          <w:rFonts w:ascii="仿宋" w:hAnsi="仿宋" w:eastAsia="仿宋" w:cs="Arial"/>
          <w:color w:val="auto"/>
          <w:kern w:val="2"/>
          <w:sz w:val="44"/>
          <w:szCs w:val="36"/>
          <w:highlight w:val="none"/>
        </w:rPr>
      </w:pPr>
    </w:p>
    <w:p>
      <w:pPr>
        <w:widowControl w:val="0"/>
        <w:adjustRightInd/>
        <w:snapToGrid/>
        <w:spacing w:line="240" w:lineRule="auto"/>
        <w:jc w:val="center"/>
        <w:rPr>
          <w:rFonts w:ascii="仿宋" w:hAnsi="仿宋" w:eastAsia="仿宋" w:cs="Arial"/>
          <w:color w:val="auto"/>
          <w:kern w:val="2"/>
          <w:sz w:val="44"/>
          <w:szCs w:val="36"/>
          <w:highlight w:val="none"/>
        </w:rPr>
      </w:pPr>
    </w:p>
    <w:p>
      <w:pPr>
        <w:widowControl w:val="0"/>
        <w:adjustRightInd/>
        <w:snapToGrid/>
        <w:spacing w:line="240" w:lineRule="auto"/>
        <w:jc w:val="center"/>
        <w:rPr>
          <w:rFonts w:ascii="仿宋" w:hAnsi="仿宋" w:eastAsia="仿宋" w:cs="Arial"/>
          <w:color w:val="auto"/>
          <w:kern w:val="2"/>
          <w:sz w:val="44"/>
          <w:szCs w:val="36"/>
          <w:highlight w:val="none"/>
        </w:rPr>
      </w:pPr>
    </w:p>
    <w:p>
      <w:pPr>
        <w:widowControl w:val="0"/>
        <w:adjustRightInd/>
        <w:snapToGrid/>
        <w:spacing w:line="240" w:lineRule="auto"/>
        <w:jc w:val="center"/>
        <w:outlineLvl w:val="2"/>
        <w:rPr>
          <w:rFonts w:ascii="仿宋" w:hAnsi="仿宋" w:eastAsia="仿宋" w:cs="Arial"/>
          <w:color w:val="auto"/>
          <w:kern w:val="2"/>
          <w:sz w:val="44"/>
          <w:szCs w:val="36"/>
          <w:highlight w:val="none"/>
        </w:rPr>
      </w:pPr>
      <w:r>
        <w:rPr>
          <w:rFonts w:hint="eastAsia" w:ascii="仿宋" w:hAnsi="仿宋" w:eastAsia="仿宋" w:cs="Arial"/>
          <w:color w:val="auto"/>
          <w:kern w:val="2"/>
          <w:sz w:val="44"/>
          <w:szCs w:val="36"/>
          <w:highlight w:val="none"/>
        </w:rPr>
        <w:t>广东东实环境股份有限公司编制</w:t>
      </w:r>
    </w:p>
    <w:p>
      <w:pPr>
        <w:widowControl w:val="0"/>
        <w:adjustRightInd/>
        <w:snapToGrid/>
        <w:spacing w:line="240" w:lineRule="auto"/>
        <w:jc w:val="center"/>
        <w:outlineLvl w:val="2"/>
        <w:rPr>
          <w:rFonts w:ascii="仿宋" w:hAnsi="仿宋" w:eastAsia="仿宋" w:cs="Arial"/>
          <w:color w:val="auto"/>
          <w:kern w:val="2"/>
          <w:sz w:val="28"/>
          <w:szCs w:val="36"/>
          <w:highlight w:val="none"/>
        </w:rPr>
      </w:pPr>
      <w:r>
        <w:rPr>
          <w:rFonts w:hint="eastAsia" w:ascii="仿宋" w:hAnsi="仿宋" w:eastAsia="仿宋" w:cs="Arial"/>
          <w:color w:val="auto"/>
          <w:kern w:val="2"/>
          <w:sz w:val="28"/>
          <w:szCs w:val="36"/>
          <w:highlight w:val="none"/>
        </w:rPr>
        <w:t>（适用于东实环境及其下属公司）</w:t>
      </w:r>
    </w:p>
    <w:p>
      <w:pPr>
        <w:widowControl w:val="0"/>
        <w:adjustRightInd/>
        <w:snapToGrid/>
        <w:spacing w:before="360" w:beforeLines="100" w:line="240" w:lineRule="auto"/>
        <w:jc w:val="center"/>
        <w:outlineLvl w:val="2"/>
        <w:rPr>
          <w:rFonts w:ascii="仿宋" w:hAnsi="仿宋" w:eastAsia="仿宋" w:cs="Arial"/>
          <w:b/>
          <w:color w:val="auto"/>
          <w:kern w:val="2"/>
          <w:sz w:val="44"/>
          <w:szCs w:val="36"/>
          <w:highlight w:val="none"/>
        </w:rPr>
      </w:pPr>
      <w:r>
        <w:rPr>
          <w:rFonts w:ascii="仿宋" w:hAnsi="仿宋" w:eastAsia="仿宋" w:cs="Arial"/>
          <w:color w:val="auto"/>
          <w:kern w:val="2"/>
          <w:sz w:val="28"/>
          <w:szCs w:val="36"/>
          <w:highlight w:val="none"/>
          <w:u w:val="single"/>
        </w:rPr>
        <w:t>202</w:t>
      </w:r>
      <w:r>
        <w:rPr>
          <w:rFonts w:hint="eastAsia" w:ascii="仿宋" w:hAnsi="仿宋" w:eastAsia="仿宋" w:cs="Arial"/>
          <w:color w:val="auto"/>
          <w:kern w:val="2"/>
          <w:sz w:val="28"/>
          <w:szCs w:val="36"/>
          <w:highlight w:val="none"/>
          <w:u w:val="single"/>
        </w:rPr>
        <w:t>3</w:t>
      </w:r>
      <w:r>
        <w:rPr>
          <w:rFonts w:ascii="仿宋" w:hAnsi="仿宋" w:eastAsia="仿宋" w:cs="Arial"/>
          <w:color w:val="auto"/>
          <w:kern w:val="2"/>
          <w:sz w:val="28"/>
          <w:szCs w:val="36"/>
          <w:highlight w:val="none"/>
          <w:u w:val="single"/>
        </w:rPr>
        <w:t>年</w:t>
      </w:r>
      <w:r>
        <w:rPr>
          <w:rFonts w:hint="eastAsia" w:ascii="仿宋" w:hAnsi="仿宋" w:eastAsia="仿宋" w:cs="Arial"/>
          <w:color w:val="auto"/>
          <w:kern w:val="2"/>
          <w:sz w:val="28"/>
          <w:szCs w:val="36"/>
          <w:highlight w:val="none"/>
          <w:u w:val="single"/>
        </w:rPr>
        <w:t xml:space="preserve">  </w:t>
      </w:r>
      <w:r>
        <w:rPr>
          <w:rFonts w:ascii="仿宋" w:hAnsi="仿宋" w:eastAsia="仿宋" w:cs="Arial"/>
          <w:color w:val="auto"/>
          <w:kern w:val="2"/>
          <w:sz w:val="28"/>
          <w:szCs w:val="36"/>
          <w:highlight w:val="none"/>
          <w:u w:val="single"/>
        </w:rPr>
        <w:t>月</w:t>
      </w:r>
      <w:r>
        <w:rPr>
          <w:rFonts w:ascii="仿宋" w:hAnsi="仿宋" w:eastAsia="仿宋" w:cs="Arial"/>
          <w:b/>
          <w:color w:val="auto"/>
          <w:kern w:val="2"/>
          <w:sz w:val="44"/>
          <w:szCs w:val="36"/>
          <w:highlight w:val="none"/>
        </w:rPr>
        <w:br w:type="page"/>
      </w:r>
    </w:p>
    <w:p>
      <w:pPr>
        <w:widowControl w:val="0"/>
        <w:adjustRightInd/>
        <w:snapToGrid/>
        <w:spacing w:line="600" w:lineRule="exact"/>
        <w:jc w:val="both"/>
        <w:rPr>
          <w:rFonts w:hint="eastAsia" w:ascii="仿宋" w:hAnsi="仿宋" w:eastAsia="仿宋" w:cs="Arial"/>
          <w:color w:val="auto"/>
          <w:kern w:val="2"/>
          <w:szCs w:val="28"/>
          <w:highlight w:val="none"/>
          <w:lang w:eastAsia="zh-CN"/>
        </w:rPr>
      </w:pPr>
      <w:r>
        <w:rPr>
          <w:rFonts w:ascii="仿宋" w:hAnsi="仿宋" w:eastAsia="仿宋" w:cs="Arial"/>
          <w:color w:val="auto"/>
          <w:kern w:val="2"/>
          <w:szCs w:val="28"/>
          <w:highlight w:val="none"/>
        </w:rPr>
        <w:t xml:space="preserve">甲方【发包单位】： </w:t>
      </w:r>
      <w:r>
        <w:rPr>
          <w:rFonts w:hint="eastAsia" w:ascii="仿宋" w:hAnsi="仿宋" w:eastAsia="仿宋" w:cs="Arial"/>
          <w:color w:val="auto"/>
          <w:kern w:val="2"/>
          <w:szCs w:val="28"/>
          <w:highlight w:val="none"/>
          <w:lang w:val="en-US" w:eastAsia="zh-CN"/>
        </w:rPr>
        <w:t xml:space="preserve"> </w:t>
      </w:r>
    </w:p>
    <w:p>
      <w:pPr>
        <w:widowControl w:val="0"/>
        <w:adjustRightInd/>
        <w:snapToGrid/>
        <w:spacing w:line="600" w:lineRule="exact"/>
        <w:jc w:val="both"/>
        <w:rPr>
          <w:rFonts w:ascii="仿宋" w:hAnsi="仿宋" w:eastAsia="仿宋" w:cs="Arial"/>
          <w:color w:val="auto"/>
          <w:kern w:val="2"/>
          <w:szCs w:val="28"/>
          <w:highlight w:val="none"/>
        </w:rPr>
      </w:pPr>
      <w:r>
        <w:rPr>
          <w:rFonts w:ascii="仿宋" w:hAnsi="仿宋" w:eastAsia="仿宋" w:cs="Arial"/>
          <w:color w:val="auto"/>
          <w:kern w:val="2"/>
          <w:szCs w:val="28"/>
          <w:highlight w:val="none"/>
        </w:rPr>
        <w:t>地</w:t>
      </w:r>
      <w:r>
        <w:rPr>
          <w:rFonts w:hint="eastAsia" w:ascii="仿宋" w:hAnsi="仿宋" w:eastAsia="仿宋" w:cs="Arial"/>
          <w:color w:val="auto"/>
          <w:kern w:val="2"/>
          <w:szCs w:val="28"/>
          <w:highlight w:val="none"/>
        </w:rPr>
        <w:t xml:space="preserve">            </w:t>
      </w:r>
      <w:r>
        <w:rPr>
          <w:rFonts w:ascii="仿宋" w:hAnsi="仿宋" w:eastAsia="仿宋" w:cs="Arial"/>
          <w:color w:val="auto"/>
          <w:kern w:val="2"/>
          <w:szCs w:val="28"/>
          <w:highlight w:val="none"/>
        </w:rPr>
        <w:t xml:space="preserve">址：  </w:t>
      </w:r>
      <w:r>
        <w:rPr>
          <w:rFonts w:hint="eastAsia" w:ascii="仿宋" w:hAnsi="仿宋" w:eastAsia="仿宋" w:cs="Arial"/>
          <w:color w:val="auto"/>
          <w:kern w:val="2"/>
          <w:szCs w:val="28"/>
          <w:highlight w:val="none"/>
        </w:rPr>
        <w:t xml:space="preserve"> </w:t>
      </w:r>
    </w:p>
    <w:p>
      <w:pPr>
        <w:widowControl w:val="0"/>
        <w:adjustRightInd/>
        <w:snapToGrid/>
        <w:spacing w:line="600" w:lineRule="exact"/>
        <w:jc w:val="both"/>
        <w:rPr>
          <w:rFonts w:ascii="仿宋" w:hAnsi="仿宋" w:eastAsia="仿宋" w:cs="Arial"/>
          <w:color w:val="auto"/>
          <w:kern w:val="2"/>
          <w:szCs w:val="28"/>
          <w:highlight w:val="none"/>
        </w:rPr>
      </w:pPr>
      <w:r>
        <w:rPr>
          <w:rFonts w:ascii="仿宋" w:hAnsi="仿宋" w:eastAsia="仿宋" w:cs="Arial"/>
          <w:color w:val="auto"/>
          <w:kern w:val="2"/>
          <w:szCs w:val="28"/>
          <w:highlight w:val="none"/>
        </w:rPr>
        <w:t>联络人：</w:t>
      </w:r>
      <w:r>
        <w:rPr>
          <w:rFonts w:hint="eastAsia" w:ascii="仿宋" w:hAnsi="仿宋" w:eastAsia="仿宋" w:cs="Arial"/>
          <w:color w:val="auto"/>
          <w:kern w:val="2"/>
          <w:szCs w:val="28"/>
          <w:highlight w:val="none"/>
        </w:rPr>
        <w:t xml:space="preserve">    电</w:t>
      </w:r>
      <w:r>
        <w:rPr>
          <w:rFonts w:ascii="仿宋" w:hAnsi="仿宋" w:eastAsia="仿宋" w:cs="Arial"/>
          <w:color w:val="auto"/>
          <w:kern w:val="2"/>
          <w:szCs w:val="28"/>
          <w:highlight w:val="none"/>
        </w:rPr>
        <w:t>话：</w:t>
      </w:r>
      <w:r>
        <w:rPr>
          <w:rFonts w:hint="eastAsia" w:ascii="仿宋" w:hAnsi="仿宋" w:eastAsia="仿宋" w:cs="Arial"/>
          <w:color w:val="auto"/>
          <w:kern w:val="2"/>
          <w:szCs w:val="28"/>
          <w:highlight w:val="none"/>
        </w:rPr>
        <w:t xml:space="preserve"> </w:t>
      </w:r>
    </w:p>
    <w:p>
      <w:pPr>
        <w:widowControl w:val="0"/>
        <w:adjustRightInd/>
        <w:snapToGrid/>
        <w:spacing w:line="600" w:lineRule="exact"/>
        <w:jc w:val="both"/>
        <w:rPr>
          <w:rFonts w:ascii="仿宋" w:hAnsi="仿宋" w:eastAsia="仿宋" w:cs="Arial"/>
          <w:color w:val="auto"/>
          <w:kern w:val="2"/>
          <w:szCs w:val="24"/>
          <w:highlight w:val="none"/>
        </w:rPr>
      </w:pPr>
    </w:p>
    <w:p>
      <w:pPr>
        <w:widowControl w:val="0"/>
        <w:adjustRightInd/>
        <w:snapToGrid/>
        <w:spacing w:line="600" w:lineRule="exact"/>
        <w:jc w:val="both"/>
        <w:rPr>
          <w:rFonts w:ascii="仿宋" w:hAnsi="仿宋" w:eastAsia="仿宋" w:cs="Arial"/>
          <w:color w:val="auto"/>
          <w:kern w:val="2"/>
          <w:szCs w:val="24"/>
          <w:highlight w:val="none"/>
        </w:rPr>
      </w:pPr>
      <w:r>
        <w:rPr>
          <w:rFonts w:ascii="仿宋" w:hAnsi="仿宋" w:eastAsia="仿宋" w:cs="Arial"/>
          <w:color w:val="auto"/>
          <w:kern w:val="2"/>
          <w:szCs w:val="24"/>
          <w:highlight w:val="none"/>
        </w:rPr>
        <w:t>乙方【施工单位】：</w:t>
      </w:r>
    </w:p>
    <w:p>
      <w:pPr>
        <w:widowControl w:val="0"/>
        <w:adjustRightInd/>
        <w:snapToGrid/>
        <w:spacing w:line="600" w:lineRule="exact"/>
        <w:jc w:val="both"/>
        <w:rPr>
          <w:rFonts w:ascii="仿宋" w:hAnsi="仿宋" w:eastAsia="仿宋" w:cs="Arial"/>
          <w:color w:val="auto"/>
          <w:kern w:val="2"/>
          <w:szCs w:val="24"/>
          <w:highlight w:val="none"/>
        </w:rPr>
      </w:pPr>
      <w:r>
        <w:rPr>
          <w:rFonts w:ascii="仿宋" w:hAnsi="仿宋" w:eastAsia="仿宋" w:cs="Arial"/>
          <w:color w:val="auto"/>
          <w:kern w:val="2"/>
          <w:szCs w:val="24"/>
          <w:highlight w:val="none"/>
        </w:rPr>
        <w:t>地</w:t>
      </w:r>
      <w:r>
        <w:rPr>
          <w:rFonts w:hint="eastAsia" w:ascii="仿宋" w:hAnsi="仿宋" w:eastAsia="仿宋" w:cs="Arial"/>
          <w:color w:val="auto"/>
          <w:kern w:val="2"/>
          <w:szCs w:val="24"/>
          <w:highlight w:val="none"/>
        </w:rPr>
        <w:t xml:space="preserve">            </w:t>
      </w:r>
      <w:r>
        <w:rPr>
          <w:rFonts w:ascii="仿宋" w:hAnsi="仿宋" w:eastAsia="仿宋" w:cs="Arial"/>
          <w:color w:val="auto"/>
          <w:kern w:val="2"/>
          <w:szCs w:val="24"/>
          <w:highlight w:val="none"/>
        </w:rPr>
        <w:t>址：</w:t>
      </w:r>
    </w:p>
    <w:p>
      <w:pPr>
        <w:widowControl w:val="0"/>
        <w:adjustRightInd/>
        <w:snapToGrid/>
        <w:spacing w:line="600" w:lineRule="exact"/>
        <w:jc w:val="both"/>
        <w:rPr>
          <w:rFonts w:ascii="仿宋" w:hAnsi="仿宋" w:eastAsia="仿宋" w:cs="Arial"/>
          <w:color w:val="auto"/>
          <w:kern w:val="2"/>
          <w:sz w:val="20"/>
          <w:szCs w:val="24"/>
          <w:highlight w:val="none"/>
        </w:rPr>
      </w:pPr>
      <w:r>
        <w:rPr>
          <w:rFonts w:ascii="仿宋" w:hAnsi="仿宋" w:eastAsia="仿宋" w:cs="Arial"/>
          <w:color w:val="auto"/>
          <w:kern w:val="2"/>
          <w:szCs w:val="24"/>
          <w:highlight w:val="none"/>
        </w:rPr>
        <w:t>联络人：</w:t>
      </w:r>
      <w:r>
        <w:rPr>
          <w:rFonts w:ascii="仿宋" w:hAnsi="仿宋" w:eastAsia="仿宋" w:cs="Arial"/>
          <w:color w:val="auto"/>
          <w:kern w:val="2"/>
          <w:szCs w:val="28"/>
          <w:highlight w:val="none"/>
        </w:rPr>
        <w:t xml:space="preserve"> </w:t>
      </w:r>
      <w:r>
        <w:rPr>
          <w:rFonts w:hint="eastAsia" w:ascii="仿宋" w:hAnsi="仿宋" w:eastAsia="仿宋" w:cs="Arial"/>
          <w:color w:val="auto"/>
          <w:kern w:val="2"/>
          <w:szCs w:val="28"/>
          <w:highlight w:val="none"/>
        </w:rPr>
        <w:t xml:space="preserve">   </w:t>
      </w:r>
      <w:r>
        <w:rPr>
          <w:rFonts w:ascii="仿宋" w:hAnsi="仿宋" w:eastAsia="仿宋" w:cs="Arial"/>
          <w:color w:val="auto"/>
          <w:kern w:val="2"/>
          <w:szCs w:val="28"/>
          <w:highlight w:val="none"/>
        </w:rPr>
        <w:t xml:space="preserve"> </w:t>
      </w:r>
      <w:r>
        <w:rPr>
          <w:rFonts w:ascii="仿宋" w:hAnsi="仿宋" w:eastAsia="仿宋" w:cs="Arial"/>
          <w:color w:val="auto"/>
          <w:kern w:val="2"/>
          <w:szCs w:val="24"/>
          <w:highlight w:val="none"/>
        </w:rPr>
        <w:t>电话：</w:t>
      </w:r>
      <w:r>
        <w:rPr>
          <w:rFonts w:hint="eastAsia" w:ascii="仿宋" w:hAnsi="仿宋" w:eastAsia="仿宋" w:cs="Times New Roman"/>
          <w:bCs/>
          <w:color w:val="auto"/>
          <w:kern w:val="2"/>
          <w:szCs w:val="21"/>
          <w:highlight w:val="none"/>
        </w:rPr>
        <w:t xml:space="preserve">  </w:t>
      </w:r>
      <w:r>
        <w:rPr>
          <w:rFonts w:hint="eastAsia" w:ascii="仿宋" w:hAnsi="仿宋" w:eastAsia="仿宋" w:cs="Times New Roman"/>
          <w:bCs/>
          <w:color w:val="auto"/>
          <w:kern w:val="2"/>
          <w:szCs w:val="21"/>
          <w:highlight w:val="none"/>
          <w:u w:val="single"/>
        </w:rPr>
        <w:t xml:space="preserve">    </w:t>
      </w:r>
    </w:p>
    <w:p>
      <w:pPr>
        <w:pStyle w:val="25"/>
        <w:spacing w:after="156"/>
        <w:rPr>
          <w:rFonts w:ascii="仿宋" w:hAnsi="仿宋" w:eastAsia="仿宋" w:cs="Arial"/>
          <w:b/>
          <w:color w:val="auto"/>
          <w:szCs w:val="28"/>
          <w:highlight w:val="none"/>
        </w:rPr>
      </w:pPr>
      <w:r>
        <w:rPr>
          <w:rFonts w:ascii="仿宋" w:hAnsi="仿宋" w:eastAsia="仿宋" w:cs="Arial"/>
          <w:color w:val="auto"/>
          <w:szCs w:val="28"/>
          <w:highlight w:val="none"/>
        </w:rPr>
        <w:t>为了切实加强对</w:t>
      </w:r>
      <w:r>
        <w:rPr>
          <w:rFonts w:hint="eastAsia" w:ascii="仿宋" w:hAnsi="仿宋" w:eastAsia="仿宋" w:cs="Arial"/>
          <w:color w:val="auto"/>
          <w:szCs w:val="28"/>
          <w:highlight w:val="none"/>
        </w:rPr>
        <w:t>建设项目</w:t>
      </w:r>
      <w:r>
        <w:rPr>
          <w:rFonts w:ascii="仿宋" w:hAnsi="仿宋" w:eastAsia="仿宋" w:cs="Arial"/>
          <w:color w:val="auto"/>
          <w:szCs w:val="28"/>
          <w:highlight w:val="none"/>
        </w:rPr>
        <w:t>施工现场的安全管理，进一步明确甲乙双方的安全管理责任，防止发生建设工程施工安全事故，依照《中华人民共和国</w:t>
      </w:r>
      <w:r>
        <w:rPr>
          <w:rFonts w:hint="eastAsia" w:ascii="仿宋" w:hAnsi="仿宋" w:eastAsia="仿宋" w:cs="Arial"/>
          <w:color w:val="auto"/>
          <w:szCs w:val="28"/>
          <w:highlight w:val="none"/>
        </w:rPr>
        <w:t>民法典</w:t>
      </w:r>
      <w:r>
        <w:rPr>
          <w:rFonts w:ascii="仿宋" w:hAnsi="仿宋" w:eastAsia="仿宋" w:cs="Arial"/>
          <w:color w:val="auto"/>
          <w:szCs w:val="28"/>
          <w:highlight w:val="none"/>
        </w:rPr>
        <w:t>》《中华人民共和国安全生产法》、国务院《建设工程安全生产管理条例》及其它相关法律、法规规定，遵循平等、自愿、公平和依法管理的原则，在甲乙双方签订的</w:t>
      </w:r>
      <w:r>
        <w:rPr>
          <w:rFonts w:hint="eastAsia" w:ascii="仿宋" w:hAnsi="仿宋" w:eastAsia="仿宋" w:cs="Arial"/>
          <w:color w:val="auto"/>
          <w:szCs w:val="28"/>
          <w:highlight w:val="none"/>
        </w:rPr>
        <w:t>东莞市寮步镇生活垃圾综合处理中心项目</w:t>
      </w:r>
      <w:r>
        <w:rPr>
          <w:rFonts w:hint="eastAsia" w:ascii="仿宋" w:hAnsi="仿宋" w:eastAsia="仿宋" w:cs="Arial"/>
          <w:color w:val="auto"/>
          <w:szCs w:val="28"/>
          <w:highlight w:val="none"/>
          <w:u w:val="single"/>
        </w:rPr>
        <w:t xml:space="preserve">  </w:t>
      </w:r>
      <w:r>
        <w:rPr>
          <w:rFonts w:hint="eastAsia" w:ascii="仿宋" w:hAnsi="仿宋" w:eastAsia="仿宋" w:cs="Arial"/>
          <w:color w:val="auto"/>
          <w:szCs w:val="28"/>
          <w:highlight w:val="none"/>
        </w:rPr>
        <w:t>包合同（以下</w:t>
      </w:r>
      <w:r>
        <w:rPr>
          <w:rFonts w:ascii="仿宋" w:hAnsi="仿宋" w:eastAsia="仿宋" w:cs="Arial"/>
          <w:color w:val="auto"/>
          <w:szCs w:val="28"/>
          <w:highlight w:val="none"/>
        </w:rPr>
        <w:t>简称</w:t>
      </w:r>
      <w:r>
        <w:rPr>
          <w:rFonts w:hint="eastAsia" w:ascii="仿宋" w:hAnsi="仿宋" w:eastAsia="仿宋" w:cs="Arial"/>
          <w:color w:val="auto"/>
          <w:szCs w:val="28"/>
          <w:highlight w:val="none"/>
        </w:rPr>
        <w:t>原</w:t>
      </w:r>
      <w:r>
        <w:rPr>
          <w:rFonts w:ascii="仿宋" w:hAnsi="仿宋" w:eastAsia="仿宋" w:cs="Arial"/>
          <w:color w:val="auto"/>
          <w:szCs w:val="28"/>
          <w:highlight w:val="none"/>
        </w:rPr>
        <w:t>合同</w:t>
      </w:r>
      <w:r>
        <w:rPr>
          <w:rFonts w:hint="eastAsia" w:ascii="仿宋" w:hAnsi="仿宋" w:eastAsia="仿宋" w:cs="Arial"/>
          <w:color w:val="auto"/>
          <w:szCs w:val="28"/>
          <w:highlight w:val="none"/>
        </w:rPr>
        <w:t>）</w:t>
      </w:r>
      <w:r>
        <w:rPr>
          <w:rFonts w:ascii="仿宋" w:hAnsi="仿宋" w:eastAsia="仿宋" w:cs="Arial"/>
          <w:color w:val="auto"/>
          <w:szCs w:val="28"/>
          <w:highlight w:val="none"/>
        </w:rPr>
        <w:t>基础上，共同协商一致，签订本安全管理协议书</w:t>
      </w:r>
      <w:r>
        <w:rPr>
          <w:rFonts w:hint="eastAsia" w:ascii="仿宋" w:hAnsi="仿宋" w:eastAsia="仿宋" w:cs="Arial"/>
          <w:color w:val="auto"/>
          <w:szCs w:val="28"/>
          <w:highlight w:val="none"/>
        </w:rPr>
        <w:t>（以下</w:t>
      </w:r>
      <w:r>
        <w:rPr>
          <w:rFonts w:ascii="仿宋" w:hAnsi="仿宋" w:eastAsia="仿宋" w:cs="Arial"/>
          <w:color w:val="auto"/>
          <w:szCs w:val="28"/>
          <w:highlight w:val="none"/>
        </w:rPr>
        <w:t>简称本协议</w:t>
      </w:r>
      <w:r>
        <w:rPr>
          <w:rFonts w:hint="eastAsia" w:ascii="仿宋" w:hAnsi="仿宋" w:eastAsia="仿宋" w:cs="Arial"/>
          <w:color w:val="auto"/>
          <w:szCs w:val="28"/>
          <w:highlight w:val="none"/>
        </w:rPr>
        <w:t>）</w:t>
      </w:r>
      <w:r>
        <w:rPr>
          <w:rFonts w:ascii="仿宋" w:hAnsi="仿宋" w:eastAsia="仿宋" w:cs="Arial"/>
          <w:color w:val="auto"/>
          <w:szCs w:val="28"/>
          <w:highlight w:val="none"/>
        </w:rPr>
        <w:t>。</w:t>
      </w:r>
    </w:p>
    <w:p>
      <w:pPr>
        <w:widowControl w:val="0"/>
        <w:adjustRightInd/>
        <w:snapToGrid/>
        <w:spacing w:line="500" w:lineRule="exact"/>
        <w:ind w:firstLine="422" w:firstLineChars="200"/>
        <w:jc w:val="both"/>
        <w:outlineLvl w:val="2"/>
        <w:rPr>
          <w:rFonts w:ascii="仿宋" w:hAnsi="仿宋" w:eastAsia="仿宋" w:cs="Arial"/>
          <w:b/>
          <w:color w:val="auto"/>
          <w:kern w:val="2"/>
          <w:szCs w:val="24"/>
          <w:highlight w:val="none"/>
        </w:rPr>
      </w:pPr>
      <w:r>
        <w:rPr>
          <w:rFonts w:hint="eastAsia" w:ascii="仿宋" w:hAnsi="仿宋" w:eastAsia="仿宋" w:cs="Arial"/>
          <w:b/>
          <w:color w:val="auto"/>
          <w:kern w:val="2"/>
          <w:szCs w:val="24"/>
          <w:highlight w:val="none"/>
        </w:rPr>
        <w:t>第一条 基本情况</w:t>
      </w:r>
    </w:p>
    <w:p>
      <w:pPr>
        <w:widowControl w:val="0"/>
        <w:adjustRightInd/>
        <w:snapToGrid/>
        <w:spacing w:line="560" w:lineRule="exact"/>
        <w:ind w:firstLine="630" w:firstLineChars="300"/>
        <w:jc w:val="both"/>
        <w:rPr>
          <w:rFonts w:ascii="仿宋" w:hAnsi="仿宋" w:eastAsia="仿宋" w:cs="Arial"/>
          <w:color w:val="auto"/>
          <w:kern w:val="2"/>
          <w:szCs w:val="28"/>
          <w:highlight w:val="none"/>
        </w:rPr>
      </w:pPr>
      <w:r>
        <w:rPr>
          <w:rFonts w:hint="eastAsia" w:ascii="仿宋" w:hAnsi="仿宋" w:eastAsia="仿宋" w:cs="Arial"/>
          <w:color w:val="auto"/>
          <w:kern w:val="2"/>
          <w:szCs w:val="24"/>
          <w:highlight w:val="none"/>
        </w:rPr>
        <w:t>1.1</w:t>
      </w:r>
      <w:r>
        <w:rPr>
          <w:rFonts w:ascii="仿宋" w:hAnsi="仿宋" w:eastAsia="仿宋" w:cs="Arial"/>
          <w:color w:val="auto"/>
          <w:kern w:val="2"/>
          <w:szCs w:val="24"/>
          <w:highlight w:val="none"/>
        </w:rPr>
        <w:t xml:space="preserve"> </w:t>
      </w:r>
      <w:r>
        <w:rPr>
          <w:rFonts w:hint="eastAsia" w:ascii="仿宋" w:hAnsi="仿宋" w:eastAsia="仿宋" w:cs="Arial"/>
          <w:color w:val="auto"/>
          <w:kern w:val="2"/>
          <w:szCs w:val="24"/>
          <w:highlight w:val="none"/>
        </w:rPr>
        <w:t>工程名称：</w:t>
      </w:r>
      <w:r>
        <w:rPr>
          <w:rFonts w:hint="eastAsia" w:ascii="仿宋" w:hAnsi="仿宋" w:eastAsia="仿宋" w:cs="Arial"/>
          <w:color w:val="auto"/>
          <w:kern w:val="2"/>
          <w:szCs w:val="28"/>
          <w:highlight w:val="none"/>
        </w:rPr>
        <w:t>东莞市寮步镇生活垃圾综合处理中心项目</w:t>
      </w:r>
      <w:r>
        <w:rPr>
          <w:rFonts w:hint="eastAsia" w:ascii="仿宋" w:hAnsi="仿宋" w:eastAsia="仿宋" w:cs="Arial"/>
          <w:color w:val="auto"/>
          <w:kern w:val="2"/>
          <w:szCs w:val="28"/>
          <w:highlight w:val="none"/>
          <w:u w:val="single"/>
        </w:rPr>
        <w:t xml:space="preserve">  </w:t>
      </w:r>
      <w:r>
        <w:rPr>
          <w:rFonts w:hint="eastAsia" w:ascii="仿宋" w:hAnsi="仿宋" w:eastAsia="仿宋" w:cs="Arial"/>
          <w:color w:val="auto"/>
          <w:kern w:val="2"/>
          <w:szCs w:val="28"/>
          <w:highlight w:val="none"/>
        </w:rPr>
        <w:t xml:space="preserve">包。 </w:t>
      </w:r>
    </w:p>
    <w:p>
      <w:pPr>
        <w:widowControl w:val="0"/>
        <w:adjustRightInd/>
        <w:snapToGrid/>
        <w:spacing w:line="500" w:lineRule="exact"/>
        <w:jc w:val="both"/>
        <w:rPr>
          <w:rFonts w:ascii="仿宋" w:hAnsi="仿宋" w:eastAsia="仿宋" w:cs="Arial"/>
          <w:color w:val="auto"/>
          <w:kern w:val="2"/>
          <w:szCs w:val="24"/>
          <w:highlight w:val="none"/>
        </w:rPr>
      </w:pPr>
      <w:r>
        <w:rPr>
          <w:rFonts w:hint="eastAsia" w:ascii="仿宋" w:hAnsi="仿宋" w:eastAsia="仿宋" w:cs="Arial"/>
          <w:color w:val="auto"/>
          <w:kern w:val="2"/>
          <w:szCs w:val="24"/>
          <w:highlight w:val="none"/>
        </w:rPr>
        <w:t xml:space="preserve">      1.2</w:t>
      </w:r>
      <w:r>
        <w:rPr>
          <w:rFonts w:ascii="仿宋" w:hAnsi="仿宋" w:eastAsia="仿宋" w:cs="Arial"/>
          <w:color w:val="auto"/>
          <w:kern w:val="2"/>
          <w:szCs w:val="24"/>
          <w:highlight w:val="none"/>
        </w:rPr>
        <w:t xml:space="preserve"> </w:t>
      </w:r>
      <w:r>
        <w:rPr>
          <w:rFonts w:hint="eastAsia" w:ascii="仿宋" w:hAnsi="仿宋" w:eastAsia="仿宋" w:cs="Arial"/>
          <w:color w:val="auto"/>
          <w:kern w:val="2"/>
          <w:szCs w:val="24"/>
          <w:highlight w:val="none"/>
        </w:rPr>
        <w:t>工程地点与范围：详见采购文件。</w:t>
      </w:r>
    </w:p>
    <w:p>
      <w:pPr>
        <w:widowControl w:val="0"/>
        <w:snapToGrid/>
        <w:spacing w:line="500" w:lineRule="exact"/>
        <w:ind w:firstLine="630" w:firstLineChars="300"/>
        <w:rPr>
          <w:rFonts w:ascii="仿宋" w:hAnsi="仿宋" w:eastAsia="仿宋" w:cs="Arial"/>
          <w:color w:val="auto"/>
          <w:kern w:val="2"/>
          <w:szCs w:val="28"/>
          <w:highlight w:val="none"/>
        </w:rPr>
      </w:pPr>
      <w:r>
        <w:rPr>
          <w:rFonts w:ascii="仿宋" w:hAnsi="仿宋" w:eastAsia="仿宋" w:cs="Arial"/>
          <w:color w:val="auto"/>
          <w:kern w:val="2"/>
          <w:szCs w:val="28"/>
          <w:highlight w:val="none"/>
        </w:rPr>
        <w:t>1.</w:t>
      </w:r>
      <w:r>
        <w:rPr>
          <w:rFonts w:hint="eastAsia" w:ascii="仿宋" w:hAnsi="仿宋" w:eastAsia="仿宋" w:cs="Arial"/>
          <w:color w:val="auto"/>
          <w:kern w:val="2"/>
          <w:szCs w:val="28"/>
          <w:highlight w:val="none"/>
        </w:rPr>
        <w:t>3</w:t>
      </w:r>
      <w:r>
        <w:rPr>
          <w:rFonts w:ascii="仿宋" w:hAnsi="仿宋" w:eastAsia="仿宋" w:cs="Arial"/>
          <w:color w:val="auto"/>
          <w:kern w:val="2"/>
          <w:szCs w:val="28"/>
          <w:highlight w:val="none"/>
        </w:rPr>
        <w:t>本工程内容包括：</w:t>
      </w:r>
      <w:r>
        <w:rPr>
          <w:rFonts w:hint="eastAsia" w:ascii="仿宋" w:hAnsi="仿宋" w:eastAsia="仿宋" w:cs="Arial"/>
          <w:color w:val="auto"/>
          <w:kern w:val="2"/>
          <w:szCs w:val="24"/>
          <w:highlight w:val="none"/>
        </w:rPr>
        <w:t>详见采购文件。</w:t>
      </w:r>
      <w:r>
        <w:rPr>
          <w:rFonts w:ascii="仿宋" w:hAnsi="仿宋" w:eastAsia="仿宋" w:cs="Arial"/>
          <w:color w:val="auto"/>
          <w:kern w:val="2"/>
          <w:szCs w:val="28"/>
          <w:highlight w:val="none"/>
        </w:rPr>
        <w:t xml:space="preserve"> </w:t>
      </w:r>
      <w:r>
        <w:rPr>
          <w:rFonts w:hint="eastAsia" w:ascii="仿宋" w:hAnsi="仿宋" w:eastAsia="仿宋" w:cs="Arial"/>
          <w:color w:val="auto"/>
          <w:kern w:val="2"/>
          <w:szCs w:val="28"/>
          <w:highlight w:val="none"/>
        </w:rPr>
        <w:t xml:space="preserve"> </w:t>
      </w:r>
    </w:p>
    <w:p>
      <w:pPr>
        <w:widowControl w:val="0"/>
        <w:adjustRightInd/>
        <w:snapToGrid/>
        <w:spacing w:line="560" w:lineRule="exact"/>
        <w:ind w:firstLine="630" w:firstLineChars="300"/>
        <w:rPr>
          <w:rFonts w:ascii="仿宋" w:hAnsi="仿宋" w:eastAsia="仿宋" w:cs="Arial"/>
          <w:color w:val="auto"/>
          <w:kern w:val="2"/>
          <w:szCs w:val="24"/>
          <w:highlight w:val="none"/>
        </w:rPr>
      </w:pPr>
      <w:r>
        <w:rPr>
          <w:rFonts w:hint="eastAsia" w:ascii="仿宋" w:hAnsi="仿宋" w:eastAsia="仿宋" w:cs="Arial"/>
          <w:color w:val="auto"/>
          <w:kern w:val="2"/>
          <w:szCs w:val="24"/>
          <w:highlight w:val="none"/>
        </w:rPr>
        <w:t xml:space="preserve">1.4规范标准（按实际项目需求调整）：详见采购文件。 </w:t>
      </w:r>
    </w:p>
    <w:p>
      <w:pPr>
        <w:widowControl w:val="0"/>
        <w:adjustRightInd/>
        <w:snapToGrid/>
        <w:spacing w:line="560" w:lineRule="exact"/>
        <w:ind w:firstLine="630" w:firstLineChars="300"/>
        <w:rPr>
          <w:rFonts w:ascii="仿宋" w:hAnsi="仿宋" w:eastAsia="仿宋" w:cs="Arial"/>
          <w:color w:val="auto"/>
          <w:kern w:val="2"/>
          <w:szCs w:val="24"/>
          <w:highlight w:val="none"/>
        </w:rPr>
      </w:pPr>
      <w:r>
        <w:rPr>
          <w:rFonts w:hint="eastAsia" w:ascii="仿宋" w:hAnsi="仿宋" w:eastAsia="仿宋" w:cs="Arial"/>
          <w:color w:val="auto"/>
          <w:kern w:val="2"/>
          <w:szCs w:val="24"/>
          <w:highlight w:val="none"/>
        </w:rPr>
        <w:t>1.5技术要求：要求达到国家或行业的质量检验评定的合格标准，做好施工期间的安全围蔽，按厂区要求进行安全文明施工。</w:t>
      </w:r>
    </w:p>
    <w:p>
      <w:pPr>
        <w:widowControl w:val="0"/>
        <w:adjustRightInd/>
        <w:snapToGrid/>
        <w:spacing w:line="560" w:lineRule="exact"/>
        <w:ind w:firstLine="630" w:firstLineChars="300"/>
        <w:rPr>
          <w:rFonts w:ascii="仿宋" w:hAnsi="仿宋" w:eastAsia="仿宋" w:cs="Arial"/>
          <w:color w:val="auto"/>
          <w:kern w:val="2"/>
          <w:szCs w:val="24"/>
          <w:highlight w:val="none"/>
        </w:rPr>
      </w:pPr>
      <w:r>
        <w:rPr>
          <w:rFonts w:hint="eastAsia" w:ascii="仿宋" w:hAnsi="仿宋" w:eastAsia="仿宋" w:cs="Arial"/>
          <w:color w:val="auto"/>
          <w:kern w:val="2"/>
          <w:szCs w:val="24"/>
          <w:highlight w:val="none"/>
        </w:rPr>
        <w:t>1.6.工程承包方式：</w:t>
      </w:r>
    </w:p>
    <w:p>
      <w:pPr>
        <w:widowControl w:val="0"/>
        <w:adjustRightInd/>
        <w:snapToGrid/>
        <w:spacing w:line="560" w:lineRule="exact"/>
        <w:ind w:firstLine="630" w:firstLineChars="300"/>
        <w:rPr>
          <w:rFonts w:ascii="仿宋" w:hAnsi="仿宋" w:eastAsia="仿宋" w:cs="Arial"/>
          <w:color w:val="auto"/>
          <w:kern w:val="2"/>
          <w:szCs w:val="24"/>
          <w:highlight w:val="none"/>
        </w:rPr>
      </w:pPr>
      <w:r>
        <w:rPr>
          <w:rFonts w:hint="eastAsia" w:ascii="仿宋" w:hAnsi="仿宋" w:eastAsia="仿宋" w:cs="Arial"/>
          <w:color w:val="auto"/>
          <w:kern w:val="2"/>
          <w:szCs w:val="24"/>
          <w:highlight w:val="none"/>
        </w:rPr>
        <w:t>乙方包工、包全部材料、包安全文明施工，工完场清。</w:t>
      </w:r>
    </w:p>
    <w:p>
      <w:pPr>
        <w:widowControl w:val="0"/>
        <w:adjustRightInd/>
        <w:snapToGrid/>
        <w:spacing w:line="560" w:lineRule="exact"/>
        <w:ind w:firstLine="630" w:firstLineChars="300"/>
        <w:jc w:val="both"/>
        <w:rPr>
          <w:rFonts w:ascii="仿宋" w:hAnsi="仿宋" w:eastAsia="仿宋" w:cs="Arial"/>
          <w:color w:val="auto"/>
          <w:kern w:val="2"/>
          <w:szCs w:val="24"/>
          <w:highlight w:val="none"/>
        </w:rPr>
      </w:pPr>
      <w:r>
        <w:rPr>
          <w:rFonts w:hint="eastAsia" w:ascii="仿宋" w:hAnsi="仿宋" w:eastAsia="仿宋" w:cs="Arial"/>
          <w:color w:val="auto"/>
          <w:kern w:val="2"/>
          <w:szCs w:val="24"/>
          <w:highlight w:val="none"/>
        </w:rPr>
        <w:t xml:space="preserve">1.7.工程工期：详见采购文件。 </w:t>
      </w:r>
    </w:p>
    <w:p>
      <w:pPr>
        <w:widowControl w:val="0"/>
        <w:adjustRightInd/>
        <w:snapToGrid/>
        <w:spacing w:line="500" w:lineRule="exact"/>
        <w:ind w:firstLine="422" w:firstLineChars="200"/>
        <w:jc w:val="both"/>
        <w:outlineLvl w:val="2"/>
        <w:rPr>
          <w:rFonts w:ascii="仿宋" w:hAnsi="仿宋" w:eastAsia="仿宋" w:cs="Times New Roman"/>
          <w:b/>
          <w:bCs/>
          <w:color w:val="auto"/>
          <w:kern w:val="2"/>
          <w:szCs w:val="21"/>
          <w:highlight w:val="none"/>
        </w:rPr>
      </w:pPr>
      <w:r>
        <w:rPr>
          <w:rFonts w:hint="eastAsia" w:ascii="仿宋" w:hAnsi="仿宋" w:eastAsia="仿宋" w:cs="Times New Roman"/>
          <w:b/>
          <w:bCs/>
          <w:color w:val="auto"/>
          <w:kern w:val="2"/>
          <w:szCs w:val="21"/>
          <w:highlight w:val="none"/>
        </w:rPr>
        <w:t>第二条 乙方资质</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2.1</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乙方应将资质、资格证书、安全有关资料原件呈送甲方，并对资料真实性负责，审核通过后报送甲方进行复核、备案。</w:t>
      </w:r>
    </w:p>
    <w:p>
      <w:pPr>
        <w:widowControl w:val="0"/>
        <w:adjustRightInd/>
        <w:snapToGrid/>
        <w:spacing w:line="500" w:lineRule="exact"/>
        <w:ind w:firstLine="422" w:firstLineChars="200"/>
        <w:jc w:val="both"/>
        <w:outlineLvl w:val="2"/>
        <w:rPr>
          <w:rFonts w:ascii="仿宋" w:hAnsi="仿宋" w:eastAsia="仿宋" w:cs="Times New Roman"/>
          <w:b/>
          <w:bCs/>
          <w:color w:val="auto"/>
          <w:kern w:val="2"/>
          <w:szCs w:val="21"/>
          <w:highlight w:val="none"/>
        </w:rPr>
      </w:pPr>
      <w:r>
        <w:rPr>
          <w:rFonts w:hint="eastAsia" w:ascii="仿宋" w:hAnsi="仿宋" w:eastAsia="仿宋" w:cs="Times New Roman"/>
          <w:b/>
          <w:bCs/>
          <w:color w:val="auto"/>
          <w:kern w:val="2"/>
          <w:szCs w:val="21"/>
          <w:highlight w:val="none"/>
        </w:rPr>
        <w:t>第三条 乙方承包项目负责人及安全管理人员</w:t>
      </w:r>
    </w:p>
    <w:p>
      <w:pPr>
        <w:widowControl w:val="0"/>
        <w:adjustRightInd/>
        <w:snapToGrid/>
        <w:spacing w:line="500" w:lineRule="exact"/>
        <w:ind w:firstLine="420" w:firstLineChars="200"/>
        <w:jc w:val="both"/>
        <w:rPr>
          <w:rFonts w:ascii="仿宋" w:hAnsi="仿宋" w:eastAsia="仿宋" w:cs="Times New Roman"/>
          <w:bCs/>
          <w:color w:val="auto"/>
          <w:kern w:val="2"/>
          <w:szCs w:val="21"/>
          <w:highlight w:val="none"/>
        </w:rPr>
      </w:pPr>
      <w:r>
        <w:rPr>
          <w:rFonts w:hint="eastAsia" w:ascii="仿宋" w:hAnsi="仿宋" w:eastAsia="仿宋" w:cs="Times New Roman"/>
          <w:bCs/>
          <w:color w:val="auto"/>
          <w:kern w:val="2"/>
          <w:szCs w:val="21"/>
          <w:highlight w:val="none"/>
        </w:rPr>
        <w:t>3.1</w:t>
      </w:r>
      <w:r>
        <w:rPr>
          <w:rFonts w:ascii="仿宋" w:hAnsi="仿宋" w:eastAsia="仿宋" w:cs="Times New Roman"/>
          <w:bCs/>
          <w:color w:val="auto"/>
          <w:kern w:val="2"/>
          <w:szCs w:val="21"/>
          <w:highlight w:val="none"/>
        </w:rPr>
        <w:t xml:space="preserve"> </w:t>
      </w:r>
      <w:r>
        <w:rPr>
          <w:rFonts w:hint="eastAsia" w:ascii="仿宋" w:hAnsi="仿宋" w:eastAsia="仿宋" w:cs="Times New Roman"/>
          <w:bCs/>
          <w:color w:val="auto"/>
          <w:kern w:val="2"/>
          <w:szCs w:val="21"/>
          <w:highlight w:val="none"/>
        </w:rPr>
        <w:t>乙方承包项目负责人：</w:t>
      </w:r>
      <w:r>
        <w:rPr>
          <w:rFonts w:hint="eastAsia" w:ascii="仿宋" w:hAnsi="仿宋" w:eastAsia="仿宋" w:cs="Times New Roman"/>
          <w:bCs/>
          <w:color w:val="auto"/>
          <w:kern w:val="2"/>
          <w:szCs w:val="21"/>
          <w:highlight w:val="none"/>
          <w:u w:val="single"/>
        </w:rPr>
        <w:t xml:space="preserve"> </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bCs/>
          <w:color w:val="auto"/>
          <w:kern w:val="2"/>
          <w:szCs w:val="21"/>
          <w:highlight w:val="none"/>
        </w:rPr>
        <w:t>3.2</w:t>
      </w:r>
      <w:r>
        <w:rPr>
          <w:rFonts w:ascii="仿宋" w:hAnsi="仿宋" w:eastAsia="仿宋" w:cs="Times New Roman"/>
          <w:bCs/>
          <w:color w:val="auto"/>
          <w:kern w:val="2"/>
          <w:szCs w:val="21"/>
          <w:highlight w:val="none"/>
        </w:rPr>
        <w:t xml:space="preserve"> </w:t>
      </w:r>
      <w:r>
        <w:rPr>
          <w:rFonts w:hint="eastAsia" w:ascii="仿宋" w:hAnsi="仿宋" w:eastAsia="仿宋" w:cs="Times New Roman"/>
          <w:bCs/>
          <w:color w:val="auto"/>
          <w:kern w:val="2"/>
          <w:szCs w:val="21"/>
          <w:highlight w:val="none"/>
        </w:rPr>
        <w:t>乙方安全生产管理负责人：</w:t>
      </w:r>
      <w:r>
        <w:rPr>
          <w:rFonts w:ascii="仿宋" w:hAnsi="仿宋" w:eastAsia="仿宋" w:cs="Times New Roman"/>
          <w:bCs/>
          <w:color w:val="auto"/>
          <w:kern w:val="2"/>
          <w:szCs w:val="21"/>
          <w:highlight w:val="none"/>
          <w:u w:val="single"/>
        </w:rPr>
        <w:t xml:space="preserve"> </w:t>
      </w:r>
      <w:r>
        <w:rPr>
          <w:rFonts w:hint="eastAsia" w:ascii="仿宋" w:hAnsi="仿宋" w:eastAsia="仿宋" w:cs="Times New Roman"/>
          <w:bCs/>
          <w:color w:val="auto"/>
          <w:kern w:val="2"/>
          <w:szCs w:val="21"/>
          <w:highlight w:val="none"/>
          <w:u w:val="single"/>
        </w:rPr>
        <w:t xml:space="preserve"> </w:t>
      </w:r>
    </w:p>
    <w:p>
      <w:pPr>
        <w:widowControl w:val="0"/>
        <w:adjustRightInd/>
        <w:snapToGrid/>
        <w:spacing w:line="500" w:lineRule="exact"/>
        <w:ind w:firstLine="422" w:firstLineChars="200"/>
        <w:jc w:val="both"/>
        <w:outlineLvl w:val="2"/>
        <w:rPr>
          <w:rFonts w:ascii="仿宋" w:hAnsi="仿宋" w:eastAsia="仿宋" w:cs="Times New Roman"/>
          <w:b/>
          <w:bCs/>
          <w:color w:val="auto"/>
          <w:kern w:val="2"/>
          <w:szCs w:val="21"/>
          <w:highlight w:val="none"/>
        </w:rPr>
      </w:pPr>
      <w:r>
        <w:rPr>
          <w:rFonts w:hint="eastAsia" w:ascii="仿宋" w:hAnsi="仿宋" w:eastAsia="仿宋" w:cs="Times New Roman"/>
          <w:b/>
          <w:bCs/>
          <w:color w:val="auto"/>
          <w:kern w:val="2"/>
          <w:szCs w:val="21"/>
          <w:highlight w:val="none"/>
        </w:rPr>
        <w:t>第四条 甲方的权利和义务</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4.1</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甲方或甲方委托方审查乙方的营业执照、资质证书、特种作业人员有效证件、安全管理制度和机械安全防护设施及检测情况等，并需要对原件和复印件进行核对无误，对复印件加盖与原件一致；</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4.2</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甲方或甲方委托方对乙方所制定的安全操作规程和应急预案进行审查、审批和检查落实，对无方案、无措施和措施落实不到位的有权停止施工，限期整改，并根据具体情况进行处罚；</w:t>
      </w:r>
    </w:p>
    <w:p>
      <w:pPr>
        <w:widowControl w:val="0"/>
        <w:adjustRightInd/>
        <w:snapToGrid/>
        <w:spacing w:line="500" w:lineRule="exact"/>
        <w:ind w:firstLine="420" w:firstLineChars="200"/>
        <w:jc w:val="both"/>
        <w:rPr>
          <w:rFonts w:ascii="仿宋" w:hAnsi="仿宋" w:eastAsia="仿宋" w:cs="仿宋_GB2312"/>
          <w:color w:val="auto"/>
          <w:kern w:val="2"/>
          <w:szCs w:val="21"/>
          <w:highlight w:val="none"/>
        </w:rPr>
      </w:pPr>
      <w:r>
        <w:rPr>
          <w:rFonts w:hint="eastAsia" w:ascii="仿宋" w:hAnsi="仿宋" w:eastAsia="仿宋" w:cs="Times New Roman"/>
          <w:color w:val="auto"/>
          <w:kern w:val="2"/>
          <w:szCs w:val="21"/>
          <w:highlight w:val="none"/>
        </w:rPr>
        <w:t>4.3</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乙方编制的施工组织设计、施工安全方案、施工安全措施以及关键工序、重点环节，特种机械设备的使用专项施工方案，由甲方或甲方委托方审查同</w:t>
      </w:r>
      <w:r>
        <w:rPr>
          <w:rFonts w:hint="eastAsia" w:ascii="仿宋" w:hAnsi="仿宋" w:eastAsia="仿宋" w:cs="仿宋_GB2312"/>
          <w:color w:val="auto"/>
          <w:kern w:val="2"/>
          <w:szCs w:val="21"/>
          <w:highlight w:val="none"/>
        </w:rPr>
        <w:t>意后方可实施；</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4.4</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甲方或甲方委托方对乙方特种设备作业人员资格进行验证，禁止非特种作业人员从事特种作业；</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4.5</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因乙方不遵守本协议条款，造成安全事故的发生，甲方有权取消乙方承包资格，并终止原合同，因此</w:t>
      </w:r>
      <w:r>
        <w:rPr>
          <w:rFonts w:ascii="仿宋" w:hAnsi="仿宋" w:eastAsia="仿宋" w:cs="Times New Roman"/>
          <w:color w:val="auto"/>
          <w:kern w:val="2"/>
          <w:szCs w:val="21"/>
          <w:highlight w:val="none"/>
        </w:rPr>
        <w:t>产生的责任（</w:t>
      </w:r>
      <w:r>
        <w:rPr>
          <w:rFonts w:hint="eastAsia" w:ascii="仿宋" w:hAnsi="仿宋" w:eastAsia="仿宋" w:cs="Times New Roman"/>
          <w:color w:val="auto"/>
          <w:kern w:val="2"/>
          <w:szCs w:val="21"/>
          <w:highlight w:val="none"/>
        </w:rPr>
        <w:t>包括</w:t>
      </w:r>
      <w:r>
        <w:rPr>
          <w:rFonts w:ascii="仿宋" w:hAnsi="仿宋" w:eastAsia="仿宋" w:cs="Times New Roman"/>
          <w:color w:val="auto"/>
          <w:kern w:val="2"/>
          <w:szCs w:val="21"/>
          <w:highlight w:val="none"/>
        </w:rPr>
        <w:t>但不限于行政责任）</w:t>
      </w:r>
      <w:r>
        <w:rPr>
          <w:rFonts w:hint="eastAsia" w:ascii="仿宋" w:hAnsi="仿宋" w:eastAsia="仿宋" w:cs="Times New Roman"/>
          <w:color w:val="auto"/>
          <w:kern w:val="2"/>
          <w:szCs w:val="21"/>
          <w:highlight w:val="none"/>
        </w:rPr>
        <w:t>由乙方承担</w:t>
      </w:r>
      <w:r>
        <w:rPr>
          <w:rFonts w:ascii="仿宋" w:hAnsi="仿宋" w:eastAsia="仿宋" w:cs="Times New Roman"/>
          <w:color w:val="auto"/>
          <w:kern w:val="2"/>
          <w:szCs w:val="21"/>
          <w:highlight w:val="none"/>
        </w:rPr>
        <w:t>，</w:t>
      </w:r>
      <w:r>
        <w:rPr>
          <w:rFonts w:hint="eastAsia" w:ascii="仿宋" w:hAnsi="仿宋" w:eastAsia="仿宋" w:cs="Times New Roman"/>
          <w:color w:val="auto"/>
          <w:kern w:val="2"/>
          <w:szCs w:val="21"/>
          <w:highlight w:val="none"/>
        </w:rPr>
        <w:t>并且</w:t>
      </w:r>
      <w:r>
        <w:rPr>
          <w:rFonts w:ascii="仿宋" w:hAnsi="仿宋" w:eastAsia="仿宋" w:cs="Times New Roman"/>
          <w:color w:val="auto"/>
          <w:kern w:val="2"/>
          <w:szCs w:val="21"/>
          <w:highlight w:val="none"/>
        </w:rPr>
        <w:t>须</w:t>
      </w:r>
      <w:r>
        <w:rPr>
          <w:rFonts w:hint="eastAsia" w:ascii="仿宋" w:hAnsi="仿宋" w:eastAsia="仿宋" w:cs="Times New Roman"/>
          <w:color w:val="auto"/>
          <w:kern w:val="2"/>
          <w:szCs w:val="21"/>
          <w:highlight w:val="none"/>
        </w:rPr>
        <w:t>根据原</w:t>
      </w:r>
      <w:r>
        <w:rPr>
          <w:rFonts w:ascii="仿宋" w:hAnsi="仿宋" w:eastAsia="仿宋" w:cs="Times New Roman"/>
          <w:color w:val="auto"/>
          <w:kern w:val="2"/>
          <w:szCs w:val="21"/>
          <w:highlight w:val="none"/>
        </w:rPr>
        <w:t>合同</w:t>
      </w:r>
      <w:r>
        <w:rPr>
          <w:rFonts w:hint="eastAsia" w:ascii="仿宋" w:hAnsi="仿宋" w:eastAsia="仿宋" w:cs="Times New Roman"/>
          <w:color w:val="auto"/>
          <w:kern w:val="2"/>
          <w:szCs w:val="21"/>
          <w:highlight w:val="none"/>
        </w:rPr>
        <w:t>及本协议相关规定向</w:t>
      </w:r>
      <w:r>
        <w:rPr>
          <w:rFonts w:ascii="仿宋" w:hAnsi="仿宋" w:eastAsia="仿宋" w:cs="Times New Roman"/>
          <w:color w:val="auto"/>
          <w:kern w:val="2"/>
          <w:szCs w:val="21"/>
          <w:highlight w:val="none"/>
        </w:rPr>
        <w:t>乙方承担违约责任</w:t>
      </w:r>
      <w:r>
        <w:rPr>
          <w:rFonts w:hint="eastAsia" w:ascii="仿宋" w:hAnsi="仿宋" w:eastAsia="仿宋" w:cs="Times New Roman"/>
          <w:color w:val="auto"/>
          <w:kern w:val="2"/>
          <w:szCs w:val="21"/>
          <w:highlight w:val="none"/>
        </w:rPr>
        <w:t>；</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4.6</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甲方或甲方委托方有权依据国家安全政策、法规和各项安全技术操作规程对乙方安全进行监督、检查和管理，</w:t>
      </w:r>
      <w:r>
        <w:rPr>
          <w:rFonts w:hint="eastAsia" w:ascii="仿宋" w:hAnsi="仿宋" w:eastAsia="仿宋" w:cs="仿宋_GB2312"/>
          <w:color w:val="auto"/>
          <w:kern w:val="2"/>
          <w:szCs w:val="21"/>
          <w:highlight w:val="none"/>
        </w:rPr>
        <w:t>有权纠正和制止乙方</w:t>
      </w:r>
      <w:r>
        <w:rPr>
          <w:rFonts w:hint="eastAsia" w:ascii="仿宋" w:hAnsi="仿宋" w:eastAsia="仿宋" w:cs="Times New Roman"/>
          <w:color w:val="auto"/>
          <w:kern w:val="2"/>
          <w:szCs w:val="21"/>
          <w:highlight w:val="none"/>
        </w:rPr>
        <w:t>违规、违章行为，并根据具体情况进行处罚。甲方或甲方委托方</w:t>
      </w:r>
      <w:r>
        <w:rPr>
          <w:rFonts w:hint="eastAsia" w:ascii="仿宋" w:hAnsi="仿宋" w:eastAsia="仿宋" w:cs="仿宋_GB2312"/>
          <w:color w:val="auto"/>
          <w:kern w:val="2"/>
          <w:szCs w:val="21"/>
          <w:highlight w:val="none"/>
        </w:rPr>
        <w:t>发现乙方存在工程安全隐患，有权责令乙方限期整改；对存在重大工程安全隐患的，</w:t>
      </w:r>
      <w:r>
        <w:rPr>
          <w:rFonts w:hint="eastAsia" w:ascii="仿宋" w:hAnsi="仿宋" w:eastAsia="仿宋" w:cs="Times New Roman"/>
          <w:color w:val="auto"/>
          <w:kern w:val="2"/>
          <w:szCs w:val="21"/>
          <w:highlight w:val="none"/>
        </w:rPr>
        <w:t>甲方或甲方委托方</w:t>
      </w:r>
      <w:r>
        <w:rPr>
          <w:rFonts w:hint="eastAsia" w:ascii="仿宋" w:hAnsi="仿宋" w:eastAsia="仿宋" w:cs="仿宋_GB2312"/>
          <w:color w:val="auto"/>
          <w:kern w:val="2"/>
          <w:szCs w:val="21"/>
          <w:highlight w:val="none"/>
        </w:rPr>
        <w:t>有权责令乙方立即停工整改，待隐患消除后方可复工；</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4.7甲方或甲方委托方建立由甲方、乙方共同参加的安全例会制度，定期分析工程安全动态，协助乙方制定保障安全施工的方案和措施。安全例会应形成会议记录或会议纪要；</w:t>
      </w:r>
    </w:p>
    <w:p>
      <w:pPr>
        <w:widowControl w:val="0"/>
        <w:adjustRightIn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4.8乙方发生事故时，甲方或甲方委托方应提供支持和帮助，发生人身伤害事故时，要积极配合抢救，并提供其他便利条件；</w:t>
      </w:r>
    </w:p>
    <w:p>
      <w:pPr>
        <w:widowControl w:val="0"/>
        <w:adjustRightIn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4.9甲方或甲方委托方不得指派乙方人员从事原合同外的施工任务。</w:t>
      </w:r>
    </w:p>
    <w:p>
      <w:pPr>
        <w:widowControl w:val="0"/>
        <w:adjustRightInd/>
        <w:spacing w:line="500" w:lineRule="exact"/>
        <w:ind w:firstLine="422" w:firstLineChars="200"/>
        <w:jc w:val="both"/>
        <w:outlineLvl w:val="2"/>
        <w:rPr>
          <w:rFonts w:ascii="仿宋" w:hAnsi="仿宋" w:eastAsia="仿宋" w:cs="Times New Roman"/>
          <w:b/>
          <w:bCs/>
          <w:color w:val="auto"/>
          <w:kern w:val="2"/>
          <w:szCs w:val="21"/>
          <w:highlight w:val="none"/>
        </w:rPr>
      </w:pPr>
      <w:r>
        <w:rPr>
          <w:rFonts w:hint="eastAsia" w:ascii="仿宋" w:hAnsi="仿宋" w:eastAsia="仿宋" w:cs="Times New Roman"/>
          <w:b/>
          <w:bCs/>
          <w:color w:val="auto"/>
          <w:kern w:val="2"/>
          <w:szCs w:val="21"/>
          <w:highlight w:val="none"/>
        </w:rPr>
        <w:t>第五条 乙方的权利和义务</w:t>
      </w:r>
    </w:p>
    <w:p>
      <w:pPr>
        <w:widowControl w:val="0"/>
        <w:adjustRightInd/>
        <w:snapToGrid/>
        <w:spacing w:line="500" w:lineRule="exact"/>
        <w:ind w:firstLine="420" w:firstLineChars="200"/>
        <w:jc w:val="both"/>
        <w:rPr>
          <w:rFonts w:ascii="仿宋" w:hAnsi="仿宋" w:eastAsia="仿宋" w:cs="Times New Roman"/>
          <w:b/>
          <w:bCs/>
          <w:color w:val="auto"/>
          <w:kern w:val="2"/>
          <w:szCs w:val="21"/>
          <w:highlight w:val="none"/>
        </w:rPr>
      </w:pPr>
      <w:r>
        <w:rPr>
          <w:rFonts w:hint="eastAsia" w:ascii="仿宋" w:hAnsi="仿宋" w:eastAsia="仿宋" w:cs="Arial"/>
          <w:color w:val="auto"/>
          <w:kern w:val="2"/>
          <w:szCs w:val="21"/>
          <w:highlight w:val="none"/>
          <w:shd w:val="clear" w:color="auto" w:fill="FFFFFF"/>
        </w:rPr>
        <w:t>5.1</w:t>
      </w:r>
      <w:r>
        <w:rPr>
          <w:rFonts w:ascii="仿宋" w:hAnsi="仿宋" w:eastAsia="仿宋" w:cs="Arial"/>
          <w:color w:val="auto"/>
          <w:kern w:val="2"/>
          <w:szCs w:val="21"/>
          <w:highlight w:val="none"/>
          <w:shd w:val="clear" w:color="auto" w:fill="FFFFFF"/>
        </w:rPr>
        <w:t xml:space="preserve"> </w:t>
      </w:r>
      <w:r>
        <w:rPr>
          <w:rFonts w:hint="eastAsia" w:ascii="仿宋" w:hAnsi="仿宋" w:eastAsia="仿宋" w:cs="Arial"/>
          <w:color w:val="auto"/>
          <w:kern w:val="2"/>
          <w:szCs w:val="21"/>
          <w:highlight w:val="none"/>
          <w:shd w:val="clear" w:color="auto" w:fill="FFFFFF"/>
        </w:rPr>
        <w:t>乙方负责人是承包项目第一责任人，对本协议工程安全负全面责任；</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5.2</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乙方应认真贯彻执行国家安全生产政策、法规和行业安全规程、规定及甲方制定的各项安全管理制度，自觉遵守本协议；</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ahoma"/>
          <w:color w:val="auto"/>
          <w:szCs w:val="21"/>
          <w:highlight w:val="none"/>
        </w:rPr>
        <w:t>5.3</w:t>
      </w:r>
      <w:r>
        <w:rPr>
          <w:rFonts w:ascii="仿宋" w:hAnsi="仿宋" w:eastAsia="仿宋" w:cs="Tahoma"/>
          <w:color w:val="auto"/>
          <w:szCs w:val="21"/>
          <w:highlight w:val="none"/>
        </w:rPr>
        <w:t xml:space="preserve"> </w:t>
      </w:r>
      <w:r>
        <w:rPr>
          <w:rFonts w:hint="eastAsia" w:ascii="仿宋" w:hAnsi="仿宋" w:eastAsia="仿宋" w:cs="Tahoma"/>
          <w:color w:val="auto"/>
          <w:szCs w:val="21"/>
          <w:highlight w:val="none"/>
        </w:rPr>
        <w:t>乙方自备及租赁的各类施工机械设备，必须符合国家技术标准和行业技术标准，且机械性能良好，各种安全防护装置齐全、灵敏、可靠，特种设备</w:t>
      </w:r>
      <w:r>
        <w:rPr>
          <w:rFonts w:hint="eastAsia" w:ascii="仿宋" w:hAnsi="仿宋" w:eastAsia="仿宋" w:cs="Times New Roman"/>
          <w:color w:val="auto"/>
          <w:kern w:val="2"/>
          <w:szCs w:val="21"/>
          <w:highlight w:val="none"/>
        </w:rPr>
        <w:t>并经有资质检验部门出具的经检验符合安全规定的证明材料；</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5.4</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乙方在施工、作业过程中应切实采取有效地安全防护措施，加强项目施工作业的安全管理工作，防止各类安全事故的发生，保证人身及财产安全；</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5.5</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乙方必须坚持“管生产必须管安全”的原则，做到安全工作与生产“五同时”（即计划、布置、检查、总结、考核）；</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5.6</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乙方应建立安全生产保证体系及安全组织机构，设置专职安全生产管理人员，健全现场安全生产责任制及相应的安全奖惩办法；</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5.7</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乙方项目负责人、专职安全生产管理人员和特种作业人员应按照国家有关规定经过培训考核合格后，持相关安全管理部门核发的、有效的资格证书上岗；</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5.8</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乙方投入施工现场的全部机械设备及各类工具，必须经检验合格，符合国家相关标准并遵守相关操作规程；</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5.9</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乙方必须为作业人员办理工伤保险或意外伤害保险（不少于100万保额），并提供真实证明材料；</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5.10</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乙方根据工作现场特点在生产组织中编制安全施工方案或安全施工技术方案；</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5.11</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乙方做好工作人员的安全教育和安全技术交底工作，保证上岗作业人员经安全教育，未经安全教育者不得进场施工；</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5.12</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乙方应购置配备安全防护设施和劳动保护用品，其使用要求符合国家标准，对不合格者，甲方有权要求整改，并根据具体情况进行处罚；</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5</w:t>
      </w:r>
      <w:r>
        <w:rPr>
          <w:rFonts w:ascii="仿宋" w:hAnsi="仿宋" w:eastAsia="仿宋" w:cs="Times New Roman"/>
          <w:color w:val="auto"/>
          <w:kern w:val="2"/>
          <w:szCs w:val="21"/>
          <w:highlight w:val="none"/>
        </w:rPr>
        <w:t>.</w:t>
      </w:r>
      <w:r>
        <w:rPr>
          <w:rFonts w:hint="eastAsia" w:ascii="仿宋" w:hAnsi="仿宋" w:eastAsia="仿宋" w:cs="Times New Roman"/>
          <w:color w:val="auto"/>
          <w:kern w:val="2"/>
          <w:szCs w:val="21"/>
          <w:highlight w:val="none"/>
        </w:rPr>
        <w:t>13</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乙方在施工过程中对人的不安全行为，物的不安全状态，作业环境的不安全因素和管理上的缺陷进行控制。杜绝违章指挥、违章作业现象存在；</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14</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乙方应做好上岗人员安全教育培训档案管理工作，培训记录和安全考试卷必须保存完整、齐全；</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15</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乙方要定期做好生产现场的安全检查工作，对安全隐患及时整改。对甲方检查后下达的安全检查整改通知单应无条件整改；</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16</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乙方有责任向甲方提出安全合理化建议，有义务完成甲方安排的有利于安全工作的其他要求；</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17</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乙方在生产过程中发生安全事故，应按照国家相关安全事故报告和调查处理的规定，及时如实上报甲方，不得发生迟报、瞒报、谎报现象，甲方将保留对其追究法律责任的权利；</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18</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在安全事故发生后，应当采取相应措施防止事故扩大，保护事故现场；按照事故处理“四不放过”的原则（即事故原因不清楚不放过、事故责任者和应受到教育者没有受到教育不放过、没有采取防范措施不放过、事故责任者没有受到处理不放过）进行调查、处理，同时，做好事故的善后处理；如因乙方在安全事故发生后，并未采取相应措施导致安全事故及人员事故扩大的，以及造成甲方现场产生的经济损失的，由乙方承担所有责任，甲方将保留对其追究法律责任的权利；</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19</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乙方在施工、作业过程中必须加强安全管理，由于管理不到位造成安全事故发生，乙方必须承担全部责任，并承担由此给甲方造成的名誉及经济损失；</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20</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乙方应如实的向上岗人员告知作业现场及岗位存在的危险因素、防范措施和应急处理措施；</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21 乙方生产电源的架设和水源的使用，必须服从甲方的管理，不得私自接用；</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22</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乙方必须做好消防工作，落实岗位消防制度，防止火灾的发生。消防设施的设置要求满足消防规程的要求，严禁使用不合格或过期消防设备；</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23</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乙方必须做好作业现场各类车辆的交通安全工作，杜绝超速、超载、无证驾驶、酒后驾驶、疲劳驾驶等违章行为的发生；</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24</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乙方必须在作业现场重点危险部位设置醒目的安全警示标志、路标及隔离围栏等，并不定期进行检查维护，保证警示标志的整洁、完好；</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25</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乙方应加强生产现场管理，严禁闲杂人员进入生产现场，并保持生产现场良好的秩序；</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26</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乙方必须对务工人员进行相关安全教育培训，并做好培训记录，严禁未经安全培训的人员进行相关施工作业；</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27</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w:t>
      </w:r>
      <w:r>
        <w:rPr>
          <w:rFonts w:hint="eastAsia" w:ascii="仿宋" w:hAnsi="仿宋" w:eastAsia="仿宋" w:cs="Times New Roman"/>
          <w:color w:val="auto"/>
          <w:kern w:val="2"/>
          <w:szCs w:val="21"/>
          <w:highlight w:val="none"/>
          <w:shd w:val="clear" w:color="auto" w:fill="FFFFFF"/>
        </w:rPr>
        <w:t>在承包工程中，实施总承包的施工单位不得将工程转包和分包给不具备安全生产条件的或者相应资质的单位和个人；</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28</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乙方用于本工程项目的施工机械、工器具、安全防护用具及特种设的数量和质量必须满足施工需要，对因使用工器具不当所造成的人员伤害及设备损坏负责；</w:t>
      </w:r>
    </w:p>
    <w:p>
      <w:pPr>
        <w:widowControl w:val="0"/>
        <w:adjustRightInd/>
        <w:snapToGrid/>
        <w:spacing w:line="500" w:lineRule="exact"/>
        <w:ind w:firstLine="420" w:firstLineChars="200"/>
        <w:jc w:val="both"/>
        <w:rPr>
          <w:rFonts w:ascii="仿宋" w:hAnsi="仿宋" w:eastAsia="仿宋" w:cs="Arial"/>
          <w:color w:val="auto"/>
          <w:kern w:val="2"/>
          <w:szCs w:val="21"/>
          <w:highlight w:val="none"/>
          <w:shd w:val="clear" w:color="auto" w:fill="FFFFFF"/>
        </w:rPr>
      </w:pPr>
      <w:r>
        <w:rPr>
          <w:rFonts w:ascii="仿宋" w:hAnsi="仿宋" w:eastAsia="仿宋" w:cs="Arial"/>
          <w:color w:val="auto"/>
          <w:kern w:val="2"/>
          <w:szCs w:val="21"/>
          <w:highlight w:val="none"/>
          <w:shd w:val="clear" w:color="auto" w:fill="FFFFFF"/>
        </w:rPr>
        <w:t>5.</w:t>
      </w:r>
      <w:r>
        <w:rPr>
          <w:rFonts w:hint="eastAsia" w:ascii="仿宋" w:hAnsi="仿宋" w:eastAsia="仿宋" w:cs="Arial"/>
          <w:color w:val="auto"/>
          <w:kern w:val="2"/>
          <w:szCs w:val="21"/>
          <w:highlight w:val="none"/>
          <w:shd w:val="clear" w:color="auto" w:fill="FFFFFF"/>
        </w:rPr>
        <w:t>29</w:t>
      </w:r>
      <w:r>
        <w:rPr>
          <w:rFonts w:ascii="仿宋" w:hAnsi="仿宋" w:eastAsia="仿宋" w:cs="Arial"/>
          <w:color w:val="auto"/>
          <w:kern w:val="2"/>
          <w:szCs w:val="21"/>
          <w:highlight w:val="none"/>
          <w:shd w:val="clear" w:color="auto" w:fill="FFFFFF"/>
        </w:rPr>
        <w:t xml:space="preserve"> </w:t>
      </w:r>
      <w:r>
        <w:rPr>
          <w:rFonts w:hint="eastAsia" w:ascii="仿宋" w:hAnsi="仿宋" w:eastAsia="仿宋" w:cs="Arial"/>
          <w:color w:val="auto"/>
          <w:kern w:val="2"/>
          <w:szCs w:val="21"/>
          <w:highlight w:val="none"/>
          <w:shd w:val="clear" w:color="auto" w:fill="FFFFFF"/>
        </w:rPr>
        <w:t>乙方应在作业范围装设临时围栏或警告标志，不得超越指定的施工范围进行施工，禁止无关人员进入施工现场。未经甲方同意，乙方不得擅自使用与施工无关的甲方设施设备；不得擅自拆除、变更甲方防护设施及标识，如因工作需要拆除的，事后必须及时恢复；</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30</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乙方的车辆在现场发生意外，造成甲方或其它单位的财产损失或人员伤害等，应依法承担相关的赔偿、治疗等责任；</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31</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如因乙方采取的安全措施不当，或违反有关安全规程、规定及本协议所列安全事项而造成事故的，除依法由甲方或第三方承担责任的，均应由乙方全部承担；</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32</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乙方需在甲方厂区住宿的，严格执行甲方公司相关制度规定，甲方只提供住宿，如有意外发生，一切后果自负；</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5.</w:t>
      </w:r>
      <w:r>
        <w:rPr>
          <w:rFonts w:hint="eastAsia" w:ascii="仿宋" w:hAnsi="仿宋" w:eastAsia="仿宋" w:cs="Times New Roman"/>
          <w:color w:val="auto"/>
          <w:kern w:val="2"/>
          <w:szCs w:val="21"/>
          <w:highlight w:val="none"/>
        </w:rPr>
        <w:t>33</w:t>
      </w:r>
      <w:r>
        <w:rPr>
          <w:rFonts w:ascii="仿宋" w:hAnsi="仿宋" w:eastAsia="仿宋" w:cs="Times New Roman"/>
          <w:color w:val="auto"/>
          <w:kern w:val="2"/>
          <w:szCs w:val="21"/>
          <w:highlight w:val="none"/>
        </w:rPr>
        <w:t xml:space="preserve"> </w:t>
      </w:r>
      <w:r>
        <w:rPr>
          <w:rFonts w:hint="eastAsia" w:ascii="仿宋" w:hAnsi="仿宋" w:eastAsia="仿宋" w:cs="Arial"/>
          <w:color w:val="auto"/>
          <w:kern w:val="2"/>
          <w:szCs w:val="21"/>
          <w:highlight w:val="none"/>
          <w:shd w:val="clear" w:color="auto" w:fill="FFFFFF"/>
        </w:rPr>
        <w:t>乙方应确保施工人员身体健康，特殊工种严格执行国家关于年龄的限制。</w:t>
      </w:r>
    </w:p>
    <w:p>
      <w:pPr>
        <w:widowControl w:val="0"/>
        <w:adjustRightInd/>
        <w:snapToGrid/>
        <w:spacing w:line="500" w:lineRule="exact"/>
        <w:ind w:firstLine="422" w:firstLineChars="200"/>
        <w:jc w:val="both"/>
        <w:outlineLvl w:val="2"/>
        <w:rPr>
          <w:rFonts w:ascii="仿宋" w:hAnsi="仿宋" w:eastAsia="仿宋" w:cs="Times New Roman"/>
          <w:b/>
          <w:bCs/>
          <w:color w:val="auto"/>
          <w:kern w:val="2"/>
          <w:szCs w:val="21"/>
          <w:highlight w:val="none"/>
        </w:rPr>
      </w:pPr>
      <w:r>
        <w:rPr>
          <w:rFonts w:hint="eastAsia" w:ascii="仿宋" w:hAnsi="仿宋" w:eastAsia="仿宋" w:cs="Times New Roman"/>
          <w:b/>
          <w:bCs/>
          <w:color w:val="auto"/>
          <w:kern w:val="2"/>
          <w:szCs w:val="21"/>
          <w:highlight w:val="none"/>
        </w:rPr>
        <w:t>第六条 违约处理</w:t>
      </w:r>
    </w:p>
    <w:p>
      <w:pPr>
        <w:widowControl w:val="0"/>
        <w:adjustRightIn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6</w:t>
      </w:r>
      <w:r>
        <w:rPr>
          <w:rFonts w:ascii="仿宋" w:hAnsi="仿宋" w:eastAsia="仿宋" w:cs="Times New Roman"/>
          <w:color w:val="auto"/>
          <w:kern w:val="2"/>
          <w:szCs w:val="21"/>
          <w:highlight w:val="none"/>
        </w:rPr>
        <w:t xml:space="preserve">.1 </w:t>
      </w:r>
      <w:r>
        <w:rPr>
          <w:rFonts w:hint="eastAsia" w:ascii="仿宋" w:hAnsi="仿宋" w:eastAsia="仿宋" w:cs="Times New Roman"/>
          <w:color w:val="auto"/>
          <w:kern w:val="2"/>
          <w:szCs w:val="21"/>
          <w:highlight w:val="none"/>
        </w:rPr>
        <w:t>乙方在签订本协议的后，甲方相关部门或监理单位如发现在施工期间乙方出现以下违反甲方安全规定以及发生“三违”行为（即违章指挥、违章操作、违反劳动纪律”）的，甲方或监理单位有权依据本协议和甲方相关安全管理制度对乙方进行处罚；</w:t>
      </w:r>
    </w:p>
    <w:p>
      <w:pPr>
        <w:widowControl w:val="0"/>
        <w:tabs>
          <w:tab w:val="left" w:pos="312"/>
        </w:tabs>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6</w:t>
      </w:r>
      <w:r>
        <w:rPr>
          <w:rFonts w:ascii="仿宋" w:hAnsi="仿宋" w:eastAsia="仿宋" w:cs="Times New Roman"/>
          <w:color w:val="auto"/>
          <w:kern w:val="2"/>
          <w:szCs w:val="21"/>
          <w:highlight w:val="none"/>
        </w:rPr>
        <w:t>.</w:t>
      </w:r>
      <w:r>
        <w:rPr>
          <w:rFonts w:hint="eastAsia" w:ascii="仿宋" w:hAnsi="仿宋" w:eastAsia="仿宋" w:cs="Times New Roman"/>
          <w:color w:val="auto"/>
          <w:kern w:val="2"/>
          <w:szCs w:val="21"/>
          <w:highlight w:val="none"/>
        </w:rPr>
        <w:t>2</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乙方应提供一份公司盖章版的专项安全施工方案原件备案至甲方公司安全环境管理部门，资料内容至少包括：</w:t>
      </w:r>
    </w:p>
    <w:p>
      <w:pPr>
        <w:widowControl w:val="0"/>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施工安全目标和计划方案；</w:t>
      </w:r>
    </w:p>
    <w:p>
      <w:pPr>
        <w:widowControl w:val="0"/>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施工人员安全生产责任制；</w:t>
      </w:r>
    </w:p>
    <w:p>
      <w:pPr>
        <w:widowControl w:val="0"/>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施工安全管理制度；</w:t>
      </w:r>
    </w:p>
    <w:p>
      <w:pPr>
        <w:widowControl w:val="0"/>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施工人员安全奖惩制度；</w:t>
      </w:r>
    </w:p>
    <w:p>
      <w:pPr>
        <w:widowControl w:val="0"/>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施工安全管理协议书；</w:t>
      </w:r>
    </w:p>
    <w:p>
      <w:pPr>
        <w:widowControl w:val="0"/>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施工安全管理组织框架图；</w:t>
      </w:r>
    </w:p>
    <w:p>
      <w:pPr>
        <w:widowControl w:val="0"/>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施工安全管理人员登记表和任命书；</w:t>
      </w:r>
    </w:p>
    <w:p>
      <w:pPr>
        <w:widowControl w:val="0"/>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施工人员登记表；</w:t>
      </w:r>
    </w:p>
    <w:p>
      <w:pPr>
        <w:widowControl w:val="0"/>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施工特种作业人员登记表和特种证件复印件；</w:t>
      </w:r>
    </w:p>
    <w:p>
      <w:pPr>
        <w:widowControl w:val="0"/>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施工人员安全培训签到表和安全考核记录表；</w:t>
      </w:r>
    </w:p>
    <w:p>
      <w:pPr>
        <w:widowControl w:val="0"/>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施工人员工伤保险或人身意外险购买凭证；</w:t>
      </w:r>
    </w:p>
    <w:p>
      <w:pPr>
        <w:widowControl w:val="0"/>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安全及应急管理制度和应急物品清单；</w:t>
      </w:r>
    </w:p>
    <w:p>
      <w:pPr>
        <w:widowControl w:val="0"/>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安全日常隐患排查管理制度；</w:t>
      </w:r>
    </w:p>
    <w:p>
      <w:pPr>
        <w:numPr>
          <w:ilvl w:val="0"/>
          <w:numId w:val="120"/>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大型设备进场进度表；</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以上资料应在进厂施工后5个工作日内提供完毕，逾期未提供或资料不齐全的，按《EHS管理处罚细则》相关条款实施。</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6.</w:t>
      </w:r>
      <w:r>
        <w:rPr>
          <w:rFonts w:hint="eastAsia" w:ascii="仿宋" w:hAnsi="仿宋" w:eastAsia="仿宋" w:cs="Times New Roman"/>
          <w:color w:val="auto"/>
          <w:kern w:val="2"/>
          <w:szCs w:val="21"/>
          <w:highlight w:val="none"/>
        </w:rPr>
        <w:t>3</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乙方应提供一份公司盖章版的EHS安全施工方案原件备案至甲方公司安全环境管理部门，资料内容至少包括</w:t>
      </w:r>
      <w:r>
        <w:rPr>
          <w:rFonts w:ascii="仿宋" w:hAnsi="仿宋" w:eastAsia="仿宋" w:cs="Times New Roman"/>
          <w:color w:val="auto"/>
          <w:kern w:val="2"/>
          <w:szCs w:val="21"/>
          <w:highlight w:val="none"/>
        </w:rPr>
        <w:t>:</w:t>
      </w:r>
    </w:p>
    <w:p>
      <w:pPr>
        <w:widowControl w:val="0"/>
        <w:numPr>
          <w:ilvl w:val="0"/>
          <w:numId w:val="121"/>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施工项目概况和危险源辨识及评估报告；</w:t>
      </w:r>
    </w:p>
    <w:p>
      <w:pPr>
        <w:widowControl w:val="0"/>
        <w:numPr>
          <w:ilvl w:val="0"/>
          <w:numId w:val="121"/>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施工单位安全文明方案；</w:t>
      </w:r>
    </w:p>
    <w:p>
      <w:pPr>
        <w:widowControl w:val="0"/>
        <w:numPr>
          <w:ilvl w:val="0"/>
          <w:numId w:val="121"/>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施工现场安全标示管理制度；</w:t>
      </w:r>
    </w:p>
    <w:p>
      <w:pPr>
        <w:widowControl w:val="0"/>
        <w:numPr>
          <w:ilvl w:val="0"/>
          <w:numId w:val="121"/>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临时用电安全管理制度；</w:t>
      </w:r>
    </w:p>
    <w:p>
      <w:pPr>
        <w:widowControl w:val="0"/>
        <w:numPr>
          <w:ilvl w:val="0"/>
          <w:numId w:val="121"/>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高处作业安全管理制度；</w:t>
      </w:r>
    </w:p>
    <w:p>
      <w:pPr>
        <w:widowControl w:val="0"/>
        <w:numPr>
          <w:ilvl w:val="0"/>
          <w:numId w:val="121"/>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动火作业安全管理制度；</w:t>
      </w:r>
    </w:p>
    <w:p>
      <w:pPr>
        <w:widowControl w:val="0"/>
        <w:numPr>
          <w:ilvl w:val="0"/>
          <w:numId w:val="121"/>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吊装作业安全管理制度；</w:t>
      </w:r>
    </w:p>
    <w:p>
      <w:pPr>
        <w:widowControl w:val="0"/>
        <w:numPr>
          <w:ilvl w:val="0"/>
          <w:numId w:val="121"/>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较大危险性工作风险清单和预防管控措施制度；</w:t>
      </w:r>
    </w:p>
    <w:p>
      <w:pPr>
        <w:widowControl w:val="0"/>
        <w:numPr>
          <w:ilvl w:val="0"/>
          <w:numId w:val="121"/>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消防安全管理专项制度；</w:t>
      </w:r>
    </w:p>
    <w:p>
      <w:pPr>
        <w:widowControl w:val="0"/>
        <w:numPr>
          <w:ilvl w:val="0"/>
          <w:numId w:val="121"/>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施工人员劳保用品佩戴管理制度；</w:t>
      </w:r>
    </w:p>
    <w:p>
      <w:pPr>
        <w:widowControl w:val="0"/>
        <w:numPr>
          <w:ilvl w:val="0"/>
          <w:numId w:val="121"/>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施工人员生活区专项管理制度；</w:t>
      </w:r>
    </w:p>
    <w:p>
      <w:pPr>
        <w:widowControl w:val="0"/>
        <w:numPr>
          <w:ilvl w:val="0"/>
          <w:numId w:val="121"/>
        </w:numPr>
        <w:adjustRightInd/>
        <w:snapToGrid/>
        <w:spacing w:line="500" w:lineRule="exact"/>
        <w:ind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职业健康安全管理制度。</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以上资料应在进厂施工后5个工作日内提供完毕，逾期未提供或资料不齐全的，按《EHS管理处罚细则》相关条款实施。</w:t>
      </w:r>
    </w:p>
    <w:p>
      <w:pPr>
        <w:widowControl w:val="0"/>
        <w:adjustRightInd/>
        <w:snapToGrid/>
        <w:spacing w:line="500" w:lineRule="exact"/>
        <w:ind w:left="42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6</w:t>
      </w:r>
      <w:r>
        <w:rPr>
          <w:rFonts w:ascii="仿宋" w:hAnsi="仿宋" w:eastAsia="仿宋" w:cs="Times New Roman"/>
          <w:color w:val="auto"/>
          <w:kern w:val="2"/>
          <w:szCs w:val="21"/>
          <w:highlight w:val="none"/>
        </w:rPr>
        <w:t>.</w:t>
      </w:r>
      <w:r>
        <w:rPr>
          <w:rFonts w:hint="eastAsia" w:ascii="仿宋" w:hAnsi="仿宋" w:eastAsia="仿宋" w:cs="Times New Roman"/>
          <w:color w:val="auto"/>
          <w:kern w:val="2"/>
          <w:szCs w:val="21"/>
          <w:highlight w:val="none"/>
        </w:rPr>
        <w:t>4</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处罚细则</w:t>
      </w:r>
    </w:p>
    <w:p>
      <w:pPr>
        <w:widowControl w:val="0"/>
        <w:tabs>
          <w:tab w:val="left" w:pos="312"/>
        </w:tabs>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6.</w:t>
      </w:r>
      <w:r>
        <w:rPr>
          <w:rFonts w:hint="eastAsia" w:ascii="仿宋" w:hAnsi="仿宋" w:eastAsia="仿宋" w:cs="Times New Roman"/>
          <w:color w:val="auto"/>
          <w:kern w:val="2"/>
          <w:szCs w:val="21"/>
          <w:highlight w:val="none"/>
        </w:rPr>
        <w:t>4</w:t>
      </w:r>
      <w:r>
        <w:rPr>
          <w:rFonts w:ascii="仿宋" w:hAnsi="仿宋" w:eastAsia="仿宋" w:cs="Times New Roman"/>
          <w:color w:val="auto"/>
          <w:kern w:val="2"/>
          <w:szCs w:val="21"/>
          <w:highlight w:val="none"/>
        </w:rPr>
        <w:t>.1</w:t>
      </w:r>
      <w:r>
        <w:rPr>
          <w:rFonts w:hint="eastAsia" w:ascii="仿宋" w:hAnsi="仿宋" w:eastAsia="仿宋" w:cs="Times New Roman"/>
          <w:color w:val="auto"/>
          <w:kern w:val="2"/>
          <w:szCs w:val="21"/>
          <w:highlight w:val="none"/>
        </w:rPr>
        <w:t>安全文明施工违约处理</w:t>
      </w:r>
    </w:p>
    <w:p>
      <w:pPr>
        <w:widowControl w:val="0"/>
        <w:tabs>
          <w:tab w:val="left" w:pos="312"/>
        </w:tabs>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详见《EHS管理处罚细则》（附件1）管理规定。</w:t>
      </w:r>
    </w:p>
    <w:p>
      <w:pPr>
        <w:widowControl w:val="0"/>
        <w:tabs>
          <w:tab w:val="left" w:pos="312"/>
        </w:tabs>
        <w:spacing w:line="500" w:lineRule="exact"/>
        <w:ind w:left="480"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6.</w:t>
      </w:r>
      <w:r>
        <w:rPr>
          <w:rFonts w:hint="eastAsia" w:ascii="仿宋" w:hAnsi="仿宋" w:eastAsia="仿宋" w:cs="Times New Roman"/>
          <w:color w:val="auto"/>
          <w:kern w:val="2"/>
          <w:szCs w:val="21"/>
          <w:highlight w:val="none"/>
        </w:rPr>
        <w:t>4</w:t>
      </w:r>
      <w:r>
        <w:rPr>
          <w:rFonts w:ascii="仿宋" w:hAnsi="仿宋" w:eastAsia="仿宋" w:cs="Times New Roman"/>
          <w:color w:val="auto"/>
          <w:kern w:val="2"/>
          <w:szCs w:val="21"/>
          <w:highlight w:val="none"/>
        </w:rPr>
        <w:t>.</w:t>
      </w:r>
      <w:r>
        <w:rPr>
          <w:rFonts w:hint="eastAsia" w:ascii="仿宋" w:hAnsi="仿宋" w:eastAsia="仿宋" w:cs="Times New Roman"/>
          <w:color w:val="auto"/>
          <w:kern w:val="2"/>
          <w:szCs w:val="21"/>
          <w:highlight w:val="none"/>
        </w:rPr>
        <w:t>2</w:t>
      </w:r>
      <w:r>
        <w:rPr>
          <w:rFonts w:ascii="仿宋" w:hAnsi="仿宋" w:eastAsia="仿宋" w:cs="Times New Roman"/>
          <w:color w:val="auto"/>
          <w:kern w:val="2"/>
          <w:szCs w:val="21"/>
          <w:highlight w:val="none"/>
        </w:rPr>
        <w:t xml:space="preserve"> </w:t>
      </w:r>
      <w:r>
        <w:rPr>
          <w:rFonts w:hint="eastAsia" w:ascii="仿宋" w:hAnsi="仿宋" w:eastAsia="仿宋" w:cs="Times New Roman"/>
          <w:color w:val="auto"/>
          <w:kern w:val="2"/>
          <w:szCs w:val="21"/>
          <w:highlight w:val="none"/>
        </w:rPr>
        <w:t>事故违约处理</w:t>
      </w:r>
    </w:p>
    <w:p>
      <w:pPr>
        <w:widowControl w:val="0"/>
        <w:tabs>
          <w:tab w:val="left" w:pos="312"/>
        </w:tabs>
        <w:adjustRightInd/>
        <w:snapToGri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详见《事故处罚实施细则》管理规定（附件2）。</w:t>
      </w:r>
    </w:p>
    <w:p>
      <w:pPr>
        <w:widowControl w:val="0"/>
        <w:adjustRightInd/>
        <w:spacing w:line="500" w:lineRule="exact"/>
        <w:ind w:firstLine="422" w:firstLineChars="200"/>
        <w:jc w:val="both"/>
        <w:outlineLvl w:val="2"/>
        <w:rPr>
          <w:rFonts w:ascii="仿宋" w:hAnsi="仿宋" w:eastAsia="仿宋" w:cs="Times New Roman"/>
          <w:b/>
          <w:bCs/>
          <w:color w:val="auto"/>
          <w:kern w:val="2"/>
          <w:szCs w:val="21"/>
          <w:highlight w:val="none"/>
        </w:rPr>
      </w:pPr>
      <w:r>
        <w:rPr>
          <w:rFonts w:hint="eastAsia" w:ascii="仿宋" w:hAnsi="仿宋" w:eastAsia="仿宋" w:cs="Times New Roman"/>
          <w:b/>
          <w:bCs/>
          <w:color w:val="auto"/>
          <w:kern w:val="2"/>
          <w:szCs w:val="21"/>
          <w:highlight w:val="none"/>
        </w:rPr>
        <w:t>第七条 协议生效与终止</w:t>
      </w:r>
    </w:p>
    <w:p>
      <w:pPr>
        <w:widowControl w:val="0"/>
        <w:adjustRightInd/>
        <w:spacing w:line="500" w:lineRule="exact"/>
        <w:ind w:firstLine="420" w:firstLineChars="200"/>
        <w:jc w:val="both"/>
        <w:rPr>
          <w:rFonts w:ascii="仿宋" w:hAnsi="仿宋" w:eastAsia="仿宋" w:cs="Times New Roman"/>
          <w:color w:val="auto"/>
          <w:kern w:val="2"/>
          <w:szCs w:val="21"/>
          <w:highlight w:val="none"/>
        </w:rPr>
      </w:pPr>
      <w:r>
        <w:rPr>
          <w:rFonts w:hint="eastAsia" w:ascii="仿宋" w:hAnsi="仿宋" w:eastAsia="仿宋" w:cs="Times New Roman"/>
          <w:color w:val="auto"/>
          <w:kern w:val="2"/>
          <w:szCs w:val="21"/>
          <w:highlight w:val="none"/>
        </w:rPr>
        <w:t>7</w:t>
      </w:r>
      <w:r>
        <w:rPr>
          <w:rFonts w:ascii="仿宋" w:hAnsi="仿宋" w:eastAsia="仿宋" w:cs="Times New Roman"/>
          <w:color w:val="auto"/>
          <w:kern w:val="2"/>
          <w:szCs w:val="21"/>
          <w:highlight w:val="none"/>
        </w:rPr>
        <w:t xml:space="preserve">.1 </w:t>
      </w:r>
      <w:r>
        <w:rPr>
          <w:rFonts w:hint="eastAsia" w:ascii="仿宋" w:hAnsi="仿宋" w:eastAsia="仿宋" w:cs="Times New Roman"/>
          <w:color w:val="auto"/>
          <w:kern w:val="2"/>
          <w:szCs w:val="21"/>
          <w:highlight w:val="none"/>
        </w:rPr>
        <w:t>本协议从开工之日起生效，双方共同监督执行，竣工验收后自行终止。如乙方在施工中不履行本协议的约定，违反安全施工的有关管理规定，对甲方提出的警告、停工整顿拒不执行的，甲方有权解除原合同，并无须向乙方承担违约责任。</w:t>
      </w:r>
    </w:p>
    <w:p>
      <w:pPr>
        <w:widowControl w:val="0"/>
        <w:adjustRightInd/>
        <w:spacing w:line="500" w:lineRule="exact"/>
        <w:ind w:firstLine="422" w:firstLineChars="200"/>
        <w:jc w:val="both"/>
        <w:outlineLvl w:val="2"/>
        <w:rPr>
          <w:rFonts w:ascii="仿宋" w:hAnsi="仿宋" w:eastAsia="仿宋" w:cs="Times New Roman"/>
          <w:b/>
          <w:bCs/>
          <w:color w:val="auto"/>
          <w:kern w:val="2"/>
          <w:szCs w:val="21"/>
          <w:highlight w:val="none"/>
        </w:rPr>
      </w:pPr>
      <w:r>
        <w:rPr>
          <w:rFonts w:hint="eastAsia" w:ascii="仿宋" w:hAnsi="仿宋" w:eastAsia="仿宋" w:cs="Times New Roman"/>
          <w:b/>
          <w:bCs/>
          <w:color w:val="auto"/>
          <w:kern w:val="2"/>
          <w:szCs w:val="21"/>
          <w:highlight w:val="none"/>
        </w:rPr>
        <w:t xml:space="preserve">第八条 </w:t>
      </w:r>
      <w:r>
        <w:rPr>
          <w:rFonts w:hint="eastAsia" w:ascii="仿宋" w:hAnsi="仿宋" w:eastAsia="仿宋" w:cs="Times New Roman"/>
          <w:b/>
          <w:bCs/>
          <w:color w:val="auto"/>
          <w:szCs w:val="21"/>
          <w:highlight w:val="none"/>
        </w:rPr>
        <w:t>其它要求</w:t>
      </w:r>
    </w:p>
    <w:p>
      <w:pPr>
        <w:widowControl w:val="0"/>
        <w:adjustRightInd/>
        <w:snapToGrid/>
        <w:spacing w:line="500" w:lineRule="exact"/>
        <w:ind w:firstLine="420" w:firstLineChars="200"/>
        <w:jc w:val="both"/>
        <w:rPr>
          <w:rFonts w:ascii="仿宋" w:hAnsi="仿宋" w:eastAsia="仿宋" w:cs="Times New Roman"/>
          <w:color w:val="auto"/>
          <w:kern w:val="2"/>
          <w:szCs w:val="21"/>
          <w:highlight w:val="none"/>
        </w:rPr>
      </w:pPr>
      <w:r>
        <w:rPr>
          <w:rFonts w:ascii="仿宋" w:hAnsi="仿宋" w:eastAsia="仿宋" w:cs="Times New Roman"/>
          <w:color w:val="auto"/>
          <w:kern w:val="2"/>
          <w:szCs w:val="21"/>
          <w:highlight w:val="none"/>
        </w:rPr>
        <w:t xml:space="preserve">8.1 </w:t>
      </w:r>
      <w:r>
        <w:rPr>
          <w:rFonts w:hint="eastAsia" w:ascii="仿宋" w:hAnsi="仿宋" w:eastAsia="仿宋" w:cs="Times New Roman"/>
          <w:color w:val="auto"/>
          <w:kern w:val="2"/>
          <w:szCs w:val="21"/>
          <w:highlight w:val="none"/>
        </w:rPr>
        <w:t>本协议履行过程中未尽事宜，按甲方有关规章制度执行。</w:t>
      </w:r>
    </w:p>
    <w:p>
      <w:pPr>
        <w:widowControl w:val="0"/>
        <w:adjustRightInd/>
        <w:snapToGrid/>
        <w:spacing w:line="500" w:lineRule="exact"/>
        <w:ind w:left="420" w:leftChars="200"/>
        <w:jc w:val="both"/>
        <w:rPr>
          <w:rFonts w:ascii="仿宋" w:hAnsi="仿宋" w:eastAsia="仿宋" w:cs="Arial"/>
          <w:color w:val="auto"/>
          <w:kern w:val="2"/>
          <w:szCs w:val="28"/>
          <w:highlight w:val="none"/>
        </w:rPr>
      </w:pPr>
      <w:r>
        <w:rPr>
          <w:rFonts w:ascii="仿宋" w:hAnsi="仿宋" w:eastAsia="仿宋" w:cs="Times New Roman"/>
          <w:color w:val="auto"/>
          <w:kern w:val="2"/>
          <w:szCs w:val="21"/>
          <w:highlight w:val="none"/>
        </w:rPr>
        <w:t>8.</w:t>
      </w:r>
      <w:r>
        <w:rPr>
          <w:rFonts w:hint="eastAsia" w:ascii="仿宋" w:hAnsi="仿宋" w:eastAsia="仿宋" w:cs="Times New Roman"/>
          <w:color w:val="auto"/>
          <w:kern w:val="2"/>
          <w:szCs w:val="21"/>
          <w:highlight w:val="none"/>
        </w:rPr>
        <w:t>2</w:t>
      </w:r>
      <w:r>
        <w:rPr>
          <w:rFonts w:ascii="仿宋" w:hAnsi="仿宋" w:eastAsia="仿宋" w:cs="Times New Roman"/>
          <w:color w:val="auto"/>
          <w:kern w:val="2"/>
          <w:szCs w:val="21"/>
          <w:highlight w:val="none"/>
        </w:rPr>
        <w:t xml:space="preserve"> </w:t>
      </w:r>
      <w:r>
        <w:rPr>
          <w:rFonts w:ascii="仿宋" w:hAnsi="仿宋" w:eastAsia="仿宋" w:cs="Arial"/>
          <w:color w:val="auto"/>
          <w:kern w:val="2"/>
          <w:szCs w:val="28"/>
          <w:highlight w:val="none"/>
        </w:rPr>
        <w:t>本协议</w:t>
      </w:r>
      <w:r>
        <w:rPr>
          <w:rFonts w:hint="eastAsia" w:ascii="仿宋" w:hAnsi="仿宋" w:eastAsia="仿宋" w:cs="Arial"/>
          <w:color w:val="auto"/>
          <w:kern w:val="2"/>
          <w:szCs w:val="28"/>
          <w:highlight w:val="none"/>
        </w:rPr>
        <w:t>一式陆</w:t>
      </w:r>
      <w:r>
        <w:rPr>
          <w:rFonts w:ascii="仿宋" w:hAnsi="仿宋" w:eastAsia="仿宋" w:cs="Arial"/>
          <w:color w:val="auto"/>
          <w:kern w:val="2"/>
          <w:szCs w:val="28"/>
          <w:highlight w:val="none"/>
        </w:rPr>
        <w:t>份，</w:t>
      </w:r>
      <w:r>
        <w:rPr>
          <w:rFonts w:hint="eastAsia" w:ascii="仿宋" w:hAnsi="仿宋" w:eastAsia="仿宋" w:cs="Arial"/>
          <w:color w:val="auto"/>
          <w:kern w:val="2"/>
          <w:szCs w:val="28"/>
          <w:highlight w:val="none"/>
        </w:rPr>
        <w:t>均</w:t>
      </w:r>
      <w:r>
        <w:rPr>
          <w:rFonts w:ascii="仿宋" w:hAnsi="仿宋" w:eastAsia="仿宋" w:cs="Arial"/>
          <w:color w:val="auto"/>
          <w:kern w:val="2"/>
          <w:szCs w:val="28"/>
          <w:highlight w:val="none"/>
        </w:rPr>
        <w:t>具有同等法律效力，协议</w:t>
      </w:r>
      <w:r>
        <w:rPr>
          <w:rFonts w:hint="eastAsia" w:ascii="仿宋" w:hAnsi="仿宋" w:eastAsia="仿宋" w:cs="Arial"/>
          <w:color w:val="auto"/>
          <w:kern w:val="2"/>
          <w:szCs w:val="28"/>
          <w:highlight w:val="none"/>
        </w:rPr>
        <w:t>甲方执肆份，乙</w:t>
      </w:r>
      <w:r>
        <w:rPr>
          <w:rFonts w:ascii="仿宋" w:hAnsi="仿宋" w:eastAsia="仿宋" w:cs="Arial"/>
          <w:color w:val="auto"/>
          <w:kern w:val="2"/>
          <w:szCs w:val="28"/>
          <w:highlight w:val="none"/>
        </w:rPr>
        <w:t>方执</w:t>
      </w:r>
      <w:r>
        <w:rPr>
          <w:rFonts w:hint="eastAsia" w:ascii="仿宋" w:hAnsi="仿宋" w:eastAsia="仿宋" w:cs="Arial"/>
          <w:color w:val="auto"/>
          <w:kern w:val="2"/>
          <w:szCs w:val="28"/>
          <w:highlight w:val="none"/>
        </w:rPr>
        <w:t>贰</w:t>
      </w:r>
      <w:r>
        <w:rPr>
          <w:rFonts w:ascii="仿宋" w:hAnsi="仿宋" w:eastAsia="仿宋" w:cs="Arial"/>
          <w:color w:val="auto"/>
          <w:kern w:val="2"/>
          <w:szCs w:val="28"/>
          <w:highlight w:val="none"/>
        </w:rPr>
        <w:t>份。由双方法定代表人</w:t>
      </w:r>
      <w:r>
        <w:rPr>
          <w:rFonts w:hint="eastAsia" w:ascii="仿宋" w:hAnsi="仿宋" w:eastAsia="仿宋" w:cs="Arial"/>
          <w:color w:val="auto"/>
          <w:kern w:val="2"/>
          <w:szCs w:val="28"/>
          <w:highlight w:val="none"/>
        </w:rPr>
        <w:t>签章</w:t>
      </w:r>
      <w:r>
        <w:rPr>
          <w:rFonts w:ascii="仿宋" w:hAnsi="仿宋" w:eastAsia="仿宋" w:cs="Arial"/>
          <w:color w:val="auto"/>
          <w:kern w:val="2"/>
          <w:szCs w:val="28"/>
          <w:highlight w:val="none"/>
        </w:rPr>
        <w:t>或其授权代</w:t>
      </w:r>
      <w:r>
        <w:rPr>
          <w:rFonts w:hint="eastAsia" w:ascii="仿宋" w:hAnsi="仿宋" w:eastAsia="仿宋" w:cs="Arial"/>
          <w:color w:val="auto"/>
          <w:kern w:val="2"/>
          <w:szCs w:val="28"/>
          <w:highlight w:val="none"/>
        </w:rPr>
        <w:t>表</w:t>
      </w:r>
      <w:r>
        <w:rPr>
          <w:rFonts w:ascii="仿宋" w:hAnsi="仿宋" w:eastAsia="仿宋" w:cs="Arial"/>
          <w:color w:val="auto"/>
          <w:kern w:val="2"/>
          <w:szCs w:val="28"/>
          <w:highlight w:val="none"/>
        </w:rPr>
        <w:t>人签署并盖章后生效。</w:t>
      </w:r>
    </w:p>
    <w:p>
      <w:pPr>
        <w:widowControl w:val="0"/>
        <w:adjustRightInd/>
        <w:snapToGrid/>
        <w:spacing w:line="500" w:lineRule="exact"/>
        <w:jc w:val="center"/>
        <w:outlineLvl w:val="2"/>
        <w:rPr>
          <w:rFonts w:ascii="仿宋" w:hAnsi="仿宋" w:eastAsia="仿宋" w:cs="Arial"/>
          <w:color w:val="auto"/>
          <w:kern w:val="2"/>
          <w:szCs w:val="28"/>
          <w:highlight w:val="none"/>
        </w:rPr>
      </w:pPr>
      <w:r>
        <w:rPr>
          <w:rFonts w:hint="eastAsia" w:ascii="仿宋" w:hAnsi="仿宋" w:eastAsia="仿宋" w:cs="Arial"/>
          <w:color w:val="auto"/>
          <w:kern w:val="2"/>
          <w:szCs w:val="28"/>
          <w:highlight w:val="none"/>
        </w:rPr>
        <w:t>（以下无正文）</w:t>
      </w:r>
    </w:p>
    <w:tbl>
      <w:tblPr>
        <w:tblStyle w:val="34"/>
        <w:tblW w:w="8856" w:type="dxa"/>
        <w:jc w:val="center"/>
        <w:tblInd w:w="0" w:type="dxa"/>
        <w:tblLayout w:type="fixed"/>
        <w:tblCellMar>
          <w:top w:w="0" w:type="dxa"/>
          <w:left w:w="108" w:type="dxa"/>
          <w:bottom w:w="0" w:type="dxa"/>
          <w:right w:w="108" w:type="dxa"/>
        </w:tblCellMar>
      </w:tblPr>
      <w:tblGrid>
        <w:gridCol w:w="4786"/>
        <w:gridCol w:w="4070"/>
      </w:tblGrid>
      <w:tr>
        <w:tblPrEx>
          <w:tblLayout w:type="fixed"/>
          <w:tblCellMar>
            <w:top w:w="0" w:type="dxa"/>
            <w:left w:w="108" w:type="dxa"/>
            <w:bottom w:w="0" w:type="dxa"/>
            <w:right w:w="108" w:type="dxa"/>
          </w:tblCellMar>
        </w:tblPrEx>
        <w:trPr>
          <w:trHeight w:val="1194" w:hRule="atLeast"/>
          <w:jc w:val="center"/>
        </w:trPr>
        <w:tc>
          <w:tcPr>
            <w:tcW w:w="4786" w:type="dxa"/>
          </w:tcPr>
          <w:p>
            <w:pPr>
              <w:widowControl w:val="0"/>
              <w:tabs>
                <w:tab w:val="left" w:pos="3480"/>
              </w:tabs>
              <w:adjustRightInd/>
              <w:snapToGrid/>
              <w:spacing w:line="500" w:lineRule="exact"/>
              <w:jc w:val="both"/>
              <w:rPr>
                <w:rFonts w:ascii="仿宋" w:hAnsi="仿宋" w:eastAsia="仿宋" w:cs="Arial"/>
                <w:color w:val="auto"/>
                <w:kern w:val="2"/>
                <w:sz w:val="22"/>
                <w:szCs w:val="24"/>
                <w:highlight w:val="none"/>
              </w:rPr>
            </w:pPr>
            <w:r>
              <w:rPr>
                <w:rFonts w:hint="eastAsia" w:ascii="仿宋" w:hAnsi="仿宋" w:eastAsia="仿宋" w:cs="Arial"/>
                <w:color w:val="auto"/>
                <w:kern w:val="2"/>
                <w:sz w:val="22"/>
                <w:szCs w:val="24"/>
                <w:highlight w:val="none"/>
              </w:rPr>
              <w:t>甲方（盖章）</w:t>
            </w:r>
            <w:r>
              <w:rPr>
                <w:rFonts w:ascii="仿宋" w:hAnsi="仿宋" w:eastAsia="仿宋" w:cs="Arial"/>
                <w:color w:val="auto"/>
                <w:kern w:val="2"/>
                <w:sz w:val="22"/>
                <w:szCs w:val="24"/>
                <w:highlight w:val="none"/>
              </w:rPr>
              <w:t>:</w:t>
            </w:r>
          </w:p>
          <w:p>
            <w:pPr>
              <w:widowControl w:val="0"/>
              <w:tabs>
                <w:tab w:val="left" w:pos="3480"/>
              </w:tabs>
              <w:adjustRightInd/>
              <w:snapToGrid/>
              <w:spacing w:line="500" w:lineRule="exact"/>
              <w:jc w:val="both"/>
              <w:rPr>
                <w:rFonts w:ascii="仿宋" w:hAnsi="仿宋" w:eastAsia="仿宋" w:cs="Arial"/>
                <w:color w:val="auto"/>
                <w:kern w:val="2"/>
                <w:sz w:val="22"/>
                <w:szCs w:val="24"/>
                <w:highlight w:val="none"/>
              </w:rPr>
            </w:pPr>
          </w:p>
        </w:tc>
        <w:tc>
          <w:tcPr>
            <w:tcW w:w="4070" w:type="dxa"/>
          </w:tcPr>
          <w:p>
            <w:pPr>
              <w:widowControl w:val="0"/>
              <w:tabs>
                <w:tab w:val="left" w:pos="3480"/>
              </w:tabs>
              <w:adjustRightInd/>
              <w:snapToGrid/>
              <w:spacing w:line="500" w:lineRule="exact"/>
              <w:jc w:val="both"/>
              <w:rPr>
                <w:rFonts w:ascii="仿宋" w:hAnsi="仿宋" w:eastAsia="仿宋" w:cs="Arial"/>
                <w:color w:val="auto"/>
                <w:kern w:val="2"/>
                <w:sz w:val="22"/>
                <w:szCs w:val="24"/>
                <w:highlight w:val="none"/>
              </w:rPr>
            </w:pPr>
            <w:r>
              <w:rPr>
                <w:rFonts w:hint="eastAsia" w:ascii="仿宋" w:hAnsi="仿宋" w:eastAsia="仿宋" w:cs="Arial"/>
                <w:color w:val="auto"/>
                <w:kern w:val="2"/>
                <w:sz w:val="22"/>
                <w:szCs w:val="24"/>
                <w:highlight w:val="none"/>
              </w:rPr>
              <w:t>乙方（盖章）:</w:t>
            </w:r>
          </w:p>
          <w:p>
            <w:pPr>
              <w:widowControl w:val="0"/>
              <w:tabs>
                <w:tab w:val="left" w:pos="3480"/>
              </w:tabs>
              <w:adjustRightInd/>
              <w:snapToGrid/>
              <w:spacing w:line="500" w:lineRule="exact"/>
              <w:jc w:val="both"/>
              <w:rPr>
                <w:rFonts w:ascii="仿宋" w:hAnsi="仿宋" w:eastAsia="仿宋" w:cs="Arial"/>
                <w:color w:val="auto"/>
                <w:kern w:val="2"/>
                <w:sz w:val="22"/>
                <w:szCs w:val="24"/>
                <w:highlight w:val="none"/>
              </w:rPr>
            </w:pPr>
          </w:p>
        </w:tc>
      </w:tr>
      <w:tr>
        <w:tblPrEx>
          <w:tblLayout w:type="fixed"/>
          <w:tblCellMar>
            <w:top w:w="0" w:type="dxa"/>
            <w:left w:w="108" w:type="dxa"/>
            <w:bottom w:w="0" w:type="dxa"/>
            <w:right w:w="108" w:type="dxa"/>
          </w:tblCellMar>
        </w:tblPrEx>
        <w:trPr>
          <w:trHeight w:val="984" w:hRule="atLeast"/>
          <w:jc w:val="center"/>
        </w:trPr>
        <w:tc>
          <w:tcPr>
            <w:tcW w:w="4786" w:type="dxa"/>
          </w:tcPr>
          <w:p>
            <w:pPr>
              <w:widowControl w:val="0"/>
              <w:tabs>
                <w:tab w:val="left" w:pos="3480"/>
              </w:tabs>
              <w:adjustRightInd/>
              <w:snapToGrid/>
              <w:spacing w:line="500" w:lineRule="exact"/>
              <w:jc w:val="both"/>
              <w:rPr>
                <w:rFonts w:ascii="仿宋" w:hAnsi="仿宋" w:eastAsia="仿宋" w:cs="Arial"/>
                <w:color w:val="auto"/>
                <w:kern w:val="2"/>
                <w:sz w:val="22"/>
                <w:szCs w:val="24"/>
                <w:highlight w:val="none"/>
              </w:rPr>
            </w:pPr>
            <w:r>
              <w:rPr>
                <w:rFonts w:hint="eastAsia" w:ascii="仿宋" w:hAnsi="仿宋" w:eastAsia="仿宋" w:cs="Arial"/>
                <w:color w:val="auto"/>
                <w:kern w:val="2"/>
                <w:sz w:val="22"/>
                <w:szCs w:val="24"/>
                <w:highlight w:val="none"/>
              </w:rPr>
              <w:t>法定代表人（签章）：</w:t>
            </w:r>
          </w:p>
          <w:p>
            <w:pPr>
              <w:widowControl w:val="0"/>
              <w:tabs>
                <w:tab w:val="left" w:pos="3480"/>
              </w:tabs>
              <w:adjustRightInd/>
              <w:snapToGrid/>
              <w:spacing w:line="500" w:lineRule="exact"/>
              <w:jc w:val="both"/>
              <w:rPr>
                <w:rFonts w:ascii="仿宋" w:hAnsi="仿宋" w:eastAsia="仿宋" w:cs="Arial"/>
                <w:color w:val="auto"/>
                <w:kern w:val="2"/>
                <w:sz w:val="22"/>
                <w:szCs w:val="24"/>
                <w:highlight w:val="none"/>
                <w:u w:val="single"/>
              </w:rPr>
            </w:pPr>
            <w:r>
              <w:rPr>
                <w:rFonts w:hint="eastAsia" w:ascii="仿宋" w:hAnsi="仿宋" w:eastAsia="仿宋" w:cs="Arial"/>
                <w:color w:val="auto"/>
                <w:kern w:val="2"/>
                <w:sz w:val="22"/>
                <w:szCs w:val="24"/>
                <w:highlight w:val="none"/>
              </w:rPr>
              <w:t>或授权代表人（签字）：</w:t>
            </w:r>
          </w:p>
        </w:tc>
        <w:tc>
          <w:tcPr>
            <w:tcW w:w="4070" w:type="dxa"/>
          </w:tcPr>
          <w:p>
            <w:pPr>
              <w:widowControl w:val="0"/>
              <w:tabs>
                <w:tab w:val="left" w:pos="3480"/>
              </w:tabs>
              <w:adjustRightInd/>
              <w:snapToGrid/>
              <w:spacing w:line="500" w:lineRule="exact"/>
              <w:jc w:val="both"/>
              <w:rPr>
                <w:rFonts w:ascii="仿宋" w:hAnsi="仿宋" w:eastAsia="仿宋" w:cs="Arial"/>
                <w:color w:val="auto"/>
                <w:kern w:val="2"/>
                <w:sz w:val="22"/>
                <w:szCs w:val="24"/>
                <w:highlight w:val="none"/>
              </w:rPr>
            </w:pPr>
            <w:r>
              <w:rPr>
                <w:rFonts w:hint="eastAsia" w:ascii="仿宋" w:hAnsi="仿宋" w:eastAsia="仿宋" w:cs="Arial"/>
                <w:color w:val="auto"/>
                <w:kern w:val="2"/>
                <w:sz w:val="22"/>
                <w:szCs w:val="24"/>
                <w:highlight w:val="none"/>
              </w:rPr>
              <w:t>法定代表人（签章）：</w:t>
            </w:r>
          </w:p>
          <w:p>
            <w:pPr>
              <w:widowControl w:val="0"/>
              <w:tabs>
                <w:tab w:val="left" w:pos="3480"/>
              </w:tabs>
              <w:adjustRightInd/>
              <w:snapToGrid/>
              <w:spacing w:line="500" w:lineRule="exact"/>
              <w:jc w:val="both"/>
              <w:rPr>
                <w:rFonts w:ascii="仿宋" w:hAnsi="仿宋" w:eastAsia="仿宋" w:cs="Arial"/>
                <w:color w:val="auto"/>
                <w:kern w:val="2"/>
                <w:sz w:val="22"/>
                <w:szCs w:val="24"/>
                <w:highlight w:val="none"/>
              </w:rPr>
            </w:pPr>
            <w:r>
              <w:rPr>
                <w:rFonts w:hint="eastAsia" w:ascii="仿宋" w:hAnsi="仿宋" w:eastAsia="仿宋" w:cs="Arial"/>
                <w:color w:val="auto"/>
                <w:kern w:val="2"/>
                <w:sz w:val="22"/>
                <w:szCs w:val="24"/>
                <w:highlight w:val="none"/>
              </w:rPr>
              <w:t>或授权代表人（签字）：</w:t>
            </w:r>
          </w:p>
        </w:tc>
      </w:tr>
      <w:tr>
        <w:tblPrEx>
          <w:tblLayout w:type="fixed"/>
          <w:tblCellMar>
            <w:top w:w="0" w:type="dxa"/>
            <w:left w:w="108" w:type="dxa"/>
            <w:bottom w:w="0" w:type="dxa"/>
            <w:right w:w="108" w:type="dxa"/>
          </w:tblCellMar>
        </w:tblPrEx>
        <w:trPr>
          <w:trHeight w:val="1553" w:hRule="atLeast"/>
          <w:jc w:val="center"/>
        </w:trPr>
        <w:tc>
          <w:tcPr>
            <w:tcW w:w="4786" w:type="dxa"/>
          </w:tcPr>
          <w:p>
            <w:pPr>
              <w:widowControl w:val="0"/>
              <w:tabs>
                <w:tab w:val="left" w:pos="3480"/>
              </w:tabs>
              <w:adjustRightInd/>
              <w:snapToGrid/>
              <w:spacing w:line="500" w:lineRule="exact"/>
              <w:jc w:val="both"/>
              <w:rPr>
                <w:rFonts w:ascii="仿宋" w:hAnsi="仿宋" w:eastAsia="仿宋" w:cs="Arial"/>
                <w:color w:val="auto"/>
                <w:kern w:val="2"/>
                <w:sz w:val="22"/>
                <w:szCs w:val="24"/>
                <w:highlight w:val="none"/>
              </w:rPr>
            </w:pPr>
            <w:r>
              <w:rPr>
                <w:rFonts w:ascii="仿宋" w:hAnsi="仿宋" w:eastAsia="仿宋" w:cs="Arial"/>
                <w:color w:val="auto"/>
                <w:kern w:val="2"/>
                <w:sz w:val="22"/>
                <w:szCs w:val="24"/>
                <w:highlight w:val="none"/>
              </w:rPr>
              <w:t>项目负责人</w:t>
            </w:r>
            <w:r>
              <w:rPr>
                <w:rFonts w:hint="eastAsia" w:ascii="仿宋" w:hAnsi="仿宋" w:eastAsia="仿宋" w:cs="Arial"/>
                <w:color w:val="auto"/>
                <w:kern w:val="2"/>
                <w:sz w:val="22"/>
                <w:szCs w:val="24"/>
                <w:highlight w:val="none"/>
              </w:rPr>
              <w:t>（</w:t>
            </w:r>
            <w:r>
              <w:rPr>
                <w:rFonts w:ascii="仿宋" w:hAnsi="仿宋" w:eastAsia="仿宋" w:cs="Arial"/>
                <w:color w:val="auto"/>
                <w:kern w:val="2"/>
                <w:sz w:val="22"/>
                <w:szCs w:val="24"/>
                <w:highlight w:val="none"/>
              </w:rPr>
              <w:t>签字</w:t>
            </w:r>
            <w:r>
              <w:rPr>
                <w:rFonts w:hint="eastAsia" w:ascii="仿宋" w:hAnsi="仿宋" w:eastAsia="仿宋" w:cs="Arial"/>
                <w:color w:val="auto"/>
                <w:kern w:val="2"/>
                <w:sz w:val="22"/>
                <w:szCs w:val="24"/>
                <w:highlight w:val="none"/>
              </w:rPr>
              <w:t>）</w:t>
            </w:r>
            <w:r>
              <w:rPr>
                <w:rFonts w:ascii="仿宋" w:hAnsi="仿宋" w:eastAsia="仿宋" w:cs="Arial"/>
                <w:color w:val="auto"/>
                <w:kern w:val="2"/>
                <w:sz w:val="22"/>
                <w:szCs w:val="24"/>
                <w:highlight w:val="none"/>
              </w:rPr>
              <w:t>：</w:t>
            </w:r>
          </w:p>
          <w:p>
            <w:pPr>
              <w:widowControl w:val="0"/>
              <w:tabs>
                <w:tab w:val="left" w:pos="5400"/>
              </w:tabs>
              <w:adjustRightInd/>
              <w:snapToGrid/>
              <w:spacing w:line="500" w:lineRule="exact"/>
              <w:jc w:val="both"/>
              <w:rPr>
                <w:rFonts w:ascii="仿宋" w:hAnsi="仿宋" w:eastAsia="仿宋" w:cs="Arial"/>
                <w:color w:val="auto"/>
                <w:kern w:val="2"/>
                <w:sz w:val="22"/>
                <w:szCs w:val="24"/>
                <w:highlight w:val="none"/>
              </w:rPr>
            </w:pPr>
            <w:r>
              <w:rPr>
                <w:rFonts w:hint="eastAsia" w:ascii="仿宋" w:hAnsi="仿宋" w:eastAsia="仿宋" w:cs="Arial"/>
                <w:color w:val="auto"/>
                <w:kern w:val="2"/>
                <w:sz w:val="22"/>
                <w:szCs w:val="24"/>
                <w:highlight w:val="none"/>
              </w:rPr>
              <w:t>或项目经理（签字）：</w:t>
            </w:r>
          </w:p>
        </w:tc>
        <w:tc>
          <w:tcPr>
            <w:tcW w:w="4070" w:type="dxa"/>
          </w:tcPr>
          <w:p>
            <w:pPr>
              <w:widowControl w:val="0"/>
              <w:tabs>
                <w:tab w:val="left" w:pos="3480"/>
              </w:tabs>
              <w:adjustRightInd/>
              <w:snapToGrid/>
              <w:spacing w:line="500" w:lineRule="exact"/>
              <w:jc w:val="both"/>
              <w:rPr>
                <w:rFonts w:ascii="仿宋" w:hAnsi="仿宋" w:eastAsia="仿宋" w:cs="Arial"/>
                <w:color w:val="auto"/>
                <w:kern w:val="2"/>
                <w:sz w:val="22"/>
                <w:szCs w:val="24"/>
                <w:highlight w:val="none"/>
              </w:rPr>
            </w:pPr>
            <w:r>
              <w:rPr>
                <w:rFonts w:hint="eastAsia" w:ascii="仿宋" w:hAnsi="仿宋" w:eastAsia="仿宋" w:cs="Arial"/>
                <w:color w:val="auto"/>
                <w:kern w:val="2"/>
                <w:sz w:val="22"/>
                <w:szCs w:val="24"/>
                <w:highlight w:val="none"/>
              </w:rPr>
              <w:t>项目负责人（签字）：</w:t>
            </w:r>
          </w:p>
          <w:p>
            <w:pPr>
              <w:widowControl w:val="0"/>
              <w:tabs>
                <w:tab w:val="left" w:pos="3480"/>
              </w:tabs>
              <w:adjustRightInd/>
              <w:snapToGrid/>
              <w:spacing w:line="500" w:lineRule="exact"/>
              <w:jc w:val="both"/>
              <w:rPr>
                <w:rFonts w:ascii="仿宋" w:hAnsi="仿宋" w:eastAsia="仿宋" w:cs="Arial"/>
                <w:color w:val="auto"/>
                <w:kern w:val="2"/>
                <w:sz w:val="22"/>
                <w:szCs w:val="24"/>
                <w:highlight w:val="none"/>
              </w:rPr>
            </w:pPr>
            <w:r>
              <w:rPr>
                <w:rFonts w:hint="eastAsia" w:ascii="仿宋" w:hAnsi="仿宋" w:eastAsia="仿宋" w:cs="Arial"/>
                <w:color w:val="auto"/>
                <w:kern w:val="2"/>
                <w:sz w:val="22"/>
                <w:szCs w:val="24"/>
                <w:highlight w:val="none"/>
              </w:rPr>
              <w:t>或项目经理（签字）：</w:t>
            </w:r>
          </w:p>
        </w:tc>
      </w:tr>
      <w:tr>
        <w:tblPrEx>
          <w:tblLayout w:type="fixed"/>
          <w:tblCellMar>
            <w:top w:w="0" w:type="dxa"/>
            <w:left w:w="108" w:type="dxa"/>
            <w:bottom w:w="0" w:type="dxa"/>
            <w:right w:w="108" w:type="dxa"/>
          </w:tblCellMar>
        </w:tblPrEx>
        <w:trPr>
          <w:trHeight w:val="666" w:hRule="atLeast"/>
          <w:jc w:val="center"/>
        </w:trPr>
        <w:tc>
          <w:tcPr>
            <w:tcW w:w="8856" w:type="dxa"/>
            <w:gridSpan w:val="2"/>
            <w:vAlign w:val="center"/>
          </w:tcPr>
          <w:p>
            <w:pPr>
              <w:widowControl w:val="0"/>
              <w:tabs>
                <w:tab w:val="left" w:pos="3480"/>
              </w:tabs>
              <w:adjustRightInd/>
              <w:snapToGrid/>
              <w:spacing w:line="500" w:lineRule="exact"/>
              <w:jc w:val="center"/>
              <w:rPr>
                <w:rFonts w:ascii="仿宋" w:hAnsi="仿宋" w:eastAsia="仿宋" w:cs="Arial"/>
                <w:color w:val="auto"/>
                <w:kern w:val="2"/>
                <w:sz w:val="22"/>
                <w:szCs w:val="24"/>
                <w:highlight w:val="none"/>
              </w:rPr>
            </w:pPr>
            <w:r>
              <w:rPr>
                <w:rFonts w:hint="eastAsia" w:ascii="仿宋" w:hAnsi="仿宋" w:eastAsia="仿宋" w:cs="Arial"/>
                <w:color w:val="auto"/>
                <w:kern w:val="2"/>
                <w:sz w:val="22"/>
                <w:szCs w:val="24"/>
                <w:highlight w:val="none"/>
              </w:rPr>
              <w:t>日期：2</w:t>
            </w:r>
            <w:r>
              <w:rPr>
                <w:rFonts w:ascii="仿宋" w:hAnsi="仿宋" w:eastAsia="仿宋" w:cs="Arial"/>
                <w:color w:val="auto"/>
                <w:kern w:val="2"/>
                <w:sz w:val="22"/>
                <w:szCs w:val="24"/>
                <w:highlight w:val="none"/>
              </w:rPr>
              <w:t>02</w:t>
            </w:r>
            <w:r>
              <w:rPr>
                <w:rFonts w:hint="eastAsia" w:ascii="仿宋" w:hAnsi="仿宋" w:eastAsia="仿宋" w:cs="Arial"/>
                <w:color w:val="auto"/>
                <w:kern w:val="2"/>
                <w:sz w:val="22"/>
                <w:szCs w:val="24"/>
                <w:highlight w:val="none"/>
              </w:rPr>
              <w:t>3年 月  日</w:t>
            </w:r>
          </w:p>
        </w:tc>
      </w:tr>
    </w:tbl>
    <w:p>
      <w:pPr>
        <w:widowControl w:val="0"/>
        <w:overflowPunct w:val="0"/>
        <w:autoSpaceDE w:val="0"/>
        <w:autoSpaceDN w:val="0"/>
        <w:snapToGrid/>
        <w:spacing w:before="360" w:beforeLines="100"/>
        <w:ind w:left="1260" w:leftChars="600" w:right="1260" w:rightChars="600"/>
        <w:jc w:val="center"/>
        <w:textAlignment w:val="baseline"/>
        <w:rPr>
          <w:rFonts w:ascii="仿宋" w:hAnsi="仿宋" w:eastAsia="仿宋" w:cs="宋体"/>
          <w:bCs/>
          <w:color w:val="auto"/>
          <w:kern w:val="44"/>
          <w:sz w:val="32"/>
          <w:szCs w:val="32"/>
          <w:highlight w:val="none"/>
        </w:rPr>
      </w:pPr>
      <w:r>
        <w:rPr>
          <w:rFonts w:ascii="仿宋" w:hAnsi="仿宋" w:eastAsia="仿宋" w:cs="Times New Roman"/>
          <w:color w:val="auto"/>
          <w:kern w:val="2"/>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123825</wp:posOffset>
                </wp:positionH>
                <wp:positionV relativeFrom="paragraph">
                  <wp:posOffset>15240</wp:posOffset>
                </wp:positionV>
                <wp:extent cx="1076325" cy="1850390"/>
                <wp:effectExtent l="0" t="0" r="9525" b="1651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076325" cy="487680"/>
                        </a:xfrm>
                        <a:prstGeom prst="rect">
                          <a:avLst/>
                        </a:prstGeom>
                        <a:solidFill>
                          <a:srgbClr val="FFFFFF"/>
                        </a:solidFill>
                        <a:ln>
                          <a:noFill/>
                        </a:ln>
                        <a:effectLst/>
                      </wps:spPr>
                      <wps:txbx>
                        <w:txbxContent>
                          <w:p>
                            <w:pPr>
                              <w:widowControl w:val="0"/>
                              <w:adjustRightInd/>
                              <w:snapToGrid/>
                              <w:spacing w:line="240" w:lineRule="auto"/>
                              <w:jc w:val="both"/>
                              <w:rPr>
                                <w:rFonts w:ascii="仿宋_GB2312" w:hAnsi="Calibri" w:eastAsia="仿宋_GB2312" w:cs="Times New Roman"/>
                                <w:kern w:val="2"/>
                                <w:sz w:val="28"/>
                                <w:szCs w:val="24"/>
                              </w:rPr>
                            </w:pPr>
                            <w:r>
                              <w:rPr>
                                <w:rFonts w:hint="eastAsia" w:ascii="仿宋_GB2312" w:hAnsi="Calibri" w:eastAsia="仿宋_GB2312" w:cs="Times New Roman"/>
                                <w:kern w:val="2"/>
                                <w:sz w:val="28"/>
                                <w:szCs w:val="24"/>
                              </w:rPr>
                              <w:t>附件1：</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9.75pt;margin-top:1.2pt;height:145.7pt;width:84.75pt;z-index:251660288;mso-width-relative:page;mso-height-relative:margin;mso-height-percent:200;" fillcolor="#FFFFFF" filled="t" stroked="f" coordsize="21600,21600" o:gfxdata="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SnRTUAAAACAEAAA8AAAAAAAAA&#10;AQAgAAAAIgAAAGRycy9kb3ducmV2LnhtbFBLAQIUABQAAAAIAIdO4kAPfyxNFQIAAAAEAAAOAAAA&#10;AAAAAAEAIAAAACMBAABkcnMvZTJvRG9jLnhtbFBLBQYAAAAABgAGAFkBAACqBQAAAAA=&#10;">
                <v:fill on="t" focussize="0,0"/>
                <v:stroke on="f"/>
                <v:imagedata o:title=""/>
                <o:lock v:ext="edit" aspectratio="f"/>
                <v:textbox style="mso-fit-shape-to-text:t;">
                  <w:txbxContent>
                    <w:p>
                      <w:pPr>
                        <w:widowControl w:val="0"/>
                        <w:adjustRightInd/>
                        <w:snapToGrid/>
                        <w:spacing w:line="240" w:lineRule="auto"/>
                        <w:jc w:val="both"/>
                        <w:rPr>
                          <w:rFonts w:ascii="仿宋_GB2312" w:hAnsi="Calibri" w:eastAsia="仿宋_GB2312" w:cs="Times New Roman"/>
                          <w:kern w:val="2"/>
                          <w:sz w:val="28"/>
                          <w:szCs w:val="24"/>
                        </w:rPr>
                      </w:pPr>
                      <w:r>
                        <w:rPr>
                          <w:rFonts w:hint="eastAsia" w:ascii="仿宋_GB2312" w:hAnsi="Calibri" w:eastAsia="仿宋_GB2312" w:cs="Times New Roman"/>
                          <w:kern w:val="2"/>
                          <w:sz w:val="28"/>
                          <w:szCs w:val="24"/>
                        </w:rPr>
                        <w:t>附件1：</w:t>
                      </w:r>
                    </w:p>
                  </w:txbxContent>
                </v:textbox>
              </v:shape>
            </w:pict>
          </mc:Fallback>
        </mc:AlternateContent>
      </w:r>
    </w:p>
    <w:p>
      <w:pPr>
        <w:widowControl w:val="0"/>
        <w:overflowPunct w:val="0"/>
        <w:autoSpaceDE w:val="0"/>
        <w:autoSpaceDN w:val="0"/>
        <w:snapToGrid/>
        <w:spacing w:before="360" w:beforeLines="100"/>
        <w:ind w:left="1260" w:leftChars="600" w:right="1260" w:rightChars="600"/>
        <w:jc w:val="center"/>
        <w:textAlignment w:val="baseline"/>
        <w:outlineLvl w:val="2"/>
        <w:rPr>
          <w:rFonts w:ascii="仿宋" w:hAnsi="仿宋" w:eastAsia="仿宋" w:cs="宋体"/>
          <w:bCs/>
          <w:color w:val="auto"/>
          <w:kern w:val="44"/>
          <w:sz w:val="32"/>
          <w:szCs w:val="32"/>
          <w:highlight w:val="none"/>
        </w:rPr>
      </w:pPr>
      <w:r>
        <w:rPr>
          <w:rFonts w:ascii="仿宋" w:hAnsi="仿宋" w:eastAsia="仿宋" w:cs="宋体"/>
          <w:bCs/>
          <w:color w:val="auto"/>
          <w:kern w:val="44"/>
          <w:sz w:val="32"/>
          <w:szCs w:val="32"/>
          <w:highlight w:val="none"/>
        </w:rPr>
        <w:t>EHS</w:t>
      </w:r>
      <w:r>
        <w:rPr>
          <w:rFonts w:hint="eastAsia" w:ascii="仿宋" w:hAnsi="仿宋" w:eastAsia="仿宋" w:cs="宋体"/>
          <w:bCs/>
          <w:color w:val="auto"/>
          <w:kern w:val="44"/>
          <w:sz w:val="32"/>
          <w:szCs w:val="32"/>
          <w:highlight w:val="none"/>
        </w:rPr>
        <w:t>管理处罚实施细则</w:t>
      </w:r>
    </w:p>
    <w:p>
      <w:pPr>
        <w:widowControl w:val="0"/>
        <w:snapToGrid/>
        <w:ind w:left="192"/>
        <w:jc w:val="both"/>
        <w:outlineLvl w:val="2"/>
        <w:rPr>
          <w:rFonts w:ascii="仿宋" w:hAnsi="仿宋" w:eastAsia="仿宋" w:cs="宋体"/>
          <w:b/>
          <w:color w:val="auto"/>
          <w:kern w:val="2"/>
          <w:sz w:val="28"/>
          <w:szCs w:val="28"/>
          <w:highlight w:val="none"/>
        </w:rPr>
      </w:pPr>
      <w:r>
        <w:rPr>
          <w:rFonts w:ascii="仿宋" w:hAnsi="仿宋" w:eastAsia="仿宋" w:cs="宋体"/>
          <w:b/>
          <w:color w:val="auto"/>
          <w:kern w:val="2"/>
          <w:sz w:val="28"/>
          <w:szCs w:val="28"/>
          <w:highlight w:val="none"/>
        </w:rPr>
        <w:t xml:space="preserve">1. </w:t>
      </w:r>
      <w:r>
        <w:rPr>
          <w:rFonts w:hint="eastAsia" w:ascii="仿宋" w:hAnsi="仿宋" w:eastAsia="仿宋" w:cs="宋体"/>
          <w:b/>
          <w:color w:val="auto"/>
          <w:kern w:val="2"/>
          <w:sz w:val="28"/>
          <w:szCs w:val="28"/>
          <w:highlight w:val="none"/>
        </w:rPr>
        <w:t>范围</w:t>
      </w:r>
    </w:p>
    <w:p>
      <w:pPr>
        <w:widowControl w:val="0"/>
        <w:overflowPunct w:val="0"/>
        <w:autoSpaceDE w:val="0"/>
        <w:autoSpaceDN w:val="0"/>
        <w:snapToGrid/>
        <w:ind w:right="-197" w:rightChars="-94"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1.1 </w:t>
      </w:r>
      <w:r>
        <w:rPr>
          <w:rFonts w:hint="eastAsia" w:ascii="仿宋" w:hAnsi="仿宋" w:eastAsia="仿宋" w:cs="宋体"/>
          <w:bCs/>
          <w:color w:val="auto"/>
          <w:kern w:val="2"/>
          <w:sz w:val="28"/>
          <w:szCs w:val="28"/>
          <w:highlight w:val="none"/>
        </w:rPr>
        <w:t>本细则明确了甲方工程项目现场违反</w:t>
      </w:r>
      <w:r>
        <w:rPr>
          <w:rFonts w:ascii="仿宋" w:hAnsi="仿宋" w:eastAsia="仿宋" w:cs="宋体"/>
          <w:bCs/>
          <w:color w:val="auto"/>
          <w:kern w:val="2"/>
          <w:sz w:val="28"/>
          <w:szCs w:val="28"/>
          <w:highlight w:val="none"/>
        </w:rPr>
        <w:t>EHS</w:t>
      </w:r>
      <w:r>
        <w:rPr>
          <w:rFonts w:hint="eastAsia" w:ascii="仿宋" w:hAnsi="仿宋" w:eastAsia="仿宋" w:cs="宋体"/>
          <w:bCs/>
          <w:color w:val="auto"/>
          <w:kern w:val="2"/>
          <w:sz w:val="28"/>
          <w:szCs w:val="28"/>
          <w:highlight w:val="none"/>
        </w:rPr>
        <w:t>管理的各类行为和现象，规定了处罚的额度。本细则适用于甲方所有标段的工程项目。</w:t>
      </w:r>
    </w:p>
    <w:p>
      <w:pPr>
        <w:widowControl w:val="0"/>
        <w:snapToGrid/>
        <w:ind w:left="192"/>
        <w:jc w:val="both"/>
        <w:outlineLvl w:val="2"/>
        <w:rPr>
          <w:rFonts w:ascii="仿宋" w:hAnsi="仿宋" w:eastAsia="仿宋" w:cs="宋体"/>
          <w:b/>
          <w:color w:val="auto"/>
          <w:kern w:val="2"/>
          <w:sz w:val="28"/>
          <w:szCs w:val="28"/>
          <w:highlight w:val="none"/>
        </w:rPr>
      </w:pPr>
      <w:r>
        <w:rPr>
          <w:rFonts w:ascii="仿宋" w:hAnsi="仿宋" w:eastAsia="仿宋" w:cs="宋体"/>
          <w:b/>
          <w:color w:val="auto"/>
          <w:kern w:val="2"/>
          <w:sz w:val="28"/>
          <w:szCs w:val="28"/>
          <w:highlight w:val="none"/>
        </w:rPr>
        <w:t xml:space="preserve">2. </w:t>
      </w:r>
      <w:r>
        <w:rPr>
          <w:rFonts w:hint="eastAsia" w:ascii="仿宋" w:hAnsi="仿宋" w:eastAsia="仿宋" w:cs="宋体"/>
          <w:b/>
          <w:color w:val="auto"/>
          <w:kern w:val="2"/>
          <w:sz w:val="28"/>
          <w:szCs w:val="28"/>
          <w:highlight w:val="none"/>
        </w:rPr>
        <w:t>职责</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2.1 </w:t>
      </w:r>
      <w:r>
        <w:rPr>
          <w:rFonts w:hint="eastAsia" w:ascii="仿宋" w:hAnsi="仿宋" w:eastAsia="仿宋" w:cs="宋体"/>
          <w:bCs/>
          <w:color w:val="auto"/>
          <w:kern w:val="2"/>
          <w:sz w:val="28"/>
          <w:szCs w:val="28"/>
          <w:highlight w:val="none"/>
        </w:rPr>
        <w:t>由甲方工程相关部门、监理单位有关人员负责对违章行为和现象的处罚。处罚对象为乙方。</w:t>
      </w:r>
    </w:p>
    <w:p>
      <w:pPr>
        <w:widowControl w:val="0"/>
        <w:snapToGrid/>
        <w:ind w:left="192"/>
        <w:jc w:val="both"/>
        <w:outlineLvl w:val="2"/>
        <w:rPr>
          <w:rFonts w:ascii="仿宋" w:hAnsi="仿宋" w:eastAsia="仿宋" w:cs="宋体"/>
          <w:b/>
          <w:color w:val="auto"/>
          <w:kern w:val="2"/>
          <w:sz w:val="28"/>
          <w:szCs w:val="28"/>
          <w:highlight w:val="none"/>
        </w:rPr>
      </w:pPr>
      <w:r>
        <w:rPr>
          <w:rFonts w:ascii="仿宋" w:hAnsi="仿宋" w:eastAsia="仿宋" w:cs="宋体"/>
          <w:b/>
          <w:color w:val="auto"/>
          <w:kern w:val="2"/>
          <w:sz w:val="28"/>
          <w:szCs w:val="28"/>
          <w:highlight w:val="none"/>
        </w:rPr>
        <w:t xml:space="preserve">3. </w:t>
      </w:r>
      <w:r>
        <w:rPr>
          <w:rFonts w:hint="eastAsia" w:ascii="仿宋" w:hAnsi="仿宋" w:eastAsia="仿宋" w:cs="宋体"/>
          <w:b/>
          <w:color w:val="auto"/>
          <w:kern w:val="2"/>
          <w:sz w:val="28"/>
          <w:szCs w:val="28"/>
          <w:highlight w:val="none"/>
        </w:rPr>
        <w:t>目的</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3.1 </w:t>
      </w:r>
      <w:r>
        <w:rPr>
          <w:rFonts w:hint="eastAsia" w:ascii="仿宋" w:hAnsi="仿宋" w:eastAsia="仿宋" w:cs="宋体"/>
          <w:bCs/>
          <w:color w:val="auto"/>
          <w:kern w:val="2"/>
          <w:sz w:val="28"/>
          <w:szCs w:val="28"/>
          <w:highlight w:val="none"/>
        </w:rPr>
        <w:t>为加强安全文明施工管理，使违章处理工作有章可循，避免和减少各类人身伤害事故，营造良好的文明施工环境，特制定本细则。下称《细则》。</w:t>
      </w:r>
    </w:p>
    <w:p>
      <w:pPr>
        <w:widowControl w:val="0"/>
        <w:snapToGrid/>
        <w:ind w:left="192"/>
        <w:jc w:val="both"/>
        <w:outlineLvl w:val="2"/>
        <w:rPr>
          <w:rFonts w:ascii="仿宋" w:hAnsi="仿宋" w:eastAsia="仿宋" w:cs="宋体"/>
          <w:b/>
          <w:color w:val="auto"/>
          <w:kern w:val="2"/>
          <w:sz w:val="28"/>
          <w:szCs w:val="28"/>
          <w:highlight w:val="none"/>
        </w:rPr>
      </w:pPr>
      <w:r>
        <w:rPr>
          <w:rFonts w:ascii="仿宋" w:hAnsi="仿宋" w:eastAsia="仿宋" w:cs="宋体"/>
          <w:b/>
          <w:color w:val="auto"/>
          <w:kern w:val="2"/>
          <w:sz w:val="28"/>
          <w:szCs w:val="28"/>
          <w:highlight w:val="none"/>
        </w:rPr>
        <w:t xml:space="preserve">4. </w:t>
      </w:r>
      <w:r>
        <w:rPr>
          <w:rFonts w:hint="eastAsia" w:ascii="仿宋" w:hAnsi="仿宋" w:eastAsia="仿宋" w:cs="宋体"/>
          <w:b/>
          <w:color w:val="auto"/>
          <w:kern w:val="2"/>
          <w:sz w:val="28"/>
          <w:szCs w:val="28"/>
          <w:highlight w:val="none"/>
        </w:rPr>
        <w:t>内容</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4.1 </w:t>
      </w:r>
      <w:r>
        <w:rPr>
          <w:rFonts w:hint="eastAsia" w:ascii="仿宋" w:hAnsi="仿宋" w:eastAsia="仿宋" w:cs="宋体"/>
          <w:bCs/>
          <w:color w:val="auto"/>
          <w:kern w:val="2"/>
          <w:sz w:val="28"/>
          <w:szCs w:val="28"/>
          <w:highlight w:val="none"/>
        </w:rPr>
        <w:t>违章的分类</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4.1.1 </w:t>
      </w:r>
      <w:r>
        <w:rPr>
          <w:rFonts w:hint="eastAsia" w:ascii="仿宋" w:hAnsi="仿宋" w:eastAsia="仿宋" w:cs="宋体"/>
          <w:bCs/>
          <w:color w:val="auto"/>
          <w:kern w:val="2"/>
          <w:sz w:val="28"/>
          <w:szCs w:val="28"/>
          <w:highlight w:val="none"/>
        </w:rPr>
        <w:t>从生产活动的组织与造成事故直接原因、主要原因及领导原因来区分，违章可分为作业性违章、装置性违章、指挥性违章和违反文明施工规定。</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4.1.2 </w:t>
      </w:r>
      <w:r>
        <w:rPr>
          <w:rFonts w:hint="eastAsia" w:ascii="仿宋" w:hAnsi="仿宋" w:eastAsia="仿宋" w:cs="宋体"/>
          <w:bCs/>
          <w:color w:val="auto"/>
          <w:kern w:val="2"/>
          <w:sz w:val="28"/>
          <w:szCs w:val="28"/>
          <w:highlight w:val="none"/>
        </w:rPr>
        <w:t>从违章者本人的安全技术素质与思想心理、习惯等因素区分，违章可分为习惯违章和偶然性违章二类。</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4.2 </w:t>
      </w:r>
      <w:r>
        <w:rPr>
          <w:rFonts w:hint="eastAsia" w:ascii="仿宋" w:hAnsi="仿宋" w:eastAsia="仿宋" w:cs="宋体"/>
          <w:bCs/>
          <w:color w:val="auto"/>
          <w:kern w:val="2"/>
          <w:sz w:val="28"/>
          <w:szCs w:val="28"/>
          <w:highlight w:val="none"/>
        </w:rPr>
        <w:t>查处违章的原则</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4.2.1 </w:t>
      </w:r>
      <w:r>
        <w:rPr>
          <w:rFonts w:hint="eastAsia" w:ascii="仿宋" w:hAnsi="仿宋" w:eastAsia="仿宋" w:cs="宋体"/>
          <w:bCs/>
          <w:color w:val="auto"/>
          <w:kern w:val="2"/>
          <w:sz w:val="28"/>
          <w:szCs w:val="28"/>
          <w:highlight w:val="none"/>
        </w:rPr>
        <w:t>坚持违章必究的原则，同时按《细则》中所含内容进行一定数额的罚款，做到实事求是，严格执行，谢绝说情。对性质恶劣，拒绝警告、整改、有意延续违章的行为，在原处罚数额的基础上增加</w:t>
      </w:r>
      <w:r>
        <w:rPr>
          <w:rFonts w:ascii="仿宋" w:hAnsi="仿宋" w:eastAsia="仿宋" w:cs="宋体"/>
          <w:bCs/>
          <w:color w:val="auto"/>
          <w:kern w:val="2"/>
          <w:sz w:val="28"/>
          <w:szCs w:val="28"/>
          <w:highlight w:val="none"/>
        </w:rPr>
        <w:t>2-10</w:t>
      </w:r>
      <w:r>
        <w:rPr>
          <w:rFonts w:hint="eastAsia" w:ascii="仿宋" w:hAnsi="仿宋" w:eastAsia="仿宋" w:cs="宋体"/>
          <w:bCs/>
          <w:color w:val="auto"/>
          <w:kern w:val="2"/>
          <w:sz w:val="28"/>
          <w:szCs w:val="28"/>
          <w:highlight w:val="none"/>
        </w:rPr>
        <w:t>倍的处罚。情况紧急时下达停工整顿命令。</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4.2.2 </w:t>
      </w:r>
      <w:r>
        <w:rPr>
          <w:rFonts w:hint="eastAsia" w:ascii="仿宋" w:hAnsi="仿宋" w:eastAsia="仿宋" w:cs="宋体"/>
          <w:bCs/>
          <w:color w:val="auto"/>
          <w:kern w:val="2"/>
          <w:sz w:val="28"/>
          <w:szCs w:val="28"/>
          <w:highlight w:val="none"/>
        </w:rPr>
        <w:t>因违章而导致各类事故的发生，按事故等级对乙方的处罚执行《事故处罚实施细则》</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4.3 </w:t>
      </w:r>
      <w:r>
        <w:rPr>
          <w:rFonts w:hint="eastAsia" w:ascii="仿宋" w:hAnsi="仿宋" w:eastAsia="仿宋" w:cs="宋体"/>
          <w:bCs/>
          <w:color w:val="auto"/>
          <w:kern w:val="2"/>
          <w:sz w:val="28"/>
          <w:szCs w:val="28"/>
          <w:highlight w:val="none"/>
        </w:rPr>
        <w:t>作业性违章</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4.3.1 </w:t>
      </w:r>
      <w:r>
        <w:rPr>
          <w:rFonts w:hint="eastAsia" w:ascii="仿宋" w:hAnsi="仿宋" w:eastAsia="仿宋" w:cs="宋体"/>
          <w:bCs/>
          <w:color w:val="auto"/>
          <w:kern w:val="2"/>
          <w:sz w:val="28"/>
          <w:szCs w:val="28"/>
          <w:highlight w:val="none"/>
        </w:rPr>
        <w:t>作业性违章定义：指在施工中违反《安全生产法》和地方性、行业性的法律法规的规定，违反保证安全施工的各项规定、制度及措施的一切不安全行为。</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4.3.2 </w:t>
      </w:r>
      <w:r>
        <w:rPr>
          <w:rFonts w:hint="eastAsia" w:ascii="仿宋" w:hAnsi="仿宋" w:eastAsia="仿宋" w:cs="宋体"/>
          <w:bCs/>
          <w:color w:val="auto"/>
          <w:kern w:val="2"/>
          <w:sz w:val="28"/>
          <w:szCs w:val="28"/>
          <w:highlight w:val="none"/>
        </w:rPr>
        <w:t>作业性违章主要指施工人员个人作业过程中发生的违章。</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4.4 </w:t>
      </w:r>
      <w:r>
        <w:rPr>
          <w:rFonts w:hint="eastAsia" w:ascii="仿宋" w:hAnsi="仿宋" w:eastAsia="仿宋" w:cs="宋体"/>
          <w:bCs/>
          <w:color w:val="auto"/>
          <w:kern w:val="2"/>
          <w:sz w:val="28"/>
          <w:szCs w:val="28"/>
          <w:highlight w:val="none"/>
        </w:rPr>
        <w:t>装置性违章</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4.4.1 </w:t>
      </w:r>
      <w:r>
        <w:rPr>
          <w:rFonts w:hint="eastAsia" w:ascii="仿宋" w:hAnsi="仿宋" w:eastAsia="仿宋" w:cs="宋体"/>
          <w:bCs/>
          <w:color w:val="auto"/>
          <w:kern w:val="2"/>
          <w:sz w:val="28"/>
          <w:szCs w:val="28"/>
          <w:highlight w:val="none"/>
        </w:rPr>
        <w:t>装置性违章定义：指工作现场的环境、设备、设施及工器具不符合国家、行业、公司有关规定及反事故措施和保证人身安全的各项规定及技术措施的要求，不能保证人身和设备安全的一切不安全状态。</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4.4.2 </w:t>
      </w:r>
      <w:r>
        <w:rPr>
          <w:rFonts w:hint="eastAsia" w:ascii="仿宋" w:hAnsi="仿宋" w:eastAsia="仿宋" w:cs="宋体"/>
          <w:bCs/>
          <w:color w:val="auto"/>
          <w:kern w:val="2"/>
          <w:sz w:val="28"/>
          <w:szCs w:val="28"/>
          <w:highlight w:val="none"/>
        </w:rPr>
        <w:t>装置性违章主要指与生产有关的设备、设施不符合规定要求的违章。</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4.5 </w:t>
      </w:r>
      <w:r>
        <w:rPr>
          <w:rFonts w:hint="eastAsia" w:ascii="仿宋" w:hAnsi="仿宋" w:eastAsia="仿宋" w:cs="宋体"/>
          <w:bCs/>
          <w:color w:val="auto"/>
          <w:kern w:val="2"/>
          <w:sz w:val="28"/>
          <w:szCs w:val="28"/>
          <w:highlight w:val="none"/>
        </w:rPr>
        <w:t>指挥性违章</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4.5.1 </w:t>
      </w:r>
      <w:r>
        <w:rPr>
          <w:rFonts w:hint="eastAsia" w:ascii="仿宋" w:hAnsi="仿宋" w:eastAsia="仿宋" w:cs="宋体"/>
          <w:bCs/>
          <w:color w:val="auto"/>
          <w:kern w:val="2"/>
          <w:sz w:val="28"/>
          <w:szCs w:val="28"/>
          <w:highlight w:val="none"/>
        </w:rPr>
        <w:t>指挥性违章定义：指各级领导，甚至工作票签发人、工作负责人，违反劳动安全卫生法规、条例和保证人身安全的技术措施、安全措施进行作业组织与指挥行为。</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4.5.2 </w:t>
      </w:r>
      <w:r>
        <w:rPr>
          <w:rFonts w:hint="eastAsia" w:ascii="仿宋" w:hAnsi="仿宋" w:eastAsia="仿宋" w:cs="宋体"/>
          <w:bCs/>
          <w:color w:val="auto"/>
          <w:kern w:val="2"/>
          <w:sz w:val="28"/>
          <w:szCs w:val="28"/>
          <w:highlight w:val="none"/>
        </w:rPr>
        <w:t>指挥性违章主要指生产指挥人员违反有关规定及根据某项作业制定的技术措施、安全措施等发出的错误命令或做出的错误决定。</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4.6 </w:t>
      </w:r>
      <w:r>
        <w:rPr>
          <w:rFonts w:hint="eastAsia" w:ascii="仿宋" w:hAnsi="仿宋" w:eastAsia="仿宋" w:cs="宋体"/>
          <w:bCs/>
          <w:color w:val="auto"/>
          <w:kern w:val="2"/>
          <w:sz w:val="28"/>
          <w:szCs w:val="28"/>
          <w:highlight w:val="none"/>
        </w:rPr>
        <w:t>文明施工违章定义：指在施工中一切不文明施工的行为。</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4.7 </w:t>
      </w:r>
      <w:r>
        <w:rPr>
          <w:rFonts w:hint="eastAsia" w:ascii="仿宋" w:hAnsi="仿宋" w:eastAsia="仿宋" w:cs="宋体"/>
          <w:bCs/>
          <w:color w:val="auto"/>
          <w:kern w:val="2"/>
          <w:sz w:val="28"/>
          <w:szCs w:val="28"/>
          <w:highlight w:val="none"/>
        </w:rPr>
        <w:t>各类违章处罚金额标准：</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4.7.1 </w:t>
      </w:r>
      <w:r>
        <w:rPr>
          <w:rFonts w:hint="eastAsia" w:ascii="仿宋" w:hAnsi="仿宋" w:eastAsia="仿宋" w:cs="宋体"/>
          <w:bCs/>
          <w:color w:val="auto"/>
          <w:kern w:val="2"/>
          <w:sz w:val="28"/>
          <w:szCs w:val="28"/>
          <w:highlight w:val="none"/>
        </w:rPr>
        <w:t>环境、职业健康、安全管理</w:t>
      </w:r>
    </w:p>
    <w:tbl>
      <w:tblPr>
        <w:tblStyle w:val="34"/>
        <w:tblW w:w="90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3906"/>
        <w:gridCol w:w="251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502"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序号</w:t>
            </w:r>
          </w:p>
        </w:tc>
        <w:tc>
          <w:tcPr>
            <w:tcW w:w="3906"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违章内容</w:t>
            </w:r>
          </w:p>
        </w:tc>
        <w:tc>
          <w:tcPr>
            <w:tcW w:w="2514"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罚款金额</w:t>
            </w:r>
          </w:p>
        </w:tc>
        <w:tc>
          <w:tcPr>
            <w:tcW w:w="1119" w:type="dxa"/>
            <w:vAlign w:val="center"/>
          </w:tcPr>
          <w:p>
            <w:pPr>
              <w:widowControl w:val="0"/>
              <w:adjustRightInd/>
              <w:snapToGrid/>
              <w:spacing w:line="240" w:lineRule="auto"/>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EHS01</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未规定要求设置安全生产管理机构或专职安全生产监督管理人员（含无证上岗）</w:t>
            </w:r>
          </w:p>
        </w:tc>
        <w:tc>
          <w:tcPr>
            <w:tcW w:w="2514"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每次</w:t>
            </w:r>
            <w:r>
              <w:rPr>
                <w:rFonts w:ascii="仿宋" w:hAnsi="仿宋" w:eastAsia="仿宋" w:cs="宋体"/>
                <w:bCs/>
                <w:color w:val="auto"/>
                <w:kern w:val="2"/>
                <w:sz w:val="22"/>
                <w:szCs w:val="28"/>
                <w:highlight w:val="none"/>
              </w:rPr>
              <w:t>10000</w:t>
            </w:r>
            <w:r>
              <w:rPr>
                <w:rFonts w:hint="eastAsia" w:ascii="仿宋" w:hAnsi="仿宋" w:eastAsia="仿宋" w:cs="宋体"/>
                <w:bCs/>
                <w:color w:val="auto"/>
                <w:kern w:val="2"/>
                <w:sz w:val="22"/>
                <w:szCs w:val="28"/>
                <w:highlight w:val="none"/>
              </w:rPr>
              <w:t>元</w:t>
            </w:r>
          </w:p>
        </w:tc>
        <w:tc>
          <w:tcPr>
            <w:tcW w:w="1119" w:type="dxa"/>
            <w:vMerge w:val="restart"/>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限期整改</w:t>
            </w:r>
          </w:p>
          <w:p>
            <w:pPr>
              <w:widowControl w:val="0"/>
              <w:adjustRightInd/>
              <w:snapToGrid/>
              <w:spacing w:line="240" w:lineRule="auto"/>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禁止施工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EHS02</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未建立相关安全管理制度和管理体系</w:t>
            </w:r>
          </w:p>
        </w:tc>
        <w:tc>
          <w:tcPr>
            <w:tcW w:w="2514"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1119" w:type="dxa"/>
            <w:vMerge w:val="continue"/>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EHS03</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未落实三级安全教育、专项教育，提交虚假相关资料、代替填写资料等</w:t>
            </w:r>
          </w:p>
        </w:tc>
        <w:tc>
          <w:tcPr>
            <w:tcW w:w="2514"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1119" w:type="dxa"/>
            <w:vMerge w:val="continue"/>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EHS04</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未按规定要求编制专项方案未按照规定要求进行安全技术交底或弄虚作假填写交底资料</w:t>
            </w:r>
          </w:p>
        </w:tc>
        <w:tc>
          <w:tcPr>
            <w:tcW w:w="2514"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禁止相关危险作业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EHS05</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未落实安全检查、填写检查记录或未及时整改回复</w:t>
            </w:r>
          </w:p>
        </w:tc>
        <w:tc>
          <w:tcPr>
            <w:tcW w:w="2514"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元，重大安全隐患未及时整改</w:t>
            </w:r>
            <w:r>
              <w:rPr>
                <w:rFonts w:ascii="仿宋" w:hAnsi="仿宋" w:eastAsia="仿宋" w:cs="宋体"/>
                <w:bCs/>
                <w:color w:val="auto"/>
                <w:kern w:val="2"/>
                <w:sz w:val="22"/>
                <w:szCs w:val="28"/>
                <w:highlight w:val="none"/>
              </w:rPr>
              <w:t>1</w:t>
            </w:r>
            <w:r>
              <w:rPr>
                <w:rFonts w:hint="eastAsia" w:ascii="仿宋" w:hAnsi="仿宋" w:eastAsia="仿宋" w:cs="宋体"/>
                <w:bCs/>
                <w:color w:val="auto"/>
                <w:kern w:val="2"/>
                <w:sz w:val="22"/>
                <w:szCs w:val="28"/>
                <w:highlight w:val="none"/>
              </w:rPr>
              <w:t>～</w:t>
            </w:r>
            <w:r>
              <w:rPr>
                <w:rFonts w:ascii="仿宋" w:hAnsi="仿宋" w:eastAsia="仿宋" w:cs="宋体"/>
                <w:bCs/>
                <w:color w:val="auto"/>
                <w:kern w:val="2"/>
                <w:sz w:val="22"/>
                <w:szCs w:val="28"/>
                <w:highlight w:val="none"/>
              </w:rPr>
              <w:t>5</w:t>
            </w:r>
            <w:r>
              <w:rPr>
                <w:rFonts w:hint="eastAsia" w:ascii="仿宋" w:hAnsi="仿宋" w:eastAsia="仿宋" w:cs="宋体"/>
                <w:bCs/>
                <w:color w:val="auto"/>
                <w:kern w:val="2"/>
                <w:sz w:val="22"/>
                <w:szCs w:val="28"/>
                <w:highlight w:val="none"/>
              </w:rPr>
              <w:t>倍以上</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EHS06</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未建立应急救援体系、未配置应急救援物资、未定期进行演练、无应急救援预案</w:t>
            </w:r>
          </w:p>
        </w:tc>
        <w:tc>
          <w:tcPr>
            <w:tcW w:w="2514"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EHS07</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不报、瞒报、迟报安全事故</w:t>
            </w:r>
          </w:p>
        </w:tc>
        <w:tc>
          <w:tcPr>
            <w:tcW w:w="2514"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EHS08</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特种作业人员未持证上岗</w:t>
            </w:r>
          </w:p>
        </w:tc>
        <w:tc>
          <w:tcPr>
            <w:tcW w:w="2514"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3000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EHS09</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规定的人员未按规定时间参与安全会议、检查和其他安全活动</w:t>
            </w:r>
          </w:p>
        </w:tc>
        <w:tc>
          <w:tcPr>
            <w:tcW w:w="2514"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每人每次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EHS10</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未按规定要求设置职业健康、环境保护设施、未按规定落实</w:t>
            </w:r>
          </w:p>
        </w:tc>
        <w:tc>
          <w:tcPr>
            <w:tcW w:w="2514"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w:t>
            </w:r>
            <w:r>
              <w:rPr>
                <w:rFonts w:ascii="仿宋" w:hAnsi="仿宋" w:eastAsia="仿宋" w:cs="宋体"/>
                <w:bCs/>
                <w:color w:val="auto"/>
                <w:kern w:val="2"/>
                <w:sz w:val="22"/>
                <w:szCs w:val="28"/>
                <w:highlight w:val="none"/>
              </w:rPr>
              <w:t>1000-20000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EHS11</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未按照规定要求配置劳动防护用品或劳动防护用品不符合安全卫生要求</w:t>
            </w:r>
          </w:p>
        </w:tc>
        <w:tc>
          <w:tcPr>
            <w:tcW w:w="2514"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每人每次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EHS12</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打架斗殴</w:t>
            </w:r>
            <w:r>
              <w:rPr>
                <w:rFonts w:ascii="仿宋" w:hAnsi="仿宋" w:eastAsia="仿宋" w:cs="宋体"/>
                <w:bCs/>
                <w:color w:val="auto"/>
                <w:kern w:val="2"/>
                <w:sz w:val="22"/>
                <w:szCs w:val="28"/>
                <w:highlight w:val="none"/>
              </w:rPr>
              <w:t>\</w:t>
            </w:r>
            <w:r>
              <w:rPr>
                <w:rFonts w:hint="eastAsia" w:ascii="仿宋" w:hAnsi="仿宋" w:eastAsia="仿宋" w:cs="宋体"/>
                <w:bCs/>
                <w:color w:val="auto"/>
                <w:kern w:val="2"/>
                <w:sz w:val="22"/>
                <w:szCs w:val="28"/>
                <w:highlight w:val="none"/>
              </w:rPr>
              <w:t>聚众闹事</w:t>
            </w:r>
            <w:r>
              <w:rPr>
                <w:rFonts w:ascii="仿宋" w:hAnsi="仿宋" w:eastAsia="仿宋" w:cs="宋体"/>
                <w:bCs/>
                <w:color w:val="auto"/>
                <w:kern w:val="2"/>
                <w:sz w:val="22"/>
                <w:szCs w:val="28"/>
                <w:highlight w:val="none"/>
              </w:rPr>
              <w:t>\</w:t>
            </w:r>
            <w:r>
              <w:rPr>
                <w:rFonts w:hint="eastAsia" w:ascii="仿宋" w:hAnsi="仿宋" w:eastAsia="仿宋" w:cs="宋体"/>
                <w:bCs/>
                <w:color w:val="auto"/>
                <w:kern w:val="2"/>
                <w:sz w:val="22"/>
                <w:szCs w:val="28"/>
                <w:highlight w:val="none"/>
              </w:rPr>
              <w:t>拦路封门等恶劣影响</w:t>
            </w:r>
          </w:p>
        </w:tc>
        <w:tc>
          <w:tcPr>
            <w:tcW w:w="2514"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EHS13</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不服从管理、威胁、恐吓、殴打管理人员</w:t>
            </w:r>
          </w:p>
        </w:tc>
        <w:tc>
          <w:tcPr>
            <w:tcW w:w="2514"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每次</w:t>
            </w:r>
            <w:r>
              <w:rPr>
                <w:rFonts w:ascii="仿宋" w:hAnsi="仿宋" w:eastAsia="仿宋" w:cs="宋体"/>
                <w:bCs/>
                <w:color w:val="auto"/>
                <w:kern w:val="2"/>
                <w:sz w:val="22"/>
                <w:szCs w:val="28"/>
                <w:highlight w:val="none"/>
              </w:rPr>
              <w:t>5000-100000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EHS14</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非法雇佣童工或违法犯罪人员</w:t>
            </w:r>
          </w:p>
        </w:tc>
        <w:tc>
          <w:tcPr>
            <w:tcW w:w="2514"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EHS15</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危险作业未要求开具施工许可</w:t>
            </w:r>
          </w:p>
        </w:tc>
        <w:tc>
          <w:tcPr>
            <w:tcW w:w="2514"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EHS16</w:t>
            </w:r>
          </w:p>
        </w:tc>
        <w:tc>
          <w:tcPr>
            <w:tcW w:w="3906"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因管理问题造成的责任事故</w:t>
            </w:r>
          </w:p>
        </w:tc>
        <w:tc>
          <w:tcPr>
            <w:tcW w:w="2514"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5000-20000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EHS17</w:t>
            </w:r>
          </w:p>
        </w:tc>
        <w:tc>
          <w:tcPr>
            <w:tcW w:w="3906"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因管理问题造成员工上访等恶性事件</w:t>
            </w:r>
          </w:p>
        </w:tc>
        <w:tc>
          <w:tcPr>
            <w:tcW w:w="2514"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5000-20000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2"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EHS18</w:t>
            </w:r>
          </w:p>
        </w:tc>
        <w:tc>
          <w:tcPr>
            <w:tcW w:w="3906"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其他违反安全卫生职业健康安全事项，但非本罚则列出者，酌情处罚</w:t>
            </w:r>
          </w:p>
        </w:tc>
        <w:tc>
          <w:tcPr>
            <w:tcW w:w="2514"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500-200000</w:t>
            </w:r>
            <w:r>
              <w:rPr>
                <w:rFonts w:hint="eastAsia" w:ascii="仿宋" w:hAnsi="仿宋" w:eastAsia="仿宋" w:cs="宋体"/>
                <w:bCs/>
                <w:color w:val="auto"/>
                <w:kern w:val="2"/>
                <w:sz w:val="22"/>
                <w:szCs w:val="28"/>
                <w:highlight w:val="none"/>
              </w:rPr>
              <w:t>元</w:t>
            </w:r>
          </w:p>
        </w:tc>
        <w:tc>
          <w:tcPr>
            <w:tcW w:w="1119" w:type="dxa"/>
            <w:vAlign w:val="center"/>
          </w:tcPr>
          <w:p>
            <w:pPr>
              <w:widowControl w:val="0"/>
              <w:adjustRightInd/>
              <w:snapToGrid/>
              <w:spacing w:line="240" w:lineRule="auto"/>
              <w:ind w:firstLine="440"/>
              <w:jc w:val="center"/>
              <w:rPr>
                <w:rFonts w:ascii="仿宋" w:hAnsi="仿宋" w:eastAsia="仿宋" w:cs="宋体"/>
                <w:bCs/>
                <w:color w:val="auto"/>
                <w:kern w:val="2"/>
                <w:sz w:val="22"/>
                <w:szCs w:val="28"/>
                <w:highlight w:val="none"/>
              </w:rPr>
            </w:pPr>
          </w:p>
        </w:tc>
      </w:tr>
    </w:tbl>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4.7.2 </w:t>
      </w:r>
      <w:r>
        <w:rPr>
          <w:rFonts w:hint="eastAsia" w:ascii="仿宋" w:hAnsi="仿宋" w:eastAsia="仿宋" w:cs="宋体"/>
          <w:bCs/>
          <w:color w:val="auto"/>
          <w:kern w:val="2"/>
          <w:sz w:val="28"/>
          <w:szCs w:val="28"/>
          <w:highlight w:val="none"/>
        </w:rPr>
        <w:t>文明施工管理</w:t>
      </w:r>
    </w:p>
    <w:tbl>
      <w:tblPr>
        <w:tblStyle w:val="34"/>
        <w:tblW w:w="90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4891"/>
        <w:gridCol w:w="2056"/>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2"/>
              <w:jc w:val="both"/>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序号</w:t>
            </w:r>
          </w:p>
        </w:tc>
        <w:tc>
          <w:tcPr>
            <w:tcW w:w="4891" w:type="dxa"/>
            <w:vAlign w:val="center"/>
          </w:tcPr>
          <w:p>
            <w:pPr>
              <w:widowControl w:val="0"/>
              <w:adjustRightInd/>
              <w:snapToGrid/>
              <w:spacing w:line="240" w:lineRule="auto"/>
              <w:ind w:firstLine="442"/>
              <w:jc w:val="both"/>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违章内容</w:t>
            </w:r>
          </w:p>
        </w:tc>
        <w:tc>
          <w:tcPr>
            <w:tcW w:w="2056" w:type="dxa"/>
            <w:vAlign w:val="center"/>
          </w:tcPr>
          <w:p>
            <w:pPr>
              <w:widowControl w:val="0"/>
              <w:adjustRightInd/>
              <w:snapToGrid/>
              <w:spacing w:line="240" w:lineRule="auto"/>
              <w:ind w:firstLine="442"/>
              <w:jc w:val="both"/>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罚款金额</w:t>
            </w:r>
          </w:p>
        </w:tc>
        <w:tc>
          <w:tcPr>
            <w:tcW w:w="858" w:type="dxa"/>
            <w:vAlign w:val="center"/>
          </w:tcPr>
          <w:p>
            <w:pPr>
              <w:widowControl w:val="0"/>
              <w:adjustRightInd/>
              <w:snapToGrid/>
              <w:spacing w:line="240" w:lineRule="auto"/>
              <w:jc w:val="both"/>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CC01</w:t>
            </w:r>
          </w:p>
        </w:tc>
        <w:tc>
          <w:tcPr>
            <w:tcW w:w="489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进入工地后未佩戴安全帽或未系帽带</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每人每次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CC02</w:t>
            </w:r>
          </w:p>
        </w:tc>
        <w:tc>
          <w:tcPr>
            <w:tcW w:w="489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进入工地后未穿上工作服</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每人每次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CC03</w:t>
            </w:r>
          </w:p>
        </w:tc>
        <w:tc>
          <w:tcPr>
            <w:tcW w:w="489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进入工地未佩戴工作证或借用他人工作证</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每人每次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CC04</w:t>
            </w:r>
          </w:p>
        </w:tc>
        <w:tc>
          <w:tcPr>
            <w:tcW w:w="489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进入工地内赤膊、穿背心、拖鞋、短裤、裙子</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每人每次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CC05</w:t>
            </w:r>
          </w:p>
        </w:tc>
        <w:tc>
          <w:tcPr>
            <w:tcW w:w="489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未在规定区域抽烟</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每人每次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危险区域</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CC06</w:t>
            </w:r>
          </w:p>
        </w:tc>
        <w:tc>
          <w:tcPr>
            <w:tcW w:w="489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未在规定的区域倾倒垃圾</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500-10000</w:t>
            </w:r>
            <w:r>
              <w:rPr>
                <w:rFonts w:hint="eastAsia" w:ascii="仿宋" w:hAnsi="仿宋" w:eastAsia="仿宋" w:cs="宋体"/>
                <w:bCs/>
                <w:color w:val="auto"/>
                <w:kern w:val="2"/>
                <w:sz w:val="22"/>
                <w:szCs w:val="28"/>
                <w:highlight w:val="none"/>
              </w:rPr>
              <w:t>元</w:t>
            </w: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CC07</w:t>
            </w:r>
          </w:p>
        </w:tc>
        <w:tc>
          <w:tcPr>
            <w:tcW w:w="489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在工地现场席地躺睡</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每人每次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CC08</w:t>
            </w:r>
          </w:p>
        </w:tc>
        <w:tc>
          <w:tcPr>
            <w:tcW w:w="489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未在指定区域大小便、洗浴等</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每人每次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CC09</w:t>
            </w:r>
          </w:p>
        </w:tc>
        <w:tc>
          <w:tcPr>
            <w:tcW w:w="489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酒后进入（含酒精性饮料、迷幻剂等）工地</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CC10</w:t>
            </w:r>
          </w:p>
        </w:tc>
        <w:tc>
          <w:tcPr>
            <w:tcW w:w="489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未按照国家标准做好噪声排放、污水处理和环境保护措施</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CC11</w:t>
            </w:r>
          </w:p>
        </w:tc>
        <w:tc>
          <w:tcPr>
            <w:tcW w:w="489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加工区、预制区、施工现场未及时进行</w:t>
            </w:r>
            <w:r>
              <w:rPr>
                <w:rFonts w:ascii="仿宋" w:hAnsi="仿宋" w:eastAsia="仿宋" w:cs="宋体"/>
                <w:bCs/>
                <w:color w:val="auto"/>
                <w:kern w:val="2"/>
                <w:sz w:val="22"/>
                <w:szCs w:val="28"/>
                <w:highlight w:val="none"/>
              </w:rPr>
              <w:t>5S</w:t>
            </w:r>
            <w:r>
              <w:rPr>
                <w:rFonts w:hint="eastAsia" w:ascii="仿宋" w:hAnsi="仿宋" w:eastAsia="仿宋" w:cs="宋体"/>
                <w:bCs/>
                <w:color w:val="auto"/>
                <w:kern w:val="2"/>
                <w:sz w:val="22"/>
                <w:szCs w:val="28"/>
                <w:highlight w:val="none"/>
              </w:rPr>
              <w:t>清理</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CC12</w:t>
            </w:r>
          </w:p>
        </w:tc>
        <w:tc>
          <w:tcPr>
            <w:tcW w:w="489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生活区、食堂不符合环境与卫生要求</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CC13</w:t>
            </w:r>
          </w:p>
        </w:tc>
        <w:tc>
          <w:tcPr>
            <w:tcW w:w="489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食堂采购、出售变质过期食物的</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0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CC14</w:t>
            </w:r>
          </w:p>
        </w:tc>
        <w:tc>
          <w:tcPr>
            <w:tcW w:w="489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其他违反国家相关标准或项目管理规定</w:t>
            </w:r>
          </w:p>
        </w:tc>
        <w:tc>
          <w:tcPr>
            <w:tcW w:w="205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500-50000元</w:t>
            </w:r>
          </w:p>
        </w:tc>
        <w:tc>
          <w:tcPr>
            <w:tcW w:w="85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bl>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4.7.3 </w:t>
      </w:r>
      <w:r>
        <w:rPr>
          <w:rFonts w:hint="eastAsia" w:ascii="仿宋" w:hAnsi="仿宋" w:eastAsia="仿宋" w:cs="宋体"/>
          <w:bCs/>
          <w:color w:val="auto"/>
          <w:kern w:val="2"/>
          <w:sz w:val="28"/>
          <w:szCs w:val="28"/>
          <w:highlight w:val="none"/>
        </w:rPr>
        <w:t>消防动火作业管理</w:t>
      </w:r>
    </w:p>
    <w:tbl>
      <w:tblPr>
        <w:tblStyle w:val="34"/>
        <w:tblW w:w="90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4081"/>
        <w:gridCol w:w="260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20"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序号</w:t>
            </w:r>
          </w:p>
        </w:tc>
        <w:tc>
          <w:tcPr>
            <w:tcW w:w="4081"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违章内容</w:t>
            </w:r>
          </w:p>
        </w:tc>
        <w:tc>
          <w:tcPr>
            <w:tcW w:w="2608"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罚款金额</w:t>
            </w:r>
          </w:p>
        </w:tc>
        <w:tc>
          <w:tcPr>
            <w:tcW w:w="1134" w:type="dxa"/>
            <w:vAlign w:val="center"/>
          </w:tcPr>
          <w:p>
            <w:pPr>
              <w:widowControl w:val="0"/>
              <w:adjustRightInd/>
              <w:snapToGrid/>
              <w:spacing w:line="240" w:lineRule="auto"/>
              <w:jc w:val="both"/>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FC01</w:t>
            </w:r>
          </w:p>
        </w:tc>
        <w:tc>
          <w:tcPr>
            <w:tcW w:w="40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执行动火人无特种操作证或无效</w:t>
            </w:r>
          </w:p>
        </w:tc>
        <w:tc>
          <w:tcPr>
            <w:tcW w:w="260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每人每次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FC02</w:t>
            </w:r>
          </w:p>
        </w:tc>
        <w:tc>
          <w:tcPr>
            <w:tcW w:w="408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动火作业无施工许可单或未签批完整</w:t>
            </w:r>
          </w:p>
        </w:tc>
        <w:tc>
          <w:tcPr>
            <w:tcW w:w="260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FC03</w:t>
            </w:r>
          </w:p>
        </w:tc>
        <w:tc>
          <w:tcPr>
            <w:tcW w:w="408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动火作业现场存在易燃材料或安全距离不足</w:t>
            </w:r>
          </w:p>
        </w:tc>
        <w:tc>
          <w:tcPr>
            <w:tcW w:w="260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FC04</w:t>
            </w:r>
          </w:p>
        </w:tc>
        <w:tc>
          <w:tcPr>
            <w:tcW w:w="408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动火现场未配置足够看火人或未佩戴标识</w:t>
            </w:r>
          </w:p>
        </w:tc>
        <w:tc>
          <w:tcPr>
            <w:tcW w:w="260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暂停施工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FC05</w:t>
            </w:r>
          </w:p>
        </w:tc>
        <w:tc>
          <w:tcPr>
            <w:tcW w:w="40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动火现场未规定要求配置足够灭火装置或配置的灭火装备失效</w:t>
            </w:r>
          </w:p>
        </w:tc>
        <w:tc>
          <w:tcPr>
            <w:tcW w:w="260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FC06</w:t>
            </w:r>
          </w:p>
        </w:tc>
        <w:tc>
          <w:tcPr>
            <w:tcW w:w="408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动火作业完成后焊渣未清理，现场未整理</w:t>
            </w:r>
          </w:p>
        </w:tc>
        <w:tc>
          <w:tcPr>
            <w:tcW w:w="260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FC07</w:t>
            </w:r>
          </w:p>
        </w:tc>
        <w:tc>
          <w:tcPr>
            <w:tcW w:w="40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私自伪造、涂改、代签或变更动火证</w:t>
            </w:r>
          </w:p>
        </w:tc>
        <w:tc>
          <w:tcPr>
            <w:tcW w:w="260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FC08</w:t>
            </w:r>
          </w:p>
        </w:tc>
        <w:tc>
          <w:tcPr>
            <w:tcW w:w="40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氧气乙炔瓶距离未达规范要求</w:t>
            </w:r>
          </w:p>
        </w:tc>
        <w:tc>
          <w:tcPr>
            <w:tcW w:w="260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立即整改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FC09</w:t>
            </w:r>
          </w:p>
        </w:tc>
        <w:tc>
          <w:tcPr>
            <w:tcW w:w="40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作业申请单上未自动检查或与现场不符</w:t>
            </w:r>
          </w:p>
        </w:tc>
        <w:tc>
          <w:tcPr>
            <w:tcW w:w="260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FC10</w:t>
            </w:r>
          </w:p>
        </w:tc>
        <w:tc>
          <w:tcPr>
            <w:tcW w:w="40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因施工造成火险、火灾</w:t>
            </w:r>
          </w:p>
        </w:tc>
        <w:tc>
          <w:tcPr>
            <w:tcW w:w="2608"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2000-200000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FC11</w:t>
            </w:r>
          </w:p>
        </w:tc>
        <w:tc>
          <w:tcPr>
            <w:tcW w:w="40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易燃气瓶、材料等未按规定妥善保存</w:t>
            </w:r>
          </w:p>
        </w:tc>
        <w:tc>
          <w:tcPr>
            <w:tcW w:w="260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FC12</w:t>
            </w:r>
          </w:p>
        </w:tc>
        <w:tc>
          <w:tcPr>
            <w:tcW w:w="40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未按规定在易燃材料等规定区域配置灭火器</w:t>
            </w:r>
          </w:p>
        </w:tc>
        <w:tc>
          <w:tcPr>
            <w:tcW w:w="260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FC13</w:t>
            </w:r>
          </w:p>
        </w:tc>
        <w:tc>
          <w:tcPr>
            <w:tcW w:w="408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其他不符合有关标准和项目管理规定的</w:t>
            </w:r>
          </w:p>
        </w:tc>
        <w:tc>
          <w:tcPr>
            <w:tcW w:w="2608"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500-50000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bl>
    <w:p>
      <w:pPr>
        <w:adjustRightInd/>
        <w:snapToGrid/>
        <w:spacing w:line="240" w:lineRule="auto"/>
        <w:ind w:firstLine="560" w:firstLineChars="200"/>
        <w:jc w:val="both"/>
        <w:rPr>
          <w:rFonts w:ascii="仿宋" w:hAnsi="仿宋" w:eastAsia="仿宋" w:cs="宋体"/>
          <w:bCs/>
          <w:color w:val="auto"/>
          <w:kern w:val="2"/>
          <w:sz w:val="28"/>
          <w:szCs w:val="28"/>
          <w:highlight w:val="none"/>
        </w:rPr>
      </w:pPr>
    </w:p>
    <w:p>
      <w:pPr>
        <w:adjustRightInd/>
        <w:snapToGrid/>
        <w:spacing w:line="240" w:lineRule="auto"/>
        <w:ind w:firstLine="560" w:firstLineChars="200"/>
        <w:jc w:val="both"/>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4.7.4 </w:t>
      </w:r>
      <w:r>
        <w:rPr>
          <w:rFonts w:hint="eastAsia" w:ascii="仿宋" w:hAnsi="仿宋" w:eastAsia="仿宋" w:cs="宋体"/>
          <w:bCs/>
          <w:color w:val="auto"/>
          <w:kern w:val="2"/>
          <w:sz w:val="28"/>
          <w:szCs w:val="28"/>
          <w:highlight w:val="none"/>
        </w:rPr>
        <w:t>电气设备管理</w:t>
      </w:r>
    </w:p>
    <w:tbl>
      <w:tblPr>
        <w:tblStyle w:val="34"/>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4422"/>
        <w:gridCol w:w="226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20"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序号</w:t>
            </w:r>
          </w:p>
        </w:tc>
        <w:tc>
          <w:tcPr>
            <w:tcW w:w="4422"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违章内容</w:t>
            </w:r>
          </w:p>
        </w:tc>
        <w:tc>
          <w:tcPr>
            <w:tcW w:w="2268"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罚款金额</w:t>
            </w:r>
          </w:p>
        </w:tc>
        <w:tc>
          <w:tcPr>
            <w:tcW w:w="1134" w:type="dxa"/>
            <w:vAlign w:val="center"/>
          </w:tcPr>
          <w:p>
            <w:pPr>
              <w:widowControl w:val="0"/>
              <w:adjustRightInd/>
              <w:snapToGrid/>
              <w:spacing w:line="240" w:lineRule="auto"/>
              <w:jc w:val="both"/>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TE01</w:t>
            </w:r>
          </w:p>
        </w:tc>
        <w:tc>
          <w:tcPr>
            <w:tcW w:w="4422"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配电箱未按文明施工要求做好标识等</w:t>
            </w:r>
          </w:p>
        </w:tc>
        <w:tc>
          <w:tcPr>
            <w:tcW w:w="2268"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限期整改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TE02</w:t>
            </w:r>
          </w:p>
        </w:tc>
        <w:tc>
          <w:tcPr>
            <w:tcW w:w="4422"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室外电箱未做防雨防砸装置</w:t>
            </w:r>
          </w:p>
        </w:tc>
        <w:tc>
          <w:tcPr>
            <w:tcW w:w="2268"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TE03</w:t>
            </w:r>
          </w:p>
        </w:tc>
        <w:tc>
          <w:tcPr>
            <w:tcW w:w="4422"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室内电箱未做警示隔离</w:t>
            </w:r>
          </w:p>
        </w:tc>
        <w:tc>
          <w:tcPr>
            <w:tcW w:w="2268"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TE04</w:t>
            </w:r>
          </w:p>
        </w:tc>
        <w:tc>
          <w:tcPr>
            <w:tcW w:w="4422"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室外配电线路未按规范要求铺设</w:t>
            </w:r>
            <w:r>
              <w:rPr>
                <w:rFonts w:ascii="仿宋" w:hAnsi="仿宋" w:eastAsia="仿宋" w:cs="宋体"/>
                <w:bCs/>
                <w:color w:val="auto"/>
                <w:kern w:val="2"/>
                <w:sz w:val="22"/>
                <w:szCs w:val="28"/>
                <w:highlight w:val="none"/>
              </w:rPr>
              <w:t>\</w:t>
            </w:r>
            <w:r>
              <w:rPr>
                <w:rFonts w:hint="eastAsia" w:ascii="仿宋" w:hAnsi="仿宋" w:eastAsia="仿宋" w:cs="宋体"/>
                <w:bCs/>
                <w:color w:val="auto"/>
                <w:kern w:val="2"/>
                <w:sz w:val="22"/>
                <w:szCs w:val="28"/>
                <w:highlight w:val="none"/>
              </w:rPr>
              <w:t>高架</w:t>
            </w:r>
            <w:r>
              <w:rPr>
                <w:rFonts w:ascii="仿宋" w:hAnsi="仿宋" w:eastAsia="仿宋" w:cs="宋体"/>
                <w:bCs/>
                <w:color w:val="auto"/>
                <w:kern w:val="2"/>
                <w:sz w:val="22"/>
                <w:szCs w:val="28"/>
                <w:highlight w:val="none"/>
              </w:rPr>
              <w:t>\</w:t>
            </w:r>
            <w:r>
              <w:rPr>
                <w:rFonts w:hint="eastAsia" w:ascii="仿宋" w:hAnsi="仿宋" w:eastAsia="仿宋" w:cs="宋体"/>
                <w:bCs/>
                <w:color w:val="auto"/>
                <w:kern w:val="2"/>
                <w:sz w:val="22"/>
                <w:szCs w:val="28"/>
                <w:highlight w:val="none"/>
              </w:rPr>
              <w:t>防护</w:t>
            </w:r>
          </w:p>
        </w:tc>
        <w:tc>
          <w:tcPr>
            <w:tcW w:w="2268"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TE05</w:t>
            </w:r>
          </w:p>
        </w:tc>
        <w:tc>
          <w:tcPr>
            <w:tcW w:w="442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室内配电线路未按规范要求铺设</w:t>
            </w:r>
            <w:r>
              <w:rPr>
                <w:rFonts w:ascii="仿宋" w:hAnsi="仿宋" w:eastAsia="仿宋" w:cs="宋体"/>
                <w:bCs/>
                <w:color w:val="auto"/>
                <w:kern w:val="2"/>
                <w:sz w:val="22"/>
                <w:szCs w:val="28"/>
                <w:highlight w:val="none"/>
              </w:rPr>
              <w:t>\</w:t>
            </w:r>
            <w:r>
              <w:rPr>
                <w:rFonts w:hint="eastAsia" w:ascii="仿宋" w:hAnsi="仿宋" w:eastAsia="仿宋" w:cs="宋体"/>
                <w:bCs/>
                <w:color w:val="auto"/>
                <w:kern w:val="2"/>
                <w:sz w:val="22"/>
                <w:szCs w:val="28"/>
                <w:highlight w:val="none"/>
              </w:rPr>
              <w:t>高挂</w:t>
            </w:r>
            <w:r>
              <w:rPr>
                <w:rFonts w:ascii="仿宋" w:hAnsi="仿宋" w:eastAsia="仿宋" w:cs="宋体"/>
                <w:bCs/>
                <w:color w:val="auto"/>
                <w:kern w:val="2"/>
                <w:sz w:val="22"/>
                <w:szCs w:val="28"/>
                <w:highlight w:val="none"/>
              </w:rPr>
              <w:t>\</w:t>
            </w:r>
            <w:r>
              <w:rPr>
                <w:rFonts w:hint="eastAsia" w:ascii="仿宋" w:hAnsi="仿宋" w:eastAsia="仿宋" w:cs="宋体"/>
                <w:bCs/>
                <w:color w:val="auto"/>
                <w:kern w:val="2"/>
                <w:sz w:val="22"/>
                <w:szCs w:val="28"/>
                <w:highlight w:val="none"/>
              </w:rPr>
              <w:t>防护</w:t>
            </w:r>
          </w:p>
        </w:tc>
        <w:tc>
          <w:tcPr>
            <w:tcW w:w="2268"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TE06</w:t>
            </w:r>
          </w:p>
        </w:tc>
        <w:tc>
          <w:tcPr>
            <w:tcW w:w="4422"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未按规定线制配线，缺少零线或地线</w:t>
            </w:r>
          </w:p>
        </w:tc>
        <w:tc>
          <w:tcPr>
            <w:tcW w:w="2268"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3000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TE07</w:t>
            </w:r>
          </w:p>
        </w:tc>
        <w:tc>
          <w:tcPr>
            <w:tcW w:w="4422"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电线内各种芯线未按照规定颜色配置</w:t>
            </w:r>
          </w:p>
        </w:tc>
        <w:tc>
          <w:tcPr>
            <w:tcW w:w="2268"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TE08</w:t>
            </w:r>
          </w:p>
        </w:tc>
        <w:tc>
          <w:tcPr>
            <w:tcW w:w="4422"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施工用电未规定接线或未标明各相线路</w:t>
            </w:r>
          </w:p>
        </w:tc>
        <w:tc>
          <w:tcPr>
            <w:tcW w:w="226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TE09</w:t>
            </w:r>
          </w:p>
        </w:tc>
        <w:tc>
          <w:tcPr>
            <w:tcW w:w="4422"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各级电箱配置不符合规范要求</w:t>
            </w:r>
          </w:p>
        </w:tc>
        <w:tc>
          <w:tcPr>
            <w:tcW w:w="2268"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更换电箱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TE10</w:t>
            </w:r>
          </w:p>
        </w:tc>
        <w:tc>
          <w:tcPr>
            <w:tcW w:w="4422"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各级用电保护不符合规范要求</w:t>
            </w:r>
          </w:p>
        </w:tc>
        <w:tc>
          <w:tcPr>
            <w:tcW w:w="2268"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TE11</w:t>
            </w:r>
          </w:p>
        </w:tc>
        <w:tc>
          <w:tcPr>
            <w:tcW w:w="4422" w:type="dxa"/>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电线未做安全防护、扭结等处于危险隐患</w:t>
            </w:r>
          </w:p>
        </w:tc>
        <w:tc>
          <w:tcPr>
            <w:tcW w:w="2268"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TE12</w:t>
            </w:r>
          </w:p>
        </w:tc>
        <w:tc>
          <w:tcPr>
            <w:tcW w:w="4422"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非专业电工进行电气设备维修、保养、维护等</w:t>
            </w:r>
          </w:p>
        </w:tc>
        <w:tc>
          <w:tcPr>
            <w:tcW w:w="2268"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TE13</w:t>
            </w:r>
          </w:p>
        </w:tc>
        <w:tc>
          <w:tcPr>
            <w:tcW w:w="4422"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未按规定要求停电、送电</w:t>
            </w:r>
          </w:p>
        </w:tc>
        <w:tc>
          <w:tcPr>
            <w:tcW w:w="2268"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0"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TE14</w:t>
            </w:r>
          </w:p>
        </w:tc>
        <w:tc>
          <w:tcPr>
            <w:tcW w:w="4422"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其他不符合相关规范的情形</w:t>
            </w:r>
          </w:p>
        </w:tc>
        <w:tc>
          <w:tcPr>
            <w:tcW w:w="2268" w:type="dxa"/>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500-5000</w:t>
            </w:r>
            <w:r>
              <w:rPr>
                <w:rFonts w:hint="eastAsia" w:ascii="仿宋" w:hAnsi="仿宋" w:eastAsia="仿宋" w:cs="宋体"/>
                <w:bCs/>
                <w:color w:val="auto"/>
                <w:kern w:val="2"/>
                <w:sz w:val="22"/>
                <w:szCs w:val="28"/>
                <w:highlight w:val="none"/>
              </w:rPr>
              <w:t>元</w:t>
            </w:r>
          </w:p>
        </w:tc>
        <w:tc>
          <w:tcPr>
            <w:tcW w:w="1134" w:type="dxa"/>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bl>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4.7.5 </w:t>
      </w:r>
      <w:r>
        <w:rPr>
          <w:rFonts w:hint="eastAsia" w:ascii="仿宋" w:hAnsi="仿宋" w:eastAsia="仿宋" w:cs="宋体"/>
          <w:bCs/>
          <w:color w:val="auto"/>
          <w:kern w:val="2"/>
          <w:sz w:val="28"/>
          <w:szCs w:val="28"/>
          <w:highlight w:val="none"/>
        </w:rPr>
        <w:t>高处作业管理</w:t>
      </w:r>
    </w:p>
    <w:tbl>
      <w:tblPr>
        <w:tblStyle w:val="34"/>
        <w:tblW w:w="90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4171"/>
        <w:gridCol w:w="253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7"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序号</w:t>
            </w:r>
          </w:p>
        </w:tc>
        <w:tc>
          <w:tcPr>
            <w:tcW w:w="4171"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违章内容</w:t>
            </w:r>
          </w:p>
        </w:tc>
        <w:tc>
          <w:tcPr>
            <w:tcW w:w="2536"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罚款金额</w:t>
            </w:r>
          </w:p>
        </w:tc>
        <w:tc>
          <w:tcPr>
            <w:tcW w:w="1134" w:type="dxa"/>
            <w:vAlign w:val="center"/>
          </w:tcPr>
          <w:p>
            <w:pPr>
              <w:widowControl w:val="0"/>
              <w:adjustRightInd/>
              <w:snapToGrid/>
              <w:spacing w:line="240" w:lineRule="auto"/>
              <w:jc w:val="both"/>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WH01</w:t>
            </w:r>
          </w:p>
        </w:tc>
        <w:tc>
          <w:tcPr>
            <w:tcW w:w="41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临边、洞口未按规定要求做好安全防护</w:t>
            </w:r>
          </w:p>
        </w:tc>
        <w:tc>
          <w:tcPr>
            <w:tcW w:w="253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1000-30000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WH02</w:t>
            </w:r>
          </w:p>
        </w:tc>
        <w:tc>
          <w:tcPr>
            <w:tcW w:w="417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高处作业人员未佩戴安全带或无其他可靠措施</w:t>
            </w:r>
          </w:p>
        </w:tc>
        <w:tc>
          <w:tcPr>
            <w:tcW w:w="2536"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每人每次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WH03</w:t>
            </w:r>
          </w:p>
        </w:tc>
        <w:tc>
          <w:tcPr>
            <w:tcW w:w="417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临时性构筑物未规定做好安全防砸防护</w:t>
            </w:r>
          </w:p>
        </w:tc>
        <w:tc>
          <w:tcPr>
            <w:tcW w:w="2536"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WH04</w:t>
            </w:r>
          </w:p>
        </w:tc>
        <w:tc>
          <w:tcPr>
            <w:tcW w:w="417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未按照施工方案落实高坠安全防护措施</w:t>
            </w:r>
          </w:p>
        </w:tc>
        <w:tc>
          <w:tcPr>
            <w:tcW w:w="2536"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WH05</w:t>
            </w:r>
          </w:p>
        </w:tc>
        <w:tc>
          <w:tcPr>
            <w:tcW w:w="417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私自拆除安全防护，未可靠防栌措施</w:t>
            </w:r>
          </w:p>
        </w:tc>
        <w:tc>
          <w:tcPr>
            <w:tcW w:w="2536"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WH06</w:t>
            </w:r>
          </w:p>
        </w:tc>
        <w:tc>
          <w:tcPr>
            <w:tcW w:w="417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各型式登高设备不符合国家相关标准要求</w:t>
            </w:r>
          </w:p>
        </w:tc>
        <w:tc>
          <w:tcPr>
            <w:tcW w:w="2536"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WH07</w:t>
            </w:r>
          </w:p>
        </w:tc>
        <w:tc>
          <w:tcPr>
            <w:tcW w:w="417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作业平面内有洞口、临边等或平台不可靠</w:t>
            </w:r>
          </w:p>
        </w:tc>
        <w:tc>
          <w:tcPr>
            <w:tcW w:w="2536"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WH08</w:t>
            </w:r>
          </w:p>
        </w:tc>
        <w:tc>
          <w:tcPr>
            <w:tcW w:w="417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悬空上下未设置安全通道或可靠安全措施</w:t>
            </w:r>
          </w:p>
        </w:tc>
        <w:tc>
          <w:tcPr>
            <w:tcW w:w="2536"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WH09</w:t>
            </w:r>
          </w:p>
        </w:tc>
        <w:tc>
          <w:tcPr>
            <w:tcW w:w="417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开洞开孔未经申请未制作安全防护</w:t>
            </w:r>
          </w:p>
        </w:tc>
        <w:tc>
          <w:tcPr>
            <w:tcW w:w="2536"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WH10</w:t>
            </w:r>
          </w:p>
        </w:tc>
        <w:tc>
          <w:tcPr>
            <w:tcW w:w="417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高处作业平台在周边未设置围挡或警示围篱</w:t>
            </w:r>
          </w:p>
        </w:tc>
        <w:tc>
          <w:tcPr>
            <w:tcW w:w="2536"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WH11</w:t>
            </w:r>
          </w:p>
        </w:tc>
        <w:tc>
          <w:tcPr>
            <w:tcW w:w="417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从高空抛物等</w:t>
            </w:r>
          </w:p>
        </w:tc>
        <w:tc>
          <w:tcPr>
            <w:tcW w:w="2536"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WH12</w:t>
            </w:r>
          </w:p>
        </w:tc>
        <w:tc>
          <w:tcPr>
            <w:tcW w:w="41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其他违反国家相关标准或项目管理规定</w:t>
            </w:r>
          </w:p>
        </w:tc>
        <w:tc>
          <w:tcPr>
            <w:tcW w:w="253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500-50000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bl>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4.7.6 </w:t>
      </w:r>
      <w:r>
        <w:rPr>
          <w:rFonts w:hint="eastAsia" w:ascii="仿宋" w:hAnsi="仿宋" w:eastAsia="仿宋" w:cs="宋体"/>
          <w:bCs/>
          <w:color w:val="auto"/>
          <w:kern w:val="2"/>
          <w:sz w:val="28"/>
          <w:szCs w:val="28"/>
          <w:highlight w:val="none"/>
        </w:rPr>
        <w:t>安全保卫管理</w:t>
      </w:r>
    </w:p>
    <w:tbl>
      <w:tblPr>
        <w:tblStyle w:val="34"/>
        <w:tblW w:w="90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4307"/>
        <w:gridCol w:w="238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18"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序号</w:t>
            </w:r>
          </w:p>
        </w:tc>
        <w:tc>
          <w:tcPr>
            <w:tcW w:w="4307"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违章内容</w:t>
            </w:r>
          </w:p>
        </w:tc>
        <w:tc>
          <w:tcPr>
            <w:tcW w:w="2381"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罚款金额</w:t>
            </w:r>
          </w:p>
        </w:tc>
        <w:tc>
          <w:tcPr>
            <w:tcW w:w="1134"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SG01</w:t>
            </w:r>
          </w:p>
        </w:tc>
        <w:tc>
          <w:tcPr>
            <w:tcW w:w="430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未经同意随意打开项目围墙围挡</w:t>
            </w:r>
          </w:p>
        </w:tc>
        <w:tc>
          <w:tcPr>
            <w:tcW w:w="23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立即修复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SG02</w:t>
            </w:r>
          </w:p>
        </w:tc>
        <w:tc>
          <w:tcPr>
            <w:tcW w:w="430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违规翻越、破坏工地围墙、围挡</w:t>
            </w:r>
          </w:p>
        </w:tc>
        <w:tc>
          <w:tcPr>
            <w:tcW w:w="23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SG03</w:t>
            </w:r>
          </w:p>
        </w:tc>
        <w:tc>
          <w:tcPr>
            <w:tcW w:w="430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进出工地不配合检查，强行闯门</w:t>
            </w:r>
          </w:p>
        </w:tc>
        <w:tc>
          <w:tcPr>
            <w:tcW w:w="23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SG04</w:t>
            </w:r>
          </w:p>
        </w:tc>
        <w:tc>
          <w:tcPr>
            <w:tcW w:w="430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工地内不按指挥停靠车辆、占道</w:t>
            </w:r>
          </w:p>
        </w:tc>
        <w:tc>
          <w:tcPr>
            <w:tcW w:w="23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SG05</w:t>
            </w:r>
          </w:p>
        </w:tc>
        <w:tc>
          <w:tcPr>
            <w:tcW w:w="430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不服从交通调度、指挥</w:t>
            </w:r>
          </w:p>
        </w:tc>
        <w:tc>
          <w:tcPr>
            <w:tcW w:w="23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SG06</w:t>
            </w:r>
          </w:p>
        </w:tc>
        <w:tc>
          <w:tcPr>
            <w:tcW w:w="430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偷盗物品、材料等非放行单罗列物品</w:t>
            </w:r>
          </w:p>
        </w:tc>
        <w:tc>
          <w:tcPr>
            <w:tcW w:w="23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SG07</w:t>
            </w:r>
          </w:p>
        </w:tc>
        <w:tc>
          <w:tcPr>
            <w:tcW w:w="430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运出物品与放行单不符合</w:t>
            </w:r>
          </w:p>
        </w:tc>
        <w:tc>
          <w:tcPr>
            <w:tcW w:w="23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SG08</w:t>
            </w:r>
          </w:p>
        </w:tc>
        <w:tc>
          <w:tcPr>
            <w:tcW w:w="430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必要时不配合安全引导、应急疏导等</w:t>
            </w:r>
          </w:p>
        </w:tc>
        <w:tc>
          <w:tcPr>
            <w:tcW w:w="23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SG09</w:t>
            </w:r>
          </w:p>
        </w:tc>
        <w:tc>
          <w:tcPr>
            <w:tcW w:w="430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破坏门禁、监控等设备、材料成品等</w:t>
            </w:r>
          </w:p>
        </w:tc>
        <w:tc>
          <w:tcPr>
            <w:tcW w:w="2381"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3000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损失另计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SG10</w:t>
            </w:r>
          </w:p>
        </w:tc>
        <w:tc>
          <w:tcPr>
            <w:tcW w:w="4307"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其他违反国家相关标准或项目管理规定的</w:t>
            </w:r>
          </w:p>
        </w:tc>
        <w:tc>
          <w:tcPr>
            <w:tcW w:w="238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500-10000</w:t>
            </w:r>
            <w:r>
              <w:rPr>
                <w:rFonts w:hint="eastAsia" w:ascii="仿宋" w:hAnsi="仿宋" w:eastAsia="仿宋" w:cs="宋体"/>
                <w:bCs/>
                <w:color w:val="auto"/>
                <w:kern w:val="2"/>
                <w:sz w:val="22"/>
                <w:szCs w:val="28"/>
                <w:highlight w:val="none"/>
              </w:rPr>
              <w:t>元</w:t>
            </w:r>
          </w:p>
        </w:tc>
        <w:tc>
          <w:tcPr>
            <w:tcW w:w="1134"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bl>
    <w:p>
      <w:pPr>
        <w:widowControl w:val="0"/>
        <w:overflowPunct w:val="0"/>
        <w:autoSpaceDE w:val="0"/>
        <w:autoSpaceDN w:val="0"/>
        <w:snapToGrid/>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4.7.7 </w:t>
      </w:r>
      <w:r>
        <w:rPr>
          <w:rFonts w:hint="eastAsia" w:ascii="仿宋" w:hAnsi="仿宋" w:eastAsia="仿宋" w:cs="宋体"/>
          <w:bCs/>
          <w:color w:val="auto"/>
          <w:kern w:val="2"/>
          <w:sz w:val="28"/>
          <w:szCs w:val="28"/>
          <w:highlight w:val="none"/>
        </w:rPr>
        <w:t>施工机械管理</w:t>
      </w:r>
    </w:p>
    <w:tbl>
      <w:tblPr>
        <w:tblStyle w:val="34"/>
        <w:tblW w:w="89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4562"/>
        <w:gridCol w:w="2487"/>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92"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序号</w:t>
            </w:r>
          </w:p>
        </w:tc>
        <w:tc>
          <w:tcPr>
            <w:tcW w:w="4562"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违章内容</w:t>
            </w:r>
          </w:p>
        </w:tc>
        <w:tc>
          <w:tcPr>
            <w:tcW w:w="2487"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罚款金额</w:t>
            </w:r>
          </w:p>
        </w:tc>
        <w:tc>
          <w:tcPr>
            <w:tcW w:w="747" w:type="dxa"/>
            <w:vAlign w:val="center"/>
          </w:tcPr>
          <w:p>
            <w:pPr>
              <w:widowControl w:val="0"/>
              <w:adjustRightInd/>
              <w:snapToGrid/>
              <w:spacing w:line="240" w:lineRule="auto"/>
              <w:jc w:val="both"/>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CM01</w:t>
            </w:r>
          </w:p>
        </w:tc>
        <w:tc>
          <w:tcPr>
            <w:tcW w:w="456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进场设备、机械未进行报审验收的</w:t>
            </w:r>
          </w:p>
        </w:tc>
        <w:tc>
          <w:tcPr>
            <w:tcW w:w="248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74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CM02</w:t>
            </w:r>
          </w:p>
        </w:tc>
        <w:tc>
          <w:tcPr>
            <w:tcW w:w="456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施工机具机械危险部位缺少安全装置</w:t>
            </w:r>
          </w:p>
        </w:tc>
        <w:tc>
          <w:tcPr>
            <w:tcW w:w="248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74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CM03</w:t>
            </w:r>
          </w:p>
        </w:tc>
        <w:tc>
          <w:tcPr>
            <w:tcW w:w="456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施工机械机具未按照规范要求接地保护</w:t>
            </w:r>
          </w:p>
        </w:tc>
        <w:tc>
          <w:tcPr>
            <w:tcW w:w="248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tc>
        <w:tc>
          <w:tcPr>
            <w:tcW w:w="74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CM04</w:t>
            </w:r>
          </w:p>
        </w:tc>
        <w:tc>
          <w:tcPr>
            <w:tcW w:w="456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特种设备未定期检测并购置保险</w:t>
            </w:r>
          </w:p>
        </w:tc>
        <w:tc>
          <w:tcPr>
            <w:tcW w:w="248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74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CM05</w:t>
            </w:r>
          </w:p>
        </w:tc>
        <w:tc>
          <w:tcPr>
            <w:tcW w:w="456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私自改装机械、机具</w:t>
            </w:r>
          </w:p>
        </w:tc>
        <w:tc>
          <w:tcPr>
            <w:tcW w:w="248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74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CM06</w:t>
            </w:r>
          </w:p>
        </w:tc>
        <w:tc>
          <w:tcPr>
            <w:tcW w:w="456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平刨、塔吊、吊篮等机具</w:t>
            </w:r>
            <w:r>
              <w:rPr>
                <w:rFonts w:ascii="仿宋" w:hAnsi="仿宋" w:eastAsia="仿宋" w:cs="宋体"/>
                <w:bCs/>
                <w:color w:val="auto"/>
                <w:kern w:val="2"/>
                <w:sz w:val="22"/>
                <w:szCs w:val="28"/>
                <w:highlight w:val="none"/>
              </w:rPr>
              <w:t xml:space="preserve"> </w:t>
            </w:r>
            <w:r>
              <w:rPr>
                <w:rFonts w:hint="eastAsia" w:ascii="仿宋" w:hAnsi="仿宋" w:eastAsia="仿宋" w:cs="宋体"/>
                <w:bCs/>
                <w:color w:val="auto"/>
                <w:kern w:val="2"/>
                <w:sz w:val="22"/>
                <w:szCs w:val="28"/>
                <w:highlight w:val="none"/>
              </w:rPr>
              <w:t>机械安装完成未经过检测验收直接投入使用</w:t>
            </w:r>
          </w:p>
        </w:tc>
        <w:tc>
          <w:tcPr>
            <w:tcW w:w="248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74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CM0</w:t>
            </w:r>
            <w:r>
              <w:rPr>
                <w:rFonts w:hint="eastAsia" w:ascii="仿宋" w:hAnsi="仿宋" w:eastAsia="仿宋" w:cs="宋体"/>
                <w:bCs/>
                <w:color w:val="auto"/>
                <w:kern w:val="2"/>
                <w:sz w:val="22"/>
                <w:szCs w:val="28"/>
                <w:highlight w:val="none"/>
              </w:rPr>
              <w:t>7</w:t>
            </w:r>
          </w:p>
        </w:tc>
        <w:tc>
          <w:tcPr>
            <w:tcW w:w="456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违反操作规程操作机械、设备、机具等</w:t>
            </w:r>
          </w:p>
        </w:tc>
        <w:tc>
          <w:tcPr>
            <w:tcW w:w="248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74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CM0</w:t>
            </w:r>
            <w:r>
              <w:rPr>
                <w:rFonts w:hint="eastAsia" w:ascii="仿宋" w:hAnsi="仿宋" w:eastAsia="仿宋" w:cs="宋体"/>
                <w:bCs/>
                <w:color w:val="auto"/>
                <w:kern w:val="2"/>
                <w:sz w:val="22"/>
                <w:szCs w:val="28"/>
                <w:highlight w:val="none"/>
              </w:rPr>
              <w:t>8</w:t>
            </w:r>
          </w:p>
        </w:tc>
        <w:tc>
          <w:tcPr>
            <w:tcW w:w="456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未持作业橾作证操作相关需要操作证机械设备</w:t>
            </w:r>
          </w:p>
        </w:tc>
        <w:tc>
          <w:tcPr>
            <w:tcW w:w="248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74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CM</w:t>
            </w:r>
            <w:r>
              <w:rPr>
                <w:rFonts w:hint="eastAsia" w:ascii="仿宋" w:hAnsi="仿宋" w:eastAsia="仿宋" w:cs="宋体"/>
                <w:bCs/>
                <w:color w:val="auto"/>
                <w:kern w:val="2"/>
                <w:sz w:val="22"/>
                <w:szCs w:val="28"/>
                <w:highlight w:val="none"/>
              </w:rPr>
              <w:t>09</w:t>
            </w:r>
          </w:p>
        </w:tc>
        <w:tc>
          <w:tcPr>
            <w:tcW w:w="456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设备未达电气防护要求</w:t>
            </w:r>
          </w:p>
        </w:tc>
        <w:tc>
          <w:tcPr>
            <w:tcW w:w="248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74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2"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CM</w:t>
            </w:r>
            <w:r>
              <w:rPr>
                <w:rFonts w:hint="eastAsia" w:ascii="仿宋" w:hAnsi="仿宋" w:eastAsia="仿宋" w:cs="宋体"/>
                <w:bCs/>
                <w:color w:val="auto"/>
                <w:kern w:val="2"/>
                <w:sz w:val="22"/>
                <w:szCs w:val="28"/>
                <w:highlight w:val="none"/>
              </w:rPr>
              <w:t>10</w:t>
            </w:r>
          </w:p>
        </w:tc>
        <w:tc>
          <w:tcPr>
            <w:tcW w:w="4562"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其他违反国家相关标准或项目管理规定的</w:t>
            </w:r>
          </w:p>
        </w:tc>
        <w:tc>
          <w:tcPr>
            <w:tcW w:w="2487"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500-50000</w:t>
            </w:r>
            <w:r>
              <w:rPr>
                <w:rFonts w:hint="eastAsia" w:ascii="仿宋" w:hAnsi="仿宋" w:eastAsia="仿宋" w:cs="宋体"/>
                <w:bCs/>
                <w:color w:val="auto"/>
                <w:kern w:val="2"/>
                <w:sz w:val="22"/>
                <w:szCs w:val="28"/>
                <w:highlight w:val="none"/>
              </w:rPr>
              <w:t>元</w:t>
            </w:r>
          </w:p>
        </w:tc>
        <w:tc>
          <w:tcPr>
            <w:tcW w:w="747"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bl>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4.7.8 </w:t>
      </w:r>
      <w:r>
        <w:rPr>
          <w:rFonts w:hint="eastAsia" w:ascii="仿宋" w:hAnsi="仿宋" w:eastAsia="仿宋" w:cs="宋体"/>
          <w:bCs/>
          <w:color w:val="auto"/>
          <w:kern w:val="2"/>
          <w:sz w:val="28"/>
          <w:szCs w:val="28"/>
          <w:highlight w:val="none"/>
        </w:rPr>
        <w:t>脚手架管理</w:t>
      </w:r>
    </w:p>
    <w:tbl>
      <w:tblPr>
        <w:tblStyle w:val="34"/>
        <w:tblW w:w="89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5185"/>
        <w:gridCol w:w="1871"/>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231"/>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序号</w:t>
            </w:r>
          </w:p>
        </w:tc>
        <w:tc>
          <w:tcPr>
            <w:tcW w:w="5185"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违章内容</w:t>
            </w:r>
          </w:p>
        </w:tc>
        <w:tc>
          <w:tcPr>
            <w:tcW w:w="1871"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罚款金额</w:t>
            </w:r>
          </w:p>
        </w:tc>
        <w:tc>
          <w:tcPr>
            <w:tcW w:w="738" w:type="dxa"/>
            <w:vAlign w:val="center"/>
          </w:tcPr>
          <w:p>
            <w:pPr>
              <w:widowControl w:val="0"/>
              <w:adjustRightInd/>
              <w:snapToGrid/>
              <w:spacing w:line="240" w:lineRule="auto"/>
              <w:jc w:val="both"/>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SC01</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各型制脚手架未编制施工方案</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SC02</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架体基础不符合方案要求</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SC03</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搭设前未进行安全技术交底和安全教育</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SC04</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搭设、拆除过程中无旁站监督人员</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SC05</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脚手板、防护栏杆不符合安全要求</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SC06</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未按方案设置拉结点或私自拆除拉结点</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SC07</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未按照方案要求设置剪刀撑、斜撑、斜杠等稳定支撑</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3000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SC08</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架体外侧未采用密目网封闭并绑扎严密的</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SC09</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作业层未按规范要求设置挡脚板</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SC10</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脚手架作业层脚手板下未按规范采用安全兜底</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SC11</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未按照方案和安全措施随意拆除脚手架拆除过程中随意抛扔钢管构件等</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SC12</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搭设拆除脚手架作业人员无可靠安全防护措施</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SC13</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未设置人员上下的专用通道</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SC14</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立杆、剪刀撑的接长不符合规范要求</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1000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SC15</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立杆的步距、间距不符合设计和规范要求</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widowControl w:val="0"/>
              <w:adjustRightInd/>
              <w:snapToGrid/>
              <w:spacing w:line="240" w:lineRule="auto"/>
              <w:ind w:firstLine="440"/>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SC16</w:t>
            </w:r>
          </w:p>
        </w:tc>
        <w:tc>
          <w:tcPr>
            <w:tcW w:w="518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扣件的紧固未达规范要求</w:t>
            </w:r>
          </w:p>
        </w:tc>
        <w:tc>
          <w:tcPr>
            <w:tcW w:w="1871"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bl>
    <w:p>
      <w:pPr>
        <w:widowControl w:val="0"/>
        <w:adjustRightInd/>
        <w:snapToGrid/>
        <w:spacing w:line="240" w:lineRule="auto"/>
        <w:ind w:firstLine="560" w:firstLineChars="200"/>
        <w:jc w:val="both"/>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4.7.9 </w:t>
      </w:r>
      <w:r>
        <w:rPr>
          <w:rFonts w:hint="eastAsia" w:ascii="仿宋" w:hAnsi="仿宋" w:eastAsia="仿宋" w:cs="宋体"/>
          <w:bCs/>
          <w:color w:val="auto"/>
          <w:kern w:val="2"/>
          <w:sz w:val="28"/>
          <w:szCs w:val="28"/>
          <w:highlight w:val="none"/>
        </w:rPr>
        <w:t>危险化学品管理</w:t>
      </w:r>
    </w:p>
    <w:tbl>
      <w:tblPr>
        <w:tblStyle w:val="34"/>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4875"/>
        <w:gridCol w:w="2436"/>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77" w:type="dxa"/>
            <w:vAlign w:val="center"/>
          </w:tcPr>
          <w:p>
            <w:pPr>
              <w:widowControl w:val="0"/>
              <w:adjustRightInd/>
              <w:snapToGrid/>
              <w:spacing w:line="240" w:lineRule="auto"/>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序号</w:t>
            </w:r>
          </w:p>
        </w:tc>
        <w:tc>
          <w:tcPr>
            <w:tcW w:w="4875"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违章内容</w:t>
            </w:r>
          </w:p>
        </w:tc>
        <w:tc>
          <w:tcPr>
            <w:tcW w:w="2436" w:type="dxa"/>
            <w:vAlign w:val="center"/>
          </w:tcPr>
          <w:p>
            <w:pPr>
              <w:widowControl w:val="0"/>
              <w:adjustRightInd/>
              <w:snapToGrid/>
              <w:spacing w:line="240" w:lineRule="auto"/>
              <w:ind w:firstLine="442"/>
              <w:jc w:val="center"/>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罚款金额</w:t>
            </w:r>
          </w:p>
        </w:tc>
        <w:tc>
          <w:tcPr>
            <w:tcW w:w="738" w:type="dxa"/>
            <w:vAlign w:val="center"/>
          </w:tcPr>
          <w:p>
            <w:pPr>
              <w:widowControl w:val="0"/>
              <w:adjustRightInd/>
              <w:snapToGrid/>
              <w:spacing w:line="240" w:lineRule="auto"/>
              <w:jc w:val="both"/>
              <w:rPr>
                <w:rFonts w:ascii="仿宋" w:hAnsi="仿宋" w:eastAsia="仿宋" w:cs="宋体"/>
                <w:b/>
                <w:bCs/>
                <w:color w:val="auto"/>
                <w:kern w:val="2"/>
                <w:sz w:val="22"/>
                <w:szCs w:val="28"/>
                <w:highlight w:val="none"/>
              </w:rPr>
            </w:pPr>
            <w:r>
              <w:rPr>
                <w:rFonts w:hint="eastAsia" w:ascii="仿宋" w:hAnsi="仿宋" w:eastAsia="仿宋" w:cs="宋体"/>
                <w:b/>
                <w:bCs/>
                <w:color w:val="auto"/>
                <w:kern w:val="2"/>
                <w:sz w:val="22"/>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7"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HC01</w:t>
            </w:r>
          </w:p>
        </w:tc>
        <w:tc>
          <w:tcPr>
            <w:tcW w:w="487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未按合法途径采购合格危化品</w:t>
            </w:r>
          </w:p>
        </w:tc>
        <w:tc>
          <w:tcPr>
            <w:tcW w:w="2436"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 xml:space="preserve"> 5000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7"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HC02</w:t>
            </w:r>
          </w:p>
        </w:tc>
        <w:tc>
          <w:tcPr>
            <w:tcW w:w="487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未按规范规定储存危险化学品</w:t>
            </w:r>
          </w:p>
        </w:tc>
        <w:tc>
          <w:tcPr>
            <w:tcW w:w="2436"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2000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7"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HC03</w:t>
            </w:r>
          </w:p>
        </w:tc>
        <w:tc>
          <w:tcPr>
            <w:tcW w:w="487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储存未设置相应警示、防范措施等</w:t>
            </w:r>
          </w:p>
        </w:tc>
        <w:tc>
          <w:tcPr>
            <w:tcW w:w="2436"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3000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7" w:type="dxa"/>
            <w:vAlign w:val="center"/>
          </w:tcPr>
          <w:p>
            <w:pPr>
              <w:widowControl w:val="0"/>
              <w:adjustRightInd/>
              <w:snapToGrid/>
              <w:spacing w:line="240" w:lineRule="auto"/>
              <w:jc w:val="center"/>
              <w:rPr>
                <w:rFonts w:ascii="仿宋" w:hAnsi="仿宋" w:eastAsia="仿宋" w:cs="宋体"/>
                <w:bCs/>
                <w:color w:val="auto"/>
                <w:kern w:val="2"/>
                <w:sz w:val="22"/>
                <w:szCs w:val="28"/>
                <w:highlight w:val="none"/>
              </w:rPr>
            </w:pPr>
            <w:r>
              <w:rPr>
                <w:rFonts w:ascii="仿宋" w:hAnsi="仿宋" w:eastAsia="仿宋" w:cs="宋体"/>
                <w:bCs/>
                <w:color w:val="auto"/>
                <w:kern w:val="2"/>
                <w:sz w:val="22"/>
                <w:szCs w:val="28"/>
                <w:highlight w:val="none"/>
              </w:rPr>
              <w:t>HC04</w:t>
            </w:r>
          </w:p>
        </w:tc>
        <w:tc>
          <w:tcPr>
            <w:tcW w:w="4875"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其他违反国家相关标准和项目管理规定</w:t>
            </w:r>
          </w:p>
        </w:tc>
        <w:tc>
          <w:tcPr>
            <w:tcW w:w="2436" w:type="dxa"/>
            <w:vAlign w:val="center"/>
          </w:tcPr>
          <w:p>
            <w:pPr>
              <w:widowControl w:val="0"/>
              <w:adjustRightInd/>
              <w:snapToGrid/>
              <w:spacing w:line="240" w:lineRule="auto"/>
              <w:jc w:val="both"/>
              <w:rPr>
                <w:rFonts w:ascii="仿宋" w:hAnsi="仿宋" w:eastAsia="仿宋" w:cs="宋体"/>
                <w:bCs/>
                <w:color w:val="auto"/>
                <w:kern w:val="2"/>
                <w:sz w:val="22"/>
                <w:szCs w:val="28"/>
                <w:highlight w:val="none"/>
              </w:rPr>
            </w:pPr>
            <w:r>
              <w:rPr>
                <w:rFonts w:hint="eastAsia" w:ascii="仿宋" w:hAnsi="仿宋" w:eastAsia="仿宋" w:cs="宋体"/>
                <w:bCs/>
                <w:color w:val="auto"/>
                <w:kern w:val="2"/>
                <w:sz w:val="22"/>
                <w:szCs w:val="28"/>
                <w:highlight w:val="none"/>
              </w:rPr>
              <w:t>每处每次</w:t>
            </w:r>
            <w:r>
              <w:rPr>
                <w:rFonts w:ascii="仿宋" w:hAnsi="仿宋" w:eastAsia="仿宋" w:cs="宋体"/>
                <w:bCs/>
                <w:color w:val="auto"/>
                <w:kern w:val="2"/>
                <w:sz w:val="22"/>
                <w:szCs w:val="28"/>
                <w:highlight w:val="none"/>
              </w:rPr>
              <w:t>500-50000</w:t>
            </w:r>
            <w:r>
              <w:rPr>
                <w:rFonts w:hint="eastAsia" w:ascii="仿宋" w:hAnsi="仿宋" w:eastAsia="仿宋" w:cs="宋体"/>
                <w:bCs/>
                <w:color w:val="auto"/>
                <w:kern w:val="2"/>
                <w:sz w:val="22"/>
                <w:szCs w:val="28"/>
                <w:highlight w:val="none"/>
              </w:rPr>
              <w:t>元</w:t>
            </w:r>
          </w:p>
        </w:tc>
        <w:tc>
          <w:tcPr>
            <w:tcW w:w="738" w:type="dxa"/>
            <w:vAlign w:val="center"/>
          </w:tcPr>
          <w:p>
            <w:pPr>
              <w:widowControl w:val="0"/>
              <w:adjustRightInd/>
              <w:snapToGrid/>
              <w:spacing w:line="240" w:lineRule="auto"/>
              <w:ind w:firstLine="440"/>
              <w:jc w:val="both"/>
              <w:rPr>
                <w:rFonts w:ascii="仿宋" w:hAnsi="仿宋" w:eastAsia="仿宋" w:cs="宋体"/>
                <w:bCs/>
                <w:color w:val="auto"/>
                <w:kern w:val="2"/>
                <w:sz w:val="22"/>
                <w:szCs w:val="28"/>
                <w:highlight w:val="none"/>
              </w:rPr>
            </w:pPr>
          </w:p>
        </w:tc>
      </w:tr>
    </w:tbl>
    <w:p>
      <w:pPr>
        <w:widowControl w:val="0"/>
        <w:overflowPunct w:val="0"/>
        <w:autoSpaceDE w:val="0"/>
        <w:autoSpaceDN w:val="0"/>
        <w:snapToGrid/>
        <w:jc w:val="both"/>
        <w:textAlignment w:val="baseline"/>
        <w:outlineLvl w:val="2"/>
        <w:rPr>
          <w:rFonts w:ascii="仿宋" w:hAnsi="仿宋" w:eastAsia="仿宋" w:cs="宋体"/>
          <w:b/>
          <w:color w:val="auto"/>
          <w:kern w:val="2"/>
          <w:sz w:val="28"/>
          <w:szCs w:val="28"/>
          <w:highlight w:val="none"/>
        </w:rPr>
      </w:pPr>
      <w:r>
        <w:rPr>
          <w:rFonts w:ascii="仿宋" w:hAnsi="仿宋" w:eastAsia="仿宋" w:cs="宋体"/>
          <w:b/>
          <w:color w:val="auto"/>
          <w:kern w:val="2"/>
          <w:sz w:val="28"/>
          <w:szCs w:val="28"/>
          <w:highlight w:val="none"/>
        </w:rPr>
        <w:t xml:space="preserve">5. </w:t>
      </w:r>
      <w:r>
        <w:rPr>
          <w:rFonts w:hint="eastAsia" w:ascii="仿宋" w:hAnsi="仿宋" w:eastAsia="仿宋" w:cs="宋体"/>
          <w:b/>
          <w:color w:val="auto"/>
          <w:kern w:val="2"/>
          <w:sz w:val="28"/>
          <w:szCs w:val="28"/>
          <w:highlight w:val="none"/>
        </w:rPr>
        <w:t>重要说明</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5.1 </w:t>
      </w:r>
      <w:r>
        <w:rPr>
          <w:rFonts w:hint="eastAsia" w:ascii="仿宋" w:hAnsi="仿宋" w:eastAsia="仿宋" w:cs="宋体"/>
          <w:bCs/>
          <w:color w:val="auto"/>
          <w:kern w:val="2"/>
          <w:sz w:val="28"/>
          <w:szCs w:val="28"/>
          <w:highlight w:val="none"/>
        </w:rPr>
        <w:t>以上罚款均为人民币；</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5.2</w:t>
      </w:r>
      <w:r>
        <w:rPr>
          <w:rFonts w:hint="eastAsia" w:ascii="仿宋" w:hAnsi="仿宋" w:eastAsia="仿宋" w:cs="宋体"/>
          <w:bCs/>
          <w:color w:val="auto"/>
          <w:kern w:val="2"/>
          <w:sz w:val="28"/>
          <w:szCs w:val="28"/>
          <w:highlight w:val="none"/>
        </w:rPr>
        <w:t xml:space="preserve"> 收到罚款单之日起</w:t>
      </w:r>
      <w:r>
        <w:rPr>
          <w:rFonts w:ascii="仿宋" w:hAnsi="仿宋" w:eastAsia="仿宋" w:cs="宋体"/>
          <w:bCs/>
          <w:color w:val="auto"/>
          <w:kern w:val="2"/>
          <w:sz w:val="28"/>
          <w:szCs w:val="28"/>
          <w:highlight w:val="none"/>
        </w:rPr>
        <w:t>5</w:t>
      </w:r>
      <w:r>
        <w:rPr>
          <w:rFonts w:hint="eastAsia" w:ascii="仿宋" w:hAnsi="仿宋" w:eastAsia="仿宋" w:cs="宋体"/>
          <w:bCs/>
          <w:color w:val="auto"/>
          <w:kern w:val="2"/>
          <w:sz w:val="28"/>
          <w:szCs w:val="28"/>
          <w:highlight w:val="none"/>
        </w:rPr>
        <w:t>个工作内上交罚款；</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5.3 </w:t>
      </w:r>
      <w:r>
        <w:rPr>
          <w:rFonts w:hint="eastAsia" w:ascii="仿宋" w:hAnsi="仿宋" w:eastAsia="仿宋" w:cs="宋体"/>
          <w:bCs/>
          <w:color w:val="auto"/>
          <w:kern w:val="2"/>
          <w:sz w:val="28"/>
          <w:szCs w:val="28"/>
          <w:highlight w:val="none"/>
        </w:rPr>
        <w:t>拒不缴纳罚款的，按应</w:t>
      </w:r>
      <w:r>
        <w:rPr>
          <w:rFonts w:ascii="仿宋" w:hAnsi="仿宋" w:eastAsia="仿宋" w:cs="宋体"/>
          <w:bCs/>
          <w:color w:val="auto"/>
          <w:kern w:val="2"/>
          <w:sz w:val="28"/>
          <w:szCs w:val="28"/>
          <w:highlight w:val="none"/>
        </w:rPr>
        <w:t>罚款</w:t>
      </w:r>
      <w:r>
        <w:rPr>
          <w:rFonts w:hint="eastAsia" w:ascii="仿宋" w:hAnsi="仿宋" w:eastAsia="仿宋" w:cs="宋体"/>
          <w:bCs/>
          <w:color w:val="auto"/>
          <w:kern w:val="2"/>
          <w:sz w:val="28"/>
          <w:szCs w:val="28"/>
          <w:highlight w:val="none"/>
        </w:rPr>
        <w:t>金额的</w:t>
      </w:r>
      <w:r>
        <w:rPr>
          <w:rFonts w:ascii="仿宋" w:hAnsi="仿宋" w:eastAsia="仿宋" w:cs="宋体"/>
          <w:bCs/>
          <w:color w:val="auto"/>
          <w:kern w:val="2"/>
          <w:sz w:val="28"/>
          <w:szCs w:val="28"/>
          <w:highlight w:val="none"/>
        </w:rPr>
        <w:t>10</w:t>
      </w:r>
      <w:r>
        <w:rPr>
          <w:rFonts w:hint="eastAsia" w:ascii="仿宋" w:hAnsi="仿宋" w:eastAsia="仿宋" w:cs="宋体"/>
          <w:bCs/>
          <w:color w:val="auto"/>
          <w:kern w:val="2"/>
          <w:sz w:val="28"/>
          <w:szCs w:val="28"/>
          <w:highlight w:val="none"/>
        </w:rPr>
        <w:t>倍在工程款中直接扣除；</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5.4 </w:t>
      </w:r>
      <w:r>
        <w:rPr>
          <w:rFonts w:hint="eastAsia" w:ascii="仿宋" w:hAnsi="仿宋" w:eastAsia="仿宋" w:cs="宋体"/>
          <w:bCs/>
          <w:color w:val="auto"/>
          <w:kern w:val="2"/>
          <w:sz w:val="28"/>
          <w:szCs w:val="28"/>
          <w:highlight w:val="none"/>
        </w:rPr>
        <w:t>乙方对于分包单位的管理可参照本罚则，以约束其工作行为；</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5.5 </w:t>
      </w:r>
      <w:r>
        <w:rPr>
          <w:rFonts w:hint="eastAsia" w:ascii="仿宋" w:hAnsi="仿宋" w:eastAsia="仿宋" w:cs="宋体"/>
          <w:bCs/>
          <w:color w:val="auto"/>
          <w:kern w:val="2"/>
          <w:sz w:val="28"/>
          <w:szCs w:val="28"/>
          <w:highlight w:val="none"/>
        </w:rPr>
        <w:t>监理单位对乙方的安全处罚应按照本罚则执行，并将罚款缴纳入甲方指挥部统一管理</w:t>
      </w:r>
      <w:r>
        <w:rPr>
          <w:rFonts w:ascii="仿宋" w:hAnsi="仿宋" w:eastAsia="仿宋" w:cs="宋体"/>
          <w:bCs/>
          <w:color w:val="auto"/>
          <w:kern w:val="2"/>
          <w:sz w:val="28"/>
          <w:szCs w:val="28"/>
          <w:highlight w:val="none"/>
        </w:rPr>
        <w:t>;</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5.6 </w:t>
      </w:r>
      <w:r>
        <w:rPr>
          <w:rFonts w:hint="eastAsia" w:ascii="仿宋" w:hAnsi="仿宋" w:eastAsia="仿宋" w:cs="宋体"/>
          <w:bCs/>
          <w:color w:val="auto"/>
          <w:kern w:val="2"/>
          <w:sz w:val="28"/>
          <w:szCs w:val="28"/>
          <w:highlight w:val="none"/>
        </w:rPr>
        <w:t>以上处罚标准按发现情况单次计算，不同违章违规行为累加处罚。</w:t>
      </w:r>
    </w:p>
    <w:p>
      <w:pPr>
        <w:widowControl w:val="0"/>
        <w:overflowPunct w:val="0"/>
        <w:autoSpaceDE w:val="0"/>
        <w:autoSpaceDN w:val="0"/>
        <w:snapToGrid/>
        <w:spacing w:line="240" w:lineRule="auto"/>
        <w:ind w:firstLine="560" w:firstLineChars="200"/>
        <w:jc w:val="both"/>
        <w:textAlignment w:val="baseline"/>
        <w:rPr>
          <w:rFonts w:ascii="仿宋" w:hAnsi="仿宋" w:eastAsia="仿宋" w:cs="宋体"/>
          <w:bCs/>
          <w:color w:val="auto"/>
          <w:kern w:val="2"/>
          <w:sz w:val="28"/>
          <w:szCs w:val="28"/>
          <w:highlight w:val="none"/>
        </w:rPr>
      </w:pPr>
      <w:r>
        <w:rPr>
          <w:rFonts w:ascii="仿宋" w:hAnsi="仿宋" w:eastAsia="仿宋" w:cs="宋体"/>
          <w:bCs/>
          <w:color w:val="auto"/>
          <w:kern w:val="2"/>
          <w:sz w:val="28"/>
          <w:szCs w:val="28"/>
          <w:highlight w:val="none"/>
        </w:rPr>
        <w:t xml:space="preserve">5.7 </w:t>
      </w:r>
      <w:r>
        <w:rPr>
          <w:rFonts w:hint="eastAsia" w:ascii="仿宋" w:hAnsi="仿宋" w:eastAsia="仿宋" w:cs="宋体"/>
          <w:bCs/>
          <w:color w:val="auto"/>
          <w:kern w:val="2"/>
          <w:sz w:val="28"/>
          <w:szCs w:val="28"/>
          <w:highlight w:val="none"/>
        </w:rPr>
        <w:t>凡违章违规行为均要受到处罚，在限期内整改完毕，拖延整改，拒不整改，甲方工程项指挥部及监理公司均有权直接下停工令，并在原处罚的基础上加倍进行处罚，直至清出现场；对于文明施工管理问题，甲方工程指挥部、监理公司有权调动其它单位人员，雇佣他人去完成，所发生的费用，由乙方支付。</w:t>
      </w:r>
    </w:p>
    <w:p>
      <w:pPr>
        <w:widowControl w:val="0"/>
        <w:overflowPunct w:val="0"/>
        <w:autoSpaceDE w:val="0"/>
        <w:autoSpaceDN w:val="0"/>
        <w:snapToGrid/>
        <w:ind w:firstLine="560" w:firstLineChars="200"/>
        <w:jc w:val="both"/>
        <w:textAlignment w:val="baseline"/>
        <w:rPr>
          <w:rFonts w:ascii="仿宋" w:hAnsi="仿宋" w:eastAsia="仿宋" w:cs="宋体"/>
          <w:bCs/>
          <w:color w:val="auto"/>
          <w:kern w:val="2"/>
          <w:sz w:val="28"/>
          <w:szCs w:val="28"/>
          <w:highlight w:val="none"/>
        </w:rPr>
      </w:pPr>
      <w:r>
        <w:rPr>
          <w:rFonts w:hint="eastAsia" w:ascii="仿宋" w:hAnsi="仿宋" w:eastAsia="仿宋" w:cs="宋体"/>
          <w:bCs/>
          <w:color w:val="auto"/>
          <w:kern w:val="2"/>
          <w:sz w:val="28"/>
          <w:szCs w:val="28"/>
          <w:highlight w:val="none"/>
        </w:rPr>
        <w:t>5.8</w:t>
      </w:r>
      <w:r>
        <w:rPr>
          <w:rFonts w:ascii="仿宋" w:hAnsi="仿宋" w:eastAsia="仿宋" w:cs="宋体"/>
          <w:bCs/>
          <w:color w:val="auto"/>
          <w:kern w:val="2"/>
          <w:sz w:val="28"/>
          <w:szCs w:val="28"/>
          <w:highlight w:val="none"/>
        </w:rPr>
        <w:t xml:space="preserve"> </w:t>
      </w:r>
      <w:r>
        <w:rPr>
          <w:rFonts w:hint="eastAsia" w:ascii="仿宋" w:hAnsi="仿宋" w:eastAsia="仿宋" w:cs="宋体"/>
          <w:bCs/>
          <w:color w:val="auto"/>
          <w:kern w:val="2"/>
          <w:sz w:val="28"/>
          <w:szCs w:val="28"/>
          <w:highlight w:val="none"/>
        </w:rPr>
        <w:t>甲方保留</w:t>
      </w:r>
      <w:r>
        <w:rPr>
          <w:rFonts w:ascii="仿宋" w:hAnsi="仿宋" w:eastAsia="仿宋" w:cs="宋体"/>
          <w:bCs/>
          <w:color w:val="auto"/>
          <w:kern w:val="2"/>
          <w:sz w:val="28"/>
          <w:szCs w:val="28"/>
          <w:highlight w:val="none"/>
        </w:rPr>
        <w:t>对本细则的最终解释权。</w:t>
      </w:r>
    </w:p>
    <w:p>
      <w:pPr>
        <w:widowControl w:val="0"/>
        <w:tabs>
          <w:tab w:val="left" w:pos="3480"/>
        </w:tabs>
        <w:adjustRightInd/>
        <w:snapToGrid/>
        <w:spacing w:line="280" w:lineRule="exact"/>
        <w:jc w:val="both"/>
        <w:rPr>
          <w:rFonts w:ascii="仿宋" w:hAnsi="仿宋" w:eastAsia="仿宋" w:cs="Arial"/>
          <w:color w:val="auto"/>
          <w:kern w:val="2"/>
          <w:szCs w:val="24"/>
          <w:highlight w:val="none"/>
        </w:rPr>
      </w:pPr>
    </w:p>
    <w:p>
      <w:pPr>
        <w:tabs>
          <w:tab w:val="left" w:pos="3480"/>
        </w:tabs>
        <w:adjustRightInd/>
        <w:snapToGrid/>
        <w:spacing w:line="240" w:lineRule="auto"/>
        <w:rPr>
          <w:rFonts w:ascii="仿宋" w:hAnsi="仿宋" w:eastAsia="仿宋" w:cs="Arial"/>
          <w:color w:val="auto"/>
          <w:kern w:val="2"/>
          <w:szCs w:val="24"/>
          <w:highlight w:val="none"/>
        </w:rPr>
      </w:pPr>
    </w:p>
    <w:p>
      <w:pPr>
        <w:widowControl w:val="0"/>
        <w:overflowPunct w:val="0"/>
        <w:autoSpaceDE w:val="0"/>
        <w:autoSpaceDN w:val="0"/>
        <w:snapToGrid/>
        <w:spacing w:before="360" w:beforeLines="100" w:after="360" w:afterLines="100"/>
        <w:ind w:left="1260" w:leftChars="600" w:right="1260" w:rightChars="600"/>
        <w:jc w:val="center"/>
        <w:textAlignment w:val="baseline"/>
        <w:rPr>
          <w:rFonts w:ascii="仿宋" w:hAnsi="仿宋" w:eastAsia="仿宋" w:cs="宋体"/>
          <w:bCs/>
          <w:color w:val="auto"/>
          <w:kern w:val="44"/>
          <w:sz w:val="32"/>
          <w:szCs w:val="44"/>
          <w:highlight w:val="none"/>
        </w:rPr>
      </w:pPr>
      <w:r>
        <w:rPr>
          <w:rFonts w:ascii="仿宋" w:hAnsi="仿宋" w:eastAsia="仿宋" w:cs="宋体"/>
          <w:color w:val="auto"/>
          <w:sz w:val="28"/>
          <w:szCs w:val="28"/>
          <w:highlight w:val="non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-241935</wp:posOffset>
                </wp:positionV>
                <wp:extent cx="864235" cy="1850390"/>
                <wp:effectExtent l="0" t="0" r="12065" b="1651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864235" cy="487680"/>
                        </a:xfrm>
                        <a:prstGeom prst="rect">
                          <a:avLst/>
                        </a:prstGeom>
                        <a:solidFill>
                          <a:srgbClr val="FFFFFF"/>
                        </a:solidFill>
                        <a:ln>
                          <a:noFill/>
                        </a:ln>
                        <a:effectLst/>
                      </wps:spPr>
                      <wps:txbx>
                        <w:txbxContent>
                          <w:p>
                            <w:pPr>
                              <w:widowControl w:val="0"/>
                              <w:adjustRightInd/>
                              <w:snapToGrid/>
                              <w:spacing w:line="240" w:lineRule="auto"/>
                              <w:jc w:val="both"/>
                              <w:rPr>
                                <w:rFonts w:ascii="仿宋_GB2312" w:hAnsi="Calibri" w:eastAsia="仿宋_GB2312" w:cs="Times New Roman"/>
                                <w:kern w:val="2"/>
                                <w:sz w:val="28"/>
                                <w:szCs w:val="24"/>
                              </w:rPr>
                            </w:pPr>
                            <w:r>
                              <w:rPr>
                                <w:rFonts w:hint="eastAsia" w:ascii="仿宋_GB2312" w:hAnsi="Calibri" w:eastAsia="仿宋_GB2312" w:cs="Times New Roman"/>
                                <w:kern w:val="2"/>
                                <w:sz w:val="28"/>
                                <w:szCs w:val="24"/>
                              </w:rPr>
                              <w:t>附件2：</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0pt;margin-top:-19.05pt;height:145.7pt;width:68.05pt;z-index:251661312;mso-width-relative:page;mso-height-relative:margin;mso-height-percent:200;" fillcolor="#FFFFFF" filled="t" stroked="f" coordsize="21600,21600" o:gfxdata="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fLCE9cAAAAIAQAADwAAAAAA&#10;AAABACAAAAAiAAAAZHJzL2Rvd25yZXYueG1sUEsBAhQAFAAAAAgAh07iQPGH2UMUAgAA/wMAAA4A&#10;AAAAAAAAAQAgAAAAJgEAAGRycy9lMm9Eb2MueG1sUEsFBgAAAAAGAAYAWQEAAKwFAAAAAA==&#10;">
                <v:fill on="t" focussize="0,0"/>
                <v:stroke on="f"/>
                <v:imagedata o:title=""/>
                <o:lock v:ext="edit" aspectratio="f"/>
                <v:textbox style="mso-fit-shape-to-text:t;">
                  <w:txbxContent>
                    <w:p>
                      <w:pPr>
                        <w:widowControl w:val="0"/>
                        <w:adjustRightInd/>
                        <w:snapToGrid/>
                        <w:spacing w:line="240" w:lineRule="auto"/>
                        <w:jc w:val="both"/>
                        <w:rPr>
                          <w:rFonts w:ascii="仿宋_GB2312" w:hAnsi="Calibri" w:eastAsia="仿宋_GB2312" w:cs="Times New Roman"/>
                          <w:kern w:val="2"/>
                          <w:sz w:val="28"/>
                          <w:szCs w:val="24"/>
                        </w:rPr>
                      </w:pPr>
                      <w:r>
                        <w:rPr>
                          <w:rFonts w:hint="eastAsia" w:ascii="仿宋_GB2312" w:hAnsi="Calibri" w:eastAsia="仿宋_GB2312" w:cs="Times New Roman"/>
                          <w:kern w:val="2"/>
                          <w:sz w:val="28"/>
                          <w:szCs w:val="24"/>
                        </w:rPr>
                        <w:t>附件2：</w:t>
                      </w:r>
                    </w:p>
                  </w:txbxContent>
                </v:textbox>
              </v:shape>
            </w:pict>
          </mc:Fallback>
        </mc:AlternateContent>
      </w:r>
      <w:r>
        <w:rPr>
          <w:rFonts w:hint="eastAsia" w:ascii="仿宋" w:hAnsi="仿宋" w:eastAsia="仿宋" w:cs="宋体"/>
          <w:bCs/>
          <w:color w:val="auto"/>
          <w:kern w:val="44"/>
          <w:sz w:val="32"/>
          <w:szCs w:val="44"/>
          <w:highlight w:val="none"/>
        </w:rPr>
        <w:t>事故处罚实施细则</w:t>
      </w:r>
    </w:p>
    <w:p>
      <w:pPr>
        <w:widowControl w:val="0"/>
        <w:adjustRightInd/>
        <w:snapToGrid/>
        <w:jc w:val="both"/>
        <w:outlineLvl w:val="2"/>
        <w:rPr>
          <w:rFonts w:ascii="仿宋" w:hAnsi="仿宋" w:eastAsia="仿宋" w:cs="宋体"/>
          <w:b/>
          <w:color w:val="auto"/>
          <w:kern w:val="2"/>
          <w:sz w:val="28"/>
          <w:szCs w:val="28"/>
          <w:highlight w:val="none"/>
        </w:rPr>
      </w:pPr>
      <w:r>
        <w:rPr>
          <w:rFonts w:hint="eastAsia" w:ascii="仿宋" w:hAnsi="仿宋" w:eastAsia="仿宋" w:cs="宋体"/>
          <w:b/>
          <w:color w:val="auto"/>
          <w:kern w:val="2"/>
          <w:sz w:val="28"/>
          <w:szCs w:val="28"/>
          <w:highlight w:val="none"/>
        </w:rPr>
        <w:t>1. 范围</w:t>
      </w:r>
    </w:p>
    <w:p>
      <w:pPr>
        <w:widowControl w:val="0"/>
        <w:autoSpaceDE w:val="0"/>
        <w:autoSpaceDN w:val="0"/>
        <w:snapToGrid/>
        <w:ind w:firstLine="560" w:firstLineChars="200"/>
        <w:jc w:val="both"/>
        <w:rPr>
          <w:rFonts w:ascii="仿宋" w:hAnsi="仿宋" w:eastAsia="仿宋" w:cs="宋体"/>
          <w:color w:val="auto"/>
          <w:sz w:val="28"/>
          <w:szCs w:val="28"/>
          <w:highlight w:val="none"/>
        </w:rPr>
      </w:pPr>
      <w:r>
        <w:rPr>
          <w:rFonts w:hint="eastAsia" w:ascii="仿宋" w:hAnsi="仿宋" w:eastAsia="仿宋" w:cs="宋体"/>
          <w:color w:val="auto"/>
          <w:sz w:val="28"/>
          <w:szCs w:val="28"/>
          <w:highlight w:val="none"/>
        </w:rPr>
        <w:t>1.1</w:t>
      </w:r>
      <w:r>
        <w:rPr>
          <w:rFonts w:ascii="仿宋" w:hAnsi="仿宋" w:eastAsia="仿宋" w:cs="宋体"/>
          <w:color w:val="auto"/>
          <w:sz w:val="28"/>
          <w:szCs w:val="28"/>
          <w:highlight w:val="none"/>
        </w:rPr>
        <w:t xml:space="preserve"> </w:t>
      </w:r>
      <w:r>
        <w:rPr>
          <w:rFonts w:hint="eastAsia" w:ascii="仿宋" w:hAnsi="仿宋" w:eastAsia="仿宋" w:cs="宋体"/>
          <w:color w:val="auto"/>
          <w:sz w:val="28"/>
          <w:szCs w:val="28"/>
          <w:highlight w:val="none"/>
        </w:rPr>
        <w:t>本细则明确了甲方所有工程项目各类事故管理标准、管理内容、要求与方法。</w:t>
      </w:r>
    </w:p>
    <w:p>
      <w:pPr>
        <w:widowControl w:val="0"/>
        <w:autoSpaceDE w:val="0"/>
        <w:autoSpaceDN w:val="0"/>
        <w:snapToGrid/>
        <w:ind w:firstLine="560" w:firstLineChars="200"/>
        <w:jc w:val="both"/>
        <w:rPr>
          <w:rFonts w:ascii="仿宋" w:hAnsi="仿宋" w:eastAsia="仿宋" w:cs="宋体"/>
          <w:color w:val="auto"/>
          <w:sz w:val="28"/>
          <w:szCs w:val="28"/>
          <w:highlight w:val="none"/>
        </w:rPr>
      </w:pPr>
      <w:r>
        <w:rPr>
          <w:rFonts w:hint="eastAsia" w:ascii="仿宋" w:hAnsi="仿宋" w:eastAsia="仿宋" w:cs="宋体"/>
          <w:color w:val="auto"/>
          <w:sz w:val="28"/>
          <w:szCs w:val="28"/>
          <w:highlight w:val="none"/>
        </w:rPr>
        <w:t>1.2</w:t>
      </w:r>
      <w:r>
        <w:rPr>
          <w:rFonts w:ascii="仿宋" w:hAnsi="仿宋" w:eastAsia="仿宋" w:cs="宋体"/>
          <w:color w:val="auto"/>
          <w:sz w:val="28"/>
          <w:szCs w:val="28"/>
          <w:highlight w:val="none"/>
        </w:rPr>
        <w:t xml:space="preserve"> </w:t>
      </w:r>
      <w:r>
        <w:rPr>
          <w:rFonts w:hint="eastAsia" w:ascii="仿宋" w:hAnsi="仿宋" w:eastAsia="仿宋" w:cs="宋体"/>
          <w:color w:val="auto"/>
          <w:sz w:val="28"/>
          <w:szCs w:val="28"/>
          <w:highlight w:val="none"/>
        </w:rPr>
        <w:t>本规定适用于甲方所有标段的工程项目。</w:t>
      </w:r>
    </w:p>
    <w:p>
      <w:pPr>
        <w:widowControl w:val="0"/>
        <w:adjustRightInd/>
        <w:snapToGrid/>
        <w:jc w:val="both"/>
        <w:outlineLvl w:val="2"/>
        <w:rPr>
          <w:rFonts w:ascii="仿宋" w:hAnsi="仿宋" w:eastAsia="仿宋" w:cs="宋体"/>
          <w:b/>
          <w:color w:val="auto"/>
          <w:kern w:val="2"/>
          <w:sz w:val="28"/>
          <w:szCs w:val="28"/>
          <w:highlight w:val="none"/>
        </w:rPr>
      </w:pPr>
      <w:r>
        <w:rPr>
          <w:rFonts w:hint="eastAsia" w:ascii="仿宋" w:hAnsi="仿宋" w:eastAsia="仿宋" w:cs="宋体"/>
          <w:b/>
          <w:color w:val="auto"/>
          <w:kern w:val="2"/>
          <w:sz w:val="28"/>
          <w:szCs w:val="28"/>
          <w:highlight w:val="none"/>
        </w:rPr>
        <w:t>2.</w:t>
      </w:r>
      <w:r>
        <w:rPr>
          <w:rFonts w:ascii="仿宋" w:hAnsi="仿宋" w:eastAsia="仿宋" w:cs="宋体"/>
          <w:b/>
          <w:color w:val="auto"/>
          <w:kern w:val="2"/>
          <w:sz w:val="28"/>
          <w:szCs w:val="28"/>
          <w:highlight w:val="none"/>
        </w:rPr>
        <w:t xml:space="preserve"> </w:t>
      </w:r>
      <w:r>
        <w:rPr>
          <w:rFonts w:hint="eastAsia" w:ascii="仿宋" w:hAnsi="仿宋" w:eastAsia="仿宋" w:cs="宋体"/>
          <w:b/>
          <w:color w:val="auto"/>
          <w:kern w:val="2"/>
          <w:sz w:val="28"/>
          <w:szCs w:val="28"/>
          <w:highlight w:val="none"/>
        </w:rPr>
        <w:t>职责</w:t>
      </w:r>
    </w:p>
    <w:p>
      <w:pPr>
        <w:widowControl w:val="0"/>
        <w:autoSpaceDE w:val="0"/>
        <w:autoSpaceDN w:val="0"/>
        <w:snapToGrid/>
        <w:ind w:firstLine="560" w:firstLineChars="200"/>
        <w:jc w:val="both"/>
        <w:rPr>
          <w:rFonts w:ascii="仿宋" w:hAnsi="仿宋" w:eastAsia="仿宋" w:cs="宋体"/>
          <w:color w:val="auto"/>
          <w:sz w:val="28"/>
          <w:szCs w:val="28"/>
          <w:highlight w:val="none"/>
        </w:rPr>
      </w:pPr>
      <w:r>
        <w:rPr>
          <w:rFonts w:hint="eastAsia" w:ascii="仿宋" w:hAnsi="仿宋" w:eastAsia="仿宋" w:cs="宋体"/>
          <w:color w:val="auto"/>
          <w:sz w:val="28"/>
          <w:szCs w:val="28"/>
          <w:highlight w:val="none"/>
        </w:rPr>
        <w:t>2.1</w:t>
      </w:r>
      <w:r>
        <w:rPr>
          <w:rFonts w:ascii="仿宋" w:hAnsi="仿宋" w:eastAsia="仿宋" w:cs="宋体"/>
          <w:color w:val="auto"/>
          <w:sz w:val="28"/>
          <w:szCs w:val="28"/>
          <w:highlight w:val="none"/>
        </w:rPr>
        <w:t xml:space="preserve"> </w:t>
      </w:r>
      <w:r>
        <w:rPr>
          <w:rFonts w:hint="eastAsia" w:ascii="仿宋" w:hAnsi="仿宋" w:eastAsia="仿宋" w:cs="宋体"/>
          <w:color w:val="auto"/>
          <w:sz w:val="28"/>
          <w:szCs w:val="28"/>
          <w:highlight w:val="none"/>
        </w:rPr>
        <w:t>甲方工程相关部门、监理单位有关人员对事故单位按本细则标准执行处罚。处罚</w:t>
      </w:r>
      <w:r>
        <w:rPr>
          <w:rFonts w:ascii="仿宋" w:hAnsi="仿宋" w:eastAsia="仿宋" w:cs="宋体"/>
          <w:color w:val="auto"/>
          <w:sz w:val="28"/>
          <w:szCs w:val="28"/>
          <w:highlight w:val="none"/>
        </w:rPr>
        <w:t>对</w:t>
      </w:r>
      <w:r>
        <w:rPr>
          <w:rFonts w:hint="eastAsia" w:ascii="仿宋" w:hAnsi="仿宋" w:eastAsia="仿宋" w:cs="宋体"/>
          <w:color w:val="auto"/>
          <w:sz w:val="28"/>
          <w:szCs w:val="28"/>
          <w:highlight w:val="none"/>
        </w:rPr>
        <w:t>象</w:t>
      </w:r>
      <w:r>
        <w:rPr>
          <w:rFonts w:ascii="仿宋" w:hAnsi="仿宋" w:eastAsia="仿宋" w:cs="宋体"/>
          <w:color w:val="auto"/>
          <w:sz w:val="28"/>
          <w:szCs w:val="28"/>
          <w:highlight w:val="none"/>
        </w:rPr>
        <w:t>为乙方。</w:t>
      </w:r>
    </w:p>
    <w:p>
      <w:pPr>
        <w:widowControl w:val="0"/>
        <w:adjustRightInd/>
        <w:snapToGrid/>
        <w:jc w:val="both"/>
        <w:outlineLvl w:val="2"/>
        <w:rPr>
          <w:rFonts w:ascii="仿宋" w:hAnsi="仿宋" w:eastAsia="仿宋" w:cs="宋体"/>
          <w:b/>
          <w:color w:val="auto"/>
          <w:kern w:val="2"/>
          <w:sz w:val="28"/>
          <w:szCs w:val="28"/>
          <w:highlight w:val="none"/>
        </w:rPr>
      </w:pPr>
      <w:r>
        <w:rPr>
          <w:rFonts w:hint="eastAsia" w:ascii="仿宋" w:hAnsi="仿宋" w:eastAsia="仿宋" w:cs="宋体"/>
          <w:b/>
          <w:color w:val="auto"/>
          <w:kern w:val="2"/>
          <w:sz w:val="28"/>
          <w:szCs w:val="28"/>
          <w:highlight w:val="none"/>
        </w:rPr>
        <w:t>3.</w:t>
      </w:r>
      <w:r>
        <w:rPr>
          <w:rFonts w:ascii="仿宋" w:hAnsi="仿宋" w:eastAsia="仿宋" w:cs="宋体"/>
          <w:b/>
          <w:color w:val="auto"/>
          <w:kern w:val="2"/>
          <w:sz w:val="28"/>
          <w:szCs w:val="28"/>
          <w:highlight w:val="none"/>
        </w:rPr>
        <w:t xml:space="preserve"> </w:t>
      </w:r>
      <w:r>
        <w:rPr>
          <w:rFonts w:hint="eastAsia" w:ascii="仿宋" w:hAnsi="仿宋" w:eastAsia="仿宋" w:cs="宋体"/>
          <w:b/>
          <w:color w:val="auto"/>
          <w:kern w:val="2"/>
          <w:sz w:val="28"/>
          <w:szCs w:val="28"/>
          <w:highlight w:val="none"/>
        </w:rPr>
        <w:t>内容</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3.1 未遂事故（有险情，但未造成人员伤害、设备损害，含重物高处坠物。）</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每次罚乙方三千元，通报批评。</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3.2</w:t>
      </w:r>
      <w:r>
        <w:rPr>
          <w:rFonts w:ascii="仿宋" w:hAnsi="仿宋" w:eastAsia="仿宋" w:cs="Times New Roman"/>
          <w:bCs/>
          <w:color w:val="auto"/>
          <w:kern w:val="2"/>
          <w:sz w:val="28"/>
          <w:szCs w:val="28"/>
          <w:highlight w:val="none"/>
        </w:rPr>
        <w:t xml:space="preserve"> </w:t>
      </w:r>
      <w:r>
        <w:rPr>
          <w:rFonts w:hint="eastAsia" w:ascii="仿宋" w:hAnsi="仿宋" w:eastAsia="仿宋" w:cs="Times New Roman"/>
          <w:bCs/>
          <w:color w:val="auto"/>
          <w:kern w:val="2"/>
          <w:sz w:val="28"/>
          <w:szCs w:val="28"/>
          <w:highlight w:val="none"/>
        </w:rPr>
        <w:t>记录事故（人员轻微伤害不构成轻伤，设备未造成永久性损坏，可以修复。）</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每次罚乙方五千元，通报批评。</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3.3</w:t>
      </w:r>
      <w:r>
        <w:rPr>
          <w:rFonts w:ascii="仿宋" w:hAnsi="仿宋" w:eastAsia="仿宋" w:cs="Times New Roman"/>
          <w:bCs/>
          <w:color w:val="auto"/>
          <w:kern w:val="2"/>
          <w:sz w:val="28"/>
          <w:szCs w:val="28"/>
          <w:highlight w:val="none"/>
        </w:rPr>
        <w:t xml:space="preserve"> </w:t>
      </w:r>
      <w:r>
        <w:rPr>
          <w:rFonts w:hint="eastAsia" w:ascii="仿宋" w:hAnsi="仿宋" w:eastAsia="仿宋" w:cs="Times New Roman"/>
          <w:bCs/>
          <w:color w:val="auto"/>
          <w:kern w:val="2"/>
          <w:sz w:val="28"/>
          <w:szCs w:val="28"/>
          <w:highlight w:val="none"/>
        </w:rPr>
        <w:t>轻伤事故（国家有关规定鉴定）</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发生一人次轻伤事故，罚乙方一万元，通报批评。一次事故多人轻伤，按每人次五千元累计相加达三万元终止。</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3.3</w:t>
      </w:r>
      <w:r>
        <w:rPr>
          <w:rFonts w:ascii="仿宋" w:hAnsi="仿宋" w:eastAsia="仿宋" w:cs="Times New Roman"/>
          <w:bCs/>
          <w:color w:val="auto"/>
          <w:kern w:val="2"/>
          <w:sz w:val="28"/>
          <w:szCs w:val="28"/>
          <w:highlight w:val="none"/>
        </w:rPr>
        <w:t xml:space="preserve"> </w:t>
      </w:r>
      <w:r>
        <w:rPr>
          <w:rFonts w:hint="eastAsia" w:ascii="仿宋" w:hAnsi="仿宋" w:eastAsia="仿宋" w:cs="Times New Roman"/>
          <w:bCs/>
          <w:color w:val="auto"/>
          <w:kern w:val="2"/>
          <w:sz w:val="28"/>
          <w:szCs w:val="28"/>
          <w:highlight w:val="none"/>
        </w:rPr>
        <w:t>重伤事故</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发生一人次重伤事故，最低罚乙方三万元，通报批评。</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3.4</w:t>
      </w:r>
      <w:r>
        <w:rPr>
          <w:rFonts w:ascii="仿宋" w:hAnsi="仿宋" w:eastAsia="仿宋" w:cs="Times New Roman"/>
          <w:bCs/>
          <w:color w:val="auto"/>
          <w:kern w:val="2"/>
          <w:sz w:val="28"/>
          <w:szCs w:val="28"/>
          <w:highlight w:val="none"/>
        </w:rPr>
        <w:t xml:space="preserve"> </w:t>
      </w:r>
      <w:r>
        <w:rPr>
          <w:rFonts w:hint="eastAsia" w:ascii="仿宋" w:hAnsi="仿宋" w:eastAsia="仿宋" w:cs="Times New Roman"/>
          <w:bCs/>
          <w:color w:val="auto"/>
          <w:kern w:val="2"/>
          <w:sz w:val="28"/>
          <w:szCs w:val="28"/>
          <w:highlight w:val="none"/>
        </w:rPr>
        <w:t>死亡事故</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3.4.1</w:t>
      </w:r>
      <w:r>
        <w:rPr>
          <w:rFonts w:ascii="仿宋" w:hAnsi="仿宋" w:eastAsia="仿宋" w:cs="Times New Roman"/>
          <w:bCs/>
          <w:color w:val="auto"/>
          <w:kern w:val="2"/>
          <w:sz w:val="28"/>
          <w:szCs w:val="28"/>
          <w:highlight w:val="none"/>
        </w:rPr>
        <w:t xml:space="preserve"> </w:t>
      </w:r>
      <w:r>
        <w:rPr>
          <w:rFonts w:hint="eastAsia" w:ascii="仿宋" w:hAnsi="仿宋" w:eastAsia="仿宋" w:cs="Times New Roman"/>
          <w:bCs/>
          <w:color w:val="auto"/>
          <w:kern w:val="2"/>
          <w:sz w:val="28"/>
          <w:szCs w:val="28"/>
          <w:highlight w:val="none"/>
        </w:rPr>
        <w:t>发生一人次死亡事故罚乙方十万元，通报批评，停工整顿。</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3.5 机械设备人员重伤以上事故（按机械设备事故损失金额标准确认）最低罚款五万元，通报批评。</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3.6 火灾事故（按有关火灾损失金额标准确定）最低罚款五万元,通报批评。</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3.7人员重伤以上交通事故（以交通管理部门责任认定书为据）</w:t>
      </w:r>
    </w:p>
    <w:p>
      <w:pPr>
        <w:widowControl w:val="0"/>
        <w:overflowPunct w:val="0"/>
        <w:autoSpaceDE w:val="0"/>
        <w:autoSpaceDN w:val="0"/>
        <w:snapToGrid/>
        <w:ind w:firstLine="420" w:firstLineChars="15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最低罚款五万元，通报批评。</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3.8</w:t>
      </w:r>
      <w:r>
        <w:rPr>
          <w:rFonts w:ascii="仿宋" w:hAnsi="仿宋" w:eastAsia="仿宋" w:cs="Times New Roman"/>
          <w:bCs/>
          <w:color w:val="auto"/>
          <w:kern w:val="2"/>
          <w:sz w:val="28"/>
          <w:szCs w:val="28"/>
          <w:highlight w:val="none"/>
        </w:rPr>
        <w:t xml:space="preserve"> </w:t>
      </w:r>
      <w:r>
        <w:rPr>
          <w:rFonts w:hint="eastAsia" w:ascii="仿宋" w:hAnsi="仿宋" w:eastAsia="仿宋" w:cs="Times New Roman"/>
          <w:bCs/>
          <w:color w:val="auto"/>
          <w:kern w:val="2"/>
          <w:sz w:val="28"/>
          <w:szCs w:val="28"/>
          <w:highlight w:val="none"/>
        </w:rPr>
        <w:t>发生射线职业卫生伤害事故，大范围中暑、食物中毒、建筑物坍塌，受考核的环境污染事故。罚款五万元，上报政府机关，停工整顿，触犯刑律的由公安机关处置。</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3.9乙方轻伤负伤率超过3‰，处罚五万元。</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3.10 乙方故意瞒报、迟报、谎报发生的各类事故，处以发生事故类型罚款的2到5倍罚款，一切随之发生的法律责任由施工单位负责，并赔偿由此给甲方带来的一切损失。</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3.11 在政府、行业及相关行政管理、执法机构的检查中由于施工单位原因、过错所产生的一切法律、经济处罚皆由乙方负责，并赔偿由此带给甲方的损失。</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3.12乙方人员偷盗物品（物品本身加上附加价值计算）除赔偿该物品外，并处以物品价值的20%—50%。当事人移交公安机关处理。</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3.13乙方丢失、损坏本公司委托施工单位保管的物品，除赔偿该物品外并承担由此造成的直接损失。</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r>
        <w:rPr>
          <w:rFonts w:hint="eastAsia" w:ascii="仿宋" w:hAnsi="仿宋" w:eastAsia="仿宋" w:cs="Times New Roman"/>
          <w:bCs/>
          <w:color w:val="auto"/>
          <w:kern w:val="2"/>
          <w:sz w:val="28"/>
          <w:szCs w:val="28"/>
          <w:highlight w:val="none"/>
        </w:rPr>
        <w:t>3.14</w:t>
      </w:r>
      <w:r>
        <w:rPr>
          <w:rFonts w:ascii="仿宋" w:hAnsi="仿宋" w:eastAsia="仿宋" w:cs="Times New Roman"/>
          <w:bCs/>
          <w:color w:val="auto"/>
          <w:kern w:val="2"/>
          <w:sz w:val="28"/>
          <w:szCs w:val="28"/>
          <w:highlight w:val="none"/>
        </w:rPr>
        <w:t xml:space="preserve"> </w:t>
      </w:r>
      <w:r>
        <w:rPr>
          <w:rFonts w:hint="eastAsia" w:ascii="仿宋" w:hAnsi="仿宋" w:eastAsia="仿宋" w:cs="Times New Roman"/>
          <w:bCs/>
          <w:color w:val="auto"/>
          <w:kern w:val="2"/>
          <w:sz w:val="28"/>
          <w:szCs w:val="28"/>
          <w:highlight w:val="none"/>
        </w:rPr>
        <w:t>由乙方及其人员原因造成群体性事件的，罚款5万元每次，乙方负责赔偿所造成的损失，当事人移交公安机关处理，甲方保留继续追究责任的权利。</w:t>
      </w:r>
    </w:p>
    <w:p>
      <w:pPr>
        <w:widowControl w:val="0"/>
        <w:overflowPunct w:val="0"/>
        <w:autoSpaceDE w:val="0"/>
        <w:autoSpaceDN w:val="0"/>
        <w:snapToGrid/>
        <w:ind w:firstLine="560" w:firstLineChars="200"/>
        <w:jc w:val="both"/>
        <w:textAlignment w:val="baseline"/>
        <w:outlineLvl w:val="2"/>
        <w:rPr>
          <w:rFonts w:ascii="仿宋" w:hAnsi="仿宋" w:eastAsia="仿宋" w:cs="Times New Roman"/>
          <w:bCs/>
          <w:color w:val="auto"/>
          <w:kern w:val="2"/>
          <w:sz w:val="28"/>
          <w:szCs w:val="28"/>
          <w:highlight w:val="none"/>
        </w:rPr>
      </w:pPr>
      <w:r>
        <w:rPr>
          <w:rFonts w:ascii="仿宋" w:hAnsi="仿宋" w:eastAsia="仿宋" w:cs="Times New Roman"/>
          <w:bCs/>
          <w:color w:val="auto"/>
          <w:kern w:val="2"/>
          <w:sz w:val="28"/>
          <w:szCs w:val="28"/>
          <w:highlight w:val="none"/>
        </w:rPr>
        <w:t xml:space="preserve">4. </w:t>
      </w:r>
      <w:r>
        <w:rPr>
          <w:rFonts w:hint="eastAsia" w:ascii="仿宋" w:hAnsi="仿宋" w:eastAsia="仿宋" w:cs="Times New Roman"/>
          <w:bCs/>
          <w:color w:val="auto"/>
          <w:kern w:val="2"/>
          <w:sz w:val="28"/>
          <w:szCs w:val="28"/>
          <w:highlight w:val="none"/>
        </w:rPr>
        <w:t>甲方</w:t>
      </w:r>
      <w:r>
        <w:rPr>
          <w:rFonts w:ascii="仿宋" w:hAnsi="仿宋" w:eastAsia="仿宋" w:cs="Times New Roman"/>
          <w:bCs/>
          <w:color w:val="auto"/>
          <w:kern w:val="2"/>
          <w:sz w:val="28"/>
          <w:szCs w:val="28"/>
          <w:highlight w:val="none"/>
        </w:rPr>
        <w:t>保留对本细则的最终</w:t>
      </w:r>
      <w:r>
        <w:rPr>
          <w:rFonts w:hint="eastAsia" w:ascii="仿宋" w:hAnsi="仿宋" w:eastAsia="仿宋" w:cs="Times New Roman"/>
          <w:bCs/>
          <w:color w:val="auto"/>
          <w:kern w:val="2"/>
          <w:sz w:val="28"/>
          <w:szCs w:val="28"/>
          <w:highlight w:val="none"/>
        </w:rPr>
        <w:t>解释权。</w:t>
      </w:r>
    </w:p>
    <w:p>
      <w:pPr>
        <w:widowControl w:val="0"/>
        <w:overflowPunct w:val="0"/>
        <w:autoSpaceDE w:val="0"/>
        <w:autoSpaceDN w:val="0"/>
        <w:snapToGrid/>
        <w:ind w:firstLine="560" w:firstLineChars="200"/>
        <w:jc w:val="both"/>
        <w:textAlignment w:val="baseline"/>
        <w:rPr>
          <w:rFonts w:ascii="仿宋" w:hAnsi="仿宋" w:eastAsia="仿宋" w:cs="Times New Roman"/>
          <w:bCs/>
          <w:color w:val="auto"/>
          <w:kern w:val="2"/>
          <w:sz w:val="28"/>
          <w:szCs w:val="28"/>
          <w:highlight w:val="none"/>
        </w:rPr>
      </w:pPr>
    </w:p>
    <w:p>
      <w:pPr>
        <w:widowControl w:val="0"/>
        <w:jc w:val="both"/>
        <w:rPr>
          <w:rFonts w:ascii="Times" w:hAnsi="Times" w:cs="Times New Roman"/>
          <w:color w:val="auto"/>
          <w:kern w:val="2"/>
          <w:sz w:val="18"/>
          <w:szCs w:val="20"/>
          <w:highlight w:val="none"/>
        </w:rPr>
      </w:pPr>
    </w:p>
    <w:p>
      <w:pPr>
        <w:ind w:left="980"/>
        <w:rPr>
          <w:rFonts w:ascii="Times New Roman" w:hAnsi="Times New Roman" w:cs="Times New Roman"/>
          <w:color w:val="auto"/>
          <w:szCs w:val="20"/>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jc w:val="both"/>
        <w:rPr>
          <w:rFonts w:ascii="Calibri" w:hAnsi="Calibri" w:cs="Times New Roman"/>
          <w:color w:val="auto"/>
          <w:kern w:val="2"/>
          <w:szCs w:val="24"/>
          <w:highlight w:val="none"/>
        </w:rPr>
      </w:pPr>
    </w:p>
    <w:p>
      <w:pPr>
        <w:widowControl w:val="0"/>
        <w:adjustRightInd/>
        <w:snapToGrid/>
        <w:spacing w:line="480" w:lineRule="exact"/>
        <w:jc w:val="both"/>
        <w:outlineLvl w:val="1"/>
        <w:rPr>
          <w:rFonts w:ascii="宋体" w:hAnsi="宋体" w:cs="宋体"/>
          <w:b/>
          <w:color w:val="auto"/>
          <w:kern w:val="2"/>
          <w:sz w:val="24"/>
          <w:szCs w:val="24"/>
          <w:highlight w:val="none"/>
        </w:rPr>
      </w:pPr>
      <w:r>
        <w:rPr>
          <w:rFonts w:hint="eastAsia" w:ascii="宋体" w:hAnsi="宋体" w:cs="宋体"/>
          <w:b/>
          <w:color w:val="auto"/>
          <w:kern w:val="2"/>
          <w:sz w:val="24"/>
          <w:szCs w:val="24"/>
          <w:highlight w:val="none"/>
        </w:rPr>
        <w:t xml:space="preserve">附件2：                       </w:t>
      </w:r>
    </w:p>
    <w:p>
      <w:pPr>
        <w:widowControl w:val="0"/>
        <w:jc w:val="both"/>
        <w:rPr>
          <w:rFonts w:ascii="宋体" w:hAnsi="宋体" w:cs="宋体"/>
          <w:color w:val="auto"/>
          <w:kern w:val="2"/>
          <w:sz w:val="24"/>
          <w:szCs w:val="24"/>
          <w:highlight w:val="none"/>
        </w:rPr>
      </w:pPr>
    </w:p>
    <w:p>
      <w:pPr>
        <w:widowControl w:val="0"/>
        <w:adjustRightInd/>
        <w:snapToGrid/>
        <w:spacing w:line="480" w:lineRule="exact"/>
        <w:jc w:val="center"/>
        <w:outlineLvl w:val="1"/>
        <w:rPr>
          <w:rFonts w:ascii="Calibri" w:hAnsi="宋体" w:cs="宋体"/>
          <w:b/>
          <w:color w:val="auto"/>
          <w:kern w:val="2"/>
          <w:sz w:val="44"/>
          <w:szCs w:val="44"/>
          <w:highlight w:val="none"/>
        </w:rPr>
      </w:pPr>
      <w:r>
        <w:rPr>
          <w:rFonts w:hint="eastAsia" w:ascii="Calibri" w:hAnsi="宋体" w:cs="宋体"/>
          <w:b/>
          <w:color w:val="auto"/>
          <w:kern w:val="2"/>
          <w:sz w:val="44"/>
          <w:szCs w:val="44"/>
          <w:highlight w:val="none"/>
        </w:rPr>
        <w:t>阳光合作协议</w:t>
      </w:r>
    </w:p>
    <w:p>
      <w:pPr>
        <w:widowControl w:val="0"/>
        <w:adjustRightInd/>
        <w:snapToGrid/>
        <w:spacing w:line="480" w:lineRule="exact"/>
        <w:jc w:val="center"/>
        <w:rPr>
          <w:rFonts w:ascii="Calibri" w:hAnsi="宋体" w:cs="宋体"/>
          <w:b/>
          <w:color w:val="auto"/>
          <w:kern w:val="2"/>
          <w:sz w:val="28"/>
          <w:szCs w:val="28"/>
          <w:highlight w:val="none"/>
        </w:rPr>
      </w:pPr>
    </w:p>
    <w:p>
      <w:pPr>
        <w:widowControl w:val="0"/>
        <w:adjustRightInd/>
        <w:snapToGrid/>
        <w:spacing w:before="180" w:beforeLines="50" w:after="180" w:afterLines="50" w:line="480" w:lineRule="exact"/>
        <w:ind w:firstLine="420" w:firstLineChars="200"/>
        <w:contextualSpacing/>
        <w:jc w:val="both"/>
        <w:rPr>
          <w:rFonts w:ascii="Calibri" w:hAnsi="宋体" w:cs="宋体"/>
          <w:color w:val="auto"/>
          <w:kern w:val="2"/>
          <w:szCs w:val="21"/>
          <w:highlight w:val="none"/>
        </w:rPr>
      </w:pPr>
      <w:r>
        <w:rPr>
          <w:rFonts w:hint="eastAsia" w:ascii="Calibri" w:hAnsi="宋体" w:cs="宋体"/>
          <w:color w:val="auto"/>
          <w:kern w:val="2"/>
          <w:szCs w:val="21"/>
          <w:highlight w:val="none"/>
        </w:rPr>
        <w:t>甲方（采购人全称）：</w:t>
      </w:r>
      <w:r>
        <w:rPr>
          <w:rFonts w:hint="eastAsia" w:ascii="Calibri" w:hAnsi="宋体" w:cs="宋体"/>
          <w:color w:val="auto"/>
          <w:kern w:val="2"/>
          <w:szCs w:val="21"/>
          <w:highlight w:val="none"/>
          <w:u w:val="single"/>
        </w:rPr>
        <w:t xml:space="preserve">                                                     </w:t>
      </w:r>
    </w:p>
    <w:p>
      <w:pPr>
        <w:widowControl w:val="0"/>
        <w:spacing w:line="48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乙方（成交人全称）：</w:t>
      </w:r>
      <w:r>
        <w:rPr>
          <w:rFonts w:hint="eastAsia" w:ascii="宋体" w:hAnsi="宋体" w:cs="宋体"/>
          <w:color w:val="auto"/>
          <w:szCs w:val="21"/>
          <w:highlight w:val="none"/>
          <w:u w:val="single"/>
        </w:rPr>
        <w:t xml:space="preserve">                                          </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Calibri" w:hAnsi="宋体" w:cs="宋体"/>
          <w:color w:val="auto"/>
          <w:kern w:val="2"/>
          <w:szCs w:val="21"/>
          <w:highlight w:val="none"/>
        </w:rPr>
        <w:t xml:space="preserve">    甲乙双方于      年    月   日签署了       合同（以下简称原合同），</w:t>
      </w:r>
      <w:r>
        <w:rPr>
          <w:rFonts w:hint="eastAsia" w:ascii="宋体" w:hAnsi="宋体" w:cs="宋体"/>
          <w:color w:val="auto"/>
          <w:szCs w:val="21"/>
          <w:highlight w:val="none"/>
        </w:rPr>
        <w:t>为加强双方阳光合作，保证职员职业安全，甲乙双方经协商签订本协议并作为双方共同遵守的阳光合作行为准则。</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一、甲方责任</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1.甲方有责任向乙方介绍本单位有关采购管理通用原则和本协议的规定。</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2.甲方有责任对本单位相关人员进行阳光合作教育。</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4.甲方人员如违反阳光合作管理制度及本协议规定，甲方视情节轻重、影响大小给予行政及经济处罚。</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5．对于乙方举报甲方人员违反阳光合作规定的情况，甲方应及时进行调查，根据调查情况进行处理，并将调查结果向乙方反馈。</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6.接受举报的一方应为举报方保密，不得对举报方进行报复，对举报属实和严格遵守《阳光合作协议》的合作方，在同等条件下给予后续合作的优先权。</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二、乙方责任</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1.乙方应保证乙方人员了解甲方有关采购管理通用原则和及本协议的规定，并遵照执行。</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2.乙方不得以任何形式给予甲方人员回扣、赠送实物、现金、有价证券、礼券等有价物品或提供旅游等其他可能影响职务行为公正履行的活动（以下统称“财物”）。</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3.乙方有责任接受甲方对乙方在合作期间阳光合作管理执行情况的监督，并对甲方相关调查工作主动配合。</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4.乙方有义务就甲方人员任何形式的索取或收受财物行为及时向甲方（直接联系人为东莞实业投资控股集团有限公司法律合规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 xml:space="preserve">5．甲方接受乙方实名或匿名举报，保证为举报者的信息保密，常设举报部门及电话： </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举报受理部门：东莞实业投资控股集团有限公司法律合规部</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东实集团举报邮箱：dgsyxf@163.com</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东实集团举报电话：0769-28820703（周一至周五9:00-12:00和14:00-18:00）</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邮寄地址：东莞市东城区八一路1号机关二号大院9号楼，东莞实业投资控股集团有限公司法律合规部收，邮编523000。</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三、其他</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1.本协议是原合同的补充协议，与原合同有同等法律效力。</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2.本协议一式陆份，甲方执肆份，乙方执贰份,具有同等法律效力。</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3.本协议经双方签署后生效。</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 xml:space="preserve">甲方（盖章）：                      乙方（盖章）： </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法定代表人（授权代表）：</w:t>
      </w:r>
      <w:r>
        <w:rPr>
          <w:rFonts w:hint="eastAsia" w:ascii="宋体" w:hAnsi="宋体" w:cs="宋体"/>
          <w:color w:val="auto"/>
          <w:szCs w:val="21"/>
          <w:highlight w:val="none"/>
        </w:rPr>
        <w:tab/>
      </w:r>
      <w:r>
        <w:rPr>
          <w:rFonts w:hint="eastAsia" w:ascii="宋体" w:hAnsi="宋体" w:cs="宋体"/>
          <w:color w:val="auto"/>
          <w:szCs w:val="21"/>
          <w:highlight w:val="none"/>
        </w:rPr>
        <w:t xml:space="preserve">      法定代表人（授权代表）：</w:t>
      </w:r>
    </w:p>
    <w:p>
      <w:pPr>
        <w:adjustRightInd/>
        <w:snapToGrid/>
        <w:spacing w:before="180" w:beforeLines="50" w:after="180" w:afterLines="50" w:line="48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签约日期：   年   月   日</w:t>
      </w:r>
      <w:r>
        <w:rPr>
          <w:rFonts w:hint="eastAsia" w:ascii="宋体" w:hAnsi="宋体" w:cs="宋体"/>
          <w:color w:val="auto"/>
          <w:szCs w:val="21"/>
          <w:highlight w:val="none"/>
        </w:rPr>
        <w:tab/>
      </w:r>
      <w:r>
        <w:rPr>
          <w:rFonts w:hint="eastAsia" w:ascii="宋体" w:hAnsi="宋体" w:cs="宋体"/>
          <w:color w:val="auto"/>
          <w:szCs w:val="21"/>
          <w:highlight w:val="none"/>
        </w:rPr>
        <w:t xml:space="preserve">       签约日期：   年   月   日</w:t>
      </w:r>
    </w:p>
    <w:p>
      <w:pPr>
        <w:widowControl w:val="0"/>
        <w:adjustRightInd/>
        <w:snapToGrid/>
        <w:spacing w:before="180" w:beforeLines="50" w:after="180" w:afterLines="50" w:line="480" w:lineRule="exact"/>
        <w:ind w:right="26" w:firstLine="315" w:firstLineChars="150"/>
        <w:contextualSpacing/>
        <w:jc w:val="both"/>
        <w:rPr>
          <w:rFonts w:ascii="Calibri" w:hAnsi="宋体" w:cs="宋体"/>
          <w:color w:val="auto"/>
          <w:kern w:val="2"/>
          <w:szCs w:val="21"/>
          <w:highlight w:val="none"/>
        </w:rPr>
      </w:pPr>
    </w:p>
    <w:p>
      <w:pPr>
        <w:widowControl w:val="0"/>
        <w:adjustRightInd/>
        <w:snapToGrid/>
        <w:spacing w:after="62" w:line="480" w:lineRule="exact"/>
        <w:jc w:val="both"/>
        <w:rPr>
          <w:rFonts w:ascii="Calibri" w:hAnsi="宋体" w:cs="宋体"/>
          <w:color w:val="auto"/>
          <w:kern w:val="2"/>
          <w:szCs w:val="21"/>
          <w:highlight w:val="none"/>
        </w:rPr>
      </w:pPr>
    </w:p>
    <w:p>
      <w:pPr>
        <w:widowControl w:val="0"/>
        <w:adjustRightInd/>
        <w:snapToGrid/>
        <w:spacing w:after="62" w:line="240" w:lineRule="auto"/>
        <w:jc w:val="both"/>
        <w:rPr>
          <w:rFonts w:ascii="Calibri" w:hAnsi="宋体" w:cs="宋体"/>
          <w:color w:val="auto"/>
          <w:kern w:val="2"/>
          <w:szCs w:val="21"/>
          <w:highlight w:val="none"/>
        </w:rPr>
      </w:pPr>
    </w:p>
    <w:p>
      <w:pPr>
        <w:widowControl w:val="0"/>
        <w:adjustRightInd/>
        <w:snapToGrid/>
        <w:jc w:val="both"/>
        <w:rPr>
          <w:rFonts w:ascii="Calibri" w:hAnsi="宋体" w:cs="宋体"/>
          <w:color w:val="auto"/>
          <w:kern w:val="2"/>
          <w:szCs w:val="21"/>
          <w:highlight w:val="none"/>
        </w:rPr>
      </w:pPr>
    </w:p>
    <w:p>
      <w:pPr>
        <w:pStyle w:val="6"/>
        <w:spacing w:before="0" w:after="0" w:line="240" w:lineRule="auto"/>
        <w:rPr>
          <w:color w:val="auto"/>
          <w:sz w:val="28"/>
          <w:szCs w:val="28"/>
          <w:highlight w:val="none"/>
        </w:rPr>
      </w:pPr>
      <w:r>
        <w:rPr>
          <w:rFonts w:hint="eastAsia"/>
          <w:color w:val="auto"/>
          <w:sz w:val="28"/>
          <w:szCs w:val="28"/>
          <w:highlight w:val="none"/>
        </w:rPr>
        <w:t>第六部分附件－投标文件格式</w:t>
      </w:r>
      <w:bookmarkEnd w:id="798"/>
    </w:p>
    <w:p>
      <w:pPr>
        <w:rPr>
          <w:color w:val="auto"/>
          <w:highlight w:val="none"/>
        </w:rPr>
      </w:pPr>
    </w:p>
    <w:p>
      <w:pPr>
        <w:pStyle w:val="8"/>
        <w:widowControl w:val="0"/>
        <w:overflowPunct w:val="0"/>
        <w:spacing w:line="240" w:lineRule="auto"/>
        <w:rPr>
          <w:rFonts w:ascii="宋体" w:hAnsi="宋体"/>
          <w:color w:val="auto"/>
          <w:sz w:val="21"/>
          <w:szCs w:val="21"/>
          <w:highlight w:val="none"/>
        </w:rPr>
      </w:pPr>
      <w:bookmarkStart w:id="891" w:name="_Toc26996"/>
      <w:r>
        <w:rPr>
          <w:rFonts w:hint="eastAsia" w:ascii="宋体" w:hAnsi="宋体"/>
          <w:color w:val="auto"/>
          <w:sz w:val="21"/>
          <w:szCs w:val="21"/>
          <w:highlight w:val="none"/>
        </w:rPr>
        <w:t>投标文件目录</w:t>
      </w:r>
      <w:bookmarkEnd w:id="891"/>
      <w:r>
        <w:rPr>
          <w:rFonts w:hint="eastAsia" w:ascii="宋体" w:hAnsi="宋体"/>
          <w:color w:val="auto"/>
          <w:sz w:val="21"/>
          <w:szCs w:val="21"/>
          <w:highlight w:val="none"/>
        </w:rPr>
        <w:t xml:space="preserve"> 包组号（ ）</w:t>
      </w:r>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目录 包组号（ ）</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注：</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1、投标人制作的投标文件应当具备目录。</w:t>
      </w:r>
      <w:r>
        <w:rPr>
          <w:rFonts w:ascii="宋体" w:hAnsi="宋体"/>
          <w:color w:val="auto"/>
          <w:szCs w:val="21"/>
          <w:highlight w:val="none"/>
        </w:rPr>
        <w:br w:type="page"/>
      </w:r>
    </w:p>
    <w:p>
      <w:pPr>
        <w:pStyle w:val="8"/>
        <w:widowControl w:val="0"/>
        <w:overflowPunct w:val="0"/>
        <w:spacing w:line="240" w:lineRule="auto"/>
        <w:rPr>
          <w:rFonts w:ascii="宋体" w:hAnsi="宋体"/>
          <w:color w:val="auto"/>
          <w:sz w:val="21"/>
          <w:szCs w:val="21"/>
          <w:highlight w:val="none"/>
        </w:rPr>
      </w:pPr>
      <w:bookmarkStart w:id="892" w:name="_Toc13671"/>
      <w:r>
        <w:rPr>
          <w:rFonts w:hint="eastAsia" w:ascii="宋体" w:hAnsi="宋体"/>
          <w:color w:val="auto"/>
          <w:sz w:val="21"/>
          <w:szCs w:val="21"/>
          <w:highlight w:val="none"/>
        </w:rPr>
        <w:t>附件1.评分标准索引表</w:t>
      </w:r>
      <w:bookmarkEnd w:id="892"/>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 包组号（ ）</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序号</w:t>
            </w:r>
          </w:p>
        </w:tc>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评审项目</w:t>
            </w:r>
          </w:p>
        </w:tc>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评审细则</w:t>
            </w:r>
          </w:p>
        </w:tc>
        <w:tc>
          <w:tcPr>
            <w:tcW w:w="1705" w:type="dxa"/>
            <w:vAlign w:val="center"/>
          </w:tcPr>
          <w:p>
            <w:pPr>
              <w:jc w:val="center"/>
              <w:rPr>
                <w:rFonts w:ascii="宋体" w:hAnsi="宋体" w:cs="宋体"/>
                <w:color w:val="auto"/>
                <w:highlight w:val="none"/>
              </w:rPr>
            </w:pPr>
            <w:r>
              <w:rPr>
                <w:rFonts w:hint="eastAsia" w:ascii="宋体" w:hAnsi="宋体" w:cs="宋体"/>
                <w:color w:val="auto"/>
                <w:highlight w:val="none"/>
              </w:rPr>
              <w:t>分值</w:t>
            </w:r>
          </w:p>
        </w:tc>
        <w:tc>
          <w:tcPr>
            <w:tcW w:w="1705" w:type="dxa"/>
            <w:vAlign w:val="center"/>
          </w:tcPr>
          <w:p>
            <w:pPr>
              <w:jc w:val="center"/>
              <w:rPr>
                <w:rFonts w:ascii="宋体" w:hAnsi="宋体" w:cs="宋体"/>
                <w:color w:val="auto"/>
                <w:highlight w:val="none"/>
              </w:rPr>
            </w:pPr>
            <w:r>
              <w:rPr>
                <w:rFonts w:hint="eastAsia" w:ascii="宋体" w:hAnsi="宋体" w:cs="宋体"/>
                <w:color w:val="auto"/>
                <w:highlight w:val="none"/>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8522" w:type="dxa"/>
            <w:gridSpan w:val="5"/>
            <w:vAlign w:val="center"/>
          </w:tcPr>
          <w:p>
            <w:pPr>
              <w:rPr>
                <w:rFonts w:ascii="宋体" w:hAnsi="宋体" w:cs="宋体"/>
                <w:color w:val="auto"/>
                <w:highlight w:val="none"/>
              </w:rPr>
            </w:pPr>
            <w:r>
              <w:rPr>
                <w:rFonts w:hint="eastAsia" w:ascii="宋体" w:hAnsi="宋体" w:cs="宋体"/>
                <w:color w:val="auto"/>
                <w:highlight w:val="none"/>
              </w:rPr>
              <w:t>商务评审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8522" w:type="dxa"/>
            <w:gridSpan w:val="5"/>
            <w:vAlign w:val="center"/>
          </w:tcPr>
          <w:p>
            <w:pPr>
              <w:rPr>
                <w:rFonts w:ascii="宋体" w:hAnsi="宋体" w:cs="宋体"/>
                <w:color w:val="auto"/>
                <w:highlight w:val="none"/>
              </w:rPr>
            </w:pPr>
            <w:r>
              <w:rPr>
                <w:rFonts w:hint="eastAsia" w:ascii="宋体" w:hAnsi="宋体" w:cs="宋体"/>
                <w:color w:val="auto"/>
                <w:highlight w:val="none"/>
              </w:rPr>
              <w:t>技术评审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22"/>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jc w:val="center"/>
        <w:rPr>
          <w:rFonts w:ascii="黑体" w:eastAsia="黑体"/>
          <w:color w:val="auto"/>
          <w:sz w:val="52"/>
          <w:szCs w:val="52"/>
          <w:highlight w:val="none"/>
        </w:rPr>
      </w:pPr>
      <w:bookmarkStart w:id="893" w:name="_Toc18450"/>
      <w:bookmarkStart w:id="894" w:name="_Toc30918"/>
      <w:bookmarkStart w:id="895" w:name="_Toc28154"/>
      <w:bookmarkStart w:id="896" w:name="_Toc21746"/>
      <w:bookmarkStart w:id="897" w:name="_Toc20335"/>
    </w:p>
    <w:p>
      <w:pPr>
        <w:pStyle w:val="6"/>
        <w:spacing w:before="0" w:after="0" w:line="360" w:lineRule="auto"/>
        <w:jc w:val="center"/>
        <w:rPr>
          <w:color w:val="auto"/>
          <w:sz w:val="72"/>
          <w:szCs w:val="72"/>
          <w:highlight w:val="none"/>
        </w:rPr>
      </w:pPr>
      <w:bookmarkStart w:id="898" w:name="_Toc7230"/>
      <w:r>
        <w:rPr>
          <w:rFonts w:hint="eastAsia"/>
          <w:color w:val="auto"/>
          <w:sz w:val="72"/>
          <w:szCs w:val="72"/>
          <w:highlight w:val="none"/>
        </w:rPr>
        <w:t>价格文件</w:t>
      </w:r>
      <w:bookmarkEnd w:id="893"/>
      <w:bookmarkEnd w:id="894"/>
      <w:bookmarkEnd w:id="898"/>
      <w:bookmarkStart w:id="899" w:name="_Hlt10456397"/>
      <w:bookmarkEnd w:id="899"/>
      <w:bookmarkStart w:id="900" w:name="_Hlt10519799"/>
      <w:bookmarkEnd w:id="900"/>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bookmarkEnd w:id="895"/>
      <w:bookmarkEnd w:id="896"/>
      <w:bookmarkEnd w:id="897"/>
    </w:p>
    <w:p>
      <w:pPr>
        <w:rPr>
          <w:color w:val="auto"/>
          <w:highlight w:val="none"/>
        </w:rPr>
      </w:pPr>
    </w:p>
    <w:p>
      <w:pPr>
        <w:pStyle w:val="2"/>
        <w:rPr>
          <w:color w:val="auto"/>
          <w:highlight w:val="none"/>
        </w:rPr>
      </w:pPr>
    </w:p>
    <w:p>
      <w:pPr>
        <w:pStyle w:val="31"/>
        <w:ind w:firstLine="240"/>
        <w:rPr>
          <w:color w:val="auto"/>
          <w:highlight w:val="none"/>
        </w:rPr>
      </w:pPr>
    </w:p>
    <w:p>
      <w:pPr>
        <w:rPr>
          <w:rFonts w:ascii="宋体" w:hAnsi="宋体" w:cs="宋体"/>
          <w:b/>
          <w:bCs/>
          <w:color w:val="auto"/>
          <w:spacing w:val="-6"/>
          <w:sz w:val="32"/>
          <w:szCs w:val="32"/>
          <w:highlight w:val="none"/>
        </w:rPr>
      </w:pPr>
      <w:r>
        <w:rPr>
          <w:rFonts w:hint="eastAsia" w:ascii="宋体" w:hAnsi="宋体" w:cs="宋体"/>
          <w:b/>
          <w:bCs/>
          <w:color w:val="auto"/>
          <w:spacing w:val="1"/>
          <w:w w:val="55"/>
          <w:kern w:val="0"/>
          <w:sz w:val="32"/>
          <w:szCs w:val="32"/>
          <w:highlight w:val="none"/>
          <w:fitText w:val="1600" w:id="0"/>
        </w:rPr>
        <w:t>项目名称：</w:t>
      </w:r>
      <w:r>
        <w:rPr>
          <w:rFonts w:hint="eastAsia" w:ascii="黑体" w:hAnsi="黑体" w:eastAsia="黑体" w:cs="黑体"/>
          <w:bCs/>
          <w:color w:val="auto"/>
          <w:spacing w:val="1"/>
          <w:w w:val="55"/>
          <w:kern w:val="0"/>
          <w:sz w:val="32"/>
          <w:szCs w:val="24"/>
          <w:highlight w:val="none"/>
          <w:u w:val="single"/>
          <w:fitText w:val="1600" w:id="0"/>
        </w:rPr>
        <w:t>东莞市</w:t>
      </w:r>
      <w:r>
        <w:rPr>
          <w:rFonts w:hint="eastAsia" w:ascii="黑体" w:hAnsi="黑体" w:eastAsia="黑体" w:cs="黑体"/>
          <w:bCs/>
          <w:color w:val="auto"/>
          <w:spacing w:val="2"/>
          <w:w w:val="55"/>
          <w:kern w:val="0"/>
          <w:sz w:val="32"/>
          <w:szCs w:val="24"/>
          <w:highlight w:val="none"/>
          <w:u w:val="single"/>
          <w:fitText w:val="1600" w:id="0"/>
        </w:rPr>
        <w:t>寮</w:t>
      </w:r>
      <w:r>
        <w:rPr>
          <w:rFonts w:hint="eastAsia" w:ascii="黑体" w:hAnsi="黑体" w:eastAsia="黑体" w:cs="黑体"/>
          <w:bCs/>
          <w:color w:val="auto"/>
          <w:sz w:val="32"/>
          <w:szCs w:val="24"/>
          <w:highlight w:val="none"/>
          <w:u w:val="single"/>
        </w:rPr>
        <w:t>步镇生活</w:t>
      </w:r>
      <w:r>
        <w:rPr>
          <w:rFonts w:hint="eastAsia" w:ascii="黑体" w:hAnsi="黑体" w:eastAsia="黑体" w:cs="黑体"/>
          <w:bCs/>
          <w:color w:val="auto"/>
          <w:spacing w:val="1"/>
          <w:w w:val="55"/>
          <w:kern w:val="0"/>
          <w:sz w:val="32"/>
          <w:szCs w:val="24"/>
          <w:highlight w:val="none"/>
          <w:u w:val="single"/>
          <w:fitText w:val="1600" w:id="0"/>
        </w:rPr>
        <w:t>垃圾综合处理中心</w:t>
      </w:r>
      <w:r>
        <w:rPr>
          <w:rFonts w:hint="eastAsia" w:ascii="黑体" w:hAnsi="黑体" w:eastAsia="黑体" w:cs="黑体"/>
          <w:bCs/>
          <w:color w:val="auto"/>
          <w:spacing w:val="5"/>
          <w:w w:val="55"/>
          <w:kern w:val="0"/>
          <w:sz w:val="32"/>
          <w:szCs w:val="24"/>
          <w:highlight w:val="none"/>
          <w:u w:val="single"/>
          <w:fitText w:val="1600" w:id="0"/>
        </w:rPr>
        <w:t>项</w:t>
      </w:r>
      <w:r>
        <w:rPr>
          <w:rFonts w:hint="eastAsia" w:ascii="黑体" w:hAnsi="黑体" w:eastAsia="黑体" w:cs="黑体"/>
          <w:bCs/>
          <w:color w:val="auto"/>
          <w:sz w:val="32"/>
          <w:szCs w:val="24"/>
          <w:highlight w:val="none"/>
          <w:u w:val="single"/>
        </w:rPr>
        <w:t>目</w:t>
      </w:r>
    </w:p>
    <w:p>
      <w:pPr>
        <w:rPr>
          <w:rFonts w:hint="eastAsia" w:ascii="宋体" w:hAnsi="宋体" w:eastAsia="黑体" w:cs="宋体"/>
          <w:b/>
          <w:bCs/>
          <w:color w:val="auto"/>
          <w:sz w:val="32"/>
          <w:szCs w:val="32"/>
          <w:highlight w:val="none"/>
          <w:lang w:eastAsia="zh-CN"/>
        </w:rPr>
      </w:pPr>
      <w:r>
        <w:rPr>
          <w:rFonts w:hint="eastAsia" w:ascii="宋体" w:hAnsi="宋体" w:cs="宋体"/>
          <w:b/>
          <w:bCs/>
          <w:color w:val="auto"/>
          <w:spacing w:val="0"/>
          <w:kern w:val="0"/>
          <w:sz w:val="32"/>
          <w:szCs w:val="32"/>
          <w:highlight w:val="none"/>
          <w:fitText w:val="1600" w:id="1"/>
        </w:rPr>
        <w:t>项目编号：</w:t>
      </w:r>
      <w:r>
        <w:rPr>
          <w:rFonts w:hint="eastAsia" w:ascii="黑体" w:hAnsi="黑体" w:eastAsia="黑体" w:cs="黑体"/>
          <w:bCs/>
          <w:color w:val="auto"/>
          <w:sz w:val="32"/>
          <w:szCs w:val="24"/>
          <w:highlight w:val="none"/>
          <w:u w:val="single"/>
          <w:lang w:eastAsia="zh-CN"/>
        </w:rPr>
        <w:t>DSCF-LB-02-08-010(2023)</w:t>
      </w:r>
    </w:p>
    <w:p>
      <w:pPr>
        <w:pStyle w:val="29"/>
        <w:widowControl/>
        <w:adjustRightInd w:val="0"/>
        <w:snapToGrid w:val="0"/>
        <w:spacing w:before="161" w:afterAutospacing="1"/>
        <w:jc w:val="left"/>
        <w:rPr>
          <w:rFonts w:ascii="宋体" w:hAnsi="宋体" w:cs="宋体"/>
          <w:b/>
          <w:color w:val="auto"/>
          <w:w w:val="83"/>
          <w:kern w:val="0"/>
          <w:sz w:val="32"/>
          <w:szCs w:val="32"/>
          <w:highlight w:val="none"/>
        </w:rPr>
      </w:pPr>
      <w:r>
        <w:rPr>
          <w:rFonts w:hint="eastAsia" w:ascii="宋体" w:hAnsi="宋体" w:cs="宋体"/>
          <w:b/>
          <w:color w:val="auto"/>
          <w:spacing w:val="106"/>
          <w:kern w:val="0"/>
          <w:sz w:val="32"/>
          <w:szCs w:val="32"/>
          <w:highlight w:val="none"/>
          <w:lang w:bidi="ar"/>
        </w:rPr>
        <w:t>包组号：</w:t>
      </w:r>
    </w:p>
    <w:p>
      <w:pPr>
        <w:rPr>
          <w:rFonts w:ascii="宋体" w:hAnsi="宋体" w:cs="宋体"/>
          <w:b/>
          <w:color w:val="auto"/>
          <w:spacing w:val="1"/>
          <w:w w:val="83"/>
          <w:kern w:val="0"/>
          <w:sz w:val="32"/>
          <w:szCs w:val="32"/>
          <w:highlight w:val="none"/>
          <w:fitText w:val="1600" w:id="2"/>
        </w:rPr>
      </w:pPr>
      <w:r>
        <w:rPr>
          <w:rFonts w:hint="eastAsia" w:ascii="宋体" w:hAnsi="宋体" w:cs="宋体"/>
          <w:b/>
          <w:color w:val="auto"/>
          <w:spacing w:val="0"/>
          <w:w w:val="83"/>
          <w:kern w:val="0"/>
          <w:sz w:val="32"/>
          <w:szCs w:val="32"/>
          <w:highlight w:val="none"/>
          <w:fitText w:val="1600" w:id="2"/>
        </w:rPr>
        <w:t>投标人名称：</w:t>
      </w:r>
    </w:p>
    <w:p>
      <w:pPr>
        <w:rPr>
          <w:rFonts w:ascii="宋体" w:hAnsi="宋体" w:cs="宋体"/>
          <w:b/>
          <w:color w:val="auto"/>
          <w:spacing w:val="0"/>
          <w:kern w:val="0"/>
          <w:sz w:val="32"/>
          <w:szCs w:val="32"/>
          <w:highlight w:val="none"/>
          <w:fitText w:val="1600" w:id="3"/>
        </w:rPr>
      </w:pPr>
      <w:r>
        <w:rPr>
          <w:rFonts w:hint="eastAsia" w:ascii="宋体" w:hAnsi="宋体" w:cs="宋体"/>
          <w:b/>
          <w:color w:val="auto"/>
          <w:spacing w:val="0"/>
          <w:kern w:val="0"/>
          <w:sz w:val="32"/>
          <w:szCs w:val="32"/>
          <w:highlight w:val="none"/>
          <w:fitText w:val="1600" w:id="3"/>
        </w:rPr>
        <w:t>日    期：</w:t>
      </w:r>
    </w:p>
    <w:p>
      <w:pPr>
        <w:rPr>
          <w:color w:val="auto"/>
          <w:spacing w:val="54"/>
          <w:highlight w:val="none"/>
        </w:rPr>
      </w:pPr>
    </w:p>
    <w:p>
      <w:pPr>
        <w:pStyle w:val="2"/>
        <w:rPr>
          <w:color w:val="auto"/>
          <w:spacing w:val="54"/>
          <w:highlight w:val="none"/>
        </w:rPr>
      </w:pPr>
    </w:p>
    <w:p>
      <w:pPr>
        <w:pStyle w:val="31"/>
        <w:ind w:firstLine="240"/>
        <w:rPr>
          <w:color w:val="auto"/>
          <w:highlight w:val="none"/>
        </w:rPr>
      </w:pPr>
    </w:p>
    <w:p>
      <w:pPr>
        <w:pStyle w:val="24"/>
        <w:rPr>
          <w:color w:val="auto"/>
          <w:highlight w:val="none"/>
        </w:rPr>
      </w:pPr>
    </w:p>
    <w:p>
      <w:pPr>
        <w:rPr>
          <w:color w:val="auto"/>
          <w:highlight w:val="none"/>
        </w:rPr>
      </w:pPr>
    </w:p>
    <w:p>
      <w:pPr>
        <w:pStyle w:val="2"/>
        <w:rPr>
          <w:color w:val="auto"/>
          <w:spacing w:val="140"/>
          <w:highlight w:val="none"/>
        </w:rPr>
      </w:pPr>
    </w:p>
    <w:p>
      <w:pPr>
        <w:pStyle w:val="31"/>
        <w:ind w:firstLine="520"/>
        <w:rPr>
          <w:color w:val="auto"/>
          <w:spacing w:val="140"/>
          <w:highlight w:val="none"/>
        </w:rPr>
      </w:pPr>
    </w:p>
    <w:p>
      <w:pPr>
        <w:pStyle w:val="24"/>
        <w:rPr>
          <w:color w:val="auto"/>
          <w:spacing w:val="140"/>
          <w:highlight w:val="none"/>
        </w:rPr>
      </w:pPr>
    </w:p>
    <w:p>
      <w:pPr>
        <w:pStyle w:val="24"/>
        <w:ind w:left="0"/>
        <w:rPr>
          <w:color w:val="auto"/>
          <w:spacing w:val="140"/>
          <w:highlight w:val="none"/>
        </w:rPr>
      </w:pPr>
    </w:p>
    <w:p>
      <w:pPr>
        <w:rPr>
          <w:rFonts w:ascii="宋体" w:hAnsi="宋体"/>
          <w:color w:val="auto"/>
          <w:szCs w:val="21"/>
          <w:highlight w:val="none"/>
        </w:rPr>
      </w:pPr>
      <w:r>
        <w:rPr>
          <w:rFonts w:hint="eastAsia" w:ascii="宋体" w:hAnsi="宋体"/>
          <w:color w:val="auto"/>
          <w:spacing w:val="140"/>
          <w:szCs w:val="21"/>
          <w:highlight w:val="none"/>
          <w:fitText w:val="1600" w:id="4"/>
        </w:rPr>
        <w:br w:type="page"/>
      </w:r>
    </w:p>
    <w:p>
      <w:pPr>
        <w:pStyle w:val="8"/>
        <w:widowControl w:val="0"/>
        <w:overflowPunct w:val="0"/>
        <w:spacing w:line="240" w:lineRule="auto"/>
        <w:rPr>
          <w:rFonts w:ascii="宋体" w:hAnsi="宋体"/>
          <w:color w:val="auto"/>
          <w:sz w:val="21"/>
          <w:szCs w:val="21"/>
          <w:highlight w:val="none"/>
        </w:rPr>
      </w:pPr>
      <w:bookmarkStart w:id="901" w:name="_Toc26390"/>
      <w:r>
        <w:rPr>
          <w:rFonts w:hint="eastAsia" w:ascii="宋体" w:hAnsi="宋体"/>
          <w:color w:val="auto"/>
          <w:sz w:val="21"/>
          <w:szCs w:val="21"/>
          <w:highlight w:val="none"/>
        </w:rPr>
        <w:t>附件2.开标一览表格式</w:t>
      </w:r>
      <w:bookmarkEnd w:id="901"/>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1、开标一览表  包组号（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w:t>
      </w:r>
    </w:p>
    <w:p>
      <w:pPr>
        <w:rPr>
          <w:rFonts w:ascii="宋体" w:hAnsi="宋体" w:cs="宋体"/>
          <w:color w:val="auto"/>
          <w:szCs w:val="21"/>
          <w:highlight w:val="none"/>
        </w:rPr>
      </w:pPr>
      <w:r>
        <w:rPr>
          <w:rFonts w:hint="eastAsia" w:ascii="宋体" w:hAnsi="宋体" w:cs="宋体"/>
          <w:color w:val="auto"/>
          <w:szCs w:val="21"/>
          <w:highlight w:val="none"/>
        </w:rPr>
        <w:t>采购项目编号：</w:t>
      </w:r>
    </w:p>
    <w:tbl>
      <w:tblPr>
        <w:tblStyle w:val="34"/>
        <w:tblW w:w="87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3155"/>
        <w:gridCol w:w="3779"/>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8" w:hRule="atLeast"/>
          <w:jc w:val="center"/>
        </w:trPr>
        <w:tc>
          <w:tcPr>
            <w:tcW w:w="580" w:type="dxa"/>
            <w:tcBorders>
              <w:bottom w:val="double" w:color="auto" w:sz="4" w:space="0"/>
            </w:tcBorders>
            <w:vAlign w:val="center"/>
          </w:tcPr>
          <w:p>
            <w:pPr>
              <w:widowControl w:val="0"/>
              <w:tabs>
                <w:tab w:val="left" w:pos="654"/>
                <w:tab w:val="left" w:pos="1734"/>
                <w:tab w:val="left" w:pos="2814"/>
                <w:tab w:val="left" w:pos="3894"/>
                <w:tab w:val="left" w:pos="5334"/>
                <w:tab w:val="left" w:pos="6414"/>
                <w:tab w:val="left" w:pos="7254"/>
                <w:tab w:val="left" w:pos="8574"/>
                <w:tab w:val="left" w:pos="9654"/>
              </w:tabs>
              <w:adjustRightInd/>
              <w:snapToGrid/>
              <w:jc w:val="center"/>
              <w:rPr>
                <w:rFonts w:ascii="宋体" w:hAnsi="宋体" w:cs="宋体"/>
                <w:color w:val="auto"/>
                <w:kern w:val="2"/>
                <w:szCs w:val="21"/>
                <w:highlight w:val="none"/>
              </w:rPr>
            </w:pPr>
            <w:r>
              <w:rPr>
                <w:rFonts w:hint="eastAsia" w:ascii="宋体" w:hAnsi="宋体" w:cs="宋体"/>
                <w:color w:val="auto"/>
                <w:kern w:val="2"/>
                <w:szCs w:val="21"/>
                <w:highlight w:val="none"/>
              </w:rPr>
              <w:t>序号</w:t>
            </w:r>
          </w:p>
        </w:tc>
        <w:tc>
          <w:tcPr>
            <w:tcW w:w="3155" w:type="dxa"/>
            <w:tcBorders>
              <w:bottom w:val="double" w:color="auto" w:sz="4" w:space="0"/>
            </w:tcBorders>
            <w:vAlign w:val="center"/>
          </w:tcPr>
          <w:p>
            <w:pPr>
              <w:widowControl w:val="0"/>
              <w:tabs>
                <w:tab w:val="left" w:pos="654"/>
                <w:tab w:val="left" w:pos="1734"/>
                <w:tab w:val="left" w:pos="2814"/>
                <w:tab w:val="left" w:pos="3894"/>
                <w:tab w:val="left" w:pos="5334"/>
                <w:tab w:val="left" w:pos="6414"/>
                <w:tab w:val="left" w:pos="7254"/>
                <w:tab w:val="left" w:pos="8574"/>
                <w:tab w:val="left" w:pos="9654"/>
              </w:tabs>
              <w:adjustRightInd/>
              <w:snapToGrid/>
              <w:jc w:val="center"/>
              <w:rPr>
                <w:rFonts w:ascii="宋体" w:hAnsi="宋体" w:cs="宋体"/>
                <w:color w:val="auto"/>
                <w:kern w:val="2"/>
                <w:szCs w:val="21"/>
                <w:highlight w:val="none"/>
              </w:rPr>
            </w:pPr>
            <w:r>
              <w:rPr>
                <w:rFonts w:hint="eastAsia" w:ascii="宋体" w:hAnsi="宋体" w:cs="宋体"/>
                <w:color w:val="auto"/>
                <w:kern w:val="2"/>
                <w:szCs w:val="21"/>
                <w:highlight w:val="none"/>
              </w:rPr>
              <w:t>分项名称</w:t>
            </w:r>
          </w:p>
        </w:tc>
        <w:tc>
          <w:tcPr>
            <w:tcW w:w="3779" w:type="dxa"/>
            <w:tcBorders>
              <w:bottom w:val="double" w:color="auto" w:sz="4" w:space="0"/>
            </w:tcBorders>
            <w:vAlign w:val="center"/>
          </w:tcPr>
          <w:p>
            <w:pPr>
              <w:widowControl w:val="0"/>
              <w:tabs>
                <w:tab w:val="left" w:pos="654"/>
                <w:tab w:val="left" w:pos="1734"/>
                <w:tab w:val="left" w:pos="2814"/>
                <w:tab w:val="left" w:pos="3894"/>
                <w:tab w:val="left" w:pos="5334"/>
                <w:tab w:val="left" w:pos="6414"/>
                <w:tab w:val="left" w:pos="7254"/>
                <w:tab w:val="left" w:pos="8574"/>
                <w:tab w:val="left" w:pos="9654"/>
              </w:tabs>
              <w:adjustRightInd/>
              <w:snapToGrid/>
              <w:jc w:val="center"/>
              <w:rPr>
                <w:rFonts w:ascii="宋体" w:hAnsi="宋体" w:cs="宋体"/>
                <w:color w:val="auto"/>
                <w:kern w:val="2"/>
                <w:szCs w:val="21"/>
                <w:highlight w:val="none"/>
              </w:rPr>
            </w:pPr>
            <w:r>
              <w:rPr>
                <w:rFonts w:hint="eastAsia" w:ascii="宋体" w:hAnsi="宋体" w:cs="宋体"/>
                <w:color w:val="auto"/>
                <w:kern w:val="2"/>
                <w:szCs w:val="21"/>
                <w:highlight w:val="none"/>
              </w:rPr>
              <w:t>投标报价</w:t>
            </w:r>
          </w:p>
        </w:tc>
        <w:tc>
          <w:tcPr>
            <w:tcW w:w="1224" w:type="dxa"/>
            <w:tcBorders>
              <w:bottom w:val="double" w:color="auto" w:sz="4" w:space="0"/>
            </w:tcBorders>
            <w:vAlign w:val="center"/>
          </w:tcPr>
          <w:p>
            <w:pPr>
              <w:widowControl w:val="0"/>
              <w:tabs>
                <w:tab w:val="left" w:pos="654"/>
                <w:tab w:val="left" w:pos="1734"/>
                <w:tab w:val="left" w:pos="2814"/>
                <w:tab w:val="left" w:pos="3894"/>
                <w:tab w:val="left" w:pos="5334"/>
                <w:tab w:val="left" w:pos="6414"/>
                <w:tab w:val="left" w:pos="7254"/>
                <w:tab w:val="left" w:pos="8574"/>
                <w:tab w:val="left" w:pos="9654"/>
              </w:tabs>
              <w:adjustRightInd/>
              <w:snapToGrid/>
              <w:jc w:val="center"/>
              <w:rPr>
                <w:rFonts w:ascii="宋体" w:hAnsi="宋体" w:cs="宋体"/>
                <w:color w:val="auto"/>
                <w:kern w:val="2"/>
                <w:szCs w:val="21"/>
                <w:highlight w:val="none"/>
              </w:rPr>
            </w:pPr>
            <w:r>
              <w:rPr>
                <w:rFonts w:hint="eastAsia" w:ascii="宋体" w:hAnsi="宋体" w:cs="宋体"/>
                <w:color w:val="auto"/>
                <w:kern w:val="2"/>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22" w:hRule="atLeast"/>
          <w:jc w:val="center"/>
        </w:trPr>
        <w:tc>
          <w:tcPr>
            <w:tcW w:w="580" w:type="dxa"/>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一</w:t>
            </w:r>
          </w:p>
        </w:tc>
        <w:tc>
          <w:tcPr>
            <w:tcW w:w="3155" w:type="dxa"/>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东莞市寮步镇生活垃圾综合处理中心项目</w:t>
            </w:r>
          </w:p>
        </w:tc>
        <w:tc>
          <w:tcPr>
            <w:tcW w:w="3779" w:type="dxa"/>
            <w:vAlign w:val="center"/>
          </w:tcPr>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大写       （人民币）</w:t>
            </w:r>
          </w:p>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小写       （人民币）</w:t>
            </w:r>
          </w:p>
        </w:tc>
        <w:tc>
          <w:tcPr>
            <w:tcW w:w="1224" w:type="dxa"/>
            <w:vAlign w:val="center"/>
          </w:tcPr>
          <w:p>
            <w:pPr>
              <w:widowControl w:val="0"/>
              <w:tabs>
                <w:tab w:val="left" w:pos="654"/>
                <w:tab w:val="left" w:pos="1734"/>
                <w:tab w:val="left" w:pos="2814"/>
                <w:tab w:val="left" w:pos="3894"/>
                <w:tab w:val="left" w:pos="5334"/>
                <w:tab w:val="left" w:pos="6414"/>
                <w:tab w:val="left" w:pos="7254"/>
                <w:tab w:val="left" w:pos="8574"/>
                <w:tab w:val="left" w:pos="9654"/>
              </w:tabs>
              <w:adjustRightInd/>
              <w:snapToGrid/>
              <w:jc w:val="center"/>
              <w:rPr>
                <w:rFonts w:ascii="宋体" w:hAnsi="宋体" w:cs="宋体"/>
                <w:color w:val="auto"/>
                <w:kern w:val="2"/>
                <w:szCs w:val="21"/>
                <w:highlight w:val="none"/>
              </w:rPr>
            </w:pPr>
            <w:r>
              <w:rPr>
                <w:rFonts w:hint="eastAsia" w:ascii="宋体" w:hAnsi="宋体" w:cs="宋体"/>
                <w:color w:val="auto"/>
                <w:kern w:val="2"/>
                <w:szCs w:val="21"/>
                <w:highlight w:val="none"/>
              </w:rPr>
              <w:t>1、2、3、4、5、6项之和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5" w:hRule="atLeast"/>
          <w:jc w:val="center"/>
        </w:trPr>
        <w:tc>
          <w:tcPr>
            <w:tcW w:w="580" w:type="dxa"/>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3155" w:type="dxa"/>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设备费</w:t>
            </w:r>
          </w:p>
        </w:tc>
        <w:tc>
          <w:tcPr>
            <w:tcW w:w="3779" w:type="dxa"/>
            <w:vAlign w:val="center"/>
          </w:tcPr>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大写       （人民币）</w:t>
            </w:r>
          </w:p>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小写       （人民币）</w:t>
            </w:r>
          </w:p>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其中税率  %，税金金额   元，不含税为   元。</w:t>
            </w:r>
          </w:p>
        </w:tc>
        <w:tc>
          <w:tcPr>
            <w:tcW w:w="1224" w:type="dxa"/>
            <w:vAlign w:val="center"/>
          </w:tcPr>
          <w:p>
            <w:pPr>
              <w:widowControl w:val="0"/>
              <w:tabs>
                <w:tab w:val="left" w:pos="654"/>
                <w:tab w:val="left" w:pos="1734"/>
                <w:tab w:val="left" w:pos="2814"/>
                <w:tab w:val="left" w:pos="3894"/>
                <w:tab w:val="left" w:pos="5334"/>
                <w:tab w:val="left" w:pos="6414"/>
                <w:tab w:val="left" w:pos="7254"/>
                <w:tab w:val="left" w:pos="8574"/>
                <w:tab w:val="left" w:pos="9654"/>
              </w:tabs>
              <w:adjustRightInd/>
              <w:snapToGrid/>
              <w:jc w:val="center"/>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5" w:hRule="atLeast"/>
          <w:jc w:val="center"/>
        </w:trPr>
        <w:tc>
          <w:tcPr>
            <w:tcW w:w="580" w:type="dxa"/>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2</w:t>
            </w:r>
          </w:p>
        </w:tc>
        <w:tc>
          <w:tcPr>
            <w:tcW w:w="3155" w:type="dxa"/>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材料费</w:t>
            </w:r>
          </w:p>
        </w:tc>
        <w:tc>
          <w:tcPr>
            <w:tcW w:w="3779" w:type="dxa"/>
            <w:vAlign w:val="center"/>
          </w:tcPr>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大写       （人民币）</w:t>
            </w:r>
          </w:p>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小写       （人民币）</w:t>
            </w:r>
          </w:p>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其中税率  %，税金金额   元，不含税为   元。</w:t>
            </w:r>
          </w:p>
        </w:tc>
        <w:tc>
          <w:tcPr>
            <w:tcW w:w="1224" w:type="dxa"/>
            <w:vAlign w:val="center"/>
          </w:tcPr>
          <w:p>
            <w:pPr>
              <w:widowControl w:val="0"/>
              <w:tabs>
                <w:tab w:val="left" w:pos="654"/>
                <w:tab w:val="left" w:pos="1734"/>
                <w:tab w:val="left" w:pos="2814"/>
                <w:tab w:val="left" w:pos="3894"/>
                <w:tab w:val="left" w:pos="5334"/>
                <w:tab w:val="left" w:pos="6414"/>
                <w:tab w:val="left" w:pos="7254"/>
                <w:tab w:val="left" w:pos="8574"/>
                <w:tab w:val="left" w:pos="9654"/>
              </w:tabs>
              <w:adjustRightInd/>
              <w:snapToGrid/>
              <w:jc w:val="center"/>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5" w:hRule="atLeast"/>
          <w:jc w:val="center"/>
        </w:trPr>
        <w:tc>
          <w:tcPr>
            <w:tcW w:w="580" w:type="dxa"/>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3</w:t>
            </w:r>
          </w:p>
        </w:tc>
        <w:tc>
          <w:tcPr>
            <w:tcW w:w="3155" w:type="dxa"/>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安装调试费</w:t>
            </w:r>
          </w:p>
        </w:tc>
        <w:tc>
          <w:tcPr>
            <w:tcW w:w="3779" w:type="dxa"/>
            <w:vAlign w:val="center"/>
          </w:tcPr>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大写       （人民币）</w:t>
            </w:r>
          </w:p>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小写       （人民币）</w:t>
            </w:r>
          </w:p>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其中税率  %，税金金额   元，不含税为   元。</w:t>
            </w:r>
          </w:p>
        </w:tc>
        <w:tc>
          <w:tcPr>
            <w:tcW w:w="1224" w:type="dxa"/>
            <w:vAlign w:val="center"/>
          </w:tcPr>
          <w:p>
            <w:pPr>
              <w:widowControl w:val="0"/>
              <w:tabs>
                <w:tab w:val="left" w:pos="654"/>
                <w:tab w:val="left" w:pos="1734"/>
                <w:tab w:val="left" w:pos="2814"/>
                <w:tab w:val="left" w:pos="3894"/>
                <w:tab w:val="left" w:pos="5334"/>
                <w:tab w:val="left" w:pos="6414"/>
                <w:tab w:val="left" w:pos="7254"/>
                <w:tab w:val="left" w:pos="8574"/>
                <w:tab w:val="left" w:pos="9654"/>
              </w:tabs>
              <w:adjustRightInd/>
              <w:snapToGrid/>
              <w:jc w:val="center"/>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5" w:hRule="atLeast"/>
          <w:jc w:val="center"/>
        </w:trPr>
        <w:tc>
          <w:tcPr>
            <w:tcW w:w="580" w:type="dxa"/>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4</w:t>
            </w:r>
          </w:p>
        </w:tc>
        <w:tc>
          <w:tcPr>
            <w:tcW w:w="3155" w:type="dxa"/>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伴随服务费</w:t>
            </w:r>
          </w:p>
        </w:tc>
        <w:tc>
          <w:tcPr>
            <w:tcW w:w="3779" w:type="dxa"/>
            <w:vAlign w:val="center"/>
          </w:tcPr>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大写       （人民币）</w:t>
            </w:r>
          </w:p>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小写       （人民币）</w:t>
            </w:r>
          </w:p>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其中税率  %，税金金额   元，不含税为   元。</w:t>
            </w:r>
          </w:p>
        </w:tc>
        <w:tc>
          <w:tcPr>
            <w:tcW w:w="1224" w:type="dxa"/>
            <w:vAlign w:val="center"/>
          </w:tcPr>
          <w:p>
            <w:pPr>
              <w:widowControl w:val="0"/>
              <w:tabs>
                <w:tab w:val="left" w:pos="654"/>
                <w:tab w:val="left" w:pos="1734"/>
                <w:tab w:val="left" w:pos="2814"/>
                <w:tab w:val="left" w:pos="3894"/>
                <w:tab w:val="left" w:pos="5334"/>
                <w:tab w:val="left" w:pos="6414"/>
                <w:tab w:val="left" w:pos="7254"/>
                <w:tab w:val="left" w:pos="8574"/>
                <w:tab w:val="left" w:pos="9654"/>
              </w:tabs>
              <w:adjustRightInd/>
              <w:snapToGrid/>
              <w:jc w:val="center"/>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29" w:hRule="atLeast"/>
          <w:jc w:val="center"/>
        </w:trPr>
        <w:tc>
          <w:tcPr>
            <w:tcW w:w="580" w:type="dxa"/>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5</w:t>
            </w:r>
          </w:p>
          <w:p>
            <w:pPr>
              <w:widowControl w:val="0"/>
              <w:jc w:val="center"/>
              <w:rPr>
                <w:rFonts w:ascii="宋体" w:hAnsi="宋体" w:cs="宋体"/>
                <w:color w:val="auto"/>
                <w:kern w:val="2"/>
                <w:szCs w:val="21"/>
                <w:highlight w:val="none"/>
              </w:rPr>
            </w:pPr>
          </w:p>
        </w:tc>
        <w:tc>
          <w:tcPr>
            <w:tcW w:w="3155" w:type="dxa"/>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质保期内备品备件费</w:t>
            </w:r>
          </w:p>
          <w:p>
            <w:pPr>
              <w:widowControl w:val="0"/>
              <w:jc w:val="center"/>
              <w:rPr>
                <w:rFonts w:ascii="宋体" w:hAnsi="宋体" w:cs="宋体"/>
                <w:color w:val="auto"/>
                <w:kern w:val="2"/>
                <w:szCs w:val="21"/>
                <w:highlight w:val="none"/>
              </w:rPr>
            </w:pPr>
          </w:p>
        </w:tc>
        <w:tc>
          <w:tcPr>
            <w:tcW w:w="3779" w:type="dxa"/>
            <w:vAlign w:val="center"/>
          </w:tcPr>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大写       （人民币）</w:t>
            </w:r>
          </w:p>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小写       （人民币）</w:t>
            </w:r>
          </w:p>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其中税率  %，税金金额   元，不含税为   元。</w:t>
            </w:r>
          </w:p>
          <w:p>
            <w:pPr>
              <w:widowControl w:val="0"/>
              <w:jc w:val="both"/>
              <w:rPr>
                <w:rFonts w:ascii="宋体" w:hAnsi="宋体" w:cs="宋体"/>
                <w:color w:val="auto"/>
                <w:kern w:val="2"/>
                <w:szCs w:val="21"/>
                <w:highlight w:val="none"/>
              </w:rPr>
            </w:pPr>
          </w:p>
        </w:tc>
        <w:tc>
          <w:tcPr>
            <w:tcW w:w="1224" w:type="dxa"/>
            <w:vAlign w:val="center"/>
          </w:tcPr>
          <w:p>
            <w:pPr>
              <w:widowControl w:val="0"/>
              <w:tabs>
                <w:tab w:val="left" w:pos="654"/>
                <w:tab w:val="left" w:pos="1734"/>
                <w:tab w:val="left" w:pos="2814"/>
                <w:tab w:val="left" w:pos="3894"/>
                <w:tab w:val="left" w:pos="5334"/>
                <w:tab w:val="left" w:pos="6414"/>
                <w:tab w:val="left" w:pos="7254"/>
                <w:tab w:val="left" w:pos="8574"/>
                <w:tab w:val="left" w:pos="9654"/>
              </w:tabs>
              <w:adjustRightInd/>
              <w:snapToGrid/>
              <w:jc w:val="center"/>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33" w:hRule="atLeast"/>
          <w:jc w:val="center"/>
        </w:trPr>
        <w:tc>
          <w:tcPr>
            <w:tcW w:w="3735" w:type="dxa"/>
            <w:gridSpan w:val="2"/>
            <w:tcBorders>
              <w:bottom w:val="double" w:color="auto" w:sz="4"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投标总价</w:t>
            </w:r>
          </w:p>
        </w:tc>
        <w:tc>
          <w:tcPr>
            <w:tcW w:w="3779" w:type="dxa"/>
            <w:tcBorders>
              <w:bottom w:val="double" w:color="auto" w:sz="4" w:space="0"/>
            </w:tcBorders>
            <w:vAlign w:val="center"/>
          </w:tcPr>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大写       （人民币）</w:t>
            </w:r>
          </w:p>
          <w:p>
            <w:pPr>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小写       （人民币）</w:t>
            </w:r>
          </w:p>
        </w:tc>
        <w:tc>
          <w:tcPr>
            <w:tcW w:w="1224" w:type="dxa"/>
            <w:tcBorders>
              <w:bottom w:val="double" w:color="auto" w:sz="4" w:space="0"/>
            </w:tcBorders>
            <w:vAlign w:val="center"/>
          </w:tcPr>
          <w:p>
            <w:pPr>
              <w:widowControl w:val="0"/>
              <w:tabs>
                <w:tab w:val="left" w:pos="654"/>
                <w:tab w:val="left" w:pos="1734"/>
                <w:tab w:val="left" w:pos="2814"/>
                <w:tab w:val="left" w:pos="3894"/>
                <w:tab w:val="left" w:pos="5334"/>
                <w:tab w:val="left" w:pos="6414"/>
                <w:tab w:val="left" w:pos="7254"/>
                <w:tab w:val="left" w:pos="8574"/>
                <w:tab w:val="left" w:pos="9654"/>
              </w:tabs>
              <w:adjustRightInd/>
              <w:snapToGrid/>
              <w:jc w:val="center"/>
              <w:rPr>
                <w:rFonts w:ascii="宋体" w:hAnsi="宋体" w:cs="宋体"/>
                <w:color w:val="auto"/>
                <w:kern w:val="2"/>
                <w:szCs w:val="21"/>
                <w:highlight w:val="none"/>
              </w:rPr>
            </w:pPr>
            <w:r>
              <w:rPr>
                <w:rFonts w:hint="eastAsia" w:ascii="宋体" w:hAnsi="宋体" w:cs="宋体"/>
                <w:color w:val="auto"/>
                <w:kern w:val="2"/>
                <w:szCs w:val="21"/>
                <w:highlight w:val="none"/>
              </w:rPr>
              <w:t>不得超过预算（最高限价)</w:t>
            </w:r>
          </w:p>
        </w:tc>
      </w:tr>
    </w:tbl>
    <w:p>
      <w:pPr>
        <w:ind w:firstLine="359" w:firstLineChars="171"/>
        <w:rPr>
          <w:rFonts w:ascii="宋体" w:hAnsi="宋体" w:cs="宋体"/>
          <w:color w:val="auto"/>
          <w:szCs w:val="21"/>
          <w:highlight w:val="none"/>
        </w:rPr>
      </w:pPr>
    </w:p>
    <w:p>
      <w:pPr>
        <w:ind w:firstLine="359" w:firstLineChars="171"/>
        <w:rPr>
          <w:rFonts w:ascii="宋体" w:hAnsi="宋体" w:cs="宋体"/>
          <w:color w:val="auto"/>
          <w:szCs w:val="21"/>
          <w:highlight w:val="none"/>
        </w:rPr>
      </w:pPr>
      <w:r>
        <w:rPr>
          <w:rFonts w:hint="eastAsia" w:ascii="宋体" w:hAnsi="宋体" w:cs="宋体"/>
          <w:color w:val="auto"/>
          <w:szCs w:val="21"/>
          <w:highlight w:val="none"/>
        </w:rPr>
        <w:t>投标人代表签字：</w:t>
      </w:r>
    </w:p>
    <w:p>
      <w:pPr>
        <w:ind w:firstLine="359" w:firstLineChars="171"/>
        <w:rPr>
          <w:rFonts w:ascii="宋体" w:hAnsi="宋体" w:cs="宋体"/>
          <w:color w:val="auto"/>
          <w:szCs w:val="21"/>
          <w:highlight w:val="none"/>
        </w:rPr>
      </w:pPr>
      <w:r>
        <w:rPr>
          <w:rFonts w:hint="eastAsia" w:ascii="宋体" w:hAnsi="宋体" w:cs="宋体"/>
          <w:color w:val="auto"/>
          <w:szCs w:val="21"/>
          <w:highlight w:val="none"/>
        </w:rPr>
        <w:t>投标人盖章：</w:t>
      </w:r>
    </w:p>
    <w:p>
      <w:pPr>
        <w:ind w:firstLine="359" w:firstLineChars="171"/>
        <w:rPr>
          <w:rFonts w:ascii="宋体" w:hAnsi="宋体" w:cs="宋体"/>
          <w:color w:val="auto"/>
          <w:szCs w:val="21"/>
          <w:highlight w:val="none"/>
        </w:rPr>
      </w:pPr>
      <w:r>
        <w:rPr>
          <w:rFonts w:hint="eastAsia" w:ascii="宋体" w:hAnsi="宋体" w:cs="宋体"/>
          <w:color w:val="auto"/>
          <w:szCs w:val="21"/>
          <w:highlight w:val="none"/>
        </w:rPr>
        <w:t>日期：</w:t>
      </w:r>
    </w:p>
    <w:p>
      <w:pPr>
        <w:ind w:firstLine="361" w:firstLineChars="171"/>
        <w:rPr>
          <w:rFonts w:ascii="宋体" w:hAnsi="宋体" w:cs="宋体"/>
          <w:b/>
          <w:bCs/>
          <w:color w:val="auto"/>
          <w:szCs w:val="21"/>
          <w:highlight w:val="none"/>
        </w:rPr>
      </w:pPr>
      <w:r>
        <w:rPr>
          <w:rFonts w:hint="eastAsia" w:ascii="宋体" w:hAnsi="宋体" w:cs="宋体"/>
          <w:b/>
          <w:bCs/>
          <w:color w:val="auto"/>
          <w:szCs w:val="21"/>
          <w:highlight w:val="none"/>
        </w:rPr>
        <w:t>注：此表既要装订在投标文件的价格标中，又要按“投标须知”的规定放于唱标信封中单独密封提交。</w:t>
      </w:r>
    </w:p>
    <w:p>
      <w:pPr>
        <w:rPr>
          <w:rFonts w:ascii="宋体" w:hAnsi="宋体" w:cs="宋体"/>
          <w:color w:val="auto"/>
          <w:szCs w:val="21"/>
          <w:highlight w:val="none"/>
        </w:rPr>
      </w:pPr>
      <w:r>
        <w:rPr>
          <w:rFonts w:hint="eastAsia" w:ascii="宋体" w:hAnsi="宋体" w:cs="宋体"/>
          <w:color w:val="auto"/>
          <w:szCs w:val="21"/>
          <w:highlight w:val="none"/>
        </w:rPr>
        <w:t>注：</w:t>
      </w:r>
    </w:p>
    <w:p>
      <w:pPr>
        <w:rPr>
          <w:rFonts w:ascii="宋体" w:hAnsi="宋体" w:cs="宋体"/>
          <w:color w:val="auto"/>
          <w:szCs w:val="21"/>
          <w:highlight w:val="none"/>
        </w:rPr>
      </w:pPr>
      <w:r>
        <w:rPr>
          <w:rFonts w:hint="eastAsia" w:ascii="宋体" w:hAnsi="宋体" w:cs="宋体"/>
          <w:color w:val="auto"/>
          <w:szCs w:val="21"/>
          <w:highlight w:val="none"/>
        </w:rPr>
        <w:t>1、投标总价栏须用文字和数字两种方式表示的投标总价。</w:t>
      </w:r>
    </w:p>
    <w:p>
      <w:pPr>
        <w:rPr>
          <w:rFonts w:ascii="宋体" w:hAnsi="宋体" w:cs="宋体"/>
          <w:color w:val="auto"/>
          <w:szCs w:val="21"/>
          <w:highlight w:val="none"/>
        </w:rPr>
      </w:pPr>
      <w:r>
        <w:rPr>
          <w:rFonts w:hint="eastAsia" w:ascii="宋体" w:hAnsi="宋体" w:cs="宋体"/>
          <w:color w:val="auto"/>
          <w:szCs w:val="21"/>
          <w:highlight w:val="none"/>
        </w:rPr>
        <w:t>2、投标总价的大写与小写不一致的，以大写为准。</w:t>
      </w:r>
    </w:p>
    <w:p>
      <w:pPr>
        <w:rPr>
          <w:rFonts w:ascii="宋体" w:hAnsi="宋体" w:cs="宋体"/>
          <w:color w:val="auto"/>
          <w:szCs w:val="21"/>
          <w:highlight w:val="none"/>
        </w:rPr>
      </w:pPr>
      <w:r>
        <w:rPr>
          <w:rFonts w:hint="eastAsia" w:ascii="宋体" w:hAnsi="宋体" w:cs="宋体"/>
          <w:color w:val="auto"/>
          <w:szCs w:val="21"/>
          <w:highlight w:val="none"/>
        </w:rPr>
        <w:t>3、投标总价必须准确唯一。</w:t>
      </w:r>
    </w:p>
    <w:p>
      <w:pPr>
        <w:rPr>
          <w:rFonts w:ascii="宋体" w:hAnsi="宋体" w:cs="宋体"/>
          <w:color w:val="auto"/>
          <w:szCs w:val="21"/>
          <w:highlight w:val="none"/>
        </w:rPr>
      </w:pPr>
      <w:r>
        <w:rPr>
          <w:rFonts w:hint="eastAsia" w:ascii="宋体" w:hAnsi="宋体" w:cs="宋体"/>
          <w:color w:val="auto"/>
          <w:szCs w:val="21"/>
          <w:highlight w:val="none"/>
        </w:rPr>
        <w:t>4、所有价格均用人民币（RMB）元表示。</w:t>
      </w:r>
    </w:p>
    <w:p>
      <w:pPr>
        <w:rPr>
          <w:rFonts w:ascii="宋体" w:hAnsi="宋体" w:cs="宋体"/>
          <w:color w:val="auto"/>
          <w:szCs w:val="21"/>
          <w:highlight w:val="none"/>
        </w:rPr>
      </w:pPr>
      <w:r>
        <w:rPr>
          <w:rFonts w:hint="eastAsia" w:ascii="宋体" w:hAnsi="宋体" w:cs="宋体"/>
          <w:color w:val="auto"/>
          <w:szCs w:val="21"/>
          <w:highlight w:val="none"/>
        </w:rPr>
        <w:t>5、设备费由表2转入，材料费由表3转入，安装调试费由表4转入，伴随服务费由表5转入，质保期内备品备件费由表6转入。</w:t>
      </w:r>
    </w:p>
    <w:p>
      <w:pPr>
        <w:rPr>
          <w:rFonts w:ascii="宋体" w:hAnsi="宋体" w:cs="宋体"/>
          <w:color w:val="auto"/>
          <w:szCs w:val="21"/>
          <w:highlight w:val="none"/>
        </w:rPr>
      </w:pPr>
      <w:r>
        <w:rPr>
          <w:rFonts w:hint="eastAsia" w:ascii="宋体" w:hAnsi="宋体" w:cs="宋体"/>
          <w:color w:val="auto"/>
          <w:szCs w:val="21"/>
          <w:highlight w:val="none"/>
        </w:rPr>
        <w:t>6、投标总价包括生活垃圾转运站设备施工图设计、设备、配套构筑物、配套生产设施及工程总费用。设备费用包括工艺设备、电气设备、仪器仪表及自控系统等设备的采购供应、运输、安装、代保管、调试及性能验收、竣工验收、培训、技术服务等所产生的全部费用。工程费用包括但不限于本项目的原有设备及设施的拆除与安装（经采购人确认需予以拆除）和清运、新增土建工程、设备及管道安装以及其它公用设施改造、接口的改造及连接、调试、电气系统、控制系统、给水排水系统等辅助设施的扩容改造范围全部内容、安全文明措施、采购人根据本项目建设需要而要求的其他服务等所产生的全部费用。缺陷责任期及质保期的相关费用均包含在投标总价中。</w:t>
      </w:r>
      <w:r>
        <w:rPr>
          <w:rFonts w:hint="eastAsia" w:ascii="宋体" w:hAnsi="宋体" w:cs="宋体"/>
          <w:color w:val="auto"/>
          <w:szCs w:val="21"/>
          <w:highlight w:val="none"/>
        </w:rPr>
        <w:br w:type="page"/>
      </w:r>
    </w:p>
    <w:p>
      <w:pPr>
        <w:pStyle w:val="8"/>
        <w:widowControl w:val="0"/>
        <w:overflowPunct w:val="0"/>
        <w:spacing w:line="240" w:lineRule="auto"/>
        <w:rPr>
          <w:rFonts w:ascii="宋体" w:hAnsi="宋体" w:cs="宋体"/>
          <w:color w:val="auto"/>
          <w:sz w:val="21"/>
          <w:szCs w:val="21"/>
          <w:highlight w:val="none"/>
        </w:rPr>
      </w:pPr>
      <w:bookmarkStart w:id="902" w:name="_Toc10792"/>
      <w:r>
        <w:rPr>
          <w:rFonts w:hint="eastAsia" w:ascii="宋体" w:hAnsi="宋体" w:cs="宋体"/>
          <w:color w:val="auto"/>
          <w:sz w:val="21"/>
          <w:szCs w:val="21"/>
          <w:highlight w:val="none"/>
        </w:rPr>
        <w:t>附件3.报价明细表格式</w:t>
      </w:r>
      <w:bookmarkEnd w:id="902"/>
    </w:p>
    <w:p>
      <w:pPr>
        <w:jc w:val="center"/>
        <w:rPr>
          <w:rFonts w:hint="eastAsia" w:ascii="黑体" w:hAnsi="Tahoma" w:eastAsia="黑体" w:cstheme="minorBidi"/>
          <w:bCs w:val="0"/>
          <w:color w:val="auto"/>
          <w:sz w:val="32"/>
          <w:szCs w:val="32"/>
          <w:highlight w:val="none"/>
        </w:rPr>
      </w:pPr>
      <w:r>
        <w:rPr>
          <w:rFonts w:hint="eastAsia" w:ascii="黑体" w:eastAsia="黑体"/>
          <w:color w:val="auto"/>
          <w:sz w:val="32"/>
          <w:szCs w:val="32"/>
          <w:highlight w:val="none"/>
        </w:rPr>
        <w:t>2、</w:t>
      </w:r>
      <w:bookmarkStart w:id="903" w:name="_Toc12412"/>
      <w:r>
        <w:rPr>
          <w:rFonts w:hint="eastAsia" w:ascii="黑体" w:hAnsi="Tahoma" w:eastAsia="黑体" w:cstheme="minorBidi"/>
          <w:bCs w:val="0"/>
          <w:color w:val="auto"/>
          <w:sz w:val="32"/>
          <w:szCs w:val="32"/>
          <w:highlight w:val="none"/>
        </w:rPr>
        <w:t>设备报价明细表  包组号（</w:t>
      </w:r>
      <w:r>
        <w:rPr>
          <w:rFonts w:hint="eastAsia" w:ascii="黑体" w:eastAsia="黑体" w:cstheme="minorBidi"/>
          <w:bCs w:val="0"/>
          <w:color w:val="auto"/>
          <w:sz w:val="32"/>
          <w:szCs w:val="32"/>
          <w:highlight w:val="none"/>
          <w:lang w:val="en-US" w:eastAsia="zh-CN"/>
        </w:rPr>
        <w:t>A</w:t>
      </w:r>
      <w:r>
        <w:rPr>
          <w:rFonts w:hint="eastAsia" w:ascii="黑体" w:hAnsi="Tahoma" w:eastAsia="黑体" w:cstheme="minorBidi"/>
          <w:bCs w:val="0"/>
          <w:color w:val="auto"/>
          <w:sz w:val="32"/>
          <w:szCs w:val="32"/>
          <w:highlight w:val="none"/>
        </w:rPr>
        <w:t>）</w:t>
      </w:r>
    </w:p>
    <w:p>
      <w:pPr>
        <w:widowControl w:val="0"/>
        <w:adjustRightInd/>
        <w:snapToGrid/>
        <w:spacing w:before="180" w:beforeLines="50" w:after="180" w:afterLines="50" w:line="360" w:lineRule="exact"/>
        <w:jc w:val="both"/>
        <w:rPr>
          <w:rFonts w:hint="eastAsia" w:ascii="宋体" w:hAnsi="宋体" w:cs="Arial"/>
          <w:color w:val="auto"/>
          <w:kern w:val="2"/>
          <w:szCs w:val="21"/>
          <w:highlight w:val="none"/>
        </w:rPr>
      </w:pPr>
      <w:r>
        <w:rPr>
          <w:rFonts w:hint="eastAsia" w:ascii="宋体" w:hAnsi="宋体" w:cs="宋体"/>
          <w:color w:val="auto"/>
          <w:kern w:val="2"/>
          <w:szCs w:val="21"/>
          <w:highlight w:val="none"/>
        </w:rPr>
        <w:t xml:space="preserve">投标人名称（公章）：                </w:t>
      </w:r>
      <w:r>
        <w:rPr>
          <w:rFonts w:hint="eastAsia" w:ascii="宋体" w:hAnsi="宋体" w:cs="Arial"/>
          <w:color w:val="auto"/>
          <w:kern w:val="2"/>
          <w:szCs w:val="21"/>
          <w:highlight w:val="none"/>
        </w:rPr>
        <w:t xml:space="preserve">招标编号： </w:t>
      </w:r>
    </w:p>
    <w:tbl>
      <w:tblPr>
        <w:tblStyle w:val="34"/>
        <w:tblW w:w="8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856"/>
        <w:gridCol w:w="905"/>
        <w:gridCol w:w="1186"/>
        <w:gridCol w:w="1186"/>
        <w:gridCol w:w="1186"/>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blHeader/>
        </w:trPr>
        <w:tc>
          <w:tcPr>
            <w:tcW w:w="97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856"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color w:val="auto"/>
                <w:kern w:val="2"/>
                <w:szCs w:val="21"/>
                <w:highlight w:val="none"/>
              </w:rPr>
              <w:t>设备名称和规格型号</w:t>
            </w:r>
          </w:p>
        </w:tc>
        <w:tc>
          <w:tcPr>
            <w:tcW w:w="905"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数量</w:t>
            </w:r>
          </w:p>
        </w:tc>
        <w:tc>
          <w:tcPr>
            <w:tcW w:w="1186" w:type="dxa"/>
            <w:vAlign w:val="center"/>
          </w:tcPr>
          <w:p>
            <w:pPr>
              <w:widowControl w:val="0"/>
              <w:jc w:val="center"/>
              <w:rPr>
                <w:rFonts w:hint="eastAsia" w:ascii="宋体" w:hAnsi="宋体" w:cs="宋体"/>
                <w:b/>
                <w:bCs/>
                <w:color w:val="auto"/>
                <w:szCs w:val="21"/>
                <w:highlight w:val="none"/>
              </w:rPr>
            </w:pPr>
            <w:r>
              <w:rPr>
                <w:rFonts w:hint="eastAsia" w:ascii="宋体" w:hAnsi="宋体" w:cs="宋体"/>
                <w:color w:val="auto"/>
                <w:kern w:val="2"/>
                <w:szCs w:val="21"/>
                <w:highlight w:val="none"/>
              </w:rPr>
              <w:t>供应商或品牌</w:t>
            </w:r>
          </w:p>
        </w:tc>
        <w:tc>
          <w:tcPr>
            <w:tcW w:w="1186" w:type="dxa"/>
            <w:vAlign w:val="center"/>
          </w:tcPr>
          <w:p>
            <w:pPr>
              <w:widowControl w:val="0"/>
              <w:jc w:val="center"/>
              <w:rPr>
                <w:rFonts w:hint="eastAsia" w:ascii="宋体" w:hAnsi="宋体" w:cs="宋体"/>
                <w:b/>
                <w:bCs/>
                <w:color w:val="auto"/>
                <w:szCs w:val="21"/>
                <w:highlight w:val="none"/>
              </w:rPr>
            </w:pPr>
            <w:r>
              <w:rPr>
                <w:rFonts w:hint="eastAsia" w:ascii="宋体" w:hAnsi="宋体" w:cs="宋体"/>
                <w:color w:val="auto"/>
                <w:kern w:val="2"/>
                <w:szCs w:val="21"/>
                <w:highlight w:val="none"/>
              </w:rPr>
              <w:t>单价</w:t>
            </w:r>
          </w:p>
        </w:tc>
        <w:tc>
          <w:tcPr>
            <w:tcW w:w="1186" w:type="dxa"/>
            <w:vAlign w:val="center"/>
          </w:tcPr>
          <w:p>
            <w:pPr>
              <w:widowControl w:val="0"/>
              <w:jc w:val="center"/>
              <w:rPr>
                <w:rFonts w:hint="eastAsia" w:ascii="宋体" w:hAnsi="宋体" w:cs="宋体"/>
                <w:b/>
                <w:bCs/>
                <w:color w:val="auto"/>
                <w:szCs w:val="21"/>
                <w:highlight w:val="none"/>
              </w:rPr>
            </w:pPr>
            <w:r>
              <w:rPr>
                <w:rFonts w:hint="eastAsia" w:ascii="宋体" w:hAnsi="宋体" w:cs="宋体"/>
                <w:color w:val="auto"/>
                <w:kern w:val="2"/>
                <w:szCs w:val="21"/>
                <w:highlight w:val="none"/>
              </w:rPr>
              <w:t>合价</w:t>
            </w:r>
          </w:p>
        </w:tc>
        <w:tc>
          <w:tcPr>
            <w:tcW w:w="1198"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一</w:t>
            </w:r>
          </w:p>
        </w:tc>
        <w:tc>
          <w:tcPr>
            <w:tcW w:w="7517" w:type="dxa"/>
            <w:gridSpan w:val="6"/>
            <w:vAlign w:val="center"/>
          </w:tcPr>
          <w:p>
            <w:pPr>
              <w:adjustRightInd/>
              <w:spacing w:before="60" w:after="60"/>
              <w:jc w:val="center"/>
              <w:rPr>
                <w:rFonts w:hint="eastAsia" w:ascii="宋体" w:hAnsi="宋体" w:cs="宋体"/>
                <w:b/>
                <w:bCs/>
                <w:color w:val="auto"/>
                <w:szCs w:val="21"/>
                <w:highlight w:val="none"/>
              </w:rPr>
            </w:pPr>
            <w:r>
              <w:rPr>
                <w:rFonts w:hint="eastAsia" w:ascii="宋体" w:hAnsi="宋体" w:cs="宋体"/>
                <w:b/>
                <w:bCs/>
                <w:color w:val="auto"/>
                <w:szCs w:val="21"/>
                <w:highlight w:val="none"/>
              </w:rPr>
              <w:t>预处理系统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机械格栅</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沉渣泵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调节池提升泵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tcPr>
          <w:p>
            <w:pPr>
              <w:adjustRightInd/>
              <w:spacing w:before="60" w:after="60"/>
              <w:jc w:val="center"/>
              <w:rPr>
                <w:rFonts w:hint="eastAsia" w:ascii="宋体" w:hAnsi="宋体" w:cs="宋体"/>
                <w:color w:val="auto"/>
                <w:szCs w:val="21"/>
                <w:highlight w:val="none"/>
              </w:rPr>
            </w:pPr>
          </w:p>
        </w:tc>
        <w:tc>
          <w:tcPr>
            <w:tcW w:w="1186" w:type="dxa"/>
          </w:tcPr>
          <w:p>
            <w:pPr>
              <w:adjustRightInd/>
              <w:spacing w:before="60" w:after="60"/>
              <w:jc w:val="center"/>
              <w:rPr>
                <w:rFonts w:hint="eastAsia" w:ascii="宋体" w:hAnsi="宋体" w:cs="宋体"/>
                <w:color w:val="auto"/>
                <w:szCs w:val="21"/>
                <w:highlight w:val="none"/>
              </w:rPr>
            </w:pPr>
          </w:p>
        </w:tc>
        <w:tc>
          <w:tcPr>
            <w:tcW w:w="1186" w:type="dxa"/>
          </w:tcPr>
          <w:p>
            <w:pPr>
              <w:adjustRightInd/>
              <w:spacing w:before="60" w:after="60"/>
              <w:jc w:val="center"/>
              <w:rPr>
                <w:rFonts w:hint="eastAsia" w:ascii="宋体" w:hAnsi="宋体" w:cs="宋体"/>
                <w:color w:val="auto"/>
                <w:szCs w:val="21"/>
                <w:highlight w:val="none"/>
              </w:rPr>
            </w:pPr>
          </w:p>
        </w:tc>
        <w:tc>
          <w:tcPr>
            <w:tcW w:w="1198" w:type="dxa"/>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含导杆、耦合装置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4</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事故池提升泵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tcPr>
          <w:p>
            <w:pPr>
              <w:adjustRightInd/>
              <w:spacing w:before="60" w:after="60"/>
              <w:jc w:val="center"/>
              <w:rPr>
                <w:rFonts w:hint="eastAsia" w:ascii="宋体" w:hAnsi="宋体" w:cs="宋体"/>
                <w:color w:val="auto"/>
                <w:szCs w:val="21"/>
                <w:highlight w:val="none"/>
              </w:rPr>
            </w:pPr>
          </w:p>
        </w:tc>
        <w:tc>
          <w:tcPr>
            <w:tcW w:w="1186" w:type="dxa"/>
          </w:tcPr>
          <w:p>
            <w:pPr>
              <w:adjustRightInd/>
              <w:spacing w:before="60" w:after="60"/>
              <w:jc w:val="center"/>
              <w:rPr>
                <w:rFonts w:hint="eastAsia" w:ascii="宋体" w:hAnsi="宋体" w:cs="宋体"/>
                <w:color w:val="auto"/>
                <w:szCs w:val="21"/>
                <w:highlight w:val="none"/>
              </w:rPr>
            </w:pPr>
          </w:p>
        </w:tc>
        <w:tc>
          <w:tcPr>
            <w:tcW w:w="1186" w:type="dxa"/>
          </w:tcPr>
          <w:p>
            <w:pPr>
              <w:adjustRightInd/>
              <w:spacing w:before="60" w:after="60"/>
              <w:jc w:val="center"/>
              <w:rPr>
                <w:rFonts w:hint="eastAsia" w:ascii="宋体" w:hAnsi="宋体" w:cs="宋体"/>
                <w:color w:val="auto"/>
                <w:szCs w:val="21"/>
                <w:highlight w:val="none"/>
              </w:rPr>
            </w:pPr>
          </w:p>
        </w:tc>
        <w:tc>
          <w:tcPr>
            <w:tcW w:w="1198" w:type="dxa"/>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含导杆、耦合装置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5</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调节池潜水搅拌机</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6</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调节池液位计</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186" w:type="dxa"/>
          </w:tcPr>
          <w:p>
            <w:pPr>
              <w:adjustRightInd/>
              <w:spacing w:before="60" w:after="60"/>
              <w:jc w:val="center"/>
              <w:rPr>
                <w:rFonts w:ascii="宋体" w:hAnsi="宋体" w:cs="宋体"/>
                <w:color w:val="auto"/>
                <w:szCs w:val="21"/>
                <w:highlight w:val="none"/>
              </w:rPr>
            </w:pPr>
          </w:p>
        </w:tc>
        <w:tc>
          <w:tcPr>
            <w:tcW w:w="1186" w:type="dxa"/>
          </w:tcPr>
          <w:p>
            <w:pPr>
              <w:adjustRightInd/>
              <w:spacing w:before="60" w:after="60"/>
              <w:jc w:val="center"/>
              <w:rPr>
                <w:rFonts w:ascii="宋体" w:hAnsi="宋体" w:cs="宋体"/>
                <w:color w:val="auto"/>
                <w:szCs w:val="21"/>
                <w:highlight w:val="none"/>
              </w:rPr>
            </w:pPr>
          </w:p>
        </w:tc>
        <w:tc>
          <w:tcPr>
            <w:tcW w:w="1186" w:type="dxa"/>
          </w:tcPr>
          <w:p>
            <w:pPr>
              <w:adjustRightInd/>
              <w:spacing w:before="60" w:after="60"/>
              <w:jc w:val="center"/>
              <w:rPr>
                <w:rFonts w:ascii="宋体" w:hAnsi="宋体" w:cs="宋体"/>
                <w:color w:val="auto"/>
                <w:szCs w:val="21"/>
                <w:highlight w:val="none"/>
              </w:rPr>
            </w:pPr>
          </w:p>
        </w:tc>
        <w:tc>
          <w:tcPr>
            <w:tcW w:w="1198" w:type="dxa"/>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7</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混凝反应池搅拌器</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3台</w:t>
            </w:r>
          </w:p>
        </w:tc>
        <w:tc>
          <w:tcPr>
            <w:tcW w:w="1186" w:type="dxa"/>
          </w:tcPr>
          <w:p>
            <w:pPr>
              <w:adjustRightInd/>
              <w:spacing w:before="60" w:after="60"/>
              <w:rPr>
                <w:rFonts w:hint="eastAsia" w:ascii="宋体" w:hAnsi="宋体" w:cs="宋体"/>
                <w:color w:val="auto"/>
                <w:szCs w:val="21"/>
                <w:highlight w:val="none"/>
              </w:rPr>
            </w:pPr>
          </w:p>
        </w:tc>
        <w:tc>
          <w:tcPr>
            <w:tcW w:w="1186" w:type="dxa"/>
          </w:tcPr>
          <w:p>
            <w:pPr>
              <w:adjustRightInd/>
              <w:spacing w:before="60" w:after="60"/>
              <w:rPr>
                <w:rFonts w:hint="eastAsia" w:ascii="宋体" w:hAnsi="宋体" w:cs="宋体"/>
                <w:color w:val="auto"/>
                <w:szCs w:val="21"/>
                <w:highlight w:val="none"/>
              </w:rPr>
            </w:pPr>
          </w:p>
        </w:tc>
        <w:tc>
          <w:tcPr>
            <w:tcW w:w="1186" w:type="dxa"/>
          </w:tcPr>
          <w:p>
            <w:pPr>
              <w:adjustRightInd/>
              <w:spacing w:before="60" w:after="60"/>
              <w:rPr>
                <w:rFonts w:hint="eastAsia" w:ascii="宋体" w:hAnsi="宋体" w:cs="宋体"/>
                <w:color w:val="auto"/>
                <w:szCs w:val="21"/>
                <w:highlight w:val="none"/>
              </w:rPr>
            </w:pPr>
          </w:p>
        </w:tc>
        <w:tc>
          <w:tcPr>
            <w:tcW w:w="1198" w:type="dxa"/>
          </w:tcPr>
          <w:p>
            <w:pPr>
              <w:adjustRightInd/>
              <w:spacing w:before="60" w:after="60"/>
              <w:rPr>
                <w:rFonts w:ascii="宋体" w:hAnsi="宋体" w:cs="宋体"/>
                <w:color w:val="auto"/>
                <w:szCs w:val="21"/>
                <w:highlight w:val="none"/>
              </w:rPr>
            </w:pPr>
            <w:r>
              <w:rPr>
                <w:rFonts w:hint="eastAsia" w:ascii="宋体" w:hAnsi="宋体" w:cs="宋体"/>
                <w:color w:val="auto"/>
                <w:szCs w:val="21"/>
                <w:highlight w:val="none"/>
              </w:rPr>
              <w:t>水下不锈钢304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8</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pH计</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186" w:type="dxa"/>
            <w:vAlign w:val="center"/>
          </w:tcPr>
          <w:p>
            <w:pPr>
              <w:adjustRightInd/>
              <w:spacing w:before="60" w:after="60"/>
              <w:rPr>
                <w:rFonts w:ascii="宋体" w:hAnsi="宋体" w:cs="宋体"/>
                <w:color w:val="auto"/>
                <w:szCs w:val="21"/>
                <w:highlight w:val="none"/>
              </w:rPr>
            </w:pPr>
          </w:p>
        </w:tc>
        <w:tc>
          <w:tcPr>
            <w:tcW w:w="1186" w:type="dxa"/>
            <w:vAlign w:val="center"/>
          </w:tcPr>
          <w:p>
            <w:pPr>
              <w:adjustRightInd/>
              <w:spacing w:before="60" w:after="60"/>
              <w:rPr>
                <w:rFonts w:ascii="宋体" w:hAnsi="宋体" w:cs="宋体"/>
                <w:color w:val="auto"/>
                <w:szCs w:val="21"/>
                <w:highlight w:val="none"/>
              </w:rPr>
            </w:pPr>
          </w:p>
        </w:tc>
        <w:tc>
          <w:tcPr>
            <w:tcW w:w="1186" w:type="dxa"/>
            <w:vAlign w:val="center"/>
          </w:tcPr>
          <w:p>
            <w:pPr>
              <w:adjustRightInd/>
              <w:spacing w:before="60" w:after="60"/>
              <w:rPr>
                <w:rFonts w:ascii="宋体" w:hAnsi="宋体" w:cs="宋体"/>
                <w:color w:val="auto"/>
                <w:szCs w:val="21"/>
                <w:highlight w:val="none"/>
              </w:rPr>
            </w:pPr>
          </w:p>
        </w:tc>
        <w:tc>
          <w:tcPr>
            <w:tcW w:w="1198" w:type="dxa"/>
            <w:vAlign w:val="center"/>
          </w:tcPr>
          <w:p>
            <w:pPr>
              <w:adjustRightInd/>
              <w:spacing w:before="60" w:after="6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9</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沉淀池排泥泵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tcPr>
          <w:p>
            <w:pPr>
              <w:adjustRightInd/>
              <w:spacing w:before="60" w:after="60"/>
              <w:rPr>
                <w:rFonts w:ascii="宋体" w:hAnsi="宋体" w:cs="宋体"/>
                <w:color w:val="auto"/>
                <w:szCs w:val="21"/>
                <w:highlight w:val="none"/>
              </w:rPr>
            </w:pPr>
          </w:p>
        </w:tc>
        <w:tc>
          <w:tcPr>
            <w:tcW w:w="1186" w:type="dxa"/>
          </w:tcPr>
          <w:p>
            <w:pPr>
              <w:adjustRightInd/>
              <w:spacing w:before="60" w:after="60"/>
              <w:rPr>
                <w:rFonts w:ascii="宋体" w:hAnsi="宋体" w:cs="宋体"/>
                <w:color w:val="auto"/>
                <w:szCs w:val="21"/>
                <w:highlight w:val="none"/>
              </w:rPr>
            </w:pPr>
          </w:p>
        </w:tc>
        <w:tc>
          <w:tcPr>
            <w:tcW w:w="1186" w:type="dxa"/>
          </w:tcPr>
          <w:p>
            <w:pPr>
              <w:adjustRightInd/>
              <w:spacing w:before="60" w:after="60"/>
              <w:rPr>
                <w:rFonts w:ascii="宋体" w:hAnsi="宋体" w:cs="宋体"/>
                <w:color w:val="auto"/>
                <w:szCs w:val="21"/>
                <w:highlight w:val="none"/>
              </w:rPr>
            </w:pPr>
          </w:p>
        </w:tc>
        <w:tc>
          <w:tcPr>
            <w:tcW w:w="1198" w:type="dxa"/>
          </w:tcPr>
          <w:p>
            <w:pPr>
              <w:adjustRightInd/>
              <w:spacing w:before="60" w:after="6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10</w:t>
            </w:r>
          </w:p>
        </w:tc>
        <w:tc>
          <w:tcPr>
            <w:tcW w:w="1856" w:type="dxa"/>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污泥提升泵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11</w:t>
            </w:r>
          </w:p>
        </w:tc>
        <w:tc>
          <w:tcPr>
            <w:tcW w:w="1856" w:type="dxa"/>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污泥池液位计</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12</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CH4浓度监测仪</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vAlign w:val="center"/>
          </w:tcPr>
          <w:p>
            <w:pPr>
              <w:adjustRightInd/>
              <w:spacing w:before="60" w:after="60"/>
              <w:jc w:val="both"/>
              <w:rPr>
                <w:rFonts w:hint="eastAsia" w:ascii="宋体" w:hAnsi="宋体" w:cs="宋体"/>
                <w:color w:val="auto"/>
                <w:szCs w:val="21"/>
                <w:highlight w:val="none"/>
              </w:rPr>
            </w:pPr>
          </w:p>
        </w:tc>
        <w:tc>
          <w:tcPr>
            <w:tcW w:w="1186" w:type="dxa"/>
            <w:vAlign w:val="center"/>
          </w:tcPr>
          <w:p>
            <w:pPr>
              <w:adjustRightInd/>
              <w:spacing w:before="60" w:after="60"/>
              <w:jc w:val="both"/>
              <w:rPr>
                <w:rFonts w:hint="eastAsia" w:ascii="宋体" w:hAnsi="宋体" w:cs="宋体"/>
                <w:color w:val="auto"/>
                <w:szCs w:val="21"/>
                <w:highlight w:val="none"/>
              </w:rPr>
            </w:pPr>
          </w:p>
        </w:tc>
        <w:tc>
          <w:tcPr>
            <w:tcW w:w="1186" w:type="dxa"/>
            <w:vAlign w:val="center"/>
          </w:tcPr>
          <w:p>
            <w:pPr>
              <w:adjustRightInd/>
              <w:spacing w:before="60" w:after="60"/>
              <w:jc w:val="both"/>
              <w:rPr>
                <w:rFonts w:hint="eastAsia" w:ascii="宋体" w:hAnsi="宋体" w:cs="宋体"/>
                <w:color w:val="auto"/>
                <w:szCs w:val="21"/>
                <w:highlight w:val="none"/>
              </w:rPr>
            </w:pPr>
          </w:p>
        </w:tc>
        <w:tc>
          <w:tcPr>
            <w:tcW w:w="1198"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用于调节池、污泥池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13</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H2S 浓度监测仪</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vAlign w:val="center"/>
          </w:tcPr>
          <w:p>
            <w:pPr>
              <w:adjustRightInd/>
              <w:spacing w:before="60" w:after="60"/>
              <w:jc w:val="both"/>
              <w:rPr>
                <w:rFonts w:hint="eastAsia" w:ascii="宋体" w:hAnsi="宋体" w:cs="宋体"/>
                <w:color w:val="auto"/>
                <w:szCs w:val="21"/>
                <w:highlight w:val="none"/>
              </w:rPr>
            </w:pPr>
          </w:p>
        </w:tc>
        <w:tc>
          <w:tcPr>
            <w:tcW w:w="1186" w:type="dxa"/>
            <w:vAlign w:val="center"/>
          </w:tcPr>
          <w:p>
            <w:pPr>
              <w:adjustRightInd/>
              <w:spacing w:before="60" w:after="60"/>
              <w:jc w:val="both"/>
              <w:rPr>
                <w:rFonts w:hint="eastAsia" w:ascii="宋体" w:hAnsi="宋体" w:cs="宋体"/>
                <w:color w:val="auto"/>
                <w:szCs w:val="21"/>
                <w:highlight w:val="none"/>
              </w:rPr>
            </w:pPr>
          </w:p>
        </w:tc>
        <w:tc>
          <w:tcPr>
            <w:tcW w:w="1186" w:type="dxa"/>
            <w:vAlign w:val="center"/>
          </w:tcPr>
          <w:p>
            <w:pPr>
              <w:adjustRightInd/>
              <w:spacing w:before="60" w:after="60"/>
              <w:jc w:val="both"/>
              <w:rPr>
                <w:rFonts w:hint="eastAsia" w:ascii="宋体" w:hAnsi="宋体" w:cs="宋体"/>
                <w:color w:val="auto"/>
                <w:szCs w:val="21"/>
                <w:highlight w:val="none"/>
              </w:rPr>
            </w:pPr>
          </w:p>
        </w:tc>
        <w:tc>
          <w:tcPr>
            <w:tcW w:w="1198"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用于调节池、污泥池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14</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NH3浓度监测仪</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vAlign w:val="center"/>
          </w:tcPr>
          <w:p>
            <w:pPr>
              <w:adjustRightInd/>
              <w:spacing w:before="60" w:after="60"/>
              <w:jc w:val="both"/>
              <w:rPr>
                <w:rFonts w:hint="eastAsia" w:ascii="宋体" w:hAnsi="宋体" w:cs="宋体"/>
                <w:color w:val="auto"/>
                <w:szCs w:val="21"/>
                <w:highlight w:val="none"/>
              </w:rPr>
            </w:pPr>
          </w:p>
        </w:tc>
        <w:tc>
          <w:tcPr>
            <w:tcW w:w="1186" w:type="dxa"/>
            <w:vAlign w:val="center"/>
          </w:tcPr>
          <w:p>
            <w:pPr>
              <w:adjustRightInd/>
              <w:spacing w:before="60" w:after="60"/>
              <w:jc w:val="both"/>
              <w:rPr>
                <w:rFonts w:hint="eastAsia" w:ascii="宋体" w:hAnsi="宋体" w:cs="宋体"/>
                <w:color w:val="auto"/>
                <w:szCs w:val="21"/>
                <w:highlight w:val="none"/>
              </w:rPr>
            </w:pPr>
          </w:p>
        </w:tc>
        <w:tc>
          <w:tcPr>
            <w:tcW w:w="1186" w:type="dxa"/>
            <w:vAlign w:val="center"/>
          </w:tcPr>
          <w:p>
            <w:pPr>
              <w:adjustRightInd/>
              <w:spacing w:before="60" w:after="60"/>
              <w:jc w:val="both"/>
              <w:rPr>
                <w:rFonts w:hint="eastAsia" w:ascii="宋体" w:hAnsi="宋体" w:cs="宋体"/>
                <w:color w:val="auto"/>
                <w:szCs w:val="21"/>
                <w:highlight w:val="none"/>
              </w:rPr>
            </w:pPr>
          </w:p>
        </w:tc>
        <w:tc>
          <w:tcPr>
            <w:tcW w:w="1198" w:type="dxa"/>
            <w:vAlign w:val="center"/>
          </w:tcPr>
          <w:p>
            <w:pPr>
              <w:adjustRightInd/>
              <w:spacing w:before="60" w:after="60"/>
              <w:jc w:val="both"/>
              <w:rPr>
                <w:rFonts w:ascii="宋体" w:hAnsi="宋体" w:cs="宋体"/>
                <w:color w:val="auto"/>
                <w:szCs w:val="21"/>
                <w:highlight w:val="none"/>
              </w:rPr>
            </w:pPr>
            <w:r>
              <w:rPr>
                <w:rFonts w:hint="eastAsia" w:ascii="宋体" w:hAnsi="宋体" w:cs="宋体"/>
                <w:color w:val="auto"/>
                <w:szCs w:val="21"/>
                <w:highlight w:val="none"/>
              </w:rPr>
              <w:t>用于调节池、污泥池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二</w:t>
            </w:r>
          </w:p>
        </w:tc>
        <w:tc>
          <w:tcPr>
            <w:tcW w:w="7517" w:type="dxa"/>
            <w:gridSpan w:val="6"/>
            <w:vAlign w:val="center"/>
          </w:tcPr>
          <w:p>
            <w:pPr>
              <w:adjustRightInd/>
              <w:spacing w:before="60" w:after="60"/>
              <w:jc w:val="center"/>
              <w:rPr>
                <w:rFonts w:hint="eastAsia" w:ascii="宋体" w:hAnsi="宋体" w:cs="宋体"/>
                <w:b/>
                <w:bCs/>
                <w:color w:val="auto"/>
                <w:szCs w:val="21"/>
                <w:highlight w:val="none"/>
              </w:rPr>
            </w:pPr>
            <w:r>
              <w:rPr>
                <w:rFonts w:hint="eastAsia" w:ascii="宋体" w:hAnsi="宋体" w:cs="宋体"/>
                <w:b/>
                <w:bCs/>
                <w:color w:val="auto"/>
                <w:szCs w:val="21"/>
                <w:highlight w:val="none"/>
              </w:rPr>
              <w:t>生化系统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水解酸化池潜水搅拌机</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一级A池潜水搅拌机</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二级A池潜水搅拌机</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4</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空气悬浮风机</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5</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逆流冷却塔</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6</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板式换热器</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7</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原水冷却循环泵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过流材质：不锈钢304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8</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硝酸盐循环泵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4台</w:t>
            </w: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过流材质：不锈钢304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9</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超滤进水泵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过流材质：不锈钢304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10</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消泡喷头</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16套</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11</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膜片式微孔曝气器</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500</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三</w:t>
            </w:r>
          </w:p>
        </w:tc>
        <w:tc>
          <w:tcPr>
            <w:tcW w:w="7517" w:type="dxa"/>
            <w:gridSpan w:val="6"/>
            <w:vAlign w:val="center"/>
          </w:tcPr>
          <w:p>
            <w:pPr>
              <w:adjustRightInd/>
              <w:spacing w:before="60" w:after="60"/>
              <w:jc w:val="center"/>
              <w:rPr>
                <w:rFonts w:hint="eastAsia" w:ascii="宋体" w:hAnsi="宋体" w:cs="宋体"/>
                <w:b/>
                <w:bCs/>
                <w:color w:val="auto"/>
                <w:szCs w:val="21"/>
                <w:highlight w:val="none"/>
              </w:rPr>
            </w:pPr>
            <w:r>
              <w:rPr>
                <w:rFonts w:hint="eastAsia" w:ascii="宋体" w:hAnsi="宋体" w:cs="宋体"/>
                <w:b/>
                <w:bCs/>
                <w:color w:val="auto"/>
                <w:szCs w:val="21"/>
                <w:highlight w:val="none"/>
              </w:rPr>
              <w:t>超滤系统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外置MBR膜组件</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成套设备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循环泵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UF进水过滤器</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4</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产水罐</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5</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清洗罐</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6</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清洗泵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四</w:t>
            </w:r>
          </w:p>
        </w:tc>
        <w:tc>
          <w:tcPr>
            <w:tcW w:w="7517" w:type="dxa"/>
            <w:gridSpan w:val="6"/>
            <w:vAlign w:val="center"/>
          </w:tcPr>
          <w:p>
            <w:pPr>
              <w:adjustRightInd/>
              <w:spacing w:before="60" w:after="60"/>
              <w:jc w:val="center"/>
              <w:rPr>
                <w:rFonts w:hint="eastAsia" w:ascii="宋体" w:hAnsi="宋体" w:cs="宋体"/>
                <w:b/>
                <w:bCs/>
                <w:color w:val="auto"/>
                <w:szCs w:val="21"/>
                <w:highlight w:val="none"/>
              </w:rPr>
            </w:pPr>
            <w:r>
              <w:rPr>
                <w:rFonts w:hint="eastAsia" w:ascii="宋体" w:hAnsi="宋体" w:cs="宋体"/>
                <w:b/>
                <w:bCs/>
                <w:color w:val="auto"/>
                <w:szCs w:val="21"/>
                <w:highlight w:val="none"/>
              </w:rPr>
              <w:t>纳滤系统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纳滤进水泵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纳滤膜系统</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成套设备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增压水泵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4</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回用水泵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5</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回用水罐</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6</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浓液罐（外排水）</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五</w:t>
            </w:r>
          </w:p>
        </w:tc>
        <w:tc>
          <w:tcPr>
            <w:tcW w:w="7517" w:type="dxa"/>
            <w:gridSpan w:val="6"/>
            <w:vAlign w:val="center"/>
          </w:tcPr>
          <w:p>
            <w:pPr>
              <w:adjustRightInd/>
              <w:spacing w:before="60" w:after="60"/>
              <w:jc w:val="center"/>
              <w:rPr>
                <w:rFonts w:hint="eastAsia" w:ascii="宋体" w:hAnsi="宋体" w:cs="宋体"/>
                <w:b/>
                <w:bCs/>
                <w:color w:val="auto"/>
                <w:szCs w:val="21"/>
                <w:highlight w:val="none"/>
              </w:rPr>
            </w:pPr>
            <w:r>
              <w:rPr>
                <w:rFonts w:hint="eastAsia" w:ascii="宋体" w:hAnsi="宋体" w:cs="宋体"/>
                <w:b/>
                <w:bCs/>
                <w:color w:val="auto"/>
                <w:szCs w:val="21"/>
                <w:highlight w:val="none"/>
              </w:rPr>
              <w:t>污泥处理系统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污泥进料泵</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2台</w:t>
            </w: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86" w:type="dxa"/>
            <w:vAlign w:val="center"/>
          </w:tcPr>
          <w:p>
            <w:pPr>
              <w:adjustRightInd/>
              <w:spacing w:before="60" w:after="60"/>
              <w:jc w:val="center"/>
              <w:rPr>
                <w:rFonts w:hint="eastAsia"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叠螺脱水机</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1台</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b/>
                <w:bCs/>
                <w:color w:val="auto"/>
                <w:szCs w:val="21"/>
                <w:highlight w:val="none"/>
              </w:rPr>
            </w:pPr>
            <w:r>
              <w:rPr>
                <w:rFonts w:hint="eastAsia" w:ascii="宋体" w:hAnsi="宋体" w:cs="宋体"/>
                <w:b/>
                <w:bCs/>
                <w:color w:val="auto"/>
                <w:szCs w:val="21"/>
                <w:highlight w:val="none"/>
              </w:rPr>
              <w:t>六</w:t>
            </w:r>
          </w:p>
        </w:tc>
        <w:tc>
          <w:tcPr>
            <w:tcW w:w="7517" w:type="dxa"/>
            <w:gridSpan w:val="6"/>
            <w:vAlign w:val="center"/>
          </w:tcPr>
          <w:p>
            <w:pPr>
              <w:adjustRightInd/>
              <w:spacing w:before="60" w:after="60"/>
              <w:jc w:val="center"/>
              <w:rPr>
                <w:rFonts w:hint="eastAsia" w:ascii="宋体" w:hAnsi="宋体" w:cs="宋体"/>
                <w:b/>
                <w:bCs/>
                <w:color w:val="auto"/>
                <w:szCs w:val="21"/>
                <w:highlight w:val="none"/>
              </w:rPr>
            </w:pPr>
            <w:r>
              <w:rPr>
                <w:rFonts w:hint="eastAsia" w:ascii="宋体" w:hAnsi="宋体" w:cs="宋体"/>
                <w:b/>
                <w:bCs/>
                <w:color w:val="auto"/>
                <w:szCs w:val="21"/>
                <w:highlight w:val="none"/>
              </w:rPr>
              <w:t>加药系统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絮凝剂制备装置</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2套</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2</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碱加药装置</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3</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PAC加药装置</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4</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消毒加药装置</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5</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消泡剂投加装置</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6</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营养液投加装置</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七</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电气及控制系统</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八</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仪表</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九</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管道阀门</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79"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十</w:t>
            </w:r>
          </w:p>
        </w:tc>
        <w:tc>
          <w:tcPr>
            <w:tcW w:w="1856"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设备照明</w:t>
            </w:r>
          </w:p>
        </w:tc>
        <w:tc>
          <w:tcPr>
            <w:tcW w:w="905" w:type="dxa"/>
            <w:vAlign w:val="center"/>
          </w:tcPr>
          <w:p>
            <w:pPr>
              <w:adjustRightInd/>
              <w:spacing w:before="60" w:after="60"/>
              <w:jc w:val="center"/>
              <w:rPr>
                <w:rFonts w:ascii="宋体" w:hAnsi="宋体" w:cs="宋体"/>
                <w:color w:val="auto"/>
                <w:szCs w:val="21"/>
                <w:highlight w:val="none"/>
              </w:rPr>
            </w:pPr>
            <w:r>
              <w:rPr>
                <w:rFonts w:hint="eastAsia" w:ascii="宋体" w:hAnsi="宋体" w:cs="宋体"/>
                <w:color w:val="auto"/>
                <w:szCs w:val="21"/>
                <w:highlight w:val="none"/>
              </w:rPr>
              <w:t>1套</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trPr>
        <w:tc>
          <w:tcPr>
            <w:tcW w:w="3740" w:type="dxa"/>
            <w:gridSpan w:val="3"/>
            <w:vAlign w:val="center"/>
          </w:tcPr>
          <w:p>
            <w:pPr>
              <w:adjustRightInd/>
              <w:spacing w:before="60" w:after="60"/>
              <w:jc w:val="center"/>
              <w:rPr>
                <w:rFonts w:hint="eastAsia" w:ascii="宋体" w:hAnsi="宋体" w:cs="宋体"/>
                <w:color w:val="auto"/>
                <w:szCs w:val="21"/>
                <w:highlight w:val="none"/>
              </w:rPr>
            </w:pPr>
            <w:r>
              <w:rPr>
                <w:rFonts w:hint="eastAsia" w:ascii="宋体" w:hAnsi="宋体" w:cs="宋体"/>
                <w:color w:val="auto"/>
                <w:kern w:val="2"/>
                <w:szCs w:val="21"/>
                <w:highlight w:val="none"/>
              </w:rPr>
              <w:t>合计</w:t>
            </w: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86" w:type="dxa"/>
            <w:vAlign w:val="center"/>
          </w:tcPr>
          <w:p>
            <w:pPr>
              <w:adjustRightInd/>
              <w:spacing w:before="60" w:after="60"/>
              <w:jc w:val="center"/>
              <w:rPr>
                <w:rFonts w:ascii="宋体" w:hAnsi="宋体" w:cs="宋体"/>
                <w:color w:val="auto"/>
                <w:szCs w:val="21"/>
                <w:highlight w:val="none"/>
              </w:rPr>
            </w:pPr>
          </w:p>
        </w:tc>
        <w:tc>
          <w:tcPr>
            <w:tcW w:w="1198" w:type="dxa"/>
            <w:vAlign w:val="center"/>
          </w:tcPr>
          <w:p>
            <w:pPr>
              <w:adjustRightInd/>
              <w:spacing w:before="60" w:after="60"/>
              <w:jc w:val="center"/>
              <w:rPr>
                <w:rFonts w:ascii="宋体" w:hAnsi="宋体" w:cs="宋体"/>
                <w:color w:val="auto"/>
                <w:szCs w:val="21"/>
                <w:highlight w:val="none"/>
              </w:rPr>
            </w:pPr>
          </w:p>
        </w:tc>
      </w:tr>
    </w:tbl>
    <w:p>
      <w:pPr>
        <w:ind w:left="1667" w:hanging="1247"/>
        <w:outlineLvl w:val="1"/>
        <w:rPr>
          <w:rFonts w:ascii="宋体" w:hAnsi="宋体" w:cs="宋体"/>
          <w:color w:val="auto"/>
          <w:szCs w:val="21"/>
          <w:highlight w:val="none"/>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设备规格、性能及参数按照技术需求书执行。</w:t>
      </w:r>
    </w:p>
    <w:p>
      <w:pPr>
        <w:outlineLvl w:val="1"/>
        <w:rPr>
          <w:rFonts w:ascii="宋体" w:hAnsi="宋体" w:cs="宋体"/>
          <w:color w:val="auto"/>
          <w:szCs w:val="21"/>
          <w:highlight w:val="none"/>
        </w:rPr>
      </w:pPr>
      <w:r>
        <w:rPr>
          <w:rFonts w:hint="eastAsia" w:ascii="宋体" w:hAnsi="宋体" w:cs="宋体"/>
          <w:color w:val="auto"/>
          <w:szCs w:val="21"/>
          <w:highlight w:val="none"/>
        </w:rPr>
        <w:t>（1）  所有设备的费用均应列入本表。</w:t>
      </w:r>
      <w:r>
        <w:rPr>
          <w:rFonts w:hint="eastAsia" w:ascii="宋体" w:hAnsi="宋体" w:cs="宋体"/>
          <w:b/>
          <w:bCs/>
          <w:color w:val="auto"/>
          <w:szCs w:val="21"/>
          <w:highlight w:val="none"/>
        </w:rPr>
        <w:t>投标人报价应根据A包采购主设备清单或采购标的清单的内容报价，所有报价应不限于“</w:t>
      </w:r>
      <w:r>
        <w:rPr>
          <w:rFonts w:hint="eastAsia" w:ascii="宋体" w:hAnsi="宋体" w:cs="宋体"/>
          <w:b/>
          <w:bCs/>
          <w:color w:val="auto"/>
          <w:szCs w:val="21"/>
          <w:highlight w:val="none"/>
          <w:lang w:val="en-US" w:eastAsia="zh-CN"/>
        </w:rPr>
        <w:t>4</w:t>
      </w:r>
      <w:r>
        <w:rPr>
          <w:rFonts w:hint="eastAsia" w:ascii="宋体" w:hAnsi="宋体" w:cs="宋体"/>
          <w:b/>
          <w:bCs/>
          <w:color w:val="auto"/>
          <w:szCs w:val="21"/>
          <w:highlight w:val="none"/>
        </w:rPr>
        <w:t>.2招标主设备清单”所列设备，投标单位可在此基础上进行优化，但不能低于此配置。</w:t>
      </w:r>
    </w:p>
    <w:p>
      <w:pPr>
        <w:outlineLvl w:val="1"/>
        <w:rPr>
          <w:rFonts w:ascii="宋体" w:hAnsi="宋体" w:cs="宋体"/>
          <w:color w:val="auto"/>
          <w:szCs w:val="21"/>
          <w:highlight w:val="none"/>
        </w:rPr>
      </w:pPr>
      <w:r>
        <w:rPr>
          <w:rFonts w:hint="eastAsia" w:ascii="宋体" w:hAnsi="宋体" w:cs="宋体"/>
          <w:color w:val="auto"/>
          <w:szCs w:val="21"/>
          <w:highlight w:val="none"/>
        </w:rPr>
        <w:t>（2）  所有价格均用人民币（RMB）元表示。</w:t>
      </w:r>
    </w:p>
    <w:p>
      <w:pPr>
        <w:outlineLvl w:val="1"/>
        <w:rPr>
          <w:rFonts w:ascii="宋体" w:hAnsi="宋体" w:cs="宋体"/>
          <w:color w:val="auto"/>
          <w:szCs w:val="21"/>
          <w:highlight w:val="none"/>
        </w:rPr>
      </w:pPr>
      <w:r>
        <w:rPr>
          <w:rFonts w:hint="eastAsia" w:ascii="宋体" w:hAnsi="宋体" w:cs="宋体"/>
          <w:color w:val="auto"/>
          <w:szCs w:val="21"/>
          <w:highlight w:val="none"/>
        </w:rPr>
        <w:t>（3）  设备检修、调试和维修的专用工具（如有）应一一列明。</w:t>
      </w:r>
    </w:p>
    <w:p>
      <w:pPr>
        <w:outlineLvl w:val="1"/>
        <w:rPr>
          <w:rFonts w:ascii="宋体" w:hAnsi="宋体" w:cs="宋体"/>
          <w:color w:val="auto"/>
          <w:szCs w:val="21"/>
          <w:highlight w:val="none"/>
        </w:rPr>
      </w:pPr>
      <w:r>
        <w:rPr>
          <w:rFonts w:hint="eastAsia" w:ascii="宋体" w:hAnsi="宋体" w:cs="宋体"/>
          <w:color w:val="auto"/>
          <w:szCs w:val="21"/>
          <w:highlight w:val="none"/>
        </w:rPr>
        <w:t>（4）  如果单价×数量与总价不符时，评标时则以单价×数量为准。</w:t>
      </w:r>
    </w:p>
    <w:p>
      <w:pPr>
        <w:outlineLvl w:val="1"/>
        <w:rPr>
          <w:rFonts w:ascii="宋体" w:hAnsi="宋体" w:cs="宋体"/>
          <w:color w:val="auto"/>
          <w:szCs w:val="21"/>
          <w:highlight w:val="none"/>
        </w:rPr>
      </w:pPr>
      <w:r>
        <w:rPr>
          <w:rFonts w:hint="eastAsia" w:ascii="宋体" w:hAnsi="宋体" w:cs="宋体"/>
          <w:color w:val="auto"/>
          <w:szCs w:val="21"/>
          <w:highlight w:val="none"/>
        </w:rPr>
        <w:t>（5）  本表的合计价格应转入表1中的设备费小计中。</w:t>
      </w:r>
    </w:p>
    <w:p>
      <w:pPr>
        <w:widowControl w:val="0"/>
        <w:adjustRightInd/>
        <w:jc w:val="both"/>
        <w:rPr>
          <w:rFonts w:ascii="宋体" w:hAnsi="宋体" w:cs="宋体"/>
          <w:color w:val="auto"/>
          <w:kern w:val="2"/>
          <w:szCs w:val="21"/>
          <w:highlight w:val="none"/>
        </w:rPr>
      </w:pPr>
    </w:p>
    <w:p>
      <w:pPr>
        <w:autoSpaceDE w:val="0"/>
        <w:autoSpaceDN w:val="0"/>
        <w:adjustRightInd/>
        <w:snapToGrid/>
        <w:ind w:right="893"/>
        <w:jc w:val="both"/>
        <w:textAlignment w:val="bottom"/>
        <w:rPr>
          <w:rFonts w:ascii="宋体" w:hAnsi="宋体" w:cs="宋体"/>
          <w:color w:val="auto"/>
          <w:kern w:val="2"/>
          <w:szCs w:val="21"/>
          <w:highlight w:val="none"/>
        </w:rPr>
      </w:pPr>
      <w:r>
        <w:rPr>
          <w:rFonts w:hint="eastAsia" w:ascii="宋体" w:hAnsi="宋体" w:cs="宋体"/>
          <w:color w:val="auto"/>
          <w:kern w:val="2"/>
          <w:szCs w:val="21"/>
          <w:highlight w:val="none"/>
        </w:rPr>
        <w:t>投标人法定代表人或其委托人签字或盖私章： _____________</w:t>
      </w:r>
    </w:p>
    <w:p>
      <w:pPr>
        <w:widowControl w:val="0"/>
        <w:adjustRightInd/>
        <w:snapToGrid/>
        <w:jc w:val="both"/>
        <w:rPr>
          <w:rFonts w:hint="eastAsia" w:ascii="宋体" w:hAnsi="宋体" w:cs="宋体"/>
          <w:color w:val="auto"/>
          <w:kern w:val="2"/>
          <w:szCs w:val="21"/>
          <w:highlight w:val="none"/>
        </w:rPr>
      </w:pPr>
      <w:r>
        <w:rPr>
          <w:rFonts w:hint="eastAsia" w:ascii="宋体" w:hAnsi="宋体" w:cs="宋体"/>
          <w:color w:val="auto"/>
          <w:kern w:val="2"/>
          <w:szCs w:val="21"/>
          <w:highlight w:val="none"/>
        </w:rPr>
        <w:t>日  期：</w:t>
      </w:r>
    </w:p>
    <w:p>
      <w:pPr>
        <w:pStyle w:val="2"/>
        <w:rPr>
          <w:rFonts w:hint="eastAsia" w:ascii="宋体" w:hAnsi="宋体" w:cs="宋体"/>
          <w:color w:val="auto"/>
          <w:kern w:val="2"/>
          <w:szCs w:val="21"/>
          <w:highlight w:val="none"/>
        </w:rPr>
      </w:pPr>
    </w:p>
    <w:p>
      <w:pPr>
        <w:pStyle w:val="3"/>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jc w:val="center"/>
        <w:rPr>
          <w:rFonts w:hint="eastAsia" w:ascii="黑体" w:hAnsi="Tahoma" w:eastAsia="黑体" w:cstheme="minorBidi"/>
          <w:bCs w:val="0"/>
          <w:color w:val="auto"/>
          <w:sz w:val="32"/>
          <w:szCs w:val="32"/>
          <w:highlight w:val="none"/>
        </w:rPr>
      </w:pPr>
      <w:r>
        <w:rPr>
          <w:rFonts w:hint="eastAsia" w:ascii="黑体" w:eastAsia="黑体"/>
          <w:color w:val="auto"/>
          <w:sz w:val="32"/>
          <w:szCs w:val="32"/>
          <w:highlight w:val="none"/>
        </w:rPr>
        <w:t>2、</w:t>
      </w:r>
      <w:r>
        <w:rPr>
          <w:rFonts w:hint="eastAsia" w:ascii="黑体" w:hAnsi="Tahoma" w:eastAsia="黑体" w:cstheme="minorBidi"/>
          <w:bCs w:val="0"/>
          <w:color w:val="auto"/>
          <w:sz w:val="32"/>
          <w:szCs w:val="32"/>
          <w:highlight w:val="none"/>
        </w:rPr>
        <w:t>设备报价明细表  包组号（</w:t>
      </w:r>
      <w:r>
        <w:rPr>
          <w:rFonts w:hint="eastAsia" w:ascii="黑体" w:eastAsia="黑体" w:cstheme="minorBidi"/>
          <w:bCs w:val="0"/>
          <w:color w:val="auto"/>
          <w:sz w:val="32"/>
          <w:szCs w:val="32"/>
          <w:highlight w:val="none"/>
          <w:lang w:val="en-US" w:eastAsia="zh-CN"/>
        </w:rPr>
        <w:t>B</w:t>
      </w:r>
      <w:r>
        <w:rPr>
          <w:rFonts w:hint="eastAsia" w:ascii="黑体" w:hAnsi="Tahoma" w:eastAsia="黑体" w:cstheme="minorBidi"/>
          <w:bCs w:val="0"/>
          <w:color w:val="auto"/>
          <w:sz w:val="32"/>
          <w:szCs w:val="32"/>
          <w:highlight w:val="none"/>
        </w:rPr>
        <w:t>）</w:t>
      </w:r>
    </w:p>
    <w:p>
      <w:pPr>
        <w:widowControl w:val="0"/>
        <w:adjustRightInd/>
        <w:snapToGrid/>
        <w:spacing w:before="180" w:beforeLines="50" w:after="180" w:afterLines="50" w:line="360" w:lineRule="exact"/>
        <w:jc w:val="both"/>
        <w:rPr>
          <w:rFonts w:hint="eastAsia" w:ascii="宋体" w:hAnsi="宋体" w:cs="Arial"/>
          <w:color w:val="auto"/>
          <w:kern w:val="2"/>
          <w:szCs w:val="21"/>
          <w:highlight w:val="none"/>
        </w:rPr>
      </w:pPr>
      <w:r>
        <w:rPr>
          <w:rFonts w:hint="eastAsia" w:ascii="宋体" w:hAnsi="宋体" w:cs="宋体"/>
          <w:color w:val="auto"/>
          <w:kern w:val="2"/>
          <w:szCs w:val="21"/>
          <w:highlight w:val="none"/>
        </w:rPr>
        <w:t xml:space="preserve">投标人名称（公章）：                </w:t>
      </w:r>
      <w:r>
        <w:rPr>
          <w:rFonts w:hint="eastAsia" w:ascii="宋体" w:hAnsi="宋体" w:cs="Arial"/>
          <w:color w:val="auto"/>
          <w:kern w:val="2"/>
          <w:szCs w:val="21"/>
          <w:highlight w:val="none"/>
        </w:rPr>
        <w:t xml:space="preserve">招标编号： </w:t>
      </w:r>
    </w:p>
    <w:tbl>
      <w:tblPr>
        <w:tblStyle w:val="34"/>
        <w:tblW w:w="8500" w:type="dxa"/>
        <w:jc w:val="center"/>
        <w:tblInd w:w="0" w:type="dxa"/>
        <w:tblLayout w:type="fixed"/>
        <w:tblCellMar>
          <w:top w:w="0" w:type="dxa"/>
          <w:left w:w="108" w:type="dxa"/>
          <w:bottom w:w="0" w:type="dxa"/>
          <w:right w:w="108" w:type="dxa"/>
        </w:tblCellMar>
      </w:tblPr>
      <w:tblGrid>
        <w:gridCol w:w="839"/>
        <w:gridCol w:w="2326"/>
        <w:gridCol w:w="1125"/>
        <w:gridCol w:w="1062"/>
        <w:gridCol w:w="1197"/>
        <w:gridCol w:w="1"/>
        <w:gridCol w:w="973"/>
        <w:gridCol w:w="974"/>
        <w:gridCol w:w="3"/>
      </w:tblGrid>
      <w:tr>
        <w:tblPrEx>
          <w:tblLayout w:type="fixed"/>
          <w:tblCellMar>
            <w:top w:w="0" w:type="dxa"/>
            <w:left w:w="108" w:type="dxa"/>
            <w:bottom w:w="0" w:type="dxa"/>
            <w:right w:w="108" w:type="dxa"/>
          </w:tblCellMar>
        </w:tblPrEx>
        <w:trPr>
          <w:gridAfter w:val="1"/>
          <w:wAfter w:w="3" w:type="dxa"/>
          <w:trHeight w:val="1216" w:hRule="atLeast"/>
          <w:jc w:val="center"/>
        </w:trPr>
        <w:tc>
          <w:tcPr>
            <w:tcW w:w="839"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序号</w:t>
            </w:r>
          </w:p>
        </w:tc>
        <w:tc>
          <w:tcPr>
            <w:tcW w:w="2326"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kern w:val="2"/>
                <w:szCs w:val="21"/>
                <w:highlight w:val="none"/>
              </w:rPr>
              <w:t>设备名称和规格型号</w:t>
            </w:r>
          </w:p>
        </w:tc>
        <w:tc>
          <w:tcPr>
            <w:tcW w:w="1125"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数量</w:t>
            </w:r>
          </w:p>
        </w:tc>
        <w:tc>
          <w:tcPr>
            <w:tcW w:w="1062" w:type="dxa"/>
            <w:tcBorders>
              <w:top w:val="single" w:color="auto" w:sz="4" w:space="0"/>
              <w:left w:val="nil"/>
              <w:bottom w:val="single" w:color="auto" w:sz="4" w:space="0"/>
              <w:right w:val="single" w:color="auto" w:sz="4" w:space="0"/>
            </w:tcBorders>
            <w:shd w:val="clear" w:color="000000" w:fill="FFFFFF"/>
            <w:vAlign w:val="center"/>
          </w:tcPr>
          <w:p>
            <w:pPr>
              <w:widowControl w:val="0"/>
              <w:jc w:val="center"/>
              <w:rPr>
                <w:rFonts w:ascii="宋体" w:hAnsi="宋体" w:cs="宋体"/>
                <w:color w:val="auto"/>
                <w:szCs w:val="21"/>
                <w:highlight w:val="none"/>
                <w:lang w:eastAsia="en-US"/>
              </w:rPr>
            </w:pPr>
            <w:r>
              <w:rPr>
                <w:rFonts w:hint="eastAsia" w:ascii="宋体" w:hAnsi="宋体" w:cs="宋体"/>
                <w:color w:val="auto"/>
                <w:kern w:val="2"/>
                <w:szCs w:val="21"/>
                <w:highlight w:val="none"/>
              </w:rPr>
              <w:t>供应商或品牌</w:t>
            </w:r>
          </w:p>
        </w:tc>
        <w:tc>
          <w:tcPr>
            <w:tcW w:w="1198" w:type="dxa"/>
            <w:gridSpan w:val="2"/>
            <w:tcBorders>
              <w:top w:val="single" w:color="auto" w:sz="4" w:space="0"/>
              <w:left w:val="nil"/>
              <w:bottom w:val="single" w:color="auto" w:sz="4" w:space="0"/>
              <w:right w:val="single" w:color="auto" w:sz="4" w:space="0"/>
            </w:tcBorders>
            <w:shd w:val="clear" w:color="000000" w:fill="FFFFFF"/>
            <w:vAlign w:val="center"/>
          </w:tcPr>
          <w:p>
            <w:pPr>
              <w:widowControl w:val="0"/>
              <w:jc w:val="center"/>
              <w:rPr>
                <w:rFonts w:ascii="宋体" w:hAnsi="宋体" w:cs="宋体"/>
                <w:color w:val="auto"/>
                <w:szCs w:val="21"/>
                <w:highlight w:val="none"/>
                <w:lang w:eastAsia="en-US"/>
              </w:rPr>
            </w:pPr>
            <w:r>
              <w:rPr>
                <w:rFonts w:hint="eastAsia" w:ascii="宋体" w:hAnsi="宋体" w:cs="宋体"/>
                <w:color w:val="auto"/>
                <w:kern w:val="2"/>
                <w:szCs w:val="21"/>
                <w:highlight w:val="none"/>
              </w:rPr>
              <w:t>单价</w:t>
            </w:r>
          </w:p>
        </w:tc>
        <w:tc>
          <w:tcPr>
            <w:tcW w:w="973" w:type="dxa"/>
            <w:tcBorders>
              <w:top w:val="single" w:color="auto" w:sz="4" w:space="0"/>
              <w:left w:val="nil"/>
              <w:bottom w:val="single" w:color="auto" w:sz="4" w:space="0"/>
              <w:right w:val="single" w:color="auto" w:sz="4" w:space="0"/>
            </w:tcBorders>
            <w:shd w:val="clear" w:color="000000" w:fill="FFFFFF"/>
            <w:vAlign w:val="center"/>
          </w:tcPr>
          <w:p>
            <w:pPr>
              <w:widowControl w:val="0"/>
              <w:jc w:val="center"/>
              <w:rPr>
                <w:rFonts w:ascii="宋体" w:hAnsi="宋体" w:cs="宋体"/>
                <w:color w:val="auto"/>
                <w:szCs w:val="21"/>
                <w:highlight w:val="none"/>
                <w:lang w:eastAsia="en-US"/>
              </w:rPr>
            </w:pPr>
            <w:r>
              <w:rPr>
                <w:rFonts w:hint="eastAsia" w:ascii="宋体" w:hAnsi="宋体" w:cs="宋体"/>
                <w:color w:val="auto"/>
                <w:kern w:val="2"/>
                <w:szCs w:val="21"/>
                <w:highlight w:val="none"/>
              </w:rPr>
              <w:t>合价</w:t>
            </w:r>
          </w:p>
        </w:tc>
        <w:tc>
          <w:tcPr>
            <w:tcW w:w="974"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备注</w:t>
            </w:r>
          </w:p>
        </w:tc>
      </w:tr>
      <w:tr>
        <w:tblPrEx>
          <w:tblLayout w:type="fixed"/>
          <w:tblCellMar>
            <w:top w:w="0" w:type="dxa"/>
            <w:left w:w="108" w:type="dxa"/>
            <w:bottom w:w="0" w:type="dxa"/>
            <w:right w:w="108" w:type="dxa"/>
          </w:tblCellMar>
        </w:tblPrEx>
        <w:trPr>
          <w:gridAfter w:val="1"/>
          <w:wAfter w:w="3" w:type="dxa"/>
          <w:trHeight w:val="1621" w:hRule="atLeast"/>
          <w:jc w:val="center"/>
        </w:trPr>
        <w:tc>
          <w:tcPr>
            <w:tcW w:w="839"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水平直压式垃圾压缩机（含卸料斗及链接机构）</w:t>
            </w:r>
          </w:p>
        </w:tc>
        <w:tc>
          <w:tcPr>
            <w:tcW w:w="1125"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w:t>
            </w:r>
            <w:r>
              <w:rPr>
                <w:rFonts w:hint="eastAsia" w:ascii="宋体" w:hAnsi="宋体" w:cs="宋体"/>
                <w:color w:val="auto"/>
                <w:szCs w:val="21"/>
                <w:highlight w:val="none"/>
              </w:rPr>
              <w:t>台</w:t>
            </w:r>
          </w:p>
        </w:tc>
        <w:tc>
          <w:tcPr>
            <w:tcW w:w="1062" w:type="dxa"/>
            <w:tcBorders>
              <w:top w:val="single" w:color="auto" w:sz="4" w:space="0"/>
              <w:left w:val="nil"/>
              <w:bottom w:val="single" w:color="auto" w:sz="4" w:space="0"/>
              <w:right w:val="single" w:color="auto" w:sz="4" w:space="0"/>
            </w:tcBorders>
            <w:shd w:val="clear" w:color="000000" w:fill="FFFFFF"/>
            <w:vAlign w:val="center"/>
          </w:tcPr>
          <w:p>
            <w:pPr>
              <w:widowControl w:val="0"/>
              <w:autoSpaceDE w:val="0"/>
              <w:autoSpaceDN w:val="0"/>
              <w:rPr>
                <w:rFonts w:ascii="宋体" w:hAnsi="宋体" w:cs="宋体"/>
                <w:color w:val="auto"/>
                <w:szCs w:val="21"/>
                <w:highlight w:val="none"/>
              </w:rPr>
            </w:pPr>
          </w:p>
        </w:tc>
        <w:tc>
          <w:tcPr>
            <w:tcW w:w="1198" w:type="dxa"/>
            <w:gridSpan w:val="2"/>
            <w:tcBorders>
              <w:top w:val="single" w:color="auto" w:sz="4" w:space="0"/>
              <w:left w:val="nil"/>
              <w:bottom w:val="single" w:color="auto" w:sz="4" w:space="0"/>
              <w:right w:val="single" w:color="auto" w:sz="4" w:space="0"/>
            </w:tcBorders>
            <w:shd w:val="clear" w:color="000000" w:fill="FFFFFF"/>
            <w:vAlign w:val="center"/>
          </w:tcPr>
          <w:p>
            <w:pPr>
              <w:widowControl w:val="0"/>
              <w:autoSpaceDE w:val="0"/>
              <w:autoSpaceDN w:val="0"/>
              <w:rPr>
                <w:rFonts w:ascii="宋体" w:hAnsi="宋体" w:cs="宋体"/>
                <w:color w:val="auto"/>
                <w:szCs w:val="21"/>
                <w:highlight w:val="none"/>
              </w:rPr>
            </w:pPr>
          </w:p>
        </w:tc>
        <w:tc>
          <w:tcPr>
            <w:tcW w:w="973" w:type="dxa"/>
            <w:tcBorders>
              <w:top w:val="single" w:color="auto" w:sz="4" w:space="0"/>
              <w:left w:val="nil"/>
              <w:bottom w:val="single" w:color="auto" w:sz="4" w:space="0"/>
              <w:right w:val="single" w:color="auto" w:sz="4" w:space="0"/>
            </w:tcBorders>
            <w:shd w:val="clear" w:color="000000" w:fill="FFFFFF"/>
            <w:vAlign w:val="center"/>
          </w:tcPr>
          <w:p>
            <w:pPr>
              <w:widowControl w:val="0"/>
              <w:autoSpaceDE w:val="0"/>
              <w:autoSpaceDN w:val="0"/>
              <w:rPr>
                <w:rFonts w:ascii="宋体" w:hAnsi="宋体" w:cs="宋体"/>
                <w:color w:val="auto"/>
                <w:szCs w:val="21"/>
                <w:highlight w:val="none"/>
              </w:rPr>
            </w:pPr>
          </w:p>
        </w:tc>
        <w:tc>
          <w:tcPr>
            <w:tcW w:w="974" w:type="dxa"/>
            <w:tcBorders>
              <w:top w:val="single" w:color="auto" w:sz="4" w:space="0"/>
              <w:left w:val="nil"/>
              <w:bottom w:val="single" w:color="auto" w:sz="4" w:space="0"/>
              <w:right w:val="single" w:color="auto" w:sz="4" w:space="0"/>
            </w:tcBorders>
            <w:shd w:val="clear" w:color="000000" w:fill="FFFFFF"/>
            <w:vAlign w:val="center"/>
          </w:tcPr>
          <w:p>
            <w:pPr>
              <w:widowControl w:val="0"/>
              <w:autoSpaceDE w:val="0"/>
              <w:autoSpaceDN w:val="0"/>
              <w:rPr>
                <w:rFonts w:ascii="宋体" w:hAnsi="宋体" w:cs="宋体"/>
                <w:color w:val="auto"/>
                <w:szCs w:val="21"/>
                <w:highlight w:val="none"/>
              </w:rPr>
            </w:pPr>
          </w:p>
        </w:tc>
      </w:tr>
      <w:tr>
        <w:tblPrEx>
          <w:tblLayout w:type="fixed"/>
          <w:tblCellMar>
            <w:top w:w="0" w:type="dxa"/>
            <w:left w:w="108" w:type="dxa"/>
            <w:bottom w:w="0" w:type="dxa"/>
            <w:right w:w="108" w:type="dxa"/>
          </w:tblCellMar>
        </w:tblPrEx>
        <w:trPr>
          <w:gridAfter w:val="1"/>
          <w:wAfter w:w="3" w:type="dxa"/>
          <w:trHeight w:val="547" w:hRule="atLeast"/>
          <w:jc w:val="center"/>
        </w:trPr>
        <w:tc>
          <w:tcPr>
            <w:tcW w:w="839" w:type="dxa"/>
            <w:tcBorders>
              <w:top w:val="nil"/>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w:t>
            </w:r>
          </w:p>
        </w:tc>
        <w:tc>
          <w:tcPr>
            <w:tcW w:w="2326"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移箱平台</w:t>
            </w:r>
          </w:p>
        </w:tc>
        <w:tc>
          <w:tcPr>
            <w:tcW w:w="1125"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w:t>
            </w:r>
            <w:r>
              <w:rPr>
                <w:rFonts w:hint="eastAsia" w:ascii="宋体" w:hAnsi="宋体" w:cs="宋体"/>
                <w:color w:val="auto"/>
                <w:szCs w:val="21"/>
                <w:highlight w:val="none"/>
              </w:rPr>
              <w:t>个</w:t>
            </w:r>
          </w:p>
        </w:tc>
        <w:tc>
          <w:tcPr>
            <w:tcW w:w="1062"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1198" w:type="dxa"/>
            <w:gridSpan w:val="2"/>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3"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4"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gridAfter w:val="1"/>
          <w:wAfter w:w="3" w:type="dxa"/>
          <w:trHeight w:val="1075" w:hRule="atLeast"/>
          <w:jc w:val="center"/>
        </w:trPr>
        <w:tc>
          <w:tcPr>
            <w:tcW w:w="839" w:type="dxa"/>
            <w:tcBorders>
              <w:top w:val="nil"/>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3</w:t>
            </w:r>
          </w:p>
        </w:tc>
        <w:tc>
          <w:tcPr>
            <w:tcW w:w="2326"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地磅（车辆称重系统）</w:t>
            </w:r>
          </w:p>
        </w:tc>
        <w:tc>
          <w:tcPr>
            <w:tcW w:w="1125"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w:t>
            </w:r>
            <w:r>
              <w:rPr>
                <w:rFonts w:hint="eastAsia" w:ascii="宋体" w:hAnsi="宋体" w:cs="宋体"/>
                <w:color w:val="auto"/>
                <w:szCs w:val="21"/>
                <w:highlight w:val="none"/>
              </w:rPr>
              <w:t>套</w:t>
            </w:r>
          </w:p>
        </w:tc>
        <w:tc>
          <w:tcPr>
            <w:tcW w:w="1062"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1198" w:type="dxa"/>
            <w:gridSpan w:val="2"/>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3"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4"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gridAfter w:val="1"/>
          <w:wAfter w:w="3" w:type="dxa"/>
          <w:trHeight w:val="547" w:hRule="atLeast"/>
          <w:jc w:val="center"/>
        </w:trPr>
        <w:tc>
          <w:tcPr>
            <w:tcW w:w="839"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p>
        </w:tc>
        <w:tc>
          <w:tcPr>
            <w:tcW w:w="2326"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中央控制系统</w:t>
            </w:r>
          </w:p>
        </w:tc>
        <w:tc>
          <w:tcPr>
            <w:tcW w:w="1125"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r>
              <w:rPr>
                <w:rFonts w:hint="eastAsia" w:ascii="宋体" w:hAnsi="宋体" w:cs="宋体"/>
                <w:color w:val="auto"/>
                <w:szCs w:val="21"/>
                <w:highlight w:val="none"/>
              </w:rPr>
              <w:t>套</w:t>
            </w:r>
          </w:p>
        </w:tc>
        <w:tc>
          <w:tcPr>
            <w:tcW w:w="106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rPr>
            </w:pPr>
          </w:p>
        </w:tc>
        <w:tc>
          <w:tcPr>
            <w:tcW w:w="1198" w:type="dxa"/>
            <w:gridSpan w:val="2"/>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rPr>
            </w:pPr>
          </w:p>
        </w:tc>
        <w:tc>
          <w:tcPr>
            <w:tcW w:w="973"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rPr>
            </w:pPr>
          </w:p>
        </w:tc>
        <w:tc>
          <w:tcPr>
            <w:tcW w:w="974"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rPr>
            </w:pPr>
          </w:p>
        </w:tc>
      </w:tr>
      <w:tr>
        <w:tblPrEx>
          <w:tblLayout w:type="fixed"/>
          <w:tblCellMar>
            <w:top w:w="0" w:type="dxa"/>
            <w:left w:w="108" w:type="dxa"/>
            <w:bottom w:w="0" w:type="dxa"/>
            <w:right w:w="108" w:type="dxa"/>
          </w:tblCellMar>
        </w:tblPrEx>
        <w:trPr>
          <w:gridAfter w:val="1"/>
          <w:wAfter w:w="3" w:type="dxa"/>
          <w:trHeight w:val="547" w:hRule="atLeast"/>
          <w:jc w:val="center"/>
        </w:trPr>
        <w:tc>
          <w:tcPr>
            <w:tcW w:w="839" w:type="dxa"/>
            <w:tcBorders>
              <w:top w:val="nil"/>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5</w:t>
            </w:r>
          </w:p>
        </w:tc>
        <w:tc>
          <w:tcPr>
            <w:tcW w:w="2326"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卸料口快速卷帘门</w:t>
            </w:r>
          </w:p>
        </w:tc>
        <w:tc>
          <w:tcPr>
            <w:tcW w:w="1125"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5个</w:t>
            </w:r>
          </w:p>
        </w:tc>
        <w:tc>
          <w:tcPr>
            <w:tcW w:w="1062"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1198" w:type="dxa"/>
            <w:gridSpan w:val="2"/>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3"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4"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gridAfter w:val="1"/>
          <w:wAfter w:w="3" w:type="dxa"/>
          <w:trHeight w:val="547" w:hRule="atLeast"/>
          <w:jc w:val="center"/>
        </w:trPr>
        <w:tc>
          <w:tcPr>
            <w:tcW w:w="839" w:type="dxa"/>
            <w:tcBorders>
              <w:top w:val="nil"/>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2326"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转运口快速卷帘门</w:t>
            </w:r>
          </w:p>
        </w:tc>
        <w:tc>
          <w:tcPr>
            <w:tcW w:w="1125" w:type="dxa"/>
            <w:tcBorders>
              <w:top w:val="nil"/>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10个</w:t>
            </w:r>
          </w:p>
        </w:tc>
        <w:tc>
          <w:tcPr>
            <w:tcW w:w="1062" w:type="dxa"/>
            <w:tcBorders>
              <w:top w:val="nil"/>
              <w:left w:val="nil"/>
              <w:bottom w:val="single" w:color="auto" w:sz="4" w:space="0"/>
              <w:right w:val="single" w:color="auto" w:sz="4" w:space="0"/>
            </w:tcBorders>
            <w:shd w:val="clear" w:color="000000" w:fill="FFFFFF"/>
            <w:vAlign w:val="center"/>
          </w:tcPr>
          <w:p>
            <w:pPr>
              <w:widowControl w:val="0"/>
              <w:autoSpaceDE w:val="0"/>
              <w:autoSpaceDN w:val="0"/>
              <w:adjustRightInd/>
              <w:snapToGrid/>
              <w:rPr>
                <w:rFonts w:ascii="宋体" w:hAnsi="宋体" w:cs="宋体"/>
                <w:color w:val="auto"/>
                <w:szCs w:val="21"/>
                <w:highlight w:val="none"/>
              </w:rPr>
            </w:pPr>
          </w:p>
        </w:tc>
        <w:tc>
          <w:tcPr>
            <w:tcW w:w="1198" w:type="dxa"/>
            <w:gridSpan w:val="2"/>
            <w:tcBorders>
              <w:top w:val="nil"/>
              <w:left w:val="nil"/>
              <w:bottom w:val="single" w:color="auto" w:sz="4" w:space="0"/>
              <w:right w:val="single" w:color="auto" w:sz="4" w:space="0"/>
            </w:tcBorders>
            <w:shd w:val="clear" w:color="000000" w:fill="FFFFFF"/>
            <w:vAlign w:val="center"/>
          </w:tcPr>
          <w:p>
            <w:pPr>
              <w:widowControl w:val="0"/>
              <w:autoSpaceDE w:val="0"/>
              <w:autoSpaceDN w:val="0"/>
              <w:adjustRightInd/>
              <w:snapToGrid/>
              <w:rPr>
                <w:rFonts w:ascii="宋体" w:hAnsi="宋体" w:cs="宋体"/>
                <w:color w:val="auto"/>
                <w:szCs w:val="21"/>
                <w:highlight w:val="none"/>
              </w:rPr>
            </w:pPr>
          </w:p>
        </w:tc>
        <w:tc>
          <w:tcPr>
            <w:tcW w:w="973" w:type="dxa"/>
            <w:tcBorders>
              <w:top w:val="nil"/>
              <w:left w:val="nil"/>
              <w:bottom w:val="single" w:color="auto" w:sz="4" w:space="0"/>
              <w:right w:val="single" w:color="auto" w:sz="4" w:space="0"/>
            </w:tcBorders>
            <w:shd w:val="clear" w:color="000000" w:fill="FFFFFF"/>
            <w:vAlign w:val="center"/>
          </w:tcPr>
          <w:p>
            <w:pPr>
              <w:widowControl w:val="0"/>
              <w:autoSpaceDE w:val="0"/>
              <w:autoSpaceDN w:val="0"/>
              <w:adjustRightInd/>
              <w:snapToGrid/>
              <w:rPr>
                <w:rFonts w:ascii="宋体" w:hAnsi="宋体" w:cs="宋体"/>
                <w:color w:val="auto"/>
                <w:szCs w:val="21"/>
                <w:highlight w:val="none"/>
              </w:rPr>
            </w:pPr>
          </w:p>
        </w:tc>
        <w:tc>
          <w:tcPr>
            <w:tcW w:w="974" w:type="dxa"/>
            <w:tcBorders>
              <w:top w:val="nil"/>
              <w:left w:val="nil"/>
              <w:bottom w:val="single" w:color="auto" w:sz="4" w:space="0"/>
              <w:right w:val="single" w:color="auto" w:sz="4" w:space="0"/>
            </w:tcBorders>
            <w:shd w:val="clear" w:color="000000" w:fill="FFFFFF"/>
            <w:vAlign w:val="center"/>
          </w:tcPr>
          <w:p>
            <w:pPr>
              <w:widowControl w:val="0"/>
              <w:autoSpaceDE w:val="0"/>
              <w:autoSpaceDN w:val="0"/>
              <w:adjustRightInd/>
              <w:snapToGrid/>
              <w:rPr>
                <w:rFonts w:ascii="宋体" w:hAnsi="宋体" w:cs="宋体"/>
                <w:color w:val="auto"/>
                <w:szCs w:val="21"/>
                <w:highlight w:val="none"/>
              </w:rPr>
            </w:pPr>
          </w:p>
        </w:tc>
      </w:tr>
      <w:tr>
        <w:tblPrEx>
          <w:tblLayout w:type="fixed"/>
          <w:tblCellMar>
            <w:top w:w="0" w:type="dxa"/>
            <w:left w:w="108" w:type="dxa"/>
            <w:bottom w:w="0" w:type="dxa"/>
            <w:right w:w="108" w:type="dxa"/>
          </w:tblCellMar>
        </w:tblPrEx>
        <w:trPr>
          <w:gridAfter w:val="1"/>
          <w:wAfter w:w="3" w:type="dxa"/>
          <w:trHeight w:val="547" w:hRule="atLeast"/>
          <w:jc w:val="center"/>
        </w:trPr>
        <w:tc>
          <w:tcPr>
            <w:tcW w:w="839"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p>
        </w:tc>
        <w:tc>
          <w:tcPr>
            <w:tcW w:w="2326"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高压清洗机</w:t>
            </w:r>
          </w:p>
        </w:tc>
        <w:tc>
          <w:tcPr>
            <w:tcW w:w="1125"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4台</w:t>
            </w:r>
          </w:p>
        </w:tc>
        <w:tc>
          <w:tcPr>
            <w:tcW w:w="106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1198" w:type="dxa"/>
            <w:gridSpan w:val="2"/>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3"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4"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gridAfter w:val="1"/>
          <w:wAfter w:w="3" w:type="dxa"/>
          <w:trHeight w:val="547" w:hRule="atLeast"/>
          <w:jc w:val="center"/>
        </w:trPr>
        <w:tc>
          <w:tcPr>
            <w:tcW w:w="839"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2326"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背负式消杀喷雾器</w:t>
            </w:r>
          </w:p>
        </w:tc>
        <w:tc>
          <w:tcPr>
            <w:tcW w:w="1125"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4台</w:t>
            </w:r>
          </w:p>
        </w:tc>
        <w:tc>
          <w:tcPr>
            <w:tcW w:w="1062"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119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3"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4"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trHeight w:val="547" w:hRule="atLeast"/>
          <w:jc w:val="center"/>
        </w:trPr>
        <w:tc>
          <w:tcPr>
            <w:tcW w:w="4290"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b/>
                <w:bCs/>
                <w:color w:val="auto"/>
                <w:szCs w:val="21"/>
                <w:highlight w:val="none"/>
                <w:lang w:eastAsia="en-US"/>
              </w:rPr>
            </w:pPr>
            <w:r>
              <w:rPr>
                <w:rFonts w:hint="eastAsia" w:ascii="宋体" w:hAnsi="宋体" w:cs="宋体"/>
                <w:b/>
                <w:bCs/>
                <w:color w:val="auto"/>
                <w:szCs w:val="21"/>
                <w:highlight w:val="none"/>
                <w:lang w:eastAsia="en-US"/>
              </w:rPr>
              <w:t>大件垃圾处理</w:t>
            </w:r>
          </w:p>
        </w:tc>
        <w:tc>
          <w:tcPr>
            <w:tcW w:w="1062"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cs="宋体"/>
                <w:b/>
                <w:bCs/>
                <w:color w:val="auto"/>
                <w:szCs w:val="21"/>
                <w:highlight w:val="none"/>
                <w:lang w:eastAsia="en-US"/>
              </w:rPr>
            </w:pPr>
          </w:p>
        </w:tc>
        <w:tc>
          <w:tcPr>
            <w:tcW w:w="119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cs="宋体"/>
                <w:b/>
                <w:bCs/>
                <w:color w:val="auto"/>
                <w:szCs w:val="21"/>
                <w:highlight w:val="none"/>
                <w:lang w:eastAsia="en-US"/>
              </w:rPr>
            </w:pPr>
          </w:p>
        </w:tc>
        <w:tc>
          <w:tcPr>
            <w:tcW w:w="973"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cs="宋体"/>
                <w:b/>
                <w:bCs/>
                <w:color w:val="auto"/>
                <w:szCs w:val="21"/>
                <w:highlight w:val="none"/>
                <w:lang w:eastAsia="en-US"/>
              </w:rPr>
            </w:pPr>
          </w:p>
        </w:tc>
        <w:tc>
          <w:tcPr>
            <w:tcW w:w="977"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cs="宋体"/>
                <w:b/>
                <w:bCs/>
                <w:color w:val="auto"/>
                <w:szCs w:val="21"/>
                <w:highlight w:val="none"/>
                <w:lang w:eastAsia="en-US"/>
              </w:rPr>
            </w:pPr>
          </w:p>
        </w:tc>
      </w:tr>
      <w:tr>
        <w:tblPrEx>
          <w:tblLayout w:type="fixed"/>
          <w:tblCellMar>
            <w:top w:w="0" w:type="dxa"/>
            <w:left w:w="108" w:type="dxa"/>
            <w:bottom w:w="0" w:type="dxa"/>
            <w:right w:w="108" w:type="dxa"/>
          </w:tblCellMar>
        </w:tblPrEx>
        <w:trPr>
          <w:gridAfter w:val="1"/>
          <w:wAfter w:w="3" w:type="dxa"/>
          <w:trHeight w:val="547" w:hRule="atLeast"/>
          <w:jc w:val="center"/>
        </w:trPr>
        <w:tc>
          <w:tcPr>
            <w:tcW w:w="839"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双轴破碎机</w:t>
            </w:r>
          </w:p>
        </w:tc>
        <w:tc>
          <w:tcPr>
            <w:tcW w:w="1125"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r>
              <w:rPr>
                <w:rFonts w:hint="eastAsia" w:ascii="宋体" w:hAnsi="宋体" w:cs="宋体"/>
                <w:color w:val="auto"/>
                <w:szCs w:val="21"/>
                <w:highlight w:val="none"/>
              </w:rPr>
              <w:t>台</w:t>
            </w:r>
          </w:p>
        </w:tc>
        <w:tc>
          <w:tcPr>
            <w:tcW w:w="106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119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4" w:type="dxa"/>
            <w:gridSpan w:val="2"/>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4"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gridAfter w:val="1"/>
          <w:wAfter w:w="3" w:type="dxa"/>
          <w:trHeight w:val="547" w:hRule="atLeast"/>
          <w:jc w:val="center"/>
        </w:trPr>
        <w:tc>
          <w:tcPr>
            <w:tcW w:w="839"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链板输送机</w:t>
            </w:r>
          </w:p>
        </w:tc>
        <w:tc>
          <w:tcPr>
            <w:tcW w:w="1125"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r>
              <w:rPr>
                <w:rFonts w:hint="eastAsia" w:ascii="宋体" w:hAnsi="宋体" w:cs="宋体"/>
                <w:color w:val="auto"/>
                <w:szCs w:val="21"/>
                <w:highlight w:val="none"/>
              </w:rPr>
              <w:t>台</w:t>
            </w:r>
          </w:p>
        </w:tc>
        <w:tc>
          <w:tcPr>
            <w:tcW w:w="106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119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4" w:type="dxa"/>
            <w:gridSpan w:val="2"/>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4"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gridAfter w:val="1"/>
          <w:wAfter w:w="3" w:type="dxa"/>
          <w:trHeight w:val="547" w:hRule="atLeast"/>
          <w:jc w:val="center"/>
        </w:trPr>
        <w:tc>
          <w:tcPr>
            <w:tcW w:w="839"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皮带输送机</w:t>
            </w:r>
          </w:p>
        </w:tc>
        <w:tc>
          <w:tcPr>
            <w:tcW w:w="1125"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r>
              <w:rPr>
                <w:rFonts w:hint="eastAsia" w:ascii="宋体" w:hAnsi="宋体" w:cs="宋体"/>
                <w:color w:val="auto"/>
                <w:szCs w:val="21"/>
                <w:highlight w:val="none"/>
              </w:rPr>
              <w:t>台</w:t>
            </w:r>
          </w:p>
        </w:tc>
        <w:tc>
          <w:tcPr>
            <w:tcW w:w="106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119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4" w:type="dxa"/>
            <w:gridSpan w:val="2"/>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4"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gridAfter w:val="1"/>
          <w:wAfter w:w="3" w:type="dxa"/>
          <w:trHeight w:val="547" w:hRule="atLeast"/>
          <w:jc w:val="center"/>
        </w:trPr>
        <w:tc>
          <w:tcPr>
            <w:tcW w:w="839"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4</w:t>
            </w:r>
          </w:p>
        </w:tc>
        <w:tc>
          <w:tcPr>
            <w:tcW w:w="2326"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除铁器</w:t>
            </w:r>
          </w:p>
        </w:tc>
        <w:tc>
          <w:tcPr>
            <w:tcW w:w="1125"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1</w:t>
            </w:r>
            <w:r>
              <w:rPr>
                <w:rFonts w:hint="eastAsia" w:ascii="宋体" w:hAnsi="宋体" w:cs="宋体"/>
                <w:color w:val="auto"/>
                <w:szCs w:val="21"/>
                <w:highlight w:val="none"/>
              </w:rPr>
              <w:t>台</w:t>
            </w:r>
          </w:p>
        </w:tc>
        <w:tc>
          <w:tcPr>
            <w:tcW w:w="106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119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4" w:type="dxa"/>
            <w:gridSpan w:val="2"/>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c>
          <w:tcPr>
            <w:tcW w:w="974"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p>
        </w:tc>
      </w:tr>
      <w:tr>
        <w:tblPrEx>
          <w:tblLayout w:type="fixed"/>
          <w:tblCellMar>
            <w:top w:w="0" w:type="dxa"/>
            <w:left w:w="108" w:type="dxa"/>
            <w:bottom w:w="0" w:type="dxa"/>
            <w:right w:w="108" w:type="dxa"/>
          </w:tblCellMar>
        </w:tblPrEx>
        <w:trPr>
          <w:gridAfter w:val="1"/>
          <w:wAfter w:w="3" w:type="dxa"/>
          <w:trHeight w:val="1075" w:hRule="atLeast"/>
          <w:jc w:val="center"/>
        </w:trPr>
        <w:tc>
          <w:tcPr>
            <w:tcW w:w="839"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5</w:t>
            </w:r>
          </w:p>
        </w:tc>
        <w:tc>
          <w:tcPr>
            <w:tcW w:w="2326"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rPr>
                <w:rFonts w:ascii="宋体" w:hAnsi="宋体" w:cs="宋体"/>
                <w:color w:val="auto"/>
                <w:szCs w:val="21"/>
                <w:highlight w:val="none"/>
                <w:lang w:eastAsia="en-US"/>
              </w:rPr>
            </w:pPr>
            <w:r>
              <w:rPr>
                <w:rFonts w:hint="eastAsia" w:ascii="宋体" w:hAnsi="宋体" w:cs="宋体"/>
                <w:color w:val="auto"/>
                <w:szCs w:val="21"/>
                <w:highlight w:val="none"/>
                <w:lang w:eastAsia="en-US"/>
              </w:rPr>
              <w:t>大件垃圾</w:t>
            </w:r>
            <w:r>
              <w:rPr>
                <w:rFonts w:hint="eastAsia" w:ascii="宋体" w:hAnsi="宋体" w:cs="宋体"/>
                <w:color w:val="auto"/>
                <w:szCs w:val="21"/>
                <w:highlight w:val="none"/>
              </w:rPr>
              <w:t>出料收集箱</w:t>
            </w:r>
          </w:p>
        </w:tc>
        <w:tc>
          <w:tcPr>
            <w:tcW w:w="1125"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lang w:eastAsia="en-US"/>
              </w:rPr>
              <w:t>2</w:t>
            </w:r>
            <w:r>
              <w:rPr>
                <w:rFonts w:hint="eastAsia" w:ascii="宋体" w:hAnsi="宋体" w:cs="宋体"/>
                <w:color w:val="auto"/>
                <w:szCs w:val="21"/>
                <w:highlight w:val="none"/>
              </w:rPr>
              <w:t>个</w:t>
            </w:r>
          </w:p>
        </w:tc>
        <w:tc>
          <w:tcPr>
            <w:tcW w:w="106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p>
        </w:tc>
        <w:tc>
          <w:tcPr>
            <w:tcW w:w="119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p>
        </w:tc>
        <w:tc>
          <w:tcPr>
            <w:tcW w:w="974" w:type="dxa"/>
            <w:gridSpan w:val="2"/>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p>
        </w:tc>
        <w:tc>
          <w:tcPr>
            <w:tcW w:w="974"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gridAfter w:val="1"/>
          <w:wAfter w:w="3" w:type="dxa"/>
          <w:trHeight w:val="567" w:hRule="atLeast"/>
          <w:jc w:val="center"/>
        </w:trPr>
        <w:tc>
          <w:tcPr>
            <w:tcW w:w="4290"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snapToGrid/>
              <w:jc w:val="center"/>
              <w:rPr>
                <w:rFonts w:hint="eastAsia" w:ascii="宋体" w:hAnsi="宋体" w:cs="宋体"/>
                <w:color w:val="auto"/>
                <w:szCs w:val="21"/>
                <w:highlight w:val="none"/>
                <w:lang w:eastAsia="en-US"/>
              </w:rPr>
            </w:pPr>
            <w:r>
              <w:rPr>
                <w:rFonts w:hint="eastAsia" w:ascii="宋体" w:hAnsi="宋体" w:cs="宋体"/>
                <w:color w:val="auto"/>
                <w:kern w:val="2"/>
                <w:szCs w:val="21"/>
                <w:highlight w:val="none"/>
              </w:rPr>
              <w:t>合计</w:t>
            </w:r>
          </w:p>
        </w:tc>
        <w:tc>
          <w:tcPr>
            <w:tcW w:w="1062"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p>
        </w:tc>
        <w:tc>
          <w:tcPr>
            <w:tcW w:w="1197"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p>
        </w:tc>
        <w:tc>
          <w:tcPr>
            <w:tcW w:w="974" w:type="dxa"/>
            <w:gridSpan w:val="2"/>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p>
        </w:tc>
        <w:tc>
          <w:tcPr>
            <w:tcW w:w="974" w:type="dxa"/>
            <w:tcBorders>
              <w:top w:val="single" w:color="auto" w:sz="4" w:space="0"/>
              <w:left w:val="nil"/>
              <w:bottom w:val="single" w:color="auto" w:sz="4" w:space="0"/>
              <w:right w:val="single" w:color="auto" w:sz="4" w:space="0"/>
            </w:tcBorders>
            <w:shd w:val="clear" w:color="000000" w:fill="FFFFFF"/>
            <w:vAlign w:val="center"/>
          </w:tcPr>
          <w:p>
            <w:pPr>
              <w:autoSpaceDE w:val="0"/>
              <w:autoSpaceDN w:val="0"/>
              <w:adjustRightInd/>
              <w:snapToGrid/>
              <w:jc w:val="center"/>
              <w:rPr>
                <w:rFonts w:ascii="宋体" w:hAnsi="宋体" w:cs="宋体"/>
                <w:color w:val="auto"/>
                <w:szCs w:val="21"/>
                <w:highlight w:val="none"/>
              </w:rPr>
            </w:pPr>
          </w:p>
        </w:tc>
      </w:tr>
    </w:tbl>
    <w:p>
      <w:pPr>
        <w:ind w:left="1667" w:hanging="1247"/>
        <w:outlineLvl w:val="1"/>
        <w:rPr>
          <w:rFonts w:ascii="宋体" w:hAnsi="宋体" w:cs="宋体"/>
          <w:color w:val="auto"/>
          <w:szCs w:val="21"/>
          <w:highlight w:val="none"/>
        </w:rPr>
      </w:pPr>
    </w:p>
    <w:p>
      <w:pPr>
        <w:ind w:left="1667" w:hanging="1247"/>
        <w:outlineLvl w:val="1"/>
        <w:rPr>
          <w:rFonts w:ascii="宋体" w:hAnsi="宋体" w:cs="宋体"/>
          <w:color w:val="auto"/>
          <w:szCs w:val="21"/>
          <w:highlight w:val="none"/>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设备规格、性能及参数按照技术需求书执行。</w:t>
      </w:r>
    </w:p>
    <w:p>
      <w:pPr>
        <w:outlineLvl w:val="1"/>
        <w:rPr>
          <w:rFonts w:ascii="宋体" w:hAnsi="宋体" w:cs="宋体"/>
          <w:color w:val="auto"/>
          <w:szCs w:val="21"/>
          <w:highlight w:val="none"/>
        </w:rPr>
      </w:pPr>
      <w:r>
        <w:rPr>
          <w:rFonts w:hint="eastAsia" w:ascii="宋体" w:hAnsi="宋体" w:cs="宋体"/>
          <w:color w:val="auto"/>
          <w:szCs w:val="21"/>
          <w:highlight w:val="none"/>
        </w:rPr>
        <w:t>（1）  所有设备的费用均应列入本表。</w:t>
      </w:r>
      <w:r>
        <w:rPr>
          <w:rFonts w:hint="eastAsia" w:ascii="宋体" w:hAnsi="宋体" w:cs="宋体"/>
          <w:b/>
          <w:bCs/>
          <w:color w:val="auto"/>
          <w:szCs w:val="21"/>
          <w:highlight w:val="none"/>
        </w:rPr>
        <w:t>投标人报价应根据B包采购主设备清单或采购标的清单的内容报价，所有报价应不限于“</w:t>
      </w:r>
      <w:r>
        <w:rPr>
          <w:rFonts w:hint="eastAsia" w:ascii="宋体" w:hAnsi="宋体" w:cs="宋体"/>
          <w:b/>
          <w:bCs/>
          <w:color w:val="auto"/>
          <w:szCs w:val="21"/>
          <w:highlight w:val="none"/>
          <w:lang w:val="en-US" w:eastAsia="zh-CN"/>
        </w:rPr>
        <w:t>4</w:t>
      </w:r>
      <w:r>
        <w:rPr>
          <w:rFonts w:hint="eastAsia" w:ascii="宋体" w:hAnsi="宋体" w:cs="宋体"/>
          <w:b/>
          <w:bCs/>
          <w:color w:val="auto"/>
          <w:szCs w:val="21"/>
          <w:highlight w:val="none"/>
        </w:rPr>
        <w:t>.2招标主设备清单”所列设备，投标单位可在此基础上进行优化，但不能低于此配置。</w:t>
      </w:r>
    </w:p>
    <w:p>
      <w:pPr>
        <w:outlineLvl w:val="1"/>
        <w:rPr>
          <w:rFonts w:ascii="宋体" w:hAnsi="宋体" w:cs="宋体"/>
          <w:color w:val="auto"/>
          <w:szCs w:val="21"/>
          <w:highlight w:val="none"/>
        </w:rPr>
      </w:pPr>
      <w:r>
        <w:rPr>
          <w:rFonts w:hint="eastAsia" w:ascii="宋体" w:hAnsi="宋体" w:cs="宋体"/>
          <w:color w:val="auto"/>
          <w:szCs w:val="21"/>
          <w:highlight w:val="none"/>
        </w:rPr>
        <w:t>（2）  所有价格均用人民币（RMB）元表示。</w:t>
      </w:r>
    </w:p>
    <w:p>
      <w:pPr>
        <w:outlineLvl w:val="1"/>
        <w:rPr>
          <w:rFonts w:ascii="宋体" w:hAnsi="宋体" w:cs="宋体"/>
          <w:color w:val="auto"/>
          <w:szCs w:val="21"/>
          <w:highlight w:val="none"/>
        </w:rPr>
      </w:pPr>
      <w:r>
        <w:rPr>
          <w:rFonts w:hint="eastAsia" w:ascii="宋体" w:hAnsi="宋体" w:cs="宋体"/>
          <w:color w:val="auto"/>
          <w:szCs w:val="21"/>
          <w:highlight w:val="none"/>
        </w:rPr>
        <w:t>（3）  设备检修、调试和维修的专用工具（如有）应一一列明。</w:t>
      </w:r>
    </w:p>
    <w:p>
      <w:pPr>
        <w:outlineLvl w:val="1"/>
        <w:rPr>
          <w:rFonts w:ascii="宋体" w:hAnsi="宋体" w:cs="宋体"/>
          <w:color w:val="auto"/>
          <w:szCs w:val="21"/>
          <w:highlight w:val="none"/>
        </w:rPr>
      </w:pPr>
      <w:r>
        <w:rPr>
          <w:rFonts w:hint="eastAsia" w:ascii="宋体" w:hAnsi="宋体" w:cs="宋体"/>
          <w:color w:val="auto"/>
          <w:szCs w:val="21"/>
          <w:highlight w:val="none"/>
        </w:rPr>
        <w:t>（4）  如果单价×数量与总价不符时，评标时则以单价×数量为准。</w:t>
      </w:r>
    </w:p>
    <w:p>
      <w:pPr>
        <w:outlineLvl w:val="1"/>
        <w:rPr>
          <w:rFonts w:ascii="宋体" w:hAnsi="宋体" w:cs="宋体"/>
          <w:color w:val="auto"/>
          <w:szCs w:val="21"/>
          <w:highlight w:val="none"/>
        </w:rPr>
      </w:pPr>
      <w:r>
        <w:rPr>
          <w:rFonts w:hint="eastAsia" w:ascii="宋体" w:hAnsi="宋体" w:cs="宋体"/>
          <w:color w:val="auto"/>
          <w:szCs w:val="21"/>
          <w:highlight w:val="none"/>
        </w:rPr>
        <w:t>（5）  本表的合计价格应转入表1中的设备费小计中。</w:t>
      </w:r>
    </w:p>
    <w:p>
      <w:pPr>
        <w:widowControl w:val="0"/>
        <w:adjustRightInd/>
        <w:jc w:val="both"/>
        <w:rPr>
          <w:rFonts w:ascii="宋体" w:hAnsi="宋体" w:cs="宋体"/>
          <w:color w:val="auto"/>
          <w:kern w:val="2"/>
          <w:szCs w:val="21"/>
          <w:highlight w:val="none"/>
        </w:rPr>
      </w:pPr>
    </w:p>
    <w:p>
      <w:pPr>
        <w:autoSpaceDE w:val="0"/>
        <w:autoSpaceDN w:val="0"/>
        <w:adjustRightInd/>
        <w:snapToGrid/>
        <w:ind w:right="893"/>
        <w:jc w:val="both"/>
        <w:textAlignment w:val="bottom"/>
        <w:rPr>
          <w:rFonts w:ascii="宋体" w:hAnsi="宋体" w:cs="宋体"/>
          <w:color w:val="auto"/>
          <w:kern w:val="2"/>
          <w:szCs w:val="21"/>
          <w:highlight w:val="none"/>
        </w:rPr>
      </w:pPr>
      <w:r>
        <w:rPr>
          <w:rFonts w:hint="eastAsia" w:ascii="宋体" w:hAnsi="宋体" w:cs="宋体"/>
          <w:color w:val="auto"/>
          <w:kern w:val="2"/>
          <w:szCs w:val="21"/>
          <w:highlight w:val="none"/>
        </w:rPr>
        <w:t>投标人法定代表人或其委托人签字或盖私章： _____________</w:t>
      </w:r>
    </w:p>
    <w:p>
      <w:pPr>
        <w:widowControl w:val="0"/>
        <w:adjustRightInd/>
        <w:snapToGrid/>
        <w:jc w:val="both"/>
        <w:rPr>
          <w:rFonts w:hint="eastAsia" w:ascii="宋体" w:hAnsi="宋体" w:cs="宋体"/>
          <w:color w:val="auto"/>
          <w:kern w:val="2"/>
          <w:sz w:val="24"/>
          <w:szCs w:val="24"/>
          <w:highlight w:val="none"/>
          <w:u w:val="single"/>
        </w:rPr>
      </w:pPr>
      <w:r>
        <w:rPr>
          <w:rFonts w:hint="eastAsia" w:ascii="宋体" w:hAnsi="宋体" w:cs="宋体"/>
          <w:color w:val="auto"/>
          <w:kern w:val="2"/>
          <w:szCs w:val="21"/>
          <w:highlight w:val="none"/>
        </w:rPr>
        <w:t>日  期：</w:t>
      </w:r>
      <w:r>
        <w:rPr>
          <w:rFonts w:hint="eastAsia" w:ascii="宋体" w:hAnsi="宋体" w:cs="宋体"/>
          <w:color w:val="auto"/>
          <w:kern w:val="2"/>
          <w:sz w:val="24"/>
          <w:szCs w:val="24"/>
          <w:highlight w:val="none"/>
          <w:u w:val="single"/>
        </w:rPr>
        <w:t xml:space="preserve"> </w:t>
      </w:r>
    </w:p>
    <w:p>
      <w:pPr>
        <w:pStyle w:val="2"/>
        <w:rPr>
          <w:rFonts w:hint="eastAsia" w:ascii="宋体" w:hAnsi="宋体" w:cs="宋体"/>
          <w:color w:val="auto"/>
          <w:kern w:val="2"/>
          <w:sz w:val="24"/>
          <w:szCs w:val="24"/>
          <w:highlight w:val="none"/>
          <w:u w:val="single"/>
        </w:rPr>
      </w:pPr>
    </w:p>
    <w:p>
      <w:pPr>
        <w:pStyle w:val="3"/>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jc w:val="center"/>
        <w:rPr>
          <w:rFonts w:hint="eastAsia" w:ascii="黑体" w:hAnsi="Tahoma" w:eastAsia="黑体" w:cstheme="minorBidi"/>
          <w:bCs w:val="0"/>
          <w:color w:val="auto"/>
          <w:sz w:val="32"/>
          <w:szCs w:val="32"/>
          <w:highlight w:val="none"/>
        </w:rPr>
      </w:pPr>
      <w:r>
        <w:rPr>
          <w:rFonts w:hint="eastAsia" w:ascii="黑体" w:eastAsia="黑体"/>
          <w:color w:val="auto"/>
          <w:sz w:val="32"/>
          <w:szCs w:val="32"/>
          <w:highlight w:val="none"/>
        </w:rPr>
        <w:t>2、</w:t>
      </w:r>
      <w:r>
        <w:rPr>
          <w:rFonts w:hint="eastAsia" w:ascii="黑体" w:hAnsi="Tahoma" w:eastAsia="黑体" w:cstheme="minorBidi"/>
          <w:bCs w:val="0"/>
          <w:color w:val="auto"/>
          <w:sz w:val="32"/>
          <w:szCs w:val="32"/>
          <w:highlight w:val="none"/>
        </w:rPr>
        <w:t>设备报价明细表  包组号（</w:t>
      </w:r>
      <w:r>
        <w:rPr>
          <w:rFonts w:hint="eastAsia" w:ascii="黑体" w:eastAsia="黑体" w:cstheme="minorBidi"/>
          <w:bCs w:val="0"/>
          <w:color w:val="auto"/>
          <w:sz w:val="32"/>
          <w:szCs w:val="32"/>
          <w:highlight w:val="none"/>
          <w:lang w:val="en-US" w:eastAsia="zh-CN"/>
        </w:rPr>
        <w:t>C</w:t>
      </w:r>
      <w:r>
        <w:rPr>
          <w:rFonts w:hint="eastAsia" w:ascii="黑体" w:hAnsi="Tahoma" w:eastAsia="黑体" w:cstheme="minorBidi"/>
          <w:bCs w:val="0"/>
          <w:color w:val="auto"/>
          <w:sz w:val="32"/>
          <w:szCs w:val="32"/>
          <w:highlight w:val="none"/>
        </w:rPr>
        <w:t>）</w:t>
      </w:r>
    </w:p>
    <w:p>
      <w:pPr>
        <w:widowControl w:val="0"/>
        <w:adjustRightInd/>
        <w:snapToGrid/>
        <w:spacing w:before="180" w:beforeLines="50" w:after="180" w:afterLines="50" w:line="360" w:lineRule="exact"/>
        <w:jc w:val="both"/>
        <w:rPr>
          <w:rFonts w:ascii="宋体" w:hAnsi="宋体" w:cs="宋体"/>
          <w:color w:val="auto"/>
          <w:kern w:val="2"/>
          <w:szCs w:val="21"/>
          <w:highlight w:val="none"/>
        </w:rPr>
      </w:pPr>
      <w:r>
        <w:rPr>
          <w:rFonts w:hint="eastAsia" w:ascii="宋体" w:hAnsi="宋体" w:cs="宋体"/>
          <w:color w:val="auto"/>
          <w:kern w:val="2"/>
          <w:szCs w:val="21"/>
          <w:highlight w:val="none"/>
        </w:rPr>
        <w:t xml:space="preserve">投标人名称（公章）：                </w:t>
      </w:r>
      <w:r>
        <w:rPr>
          <w:rFonts w:hint="eastAsia" w:ascii="宋体" w:hAnsi="宋体" w:cs="Arial"/>
          <w:color w:val="auto"/>
          <w:kern w:val="2"/>
          <w:szCs w:val="21"/>
          <w:highlight w:val="none"/>
        </w:rPr>
        <w:t xml:space="preserve">招标编号： </w:t>
      </w:r>
    </w:p>
    <w:tbl>
      <w:tblPr>
        <w:tblStyle w:val="35"/>
        <w:tblW w:w="95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049"/>
        <w:gridCol w:w="677"/>
        <w:gridCol w:w="728"/>
        <w:gridCol w:w="1349"/>
        <w:gridCol w:w="1313"/>
        <w:gridCol w:w="1284"/>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9" w:hRule="atLeast"/>
          <w:tblHeader/>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序号</w:t>
            </w:r>
          </w:p>
        </w:tc>
        <w:tc>
          <w:tcPr>
            <w:tcW w:w="2049"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宋体" w:hAnsi="宋体" w:cs="宋体"/>
                <w:color w:val="auto"/>
                <w:kern w:val="2"/>
                <w:szCs w:val="21"/>
                <w:highlight w:val="none"/>
              </w:rPr>
              <w:t>设备名称和规格型号</w:t>
            </w:r>
          </w:p>
        </w:tc>
        <w:tc>
          <w:tcPr>
            <w:tcW w:w="677" w:type="dxa"/>
            <w:vAlign w:val="center"/>
          </w:tcPr>
          <w:p>
            <w:pPr>
              <w:pStyle w:val="2"/>
              <w:spacing w:before="0"/>
              <w:ind w:left="0"/>
              <w:jc w:val="center"/>
              <w:rPr>
                <w:rFonts w:hint="eastAsia" w:asciiTheme="minorEastAsia" w:hAnsiTheme="minorEastAsia" w:eastAsiaTheme="minorEastAsia" w:cstheme="minorEastAsia"/>
                <w:b/>
                <w:bCs/>
                <w:iCs/>
                <w:color w:val="auto"/>
                <w:sz w:val="21"/>
                <w:szCs w:val="21"/>
                <w:highlight w:val="none"/>
                <w:lang w:eastAsia="zh-CN"/>
              </w:rPr>
            </w:pPr>
            <w:r>
              <w:rPr>
                <w:rFonts w:hint="eastAsia" w:asciiTheme="minorEastAsia" w:hAnsiTheme="minorEastAsia" w:eastAsiaTheme="minorEastAsia" w:cstheme="minorEastAsia"/>
                <w:b/>
                <w:bCs/>
                <w:iCs/>
                <w:color w:val="auto"/>
                <w:sz w:val="21"/>
                <w:szCs w:val="21"/>
                <w:highlight w:val="none"/>
                <w:lang w:eastAsia="zh-CN"/>
              </w:rPr>
              <w:t>数量</w:t>
            </w:r>
          </w:p>
        </w:tc>
        <w:tc>
          <w:tcPr>
            <w:tcW w:w="728" w:type="dxa"/>
            <w:vAlign w:val="center"/>
          </w:tcPr>
          <w:p>
            <w:pPr>
              <w:pStyle w:val="2"/>
              <w:spacing w:before="0"/>
              <w:ind w:left="0"/>
              <w:jc w:val="center"/>
              <w:rPr>
                <w:rFonts w:hint="eastAsia" w:asciiTheme="minorEastAsia" w:hAnsiTheme="minorEastAsia" w:eastAsiaTheme="minorEastAsia" w:cstheme="minorEastAsia"/>
                <w:b/>
                <w:bCs/>
                <w:iCs/>
                <w:color w:val="auto"/>
                <w:sz w:val="21"/>
                <w:szCs w:val="21"/>
                <w:highlight w:val="none"/>
                <w:lang w:eastAsia="zh-CN"/>
              </w:rPr>
            </w:pPr>
            <w:r>
              <w:rPr>
                <w:rFonts w:hint="eastAsia" w:asciiTheme="minorEastAsia" w:hAnsiTheme="minorEastAsia" w:eastAsiaTheme="minorEastAsia" w:cstheme="minorEastAsia"/>
                <w:b/>
                <w:bCs/>
                <w:iCs/>
                <w:color w:val="auto"/>
                <w:sz w:val="21"/>
                <w:szCs w:val="21"/>
                <w:highlight w:val="none"/>
                <w:lang w:eastAsia="zh-CN"/>
              </w:rPr>
              <w:t>单位</w:t>
            </w:r>
          </w:p>
        </w:tc>
        <w:tc>
          <w:tcPr>
            <w:tcW w:w="1349" w:type="dxa"/>
            <w:vAlign w:val="center"/>
          </w:tcPr>
          <w:p>
            <w:pPr>
              <w:widowControl w:val="0"/>
              <w:jc w:val="center"/>
              <w:rPr>
                <w:rFonts w:hint="eastAsia" w:asciiTheme="minorEastAsia" w:hAnsiTheme="minorEastAsia" w:eastAsiaTheme="minorEastAsia" w:cstheme="minorEastAsia"/>
                <w:b/>
                <w:bCs/>
                <w:iCs/>
                <w:color w:val="auto"/>
                <w:sz w:val="21"/>
                <w:szCs w:val="21"/>
                <w:highlight w:val="none"/>
                <w:lang w:eastAsia="zh-CN"/>
              </w:rPr>
            </w:pPr>
            <w:r>
              <w:rPr>
                <w:rFonts w:hint="eastAsia" w:ascii="宋体" w:hAnsi="宋体" w:cs="宋体"/>
                <w:color w:val="auto"/>
                <w:kern w:val="2"/>
                <w:szCs w:val="21"/>
                <w:highlight w:val="none"/>
              </w:rPr>
              <w:t>供应商或品牌</w:t>
            </w:r>
          </w:p>
        </w:tc>
        <w:tc>
          <w:tcPr>
            <w:tcW w:w="1313" w:type="dxa"/>
            <w:vAlign w:val="center"/>
          </w:tcPr>
          <w:p>
            <w:pPr>
              <w:widowControl w:val="0"/>
              <w:jc w:val="center"/>
              <w:rPr>
                <w:rFonts w:hint="eastAsia" w:asciiTheme="minorEastAsia" w:hAnsiTheme="minorEastAsia" w:eastAsiaTheme="minorEastAsia" w:cstheme="minorEastAsia"/>
                <w:b/>
                <w:bCs/>
                <w:iCs/>
                <w:color w:val="auto"/>
                <w:sz w:val="21"/>
                <w:szCs w:val="21"/>
                <w:highlight w:val="none"/>
                <w:lang w:eastAsia="zh-CN"/>
              </w:rPr>
            </w:pPr>
            <w:r>
              <w:rPr>
                <w:rFonts w:hint="eastAsia" w:ascii="宋体" w:hAnsi="宋体" w:cs="宋体"/>
                <w:color w:val="auto"/>
                <w:kern w:val="2"/>
                <w:szCs w:val="21"/>
                <w:highlight w:val="none"/>
              </w:rPr>
              <w:t>单价</w:t>
            </w:r>
          </w:p>
        </w:tc>
        <w:tc>
          <w:tcPr>
            <w:tcW w:w="1284" w:type="dxa"/>
            <w:vAlign w:val="center"/>
          </w:tcPr>
          <w:p>
            <w:pPr>
              <w:widowControl w:val="0"/>
              <w:jc w:val="center"/>
              <w:rPr>
                <w:rFonts w:hint="eastAsia" w:asciiTheme="minorEastAsia" w:hAnsiTheme="minorEastAsia" w:eastAsiaTheme="minorEastAsia" w:cstheme="minorEastAsia"/>
                <w:b/>
                <w:bCs/>
                <w:iCs/>
                <w:color w:val="auto"/>
                <w:sz w:val="21"/>
                <w:szCs w:val="21"/>
                <w:highlight w:val="none"/>
                <w:lang w:eastAsia="zh-CN"/>
              </w:rPr>
            </w:pPr>
            <w:r>
              <w:rPr>
                <w:rFonts w:hint="eastAsia" w:ascii="宋体" w:hAnsi="宋体" w:cs="宋体"/>
                <w:color w:val="auto"/>
                <w:kern w:val="2"/>
                <w:szCs w:val="21"/>
                <w:highlight w:val="none"/>
              </w:rPr>
              <w:t>合价</w:t>
            </w:r>
          </w:p>
        </w:tc>
        <w:tc>
          <w:tcPr>
            <w:tcW w:w="1496" w:type="dxa"/>
            <w:vAlign w:val="center"/>
          </w:tcPr>
          <w:p>
            <w:pPr>
              <w:pStyle w:val="2"/>
              <w:spacing w:before="0"/>
              <w:ind w:left="0"/>
              <w:jc w:val="center"/>
              <w:rPr>
                <w:rFonts w:hint="eastAsia" w:asciiTheme="minorEastAsia" w:hAnsiTheme="minorEastAsia" w:eastAsiaTheme="minorEastAsia" w:cstheme="minorEastAsia"/>
                <w:b/>
                <w:bCs/>
                <w:iCs/>
                <w:color w:val="auto"/>
                <w:sz w:val="21"/>
                <w:szCs w:val="21"/>
                <w:highlight w:val="none"/>
                <w:lang w:eastAsia="zh-CN"/>
              </w:rPr>
            </w:pPr>
            <w:r>
              <w:rPr>
                <w:rFonts w:hint="eastAsia" w:asciiTheme="minorEastAsia" w:hAnsiTheme="minorEastAsia" w:eastAsiaTheme="minorEastAsia" w:cstheme="minorEastAsia"/>
                <w:b/>
                <w:bCs/>
                <w:iCs/>
                <w:color w:val="auto"/>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20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压缩车间卸料大厅、卸料口负压除臭系统</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酸洗塔</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碱洗塔</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加药系统</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  酸洗循环泵</w:t>
            </w:r>
          </w:p>
          <w:p>
            <w:pPr>
              <w:pStyle w:val="3"/>
              <w:ind w:left="480"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（一用一备）</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材质：FPRR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  碱洗循环泵</w:t>
            </w:r>
          </w:p>
          <w:p>
            <w:pPr>
              <w:pStyle w:val="3"/>
              <w:ind w:left="480" w:firstLine="0" w:firstLine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（一用一备）</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材质：FPRR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喷淋系统</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离心风机</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材质：FRP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电气控制柜</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7"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排气筒</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pStyle w:val="3"/>
              <w:ind w:left="0" w:leftChars="0" w:firstLine="0" w:firstLineChars="0"/>
              <w:jc w:val="both"/>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3"/>
              <w:ind w:left="0" w:leftChars="0" w:firstLine="0" w:firstLineChars="0"/>
              <w:jc w:val="both"/>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3"/>
              <w:ind w:left="0" w:leftChars="0" w:firstLine="0" w:firstLineChars="0"/>
              <w:jc w:val="both"/>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PP，8mm，与压缩车间、污水池负压除臭系统共用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系统内连接管道</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电动风阀</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5</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个</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手动风阀</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系统内电缆</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国标，电控柜与设备间的动力及控制电缆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系统内安装配件</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系统内负压集风管、集风罩</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2</w:t>
            </w:r>
          </w:p>
        </w:tc>
        <w:tc>
          <w:tcPr>
            <w:tcW w:w="20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压缩车间、污水池负压除臭系统</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酸洗塔</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碱洗塔</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3"/>
              <w:ind w:left="0" w:leftChars="0" w:firstLine="0" w:firstLineChars="0"/>
              <w:jc w:val="both"/>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3"/>
              <w:ind w:left="0" w:leftChars="0" w:firstLine="0" w:firstLineChars="0"/>
              <w:jc w:val="both"/>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3"/>
              <w:ind w:left="0" w:leftChars="0" w:firstLine="0" w:firstLineChars="0"/>
              <w:jc w:val="both"/>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加药系统</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  酸洗循环泵</w:t>
            </w:r>
          </w:p>
          <w:p>
            <w:pPr>
              <w:pStyle w:val="3"/>
              <w:ind w:left="480" w:firstLine="0" w:firstLineChars="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（一用一备）</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材质：FPRR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  碱洗循环泵</w:t>
            </w:r>
          </w:p>
          <w:p>
            <w:pPr>
              <w:pStyle w:val="3"/>
              <w:ind w:left="480" w:firstLine="0" w:firstLineChars="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（一用一备）</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材质：FPRR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喷淋系统</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离心风机</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材质：FRP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电气控制柜</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7"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排气筒</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pStyle w:val="3"/>
              <w:ind w:left="0" w:leftChars="0" w:firstLine="0" w:firstLineChars="0"/>
              <w:jc w:val="both"/>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3"/>
              <w:ind w:left="0" w:leftChars="0" w:firstLine="0" w:firstLineChars="0"/>
              <w:jc w:val="both"/>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3"/>
              <w:ind w:left="0" w:leftChars="0" w:firstLine="0" w:firstLineChars="0"/>
              <w:jc w:val="both"/>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PP，8mm，与卸料大厅及卸料口除臭系统共用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系统内连接管道</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手动风阀</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系统内电缆</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国标，电控柜与设备间的动力及控制电缆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系统内安装配件</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系统内负压集风管、集风罩</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3</w:t>
            </w:r>
          </w:p>
        </w:tc>
        <w:tc>
          <w:tcPr>
            <w:tcW w:w="20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厨余垃圾车间负压除臭系统</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酸洗塔</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酸洗塔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碱洗塔</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3"/>
              <w:ind w:left="0" w:leftChars="0" w:firstLine="0" w:firstLineChars="0"/>
              <w:jc w:val="both"/>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3"/>
              <w:ind w:left="0" w:leftChars="0" w:firstLine="0" w:firstLineChars="0"/>
              <w:jc w:val="both"/>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3"/>
              <w:ind w:left="0" w:leftChars="0" w:firstLine="0" w:firstLineChars="0"/>
              <w:jc w:val="both"/>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碱洗塔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生物滤床</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1349" w:type="dxa"/>
            <w:vAlign w:val="center"/>
          </w:tcPr>
          <w:p>
            <w:pPr>
              <w:pStyle w:val="3"/>
              <w:ind w:left="0" w:leftChars="0" w:firstLine="0" w:firstLineChars="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3"/>
              <w:ind w:left="0" w:leftChars="0" w:firstLine="0" w:firstLineChars="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3"/>
              <w:ind w:left="0" w:leftChars="0" w:firstLine="0" w:firstLineChars="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离心风机</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台</w:t>
            </w:r>
          </w:p>
        </w:tc>
        <w:tc>
          <w:tcPr>
            <w:tcW w:w="1349"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酸洗循环水泵</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2</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台</w:t>
            </w:r>
          </w:p>
        </w:tc>
        <w:tc>
          <w:tcPr>
            <w:tcW w:w="1349"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碱洗循环水泵</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2</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台</w:t>
            </w:r>
          </w:p>
        </w:tc>
        <w:tc>
          <w:tcPr>
            <w:tcW w:w="1349"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生物循环水泵</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3</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台</w:t>
            </w:r>
          </w:p>
        </w:tc>
        <w:tc>
          <w:tcPr>
            <w:tcW w:w="1349"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喷淋系统</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1349"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生物循环水箱</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1349"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加药装置</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1349"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电气控制柜</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1349"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pH计</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批</w:t>
            </w:r>
          </w:p>
        </w:tc>
        <w:tc>
          <w:tcPr>
            <w:tcW w:w="1349"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液位计</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批</w:t>
            </w:r>
          </w:p>
        </w:tc>
        <w:tc>
          <w:tcPr>
            <w:tcW w:w="1349"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排气筒</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项</w:t>
            </w:r>
          </w:p>
        </w:tc>
        <w:tc>
          <w:tcPr>
            <w:tcW w:w="1349"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系统内连接管道</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批</w:t>
            </w:r>
          </w:p>
        </w:tc>
        <w:tc>
          <w:tcPr>
            <w:tcW w:w="1349"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手动风阀</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系统内负压集风管、集风罩</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系统内电缆</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批</w:t>
            </w:r>
          </w:p>
        </w:tc>
        <w:tc>
          <w:tcPr>
            <w:tcW w:w="1349"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国标，电控柜与设备间的动力及控制电缆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系统内安装配件</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批</w:t>
            </w:r>
          </w:p>
        </w:tc>
        <w:tc>
          <w:tcPr>
            <w:tcW w:w="1349"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UV紫外光杀菌设备</w:t>
            </w:r>
          </w:p>
        </w:tc>
        <w:tc>
          <w:tcPr>
            <w:tcW w:w="67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3"/>
              <w:ind w:left="0" w:leftChars="0" w:firstLine="0" w:firstLineChars="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3"/>
              <w:ind w:left="0" w:leftChars="0" w:firstLine="0" w:firstLineChars="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3"/>
              <w:ind w:left="0" w:leftChars="0" w:firstLine="0" w:firstLineChars="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4</w:t>
            </w:r>
          </w:p>
        </w:tc>
        <w:tc>
          <w:tcPr>
            <w:tcW w:w="2049" w:type="dxa"/>
            <w:vAlign w:val="center"/>
          </w:tcPr>
          <w:p>
            <w:pPr>
              <w:pStyle w:val="2"/>
              <w:tabs>
                <w:tab w:val="left" w:pos="646"/>
              </w:tabs>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植物液喷淋除臭系统</w:t>
            </w:r>
          </w:p>
        </w:tc>
        <w:tc>
          <w:tcPr>
            <w:tcW w:w="677"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3</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1349"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313"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284"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7"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集成雾化机组</w:t>
            </w:r>
          </w:p>
        </w:tc>
        <w:tc>
          <w:tcPr>
            <w:tcW w:w="67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w:t>
            </w:r>
          </w:p>
        </w:tc>
        <w:tc>
          <w:tcPr>
            <w:tcW w:w="728"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1349"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autoSpaceDE/>
              <w:autoSpaceDN/>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电机壳体：铝合金</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电机芯体：不低于T2紫铜品质</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泵壳体：铝合金材质</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泵头连接组件材质：不低于H96品质</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水箱材质：不低于1Cr17Mn6Ni5N品质（内置于机组）</w:t>
            </w:r>
            <w:r>
              <w:rPr>
                <w:rFonts w:hint="eastAsia" w:asciiTheme="minorEastAsia" w:hAnsiTheme="minorEastAsia" w:eastAsiaTheme="minorEastAsia" w:cstheme="minorEastAsia"/>
                <w:color w:val="auto"/>
                <w:sz w:val="21"/>
                <w:szCs w:val="21"/>
                <w:highlight w:val="none"/>
                <w:lang w:eastAsia="zh-CN"/>
              </w:rPr>
              <w:br w:type="textWrapping"/>
            </w:r>
            <w:r>
              <w:rPr>
                <w:rFonts w:hint="eastAsia" w:asciiTheme="minorEastAsia" w:hAnsiTheme="minorEastAsia" w:eastAsiaTheme="minorEastAsia" w:cstheme="minorEastAsia"/>
                <w:color w:val="auto"/>
                <w:sz w:val="21"/>
                <w:szCs w:val="21"/>
                <w:highlight w:val="none"/>
                <w:lang w:eastAsia="zh-CN"/>
              </w:rPr>
              <w:t>高低压密封组件材质：不低于Runa-N品质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前端水处理系统</w:t>
            </w:r>
          </w:p>
        </w:tc>
        <w:tc>
          <w:tcPr>
            <w:tcW w:w="67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w:t>
            </w:r>
          </w:p>
        </w:tc>
        <w:tc>
          <w:tcPr>
            <w:tcW w:w="728"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专用消杀喷头</w:t>
            </w:r>
          </w:p>
        </w:tc>
        <w:tc>
          <w:tcPr>
            <w:tcW w:w="67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加厚304不锈钢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消杀喷头底座</w:t>
            </w:r>
          </w:p>
        </w:tc>
        <w:tc>
          <w:tcPr>
            <w:tcW w:w="67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jc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jc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jc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autoSpaceDE/>
              <w:autoSpaceDN/>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整体材质为加厚304不锈钢，卡扣式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T型耐高压管网接头</w:t>
            </w:r>
          </w:p>
        </w:tc>
        <w:tc>
          <w:tcPr>
            <w:tcW w:w="67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jc w:val="both"/>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jc w:val="both"/>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jc w:val="both"/>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整体材质为加厚304不锈钢，卡扣式</w:t>
            </w:r>
          </w:p>
        </w:tc>
      </w:tr>
      <w:tr>
        <w:tblPrEx>
          <w:tblLayout w:type="fixed"/>
          <w:tblCellMar>
            <w:top w:w="0" w:type="dxa"/>
            <w:left w:w="108" w:type="dxa"/>
            <w:bottom w:w="0" w:type="dxa"/>
            <w:right w:w="108" w:type="dxa"/>
          </w:tblCellMar>
        </w:tblPrEx>
        <w:trPr>
          <w:trHeight w:val="1230"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L型耐高压管网接头</w:t>
            </w:r>
          </w:p>
        </w:tc>
        <w:tc>
          <w:tcPr>
            <w:tcW w:w="67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整体材质为加厚304不锈钢，卡扣式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I型耐高压管网接头</w:t>
            </w:r>
          </w:p>
        </w:tc>
        <w:tc>
          <w:tcPr>
            <w:tcW w:w="67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整体材质为加厚304不锈钢，卡扣式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I型耐高压管网堵头</w:t>
            </w:r>
          </w:p>
        </w:tc>
        <w:tc>
          <w:tcPr>
            <w:tcW w:w="67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整体材质为加厚304不锈钢，卡扣式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高压不锈钢管＃9.52</w:t>
            </w:r>
          </w:p>
        </w:tc>
        <w:tc>
          <w:tcPr>
            <w:tcW w:w="67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阀门</w:t>
            </w:r>
          </w:p>
        </w:tc>
        <w:tc>
          <w:tcPr>
            <w:tcW w:w="67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阀接</w:t>
            </w:r>
          </w:p>
        </w:tc>
        <w:tc>
          <w:tcPr>
            <w:tcW w:w="67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整体材质为加厚304不锈钢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进水口减压阀</w:t>
            </w:r>
          </w:p>
        </w:tc>
        <w:tc>
          <w:tcPr>
            <w:tcW w:w="67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辅料</w:t>
            </w:r>
          </w:p>
        </w:tc>
        <w:tc>
          <w:tcPr>
            <w:tcW w:w="67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5</w:t>
            </w:r>
          </w:p>
        </w:tc>
        <w:tc>
          <w:tcPr>
            <w:tcW w:w="2049"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rPr>
              <w:t>卸料</w:t>
            </w:r>
            <w:r>
              <w:rPr>
                <w:rFonts w:hint="eastAsia" w:asciiTheme="minorEastAsia" w:hAnsiTheme="minorEastAsia" w:eastAsiaTheme="minorEastAsia" w:cstheme="minorEastAsia"/>
                <w:b/>
                <w:bCs/>
                <w:color w:val="auto"/>
                <w:sz w:val="21"/>
                <w:szCs w:val="21"/>
                <w:highlight w:val="none"/>
                <w:lang w:eastAsia="zh-CN"/>
              </w:rPr>
              <w:t>口</w:t>
            </w:r>
            <w:r>
              <w:rPr>
                <w:rFonts w:hint="eastAsia" w:asciiTheme="minorEastAsia" w:hAnsiTheme="minorEastAsia" w:eastAsiaTheme="minorEastAsia" w:cstheme="minorEastAsia"/>
                <w:b/>
                <w:bCs/>
                <w:color w:val="auto"/>
                <w:sz w:val="21"/>
                <w:szCs w:val="21"/>
                <w:highlight w:val="none"/>
              </w:rPr>
              <w:t>降尘系统</w:t>
            </w:r>
          </w:p>
        </w:tc>
        <w:tc>
          <w:tcPr>
            <w:tcW w:w="67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tcPr>
          <w:p>
            <w:pPr>
              <w:pStyle w:val="2"/>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tcPr>
          <w:p>
            <w:pPr>
              <w:pStyle w:val="2"/>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tcPr>
          <w:p>
            <w:pPr>
              <w:pStyle w:val="2"/>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0"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6</w:t>
            </w:r>
          </w:p>
        </w:tc>
        <w:tc>
          <w:tcPr>
            <w:tcW w:w="2049" w:type="dxa"/>
            <w:vAlign w:val="center"/>
          </w:tcPr>
          <w:p>
            <w:pPr>
              <w:pStyle w:val="2"/>
              <w:spacing w:before="0"/>
              <w:ind w:left="0"/>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电气控制系统（含S7-1200 PLC）</w:t>
            </w:r>
          </w:p>
        </w:tc>
        <w:tc>
          <w:tcPr>
            <w:tcW w:w="67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tcPr>
          <w:p>
            <w:pPr>
              <w:pStyle w:val="2"/>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tcPr>
          <w:p>
            <w:pPr>
              <w:pStyle w:val="2"/>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tcPr>
          <w:p>
            <w:pPr>
              <w:pStyle w:val="2"/>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SS304；控制系统留有2个以太网通信接口， 1个给本项目提供触摸屏通讯，另一个预留给SCADA上位机通讯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7</w:t>
            </w:r>
          </w:p>
        </w:tc>
        <w:tc>
          <w:tcPr>
            <w:tcW w:w="2049"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设备照明</w:t>
            </w:r>
          </w:p>
        </w:tc>
        <w:tc>
          <w:tcPr>
            <w:tcW w:w="67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2"/>
              <w:spacing w:before="0"/>
              <w:ind w:left="0"/>
              <w:jc w:val="both"/>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spacing w:before="0"/>
              <w:ind w:left="0"/>
              <w:jc w:val="both"/>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spacing w:before="0"/>
              <w:ind w:left="0"/>
              <w:jc w:val="both"/>
              <w:rPr>
                <w:rFonts w:hint="eastAsia" w:asciiTheme="minorEastAsia" w:hAnsiTheme="minorEastAsia" w:eastAsiaTheme="minorEastAsia" w:cstheme="minorEastAsia"/>
                <w:color w:val="auto"/>
                <w:sz w:val="21"/>
                <w:szCs w:val="21"/>
                <w:highlight w:val="none"/>
                <w:lang w:eastAsia="zh-CN"/>
              </w:rPr>
            </w:pPr>
          </w:p>
        </w:tc>
        <w:tc>
          <w:tcPr>
            <w:tcW w:w="1496" w:type="dxa"/>
          </w:tcPr>
          <w:p>
            <w:pPr>
              <w:pStyle w:val="2"/>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室外屋顶除臭设备照明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8</w:t>
            </w:r>
          </w:p>
        </w:tc>
        <w:tc>
          <w:tcPr>
            <w:tcW w:w="2049" w:type="dxa"/>
            <w:vAlign w:val="center"/>
          </w:tcPr>
          <w:p>
            <w:pPr>
              <w:pStyle w:val="2"/>
              <w:spacing w:before="0"/>
              <w:ind w:left="0"/>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竹园垃圾压缩收集站负压除臭系统</w:t>
            </w:r>
          </w:p>
        </w:tc>
        <w:tc>
          <w:tcPr>
            <w:tcW w:w="67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套</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tcPr>
          <w:p>
            <w:pPr>
              <w:pStyle w:val="2"/>
              <w:spacing w:before="0"/>
              <w:ind w:left="0"/>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综合洗涤塔</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含水箱、喷淋管件、阀门、流量计、PP花洒喷头等，需配有加药系统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光等离子</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离心风机</w:t>
            </w:r>
          </w:p>
        </w:tc>
        <w:tc>
          <w:tcPr>
            <w:tcW w:w="67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1349"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变频调节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循环水泵</w:t>
            </w:r>
          </w:p>
        </w:tc>
        <w:tc>
          <w:tcPr>
            <w:tcW w:w="67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台</w:t>
            </w:r>
          </w:p>
        </w:tc>
        <w:tc>
          <w:tcPr>
            <w:tcW w:w="1349"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匹配处理风量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电气控制柜</w:t>
            </w:r>
          </w:p>
        </w:tc>
        <w:tc>
          <w:tcPr>
            <w:tcW w:w="67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套</w:t>
            </w:r>
          </w:p>
        </w:tc>
        <w:tc>
          <w:tcPr>
            <w:tcW w:w="1349"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预留智慧城市大数据管理网络接口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排气筒</w:t>
            </w:r>
          </w:p>
        </w:tc>
        <w:tc>
          <w:tcPr>
            <w:tcW w:w="67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系统内连接管道</w:t>
            </w:r>
          </w:p>
        </w:tc>
        <w:tc>
          <w:tcPr>
            <w:tcW w:w="67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1349"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系统内负压集风管、集风罩</w:t>
            </w:r>
          </w:p>
        </w:tc>
        <w:tc>
          <w:tcPr>
            <w:tcW w:w="677"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项</w:t>
            </w:r>
          </w:p>
        </w:tc>
        <w:tc>
          <w:tcPr>
            <w:tcW w:w="1349"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系统内电缆</w:t>
            </w:r>
          </w:p>
        </w:tc>
        <w:tc>
          <w:tcPr>
            <w:tcW w:w="67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1349"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pStyle w:val="2"/>
              <w:spacing w:before="0"/>
              <w:ind w:left="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国标，电控柜与设备间的动力及控制电缆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679" w:type="dxa"/>
            <w:noWrap/>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p>
        </w:tc>
        <w:tc>
          <w:tcPr>
            <w:tcW w:w="2049"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系统内安装配件</w:t>
            </w:r>
          </w:p>
        </w:tc>
        <w:tc>
          <w:tcPr>
            <w:tcW w:w="677" w:type="dxa"/>
            <w:vAlign w:val="center"/>
          </w:tcPr>
          <w:p>
            <w:pPr>
              <w:pStyle w:val="2"/>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w:t>
            </w:r>
          </w:p>
        </w:tc>
        <w:tc>
          <w:tcPr>
            <w:tcW w:w="728" w:type="dxa"/>
            <w:vAlign w:val="center"/>
          </w:tcPr>
          <w:p>
            <w:pPr>
              <w:pStyle w:val="2"/>
              <w:tabs>
                <w:tab w:val="left" w:pos="646"/>
              </w:tabs>
              <w:spacing w:before="0"/>
              <w:ind w:left="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批</w:t>
            </w:r>
          </w:p>
        </w:tc>
        <w:tc>
          <w:tcPr>
            <w:tcW w:w="1349"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系统内安装配件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4133" w:type="dxa"/>
            <w:gridSpan w:val="4"/>
            <w:noWrap/>
            <w:vAlign w:val="center"/>
          </w:tcPr>
          <w:p>
            <w:pPr>
              <w:pStyle w:val="2"/>
              <w:tabs>
                <w:tab w:val="left" w:pos="646"/>
              </w:tabs>
              <w:spacing w:before="0"/>
              <w:ind w:left="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合计</w:t>
            </w:r>
          </w:p>
        </w:tc>
        <w:tc>
          <w:tcPr>
            <w:tcW w:w="1349"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313"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284" w:type="dxa"/>
            <w:vAlign w:val="center"/>
          </w:tcPr>
          <w:p>
            <w:pPr>
              <w:widowControl/>
              <w:spacing w:line="360" w:lineRule="auto"/>
              <w:rPr>
                <w:rFonts w:hint="eastAsia" w:asciiTheme="minorEastAsia" w:hAnsiTheme="minorEastAsia" w:eastAsiaTheme="minorEastAsia" w:cstheme="minorEastAsia"/>
                <w:color w:val="auto"/>
                <w:sz w:val="21"/>
                <w:szCs w:val="21"/>
                <w:highlight w:val="none"/>
                <w:lang w:eastAsia="zh-CN"/>
              </w:rPr>
            </w:pPr>
          </w:p>
        </w:tc>
        <w:tc>
          <w:tcPr>
            <w:tcW w:w="1496" w:type="dxa"/>
            <w:vAlign w:val="center"/>
          </w:tcPr>
          <w:p>
            <w:pPr>
              <w:widowControl/>
              <w:spacing w:line="360" w:lineRule="auto"/>
              <w:jc w:val="center"/>
              <w:rPr>
                <w:rFonts w:hint="eastAsia" w:asciiTheme="minorEastAsia" w:hAnsiTheme="minorEastAsia" w:eastAsiaTheme="minorEastAsia" w:cstheme="minorEastAsia"/>
                <w:color w:val="auto"/>
                <w:sz w:val="21"/>
                <w:szCs w:val="21"/>
                <w:highlight w:val="none"/>
              </w:rPr>
            </w:pPr>
          </w:p>
        </w:tc>
      </w:tr>
    </w:tbl>
    <w:p>
      <w:pPr>
        <w:pStyle w:val="4"/>
        <w:rPr>
          <w:color w:val="auto"/>
          <w:highlight w:val="none"/>
        </w:rPr>
      </w:pPr>
    </w:p>
    <w:p>
      <w:pPr>
        <w:ind w:left="1667" w:hanging="1247"/>
        <w:outlineLvl w:val="1"/>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设备规格、性能及参数按照技术需求书执行。</w:t>
      </w:r>
    </w:p>
    <w:p>
      <w:pPr>
        <w:outlineLvl w:val="1"/>
        <w:rPr>
          <w:rFonts w:ascii="宋体" w:hAnsi="宋体" w:cs="宋体"/>
          <w:color w:val="auto"/>
          <w:szCs w:val="21"/>
          <w:highlight w:val="none"/>
        </w:rPr>
      </w:pPr>
      <w:r>
        <w:rPr>
          <w:rFonts w:hint="eastAsia" w:ascii="宋体" w:hAnsi="宋体" w:cs="宋体"/>
          <w:color w:val="auto"/>
          <w:szCs w:val="21"/>
          <w:highlight w:val="none"/>
        </w:rPr>
        <w:t>（1）  所有设备的费用均应列入本表。</w:t>
      </w:r>
      <w:r>
        <w:rPr>
          <w:rFonts w:hint="eastAsia" w:ascii="宋体" w:hAnsi="宋体" w:cs="宋体"/>
          <w:b/>
          <w:bCs/>
          <w:color w:val="auto"/>
          <w:szCs w:val="21"/>
          <w:highlight w:val="none"/>
        </w:rPr>
        <w:t>投标人报价应根据C包采购主设备清单或采购标的清单的内容报价，所有报价应不限于“</w:t>
      </w:r>
      <w:r>
        <w:rPr>
          <w:rFonts w:hint="eastAsia" w:ascii="宋体" w:hAnsi="宋体" w:cs="宋体"/>
          <w:b/>
          <w:bCs/>
          <w:color w:val="auto"/>
          <w:szCs w:val="21"/>
          <w:highlight w:val="none"/>
          <w:lang w:val="en-US" w:eastAsia="zh-CN"/>
        </w:rPr>
        <w:t>4</w:t>
      </w:r>
      <w:r>
        <w:rPr>
          <w:rFonts w:hint="eastAsia" w:ascii="宋体" w:hAnsi="宋体" w:cs="宋体"/>
          <w:b/>
          <w:bCs/>
          <w:color w:val="auto"/>
          <w:szCs w:val="21"/>
          <w:highlight w:val="none"/>
        </w:rPr>
        <w:t>.2招标主设备清单”所列设备，投标单位可在此基础上进行优化，但不能低于此配置。</w:t>
      </w:r>
    </w:p>
    <w:p>
      <w:pPr>
        <w:outlineLvl w:val="1"/>
        <w:rPr>
          <w:rFonts w:ascii="宋体" w:hAnsi="宋体" w:cs="宋体"/>
          <w:color w:val="auto"/>
          <w:szCs w:val="21"/>
          <w:highlight w:val="none"/>
        </w:rPr>
      </w:pPr>
      <w:r>
        <w:rPr>
          <w:rFonts w:hint="eastAsia" w:ascii="宋体" w:hAnsi="宋体" w:cs="宋体"/>
          <w:color w:val="auto"/>
          <w:szCs w:val="21"/>
          <w:highlight w:val="none"/>
        </w:rPr>
        <w:t>（2）  所有价格均用人民币（RMB）元表示。</w:t>
      </w:r>
    </w:p>
    <w:p>
      <w:pPr>
        <w:outlineLvl w:val="1"/>
        <w:rPr>
          <w:rFonts w:ascii="宋体" w:hAnsi="宋体" w:cs="宋体"/>
          <w:color w:val="auto"/>
          <w:szCs w:val="21"/>
          <w:highlight w:val="none"/>
        </w:rPr>
      </w:pPr>
      <w:r>
        <w:rPr>
          <w:rFonts w:hint="eastAsia" w:ascii="宋体" w:hAnsi="宋体" w:cs="宋体"/>
          <w:color w:val="auto"/>
          <w:szCs w:val="21"/>
          <w:highlight w:val="none"/>
        </w:rPr>
        <w:t>（3）  设备检修、调试和维修的专用工具（如有）应一一列明。</w:t>
      </w:r>
    </w:p>
    <w:p>
      <w:pPr>
        <w:outlineLvl w:val="1"/>
        <w:rPr>
          <w:rFonts w:ascii="宋体" w:hAnsi="宋体" w:cs="宋体"/>
          <w:color w:val="auto"/>
          <w:szCs w:val="21"/>
          <w:highlight w:val="none"/>
        </w:rPr>
      </w:pPr>
      <w:r>
        <w:rPr>
          <w:rFonts w:hint="eastAsia" w:ascii="宋体" w:hAnsi="宋体" w:cs="宋体"/>
          <w:color w:val="auto"/>
          <w:szCs w:val="21"/>
          <w:highlight w:val="none"/>
        </w:rPr>
        <w:t>（4）  如果单价×数量与总价不符时，评标时则以单价×数量为准。</w:t>
      </w:r>
    </w:p>
    <w:p>
      <w:pPr>
        <w:outlineLvl w:val="1"/>
        <w:rPr>
          <w:rFonts w:ascii="宋体" w:hAnsi="宋体" w:cs="宋体"/>
          <w:color w:val="auto"/>
          <w:szCs w:val="21"/>
          <w:highlight w:val="none"/>
        </w:rPr>
      </w:pPr>
      <w:r>
        <w:rPr>
          <w:rFonts w:hint="eastAsia" w:ascii="宋体" w:hAnsi="宋体" w:cs="宋体"/>
          <w:color w:val="auto"/>
          <w:szCs w:val="21"/>
          <w:highlight w:val="none"/>
        </w:rPr>
        <w:t>（5）  本表的合计价格应转入表1中的设备费小计中。</w:t>
      </w:r>
    </w:p>
    <w:p>
      <w:pPr>
        <w:widowControl w:val="0"/>
        <w:adjustRightInd/>
        <w:jc w:val="both"/>
        <w:rPr>
          <w:rFonts w:ascii="宋体" w:hAnsi="宋体" w:cs="宋体"/>
          <w:color w:val="auto"/>
          <w:kern w:val="2"/>
          <w:szCs w:val="21"/>
          <w:highlight w:val="none"/>
        </w:rPr>
      </w:pPr>
    </w:p>
    <w:p>
      <w:pPr>
        <w:autoSpaceDE w:val="0"/>
        <w:autoSpaceDN w:val="0"/>
        <w:adjustRightInd/>
        <w:snapToGrid/>
        <w:ind w:right="893"/>
        <w:jc w:val="both"/>
        <w:textAlignment w:val="bottom"/>
        <w:rPr>
          <w:rFonts w:ascii="宋体" w:hAnsi="宋体" w:cs="宋体"/>
          <w:color w:val="auto"/>
          <w:kern w:val="2"/>
          <w:szCs w:val="21"/>
          <w:highlight w:val="none"/>
        </w:rPr>
      </w:pPr>
      <w:r>
        <w:rPr>
          <w:rFonts w:hint="eastAsia" w:ascii="宋体" w:hAnsi="宋体" w:cs="宋体"/>
          <w:color w:val="auto"/>
          <w:kern w:val="2"/>
          <w:szCs w:val="21"/>
          <w:highlight w:val="none"/>
        </w:rPr>
        <w:t>投标人法定代表人或其委托人签字或盖私章： _____________</w:t>
      </w:r>
    </w:p>
    <w:p>
      <w:pPr>
        <w:widowControl w:val="0"/>
        <w:adjustRightInd/>
        <w:snapToGrid/>
        <w:jc w:val="both"/>
        <w:rPr>
          <w:rFonts w:hint="eastAsia" w:ascii="宋体" w:hAnsi="宋体" w:cs="宋体"/>
          <w:color w:val="auto"/>
          <w:kern w:val="2"/>
          <w:sz w:val="24"/>
          <w:szCs w:val="24"/>
          <w:highlight w:val="none"/>
          <w:u w:val="single"/>
        </w:rPr>
      </w:pPr>
      <w:r>
        <w:rPr>
          <w:rFonts w:hint="eastAsia" w:ascii="宋体" w:hAnsi="宋体" w:cs="宋体"/>
          <w:color w:val="auto"/>
          <w:kern w:val="2"/>
          <w:szCs w:val="21"/>
          <w:highlight w:val="none"/>
        </w:rPr>
        <w:t>日  期：</w:t>
      </w:r>
      <w:r>
        <w:rPr>
          <w:rFonts w:hint="eastAsia" w:ascii="宋体" w:hAnsi="宋体" w:cs="宋体"/>
          <w:color w:val="auto"/>
          <w:kern w:val="2"/>
          <w:sz w:val="24"/>
          <w:szCs w:val="24"/>
          <w:highlight w:val="none"/>
          <w:u w:val="single"/>
        </w:rPr>
        <w:t xml:space="preserve"> </w:t>
      </w:r>
    </w:p>
    <w:p>
      <w:pPr>
        <w:pStyle w:val="2"/>
        <w:rPr>
          <w:rFonts w:hint="eastAsia" w:ascii="宋体" w:hAnsi="宋体" w:cs="宋体"/>
          <w:color w:val="auto"/>
          <w:kern w:val="2"/>
          <w:sz w:val="24"/>
          <w:szCs w:val="24"/>
          <w:highlight w:val="none"/>
          <w:u w:val="single"/>
        </w:rPr>
      </w:pPr>
    </w:p>
    <w:p>
      <w:pPr>
        <w:pStyle w:val="3"/>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jc w:val="center"/>
        <w:rPr>
          <w:rFonts w:hint="eastAsia" w:ascii="黑体" w:hAnsi="Tahoma" w:eastAsia="黑体" w:cstheme="minorBidi"/>
          <w:bCs w:val="0"/>
          <w:color w:val="auto"/>
          <w:sz w:val="32"/>
          <w:szCs w:val="32"/>
          <w:highlight w:val="none"/>
        </w:rPr>
      </w:pPr>
      <w:r>
        <w:rPr>
          <w:rFonts w:hint="eastAsia" w:ascii="黑体" w:eastAsia="黑体"/>
          <w:color w:val="auto"/>
          <w:sz w:val="32"/>
          <w:szCs w:val="32"/>
          <w:highlight w:val="none"/>
        </w:rPr>
        <w:t>2、</w:t>
      </w:r>
      <w:r>
        <w:rPr>
          <w:rFonts w:hint="eastAsia" w:ascii="黑体" w:hAnsi="Tahoma" w:eastAsia="黑体" w:cstheme="minorBidi"/>
          <w:bCs w:val="0"/>
          <w:color w:val="auto"/>
          <w:sz w:val="32"/>
          <w:szCs w:val="32"/>
          <w:highlight w:val="none"/>
        </w:rPr>
        <w:t>设备报价明细表  包组号（</w:t>
      </w:r>
      <w:r>
        <w:rPr>
          <w:rFonts w:hint="eastAsia" w:ascii="黑体" w:eastAsia="黑体" w:cstheme="minorBidi"/>
          <w:bCs w:val="0"/>
          <w:color w:val="auto"/>
          <w:sz w:val="32"/>
          <w:szCs w:val="32"/>
          <w:highlight w:val="none"/>
          <w:lang w:val="en-US" w:eastAsia="zh-CN"/>
        </w:rPr>
        <w:t>D</w:t>
      </w:r>
      <w:r>
        <w:rPr>
          <w:rFonts w:hint="eastAsia" w:ascii="黑体" w:hAnsi="Tahoma" w:eastAsia="黑体" w:cstheme="minorBidi"/>
          <w:bCs w:val="0"/>
          <w:color w:val="auto"/>
          <w:sz w:val="32"/>
          <w:szCs w:val="32"/>
          <w:highlight w:val="none"/>
        </w:rPr>
        <w:t>）</w:t>
      </w:r>
    </w:p>
    <w:p>
      <w:pPr>
        <w:widowControl w:val="0"/>
        <w:adjustRightInd/>
        <w:snapToGrid/>
        <w:spacing w:before="180" w:beforeLines="50" w:after="180" w:afterLines="50" w:line="360" w:lineRule="exact"/>
        <w:jc w:val="both"/>
        <w:rPr>
          <w:rFonts w:ascii="宋体" w:hAnsi="宋体" w:cs="宋体"/>
          <w:color w:val="auto"/>
          <w:kern w:val="2"/>
          <w:szCs w:val="21"/>
          <w:highlight w:val="none"/>
        </w:rPr>
      </w:pPr>
      <w:r>
        <w:rPr>
          <w:rFonts w:hint="eastAsia" w:ascii="宋体" w:hAnsi="宋体" w:cs="宋体"/>
          <w:color w:val="auto"/>
          <w:kern w:val="2"/>
          <w:szCs w:val="21"/>
          <w:highlight w:val="none"/>
        </w:rPr>
        <w:t xml:space="preserve">投标人名称（公章）：                </w:t>
      </w:r>
      <w:r>
        <w:rPr>
          <w:rFonts w:hint="eastAsia" w:ascii="宋体" w:hAnsi="宋体" w:cs="Arial"/>
          <w:color w:val="auto"/>
          <w:kern w:val="2"/>
          <w:szCs w:val="21"/>
          <w:highlight w:val="none"/>
        </w:rPr>
        <w:t xml:space="preserve">招标编号： </w:t>
      </w:r>
    </w:p>
    <w:tbl>
      <w:tblPr>
        <w:tblStyle w:val="34"/>
        <w:tblW w:w="85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0"/>
        <w:gridCol w:w="2097"/>
        <w:gridCol w:w="1086"/>
        <w:gridCol w:w="1047"/>
        <w:gridCol w:w="2"/>
        <w:gridCol w:w="1049"/>
        <w:gridCol w:w="1050"/>
        <w:gridCol w:w="1049"/>
      </w:tblGrid>
      <w:tr>
        <w:tblPrEx>
          <w:tblLayout w:type="fixed"/>
          <w:tblCellMar>
            <w:top w:w="0" w:type="dxa"/>
            <w:left w:w="108" w:type="dxa"/>
            <w:bottom w:w="0" w:type="dxa"/>
            <w:right w:w="108" w:type="dxa"/>
          </w:tblCellMar>
        </w:tblPrEx>
        <w:trPr>
          <w:trHeight w:val="1967" w:hRule="atLeast"/>
        </w:trPr>
        <w:tc>
          <w:tcPr>
            <w:tcW w:w="1200" w:type="dxa"/>
            <w:vAlign w:val="center"/>
          </w:tcPr>
          <w:p>
            <w:pPr>
              <w:widowControl w:val="0"/>
              <w:autoSpaceDE w:val="0"/>
              <w:autoSpaceDN w:val="0"/>
              <w:adjustRightInd/>
              <w:spacing w:before="31" w:after="31"/>
              <w:jc w:val="center"/>
              <w:rPr>
                <w:rFonts w:hint="eastAsia" w:ascii="宋体" w:hAnsi="宋体" w:cs="宋体"/>
                <w:b/>
                <w:bCs/>
                <w:color w:val="auto"/>
                <w:kern w:val="2"/>
                <w:szCs w:val="21"/>
                <w:highlight w:val="none"/>
                <w:lang w:eastAsia="en-US"/>
              </w:rPr>
            </w:pPr>
            <w:r>
              <w:rPr>
                <w:rFonts w:hint="eastAsia" w:ascii="宋体" w:hAnsi="宋体" w:cs="宋体"/>
                <w:b/>
                <w:bCs/>
                <w:color w:val="auto"/>
                <w:kern w:val="2"/>
                <w:szCs w:val="21"/>
                <w:highlight w:val="none"/>
              </w:rPr>
              <w:t>序号</w:t>
            </w:r>
          </w:p>
        </w:tc>
        <w:tc>
          <w:tcPr>
            <w:tcW w:w="2097" w:type="dxa"/>
            <w:tcBorders>
              <w:right w:val="single" w:color="auto" w:sz="4" w:space="0"/>
            </w:tcBorders>
            <w:vAlign w:val="center"/>
          </w:tcPr>
          <w:p>
            <w:pPr>
              <w:widowControl w:val="0"/>
              <w:autoSpaceDE w:val="0"/>
              <w:autoSpaceDN w:val="0"/>
              <w:adjustRightInd/>
              <w:spacing w:before="31" w:after="31"/>
              <w:jc w:val="center"/>
              <w:rPr>
                <w:rFonts w:hint="eastAsia" w:ascii="宋体" w:hAnsi="宋体" w:cs="宋体"/>
                <w:b/>
                <w:bCs/>
                <w:color w:val="auto"/>
                <w:kern w:val="2"/>
                <w:szCs w:val="21"/>
                <w:highlight w:val="none"/>
                <w:lang w:eastAsia="en-US"/>
              </w:rPr>
            </w:pPr>
            <w:r>
              <w:rPr>
                <w:rFonts w:hint="eastAsia" w:ascii="宋体" w:hAnsi="宋体" w:cs="宋体"/>
                <w:b/>
                <w:bCs/>
                <w:color w:val="auto"/>
                <w:kern w:val="2"/>
                <w:szCs w:val="21"/>
                <w:highlight w:val="none"/>
              </w:rPr>
              <w:t>设备名称和规格型号</w:t>
            </w:r>
          </w:p>
        </w:tc>
        <w:tc>
          <w:tcPr>
            <w:tcW w:w="1086" w:type="dxa"/>
            <w:tcBorders>
              <w:left w:val="single" w:color="auto" w:sz="4" w:space="0"/>
              <w:right w:val="single" w:color="auto" w:sz="4" w:space="0"/>
            </w:tcBorders>
            <w:vAlign w:val="center"/>
          </w:tcPr>
          <w:p>
            <w:pPr>
              <w:widowControl w:val="0"/>
              <w:autoSpaceDE w:val="0"/>
              <w:autoSpaceDN w:val="0"/>
              <w:adjustRightInd/>
              <w:spacing w:before="31" w:after="31"/>
              <w:jc w:val="center"/>
              <w:rPr>
                <w:rFonts w:hint="eastAsia" w:ascii="宋体" w:hAnsi="宋体" w:cs="宋体"/>
                <w:b/>
                <w:bCs/>
                <w:color w:val="auto"/>
                <w:kern w:val="2"/>
                <w:szCs w:val="21"/>
                <w:highlight w:val="none"/>
                <w:lang w:eastAsia="en-US"/>
              </w:rPr>
            </w:pPr>
            <w:r>
              <w:rPr>
                <w:rFonts w:hint="eastAsia" w:ascii="宋体" w:hAnsi="宋体" w:cs="宋体"/>
                <w:b/>
                <w:bCs/>
                <w:color w:val="auto"/>
                <w:kern w:val="2"/>
                <w:szCs w:val="21"/>
                <w:highlight w:val="none"/>
              </w:rPr>
              <w:t>单位</w:t>
            </w:r>
          </w:p>
        </w:tc>
        <w:tc>
          <w:tcPr>
            <w:tcW w:w="1049" w:type="dxa"/>
            <w:gridSpan w:val="2"/>
            <w:tcBorders>
              <w:left w:val="single" w:color="auto" w:sz="4" w:space="0"/>
            </w:tcBorders>
            <w:vAlign w:val="center"/>
          </w:tcPr>
          <w:p>
            <w:pPr>
              <w:widowControl w:val="0"/>
              <w:autoSpaceDE w:val="0"/>
              <w:autoSpaceDN w:val="0"/>
              <w:adjustRightInd/>
              <w:spacing w:before="31" w:after="31"/>
              <w:jc w:val="center"/>
              <w:rPr>
                <w:rFonts w:hint="eastAsia" w:ascii="宋体" w:hAnsi="宋体" w:cs="宋体"/>
                <w:b/>
                <w:bCs/>
                <w:color w:val="auto"/>
                <w:kern w:val="2"/>
                <w:szCs w:val="21"/>
                <w:highlight w:val="none"/>
                <w:lang w:eastAsia="en-US"/>
              </w:rPr>
            </w:pPr>
            <w:r>
              <w:rPr>
                <w:rFonts w:hint="eastAsia" w:ascii="宋体" w:hAnsi="宋体" w:cs="宋体"/>
                <w:b/>
                <w:bCs/>
                <w:color w:val="auto"/>
                <w:kern w:val="2"/>
                <w:szCs w:val="21"/>
                <w:highlight w:val="none"/>
              </w:rPr>
              <w:t>数量</w:t>
            </w:r>
          </w:p>
        </w:tc>
        <w:tc>
          <w:tcPr>
            <w:tcW w:w="1049" w:type="dxa"/>
            <w:tcBorders>
              <w:left w:val="single" w:color="auto" w:sz="4" w:space="0"/>
            </w:tcBorders>
            <w:vAlign w:val="center"/>
          </w:tcPr>
          <w:p>
            <w:pPr>
              <w:widowControl w:val="0"/>
              <w:autoSpaceDE w:val="0"/>
              <w:autoSpaceDN w:val="0"/>
              <w:adjustRightInd/>
              <w:spacing w:before="31" w:after="31"/>
              <w:jc w:val="center"/>
              <w:rPr>
                <w:rFonts w:hint="eastAsia" w:ascii="宋体" w:hAnsi="宋体" w:cs="宋体"/>
                <w:b/>
                <w:bCs/>
                <w:color w:val="auto"/>
                <w:kern w:val="2"/>
                <w:szCs w:val="21"/>
                <w:highlight w:val="none"/>
              </w:rPr>
            </w:pPr>
            <w:r>
              <w:rPr>
                <w:rFonts w:hint="eastAsia" w:ascii="宋体" w:hAnsi="宋体" w:cs="宋体"/>
                <w:b/>
                <w:bCs/>
                <w:color w:val="auto"/>
                <w:kern w:val="2"/>
                <w:szCs w:val="21"/>
                <w:highlight w:val="none"/>
              </w:rPr>
              <w:t>供应商或品牌</w:t>
            </w:r>
          </w:p>
        </w:tc>
        <w:tc>
          <w:tcPr>
            <w:tcW w:w="1050" w:type="dxa"/>
            <w:tcBorders>
              <w:left w:val="single" w:color="auto" w:sz="4" w:space="0"/>
            </w:tcBorders>
            <w:vAlign w:val="center"/>
          </w:tcPr>
          <w:p>
            <w:pPr>
              <w:widowControl w:val="0"/>
              <w:autoSpaceDE w:val="0"/>
              <w:autoSpaceDN w:val="0"/>
              <w:adjustRightInd/>
              <w:spacing w:before="31" w:after="31"/>
              <w:jc w:val="center"/>
              <w:rPr>
                <w:rFonts w:hint="eastAsia" w:ascii="宋体" w:hAnsi="宋体" w:cs="宋体"/>
                <w:b/>
                <w:bCs/>
                <w:color w:val="auto"/>
                <w:kern w:val="2"/>
                <w:szCs w:val="21"/>
                <w:highlight w:val="none"/>
              </w:rPr>
            </w:pPr>
            <w:r>
              <w:rPr>
                <w:rFonts w:hint="eastAsia" w:ascii="宋体" w:hAnsi="宋体" w:cs="宋体"/>
                <w:b/>
                <w:bCs/>
                <w:color w:val="auto"/>
                <w:kern w:val="2"/>
                <w:szCs w:val="21"/>
                <w:highlight w:val="none"/>
              </w:rPr>
              <w:t>单价</w:t>
            </w:r>
          </w:p>
        </w:tc>
        <w:tc>
          <w:tcPr>
            <w:tcW w:w="1049" w:type="dxa"/>
            <w:tcBorders>
              <w:left w:val="single" w:color="auto" w:sz="4" w:space="0"/>
            </w:tcBorders>
            <w:vAlign w:val="center"/>
          </w:tcPr>
          <w:p>
            <w:pPr>
              <w:widowControl w:val="0"/>
              <w:autoSpaceDE w:val="0"/>
              <w:autoSpaceDN w:val="0"/>
              <w:adjustRightInd/>
              <w:spacing w:before="31" w:after="31"/>
              <w:jc w:val="center"/>
              <w:rPr>
                <w:rFonts w:hint="eastAsia" w:ascii="宋体" w:hAnsi="宋体" w:cs="宋体"/>
                <w:b/>
                <w:bCs/>
                <w:color w:val="auto"/>
                <w:kern w:val="2"/>
                <w:szCs w:val="21"/>
                <w:highlight w:val="none"/>
              </w:rPr>
            </w:pPr>
            <w:r>
              <w:rPr>
                <w:rFonts w:hint="eastAsia" w:ascii="宋体" w:hAnsi="宋体" w:cs="宋体"/>
                <w:b/>
                <w:bCs/>
                <w:color w:val="auto"/>
                <w:kern w:val="2"/>
                <w:szCs w:val="21"/>
                <w:highlight w:val="none"/>
              </w:rPr>
              <w:t>合价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3297" w:type="dxa"/>
            <w:gridSpan w:val="2"/>
            <w:tcBorders>
              <w:right w:val="single" w:color="auto" w:sz="4" w:space="0"/>
            </w:tcBorders>
            <w:vAlign w:val="center"/>
          </w:tcPr>
          <w:p>
            <w:pPr>
              <w:widowControl w:val="0"/>
              <w:autoSpaceDE w:val="0"/>
              <w:autoSpaceDN w:val="0"/>
              <w:adjustRightInd/>
              <w:spacing w:before="31" w:after="31"/>
              <w:rPr>
                <w:rFonts w:ascii="宋体" w:hAnsi="宋体" w:cs="宋体"/>
                <w:color w:val="auto"/>
                <w:szCs w:val="21"/>
                <w:highlight w:val="none"/>
                <w:lang w:eastAsia="en-US"/>
              </w:rPr>
            </w:pPr>
            <w:r>
              <w:rPr>
                <w:rFonts w:hint="eastAsia" w:ascii="宋体" w:hAnsi="宋体" w:cs="宋体"/>
                <w:b/>
                <w:bCs/>
                <w:color w:val="auto"/>
                <w:szCs w:val="21"/>
                <w:highlight w:val="none"/>
              </w:rPr>
              <w:t>主要</w:t>
            </w:r>
            <w:r>
              <w:rPr>
                <w:rFonts w:hint="eastAsia" w:ascii="宋体" w:hAnsi="宋体" w:cs="宋体"/>
                <w:b/>
                <w:bCs/>
                <w:color w:val="auto"/>
                <w:szCs w:val="21"/>
                <w:highlight w:val="none"/>
                <w:lang w:eastAsia="en-US"/>
              </w:rPr>
              <w:t>设备</w:t>
            </w:r>
          </w:p>
        </w:tc>
        <w:tc>
          <w:tcPr>
            <w:tcW w:w="1086" w:type="dxa"/>
            <w:tcBorders>
              <w:left w:val="single" w:color="auto" w:sz="4" w:space="0"/>
              <w:right w:val="single" w:color="auto" w:sz="4" w:space="0"/>
            </w:tcBorders>
            <w:vAlign w:val="center"/>
          </w:tcPr>
          <w:p>
            <w:pPr>
              <w:widowControl w:val="0"/>
              <w:autoSpaceDE w:val="0"/>
              <w:autoSpaceDN w:val="0"/>
              <w:adjustRightInd/>
              <w:spacing w:before="31" w:after="31"/>
              <w:rPr>
                <w:rFonts w:hint="eastAsia" w:ascii="宋体" w:hAnsi="宋体" w:cs="宋体"/>
                <w:b/>
                <w:bCs/>
                <w:color w:val="auto"/>
                <w:szCs w:val="21"/>
                <w:highlight w:val="none"/>
              </w:rPr>
            </w:pPr>
          </w:p>
        </w:tc>
        <w:tc>
          <w:tcPr>
            <w:tcW w:w="1049" w:type="dxa"/>
            <w:gridSpan w:val="2"/>
            <w:tcBorders>
              <w:left w:val="single" w:color="auto" w:sz="4" w:space="0"/>
            </w:tcBorders>
            <w:vAlign w:val="center"/>
          </w:tcPr>
          <w:p>
            <w:pPr>
              <w:widowControl w:val="0"/>
              <w:autoSpaceDE w:val="0"/>
              <w:autoSpaceDN w:val="0"/>
              <w:adjustRightInd/>
              <w:spacing w:before="31" w:after="31"/>
              <w:rPr>
                <w:rFonts w:hint="eastAsia" w:ascii="宋体" w:hAnsi="宋体" w:cs="宋体"/>
                <w:b/>
                <w:bCs/>
                <w:color w:val="auto"/>
                <w:szCs w:val="21"/>
                <w:highlight w:val="none"/>
              </w:rPr>
            </w:pPr>
          </w:p>
        </w:tc>
        <w:tc>
          <w:tcPr>
            <w:tcW w:w="1049" w:type="dxa"/>
            <w:tcBorders>
              <w:left w:val="single" w:color="auto" w:sz="4" w:space="0"/>
            </w:tcBorders>
            <w:vAlign w:val="center"/>
          </w:tcPr>
          <w:p>
            <w:pPr>
              <w:widowControl w:val="0"/>
              <w:autoSpaceDE w:val="0"/>
              <w:autoSpaceDN w:val="0"/>
              <w:adjustRightInd/>
              <w:spacing w:before="31" w:after="31"/>
              <w:rPr>
                <w:rFonts w:hint="eastAsia" w:ascii="宋体" w:hAnsi="宋体" w:cs="宋体"/>
                <w:b/>
                <w:bCs/>
                <w:color w:val="auto"/>
                <w:szCs w:val="21"/>
                <w:highlight w:val="none"/>
              </w:rPr>
            </w:pPr>
          </w:p>
        </w:tc>
        <w:tc>
          <w:tcPr>
            <w:tcW w:w="1050" w:type="dxa"/>
            <w:tcBorders>
              <w:left w:val="single" w:color="auto" w:sz="4" w:space="0"/>
            </w:tcBorders>
            <w:vAlign w:val="center"/>
          </w:tcPr>
          <w:p>
            <w:pPr>
              <w:widowControl w:val="0"/>
              <w:autoSpaceDE w:val="0"/>
              <w:autoSpaceDN w:val="0"/>
              <w:adjustRightInd/>
              <w:spacing w:before="31" w:after="31"/>
              <w:rPr>
                <w:rFonts w:hint="eastAsia" w:ascii="宋体" w:hAnsi="宋体" w:cs="宋体"/>
                <w:b/>
                <w:bCs/>
                <w:color w:val="auto"/>
                <w:szCs w:val="21"/>
                <w:highlight w:val="none"/>
              </w:rPr>
            </w:pPr>
          </w:p>
        </w:tc>
        <w:tc>
          <w:tcPr>
            <w:tcW w:w="1049" w:type="dxa"/>
            <w:tcBorders>
              <w:left w:val="single" w:color="auto" w:sz="4" w:space="0"/>
            </w:tcBorders>
            <w:vAlign w:val="center"/>
          </w:tcPr>
          <w:p>
            <w:pPr>
              <w:widowControl w:val="0"/>
              <w:autoSpaceDE w:val="0"/>
              <w:autoSpaceDN w:val="0"/>
              <w:adjustRightInd/>
              <w:spacing w:before="31" w:after="31"/>
              <w:rPr>
                <w:rFonts w:hint="eastAsia" w:ascii="宋体" w:hAnsi="宋体" w:cs="宋体"/>
                <w:b/>
                <w:bCs/>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1"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2097" w:type="dxa"/>
            <w:tcBorders>
              <w:right w:val="single" w:color="auto" w:sz="4" w:space="0"/>
            </w:tcBorders>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lang w:eastAsia="en-US"/>
              </w:rPr>
              <w:t>接</w:t>
            </w:r>
            <w:r>
              <w:rPr>
                <w:rFonts w:hint="eastAsia" w:ascii="宋体" w:hAnsi="宋体" w:cs="宋体"/>
                <w:color w:val="auto"/>
                <w:szCs w:val="21"/>
                <w:highlight w:val="none"/>
              </w:rPr>
              <w:t>收料盘（双螺旋）</w:t>
            </w:r>
          </w:p>
        </w:tc>
        <w:tc>
          <w:tcPr>
            <w:tcW w:w="1086" w:type="dxa"/>
            <w:tcBorders>
              <w:right w:val="single" w:color="auto" w:sz="4" w:space="0"/>
            </w:tcBorders>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tcBorders>
              <w:left w:val="single" w:color="auto" w:sz="4" w:space="0"/>
            </w:tcBorders>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tcBorders>
              <w:left w:val="single" w:color="auto" w:sz="4" w:space="0"/>
            </w:tcBorders>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tcBorders>
              <w:left w:val="single" w:color="auto" w:sz="4" w:space="0"/>
            </w:tcBorders>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tcBorders>
              <w:left w:val="single" w:color="auto" w:sz="4" w:space="0"/>
            </w:tcBorders>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2</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破碎机</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3</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制浆除杂机</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1"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4</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杂物辅助螺旋输送机</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1"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5</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杂物无轴螺旋输送机</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2</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1"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6</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浆液辅助螺旋输送机</w:t>
            </w:r>
          </w:p>
        </w:tc>
        <w:tc>
          <w:tcPr>
            <w:tcW w:w="108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7</w:t>
            </w:r>
          </w:p>
        </w:tc>
        <w:tc>
          <w:tcPr>
            <w:tcW w:w="209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rPr>
              <w:t>螺旋</w:t>
            </w:r>
            <w:r>
              <w:rPr>
                <w:rFonts w:hint="eastAsia" w:ascii="宋体" w:hAnsi="宋体" w:cs="宋体"/>
                <w:color w:val="auto"/>
                <w:szCs w:val="21"/>
                <w:highlight w:val="none"/>
                <w:lang w:eastAsia="en-US"/>
              </w:rPr>
              <w:t>压榨机</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63"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8</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无轴</w:t>
            </w:r>
            <w:r>
              <w:rPr>
                <w:rFonts w:hint="eastAsia" w:ascii="宋体" w:hAnsi="宋体" w:cs="宋体"/>
                <w:color w:val="auto"/>
                <w:szCs w:val="21"/>
                <w:highlight w:val="none"/>
                <w:lang w:eastAsia="en-US"/>
              </w:rPr>
              <w:t>螺旋</w:t>
            </w:r>
            <w:r>
              <w:rPr>
                <w:rFonts w:hint="eastAsia" w:ascii="宋体" w:hAnsi="宋体" w:cs="宋体"/>
                <w:color w:val="auto"/>
                <w:szCs w:val="21"/>
                <w:highlight w:val="none"/>
              </w:rPr>
              <w:t>输送</w:t>
            </w:r>
            <w:r>
              <w:rPr>
                <w:rFonts w:hint="eastAsia" w:ascii="宋体" w:hAnsi="宋体" w:cs="宋体"/>
                <w:color w:val="auto"/>
                <w:szCs w:val="21"/>
                <w:highlight w:val="none"/>
                <w:lang w:eastAsia="en-US"/>
              </w:rPr>
              <w:t>机</w:t>
            </w:r>
            <w:r>
              <w:rPr>
                <w:rFonts w:hint="eastAsia" w:ascii="宋体" w:hAnsi="宋体" w:cs="宋体"/>
                <w:color w:val="auto"/>
                <w:szCs w:val="21"/>
                <w:highlight w:val="none"/>
              </w:rPr>
              <w:t>A</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9</w:t>
            </w:r>
          </w:p>
        </w:tc>
        <w:tc>
          <w:tcPr>
            <w:tcW w:w="2097" w:type="dxa"/>
            <w:vAlign w:val="center"/>
          </w:tcPr>
          <w:p>
            <w:pPr>
              <w:autoSpaceDE w:val="0"/>
              <w:autoSpaceDN w:val="0"/>
              <w:adjustRightInd/>
              <w:snapToGrid/>
              <w:jc w:val="center"/>
              <w:rPr>
                <w:rFonts w:ascii="宋体" w:hAnsi="宋体" w:cs="宋体"/>
                <w:color w:val="auto"/>
                <w:szCs w:val="21"/>
                <w:highlight w:val="none"/>
                <w:lang w:eastAsia="en-US"/>
              </w:rPr>
            </w:pPr>
            <w:r>
              <w:rPr>
                <w:rFonts w:hint="eastAsia" w:ascii="宋体" w:hAnsi="宋体" w:cs="宋体"/>
                <w:color w:val="auto"/>
                <w:szCs w:val="21"/>
                <w:highlight w:val="none"/>
              </w:rPr>
              <w:t>三相分离机</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1200"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10</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三相固相</w:t>
            </w:r>
          </w:p>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lang w:eastAsia="en-US"/>
              </w:rPr>
              <w:t>螺旋</w:t>
            </w:r>
            <w:r>
              <w:rPr>
                <w:rFonts w:hint="eastAsia" w:ascii="宋体" w:hAnsi="宋体" w:cs="宋体"/>
                <w:color w:val="auto"/>
                <w:szCs w:val="21"/>
                <w:highlight w:val="none"/>
              </w:rPr>
              <w:t>输送</w:t>
            </w:r>
            <w:r>
              <w:rPr>
                <w:rFonts w:hint="eastAsia" w:ascii="宋体" w:hAnsi="宋体" w:cs="宋体"/>
                <w:color w:val="auto"/>
                <w:szCs w:val="21"/>
                <w:highlight w:val="none"/>
                <w:lang w:eastAsia="en-US"/>
              </w:rPr>
              <w:t>机</w:t>
            </w:r>
          </w:p>
        </w:tc>
        <w:tc>
          <w:tcPr>
            <w:tcW w:w="108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11</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蒸汽锅炉</w:t>
            </w:r>
          </w:p>
        </w:tc>
        <w:tc>
          <w:tcPr>
            <w:tcW w:w="108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12</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蒸汽加热罐</w:t>
            </w:r>
          </w:p>
        </w:tc>
        <w:tc>
          <w:tcPr>
            <w:tcW w:w="108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13</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油水暂存罐</w:t>
            </w:r>
          </w:p>
        </w:tc>
        <w:tc>
          <w:tcPr>
            <w:tcW w:w="108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rPr>
            </w:pPr>
            <w:r>
              <w:rPr>
                <w:rFonts w:hint="eastAsia" w:ascii="宋体" w:hAnsi="宋体" w:cs="宋体"/>
                <w:color w:val="auto"/>
                <w:szCs w:val="21"/>
                <w:highlight w:val="none"/>
                <w:lang w:eastAsia="en-US"/>
              </w:rPr>
              <w:t>2</w:t>
            </w:r>
          </w:p>
        </w:tc>
        <w:tc>
          <w:tcPr>
            <w:tcW w:w="1049" w:type="dxa"/>
            <w:vAlign w:val="center"/>
          </w:tcPr>
          <w:p>
            <w:pPr>
              <w:widowControl w:val="0"/>
              <w:autoSpaceDE w:val="0"/>
              <w:autoSpaceDN w:val="0"/>
              <w:adjustRightInd/>
              <w:spacing w:before="31" w:after="31"/>
              <w:jc w:val="center"/>
              <w:rPr>
                <w:rFonts w:hint="eastAsia" w:ascii="宋体" w:hAnsi="宋体" w:cs="宋体"/>
                <w:color w:val="auto"/>
                <w:szCs w:val="21"/>
                <w:highlight w:val="none"/>
                <w:lang w:eastAsia="en-US"/>
              </w:rPr>
            </w:pPr>
          </w:p>
        </w:tc>
        <w:tc>
          <w:tcPr>
            <w:tcW w:w="1050" w:type="dxa"/>
            <w:vAlign w:val="center"/>
          </w:tcPr>
          <w:p>
            <w:pPr>
              <w:widowControl w:val="0"/>
              <w:autoSpaceDE w:val="0"/>
              <w:autoSpaceDN w:val="0"/>
              <w:adjustRightInd/>
              <w:spacing w:before="31" w:after="31"/>
              <w:jc w:val="center"/>
              <w:rPr>
                <w:rFonts w:hint="eastAsia" w:ascii="宋体" w:hAnsi="宋体" w:cs="宋体"/>
                <w:color w:val="auto"/>
                <w:szCs w:val="21"/>
                <w:highlight w:val="none"/>
                <w:lang w:eastAsia="en-US"/>
              </w:rPr>
            </w:pPr>
          </w:p>
        </w:tc>
        <w:tc>
          <w:tcPr>
            <w:tcW w:w="1049" w:type="dxa"/>
            <w:vAlign w:val="center"/>
          </w:tcPr>
          <w:p>
            <w:pPr>
              <w:widowControl w:val="0"/>
              <w:autoSpaceDE w:val="0"/>
              <w:autoSpaceDN w:val="0"/>
              <w:adjustRightInd/>
              <w:spacing w:before="31" w:after="31"/>
              <w:jc w:val="center"/>
              <w:rPr>
                <w:rFonts w:hint="eastAsia" w:ascii="宋体" w:hAnsi="宋体" w:cs="宋体"/>
                <w:color w:val="auto"/>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14</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三相热液罐搅拌机</w:t>
            </w:r>
          </w:p>
        </w:tc>
        <w:tc>
          <w:tcPr>
            <w:tcW w:w="108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15</w:t>
            </w:r>
          </w:p>
        </w:tc>
        <w:tc>
          <w:tcPr>
            <w:tcW w:w="2097" w:type="dxa"/>
            <w:vAlign w:val="center"/>
          </w:tcPr>
          <w:p>
            <w:pPr>
              <w:autoSpaceDE w:val="0"/>
              <w:autoSpaceDN w:val="0"/>
              <w:adjustRightInd/>
              <w:snapToGrid/>
              <w:rPr>
                <w:rFonts w:ascii="宋体" w:hAnsi="宋体" w:cs="宋体"/>
                <w:color w:val="auto"/>
                <w:szCs w:val="21"/>
                <w:highlight w:val="none"/>
              </w:rPr>
            </w:pPr>
            <w:r>
              <w:rPr>
                <w:rFonts w:hint="eastAsia" w:ascii="宋体" w:hAnsi="宋体" w:cs="宋体"/>
                <w:color w:val="auto"/>
                <w:szCs w:val="21"/>
                <w:highlight w:val="none"/>
              </w:rPr>
              <w:t>三相离心机进料泵</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16</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毛油移送泵</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17</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三相废水移送泵</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18</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喂料螺杆泵</w:t>
            </w:r>
          </w:p>
        </w:tc>
        <w:tc>
          <w:tcPr>
            <w:tcW w:w="108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19</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有机料暂存箱</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p>
        </w:tc>
        <w:tc>
          <w:tcPr>
            <w:tcW w:w="1049"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p>
        </w:tc>
        <w:tc>
          <w:tcPr>
            <w:tcW w:w="105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p>
        </w:tc>
        <w:tc>
          <w:tcPr>
            <w:tcW w:w="1049"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1200"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20</w:t>
            </w:r>
          </w:p>
        </w:tc>
        <w:tc>
          <w:tcPr>
            <w:tcW w:w="2097" w:type="dxa"/>
            <w:tcBorders>
              <w:right w:val="single" w:color="auto" w:sz="4" w:space="0"/>
            </w:tcBorders>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储水罐</w:t>
            </w:r>
          </w:p>
        </w:tc>
        <w:tc>
          <w:tcPr>
            <w:tcW w:w="1086" w:type="dxa"/>
            <w:tcBorders>
              <w:left w:val="single" w:color="auto" w:sz="4" w:space="0"/>
            </w:tcBorders>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个</w:t>
            </w:r>
          </w:p>
        </w:tc>
        <w:tc>
          <w:tcPr>
            <w:tcW w:w="1049" w:type="dxa"/>
            <w:gridSpan w:val="2"/>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3297" w:type="dxa"/>
            <w:gridSpan w:val="2"/>
            <w:tcBorders>
              <w:right w:val="single" w:color="auto" w:sz="4" w:space="0"/>
            </w:tcBorders>
            <w:vAlign w:val="center"/>
          </w:tcPr>
          <w:p>
            <w:pPr>
              <w:widowControl w:val="0"/>
              <w:autoSpaceDE w:val="0"/>
              <w:autoSpaceDN w:val="0"/>
              <w:adjustRightInd/>
              <w:spacing w:before="31" w:after="31"/>
              <w:rPr>
                <w:rFonts w:ascii="宋体" w:hAnsi="宋体" w:cs="宋体"/>
                <w:color w:val="auto"/>
                <w:szCs w:val="21"/>
                <w:highlight w:val="none"/>
                <w:lang w:eastAsia="en-US"/>
              </w:rPr>
            </w:pPr>
            <w:r>
              <w:rPr>
                <w:rFonts w:hint="eastAsia" w:ascii="宋体" w:hAnsi="宋体" w:cs="宋体"/>
                <w:b/>
                <w:bCs/>
                <w:color w:val="auto"/>
                <w:kern w:val="2"/>
                <w:szCs w:val="21"/>
                <w:highlight w:val="none"/>
              </w:rPr>
              <w:t>主要仪表</w:t>
            </w:r>
          </w:p>
        </w:tc>
        <w:tc>
          <w:tcPr>
            <w:tcW w:w="2133" w:type="dxa"/>
            <w:gridSpan w:val="2"/>
            <w:tcBorders>
              <w:left w:val="single" w:color="auto" w:sz="4" w:space="0"/>
            </w:tcBorders>
            <w:vAlign w:val="center"/>
          </w:tcPr>
          <w:p>
            <w:pPr>
              <w:widowControl w:val="0"/>
              <w:autoSpaceDE w:val="0"/>
              <w:autoSpaceDN w:val="0"/>
              <w:adjustRightInd/>
              <w:spacing w:before="31" w:after="31"/>
              <w:rPr>
                <w:rFonts w:hint="eastAsia" w:ascii="宋体" w:hAnsi="宋体" w:cs="宋体"/>
                <w:b/>
                <w:bCs/>
                <w:color w:val="auto"/>
                <w:kern w:val="2"/>
                <w:szCs w:val="21"/>
                <w:highlight w:val="none"/>
              </w:rPr>
            </w:pPr>
          </w:p>
        </w:tc>
        <w:tc>
          <w:tcPr>
            <w:tcW w:w="1051" w:type="dxa"/>
            <w:gridSpan w:val="2"/>
            <w:vAlign w:val="center"/>
          </w:tcPr>
          <w:p>
            <w:pPr>
              <w:widowControl w:val="0"/>
              <w:autoSpaceDE w:val="0"/>
              <w:autoSpaceDN w:val="0"/>
              <w:adjustRightInd/>
              <w:spacing w:before="31" w:after="31"/>
              <w:rPr>
                <w:rFonts w:hint="eastAsia" w:ascii="宋体" w:hAnsi="宋体" w:cs="宋体"/>
                <w:b/>
                <w:bCs/>
                <w:color w:val="auto"/>
                <w:kern w:val="2"/>
                <w:szCs w:val="21"/>
                <w:highlight w:val="none"/>
              </w:rPr>
            </w:pPr>
          </w:p>
        </w:tc>
        <w:tc>
          <w:tcPr>
            <w:tcW w:w="1050" w:type="dxa"/>
            <w:vAlign w:val="center"/>
          </w:tcPr>
          <w:p>
            <w:pPr>
              <w:widowControl w:val="0"/>
              <w:autoSpaceDE w:val="0"/>
              <w:autoSpaceDN w:val="0"/>
              <w:adjustRightInd/>
              <w:spacing w:before="31" w:after="31"/>
              <w:rPr>
                <w:rFonts w:hint="eastAsia" w:ascii="宋体" w:hAnsi="宋体" w:cs="宋体"/>
                <w:b/>
                <w:bCs/>
                <w:color w:val="auto"/>
                <w:kern w:val="2"/>
                <w:szCs w:val="21"/>
                <w:highlight w:val="none"/>
              </w:rPr>
            </w:pPr>
          </w:p>
        </w:tc>
        <w:tc>
          <w:tcPr>
            <w:tcW w:w="1049" w:type="dxa"/>
            <w:vAlign w:val="center"/>
          </w:tcPr>
          <w:p>
            <w:pPr>
              <w:widowControl w:val="0"/>
              <w:autoSpaceDE w:val="0"/>
              <w:autoSpaceDN w:val="0"/>
              <w:adjustRightInd/>
              <w:spacing w:before="31" w:after="31"/>
              <w:rPr>
                <w:rFonts w:hint="eastAsia" w:ascii="宋体" w:hAnsi="宋体" w:cs="宋体"/>
                <w:b/>
                <w:bCs/>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27" w:hRule="atLeast"/>
        </w:trPr>
        <w:tc>
          <w:tcPr>
            <w:tcW w:w="1200"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2097" w:type="dxa"/>
            <w:tcBorders>
              <w:right w:val="single" w:color="auto" w:sz="4" w:space="0"/>
            </w:tcBorders>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电磁流量计（三相进料流量计、原液流量计、废水流量计）</w:t>
            </w:r>
          </w:p>
        </w:tc>
        <w:tc>
          <w:tcPr>
            <w:tcW w:w="1086" w:type="dxa"/>
            <w:tcBorders>
              <w:left w:val="single" w:color="auto" w:sz="4" w:space="0"/>
            </w:tcBorders>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3</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2</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废水液位计</w:t>
            </w:r>
          </w:p>
          <w:p>
            <w:pPr>
              <w:adjustRightInd/>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rPr>
              <w:t>（</w:t>
            </w:r>
            <w:r>
              <w:rPr>
                <w:rFonts w:hint="eastAsia" w:ascii="宋体" w:hAnsi="宋体" w:cs="宋体"/>
                <w:color w:val="auto"/>
                <w:szCs w:val="21"/>
                <w:highlight w:val="none"/>
                <w:lang w:bidi="ar"/>
              </w:rPr>
              <w:t>静压</w:t>
            </w:r>
          </w:p>
          <w:p>
            <w:pPr>
              <w:widowControl w:val="0"/>
              <w:tabs>
                <w:tab w:val="center" w:pos="4153"/>
                <w:tab w:val="right" w:pos="8306"/>
              </w:tabs>
              <w:autoSpaceDE w:val="0"/>
              <w:autoSpaceDN w:val="0"/>
              <w:jc w:val="center"/>
              <w:rPr>
                <w:rFonts w:ascii="宋体" w:hAnsi="宋体" w:cs="宋体"/>
                <w:color w:val="auto"/>
                <w:szCs w:val="21"/>
                <w:highlight w:val="none"/>
              </w:rPr>
            </w:pPr>
            <w:r>
              <w:rPr>
                <w:rFonts w:hint="eastAsia" w:ascii="宋体" w:hAnsi="宋体" w:cs="宋体"/>
                <w:color w:val="auto"/>
                <w:szCs w:val="21"/>
                <w:highlight w:val="none"/>
                <w:lang w:bidi="ar"/>
              </w:rPr>
              <w:t>液位计）</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28"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3</w:t>
            </w:r>
          </w:p>
        </w:tc>
        <w:tc>
          <w:tcPr>
            <w:tcW w:w="2097" w:type="dxa"/>
            <w:vAlign w:val="center"/>
          </w:tcPr>
          <w:p>
            <w:pPr>
              <w:adjustRightInd/>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rPr>
              <w:t>加热罐液位计（</w:t>
            </w:r>
            <w:r>
              <w:rPr>
                <w:rFonts w:hint="eastAsia" w:ascii="宋体" w:hAnsi="宋体" w:cs="宋体"/>
                <w:color w:val="auto"/>
                <w:szCs w:val="21"/>
                <w:highlight w:val="none"/>
                <w:lang w:bidi="ar"/>
              </w:rPr>
              <w:t>静压</w:t>
            </w:r>
          </w:p>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lang w:bidi="ar"/>
              </w:rPr>
              <w:t>液位计）</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05"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4</w:t>
            </w:r>
          </w:p>
        </w:tc>
        <w:tc>
          <w:tcPr>
            <w:tcW w:w="2097" w:type="dxa"/>
            <w:vAlign w:val="center"/>
          </w:tcPr>
          <w:p>
            <w:pPr>
              <w:adjustRightInd/>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rPr>
              <w:t>三相固渣液位计（</w:t>
            </w:r>
            <w:r>
              <w:rPr>
                <w:rFonts w:hint="eastAsia" w:ascii="宋体" w:hAnsi="宋体" w:cs="宋体"/>
                <w:color w:val="auto"/>
                <w:szCs w:val="21"/>
                <w:highlight w:val="none"/>
                <w:lang w:bidi="ar"/>
              </w:rPr>
              <w:t>静压</w:t>
            </w:r>
          </w:p>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lang w:bidi="ar"/>
              </w:rPr>
              <w:t>液位计</w:t>
            </w:r>
            <w:r>
              <w:rPr>
                <w:rFonts w:hint="eastAsia" w:ascii="宋体" w:hAnsi="宋体" w:cs="宋体"/>
                <w:color w:val="auto"/>
                <w:szCs w:val="21"/>
                <w:highlight w:val="none"/>
              </w:rPr>
              <w:t>）</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台</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1200"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5</w:t>
            </w:r>
          </w:p>
        </w:tc>
        <w:tc>
          <w:tcPr>
            <w:tcW w:w="2097" w:type="dxa"/>
            <w:tcBorders>
              <w:right w:val="single" w:color="auto" w:sz="4" w:space="0"/>
            </w:tcBorders>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法兰视镜</w:t>
            </w:r>
          </w:p>
        </w:tc>
        <w:tc>
          <w:tcPr>
            <w:tcW w:w="1086" w:type="dxa"/>
            <w:tcBorders>
              <w:left w:val="single" w:color="auto" w:sz="4" w:space="0"/>
            </w:tcBorders>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个</w:t>
            </w:r>
          </w:p>
        </w:tc>
        <w:tc>
          <w:tcPr>
            <w:tcW w:w="1049" w:type="dxa"/>
            <w:gridSpan w:val="2"/>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3297" w:type="dxa"/>
            <w:gridSpan w:val="2"/>
            <w:tcBorders>
              <w:right w:val="single" w:color="auto" w:sz="4" w:space="0"/>
            </w:tcBorders>
            <w:vAlign w:val="center"/>
          </w:tcPr>
          <w:p>
            <w:pPr>
              <w:widowControl w:val="0"/>
              <w:autoSpaceDE w:val="0"/>
              <w:autoSpaceDN w:val="0"/>
              <w:adjustRightInd/>
              <w:spacing w:before="31" w:after="31"/>
              <w:rPr>
                <w:rFonts w:ascii="宋体" w:hAnsi="宋体" w:cs="宋体"/>
                <w:color w:val="auto"/>
                <w:szCs w:val="21"/>
                <w:highlight w:val="none"/>
                <w:lang w:eastAsia="en-US"/>
              </w:rPr>
            </w:pPr>
            <w:r>
              <w:rPr>
                <w:rFonts w:hint="eastAsia" w:ascii="宋体" w:hAnsi="宋体" w:cs="宋体"/>
                <w:b/>
                <w:bCs/>
                <w:color w:val="auto"/>
                <w:kern w:val="2"/>
                <w:szCs w:val="21"/>
                <w:highlight w:val="none"/>
              </w:rPr>
              <w:t>管道、阀门</w:t>
            </w:r>
          </w:p>
        </w:tc>
        <w:tc>
          <w:tcPr>
            <w:tcW w:w="2133" w:type="dxa"/>
            <w:gridSpan w:val="2"/>
            <w:tcBorders>
              <w:left w:val="single" w:color="auto" w:sz="4" w:space="0"/>
            </w:tcBorders>
            <w:vAlign w:val="center"/>
          </w:tcPr>
          <w:p>
            <w:pPr>
              <w:widowControl w:val="0"/>
              <w:autoSpaceDE w:val="0"/>
              <w:autoSpaceDN w:val="0"/>
              <w:adjustRightInd/>
              <w:spacing w:before="31" w:after="31"/>
              <w:rPr>
                <w:rFonts w:hint="eastAsia" w:ascii="宋体" w:hAnsi="宋体" w:cs="宋体"/>
                <w:b/>
                <w:bCs/>
                <w:color w:val="auto"/>
                <w:kern w:val="2"/>
                <w:szCs w:val="21"/>
                <w:highlight w:val="none"/>
              </w:rPr>
            </w:pPr>
          </w:p>
        </w:tc>
        <w:tc>
          <w:tcPr>
            <w:tcW w:w="1051" w:type="dxa"/>
            <w:gridSpan w:val="2"/>
            <w:vAlign w:val="center"/>
          </w:tcPr>
          <w:p>
            <w:pPr>
              <w:widowControl w:val="0"/>
              <w:autoSpaceDE w:val="0"/>
              <w:autoSpaceDN w:val="0"/>
              <w:adjustRightInd/>
              <w:spacing w:before="31" w:after="31"/>
              <w:rPr>
                <w:rFonts w:hint="eastAsia" w:ascii="宋体" w:hAnsi="宋体" w:cs="宋体"/>
                <w:b/>
                <w:bCs/>
                <w:color w:val="auto"/>
                <w:kern w:val="2"/>
                <w:szCs w:val="21"/>
                <w:highlight w:val="none"/>
              </w:rPr>
            </w:pPr>
          </w:p>
        </w:tc>
        <w:tc>
          <w:tcPr>
            <w:tcW w:w="1050" w:type="dxa"/>
            <w:vAlign w:val="center"/>
          </w:tcPr>
          <w:p>
            <w:pPr>
              <w:widowControl w:val="0"/>
              <w:autoSpaceDE w:val="0"/>
              <w:autoSpaceDN w:val="0"/>
              <w:adjustRightInd/>
              <w:spacing w:before="31" w:after="31"/>
              <w:rPr>
                <w:rFonts w:hint="eastAsia" w:ascii="宋体" w:hAnsi="宋体" w:cs="宋体"/>
                <w:b/>
                <w:bCs/>
                <w:color w:val="auto"/>
                <w:kern w:val="2"/>
                <w:szCs w:val="21"/>
                <w:highlight w:val="none"/>
              </w:rPr>
            </w:pPr>
          </w:p>
        </w:tc>
        <w:tc>
          <w:tcPr>
            <w:tcW w:w="1049" w:type="dxa"/>
            <w:vAlign w:val="center"/>
          </w:tcPr>
          <w:p>
            <w:pPr>
              <w:widowControl w:val="0"/>
              <w:autoSpaceDE w:val="0"/>
              <w:autoSpaceDN w:val="0"/>
              <w:adjustRightInd/>
              <w:spacing w:before="31" w:after="31"/>
              <w:rPr>
                <w:rFonts w:hint="eastAsia" w:ascii="宋体" w:hAnsi="宋体" w:cs="宋体"/>
                <w:b/>
                <w:bCs/>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2097" w:type="dxa"/>
            <w:tcBorders>
              <w:right w:val="single" w:color="auto" w:sz="4" w:space="0"/>
            </w:tcBorders>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电磁阀</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个</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2</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2</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304不锈钢浮球阀</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个</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1200"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3</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电动蝶阀</w:t>
            </w:r>
          </w:p>
        </w:tc>
        <w:tc>
          <w:tcPr>
            <w:tcW w:w="108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个</w:t>
            </w:r>
          </w:p>
        </w:tc>
        <w:tc>
          <w:tcPr>
            <w:tcW w:w="1049" w:type="dxa"/>
            <w:gridSpan w:val="2"/>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2</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1200"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4</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电动蝶阀</w:t>
            </w:r>
          </w:p>
        </w:tc>
        <w:tc>
          <w:tcPr>
            <w:tcW w:w="1086" w:type="dxa"/>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个</w:t>
            </w:r>
          </w:p>
        </w:tc>
        <w:tc>
          <w:tcPr>
            <w:tcW w:w="1049" w:type="dxa"/>
            <w:gridSpan w:val="2"/>
            <w:vAlign w:val="center"/>
          </w:tcPr>
          <w:p>
            <w:pPr>
              <w:widowControl w:val="0"/>
              <w:autoSpaceDE w:val="0"/>
              <w:autoSpaceDN w:val="0"/>
              <w:adjustRightInd/>
              <w:spacing w:before="31" w:after="31"/>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5</w:t>
            </w:r>
          </w:p>
        </w:tc>
        <w:tc>
          <w:tcPr>
            <w:tcW w:w="2097" w:type="dxa"/>
            <w:vAlign w:val="center"/>
          </w:tcPr>
          <w:p>
            <w:pPr>
              <w:autoSpaceDE w:val="0"/>
              <w:autoSpaceDN w:val="0"/>
              <w:adjustRightInd/>
              <w:snapToGrid/>
              <w:jc w:val="center"/>
              <w:rPr>
                <w:rFonts w:ascii="宋体" w:hAnsi="宋体" w:cs="宋体"/>
                <w:color w:val="auto"/>
                <w:szCs w:val="21"/>
                <w:highlight w:val="none"/>
              </w:rPr>
            </w:pPr>
            <w:r>
              <w:rPr>
                <w:rFonts w:hint="eastAsia" w:ascii="宋体" w:hAnsi="宋体" w:cs="宋体"/>
                <w:color w:val="auto"/>
                <w:szCs w:val="21"/>
                <w:highlight w:val="none"/>
              </w:rPr>
              <w:t>刀闸阀</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个</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30</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6</w:t>
            </w:r>
          </w:p>
        </w:tc>
        <w:tc>
          <w:tcPr>
            <w:tcW w:w="2097" w:type="dxa"/>
            <w:vAlign w:val="center"/>
          </w:tcPr>
          <w:p>
            <w:pPr>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现场压力表</w:t>
            </w:r>
          </w:p>
        </w:tc>
        <w:tc>
          <w:tcPr>
            <w:tcW w:w="1086"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个</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1200" w:type="dxa"/>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7</w:t>
            </w:r>
          </w:p>
        </w:tc>
        <w:tc>
          <w:tcPr>
            <w:tcW w:w="2097" w:type="dxa"/>
            <w:tcBorders>
              <w:right w:val="single" w:color="auto" w:sz="4" w:space="0"/>
            </w:tcBorders>
            <w:vAlign w:val="center"/>
          </w:tcPr>
          <w:p>
            <w:pPr>
              <w:adjustRightInd/>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管材管件</w:t>
            </w:r>
          </w:p>
        </w:tc>
        <w:tc>
          <w:tcPr>
            <w:tcW w:w="1086" w:type="dxa"/>
            <w:tcBorders>
              <w:left w:val="single" w:color="auto" w:sz="4" w:space="0"/>
            </w:tcBorders>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批</w:t>
            </w:r>
          </w:p>
        </w:tc>
        <w:tc>
          <w:tcPr>
            <w:tcW w:w="1049" w:type="dxa"/>
            <w:gridSpan w:val="2"/>
            <w:vAlign w:val="center"/>
          </w:tcPr>
          <w:p>
            <w:pPr>
              <w:widowControl w:val="0"/>
              <w:autoSpaceDE w:val="0"/>
              <w:autoSpaceDN w:val="0"/>
              <w:adjustRightInd/>
              <w:spacing w:before="31" w:after="31"/>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adjustRightInd/>
              <w:spacing w:before="31" w:after="31"/>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trPr>
        <w:tc>
          <w:tcPr>
            <w:tcW w:w="3297" w:type="dxa"/>
            <w:gridSpan w:val="2"/>
            <w:tcBorders>
              <w:right w:val="single" w:color="auto" w:sz="4" w:space="0"/>
            </w:tcBorders>
            <w:vAlign w:val="center"/>
          </w:tcPr>
          <w:p>
            <w:pPr>
              <w:widowControl w:val="0"/>
              <w:autoSpaceDE w:val="0"/>
              <w:autoSpaceDN w:val="0"/>
              <w:adjustRightInd/>
              <w:spacing w:before="31" w:after="31"/>
              <w:jc w:val="both"/>
              <w:rPr>
                <w:rFonts w:ascii="宋体" w:hAnsi="宋体" w:cs="宋体"/>
                <w:color w:val="auto"/>
                <w:szCs w:val="21"/>
                <w:highlight w:val="none"/>
                <w:lang w:eastAsia="en-US"/>
              </w:rPr>
            </w:pPr>
            <w:r>
              <w:rPr>
                <w:rFonts w:hint="eastAsia" w:ascii="宋体" w:hAnsi="宋体" w:cs="宋体"/>
                <w:b/>
                <w:bCs/>
                <w:color w:val="auto"/>
                <w:kern w:val="2"/>
                <w:szCs w:val="21"/>
                <w:highlight w:val="none"/>
              </w:rPr>
              <w:t>电气材料</w:t>
            </w:r>
          </w:p>
        </w:tc>
        <w:tc>
          <w:tcPr>
            <w:tcW w:w="2133" w:type="dxa"/>
            <w:gridSpan w:val="2"/>
            <w:tcBorders>
              <w:left w:val="single" w:color="auto" w:sz="4" w:space="0"/>
            </w:tcBorders>
            <w:vAlign w:val="center"/>
          </w:tcPr>
          <w:p>
            <w:pPr>
              <w:widowControl w:val="0"/>
              <w:autoSpaceDE w:val="0"/>
              <w:autoSpaceDN w:val="0"/>
              <w:adjustRightInd/>
              <w:spacing w:before="31" w:after="31"/>
              <w:jc w:val="both"/>
              <w:rPr>
                <w:rFonts w:hint="eastAsia" w:ascii="宋体" w:hAnsi="宋体" w:cs="宋体"/>
                <w:b/>
                <w:bCs/>
                <w:color w:val="auto"/>
                <w:kern w:val="2"/>
                <w:szCs w:val="21"/>
                <w:highlight w:val="none"/>
              </w:rPr>
            </w:pPr>
          </w:p>
        </w:tc>
        <w:tc>
          <w:tcPr>
            <w:tcW w:w="1051" w:type="dxa"/>
            <w:gridSpan w:val="2"/>
            <w:vAlign w:val="center"/>
          </w:tcPr>
          <w:p>
            <w:pPr>
              <w:widowControl w:val="0"/>
              <w:autoSpaceDE w:val="0"/>
              <w:autoSpaceDN w:val="0"/>
              <w:adjustRightInd/>
              <w:spacing w:before="31" w:after="31"/>
              <w:jc w:val="both"/>
              <w:rPr>
                <w:rFonts w:hint="eastAsia" w:ascii="宋体" w:hAnsi="宋体" w:cs="宋体"/>
                <w:b/>
                <w:bCs/>
                <w:color w:val="auto"/>
                <w:kern w:val="2"/>
                <w:szCs w:val="21"/>
                <w:highlight w:val="none"/>
              </w:rPr>
            </w:pPr>
          </w:p>
        </w:tc>
        <w:tc>
          <w:tcPr>
            <w:tcW w:w="1050" w:type="dxa"/>
            <w:vAlign w:val="center"/>
          </w:tcPr>
          <w:p>
            <w:pPr>
              <w:widowControl w:val="0"/>
              <w:autoSpaceDE w:val="0"/>
              <w:autoSpaceDN w:val="0"/>
              <w:adjustRightInd/>
              <w:spacing w:before="31" w:after="31"/>
              <w:jc w:val="both"/>
              <w:rPr>
                <w:rFonts w:hint="eastAsia" w:ascii="宋体" w:hAnsi="宋体" w:cs="宋体"/>
                <w:b/>
                <w:bCs/>
                <w:color w:val="auto"/>
                <w:kern w:val="2"/>
                <w:szCs w:val="21"/>
                <w:highlight w:val="none"/>
              </w:rPr>
            </w:pPr>
          </w:p>
        </w:tc>
        <w:tc>
          <w:tcPr>
            <w:tcW w:w="1049" w:type="dxa"/>
            <w:vAlign w:val="center"/>
          </w:tcPr>
          <w:p>
            <w:pPr>
              <w:widowControl w:val="0"/>
              <w:autoSpaceDE w:val="0"/>
              <w:autoSpaceDN w:val="0"/>
              <w:adjustRightInd/>
              <w:spacing w:before="31" w:after="31"/>
              <w:jc w:val="both"/>
              <w:rPr>
                <w:rFonts w:hint="eastAsia" w:ascii="宋体" w:hAnsi="宋体" w:cs="宋体"/>
                <w:b/>
                <w:bCs/>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2097"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PLC控制系统</w:t>
            </w:r>
          </w:p>
        </w:tc>
        <w:tc>
          <w:tcPr>
            <w:tcW w:w="108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套</w:t>
            </w:r>
          </w:p>
        </w:tc>
        <w:tc>
          <w:tcPr>
            <w:tcW w:w="1049" w:type="dxa"/>
            <w:gridSpan w:val="2"/>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1</w:t>
            </w: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50"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w:t>
            </w:r>
          </w:p>
        </w:tc>
        <w:tc>
          <w:tcPr>
            <w:tcW w:w="2097"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电柜</w:t>
            </w:r>
          </w:p>
        </w:tc>
        <w:tc>
          <w:tcPr>
            <w:tcW w:w="108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个</w:t>
            </w:r>
          </w:p>
        </w:tc>
        <w:tc>
          <w:tcPr>
            <w:tcW w:w="1049" w:type="dxa"/>
            <w:gridSpan w:val="2"/>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4</w:t>
            </w: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50"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w:t>
            </w:r>
          </w:p>
        </w:tc>
        <w:tc>
          <w:tcPr>
            <w:tcW w:w="2097" w:type="dxa"/>
            <w:vAlign w:val="center"/>
          </w:tcPr>
          <w:p>
            <w:pPr>
              <w:autoSpaceDE w:val="0"/>
              <w:autoSpaceDN w:val="0"/>
              <w:snapToGrid/>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现场控制箱</w:t>
            </w:r>
          </w:p>
        </w:tc>
        <w:tc>
          <w:tcPr>
            <w:tcW w:w="108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个</w:t>
            </w:r>
          </w:p>
        </w:tc>
        <w:tc>
          <w:tcPr>
            <w:tcW w:w="1049" w:type="dxa"/>
            <w:gridSpan w:val="2"/>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5</w:t>
            </w: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50"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Merge w:val="restart"/>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4</w:t>
            </w:r>
          </w:p>
        </w:tc>
        <w:tc>
          <w:tcPr>
            <w:tcW w:w="2097" w:type="dxa"/>
            <w:vMerge w:val="restart"/>
            <w:vAlign w:val="center"/>
          </w:tcPr>
          <w:p>
            <w:pPr>
              <w:autoSpaceDE w:val="0"/>
              <w:autoSpaceDN w:val="0"/>
              <w:snapToGrid/>
              <w:ind w:firstLine="420" w:firstLineChars="200"/>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变频器</w:t>
            </w:r>
          </w:p>
        </w:tc>
        <w:tc>
          <w:tcPr>
            <w:tcW w:w="108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台</w:t>
            </w:r>
          </w:p>
        </w:tc>
        <w:tc>
          <w:tcPr>
            <w:tcW w:w="1049" w:type="dxa"/>
            <w:gridSpan w:val="2"/>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3</w:t>
            </w: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50"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2097"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台</w:t>
            </w:r>
          </w:p>
        </w:tc>
        <w:tc>
          <w:tcPr>
            <w:tcW w:w="1049" w:type="dxa"/>
            <w:gridSpan w:val="2"/>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2097"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台</w:t>
            </w:r>
          </w:p>
        </w:tc>
        <w:tc>
          <w:tcPr>
            <w:tcW w:w="1049" w:type="dxa"/>
            <w:gridSpan w:val="2"/>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2097"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w:t>
            </w:r>
          </w:p>
        </w:tc>
        <w:tc>
          <w:tcPr>
            <w:tcW w:w="1049" w:type="dxa"/>
            <w:gridSpan w:val="2"/>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2097"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台</w:t>
            </w:r>
          </w:p>
        </w:tc>
        <w:tc>
          <w:tcPr>
            <w:tcW w:w="1049" w:type="dxa"/>
            <w:gridSpan w:val="2"/>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2097"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w:t>
            </w:r>
          </w:p>
        </w:tc>
        <w:tc>
          <w:tcPr>
            <w:tcW w:w="1049" w:type="dxa"/>
            <w:gridSpan w:val="2"/>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w:t>
            </w: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Merge w:val="restart"/>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5</w:t>
            </w:r>
          </w:p>
        </w:tc>
        <w:tc>
          <w:tcPr>
            <w:tcW w:w="2097" w:type="dxa"/>
            <w:vMerge w:val="restart"/>
            <w:vAlign w:val="center"/>
          </w:tcPr>
          <w:p>
            <w:pPr>
              <w:autoSpaceDE w:val="0"/>
              <w:autoSpaceDN w:val="0"/>
              <w:snapToGrid/>
              <w:ind w:firstLine="420" w:firstLineChars="200"/>
              <w:jc w:val="both"/>
              <w:textAlignment w:val="center"/>
              <w:rPr>
                <w:rFonts w:ascii="宋体" w:hAnsi="宋体" w:cs="宋体"/>
                <w:color w:val="auto"/>
                <w:szCs w:val="21"/>
                <w:highlight w:val="none"/>
              </w:rPr>
            </w:pPr>
            <w:r>
              <w:rPr>
                <w:rFonts w:hint="eastAsia" w:ascii="宋体" w:hAnsi="宋体" w:cs="宋体"/>
                <w:color w:val="auto"/>
                <w:szCs w:val="21"/>
                <w:highlight w:val="none"/>
                <w:lang w:bidi="ar"/>
              </w:rPr>
              <w:t>电缆</w:t>
            </w:r>
          </w:p>
        </w:tc>
        <w:tc>
          <w:tcPr>
            <w:tcW w:w="108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米</w:t>
            </w:r>
          </w:p>
        </w:tc>
        <w:tc>
          <w:tcPr>
            <w:tcW w:w="1049" w:type="dxa"/>
            <w:gridSpan w:val="2"/>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100</w:t>
            </w: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50"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2097"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米</w:t>
            </w:r>
          </w:p>
        </w:tc>
        <w:tc>
          <w:tcPr>
            <w:tcW w:w="1049" w:type="dxa"/>
            <w:gridSpan w:val="2"/>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150</w:t>
            </w: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2097"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米</w:t>
            </w:r>
          </w:p>
        </w:tc>
        <w:tc>
          <w:tcPr>
            <w:tcW w:w="1049" w:type="dxa"/>
            <w:gridSpan w:val="2"/>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500</w:t>
            </w: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lang w:eastAsia="en-US"/>
              </w:rPr>
            </w:pPr>
          </w:p>
        </w:tc>
        <w:tc>
          <w:tcPr>
            <w:tcW w:w="2097"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米</w:t>
            </w:r>
          </w:p>
        </w:tc>
        <w:tc>
          <w:tcPr>
            <w:tcW w:w="1049" w:type="dxa"/>
            <w:gridSpan w:val="2"/>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1000</w:t>
            </w: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lang w:eastAsia="en-US"/>
              </w:rPr>
            </w:pPr>
          </w:p>
        </w:tc>
        <w:tc>
          <w:tcPr>
            <w:tcW w:w="2097"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米</w:t>
            </w:r>
          </w:p>
        </w:tc>
        <w:tc>
          <w:tcPr>
            <w:tcW w:w="1049" w:type="dxa"/>
            <w:gridSpan w:val="2"/>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500</w:t>
            </w: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lang w:eastAsia="en-US"/>
              </w:rPr>
            </w:pPr>
          </w:p>
        </w:tc>
        <w:tc>
          <w:tcPr>
            <w:tcW w:w="2097"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szCs w:val="21"/>
                <w:highlight w:val="none"/>
                <w:lang w:eastAsia="en-US"/>
              </w:rPr>
            </w:pPr>
            <w:r>
              <w:rPr>
                <w:rFonts w:hint="eastAsia" w:ascii="宋体" w:hAnsi="宋体" w:cs="宋体"/>
                <w:color w:val="auto"/>
                <w:szCs w:val="21"/>
                <w:highlight w:val="none"/>
                <w:lang w:bidi="ar"/>
              </w:rPr>
              <w:t>米</w:t>
            </w:r>
          </w:p>
        </w:tc>
        <w:tc>
          <w:tcPr>
            <w:tcW w:w="1049" w:type="dxa"/>
            <w:gridSpan w:val="2"/>
            <w:vAlign w:val="center"/>
          </w:tcPr>
          <w:p>
            <w:pPr>
              <w:widowControl w:val="0"/>
              <w:autoSpaceDE w:val="0"/>
              <w:autoSpaceDN w:val="0"/>
              <w:snapToGrid/>
              <w:jc w:val="center"/>
              <w:rPr>
                <w:rFonts w:ascii="宋体" w:hAnsi="宋体" w:cs="宋体"/>
                <w:color w:val="auto"/>
                <w:szCs w:val="21"/>
                <w:highlight w:val="none"/>
                <w:lang w:eastAsia="en-US"/>
              </w:rPr>
            </w:pPr>
            <w:r>
              <w:rPr>
                <w:rFonts w:hint="eastAsia" w:ascii="宋体" w:hAnsi="宋体" w:cs="宋体"/>
                <w:color w:val="auto"/>
                <w:kern w:val="2"/>
                <w:szCs w:val="21"/>
                <w:highlight w:val="none"/>
              </w:rPr>
              <w:t>1000</w:t>
            </w: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Merge w:val="continue"/>
            <w:vAlign w:val="center"/>
          </w:tcPr>
          <w:p>
            <w:pPr>
              <w:widowControl w:val="0"/>
              <w:autoSpaceDE w:val="0"/>
              <w:autoSpaceDN w:val="0"/>
              <w:snapToGrid/>
              <w:ind w:firstLine="420" w:firstLineChars="200"/>
              <w:jc w:val="center"/>
              <w:rPr>
                <w:rFonts w:ascii="宋体" w:hAnsi="宋体" w:cs="宋体"/>
                <w:color w:val="auto"/>
                <w:kern w:val="2"/>
                <w:szCs w:val="21"/>
                <w:highlight w:val="none"/>
              </w:rPr>
            </w:pPr>
          </w:p>
        </w:tc>
        <w:tc>
          <w:tcPr>
            <w:tcW w:w="2097"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米</w:t>
            </w:r>
          </w:p>
        </w:tc>
        <w:tc>
          <w:tcPr>
            <w:tcW w:w="1049" w:type="dxa"/>
            <w:gridSpan w:val="2"/>
            <w:vAlign w:val="center"/>
          </w:tcPr>
          <w:p>
            <w:pPr>
              <w:widowControl w:val="0"/>
              <w:autoSpaceDE w:val="0"/>
              <w:autoSpaceDN w:val="0"/>
              <w:snapToGrid/>
              <w:jc w:val="center"/>
              <w:rPr>
                <w:rFonts w:ascii="宋体" w:hAnsi="宋体" w:cs="宋体"/>
                <w:color w:val="auto"/>
                <w:kern w:val="2"/>
                <w:szCs w:val="21"/>
                <w:highlight w:val="none"/>
              </w:rPr>
            </w:pPr>
            <w:r>
              <w:rPr>
                <w:rFonts w:hint="eastAsia" w:ascii="宋体" w:hAnsi="宋体" w:cs="宋体"/>
                <w:color w:val="auto"/>
                <w:kern w:val="2"/>
                <w:szCs w:val="21"/>
                <w:highlight w:val="none"/>
              </w:rPr>
              <w:t>600</w:t>
            </w: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Merge w:val="continue"/>
            <w:vAlign w:val="center"/>
          </w:tcPr>
          <w:p>
            <w:pPr>
              <w:widowControl w:val="0"/>
              <w:autoSpaceDE w:val="0"/>
              <w:autoSpaceDN w:val="0"/>
              <w:snapToGrid/>
              <w:ind w:firstLine="420" w:firstLineChars="200"/>
              <w:jc w:val="center"/>
              <w:rPr>
                <w:rFonts w:ascii="宋体" w:hAnsi="宋体" w:cs="宋体"/>
                <w:color w:val="auto"/>
                <w:kern w:val="2"/>
                <w:szCs w:val="21"/>
                <w:highlight w:val="none"/>
              </w:rPr>
            </w:pPr>
          </w:p>
        </w:tc>
        <w:tc>
          <w:tcPr>
            <w:tcW w:w="2097" w:type="dxa"/>
            <w:vMerge w:val="continue"/>
            <w:vAlign w:val="center"/>
          </w:tcPr>
          <w:p>
            <w:pPr>
              <w:widowControl w:val="0"/>
              <w:autoSpaceDE w:val="0"/>
              <w:autoSpaceDN w:val="0"/>
              <w:snapToGrid/>
              <w:ind w:firstLine="420" w:firstLineChars="200"/>
              <w:jc w:val="both"/>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米</w:t>
            </w:r>
          </w:p>
        </w:tc>
        <w:tc>
          <w:tcPr>
            <w:tcW w:w="1049" w:type="dxa"/>
            <w:gridSpan w:val="2"/>
            <w:vAlign w:val="center"/>
          </w:tcPr>
          <w:p>
            <w:pPr>
              <w:widowControl w:val="0"/>
              <w:autoSpaceDE w:val="0"/>
              <w:autoSpaceDN w:val="0"/>
              <w:snapToGrid/>
              <w:jc w:val="center"/>
              <w:rPr>
                <w:rFonts w:ascii="宋体" w:hAnsi="宋体" w:cs="宋体"/>
                <w:color w:val="auto"/>
                <w:kern w:val="2"/>
                <w:szCs w:val="21"/>
                <w:highlight w:val="none"/>
              </w:rPr>
            </w:pPr>
            <w:r>
              <w:rPr>
                <w:rFonts w:hint="eastAsia" w:ascii="宋体" w:hAnsi="宋体" w:cs="宋体"/>
                <w:color w:val="auto"/>
                <w:kern w:val="2"/>
                <w:szCs w:val="21"/>
                <w:highlight w:val="none"/>
              </w:rPr>
              <w:t>600</w:t>
            </w: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Merge w:val="restart"/>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6</w:t>
            </w:r>
          </w:p>
        </w:tc>
        <w:tc>
          <w:tcPr>
            <w:tcW w:w="2097" w:type="dxa"/>
            <w:vMerge w:val="restart"/>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屏蔽电缆</w:t>
            </w:r>
          </w:p>
        </w:tc>
        <w:tc>
          <w:tcPr>
            <w:tcW w:w="108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米</w:t>
            </w:r>
          </w:p>
        </w:tc>
        <w:tc>
          <w:tcPr>
            <w:tcW w:w="1049" w:type="dxa"/>
            <w:gridSpan w:val="2"/>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1500</w:t>
            </w: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50"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Merge w:val="continue"/>
            <w:vAlign w:val="center"/>
          </w:tcPr>
          <w:p>
            <w:pPr>
              <w:autoSpaceDE w:val="0"/>
              <w:autoSpaceDN w:val="0"/>
              <w:snapToGrid/>
              <w:ind w:firstLine="420" w:firstLineChars="200"/>
              <w:jc w:val="center"/>
              <w:textAlignment w:val="center"/>
              <w:rPr>
                <w:rFonts w:ascii="宋体" w:hAnsi="宋体" w:cs="宋体"/>
                <w:color w:val="auto"/>
                <w:kern w:val="2"/>
                <w:szCs w:val="21"/>
                <w:highlight w:val="none"/>
              </w:rPr>
            </w:pPr>
          </w:p>
        </w:tc>
        <w:tc>
          <w:tcPr>
            <w:tcW w:w="2097" w:type="dxa"/>
            <w:vMerge w:val="continue"/>
            <w:vAlign w:val="center"/>
          </w:tcPr>
          <w:p>
            <w:pPr>
              <w:autoSpaceDE w:val="0"/>
              <w:autoSpaceDN w:val="0"/>
              <w:snapToGrid/>
              <w:ind w:firstLine="420" w:firstLineChars="200"/>
              <w:jc w:val="center"/>
              <w:textAlignment w:val="center"/>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米</w:t>
            </w:r>
          </w:p>
        </w:tc>
        <w:tc>
          <w:tcPr>
            <w:tcW w:w="1049" w:type="dxa"/>
            <w:gridSpan w:val="2"/>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kern w:val="2"/>
                <w:szCs w:val="21"/>
                <w:highlight w:val="none"/>
              </w:rPr>
              <w:t>1000</w:t>
            </w:r>
          </w:p>
        </w:tc>
        <w:tc>
          <w:tcPr>
            <w:tcW w:w="1049" w:type="dxa"/>
            <w:vAlign w:val="center"/>
          </w:tcPr>
          <w:p>
            <w:pPr>
              <w:autoSpaceDE w:val="0"/>
              <w:autoSpaceDN w:val="0"/>
              <w:snapToGrid/>
              <w:jc w:val="center"/>
              <w:textAlignment w:val="center"/>
              <w:rPr>
                <w:rFonts w:hint="eastAsia" w:ascii="宋体" w:hAnsi="宋体" w:cs="宋体"/>
                <w:color w:val="auto"/>
                <w:kern w:val="2"/>
                <w:szCs w:val="21"/>
                <w:highlight w:val="none"/>
              </w:rPr>
            </w:pPr>
          </w:p>
        </w:tc>
        <w:tc>
          <w:tcPr>
            <w:tcW w:w="1050" w:type="dxa"/>
            <w:vAlign w:val="center"/>
          </w:tcPr>
          <w:p>
            <w:pPr>
              <w:autoSpaceDE w:val="0"/>
              <w:autoSpaceDN w:val="0"/>
              <w:snapToGrid/>
              <w:jc w:val="center"/>
              <w:textAlignment w:val="center"/>
              <w:rPr>
                <w:rFonts w:hint="eastAsia" w:ascii="宋体" w:hAnsi="宋体" w:cs="宋体"/>
                <w:color w:val="auto"/>
                <w:kern w:val="2"/>
                <w:szCs w:val="21"/>
                <w:highlight w:val="none"/>
              </w:rPr>
            </w:pPr>
          </w:p>
        </w:tc>
        <w:tc>
          <w:tcPr>
            <w:tcW w:w="1049" w:type="dxa"/>
            <w:vAlign w:val="center"/>
          </w:tcPr>
          <w:p>
            <w:pPr>
              <w:autoSpaceDE w:val="0"/>
              <w:autoSpaceDN w:val="0"/>
              <w:snapToGrid/>
              <w:jc w:val="center"/>
              <w:textAlignment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00" w:type="dxa"/>
            <w:vMerge w:val="continue"/>
            <w:vAlign w:val="center"/>
          </w:tcPr>
          <w:p>
            <w:pPr>
              <w:widowControl w:val="0"/>
              <w:autoSpaceDE w:val="0"/>
              <w:autoSpaceDN w:val="0"/>
              <w:snapToGrid/>
              <w:ind w:firstLine="420" w:firstLineChars="200"/>
              <w:jc w:val="center"/>
              <w:rPr>
                <w:rFonts w:ascii="宋体" w:hAnsi="宋体" w:cs="宋体"/>
                <w:color w:val="auto"/>
                <w:kern w:val="2"/>
                <w:szCs w:val="21"/>
                <w:highlight w:val="none"/>
              </w:rPr>
            </w:pPr>
          </w:p>
        </w:tc>
        <w:tc>
          <w:tcPr>
            <w:tcW w:w="2097" w:type="dxa"/>
            <w:vMerge w:val="continue"/>
            <w:vAlign w:val="center"/>
          </w:tcPr>
          <w:p>
            <w:pPr>
              <w:widowControl w:val="0"/>
              <w:autoSpaceDE w:val="0"/>
              <w:autoSpaceDN w:val="0"/>
              <w:snapToGrid/>
              <w:ind w:firstLine="420" w:firstLineChars="200"/>
              <w:jc w:val="center"/>
              <w:rPr>
                <w:rFonts w:ascii="宋体" w:hAnsi="宋体" w:cs="宋体"/>
                <w:color w:val="auto"/>
                <w:szCs w:val="21"/>
                <w:highlight w:val="none"/>
              </w:rPr>
            </w:pPr>
          </w:p>
        </w:tc>
        <w:tc>
          <w:tcPr>
            <w:tcW w:w="108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米</w:t>
            </w:r>
          </w:p>
        </w:tc>
        <w:tc>
          <w:tcPr>
            <w:tcW w:w="1049" w:type="dxa"/>
            <w:gridSpan w:val="2"/>
            <w:vAlign w:val="center"/>
          </w:tcPr>
          <w:p>
            <w:pPr>
              <w:widowControl w:val="0"/>
              <w:autoSpaceDE w:val="0"/>
              <w:autoSpaceDN w:val="0"/>
              <w:snapToGrid/>
              <w:jc w:val="center"/>
              <w:rPr>
                <w:rFonts w:ascii="宋体" w:hAnsi="宋体" w:cs="宋体"/>
                <w:color w:val="auto"/>
                <w:kern w:val="2"/>
                <w:szCs w:val="21"/>
                <w:highlight w:val="none"/>
              </w:rPr>
            </w:pPr>
            <w:r>
              <w:rPr>
                <w:rFonts w:hint="eastAsia" w:ascii="宋体" w:hAnsi="宋体" w:cs="宋体"/>
                <w:color w:val="auto"/>
                <w:kern w:val="2"/>
                <w:szCs w:val="21"/>
                <w:highlight w:val="none"/>
              </w:rPr>
              <w:t>1500</w:t>
            </w: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kern w:val="2"/>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kern w:val="2"/>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Align w:val="center"/>
          </w:tcPr>
          <w:p>
            <w:pPr>
              <w:widowControl w:val="0"/>
              <w:autoSpaceDE w:val="0"/>
              <w:autoSpaceDN w:val="0"/>
              <w:snapToGrid/>
              <w:jc w:val="center"/>
              <w:rPr>
                <w:rFonts w:ascii="宋体" w:hAnsi="宋体" w:cs="宋体"/>
                <w:color w:val="auto"/>
                <w:kern w:val="2"/>
                <w:szCs w:val="21"/>
                <w:highlight w:val="none"/>
              </w:rPr>
            </w:pPr>
            <w:r>
              <w:rPr>
                <w:rFonts w:hint="eastAsia" w:ascii="宋体" w:hAnsi="宋体" w:cs="宋体"/>
                <w:color w:val="auto"/>
                <w:szCs w:val="21"/>
                <w:highlight w:val="none"/>
              </w:rPr>
              <w:t>7</w:t>
            </w:r>
          </w:p>
        </w:tc>
        <w:tc>
          <w:tcPr>
            <w:tcW w:w="2097" w:type="dxa"/>
            <w:vAlign w:val="center"/>
          </w:tcPr>
          <w:p>
            <w:pPr>
              <w:widowControl w:val="0"/>
              <w:autoSpaceDE w:val="0"/>
              <w:autoSpaceDN w:val="0"/>
              <w:snapToGrid/>
              <w:jc w:val="center"/>
              <w:rPr>
                <w:rFonts w:ascii="宋体" w:hAnsi="宋体" w:cs="宋体"/>
                <w:color w:val="auto"/>
                <w:szCs w:val="21"/>
                <w:highlight w:val="none"/>
              </w:rPr>
            </w:pPr>
            <w:r>
              <w:rPr>
                <w:rFonts w:hint="eastAsia" w:ascii="宋体" w:hAnsi="宋体" w:cs="宋体"/>
                <w:color w:val="auto"/>
                <w:szCs w:val="21"/>
                <w:highlight w:val="none"/>
              </w:rPr>
              <w:t>网线</w:t>
            </w:r>
          </w:p>
        </w:tc>
        <w:tc>
          <w:tcPr>
            <w:tcW w:w="108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米</w:t>
            </w:r>
          </w:p>
        </w:tc>
        <w:tc>
          <w:tcPr>
            <w:tcW w:w="1049" w:type="dxa"/>
            <w:gridSpan w:val="2"/>
            <w:vAlign w:val="center"/>
          </w:tcPr>
          <w:p>
            <w:pPr>
              <w:widowControl w:val="0"/>
              <w:autoSpaceDE w:val="0"/>
              <w:autoSpaceDN w:val="0"/>
              <w:snapToGrid/>
              <w:jc w:val="center"/>
              <w:rPr>
                <w:rFonts w:ascii="宋体" w:hAnsi="宋体" w:cs="宋体"/>
                <w:color w:val="auto"/>
                <w:kern w:val="2"/>
                <w:szCs w:val="21"/>
                <w:highlight w:val="none"/>
              </w:rPr>
            </w:pPr>
            <w:r>
              <w:rPr>
                <w:rFonts w:hint="eastAsia" w:ascii="宋体" w:hAnsi="宋体" w:cs="宋体"/>
                <w:color w:val="auto"/>
                <w:szCs w:val="21"/>
                <w:highlight w:val="none"/>
              </w:rPr>
              <w:t>500</w:t>
            </w:r>
          </w:p>
        </w:tc>
        <w:tc>
          <w:tcPr>
            <w:tcW w:w="1049" w:type="dxa"/>
            <w:vAlign w:val="center"/>
          </w:tcPr>
          <w:p>
            <w:pPr>
              <w:widowControl w:val="0"/>
              <w:autoSpaceDE w:val="0"/>
              <w:autoSpaceDN w:val="0"/>
              <w:snapToGrid/>
              <w:jc w:val="center"/>
              <w:rPr>
                <w:rFonts w:hint="eastAsia" w:ascii="宋体" w:hAnsi="宋体" w:cs="宋体"/>
                <w:color w:val="auto"/>
                <w:szCs w:val="21"/>
                <w:highlight w:val="none"/>
              </w:rPr>
            </w:pPr>
          </w:p>
        </w:tc>
        <w:tc>
          <w:tcPr>
            <w:tcW w:w="1050" w:type="dxa"/>
            <w:vAlign w:val="center"/>
          </w:tcPr>
          <w:p>
            <w:pPr>
              <w:widowControl w:val="0"/>
              <w:autoSpaceDE w:val="0"/>
              <w:autoSpaceDN w:val="0"/>
              <w:snapToGrid/>
              <w:jc w:val="center"/>
              <w:rPr>
                <w:rFonts w:hint="eastAsia" w:ascii="宋体" w:hAnsi="宋体" w:cs="宋体"/>
                <w:color w:val="auto"/>
                <w:szCs w:val="21"/>
                <w:highlight w:val="none"/>
              </w:rPr>
            </w:pPr>
          </w:p>
        </w:tc>
        <w:tc>
          <w:tcPr>
            <w:tcW w:w="1049" w:type="dxa"/>
            <w:vAlign w:val="center"/>
          </w:tcPr>
          <w:p>
            <w:pPr>
              <w:widowControl w:val="0"/>
              <w:autoSpaceDE w:val="0"/>
              <w:autoSpaceDN w:val="0"/>
              <w:snapToGrid/>
              <w:jc w:val="center"/>
              <w:rPr>
                <w:rFonts w:hint="eastAsia" w:ascii="宋体" w:hAnsi="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1200"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8</w:t>
            </w:r>
          </w:p>
        </w:tc>
        <w:tc>
          <w:tcPr>
            <w:tcW w:w="2097" w:type="dxa"/>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桥架</w:t>
            </w:r>
          </w:p>
        </w:tc>
        <w:tc>
          <w:tcPr>
            <w:tcW w:w="108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批</w:t>
            </w:r>
          </w:p>
        </w:tc>
        <w:tc>
          <w:tcPr>
            <w:tcW w:w="1049" w:type="dxa"/>
            <w:gridSpan w:val="2"/>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1</w:t>
            </w: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50"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65" w:hRule="atLeast"/>
        </w:trPr>
        <w:tc>
          <w:tcPr>
            <w:tcW w:w="1200"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9</w:t>
            </w:r>
          </w:p>
        </w:tc>
        <w:tc>
          <w:tcPr>
            <w:tcW w:w="2097" w:type="dxa"/>
            <w:vAlign w:val="center"/>
          </w:tcPr>
          <w:p>
            <w:pPr>
              <w:autoSpaceDE w:val="0"/>
              <w:autoSpaceDN w:val="0"/>
              <w:snapToGrid/>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其他安装辅材</w:t>
            </w:r>
          </w:p>
        </w:tc>
        <w:tc>
          <w:tcPr>
            <w:tcW w:w="1086" w:type="dxa"/>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批</w:t>
            </w:r>
          </w:p>
        </w:tc>
        <w:tc>
          <w:tcPr>
            <w:tcW w:w="1049" w:type="dxa"/>
            <w:gridSpan w:val="2"/>
            <w:vAlign w:val="center"/>
          </w:tcPr>
          <w:p>
            <w:pPr>
              <w:autoSpaceDE w:val="0"/>
              <w:autoSpaceDN w:val="0"/>
              <w:snapToGrid/>
              <w:jc w:val="center"/>
              <w:textAlignment w:val="center"/>
              <w:rPr>
                <w:rFonts w:ascii="宋体" w:hAnsi="宋体" w:cs="宋体"/>
                <w:color w:val="auto"/>
                <w:kern w:val="2"/>
                <w:szCs w:val="21"/>
                <w:highlight w:val="none"/>
              </w:rPr>
            </w:pPr>
            <w:r>
              <w:rPr>
                <w:rFonts w:hint="eastAsia" w:ascii="宋体" w:hAnsi="宋体" w:cs="宋体"/>
                <w:color w:val="auto"/>
                <w:szCs w:val="21"/>
                <w:highlight w:val="none"/>
                <w:lang w:bidi="ar"/>
              </w:rPr>
              <w:t>1</w:t>
            </w: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50"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r>
      <w:tr>
        <w:tblPrEx>
          <w:tblLayout w:type="fixed"/>
          <w:tblCellMar>
            <w:top w:w="0" w:type="dxa"/>
            <w:left w:w="108" w:type="dxa"/>
            <w:bottom w:w="0" w:type="dxa"/>
            <w:right w:w="108" w:type="dxa"/>
          </w:tblCellMar>
        </w:tblPrEx>
        <w:trPr>
          <w:trHeight w:val="765" w:hRule="atLeast"/>
        </w:trPr>
        <w:tc>
          <w:tcPr>
            <w:tcW w:w="3297" w:type="dxa"/>
            <w:gridSpan w:val="2"/>
            <w:vAlign w:val="center"/>
          </w:tcPr>
          <w:p>
            <w:pPr>
              <w:autoSpaceDE w:val="0"/>
              <w:autoSpaceDN w:val="0"/>
              <w:snapToGrid/>
              <w:jc w:val="center"/>
              <w:textAlignment w:val="center"/>
              <w:rPr>
                <w:rFonts w:hint="default" w:ascii="宋体" w:hAnsi="宋体" w:eastAsia="宋体" w:cs="宋体"/>
                <w:color w:val="auto"/>
                <w:szCs w:val="21"/>
                <w:highlight w:val="none"/>
                <w:lang w:val="en-US" w:eastAsia="zh-CN" w:bidi="ar"/>
              </w:rPr>
            </w:pPr>
            <w:r>
              <w:rPr>
                <w:rFonts w:hint="eastAsia" w:ascii="宋体" w:hAnsi="宋体" w:cs="宋体"/>
                <w:color w:val="auto"/>
                <w:szCs w:val="21"/>
                <w:highlight w:val="none"/>
                <w:lang w:val="en-US" w:eastAsia="zh-CN" w:bidi="ar"/>
              </w:rPr>
              <w:t>合计</w:t>
            </w:r>
          </w:p>
        </w:tc>
        <w:tc>
          <w:tcPr>
            <w:tcW w:w="1086"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49" w:type="dxa"/>
            <w:gridSpan w:val="2"/>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50" w:type="dxa"/>
            <w:vAlign w:val="center"/>
          </w:tcPr>
          <w:p>
            <w:pPr>
              <w:autoSpaceDE w:val="0"/>
              <w:autoSpaceDN w:val="0"/>
              <w:snapToGrid/>
              <w:jc w:val="center"/>
              <w:textAlignment w:val="center"/>
              <w:rPr>
                <w:rFonts w:hint="eastAsia" w:ascii="宋体" w:hAnsi="宋体" w:cs="宋体"/>
                <w:color w:val="auto"/>
                <w:szCs w:val="21"/>
                <w:highlight w:val="none"/>
                <w:lang w:bidi="ar"/>
              </w:rPr>
            </w:pPr>
          </w:p>
        </w:tc>
        <w:tc>
          <w:tcPr>
            <w:tcW w:w="1049" w:type="dxa"/>
            <w:vAlign w:val="center"/>
          </w:tcPr>
          <w:p>
            <w:pPr>
              <w:autoSpaceDE w:val="0"/>
              <w:autoSpaceDN w:val="0"/>
              <w:snapToGrid/>
              <w:jc w:val="center"/>
              <w:textAlignment w:val="center"/>
              <w:rPr>
                <w:rFonts w:hint="eastAsia" w:ascii="宋体" w:hAnsi="宋体" w:cs="宋体"/>
                <w:color w:val="auto"/>
                <w:szCs w:val="21"/>
                <w:highlight w:val="none"/>
                <w:lang w:bidi="ar"/>
              </w:rPr>
            </w:pPr>
          </w:p>
        </w:tc>
      </w:tr>
    </w:tbl>
    <w:p>
      <w:pPr>
        <w:ind w:left="1667" w:hanging="1247"/>
        <w:outlineLvl w:val="1"/>
        <w:rPr>
          <w:rFonts w:ascii="宋体" w:hAnsi="宋体" w:cs="宋体"/>
          <w:color w:val="auto"/>
          <w:szCs w:val="21"/>
          <w:highlight w:val="none"/>
        </w:rPr>
      </w:pPr>
    </w:p>
    <w:p>
      <w:pPr>
        <w:ind w:left="1667" w:hanging="1247"/>
        <w:outlineLvl w:val="1"/>
        <w:rPr>
          <w:rFonts w:ascii="宋体" w:hAnsi="宋体" w:cs="宋体"/>
          <w:color w:val="auto"/>
          <w:szCs w:val="21"/>
          <w:highlight w:val="none"/>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设备规格、性能及参数按照技术需求书执行。</w:t>
      </w:r>
    </w:p>
    <w:p>
      <w:pPr>
        <w:outlineLvl w:val="1"/>
        <w:rPr>
          <w:rFonts w:ascii="宋体" w:hAnsi="宋体" w:cs="宋体"/>
          <w:color w:val="auto"/>
          <w:szCs w:val="21"/>
          <w:highlight w:val="none"/>
        </w:rPr>
      </w:pPr>
      <w:r>
        <w:rPr>
          <w:rFonts w:hint="eastAsia" w:ascii="宋体" w:hAnsi="宋体" w:cs="宋体"/>
          <w:color w:val="auto"/>
          <w:szCs w:val="21"/>
          <w:highlight w:val="none"/>
        </w:rPr>
        <w:t>（1）  所有设备的费用均应列入本表。</w:t>
      </w:r>
      <w:r>
        <w:rPr>
          <w:rFonts w:hint="eastAsia" w:ascii="宋体" w:hAnsi="宋体" w:cs="宋体"/>
          <w:b/>
          <w:bCs/>
          <w:color w:val="auto"/>
          <w:szCs w:val="21"/>
          <w:highlight w:val="none"/>
        </w:rPr>
        <w:t>投标人报价应根据D包采购主设备清单或采购标的清单的内容报价，所有报价应不限于“</w:t>
      </w:r>
      <w:r>
        <w:rPr>
          <w:rFonts w:hint="eastAsia" w:ascii="宋体" w:hAnsi="宋体" w:cs="宋体"/>
          <w:b/>
          <w:bCs/>
          <w:color w:val="auto"/>
          <w:szCs w:val="21"/>
          <w:highlight w:val="none"/>
          <w:lang w:val="en-US" w:eastAsia="zh-CN"/>
        </w:rPr>
        <w:t>4</w:t>
      </w:r>
      <w:r>
        <w:rPr>
          <w:rFonts w:hint="eastAsia" w:ascii="宋体" w:hAnsi="宋体" w:cs="宋体"/>
          <w:b/>
          <w:bCs/>
          <w:color w:val="auto"/>
          <w:szCs w:val="21"/>
          <w:highlight w:val="none"/>
        </w:rPr>
        <w:t>.2招标主设备清单”所列设备，投标单位可在此基础上进行优化，但不能低于此配置。</w:t>
      </w:r>
    </w:p>
    <w:p>
      <w:pPr>
        <w:outlineLvl w:val="1"/>
        <w:rPr>
          <w:rFonts w:ascii="宋体" w:hAnsi="宋体" w:cs="宋体"/>
          <w:color w:val="auto"/>
          <w:szCs w:val="21"/>
          <w:highlight w:val="none"/>
        </w:rPr>
      </w:pPr>
      <w:r>
        <w:rPr>
          <w:rFonts w:hint="eastAsia" w:ascii="宋体" w:hAnsi="宋体" w:cs="宋体"/>
          <w:color w:val="auto"/>
          <w:szCs w:val="21"/>
          <w:highlight w:val="none"/>
        </w:rPr>
        <w:t>（2）  所有价格均用人民币（RMB）元表示。</w:t>
      </w:r>
    </w:p>
    <w:p>
      <w:pPr>
        <w:outlineLvl w:val="1"/>
        <w:rPr>
          <w:rFonts w:ascii="宋体" w:hAnsi="宋体" w:cs="宋体"/>
          <w:color w:val="auto"/>
          <w:szCs w:val="21"/>
          <w:highlight w:val="none"/>
        </w:rPr>
      </w:pPr>
      <w:r>
        <w:rPr>
          <w:rFonts w:hint="eastAsia" w:ascii="宋体" w:hAnsi="宋体" w:cs="宋体"/>
          <w:color w:val="auto"/>
          <w:szCs w:val="21"/>
          <w:highlight w:val="none"/>
        </w:rPr>
        <w:t>（3）  设备检修、调试和维修的专用工具（如有）应一一列明。</w:t>
      </w:r>
    </w:p>
    <w:p>
      <w:pPr>
        <w:outlineLvl w:val="1"/>
        <w:rPr>
          <w:rFonts w:ascii="宋体" w:hAnsi="宋体" w:cs="宋体"/>
          <w:color w:val="auto"/>
          <w:szCs w:val="21"/>
          <w:highlight w:val="none"/>
        </w:rPr>
      </w:pPr>
      <w:r>
        <w:rPr>
          <w:rFonts w:hint="eastAsia" w:ascii="宋体" w:hAnsi="宋体" w:cs="宋体"/>
          <w:color w:val="auto"/>
          <w:szCs w:val="21"/>
          <w:highlight w:val="none"/>
        </w:rPr>
        <w:t>（4）  如果单价×数量与总价不符时，评标时则以单价×数量为准。</w:t>
      </w:r>
    </w:p>
    <w:p>
      <w:pPr>
        <w:outlineLvl w:val="1"/>
        <w:rPr>
          <w:rFonts w:ascii="宋体" w:hAnsi="宋体" w:cs="宋体"/>
          <w:color w:val="auto"/>
          <w:szCs w:val="21"/>
          <w:highlight w:val="none"/>
        </w:rPr>
      </w:pPr>
      <w:r>
        <w:rPr>
          <w:rFonts w:hint="eastAsia" w:ascii="宋体" w:hAnsi="宋体" w:cs="宋体"/>
          <w:color w:val="auto"/>
          <w:szCs w:val="21"/>
          <w:highlight w:val="none"/>
        </w:rPr>
        <w:t>（5）  本表的合计价格应转入表1中的设备费小计中。</w:t>
      </w:r>
    </w:p>
    <w:p>
      <w:pPr>
        <w:widowControl w:val="0"/>
        <w:adjustRightInd/>
        <w:jc w:val="both"/>
        <w:rPr>
          <w:rFonts w:ascii="宋体" w:hAnsi="宋体" w:cs="宋体"/>
          <w:color w:val="auto"/>
          <w:kern w:val="2"/>
          <w:szCs w:val="21"/>
          <w:highlight w:val="none"/>
        </w:rPr>
      </w:pPr>
    </w:p>
    <w:p>
      <w:pPr>
        <w:autoSpaceDE w:val="0"/>
        <w:autoSpaceDN w:val="0"/>
        <w:adjustRightInd/>
        <w:snapToGrid/>
        <w:ind w:right="893"/>
        <w:jc w:val="both"/>
        <w:textAlignment w:val="bottom"/>
        <w:rPr>
          <w:rFonts w:ascii="宋体" w:hAnsi="宋体" w:cs="宋体"/>
          <w:color w:val="auto"/>
          <w:kern w:val="2"/>
          <w:szCs w:val="21"/>
          <w:highlight w:val="none"/>
        </w:rPr>
      </w:pPr>
      <w:r>
        <w:rPr>
          <w:rFonts w:hint="eastAsia" w:ascii="宋体" w:hAnsi="宋体" w:cs="宋体"/>
          <w:color w:val="auto"/>
          <w:kern w:val="2"/>
          <w:szCs w:val="21"/>
          <w:highlight w:val="none"/>
        </w:rPr>
        <w:t>投标人法定代表人或其委托人签字或盖私章： _____________</w:t>
      </w:r>
    </w:p>
    <w:p>
      <w:pPr>
        <w:widowControl w:val="0"/>
        <w:adjustRightInd/>
        <w:snapToGrid/>
        <w:jc w:val="both"/>
        <w:rPr>
          <w:rFonts w:hint="eastAsia" w:ascii="宋体" w:hAnsi="宋体" w:cs="宋体"/>
          <w:color w:val="auto"/>
          <w:kern w:val="2"/>
          <w:szCs w:val="21"/>
          <w:highlight w:val="none"/>
        </w:rPr>
      </w:pPr>
      <w:r>
        <w:rPr>
          <w:rFonts w:hint="eastAsia" w:ascii="宋体" w:hAnsi="宋体" w:cs="宋体"/>
          <w:color w:val="auto"/>
          <w:kern w:val="2"/>
          <w:szCs w:val="21"/>
          <w:highlight w:val="none"/>
        </w:rPr>
        <w:t>日  期：</w:t>
      </w:r>
    </w:p>
    <w:p>
      <w:pPr>
        <w:pStyle w:val="2"/>
        <w:rPr>
          <w:rFonts w:hint="eastAsia" w:ascii="宋体" w:hAnsi="宋体" w:cs="宋体"/>
          <w:color w:val="auto"/>
          <w:kern w:val="2"/>
          <w:szCs w:val="21"/>
          <w:highlight w:val="none"/>
        </w:rPr>
      </w:pPr>
    </w:p>
    <w:p>
      <w:pPr>
        <w:pStyle w:val="3"/>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pStyle w:val="4"/>
        <w:rPr>
          <w:rFonts w:hint="eastAsia" w:ascii="宋体" w:hAnsi="宋体" w:cs="宋体"/>
          <w:color w:val="auto"/>
          <w:kern w:val="2"/>
          <w:szCs w:val="21"/>
          <w:highlight w:val="none"/>
        </w:rPr>
      </w:pPr>
    </w:p>
    <w:p>
      <w:pPr>
        <w:jc w:val="center"/>
        <w:rPr>
          <w:rFonts w:hint="eastAsia" w:ascii="黑体" w:hAnsi="Tahoma" w:eastAsia="黑体" w:cstheme="minorBidi"/>
          <w:bCs w:val="0"/>
          <w:color w:val="auto"/>
          <w:sz w:val="32"/>
          <w:szCs w:val="32"/>
          <w:highlight w:val="none"/>
        </w:rPr>
      </w:pPr>
      <w:r>
        <w:rPr>
          <w:rFonts w:hint="eastAsia" w:ascii="黑体" w:eastAsia="黑体"/>
          <w:color w:val="auto"/>
          <w:sz w:val="32"/>
          <w:szCs w:val="32"/>
          <w:highlight w:val="none"/>
        </w:rPr>
        <w:t>2、</w:t>
      </w:r>
      <w:r>
        <w:rPr>
          <w:rFonts w:hint="eastAsia" w:ascii="黑体" w:hAnsi="Tahoma" w:eastAsia="黑体" w:cstheme="minorBidi"/>
          <w:bCs w:val="0"/>
          <w:color w:val="auto"/>
          <w:sz w:val="32"/>
          <w:szCs w:val="32"/>
          <w:highlight w:val="none"/>
        </w:rPr>
        <w:t>设备报价明细表  包组号（</w:t>
      </w:r>
      <w:r>
        <w:rPr>
          <w:rFonts w:hint="eastAsia" w:ascii="黑体" w:eastAsia="黑体" w:cstheme="minorBidi"/>
          <w:bCs w:val="0"/>
          <w:color w:val="auto"/>
          <w:sz w:val="32"/>
          <w:szCs w:val="32"/>
          <w:highlight w:val="none"/>
          <w:lang w:val="en-US" w:eastAsia="zh-CN"/>
        </w:rPr>
        <w:t>E</w:t>
      </w:r>
      <w:r>
        <w:rPr>
          <w:rFonts w:hint="eastAsia" w:ascii="黑体" w:hAnsi="Tahoma" w:eastAsia="黑体" w:cstheme="minorBidi"/>
          <w:bCs w:val="0"/>
          <w:color w:val="auto"/>
          <w:sz w:val="32"/>
          <w:szCs w:val="32"/>
          <w:highlight w:val="none"/>
        </w:rPr>
        <w:t>）</w:t>
      </w:r>
    </w:p>
    <w:p>
      <w:pPr>
        <w:widowControl w:val="0"/>
        <w:adjustRightInd/>
        <w:snapToGrid/>
        <w:spacing w:before="180" w:beforeLines="50" w:after="180" w:afterLines="50" w:line="360" w:lineRule="exact"/>
        <w:jc w:val="both"/>
        <w:rPr>
          <w:rFonts w:ascii="宋体" w:hAnsi="宋体" w:cs="宋体"/>
          <w:color w:val="auto"/>
          <w:kern w:val="2"/>
          <w:szCs w:val="21"/>
          <w:highlight w:val="none"/>
        </w:rPr>
      </w:pPr>
      <w:r>
        <w:rPr>
          <w:rFonts w:hint="eastAsia" w:ascii="宋体" w:hAnsi="宋体" w:cs="宋体"/>
          <w:color w:val="auto"/>
          <w:kern w:val="2"/>
          <w:szCs w:val="21"/>
          <w:highlight w:val="none"/>
        </w:rPr>
        <w:t xml:space="preserve">投标人名称（公章）：                </w:t>
      </w:r>
      <w:r>
        <w:rPr>
          <w:rFonts w:hint="eastAsia" w:ascii="宋体" w:hAnsi="宋体" w:cs="Arial"/>
          <w:color w:val="auto"/>
          <w:kern w:val="2"/>
          <w:szCs w:val="21"/>
          <w:highlight w:val="none"/>
        </w:rPr>
        <w:t xml:space="preserve">招标编号： </w:t>
      </w:r>
    </w:p>
    <w:tbl>
      <w:tblPr>
        <w:tblStyle w:val="34"/>
        <w:tblW w:w="8622" w:type="dxa"/>
        <w:jc w:val="center"/>
        <w:tblInd w:w="0" w:type="dxa"/>
        <w:tblLayout w:type="fixed"/>
        <w:tblCellMar>
          <w:top w:w="0" w:type="dxa"/>
          <w:left w:w="108" w:type="dxa"/>
          <w:bottom w:w="0" w:type="dxa"/>
          <w:right w:w="108" w:type="dxa"/>
        </w:tblCellMar>
      </w:tblPr>
      <w:tblGrid>
        <w:gridCol w:w="883"/>
        <w:gridCol w:w="1865"/>
        <w:gridCol w:w="1082"/>
        <w:gridCol w:w="1746"/>
        <w:gridCol w:w="1724"/>
        <w:gridCol w:w="1322"/>
      </w:tblGrid>
      <w:tr>
        <w:tblPrEx>
          <w:tblLayout w:type="fixed"/>
          <w:tblCellMar>
            <w:top w:w="0" w:type="dxa"/>
            <w:left w:w="108" w:type="dxa"/>
            <w:bottom w:w="0" w:type="dxa"/>
            <w:right w:w="108" w:type="dxa"/>
          </w:tblCellMar>
        </w:tblPrEx>
        <w:trPr>
          <w:trHeight w:val="811" w:hRule="atLeast"/>
          <w:jc w:val="center"/>
        </w:trPr>
        <w:tc>
          <w:tcPr>
            <w:tcW w:w="88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1865"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宋体" w:hAnsi="宋体" w:cs="宋体"/>
                <w:b/>
                <w:bCs/>
                <w:color w:val="auto"/>
                <w:szCs w:val="21"/>
                <w:highlight w:val="none"/>
              </w:rPr>
            </w:pPr>
            <w:r>
              <w:rPr>
                <w:rFonts w:hint="eastAsia" w:ascii="宋体" w:hAnsi="宋体" w:cs="宋体"/>
                <w:b/>
                <w:bCs/>
                <w:color w:val="auto"/>
                <w:szCs w:val="21"/>
                <w:highlight w:val="none"/>
              </w:rPr>
              <w:t>设备名称和规格型号</w:t>
            </w:r>
          </w:p>
        </w:tc>
        <w:tc>
          <w:tcPr>
            <w:tcW w:w="1082"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宋体" w:hAnsi="宋体" w:cs="宋体"/>
                <w:b/>
                <w:bCs/>
                <w:color w:val="auto"/>
                <w:szCs w:val="21"/>
                <w:highlight w:val="none"/>
              </w:rPr>
            </w:pPr>
            <w:r>
              <w:rPr>
                <w:rFonts w:hint="eastAsia" w:ascii="宋体" w:hAnsi="宋体" w:cs="宋体"/>
                <w:b/>
                <w:bCs/>
                <w:color w:val="auto"/>
                <w:szCs w:val="21"/>
                <w:highlight w:val="none"/>
              </w:rPr>
              <w:t>数量</w:t>
            </w:r>
          </w:p>
        </w:tc>
        <w:tc>
          <w:tcPr>
            <w:tcW w:w="1746"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宋体" w:hAnsi="宋体" w:cs="宋体"/>
                <w:b/>
                <w:bCs/>
                <w:color w:val="auto"/>
                <w:szCs w:val="21"/>
                <w:highlight w:val="none"/>
              </w:rPr>
            </w:pPr>
            <w:r>
              <w:rPr>
                <w:rFonts w:hint="eastAsia" w:ascii="宋体" w:hAnsi="宋体" w:cs="宋体"/>
                <w:b/>
                <w:bCs/>
                <w:color w:val="auto"/>
                <w:szCs w:val="21"/>
                <w:highlight w:val="none"/>
              </w:rPr>
              <w:t>供应商或品牌</w:t>
            </w:r>
          </w:p>
        </w:tc>
        <w:tc>
          <w:tcPr>
            <w:tcW w:w="1724"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宋体" w:hAnsi="宋体" w:cs="宋体"/>
                <w:b/>
                <w:bCs/>
                <w:color w:val="auto"/>
                <w:szCs w:val="21"/>
                <w:highlight w:val="none"/>
              </w:rPr>
            </w:pPr>
            <w:r>
              <w:rPr>
                <w:rFonts w:hint="eastAsia" w:ascii="宋体" w:hAnsi="宋体" w:cs="宋体"/>
                <w:b/>
                <w:bCs/>
                <w:color w:val="auto"/>
                <w:szCs w:val="21"/>
                <w:highlight w:val="none"/>
              </w:rPr>
              <w:t>单价</w:t>
            </w:r>
          </w:p>
        </w:tc>
        <w:tc>
          <w:tcPr>
            <w:tcW w:w="1322"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宋体" w:hAnsi="宋体" w:cs="宋体"/>
                <w:b/>
                <w:bCs/>
                <w:color w:val="auto"/>
                <w:szCs w:val="21"/>
                <w:highlight w:val="none"/>
              </w:rPr>
            </w:pPr>
            <w:r>
              <w:rPr>
                <w:rFonts w:hint="eastAsia" w:ascii="宋体" w:hAnsi="宋体" w:cs="宋体"/>
                <w:b/>
                <w:bCs/>
                <w:color w:val="auto"/>
                <w:szCs w:val="21"/>
                <w:highlight w:val="none"/>
              </w:rPr>
              <w:t>合价</w:t>
            </w:r>
          </w:p>
        </w:tc>
      </w:tr>
      <w:tr>
        <w:tblPrEx>
          <w:tblLayout w:type="fixed"/>
          <w:tblCellMar>
            <w:top w:w="0" w:type="dxa"/>
            <w:left w:w="108" w:type="dxa"/>
            <w:bottom w:w="0" w:type="dxa"/>
            <w:right w:w="108" w:type="dxa"/>
          </w:tblCellMar>
        </w:tblPrEx>
        <w:trPr>
          <w:trHeight w:val="577" w:hRule="atLeast"/>
          <w:jc w:val="center"/>
        </w:trPr>
        <w:tc>
          <w:tcPr>
            <w:tcW w:w="883" w:type="dxa"/>
            <w:tcBorders>
              <w:top w:val="nil"/>
              <w:left w:val="single" w:color="auto" w:sz="4" w:space="0"/>
              <w:bottom w:val="single" w:color="auto" w:sz="4" w:space="0"/>
              <w:right w:val="single" w:color="auto" w:sz="4" w:space="0"/>
            </w:tcBorders>
            <w:shd w:val="clear" w:color="000000" w:fill="FFFFFF"/>
            <w:vAlign w:val="center"/>
          </w:tcPr>
          <w:p>
            <w:pPr>
              <w:pStyle w:val="46"/>
              <w:numPr>
                <w:ilvl w:val="255"/>
                <w:numId w:val="0"/>
              </w:num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865"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生活垃圾箱</w:t>
            </w:r>
          </w:p>
        </w:tc>
        <w:tc>
          <w:tcPr>
            <w:tcW w:w="1082"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10个</w:t>
            </w:r>
          </w:p>
        </w:tc>
        <w:tc>
          <w:tcPr>
            <w:tcW w:w="1746" w:type="dxa"/>
            <w:tcBorders>
              <w:top w:val="nil"/>
              <w:left w:val="nil"/>
              <w:bottom w:val="single" w:color="auto" w:sz="4" w:space="0"/>
              <w:right w:val="single" w:color="auto" w:sz="4" w:space="0"/>
            </w:tcBorders>
            <w:shd w:val="clear" w:color="000000" w:fill="FFFFFF"/>
            <w:vAlign w:val="center"/>
          </w:tcPr>
          <w:p>
            <w:pPr>
              <w:jc w:val="center"/>
              <w:textAlignment w:val="center"/>
              <w:rPr>
                <w:rFonts w:ascii="宋体" w:hAnsi="宋体" w:cs="宋体"/>
                <w:color w:val="auto"/>
                <w:szCs w:val="21"/>
                <w:highlight w:val="none"/>
              </w:rPr>
            </w:pPr>
          </w:p>
        </w:tc>
        <w:tc>
          <w:tcPr>
            <w:tcW w:w="1724"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322"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1207" w:hRule="atLeast"/>
          <w:jc w:val="center"/>
        </w:trPr>
        <w:tc>
          <w:tcPr>
            <w:tcW w:w="883" w:type="dxa"/>
            <w:tcBorders>
              <w:top w:val="nil"/>
              <w:left w:val="single" w:color="auto" w:sz="4" w:space="0"/>
              <w:bottom w:val="single" w:color="auto" w:sz="4" w:space="0"/>
              <w:right w:val="single" w:color="auto" w:sz="4" w:space="0"/>
            </w:tcBorders>
            <w:shd w:val="clear" w:color="000000" w:fill="FFFFFF"/>
            <w:vAlign w:val="center"/>
          </w:tcPr>
          <w:p>
            <w:pPr>
              <w:pStyle w:val="46"/>
              <w:numPr>
                <w:ilvl w:val="255"/>
                <w:numId w:val="0"/>
              </w:num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865"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生活垃圾转运车（车厢可卸式垃圾车）</w:t>
            </w:r>
          </w:p>
        </w:tc>
        <w:tc>
          <w:tcPr>
            <w:tcW w:w="1082"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6辆</w:t>
            </w:r>
          </w:p>
        </w:tc>
        <w:tc>
          <w:tcPr>
            <w:tcW w:w="1746" w:type="dxa"/>
            <w:tcBorders>
              <w:top w:val="nil"/>
              <w:left w:val="nil"/>
              <w:bottom w:val="single" w:color="auto" w:sz="4" w:space="0"/>
              <w:right w:val="single" w:color="auto" w:sz="4" w:space="0"/>
            </w:tcBorders>
            <w:shd w:val="clear" w:color="000000" w:fill="FFFFFF"/>
            <w:vAlign w:val="center"/>
          </w:tcPr>
          <w:p>
            <w:pPr>
              <w:jc w:val="center"/>
              <w:textAlignment w:val="center"/>
              <w:rPr>
                <w:rFonts w:ascii="宋体" w:hAnsi="宋体" w:cs="宋体"/>
                <w:color w:val="auto"/>
                <w:szCs w:val="21"/>
                <w:highlight w:val="none"/>
              </w:rPr>
            </w:pPr>
          </w:p>
        </w:tc>
        <w:tc>
          <w:tcPr>
            <w:tcW w:w="1724"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322"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811" w:hRule="atLeast"/>
          <w:jc w:val="center"/>
        </w:trPr>
        <w:tc>
          <w:tcPr>
            <w:tcW w:w="883" w:type="dxa"/>
            <w:tcBorders>
              <w:top w:val="nil"/>
              <w:left w:val="single" w:color="auto" w:sz="4" w:space="0"/>
              <w:bottom w:val="single" w:color="auto" w:sz="4" w:space="0"/>
              <w:right w:val="single" w:color="auto" w:sz="4" w:space="0"/>
            </w:tcBorders>
            <w:shd w:val="clear" w:color="000000" w:fill="FFFFFF"/>
            <w:vAlign w:val="center"/>
          </w:tcPr>
          <w:p>
            <w:pPr>
              <w:pStyle w:val="46"/>
              <w:numPr>
                <w:ilvl w:val="255"/>
                <w:numId w:val="0"/>
              </w:num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865"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后置压缩式垃圾车</w:t>
            </w:r>
          </w:p>
        </w:tc>
        <w:tc>
          <w:tcPr>
            <w:tcW w:w="1082"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6辆</w:t>
            </w:r>
          </w:p>
        </w:tc>
        <w:tc>
          <w:tcPr>
            <w:tcW w:w="1746"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724"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322"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1207" w:hRule="atLeast"/>
          <w:jc w:val="center"/>
        </w:trPr>
        <w:tc>
          <w:tcPr>
            <w:tcW w:w="883"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46"/>
              <w:numPr>
                <w:ilvl w:val="255"/>
                <w:numId w:val="0"/>
              </w:num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865"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大件垃圾转运车（</w:t>
            </w:r>
            <w:r>
              <w:rPr>
                <w:rFonts w:hint="eastAsia" w:ascii="宋体" w:hAnsi="宋体" w:cs="宋体"/>
                <w:color w:val="auto"/>
                <w:highlight w:val="none"/>
              </w:rPr>
              <w:t>平板自卸车</w:t>
            </w:r>
            <w:r>
              <w:rPr>
                <w:rFonts w:hint="eastAsia" w:ascii="宋体" w:hAnsi="宋体" w:cs="宋体"/>
                <w:color w:val="auto"/>
                <w:szCs w:val="21"/>
                <w:highlight w:val="none"/>
              </w:rPr>
              <w:t>）</w:t>
            </w:r>
          </w:p>
        </w:tc>
        <w:tc>
          <w:tcPr>
            <w:tcW w:w="1082"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1辆</w:t>
            </w:r>
          </w:p>
        </w:tc>
        <w:tc>
          <w:tcPr>
            <w:tcW w:w="1746"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724"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322"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577" w:hRule="atLeast"/>
          <w:jc w:val="center"/>
        </w:trPr>
        <w:tc>
          <w:tcPr>
            <w:tcW w:w="883"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46"/>
              <w:numPr>
                <w:ilvl w:val="255"/>
                <w:numId w:val="0"/>
              </w:num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865"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厨余收集车</w:t>
            </w:r>
          </w:p>
        </w:tc>
        <w:tc>
          <w:tcPr>
            <w:tcW w:w="1082"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4辆</w:t>
            </w:r>
          </w:p>
        </w:tc>
        <w:tc>
          <w:tcPr>
            <w:tcW w:w="1746"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724"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322"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577" w:hRule="atLeast"/>
          <w:jc w:val="center"/>
        </w:trPr>
        <w:tc>
          <w:tcPr>
            <w:tcW w:w="883"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46"/>
              <w:numPr>
                <w:ilvl w:val="255"/>
                <w:numId w:val="0"/>
              </w:num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865"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吸污车</w:t>
            </w:r>
          </w:p>
        </w:tc>
        <w:tc>
          <w:tcPr>
            <w:tcW w:w="1082"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1辆</w:t>
            </w:r>
          </w:p>
        </w:tc>
        <w:tc>
          <w:tcPr>
            <w:tcW w:w="1746"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724"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322"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600" w:hRule="atLeast"/>
          <w:jc w:val="center"/>
        </w:trPr>
        <w:tc>
          <w:tcPr>
            <w:tcW w:w="883"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46"/>
              <w:numPr>
                <w:ilvl w:val="255"/>
                <w:numId w:val="0"/>
              </w:num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865"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Times New Roman" w:hAnsi="Times New Roman" w:cs="Times New Roman"/>
                <w:b/>
                <w:color w:val="auto"/>
                <w:highlight w:val="none"/>
              </w:rPr>
              <w:t>车辆配套</w:t>
            </w:r>
          </w:p>
        </w:tc>
        <w:tc>
          <w:tcPr>
            <w:tcW w:w="1082"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746"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w:t>
            </w:r>
          </w:p>
        </w:tc>
        <w:tc>
          <w:tcPr>
            <w:tcW w:w="1724"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1322"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r>
      <w:tr>
        <w:tblPrEx>
          <w:tblLayout w:type="fixed"/>
          <w:tblCellMar>
            <w:top w:w="0" w:type="dxa"/>
            <w:left w:w="108" w:type="dxa"/>
            <w:bottom w:w="0" w:type="dxa"/>
            <w:right w:w="108" w:type="dxa"/>
          </w:tblCellMar>
        </w:tblPrEx>
        <w:trPr>
          <w:trHeight w:val="1542" w:hRule="atLeast"/>
          <w:jc w:val="center"/>
        </w:trPr>
        <w:tc>
          <w:tcPr>
            <w:tcW w:w="883"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46"/>
              <w:numPr>
                <w:ilvl w:val="255"/>
                <w:numId w:val="0"/>
              </w:numPr>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7.1</w:t>
            </w:r>
          </w:p>
        </w:tc>
        <w:tc>
          <w:tcPr>
            <w:tcW w:w="1865"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车载视频</w:t>
            </w:r>
          </w:p>
          <w:p>
            <w:pPr>
              <w:jc w:val="center"/>
              <w:rPr>
                <w:rFonts w:ascii="宋体" w:hAnsi="宋体" w:cs="宋体"/>
                <w:color w:val="auto"/>
                <w:szCs w:val="21"/>
                <w:highlight w:val="none"/>
              </w:rPr>
            </w:pPr>
            <w:r>
              <w:rPr>
                <w:rFonts w:hint="eastAsia" w:ascii="宋体" w:hAnsi="宋体" w:cs="宋体"/>
                <w:color w:val="auto"/>
                <w:szCs w:val="21"/>
                <w:highlight w:val="none"/>
              </w:rPr>
              <w:t>终端</w:t>
            </w:r>
          </w:p>
          <w:p>
            <w:pPr>
              <w:jc w:val="center"/>
              <w:rPr>
                <w:rFonts w:hint="eastAsia" w:ascii="Times New Roman" w:hAnsi="Times New Roman" w:cs="Times New Roman"/>
                <w:b/>
                <w:color w:val="auto"/>
                <w:highlight w:val="none"/>
              </w:rPr>
            </w:pPr>
            <w:r>
              <w:rPr>
                <w:rFonts w:hint="eastAsia" w:ascii="宋体" w:hAnsi="宋体" w:cs="宋体"/>
                <w:color w:val="auto"/>
                <w:szCs w:val="21"/>
                <w:highlight w:val="none"/>
              </w:rPr>
              <w:t>（集成标准型GPS）</w:t>
            </w:r>
          </w:p>
        </w:tc>
        <w:tc>
          <w:tcPr>
            <w:tcW w:w="1082"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18</w:t>
            </w:r>
          </w:p>
        </w:tc>
        <w:tc>
          <w:tcPr>
            <w:tcW w:w="1746"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724"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322"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600" w:hRule="atLeast"/>
          <w:jc w:val="center"/>
        </w:trPr>
        <w:tc>
          <w:tcPr>
            <w:tcW w:w="883"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46"/>
              <w:numPr>
                <w:ilvl w:val="255"/>
                <w:numId w:val="0"/>
              </w:numPr>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7.2</w:t>
            </w:r>
          </w:p>
        </w:tc>
        <w:tc>
          <w:tcPr>
            <w:tcW w:w="1865"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Times New Roman" w:hAnsi="Times New Roman" w:cs="Times New Roman"/>
                <w:b/>
                <w:color w:val="auto"/>
                <w:highlight w:val="none"/>
              </w:rPr>
            </w:pPr>
            <w:r>
              <w:rPr>
                <w:rFonts w:hint="eastAsia" w:ascii="宋体" w:hAnsi="宋体" w:cs="宋体"/>
                <w:color w:val="auto"/>
                <w:szCs w:val="21"/>
                <w:highlight w:val="none"/>
              </w:rPr>
              <w:t>车载摄像头</w:t>
            </w:r>
          </w:p>
        </w:tc>
        <w:tc>
          <w:tcPr>
            <w:tcW w:w="1082"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72</w:t>
            </w:r>
          </w:p>
        </w:tc>
        <w:tc>
          <w:tcPr>
            <w:tcW w:w="1746"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724"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322"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600" w:hRule="atLeast"/>
          <w:jc w:val="center"/>
        </w:trPr>
        <w:tc>
          <w:tcPr>
            <w:tcW w:w="883"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46"/>
              <w:numPr>
                <w:ilvl w:val="255"/>
                <w:numId w:val="0"/>
              </w:numPr>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7.3</w:t>
            </w:r>
          </w:p>
        </w:tc>
        <w:tc>
          <w:tcPr>
            <w:tcW w:w="1865"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Times New Roman" w:hAnsi="Times New Roman" w:cs="Times New Roman"/>
                <w:b/>
                <w:color w:val="auto"/>
                <w:highlight w:val="none"/>
              </w:rPr>
            </w:pPr>
            <w:r>
              <w:rPr>
                <w:rFonts w:hint="eastAsia" w:ascii="宋体" w:hAnsi="宋体" w:cs="宋体"/>
                <w:color w:val="auto"/>
                <w:szCs w:val="21"/>
                <w:highlight w:val="none"/>
              </w:rPr>
              <w:t>车载显示屏</w:t>
            </w:r>
          </w:p>
        </w:tc>
        <w:tc>
          <w:tcPr>
            <w:tcW w:w="1082"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18</w:t>
            </w:r>
          </w:p>
        </w:tc>
        <w:tc>
          <w:tcPr>
            <w:tcW w:w="1746"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724"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322"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600" w:hRule="atLeast"/>
          <w:jc w:val="center"/>
        </w:trPr>
        <w:tc>
          <w:tcPr>
            <w:tcW w:w="883" w:type="dxa"/>
            <w:tcBorders>
              <w:top w:val="single" w:color="auto" w:sz="4" w:space="0"/>
              <w:left w:val="single" w:color="auto" w:sz="4" w:space="0"/>
              <w:bottom w:val="single" w:color="auto" w:sz="4" w:space="0"/>
              <w:right w:val="single" w:color="auto" w:sz="4" w:space="0"/>
            </w:tcBorders>
            <w:shd w:val="clear" w:color="000000" w:fill="FFFFFF"/>
            <w:vAlign w:val="center"/>
          </w:tcPr>
          <w:p>
            <w:pPr>
              <w:pStyle w:val="46"/>
              <w:numPr>
                <w:ilvl w:val="255"/>
                <w:numId w:val="0"/>
              </w:numPr>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7.4</w:t>
            </w:r>
          </w:p>
        </w:tc>
        <w:tc>
          <w:tcPr>
            <w:tcW w:w="1865"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Times New Roman" w:hAnsi="Times New Roman" w:cs="Times New Roman"/>
                <w:b/>
                <w:color w:val="auto"/>
                <w:highlight w:val="none"/>
              </w:rPr>
            </w:pPr>
            <w:r>
              <w:rPr>
                <w:rFonts w:hint="eastAsia" w:ascii="宋体" w:hAnsi="宋体" w:cs="宋体"/>
                <w:color w:val="auto"/>
                <w:szCs w:val="21"/>
                <w:highlight w:val="none"/>
              </w:rPr>
              <w:t>插入式油感</w:t>
            </w:r>
          </w:p>
        </w:tc>
        <w:tc>
          <w:tcPr>
            <w:tcW w:w="1082" w:type="dxa"/>
            <w:tcBorders>
              <w:top w:val="single" w:color="auto" w:sz="4" w:space="0"/>
              <w:left w:val="nil"/>
              <w:bottom w:val="single" w:color="auto" w:sz="4" w:space="0"/>
              <w:right w:val="single" w:color="auto" w:sz="4" w:space="0"/>
            </w:tcBorders>
            <w:shd w:val="clear" w:color="000000" w:fill="FFFFFF"/>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18</w:t>
            </w:r>
          </w:p>
        </w:tc>
        <w:tc>
          <w:tcPr>
            <w:tcW w:w="1746"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724"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322"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610" w:hRule="atLeast"/>
          <w:jc w:val="center"/>
        </w:trPr>
        <w:tc>
          <w:tcPr>
            <w:tcW w:w="3830"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合计</w:t>
            </w:r>
          </w:p>
        </w:tc>
        <w:tc>
          <w:tcPr>
            <w:tcW w:w="1746"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724"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c>
          <w:tcPr>
            <w:tcW w:w="1322"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auto"/>
                <w:szCs w:val="21"/>
                <w:highlight w:val="none"/>
              </w:rPr>
            </w:pPr>
          </w:p>
        </w:tc>
      </w:tr>
    </w:tbl>
    <w:p>
      <w:pPr>
        <w:ind w:left="1667" w:hanging="1247"/>
        <w:outlineLvl w:val="1"/>
        <w:rPr>
          <w:rFonts w:ascii="宋体" w:hAnsi="宋体" w:cs="宋体"/>
          <w:color w:val="auto"/>
          <w:szCs w:val="21"/>
          <w:highlight w:val="none"/>
        </w:rPr>
      </w:pPr>
    </w:p>
    <w:p>
      <w:pPr>
        <w:ind w:left="1667" w:hanging="1247"/>
        <w:outlineLvl w:val="1"/>
        <w:rPr>
          <w:rFonts w:ascii="宋体" w:hAnsi="宋体" w:cs="宋体"/>
          <w:color w:val="auto"/>
          <w:szCs w:val="21"/>
          <w:highlight w:val="none"/>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设备规格、性能及参数按照技术需求书执行。</w:t>
      </w:r>
    </w:p>
    <w:p>
      <w:pPr>
        <w:outlineLvl w:val="1"/>
        <w:rPr>
          <w:rFonts w:ascii="宋体" w:hAnsi="宋体" w:cs="宋体"/>
          <w:color w:val="auto"/>
          <w:szCs w:val="21"/>
          <w:highlight w:val="none"/>
        </w:rPr>
      </w:pPr>
      <w:r>
        <w:rPr>
          <w:rFonts w:hint="eastAsia" w:ascii="宋体" w:hAnsi="宋体" w:cs="宋体"/>
          <w:color w:val="auto"/>
          <w:szCs w:val="21"/>
          <w:highlight w:val="none"/>
        </w:rPr>
        <w:t>（1）  所有设备的费用均应列入本表。</w:t>
      </w:r>
      <w:r>
        <w:rPr>
          <w:rFonts w:hint="eastAsia" w:ascii="宋体" w:hAnsi="宋体" w:cs="宋体"/>
          <w:b/>
          <w:bCs/>
          <w:color w:val="auto"/>
          <w:szCs w:val="21"/>
          <w:highlight w:val="none"/>
        </w:rPr>
        <w:t>投标人报价应根据</w:t>
      </w:r>
      <w:r>
        <w:rPr>
          <w:rFonts w:hint="eastAsia" w:ascii="宋体" w:hAnsi="宋体" w:cs="宋体"/>
          <w:b/>
          <w:bCs/>
          <w:color w:val="auto"/>
          <w:szCs w:val="21"/>
          <w:highlight w:val="none"/>
          <w:lang w:val="en-US" w:eastAsia="zh-CN"/>
        </w:rPr>
        <w:t>E</w:t>
      </w:r>
      <w:r>
        <w:rPr>
          <w:rFonts w:hint="eastAsia" w:ascii="宋体" w:hAnsi="宋体" w:cs="宋体"/>
          <w:b/>
          <w:bCs/>
          <w:color w:val="auto"/>
          <w:szCs w:val="21"/>
          <w:highlight w:val="none"/>
        </w:rPr>
        <w:t>包采购主设备清单或采购标的清单的内容报价，所有报价应不限于“</w:t>
      </w:r>
      <w:r>
        <w:rPr>
          <w:rFonts w:hint="eastAsia" w:ascii="宋体" w:hAnsi="宋体" w:cs="宋体"/>
          <w:b/>
          <w:bCs/>
          <w:color w:val="auto"/>
          <w:szCs w:val="21"/>
          <w:highlight w:val="none"/>
          <w:lang w:val="en-US" w:eastAsia="zh-CN"/>
        </w:rPr>
        <w:t>一、采购标的清单</w:t>
      </w:r>
      <w:r>
        <w:rPr>
          <w:rFonts w:hint="eastAsia" w:ascii="宋体" w:hAnsi="宋体" w:cs="宋体"/>
          <w:b/>
          <w:bCs/>
          <w:color w:val="auto"/>
          <w:szCs w:val="21"/>
          <w:highlight w:val="none"/>
        </w:rPr>
        <w:t>”所列设备，投标单位可在此基础上进行优化，但不能低于此配置。</w:t>
      </w:r>
    </w:p>
    <w:p>
      <w:pPr>
        <w:outlineLvl w:val="1"/>
        <w:rPr>
          <w:rFonts w:ascii="宋体" w:hAnsi="宋体" w:cs="宋体"/>
          <w:color w:val="auto"/>
          <w:szCs w:val="21"/>
          <w:highlight w:val="none"/>
        </w:rPr>
      </w:pPr>
      <w:r>
        <w:rPr>
          <w:rFonts w:hint="eastAsia" w:ascii="宋体" w:hAnsi="宋体" w:cs="宋体"/>
          <w:color w:val="auto"/>
          <w:szCs w:val="21"/>
          <w:highlight w:val="none"/>
        </w:rPr>
        <w:t>（2）  所有价格均用人民币（RMB）元表示。</w:t>
      </w:r>
    </w:p>
    <w:p>
      <w:pPr>
        <w:outlineLvl w:val="1"/>
        <w:rPr>
          <w:rFonts w:ascii="宋体" w:hAnsi="宋体" w:cs="宋体"/>
          <w:color w:val="auto"/>
          <w:szCs w:val="21"/>
          <w:highlight w:val="none"/>
        </w:rPr>
      </w:pPr>
      <w:r>
        <w:rPr>
          <w:rFonts w:hint="eastAsia" w:ascii="宋体" w:hAnsi="宋体" w:cs="宋体"/>
          <w:color w:val="auto"/>
          <w:szCs w:val="21"/>
          <w:highlight w:val="none"/>
        </w:rPr>
        <w:t>（3）  设备检修、调试和维修的专用工具（如有）应一一列明。</w:t>
      </w:r>
    </w:p>
    <w:p>
      <w:pPr>
        <w:outlineLvl w:val="1"/>
        <w:rPr>
          <w:rFonts w:ascii="宋体" w:hAnsi="宋体" w:cs="宋体"/>
          <w:color w:val="auto"/>
          <w:szCs w:val="21"/>
          <w:highlight w:val="none"/>
        </w:rPr>
      </w:pPr>
      <w:r>
        <w:rPr>
          <w:rFonts w:hint="eastAsia" w:ascii="宋体" w:hAnsi="宋体" w:cs="宋体"/>
          <w:color w:val="auto"/>
          <w:szCs w:val="21"/>
          <w:highlight w:val="none"/>
        </w:rPr>
        <w:t>（4）  如果单价×数量与总价不符时，评标时则以单价×数量为准。</w:t>
      </w:r>
    </w:p>
    <w:p>
      <w:pPr>
        <w:outlineLvl w:val="1"/>
        <w:rPr>
          <w:rFonts w:ascii="宋体" w:hAnsi="宋体" w:cs="宋体"/>
          <w:color w:val="auto"/>
          <w:szCs w:val="21"/>
          <w:highlight w:val="none"/>
        </w:rPr>
      </w:pPr>
      <w:r>
        <w:rPr>
          <w:rFonts w:hint="eastAsia" w:ascii="宋体" w:hAnsi="宋体" w:cs="宋体"/>
          <w:color w:val="auto"/>
          <w:szCs w:val="21"/>
          <w:highlight w:val="none"/>
        </w:rPr>
        <w:t>（5）  本表的合计价格应转入表1中的设备费小计中。</w:t>
      </w:r>
    </w:p>
    <w:p>
      <w:pPr>
        <w:widowControl w:val="0"/>
        <w:adjustRightInd/>
        <w:jc w:val="both"/>
        <w:rPr>
          <w:rFonts w:ascii="宋体" w:hAnsi="宋体" w:cs="宋体"/>
          <w:color w:val="auto"/>
          <w:kern w:val="2"/>
          <w:szCs w:val="21"/>
          <w:highlight w:val="none"/>
        </w:rPr>
      </w:pPr>
    </w:p>
    <w:p>
      <w:pPr>
        <w:autoSpaceDE w:val="0"/>
        <w:autoSpaceDN w:val="0"/>
        <w:adjustRightInd/>
        <w:snapToGrid/>
        <w:ind w:right="893"/>
        <w:jc w:val="both"/>
        <w:textAlignment w:val="bottom"/>
        <w:rPr>
          <w:rFonts w:ascii="宋体" w:hAnsi="宋体" w:cs="宋体"/>
          <w:color w:val="auto"/>
          <w:kern w:val="2"/>
          <w:szCs w:val="21"/>
          <w:highlight w:val="none"/>
        </w:rPr>
      </w:pPr>
      <w:r>
        <w:rPr>
          <w:rFonts w:hint="eastAsia" w:ascii="宋体" w:hAnsi="宋体" w:cs="宋体"/>
          <w:color w:val="auto"/>
          <w:kern w:val="2"/>
          <w:szCs w:val="21"/>
          <w:highlight w:val="none"/>
        </w:rPr>
        <w:t>投标人法定代表人或其委托人签字或盖私章： _____________</w:t>
      </w:r>
    </w:p>
    <w:p>
      <w:pPr>
        <w:widowControl w:val="0"/>
        <w:adjustRightInd/>
        <w:snapToGrid/>
        <w:jc w:val="both"/>
        <w:rPr>
          <w:rFonts w:hint="eastAsia" w:ascii="宋体" w:hAnsi="宋体" w:cs="宋体"/>
          <w:color w:val="auto"/>
          <w:kern w:val="2"/>
          <w:sz w:val="24"/>
          <w:szCs w:val="24"/>
          <w:highlight w:val="none"/>
          <w:u w:val="single"/>
        </w:rPr>
      </w:pPr>
      <w:r>
        <w:rPr>
          <w:rFonts w:hint="eastAsia" w:ascii="宋体" w:hAnsi="宋体" w:cs="宋体"/>
          <w:color w:val="auto"/>
          <w:kern w:val="2"/>
          <w:szCs w:val="21"/>
          <w:highlight w:val="none"/>
        </w:rPr>
        <w:t>日  期：</w:t>
      </w:r>
      <w:r>
        <w:rPr>
          <w:rFonts w:hint="eastAsia" w:ascii="宋体" w:hAnsi="宋体" w:cs="宋体"/>
          <w:color w:val="auto"/>
          <w:kern w:val="2"/>
          <w:sz w:val="24"/>
          <w:szCs w:val="24"/>
          <w:highlight w:val="none"/>
          <w:u w:val="single"/>
        </w:rPr>
        <w:t xml:space="preserve">      </w:t>
      </w:r>
    </w:p>
    <w:p>
      <w:pPr>
        <w:pStyle w:val="2"/>
        <w:rPr>
          <w:rFonts w:hint="eastAsia" w:ascii="宋体" w:hAnsi="宋体" w:cs="宋体"/>
          <w:color w:val="auto"/>
          <w:kern w:val="2"/>
          <w:sz w:val="24"/>
          <w:szCs w:val="24"/>
          <w:highlight w:val="none"/>
          <w:u w:val="single"/>
        </w:rPr>
      </w:pPr>
    </w:p>
    <w:p>
      <w:pPr>
        <w:pStyle w:val="3"/>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p>
      <w:pPr>
        <w:pStyle w:val="4"/>
        <w:rPr>
          <w:rFonts w:hint="eastAsia" w:ascii="宋体" w:hAnsi="宋体" w:cs="宋体"/>
          <w:color w:val="auto"/>
          <w:kern w:val="2"/>
          <w:sz w:val="24"/>
          <w:szCs w:val="24"/>
          <w:highlight w:val="none"/>
          <w:u w:val="single"/>
        </w:rPr>
      </w:pPr>
    </w:p>
    <w:bookmarkEnd w:id="903"/>
    <w:p>
      <w:pPr>
        <w:keepNext/>
        <w:keepLines/>
        <w:spacing w:before="180" w:beforeLines="50" w:after="180" w:afterLines="50" w:line="360" w:lineRule="exact"/>
        <w:jc w:val="center"/>
        <w:outlineLvl w:val="1"/>
        <w:rPr>
          <w:rFonts w:ascii="黑体" w:eastAsia="黑体"/>
          <w:color w:val="auto"/>
          <w:sz w:val="32"/>
          <w:szCs w:val="32"/>
          <w:highlight w:val="none"/>
        </w:rPr>
      </w:pPr>
      <w:bookmarkStart w:id="904" w:name="_Toc6053"/>
      <w:bookmarkStart w:id="905" w:name="_Toc14137"/>
      <w:bookmarkStart w:id="906" w:name="_Toc23435"/>
      <w:bookmarkStart w:id="907" w:name="_Toc17030"/>
      <w:bookmarkStart w:id="908" w:name="_Toc2121"/>
      <w:bookmarkStart w:id="909" w:name="_Toc39154302"/>
      <w:r>
        <w:rPr>
          <w:rFonts w:hint="eastAsia" w:ascii="黑体" w:eastAsia="黑体"/>
          <w:color w:val="auto"/>
          <w:sz w:val="32"/>
          <w:szCs w:val="32"/>
          <w:highlight w:val="none"/>
        </w:rPr>
        <w:t>3、</w:t>
      </w:r>
      <w:bookmarkEnd w:id="904"/>
      <w:bookmarkEnd w:id="905"/>
      <w:bookmarkEnd w:id="906"/>
      <w:bookmarkEnd w:id="907"/>
      <w:bookmarkEnd w:id="908"/>
      <w:bookmarkEnd w:id="909"/>
      <w:bookmarkStart w:id="910" w:name="_Toc39154303"/>
      <w:bookmarkStart w:id="911" w:name="_Toc23801"/>
      <w:bookmarkStart w:id="912" w:name="_Toc31172"/>
      <w:bookmarkStart w:id="913" w:name="_Toc7665"/>
      <w:bookmarkStart w:id="914" w:name="_Toc31307"/>
      <w:bookmarkStart w:id="915" w:name="_Toc3805"/>
      <w:r>
        <w:rPr>
          <w:rFonts w:hint="eastAsia" w:ascii="黑体" w:eastAsia="黑体"/>
          <w:color w:val="auto"/>
          <w:sz w:val="32"/>
          <w:szCs w:val="32"/>
          <w:highlight w:val="none"/>
        </w:rPr>
        <w:t>材料报价明细表</w:t>
      </w:r>
      <w:bookmarkEnd w:id="910"/>
      <w:bookmarkEnd w:id="911"/>
      <w:bookmarkEnd w:id="912"/>
      <w:bookmarkEnd w:id="913"/>
      <w:r>
        <w:rPr>
          <w:rFonts w:hint="eastAsia" w:ascii="黑体" w:eastAsia="黑体"/>
          <w:color w:val="auto"/>
          <w:sz w:val="32"/>
          <w:szCs w:val="32"/>
          <w:highlight w:val="none"/>
        </w:rPr>
        <w:t xml:space="preserve">  包组号（ ）</w:t>
      </w:r>
      <w:bookmarkEnd w:id="914"/>
      <w:bookmarkEnd w:id="915"/>
    </w:p>
    <w:p>
      <w:pPr>
        <w:widowControl w:val="0"/>
        <w:adjustRightInd/>
        <w:snapToGrid/>
        <w:spacing w:before="180" w:beforeLines="50" w:after="180" w:afterLines="50" w:line="360" w:lineRule="exact"/>
        <w:jc w:val="both"/>
        <w:rPr>
          <w:rFonts w:ascii="宋体" w:hAnsi="宋体" w:cs="宋体"/>
          <w:color w:val="auto"/>
          <w:kern w:val="2"/>
          <w:szCs w:val="21"/>
          <w:highlight w:val="none"/>
        </w:rPr>
      </w:pPr>
      <w:r>
        <w:rPr>
          <w:rFonts w:hint="eastAsia" w:ascii="宋体" w:hAnsi="宋体" w:cs="宋体"/>
          <w:color w:val="auto"/>
          <w:kern w:val="2"/>
          <w:szCs w:val="21"/>
          <w:highlight w:val="none"/>
        </w:rPr>
        <w:t xml:space="preserve">投标人名称（公章）：                                        招标编号：  </w:t>
      </w:r>
    </w:p>
    <w:tbl>
      <w:tblPr>
        <w:tblStyle w:val="34"/>
        <w:tblW w:w="891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81"/>
        <w:gridCol w:w="3159"/>
        <w:gridCol w:w="1272"/>
        <w:gridCol w:w="1160"/>
        <w:gridCol w:w="1160"/>
        <w:gridCol w:w="13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145" w:hRule="atLeast"/>
          <w:jc w:val="center"/>
        </w:trPr>
        <w:tc>
          <w:tcPr>
            <w:tcW w:w="781" w:type="dxa"/>
            <w:tcBorders>
              <w:top w:val="single" w:color="auto" w:sz="12" w:space="0"/>
              <w:bottom w:val="single" w:color="auto" w:sz="6"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序号</w:t>
            </w:r>
          </w:p>
        </w:tc>
        <w:tc>
          <w:tcPr>
            <w:tcW w:w="3159" w:type="dxa"/>
            <w:tcBorders>
              <w:top w:val="single" w:color="auto" w:sz="12" w:space="0"/>
              <w:bottom w:val="single" w:color="auto" w:sz="6"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材料名称和规格型号</w:t>
            </w:r>
          </w:p>
        </w:tc>
        <w:tc>
          <w:tcPr>
            <w:tcW w:w="1272" w:type="dxa"/>
            <w:tcBorders>
              <w:top w:val="single" w:color="auto" w:sz="12"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数量</w:t>
            </w:r>
          </w:p>
        </w:tc>
        <w:tc>
          <w:tcPr>
            <w:tcW w:w="1160" w:type="dxa"/>
            <w:tcBorders>
              <w:top w:val="single" w:color="auto" w:sz="12"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供应商或品牌</w:t>
            </w:r>
          </w:p>
        </w:tc>
        <w:tc>
          <w:tcPr>
            <w:tcW w:w="1160" w:type="dxa"/>
            <w:tcBorders>
              <w:top w:val="single" w:color="auto" w:sz="12"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单价</w:t>
            </w:r>
          </w:p>
        </w:tc>
        <w:tc>
          <w:tcPr>
            <w:tcW w:w="1384" w:type="dxa"/>
            <w:tcBorders>
              <w:top w:val="single" w:color="auto" w:sz="12"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388" w:hRule="exact"/>
          <w:jc w:val="center"/>
        </w:trPr>
        <w:tc>
          <w:tcPr>
            <w:tcW w:w="781"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3159"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材料名称1（包括随机附件和设备检修、调试和维修的专用工具等）</w:t>
            </w:r>
          </w:p>
        </w:tc>
        <w:tc>
          <w:tcPr>
            <w:tcW w:w="127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384"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96" w:hRule="exact"/>
          <w:jc w:val="center"/>
        </w:trPr>
        <w:tc>
          <w:tcPr>
            <w:tcW w:w="781"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1.1</w:t>
            </w:r>
          </w:p>
        </w:tc>
        <w:tc>
          <w:tcPr>
            <w:tcW w:w="3159"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w:t>
            </w:r>
          </w:p>
        </w:tc>
        <w:tc>
          <w:tcPr>
            <w:tcW w:w="127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384"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8" w:hRule="exact"/>
          <w:jc w:val="center"/>
        </w:trPr>
        <w:tc>
          <w:tcPr>
            <w:tcW w:w="781"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3159"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材料费小计</w:t>
            </w:r>
          </w:p>
        </w:tc>
        <w:tc>
          <w:tcPr>
            <w:tcW w:w="127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384"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358" w:hRule="exact"/>
          <w:jc w:val="center"/>
        </w:trPr>
        <w:tc>
          <w:tcPr>
            <w:tcW w:w="781"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2</w:t>
            </w:r>
          </w:p>
        </w:tc>
        <w:tc>
          <w:tcPr>
            <w:tcW w:w="3159"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材料名称2（包括随机附件和设备检修、调试和维修的专用工具等）</w:t>
            </w:r>
          </w:p>
        </w:tc>
        <w:tc>
          <w:tcPr>
            <w:tcW w:w="127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384"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8" w:hRule="exact"/>
          <w:jc w:val="center"/>
        </w:trPr>
        <w:tc>
          <w:tcPr>
            <w:tcW w:w="781"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2.1</w:t>
            </w:r>
          </w:p>
        </w:tc>
        <w:tc>
          <w:tcPr>
            <w:tcW w:w="3159"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w:t>
            </w:r>
          </w:p>
        </w:tc>
        <w:tc>
          <w:tcPr>
            <w:tcW w:w="127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384"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8" w:hRule="exact"/>
          <w:jc w:val="center"/>
        </w:trPr>
        <w:tc>
          <w:tcPr>
            <w:tcW w:w="781"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3159"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材料费小计</w:t>
            </w:r>
          </w:p>
        </w:tc>
        <w:tc>
          <w:tcPr>
            <w:tcW w:w="127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384"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8" w:hRule="exact"/>
          <w:jc w:val="center"/>
        </w:trPr>
        <w:tc>
          <w:tcPr>
            <w:tcW w:w="781" w:type="dxa"/>
            <w:tcBorders>
              <w:top w:val="single" w:color="auto" w:sz="6" w:space="0"/>
              <w:bottom w:val="single" w:color="auto" w:sz="6"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w:t>
            </w:r>
          </w:p>
        </w:tc>
        <w:tc>
          <w:tcPr>
            <w:tcW w:w="3159"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w:t>
            </w:r>
          </w:p>
        </w:tc>
        <w:tc>
          <w:tcPr>
            <w:tcW w:w="127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384"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55" w:hRule="exact"/>
          <w:jc w:val="center"/>
        </w:trPr>
        <w:tc>
          <w:tcPr>
            <w:tcW w:w="3940" w:type="dxa"/>
            <w:gridSpan w:val="2"/>
            <w:tcBorders>
              <w:top w:val="single" w:color="auto" w:sz="6" w:space="0"/>
              <w:bottom w:val="single" w:color="auto" w:sz="12"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合计</w:t>
            </w:r>
          </w:p>
        </w:tc>
        <w:tc>
          <w:tcPr>
            <w:tcW w:w="1272" w:type="dxa"/>
            <w:tcBorders>
              <w:top w:val="single" w:color="auto" w:sz="6" w:space="0"/>
              <w:bottom w:val="single" w:color="auto" w:sz="12" w:space="0"/>
            </w:tcBorders>
            <w:vAlign w:val="center"/>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12" w:space="0"/>
            </w:tcBorders>
          </w:tcPr>
          <w:p>
            <w:pPr>
              <w:widowControl w:val="0"/>
              <w:jc w:val="both"/>
              <w:rPr>
                <w:rFonts w:ascii="宋体" w:hAnsi="宋体" w:cs="宋体"/>
                <w:color w:val="auto"/>
                <w:kern w:val="2"/>
                <w:szCs w:val="21"/>
                <w:highlight w:val="none"/>
              </w:rPr>
            </w:pPr>
          </w:p>
        </w:tc>
        <w:tc>
          <w:tcPr>
            <w:tcW w:w="1160" w:type="dxa"/>
            <w:tcBorders>
              <w:top w:val="single" w:color="auto" w:sz="6" w:space="0"/>
              <w:bottom w:val="single" w:color="auto" w:sz="12" w:space="0"/>
            </w:tcBorders>
            <w:vAlign w:val="center"/>
          </w:tcPr>
          <w:p>
            <w:pPr>
              <w:widowControl w:val="0"/>
              <w:jc w:val="both"/>
              <w:rPr>
                <w:rFonts w:ascii="宋体" w:hAnsi="宋体" w:cs="宋体"/>
                <w:color w:val="auto"/>
                <w:kern w:val="2"/>
                <w:szCs w:val="21"/>
                <w:highlight w:val="none"/>
              </w:rPr>
            </w:pPr>
          </w:p>
        </w:tc>
        <w:tc>
          <w:tcPr>
            <w:tcW w:w="1384" w:type="dxa"/>
            <w:tcBorders>
              <w:top w:val="single" w:color="auto" w:sz="6" w:space="0"/>
              <w:bottom w:val="single" w:color="auto" w:sz="12" w:space="0"/>
            </w:tcBorders>
            <w:vAlign w:val="center"/>
          </w:tcPr>
          <w:p>
            <w:pPr>
              <w:widowControl w:val="0"/>
              <w:jc w:val="both"/>
              <w:rPr>
                <w:rFonts w:ascii="宋体" w:hAnsi="宋体" w:cs="宋体"/>
                <w:color w:val="auto"/>
                <w:kern w:val="2"/>
                <w:szCs w:val="21"/>
                <w:highlight w:val="none"/>
              </w:rPr>
            </w:pPr>
          </w:p>
        </w:tc>
      </w:tr>
    </w:tbl>
    <w:p>
      <w:pPr>
        <w:widowControl w:val="0"/>
        <w:adjustRightInd/>
        <w:jc w:val="both"/>
        <w:rPr>
          <w:rFonts w:ascii="宋体" w:hAnsi="宋体" w:cs="宋体"/>
          <w:color w:val="auto"/>
          <w:kern w:val="2"/>
          <w:szCs w:val="21"/>
          <w:highlight w:val="none"/>
        </w:rPr>
      </w:pPr>
    </w:p>
    <w:p>
      <w:pPr>
        <w:widowControl w:val="0"/>
        <w:adjustRightInd/>
        <w:jc w:val="both"/>
        <w:rPr>
          <w:rFonts w:ascii="宋体" w:hAnsi="宋体" w:cs="宋体"/>
          <w:color w:val="auto"/>
          <w:kern w:val="2"/>
          <w:szCs w:val="21"/>
          <w:highlight w:val="none"/>
        </w:rPr>
      </w:pPr>
    </w:p>
    <w:p>
      <w:pPr>
        <w:pStyle w:val="11"/>
        <w:adjustRightInd/>
        <w:snapToGrid/>
        <w:spacing w:line="240" w:lineRule="auto"/>
        <w:ind w:firstLine="0"/>
        <w:rPr>
          <w:rFonts w:ascii="宋体" w:hAnsi="宋体" w:cs="宋体"/>
          <w:color w:val="auto"/>
          <w:szCs w:val="21"/>
          <w:highlight w:val="none"/>
        </w:rPr>
      </w:pPr>
      <w:r>
        <w:rPr>
          <w:rFonts w:hint="eastAsia" w:ascii="宋体" w:hAnsi="宋体" w:cs="宋体"/>
          <w:color w:val="auto"/>
          <w:szCs w:val="21"/>
          <w:highlight w:val="none"/>
        </w:rPr>
        <w:t>注：（1）  所有材料的费用均应列入本表。</w:t>
      </w:r>
    </w:p>
    <w:p>
      <w:pPr>
        <w:pStyle w:val="11"/>
        <w:adjustRightInd/>
        <w:snapToGrid/>
        <w:spacing w:line="240" w:lineRule="auto"/>
        <w:ind w:left="1667" w:hanging="1247"/>
        <w:outlineLvl w:val="1"/>
        <w:rPr>
          <w:rFonts w:ascii="宋体" w:hAnsi="宋体" w:cs="宋体"/>
          <w:color w:val="auto"/>
          <w:szCs w:val="21"/>
          <w:highlight w:val="none"/>
        </w:rPr>
      </w:pPr>
      <w:r>
        <w:rPr>
          <w:rFonts w:hint="eastAsia" w:ascii="宋体" w:hAnsi="宋体" w:cs="宋体"/>
          <w:color w:val="auto"/>
          <w:szCs w:val="21"/>
          <w:highlight w:val="none"/>
        </w:rPr>
        <w:t>（2）  所有价格均用人民币（RMB）元表示。</w:t>
      </w:r>
    </w:p>
    <w:p>
      <w:pPr>
        <w:pStyle w:val="11"/>
        <w:adjustRightInd/>
        <w:snapToGrid/>
        <w:spacing w:line="240" w:lineRule="auto"/>
        <w:ind w:left="1667" w:hanging="1247"/>
        <w:outlineLvl w:val="1"/>
        <w:rPr>
          <w:rFonts w:ascii="宋体" w:hAnsi="宋体" w:cs="宋体"/>
          <w:color w:val="auto"/>
          <w:szCs w:val="21"/>
          <w:highlight w:val="none"/>
        </w:rPr>
      </w:pPr>
      <w:r>
        <w:rPr>
          <w:rFonts w:hint="eastAsia" w:ascii="宋体" w:hAnsi="宋体" w:cs="宋体"/>
          <w:color w:val="auto"/>
          <w:szCs w:val="21"/>
          <w:highlight w:val="none"/>
        </w:rPr>
        <w:t>（3）  设备检修、调试和维修的专用工具（如有）应一一列明。</w:t>
      </w:r>
    </w:p>
    <w:p>
      <w:pPr>
        <w:pStyle w:val="11"/>
        <w:adjustRightInd/>
        <w:snapToGrid/>
        <w:spacing w:line="240" w:lineRule="auto"/>
        <w:ind w:left="1667" w:hanging="1247"/>
        <w:outlineLvl w:val="1"/>
        <w:rPr>
          <w:rFonts w:ascii="宋体" w:hAnsi="宋体" w:cs="宋体"/>
          <w:color w:val="auto"/>
          <w:szCs w:val="21"/>
          <w:highlight w:val="none"/>
        </w:rPr>
      </w:pPr>
      <w:r>
        <w:rPr>
          <w:rFonts w:hint="eastAsia" w:ascii="宋体" w:hAnsi="宋体" w:cs="宋体"/>
          <w:color w:val="auto"/>
          <w:szCs w:val="21"/>
          <w:highlight w:val="none"/>
        </w:rPr>
        <w:t>（4）  如果单价×数量与总价不符时，评标时则以单价×数量为准。</w:t>
      </w:r>
    </w:p>
    <w:p>
      <w:pPr>
        <w:pStyle w:val="11"/>
        <w:adjustRightInd/>
        <w:snapToGrid/>
        <w:spacing w:line="240" w:lineRule="auto"/>
        <w:ind w:left="1667" w:hanging="1247"/>
        <w:outlineLvl w:val="1"/>
        <w:rPr>
          <w:rFonts w:ascii="宋体" w:hAnsi="宋体" w:cs="宋体"/>
          <w:color w:val="auto"/>
          <w:szCs w:val="21"/>
          <w:highlight w:val="none"/>
        </w:rPr>
      </w:pPr>
      <w:r>
        <w:rPr>
          <w:rFonts w:hint="eastAsia" w:ascii="宋体" w:hAnsi="宋体" w:cs="宋体"/>
          <w:color w:val="auto"/>
          <w:szCs w:val="21"/>
          <w:highlight w:val="none"/>
        </w:rPr>
        <w:t>（5）  本表的合计价格应转入表1中的材料费小计中。</w:t>
      </w:r>
    </w:p>
    <w:p>
      <w:pPr>
        <w:widowControl w:val="0"/>
        <w:adjustRightInd/>
        <w:jc w:val="both"/>
        <w:rPr>
          <w:rFonts w:ascii="宋体" w:hAnsi="宋体" w:cs="宋体"/>
          <w:color w:val="auto"/>
          <w:kern w:val="2"/>
          <w:szCs w:val="21"/>
          <w:highlight w:val="none"/>
        </w:rPr>
      </w:pPr>
    </w:p>
    <w:p>
      <w:pPr>
        <w:autoSpaceDE w:val="0"/>
        <w:autoSpaceDN w:val="0"/>
        <w:adjustRightInd/>
        <w:snapToGrid/>
        <w:ind w:right="893"/>
        <w:jc w:val="both"/>
        <w:textAlignment w:val="bottom"/>
        <w:rPr>
          <w:rFonts w:ascii="宋体" w:hAnsi="宋体" w:cs="宋体"/>
          <w:color w:val="auto"/>
          <w:kern w:val="2"/>
          <w:szCs w:val="21"/>
          <w:highlight w:val="none"/>
        </w:rPr>
      </w:pPr>
      <w:r>
        <w:rPr>
          <w:rFonts w:hint="eastAsia" w:ascii="宋体" w:hAnsi="宋体" w:cs="宋体"/>
          <w:color w:val="auto"/>
          <w:kern w:val="2"/>
          <w:szCs w:val="21"/>
          <w:highlight w:val="none"/>
        </w:rPr>
        <w:t>投标人法定代表人或其委托人签字或盖私章： _____________</w:t>
      </w:r>
    </w:p>
    <w:p>
      <w:pPr>
        <w:widowControl w:val="0"/>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日  期：</w:t>
      </w:r>
    </w:p>
    <w:p>
      <w:pPr>
        <w:widowControl w:val="0"/>
        <w:jc w:val="both"/>
        <w:rPr>
          <w:rFonts w:ascii="宋体" w:hAnsi="宋体" w:cs="宋体"/>
          <w:b/>
          <w:color w:val="auto"/>
          <w:kern w:val="2"/>
          <w:szCs w:val="21"/>
          <w:highlight w:val="none"/>
        </w:rPr>
      </w:pPr>
    </w:p>
    <w:p>
      <w:pPr>
        <w:widowControl w:val="0"/>
        <w:jc w:val="both"/>
        <w:rPr>
          <w:rFonts w:ascii="宋体" w:hAnsi="宋体" w:cs="宋体"/>
          <w:b/>
          <w:color w:val="auto"/>
          <w:kern w:val="2"/>
          <w:szCs w:val="21"/>
          <w:highlight w:val="none"/>
        </w:rPr>
      </w:pPr>
    </w:p>
    <w:p>
      <w:pPr>
        <w:widowControl w:val="0"/>
        <w:jc w:val="both"/>
        <w:rPr>
          <w:rFonts w:ascii="宋体" w:hAnsi="宋体" w:cs="宋体"/>
          <w:b/>
          <w:color w:val="auto"/>
          <w:kern w:val="2"/>
          <w:szCs w:val="21"/>
          <w:highlight w:val="none"/>
        </w:rPr>
      </w:pPr>
    </w:p>
    <w:p>
      <w:pPr>
        <w:keepNext/>
        <w:keepLines/>
        <w:spacing w:before="180" w:beforeLines="50" w:after="180" w:afterLines="50" w:line="360" w:lineRule="exact"/>
        <w:jc w:val="center"/>
        <w:outlineLvl w:val="1"/>
        <w:rPr>
          <w:rFonts w:ascii="黑体" w:eastAsia="黑体"/>
          <w:color w:val="auto"/>
          <w:sz w:val="32"/>
          <w:szCs w:val="32"/>
          <w:highlight w:val="none"/>
        </w:rPr>
      </w:pPr>
      <w:bookmarkStart w:id="916" w:name="_Toc1743"/>
      <w:bookmarkStart w:id="917" w:name="_Toc9034"/>
      <w:bookmarkStart w:id="918" w:name="_Toc30421"/>
      <w:bookmarkStart w:id="919" w:name="_Toc39154304"/>
      <w:bookmarkStart w:id="920" w:name="_Toc12886"/>
      <w:bookmarkStart w:id="921" w:name="_Toc25975"/>
      <w:r>
        <w:rPr>
          <w:rFonts w:hint="eastAsia" w:ascii="黑体" w:eastAsia="黑体"/>
          <w:color w:val="auto"/>
          <w:sz w:val="32"/>
          <w:szCs w:val="32"/>
          <w:highlight w:val="none"/>
        </w:rPr>
        <w:t>4、安装调试费报价明细表</w:t>
      </w:r>
      <w:bookmarkEnd w:id="916"/>
      <w:bookmarkEnd w:id="917"/>
      <w:bookmarkEnd w:id="918"/>
      <w:bookmarkEnd w:id="919"/>
      <w:r>
        <w:rPr>
          <w:rFonts w:hint="eastAsia" w:ascii="黑体" w:eastAsia="黑体"/>
          <w:color w:val="auto"/>
          <w:sz w:val="32"/>
          <w:szCs w:val="32"/>
          <w:highlight w:val="none"/>
        </w:rPr>
        <w:t xml:space="preserve">  包组号（ ）</w:t>
      </w:r>
      <w:bookmarkEnd w:id="920"/>
      <w:bookmarkEnd w:id="921"/>
    </w:p>
    <w:p>
      <w:pPr>
        <w:widowControl w:val="0"/>
        <w:adjustRightInd/>
        <w:jc w:val="both"/>
        <w:rPr>
          <w:rFonts w:ascii="宋体" w:hAnsi="宋体" w:cs="宋体"/>
          <w:color w:val="auto"/>
          <w:kern w:val="2"/>
          <w:szCs w:val="21"/>
          <w:highlight w:val="none"/>
        </w:rPr>
      </w:pPr>
      <w:r>
        <w:rPr>
          <w:rFonts w:hint="eastAsia" w:ascii="宋体" w:hAnsi="宋体" w:cs="宋体"/>
          <w:color w:val="auto"/>
          <w:kern w:val="2"/>
          <w:szCs w:val="21"/>
          <w:highlight w:val="none"/>
        </w:rPr>
        <w:t>投标人名称（公章）：                   招标编号：</w:t>
      </w:r>
    </w:p>
    <w:tbl>
      <w:tblPr>
        <w:tblStyle w:val="34"/>
        <w:tblW w:w="912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19"/>
        <w:gridCol w:w="4071"/>
        <w:gridCol w:w="1378"/>
        <w:gridCol w:w="1379"/>
        <w:gridCol w:w="13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919" w:type="dxa"/>
            <w:tcBorders>
              <w:top w:val="single" w:color="auto" w:sz="12" w:space="0"/>
              <w:bottom w:val="single" w:color="auto" w:sz="6"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序号</w:t>
            </w:r>
          </w:p>
        </w:tc>
        <w:tc>
          <w:tcPr>
            <w:tcW w:w="4071" w:type="dxa"/>
            <w:tcBorders>
              <w:top w:val="single" w:color="auto" w:sz="12" w:space="0"/>
              <w:bottom w:val="single" w:color="auto" w:sz="6"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项目内容</w:t>
            </w:r>
          </w:p>
        </w:tc>
        <w:tc>
          <w:tcPr>
            <w:tcW w:w="1378" w:type="dxa"/>
            <w:tcBorders>
              <w:top w:val="single" w:color="auto" w:sz="12"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数量</w:t>
            </w:r>
          </w:p>
        </w:tc>
        <w:tc>
          <w:tcPr>
            <w:tcW w:w="1379" w:type="dxa"/>
            <w:tcBorders>
              <w:top w:val="single" w:color="auto" w:sz="12"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单价</w:t>
            </w:r>
          </w:p>
        </w:tc>
        <w:tc>
          <w:tcPr>
            <w:tcW w:w="1379" w:type="dxa"/>
            <w:tcBorders>
              <w:top w:val="single" w:color="auto" w:sz="12"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919" w:type="dxa"/>
            <w:tcBorders>
              <w:top w:val="single" w:color="auto" w:sz="6" w:space="0"/>
              <w:bottom w:val="single" w:color="auto" w:sz="6"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4071"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设备/材料名称1：安装调试费</w:t>
            </w:r>
          </w:p>
        </w:tc>
        <w:tc>
          <w:tcPr>
            <w:tcW w:w="1378"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379"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379"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919" w:type="dxa"/>
            <w:tcBorders>
              <w:top w:val="single" w:color="auto" w:sz="6" w:space="0"/>
              <w:bottom w:val="single" w:color="auto" w:sz="6"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2</w:t>
            </w:r>
          </w:p>
        </w:tc>
        <w:tc>
          <w:tcPr>
            <w:tcW w:w="4071"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设备/材料名称2：安装调试费</w:t>
            </w:r>
          </w:p>
        </w:tc>
        <w:tc>
          <w:tcPr>
            <w:tcW w:w="1378"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379"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379"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919" w:type="dxa"/>
            <w:tcBorders>
              <w:top w:val="single" w:color="auto" w:sz="6" w:space="0"/>
              <w:bottom w:val="single" w:color="auto" w:sz="6"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w:t>
            </w:r>
          </w:p>
        </w:tc>
        <w:tc>
          <w:tcPr>
            <w:tcW w:w="4071"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w:t>
            </w:r>
          </w:p>
        </w:tc>
        <w:tc>
          <w:tcPr>
            <w:tcW w:w="1378"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379"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379"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4990" w:type="dxa"/>
            <w:gridSpan w:val="2"/>
            <w:tcBorders>
              <w:top w:val="single" w:color="auto" w:sz="6" w:space="0"/>
              <w:bottom w:val="single" w:color="auto" w:sz="12"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安装调试费合计</w:t>
            </w:r>
          </w:p>
        </w:tc>
        <w:tc>
          <w:tcPr>
            <w:tcW w:w="1378" w:type="dxa"/>
            <w:tcBorders>
              <w:top w:val="single" w:color="auto" w:sz="6" w:space="0"/>
              <w:bottom w:val="single" w:color="auto" w:sz="12" w:space="0"/>
            </w:tcBorders>
            <w:vAlign w:val="center"/>
          </w:tcPr>
          <w:p>
            <w:pPr>
              <w:widowControl w:val="0"/>
              <w:jc w:val="both"/>
              <w:rPr>
                <w:rFonts w:ascii="宋体" w:hAnsi="宋体" w:cs="宋体"/>
                <w:color w:val="auto"/>
                <w:kern w:val="2"/>
                <w:szCs w:val="21"/>
                <w:highlight w:val="none"/>
              </w:rPr>
            </w:pPr>
          </w:p>
        </w:tc>
        <w:tc>
          <w:tcPr>
            <w:tcW w:w="1379" w:type="dxa"/>
            <w:tcBorders>
              <w:top w:val="single" w:color="auto" w:sz="6" w:space="0"/>
              <w:bottom w:val="single" w:color="auto" w:sz="12" w:space="0"/>
            </w:tcBorders>
            <w:vAlign w:val="center"/>
          </w:tcPr>
          <w:p>
            <w:pPr>
              <w:widowControl w:val="0"/>
              <w:jc w:val="both"/>
              <w:rPr>
                <w:rFonts w:ascii="宋体" w:hAnsi="宋体" w:cs="宋体"/>
                <w:color w:val="auto"/>
                <w:kern w:val="2"/>
                <w:szCs w:val="21"/>
                <w:highlight w:val="none"/>
              </w:rPr>
            </w:pPr>
          </w:p>
        </w:tc>
        <w:tc>
          <w:tcPr>
            <w:tcW w:w="1379" w:type="dxa"/>
            <w:tcBorders>
              <w:top w:val="single" w:color="auto" w:sz="6" w:space="0"/>
              <w:bottom w:val="single" w:color="auto" w:sz="12" w:space="0"/>
            </w:tcBorders>
            <w:vAlign w:val="center"/>
          </w:tcPr>
          <w:p>
            <w:pPr>
              <w:widowControl w:val="0"/>
              <w:jc w:val="both"/>
              <w:rPr>
                <w:rFonts w:ascii="宋体" w:hAnsi="宋体" w:cs="宋体"/>
                <w:color w:val="auto"/>
                <w:kern w:val="2"/>
                <w:szCs w:val="21"/>
                <w:highlight w:val="none"/>
              </w:rPr>
            </w:pPr>
          </w:p>
        </w:tc>
      </w:tr>
    </w:tbl>
    <w:p>
      <w:pPr>
        <w:pStyle w:val="11"/>
        <w:adjustRightInd/>
        <w:snapToGrid/>
        <w:spacing w:line="240" w:lineRule="auto"/>
        <w:ind w:firstLine="0"/>
        <w:rPr>
          <w:rFonts w:ascii="宋体" w:hAnsi="宋体" w:cs="宋体"/>
          <w:color w:val="auto"/>
          <w:szCs w:val="21"/>
          <w:highlight w:val="none"/>
        </w:rPr>
      </w:pPr>
      <w:r>
        <w:rPr>
          <w:rFonts w:hint="eastAsia" w:ascii="宋体" w:hAnsi="宋体" w:cs="宋体"/>
          <w:color w:val="auto"/>
          <w:szCs w:val="21"/>
          <w:highlight w:val="none"/>
        </w:rPr>
        <w:t>注：（1）  所有设备材料的安装调试费用均应列入本表。</w:t>
      </w:r>
    </w:p>
    <w:p>
      <w:pPr>
        <w:pStyle w:val="11"/>
        <w:adjustRightInd/>
        <w:snapToGrid/>
        <w:spacing w:line="240" w:lineRule="auto"/>
        <w:ind w:left="1667" w:hanging="1247"/>
        <w:outlineLvl w:val="1"/>
        <w:rPr>
          <w:rFonts w:ascii="宋体" w:hAnsi="宋体" w:cs="宋体"/>
          <w:color w:val="auto"/>
          <w:szCs w:val="21"/>
          <w:highlight w:val="none"/>
        </w:rPr>
      </w:pPr>
      <w:r>
        <w:rPr>
          <w:rFonts w:hint="eastAsia" w:ascii="宋体" w:hAnsi="宋体" w:cs="宋体"/>
          <w:color w:val="auto"/>
          <w:szCs w:val="21"/>
          <w:highlight w:val="none"/>
        </w:rPr>
        <w:t>（2）  所有价格均用人民币（RMB）元表示。</w:t>
      </w:r>
    </w:p>
    <w:p>
      <w:pPr>
        <w:pStyle w:val="11"/>
        <w:adjustRightInd/>
        <w:snapToGrid/>
        <w:spacing w:line="240" w:lineRule="auto"/>
        <w:ind w:left="1667" w:hanging="1247"/>
        <w:outlineLvl w:val="1"/>
        <w:rPr>
          <w:rFonts w:ascii="宋体" w:hAnsi="宋体" w:cs="宋体"/>
          <w:color w:val="auto"/>
          <w:szCs w:val="21"/>
          <w:highlight w:val="none"/>
        </w:rPr>
      </w:pPr>
      <w:r>
        <w:rPr>
          <w:rFonts w:hint="eastAsia" w:ascii="宋体" w:hAnsi="宋体" w:cs="宋体"/>
          <w:color w:val="auto"/>
          <w:szCs w:val="21"/>
          <w:highlight w:val="none"/>
        </w:rPr>
        <w:t>（3）  如果单价×数量与总价不符时，评标时则以单价×数量为准。</w:t>
      </w:r>
    </w:p>
    <w:p>
      <w:pPr>
        <w:pStyle w:val="11"/>
        <w:adjustRightInd/>
        <w:snapToGrid/>
        <w:spacing w:line="240" w:lineRule="auto"/>
        <w:ind w:left="1667" w:hanging="1247"/>
        <w:outlineLvl w:val="1"/>
        <w:rPr>
          <w:rFonts w:ascii="宋体" w:hAnsi="宋体" w:cs="宋体"/>
          <w:color w:val="auto"/>
          <w:szCs w:val="21"/>
          <w:highlight w:val="none"/>
        </w:rPr>
      </w:pPr>
      <w:r>
        <w:rPr>
          <w:rFonts w:hint="eastAsia" w:ascii="宋体" w:hAnsi="宋体" w:cs="宋体"/>
          <w:color w:val="auto"/>
          <w:szCs w:val="21"/>
          <w:highlight w:val="none"/>
        </w:rPr>
        <w:t>（4）  本表的合计价格应转入表1中的安装调试费中。</w:t>
      </w:r>
    </w:p>
    <w:p>
      <w:pPr>
        <w:widowControl w:val="0"/>
        <w:adjustRightInd/>
        <w:jc w:val="both"/>
        <w:rPr>
          <w:rFonts w:ascii="宋体" w:hAnsi="宋体" w:cs="宋体"/>
          <w:color w:val="auto"/>
          <w:kern w:val="2"/>
          <w:szCs w:val="21"/>
          <w:highlight w:val="none"/>
        </w:rPr>
      </w:pPr>
    </w:p>
    <w:p>
      <w:pPr>
        <w:widowControl w:val="0"/>
        <w:adjustRightInd/>
        <w:jc w:val="both"/>
        <w:rPr>
          <w:rFonts w:ascii="宋体" w:hAnsi="宋体" w:cs="宋体"/>
          <w:color w:val="auto"/>
          <w:kern w:val="2"/>
          <w:szCs w:val="21"/>
          <w:highlight w:val="none"/>
        </w:rPr>
      </w:pPr>
    </w:p>
    <w:p>
      <w:pPr>
        <w:autoSpaceDE w:val="0"/>
        <w:autoSpaceDN w:val="0"/>
        <w:adjustRightInd/>
        <w:snapToGrid/>
        <w:ind w:right="893"/>
        <w:jc w:val="both"/>
        <w:textAlignment w:val="bottom"/>
        <w:rPr>
          <w:rFonts w:ascii="宋体" w:hAnsi="宋体" w:cs="宋体"/>
          <w:color w:val="auto"/>
          <w:kern w:val="2"/>
          <w:szCs w:val="21"/>
          <w:highlight w:val="none"/>
        </w:rPr>
      </w:pPr>
      <w:r>
        <w:rPr>
          <w:rFonts w:hint="eastAsia" w:ascii="宋体" w:hAnsi="宋体" w:cs="宋体"/>
          <w:color w:val="auto"/>
          <w:kern w:val="2"/>
          <w:szCs w:val="21"/>
          <w:highlight w:val="none"/>
        </w:rPr>
        <w:t>投标人法定代表人或其委托人签字或盖私章： _____________</w:t>
      </w:r>
    </w:p>
    <w:p>
      <w:pPr>
        <w:widowControl w:val="0"/>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日  期：</w:t>
      </w: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rPr>
          <w:rFonts w:ascii="黑体" w:eastAsia="黑体"/>
          <w:color w:val="auto"/>
          <w:sz w:val="32"/>
          <w:szCs w:val="32"/>
          <w:highlight w:val="none"/>
        </w:rPr>
      </w:pPr>
      <w:bookmarkStart w:id="922" w:name="_Toc39154305"/>
      <w:bookmarkStart w:id="923" w:name="_Toc12614"/>
      <w:bookmarkStart w:id="924" w:name="_Toc4609"/>
      <w:bookmarkStart w:id="925" w:name="_Toc13085"/>
      <w:bookmarkStart w:id="926" w:name="_Toc32698"/>
      <w:bookmarkStart w:id="927" w:name="_Toc10341"/>
      <w:r>
        <w:rPr>
          <w:rFonts w:hint="eastAsia" w:ascii="黑体" w:eastAsia="黑体"/>
          <w:color w:val="auto"/>
          <w:sz w:val="32"/>
          <w:szCs w:val="32"/>
          <w:highlight w:val="none"/>
        </w:rPr>
        <w:br w:type="page"/>
      </w:r>
    </w:p>
    <w:p>
      <w:pPr>
        <w:keepNext/>
        <w:keepLines/>
        <w:spacing w:before="180" w:beforeLines="50" w:after="180" w:afterLines="50" w:line="360" w:lineRule="exact"/>
        <w:jc w:val="center"/>
        <w:outlineLvl w:val="1"/>
        <w:rPr>
          <w:rFonts w:ascii="黑体" w:eastAsia="黑体"/>
          <w:color w:val="auto"/>
          <w:sz w:val="32"/>
          <w:szCs w:val="32"/>
          <w:highlight w:val="none"/>
        </w:rPr>
      </w:pPr>
      <w:r>
        <w:rPr>
          <w:rFonts w:hint="eastAsia" w:ascii="黑体" w:eastAsia="黑体"/>
          <w:color w:val="auto"/>
          <w:sz w:val="32"/>
          <w:szCs w:val="32"/>
          <w:highlight w:val="none"/>
        </w:rPr>
        <w:t>5、伴随服务费报价表</w:t>
      </w:r>
      <w:bookmarkEnd w:id="922"/>
      <w:bookmarkEnd w:id="923"/>
      <w:bookmarkEnd w:id="924"/>
      <w:bookmarkEnd w:id="925"/>
      <w:r>
        <w:rPr>
          <w:rFonts w:hint="eastAsia" w:ascii="黑体" w:eastAsia="黑体"/>
          <w:color w:val="auto"/>
          <w:sz w:val="32"/>
          <w:szCs w:val="32"/>
          <w:highlight w:val="none"/>
        </w:rPr>
        <w:t xml:space="preserve">  包组号（ ）</w:t>
      </w:r>
      <w:bookmarkEnd w:id="926"/>
      <w:bookmarkEnd w:id="927"/>
    </w:p>
    <w:p>
      <w:pPr>
        <w:widowControl w:val="0"/>
        <w:adjustRightInd/>
        <w:snapToGrid/>
        <w:spacing w:before="180" w:beforeLines="50" w:after="180" w:afterLines="50" w:line="360" w:lineRule="exact"/>
        <w:jc w:val="both"/>
        <w:rPr>
          <w:rFonts w:ascii="宋体" w:hAnsi="宋体" w:cs="宋体"/>
          <w:color w:val="auto"/>
          <w:kern w:val="2"/>
          <w:szCs w:val="21"/>
          <w:highlight w:val="none"/>
        </w:rPr>
      </w:pPr>
      <w:r>
        <w:rPr>
          <w:rFonts w:hint="eastAsia" w:ascii="宋体" w:hAnsi="宋体" w:cs="宋体"/>
          <w:color w:val="auto"/>
          <w:kern w:val="2"/>
          <w:szCs w:val="21"/>
          <w:highlight w:val="none"/>
        </w:rPr>
        <w:t>投标人名称（公章）：                                   招标编号：</w:t>
      </w:r>
    </w:p>
    <w:tbl>
      <w:tblPr>
        <w:tblStyle w:val="34"/>
        <w:tblpPr w:leftFromText="180" w:rightFromText="180" w:vertAnchor="text" w:horzAnchor="page" w:tblpX="1618" w:tblpY="39"/>
        <w:tblOverlap w:val="never"/>
        <w:tblW w:w="821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4757"/>
        <w:gridCol w:w="1022"/>
        <w:gridCol w:w="18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trPr>
        <w:tc>
          <w:tcPr>
            <w:tcW w:w="629" w:type="dxa"/>
            <w:tcBorders>
              <w:top w:val="single" w:color="auto" w:sz="12" w:space="0"/>
              <w:bottom w:val="doub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序号</w:t>
            </w:r>
          </w:p>
        </w:tc>
        <w:tc>
          <w:tcPr>
            <w:tcW w:w="4757" w:type="dxa"/>
            <w:tcBorders>
              <w:top w:val="single" w:color="auto" w:sz="12" w:space="0"/>
              <w:bottom w:val="doub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伴随服务内容</w:t>
            </w:r>
          </w:p>
        </w:tc>
        <w:tc>
          <w:tcPr>
            <w:tcW w:w="1022" w:type="dxa"/>
            <w:tcBorders>
              <w:top w:val="single" w:color="auto" w:sz="12" w:space="0"/>
              <w:bottom w:val="double" w:color="auto" w:sz="6"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价格</w:t>
            </w:r>
          </w:p>
        </w:tc>
        <w:tc>
          <w:tcPr>
            <w:tcW w:w="1810" w:type="dxa"/>
            <w:tcBorders>
              <w:top w:val="single" w:color="auto" w:sz="12" w:space="0"/>
              <w:bottom w:val="double" w:color="auto" w:sz="6" w:space="0"/>
            </w:tcBorders>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82" w:hRule="atLeast"/>
        </w:trPr>
        <w:tc>
          <w:tcPr>
            <w:tcW w:w="629" w:type="dxa"/>
            <w:tcBorders>
              <w:top w:val="single" w:color="auto" w:sz="6" w:space="0"/>
              <w:bottom w:val="sing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4757" w:type="dxa"/>
            <w:tcBorders>
              <w:top w:val="single" w:color="auto" w:sz="6" w:space="0"/>
              <w:bottom w:val="single" w:color="auto" w:sz="6" w:space="0"/>
            </w:tcBorders>
            <w:vAlign w:val="center"/>
          </w:tcPr>
          <w:p>
            <w:pPr>
              <w:numPr>
                <w:ilvl w:val="0"/>
                <w:numId w:val="123"/>
              </w:numPr>
              <w:rPr>
                <w:rFonts w:ascii="宋体" w:hAnsi="宋体" w:cs="宋体"/>
                <w:color w:val="auto"/>
                <w:szCs w:val="21"/>
                <w:highlight w:val="none"/>
              </w:rPr>
            </w:pPr>
            <w:r>
              <w:rPr>
                <w:rFonts w:hint="eastAsia" w:ascii="宋体" w:hAnsi="宋体" w:cs="宋体"/>
                <w:color w:val="auto"/>
                <w:szCs w:val="21"/>
                <w:highlight w:val="none"/>
              </w:rPr>
              <w:t>施工图设计费</w:t>
            </w:r>
          </w:p>
        </w:tc>
        <w:tc>
          <w:tcPr>
            <w:tcW w:w="10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52" w:hRule="atLeast"/>
        </w:trPr>
        <w:tc>
          <w:tcPr>
            <w:tcW w:w="629" w:type="dxa"/>
            <w:tcBorders>
              <w:top w:val="single" w:color="auto" w:sz="6" w:space="0"/>
              <w:bottom w:val="sing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2</w:t>
            </w:r>
          </w:p>
        </w:tc>
        <w:tc>
          <w:tcPr>
            <w:tcW w:w="4757" w:type="dxa"/>
            <w:tcBorders>
              <w:top w:val="single" w:color="auto" w:sz="6" w:space="0"/>
              <w:bottom w:val="single" w:color="auto" w:sz="6" w:space="0"/>
            </w:tcBorders>
            <w:vAlign w:val="center"/>
          </w:tcPr>
          <w:p>
            <w:pPr>
              <w:numPr>
                <w:ilvl w:val="0"/>
                <w:numId w:val="123"/>
              </w:numPr>
              <w:rPr>
                <w:rFonts w:ascii="宋体" w:hAnsi="宋体" w:cs="宋体"/>
                <w:color w:val="auto"/>
                <w:szCs w:val="21"/>
                <w:highlight w:val="none"/>
              </w:rPr>
            </w:pPr>
            <w:r>
              <w:rPr>
                <w:rFonts w:hint="eastAsia" w:ascii="宋体" w:hAnsi="宋体" w:cs="宋体"/>
                <w:color w:val="auto"/>
                <w:szCs w:val="21"/>
                <w:highlight w:val="none"/>
              </w:rPr>
              <w:t>现场保管、交货、清点的服务费</w:t>
            </w:r>
          </w:p>
        </w:tc>
        <w:tc>
          <w:tcPr>
            <w:tcW w:w="10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52" w:hRule="atLeast"/>
        </w:trPr>
        <w:tc>
          <w:tcPr>
            <w:tcW w:w="629" w:type="dxa"/>
            <w:tcBorders>
              <w:top w:val="single" w:color="auto" w:sz="6" w:space="0"/>
              <w:bottom w:val="sing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3</w:t>
            </w:r>
          </w:p>
        </w:tc>
        <w:tc>
          <w:tcPr>
            <w:tcW w:w="4757" w:type="dxa"/>
            <w:tcBorders>
              <w:top w:val="single" w:color="auto" w:sz="6" w:space="0"/>
              <w:bottom w:val="single" w:color="auto" w:sz="6" w:space="0"/>
            </w:tcBorders>
            <w:vAlign w:val="center"/>
          </w:tcPr>
          <w:p>
            <w:pPr>
              <w:numPr>
                <w:ilvl w:val="0"/>
                <w:numId w:val="123"/>
              </w:numPr>
              <w:rPr>
                <w:rFonts w:ascii="宋体" w:hAnsi="宋体" w:cs="宋体"/>
                <w:color w:val="auto"/>
                <w:szCs w:val="21"/>
                <w:highlight w:val="none"/>
              </w:rPr>
            </w:pPr>
            <w:r>
              <w:rPr>
                <w:rFonts w:hint="eastAsia" w:ascii="宋体" w:hAnsi="宋体" w:cs="宋体"/>
                <w:color w:val="auto"/>
                <w:szCs w:val="21"/>
                <w:highlight w:val="none"/>
              </w:rPr>
              <w:t>技术需求书确定的保险费</w:t>
            </w:r>
          </w:p>
        </w:tc>
        <w:tc>
          <w:tcPr>
            <w:tcW w:w="10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089" w:hRule="atLeast"/>
        </w:trPr>
        <w:tc>
          <w:tcPr>
            <w:tcW w:w="629" w:type="dxa"/>
            <w:tcBorders>
              <w:top w:val="single" w:color="auto" w:sz="6" w:space="0"/>
              <w:bottom w:val="sing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4</w:t>
            </w:r>
          </w:p>
        </w:tc>
        <w:tc>
          <w:tcPr>
            <w:tcW w:w="4757" w:type="dxa"/>
            <w:tcBorders>
              <w:top w:val="single" w:color="auto" w:sz="6" w:space="0"/>
              <w:bottom w:val="single" w:color="auto" w:sz="6" w:space="0"/>
            </w:tcBorders>
            <w:vAlign w:val="center"/>
          </w:tcPr>
          <w:p>
            <w:pPr>
              <w:numPr>
                <w:ilvl w:val="0"/>
                <w:numId w:val="123"/>
              </w:numPr>
              <w:rPr>
                <w:rFonts w:ascii="宋体" w:hAnsi="宋体" w:cs="宋体"/>
                <w:color w:val="auto"/>
                <w:szCs w:val="21"/>
                <w:highlight w:val="none"/>
              </w:rPr>
            </w:pPr>
            <w:r>
              <w:rPr>
                <w:rFonts w:hint="eastAsia" w:ascii="宋体" w:hAnsi="宋体" w:cs="宋体"/>
                <w:color w:val="auto"/>
                <w:szCs w:val="21"/>
                <w:highlight w:val="none"/>
              </w:rPr>
              <w:t>技术资料费（如为外文资料必须翻译成中文）</w:t>
            </w:r>
          </w:p>
        </w:tc>
        <w:tc>
          <w:tcPr>
            <w:tcW w:w="10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52" w:hRule="atLeast"/>
        </w:trPr>
        <w:tc>
          <w:tcPr>
            <w:tcW w:w="629" w:type="dxa"/>
            <w:tcBorders>
              <w:top w:val="single" w:color="auto" w:sz="6" w:space="0"/>
              <w:bottom w:val="sing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5</w:t>
            </w:r>
          </w:p>
        </w:tc>
        <w:tc>
          <w:tcPr>
            <w:tcW w:w="4757" w:type="dxa"/>
            <w:tcBorders>
              <w:top w:val="single" w:color="auto" w:sz="6" w:space="0"/>
              <w:bottom w:val="single" w:color="auto" w:sz="6" w:space="0"/>
            </w:tcBorders>
            <w:vAlign w:val="center"/>
          </w:tcPr>
          <w:p>
            <w:pPr>
              <w:numPr>
                <w:ilvl w:val="0"/>
                <w:numId w:val="123"/>
              </w:numPr>
              <w:rPr>
                <w:rFonts w:ascii="宋体" w:hAnsi="宋体" w:cs="宋体"/>
                <w:color w:val="auto"/>
                <w:szCs w:val="21"/>
                <w:highlight w:val="none"/>
              </w:rPr>
            </w:pPr>
            <w:r>
              <w:rPr>
                <w:rFonts w:hint="eastAsia" w:ascii="宋体" w:hAnsi="宋体" w:cs="宋体"/>
                <w:color w:val="auto"/>
                <w:szCs w:val="21"/>
                <w:highlight w:val="none"/>
              </w:rPr>
              <w:t>设备的第三方检验费</w:t>
            </w:r>
          </w:p>
        </w:tc>
        <w:tc>
          <w:tcPr>
            <w:tcW w:w="10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52" w:hRule="atLeast"/>
        </w:trPr>
        <w:tc>
          <w:tcPr>
            <w:tcW w:w="629" w:type="dxa"/>
            <w:tcBorders>
              <w:top w:val="single" w:color="auto" w:sz="6" w:space="0"/>
              <w:bottom w:val="sing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6</w:t>
            </w:r>
          </w:p>
        </w:tc>
        <w:tc>
          <w:tcPr>
            <w:tcW w:w="4757" w:type="dxa"/>
            <w:tcBorders>
              <w:top w:val="single" w:color="auto" w:sz="6" w:space="0"/>
              <w:bottom w:val="single" w:color="auto" w:sz="6" w:space="0"/>
            </w:tcBorders>
            <w:vAlign w:val="center"/>
          </w:tcPr>
          <w:p>
            <w:pPr>
              <w:numPr>
                <w:ilvl w:val="0"/>
                <w:numId w:val="123"/>
              </w:numPr>
              <w:rPr>
                <w:rFonts w:ascii="宋体" w:hAnsi="宋体" w:cs="宋体"/>
                <w:color w:val="auto"/>
                <w:szCs w:val="21"/>
                <w:highlight w:val="none"/>
              </w:rPr>
            </w:pPr>
            <w:r>
              <w:rPr>
                <w:rFonts w:hint="eastAsia" w:ascii="宋体" w:hAnsi="宋体" w:cs="宋体"/>
                <w:color w:val="auto"/>
                <w:szCs w:val="21"/>
                <w:highlight w:val="none"/>
              </w:rPr>
              <w:t>设备和相关系统验收配合的服务费</w:t>
            </w:r>
          </w:p>
        </w:tc>
        <w:tc>
          <w:tcPr>
            <w:tcW w:w="10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089" w:hRule="atLeast"/>
        </w:trPr>
        <w:tc>
          <w:tcPr>
            <w:tcW w:w="629" w:type="dxa"/>
            <w:tcBorders>
              <w:top w:val="single" w:color="auto" w:sz="6" w:space="0"/>
              <w:bottom w:val="sing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7</w:t>
            </w:r>
          </w:p>
        </w:tc>
        <w:tc>
          <w:tcPr>
            <w:tcW w:w="4757" w:type="dxa"/>
            <w:tcBorders>
              <w:top w:val="single" w:color="auto" w:sz="6" w:space="0"/>
              <w:bottom w:val="single" w:color="auto" w:sz="6" w:space="0"/>
            </w:tcBorders>
            <w:vAlign w:val="center"/>
          </w:tcPr>
          <w:p>
            <w:pPr>
              <w:numPr>
                <w:ilvl w:val="0"/>
                <w:numId w:val="123"/>
              </w:numPr>
              <w:rPr>
                <w:rFonts w:ascii="宋体" w:hAnsi="宋体" w:cs="宋体"/>
                <w:color w:val="auto"/>
                <w:szCs w:val="21"/>
                <w:highlight w:val="none"/>
              </w:rPr>
            </w:pPr>
            <w:r>
              <w:rPr>
                <w:rFonts w:hint="eastAsia" w:ascii="宋体" w:hAnsi="宋体" w:cs="宋体"/>
                <w:color w:val="auto"/>
                <w:szCs w:val="21"/>
                <w:highlight w:val="none"/>
              </w:rPr>
              <w:t>设备启动、试运行期间的配合服务费</w:t>
            </w:r>
          </w:p>
        </w:tc>
        <w:tc>
          <w:tcPr>
            <w:tcW w:w="10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52" w:hRule="atLeast"/>
        </w:trPr>
        <w:tc>
          <w:tcPr>
            <w:tcW w:w="629" w:type="dxa"/>
            <w:vMerge w:val="restart"/>
            <w:tcBorders>
              <w:top w:val="sing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8</w:t>
            </w:r>
          </w:p>
        </w:tc>
        <w:tc>
          <w:tcPr>
            <w:tcW w:w="4757" w:type="dxa"/>
            <w:tcBorders>
              <w:top w:val="single" w:color="auto" w:sz="6" w:space="0"/>
              <w:bottom w:val="single" w:color="auto" w:sz="6" w:space="0"/>
            </w:tcBorders>
            <w:vAlign w:val="center"/>
          </w:tcPr>
          <w:p>
            <w:pPr>
              <w:numPr>
                <w:ilvl w:val="0"/>
                <w:numId w:val="123"/>
              </w:numPr>
              <w:rPr>
                <w:rFonts w:ascii="宋体" w:hAnsi="宋体" w:cs="宋体"/>
                <w:color w:val="auto"/>
                <w:szCs w:val="21"/>
                <w:highlight w:val="none"/>
              </w:rPr>
            </w:pPr>
            <w:r>
              <w:rPr>
                <w:rFonts w:hint="eastAsia" w:ascii="宋体" w:hAnsi="宋体" w:cs="宋体"/>
                <w:color w:val="auto"/>
                <w:szCs w:val="21"/>
                <w:highlight w:val="none"/>
              </w:rPr>
              <w:t>人员培训费</w:t>
            </w:r>
          </w:p>
        </w:tc>
        <w:tc>
          <w:tcPr>
            <w:tcW w:w="10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52" w:hRule="atLeast"/>
        </w:trPr>
        <w:tc>
          <w:tcPr>
            <w:tcW w:w="629" w:type="dxa"/>
            <w:vMerge w:val="continue"/>
            <w:tcBorders>
              <w:bottom w:val="single" w:color="auto" w:sz="6" w:space="0"/>
            </w:tcBorders>
            <w:vAlign w:val="center"/>
          </w:tcPr>
          <w:p>
            <w:pPr>
              <w:pStyle w:val="10"/>
              <w:keepNext w:val="0"/>
              <w:keepLines w:val="0"/>
              <w:spacing w:before="0" w:after="0" w:line="360" w:lineRule="auto"/>
              <w:ind w:left="0"/>
              <w:jc w:val="left"/>
              <w:rPr>
                <w:rFonts w:ascii="宋体" w:hAnsi="宋体" w:eastAsia="宋体" w:cs="宋体"/>
                <w:color w:val="auto"/>
                <w:sz w:val="21"/>
                <w:szCs w:val="21"/>
                <w:highlight w:val="none"/>
              </w:rPr>
            </w:pPr>
          </w:p>
        </w:tc>
        <w:tc>
          <w:tcPr>
            <w:tcW w:w="4757" w:type="dxa"/>
            <w:tcBorders>
              <w:top w:val="single" w:color="auto" w:sz="6" w:space="0"/>
              <w:bottom w:val="single" w:color="auto" w:sz="6" w:space="0"/>
            </w:tcBorders>
            <w:vAlign w:val="center"/>
          </w:tcPr>
          <w:p>
            <w:pPr>
              <w:numPr>
                <w:ilvl w:val="0"/>
                <w:numId w:val="123"/>
              </w:numPr>
              <w:rPr>
                <w:rFonts w:ascii="宋体" w:hAnsi="宋体" w:cs="宋体"/>
                <w:color w:val="auto"/>
                <w:szCs w:val="21"/>
                <w:highlight w:val="none"/>
              </w:rPr>
            </w:pPr>
            <w:r>
              <w:rPr>
                <w:rFonts w:hint="eastAsia" w:ascii="宋体" w:hAnsi="宋体" w:cs="宋体"/>
                <w:color w:val="auto"/>
                <w:szCs w:val="21"/>
                <w:highlight w:val="none"/>
              </w:rPr>
              <w:t>其中：在岗培训费</w:t>
            </w:r>
          </w:p>
        </w:tc>
        <w:tc>
          <w:tcPr>
            <w:tcW w:w="10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52" w:hRule="atLeast"/>
        </w:trPr>
        <w:tc>
          <w:tcPr>
            <w:tcW w:w="629" w:type="dxa"/>
            <w:tcBorders>
              <w:top w:val="single" w:color="auto" w:sz="6" w:space="0"/>
              <w:bottom w:val="sing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9</w:t>
            </w:r>
          </w:p>
        </w:tc>
        <w:tc>
          <w:tcPr>
            <w:tcW w:w="4757" w:type="dxa"/>
            <w:tcBorders>
              <w:top w:val="single" w:color="auto" w:sz="6" w:space="0"/>
              <w:bottom w:val="single" w:color="auto" w:sz="6" w:space="0"/>
            </w:tcBorders>
            <w:vAlign w:val="center"/>
          </w:tcPr>
          <w:p>
            <w:pPr>
              <w:numPr>
                <w:ilvl w:val="0"/>
                <w:numId w:val="123"/>
              </w:numPr>
              <w:rPr>
                <w:rFonts w:ascii="宋体" w:hAnsi="宋体" w:cs="宋体"/>
                <w:color w:val="auto"/>
                <w:szCs w:val="21"/>
                <w:highlight w:val="none"/>
              </w:rPr>
            </w:pPr>
            <w:r>
              <w:rPr>
                <w:rFonts w:hint="eastAsia" w:ascii="宋体" w:hAnsi="宋体" w:cs="宋体"/>
                <w:color w:val="auto"/>
                <w:szCs w:val="21"/>
                <w:highlight w:val="none"/>
              </w:rPr>
              <w:t>质保期内的售后服务及维修保养费</w:t>
            </w:r>
          </w:p>
        </w:tc>
        <w:tc>
          <w:tcPr>
            <w:tcW w:w="10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089" w:hRule="atLeast"/>
        </w:trPr>
        <w:tc>
          <w:tcPr>
            <w:tcW w:w="629" w:type="dxa"/>
            <w:tcBorders>
              <w:top w:val="single" w:color="auto" w:sz="6" w:space="0"/>
              <w:bottom w:val="sing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10</w:t>
            </w:r>
          </w:p>
        </w:tc>
        <w:tc>
          <w:tcPr>
            <w:tcW w:w="4757" w:type="dxa"/>
            <w:tcBorders>
              <w:top w:val="single" w:color="auto" w:sz="6" w:space="0"/>
              <w:bottom w:val="single" w:color="auto" w:sz="6" w:space="0"/>
            </w:tcBorders>
            <w:vAlign w:val="center"/>
          </w:tcPr>
          <w:p>
            <w:pPr>
              <w:numPr>
                <w:ilvl w:val="0"/>
                <w:numId w:val="123"/>
              </w:numPr>
              <w:rPr>
                <w:rFonts w:ascii="宋体" w:hAnsi="宋体" w:cs="宋体"/>
                <w:color w:val="auto"/>
                <w:szCs w:val="21"/>
                <w:highlight w:val="none"/>
              </w:rPr>
            </w:pPr>
            <w:r>
              <w:rPr>
                <w:rFonts w:hint="eastAsia" w:ascii="宋体" w:hAnsi="宋体" w:cs="宋体"/>
                <w:color w:val="auto"/>
                <w:szCs w:val="21"/>
                <w:highlight w:val="none"/>
              </w:rPr>
              <w:t>设备质保期内的跟踪服务和售后服务费</w:t>
            </w:r>
          </w:p>
        </w:tc>
        <w:tc>
          <w:tcPr>
            <w:tcW w:w="10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089" w:hRule="atLeast"/>
        </w:trPr>
        <w:tc>
          <w:tcPr>
            <w:tcW w:w="629" w:type="dxa"/>
            <w:tcBorders>
              <w:top w:val="single" w:color="auto" w:sz="6" w:space="0"/>
              <w:bottom w:val="sing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11</w:t>
            </w:r>
          </w:p>
        </w:tc>
        <w:tc>
          <w:tcPr>
            <w:tcW w:w="4757" w:type="dxa"/>
            <w:tcBorders>
              <w:top w:val="single" w:color="auto" w:sz="6" w:space="0"/>
              <w:bottom w:val="single" w:color="auto" w:sz="6" w:space="0"/>
            </w:tcBorders>
            <w:vAlign w:val="center"/>
          </w:tcPr>
          <w:p>
            <w:pPr>
              <w:numPr>
                <w:ilvl w:val="0"/>
                <w:numId w:val="123"/>
              </w:numPr>
              <w:rPr>
                <w:rFonts w:ascii="宋体" w:hAnsi="宋体" w:cs="宋体"/>
                <w:color w:val="auto"/>
                <w:szCs w:val="21"/>
                <w:highlight w:val="none"/>
              </w:rPr>
            </w:pPr>
            <w:r>
              <w:rPr>
                <w:rFonts w:hint="eastAsia" w:ascii="宋体" w:hAnsi="宋体" w:cs="宋体"/>
                <w:color w:val="auto"/>
                <w:szCs w:val="21"/>
                <w:highlight w:val="none"/>
              </w:rPr>
              <w:t>为采购人对设备的监造提供配合的服务费</w:t>
            </w:r>
          </w:p>
        </w:tc>
        <w:tc>
          <w:tcPr>
            <w:tcW w:w="10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626" w:hRule="atLeast"/>
        </w:trPr>
        <w:tc>
          <w:tcPr>
            <w:tcW w:w="629" w:type="dxa"/>
            <w:tcBorders>
              <w:top w:val="single" w:color="auto" w:sz="6" w:space="0"/>
              <w:bottom w:val="single" w:color="auto" w:sz="6" w:space="0"/>
            </w:tcBorders>
            <w:vAlign w:val="center"/>
          </w:tcPr>
          <w:p>
            <w:pPr>
              <w:widowControl w:val="0"/>
              <w:rPr>
                <w:rFonts w:ascii="宋体" w:hAnsi="宋体" w:cs="宋体"/>
                <w:color w:val="auto"/>
                <w:kern w:val="2"/>
                <w:szCs w:val="21"/>
                <w:highlight w:val="none"/>
              </w:rPr>
            </w:pPr>
            <w:r>
              <w:rPr>
                <w:rFonts w:hint="eastAsia" w:ascii="宋体" w:hAnsi="宋体" w:cs="宋体"/>
                <w:color w:val="auto"/>
                <w:kern w:val="2"/>
                <w:szCs w:val="21"/>
                <w:highlight w:val="none"/>
              </w:rPr>
              <w:t>12</w:t>
            </w:r>
          </w:p>
        </w:tc>
        <w:tc>
          <w:tcPr>
            <w:tcW w:w="4757" w:type="dxa"/>
            <w:tcBorders>
              <w:top w:val="single" w:color="auto" w:sz="6" w:space="0"/>
              <w:bottom w:val="single" w:color="auto" w:sz="6" w:space="0"/>
            </w:tcBorders>
            <w:vAlign w:val="center"/>
          </w:tcPr>
          <w:p>
            <w:pPr>
              <w:numPr>
                <w:ilvl w:val="0"/>
                <w:numId w:val="123"/>
              </w:numPr>
              <w:rPr>
                <w:rFonts w:ascii="宋体" w:hAnsi="宋体" w:cs="宋体"/>
                <w:color w:val="auto"/>
                <w:szCs w:val="21"/>
                <w:highlight w:val="none"/>
              </w:rPr>
            </w:pPr>
            <w:r>
              <w:rPr>
                <w:rFonts w:hint="eastAsia" w:ascii="宋体" w:hAnsi="宋体" w:cs="宋体"/>
                <w:color w:val="auto"/>
                <w:szCs w:val="21"/>
                <w:highlight w:val="none"/>
              </w:rPr>
              <w:t>在本采购文件的“技术需求书”中规定的应由投标人承担的其他工作所需的费用</w:t>
            </w:r>
          </w:p>
        </w:tc>
        <w:tc>
          <w:tcPr>
            <w:tcW w:w="10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82" w:hRule="atLeast"/>
        </w:trPr>
        <w:tc>
          <w:tcPr>
            <w:tcW w:w="5386" w:type="dxa"/>
            <w:gridSpan w:val="2"/>
            <w:tcBorders>
              <w:top w:val="single" w:color="auto" w:sz="6" w:space="0"/>
              <w:bottom w:val="single" w:color="auto" w:sz="12"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合计</w:t>
            </w:r>
          </w:p>
        </w:tc>
        <w:tc>
          <w:tcPr>
            <w:tcW w:w="1022" w:type="dxa"/>
            <w:tcBorders>
              <w:top w:val="single" w:color="auto" w:sz="6" w:space="0"/>
              <w:bottom w:val="single" w:color="auto" w:sz="12" w:space="0"/>
            </w:tcBorders>
            <w:vAlign w:val="center"/>
          </w:tcPr>
          <w:p>
            <w:pPr>
              <w:widowControl w:val="0"/>
              <w:jc w:val="both"/>
              <w:rPr>
                <w:rFonts w:ascii="宋体" w:hAnsi="宋体" w:cs="宋体"/>
                <w:color w:val="auto"/>
                <w:kern w:val="2"/>
                <w:szCs w:val="21"/>
                <w:highlight w:val="none"/>
              </w:rPr>
            </w:pPr>
          </w:p>
        </w:tc>
        <w:tc>
          <w:tcPr>
            <w:tcW w:w="1810" w:type="dxa"/>
            <w:tcBorders>
              <w:top w:val="single" w:color="auto" w:sz="6" w:space="0"/>
              <w:bottom w:val="single" w:color="auto" w:sz="12" w:space="0"/>
            </w:tcBorders>
          </w:tcPr>
          <w:p>
            <w:pPr>
              <w:widowControl w:val="0"/>
              <w:jc w:val="both"/>
              <w:rPr>
                <w:rFonts w:ascii="宋体" w:hAnsi="宋体" w:cs="宋体"/>
                <w:color w:val="auto"/>
                <w:kern w:val="2"/>
                <w:szCs w:val="21"/>
                <w:highlight w:val="none"/>
              </w:rPr>
            </w:pPr>
          </w:p>
        </w:tc>
      </w:tr>
    </w:tbl>
    <w:p>
      <w:pPr>
        <w:widowControl w:val="0"/>
        <w:adjustRightInd/>
        <w:snapToGrid/>
        <w:spacing w:line="240" w:lineRule="auto"/>
        <w:jc w:val="both"/>
        <w:rPr>
          <w:rFonts w:ascii="宋体" w:hAnsi="宋体" w:cs="宋体"/>
          <w:color w:val="auto"/>
          <w:kern w:val="2"/>
          <w:szCs w:val="21"/>
          <w:highlight w:val="none"/>
        </w:rPr>
      </w:pPr>
    </w:p>
    <w:p>
      <w:pPr>
        <w:pStyle w:val="11"/>
        <w:adjustRightInd/>
        <w:snapToGrid/>
        <w:spacing w:line="240" w:lineRule="auto"/>
        <w:ind w:firstLine="0"/>
        <w:rPr>
          <w:rFonts w:ascii="宋体" w:hAnsi="宋体" w:cs="宋体"/>
          <w:color w:val="auto"/>
          <w:szCs w:val="21"/>
          <w:highlight w:val="none"/>
        </w:rPr>
      </w:pPr>
      <w:r>
        <w:rPr>
          <w:rFonts w:hint="eastAsia" w:ascii="宋体" w:hAnsi="宋体" w:cs="宋体"/>
          <w:color w:val="auto"/>
          <w:szCs w:val="21"/>
          <w:highlight w:val="none"/>
        </w:rPr>
        <w:t>注：（1）  所有伴随服务费用均应列入本表。</w:t>
      </w:r>
    </w:p>
    <w:p>
      <w:pPr>
        <w:pStyle w:val="11"/>
        <w:adjustRightInd/>
        <w:snapToGrid/>
        <w:spacing w:line="240" w:lineRule="auto"/>
        <w:ind w:left="1667" w:hanging="1247"/>
        <w:outlineLvl w:val="1"/>
        <w:rPr>
          <w:rFonts w:ascii="宋体" w:hAnsi="宋体" w:cs="宋体"/>
          <w:color w:val="auto"/>
          <w:szCs w:val="21"/>
          <w:highlight w:val="none"/>
        </w:rPr>
      </w:pPr>
      <w:r>
        <w:rPr>
          <w:rFonts w:hint="eastAsia" w:ascii="宋体" w:hAnsi="宋体" w:cs="宋体"/>
          <w:color w:val="auto"/>
          <w:szCs w:val="21"/>
          <w:highlight w:val="none"/>
        </w:rPr>
        <w:t>（2）  所有价格均用人民币（RMB）元表示。</w:t>
      </w:r>
    </w:p>
    <w:p>
      <w:pPr>
        <w:pStyle w:val="11"/>
        <w:adjustRightInd/>
        <w:snapToGrid/>
        <w:spacing w:line="240" w:lineRule="auto"/>
        <w:ind w:left="1667" w:hanging="1247"/>
        <w:outlineLvl w:val="1"/>
        <w:rPr>
          <w:rFonts w:ascii="宋体" w:hAnsi="宋体" w:cs="宋体"/>
          <w:color w:val="auto"/>
          <w:szCs w:val="21"/>
          <w:highlight w:val="none"/>
        </w:rPr>
      </w:pPr>
      <w:r>
        <w:rPr>
          <w:rFonts w:hint="eastAsia" w:ascii="宋体" w:hAnsi="宋体" w:cs="宋体"/>
          <w:color w:val="auto"/>
          <w:szCs w:val="21"/>
          <w:highlight w:val="none"/>
        </w:rPr>
        <w:t>（3）  本表的合计价格应转入表1中的伴随服务费中。</w:t>
      </w:r>
    </w:p>
    <w:p>
      <w:pPr>
        <w:widowControl w:val="0"/>
        <w:adjustRightInd/>
        <w:jc w:val="both"/>
        <w:rPr>
          <w:rFonts w:ascii="宋体" w:hAnsi="宋体" w:cs="宋体"/>
          <w:color w:val="auto"/>
          <w:kern w:val="2"/>
          <w:szCs w:val="21"/>
          <w:highlight w:val="none"/>
        </w:rPr>
      </w:pPr>
    </w:p>
    <w:p>
      <w:pPr>
        <w:autoSpaceDE w:val="0"/>
        <w:autoSpaceDN w:val="0"/>
        <w:adjustRightInd/>
        <w:snapToGrid/>
        <w:ind w:right="893"/>
        <w:jc w:val="both"/>
        <w:textAlignment w:val="bottom"/>
        <w:rPr>
          <w:rFonts w:ascii="宋体" w:hAnsi="宋体" w:cs="宋体"/>
          <w:color w:val="auto"/>
          <w:kern w:val="2"/>
          <w:szCs w:val="21"/>
          <w:highlight w:val="none"/>
        </w:rPr>
      </w:pPr>
      <w:r>
        <w:rPr>
          <w:rFonts w:hint="eastAsia" w:ascii="宋体" w:hAnsi="宋体" w:cs="宋体"/>
          <w:color w:val="auto"/>
          <w:kern w:val="2"/>
          <w:szCs w:val="21"/>
          <w:highlight w:val="none"/>
        </w:rPr>
        <w:t>投标人法定代表人或其委托人签字或盖私章： _____________</w:t>
      </w:r>
    </w:p>
    <w:p>
      <w:pPr>
        <w:widowControl w:val="0"/>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日  期：</w:t>
      </w:r>
    </w:p>
    <w:p>
      <w:pPr>
        <w:widowControl w:val="0"/>
        <w:adjustRightInd/>
        <w:snapToGrid/>
        <w:spacing w:line="240" w:lineRule="auto"/>
        <w:jc w:val="both"/>
        <w:rPr>
          <w:rFonts w:ascii="宋体" w:hAnsi="宋体" w:cs="宋体"/>
          <w:color w:val="auto"/>
          <w:kern w:val="2"/>
          <w:szCs w:val="21"/>
          <w:highlight w:val="none"/>
        </w:rPr>
      </w:pPr>
    </w:p>
    <w:p>
      <w:pPr>
        <w:widowControl w:val="0"/>
        <w:adjustRightInd/>
        <w:snapToGrid/>
        <w:spacing w:line="240" w:lineRule="auto"/>
        <w:jc w:val="both"/>
        <w:rPr>
          <w:rFonts w:ascii="宋体" w:hAnsi="宋体" w:cs="宋体"/>
          <w:color w:val="auto"/>
          <w:kern w:val="2"/>
          <w:szCs w:val="21"/>
          <w:highlight w:val="none"/>
        </w:rPr>
      </w:pPr>
    </w:p>
    <w:p>
      <w:pPr>
        <w:widowControl w:val="0"/>
        <w:adjustRightInd/>
        <w:snapToGrid/>
        <w:spacing w:line="240" w:lineRule="auto"/>
        <w:jc w:val="both"/>
        <w:rPr>
          <w:rFonts w:ascii="宋体" w:hAnsi="宋体" w:cs="宋体"/>
          <w:color w:val="auto"/>
          <w:kern w:val="2"/>
          <w:szCs w:val="21"/>
          <w:highlight w:val="none"/>
        </w:rPr>
      </w:pPr>
    </w:p>
    <w:p>
      <w:pPr>
        <w:rPr>
          <w:rFonts w:ascii="宋体" w:hAnsi="宋体" w:cs="宋体"/>
          <w:b/>
          <w:color w:val="auto"/>
          <w:szCs w:val="21"/>
          <w:highlight w:val="none"/>
        </w:rPr>
      </w:pPr>
      <w:bookmarkStart w:id="928" w:name="_Toc21353"/>
      <w:bookmarkStart w:id="929" w:name="_Toc39154306"/>
      <w:bookmarkStart w:id="930" w:name="_Toc6746"/>
      <w:bookmarkStart w:id="931" w:name="_Toc21549"/>
      <w:bookmarkStart w:id="932" w:name="_Toc9198"/>
      <w:bookmarkStart w:id="933" w:name="_Toc17878"/>
      <w:r>
        <w:rPr>
          <w:rFonts w:hint="eastAsia" w:ascii="宋体" w:hAnsi="宋体" w:cs="宋体"/>
          <w:b/>
          <w:color w:val="auto"/>
          <w:szCs w:val="21"/>
          <w:highlight w:val="none"/>
        </w:rPr>
        <w:br w:type="page"/>
      </w:r>
    </w:p>
    <w:p>
      <w:pPr>
        <w:keepNext/>
        <w:keepLines/>
        <w:spacing w:before="180" w:beforeLines="50" w:after="180" w:afterLines="50" w:line="360" w:lineRule="exact"/>
        <w:jc w:val="center"/>
        <w:outlineLvl w:val="1"/>
        <w:rPr>
          <w:rFonts w:ascii="黑体" w:eastAsia="黑体"/>
          <w:color w:val="auto"/>
          <w:sz w:val="32"/>
          <w:szCs w:val="32"/>
          <w:highlight w:val="none"/>
        </w:rPr>
      </w:pPr>
      <w:r>
        <w:rPr>
          <w:rFonts w:hint="eastAsia" w:ascii="黑体" w:eastAsia="黑体"/>
          <w:color w:val="auto"/>
          <w:sz w:val="32"/>
          <w:szCs w:val="32"/>
          <w:highlight w:val="none"/>
        </w:rPr>
        <w:t>6、保修期内备品备件和易耗品报价表</w:t>
      </w:r>
      <w:bookmarkEnd w:id="928"/>
      <w:bookmarkEnd w:id="929"/>
      <w:bookmarkEnd w:id="930"/>
      <w:bookmarkEnd w:id="931"/>
      <w:r>
        <w:rPr>
          <w:rFonts w:hint="eastAsia" w:ascii="黑体" w:eastAsia="黑体"/>
          <w:color w:val="auto"/>
          <w:sz w:val="32"/>
          <w:szCs w:val="32"/>
          <w:highlight w:val="none"/>
        </w:rPr>
        <w:t xml:space="preserve">  包组号（ ）</w:t>
      </w:r>
      <w:bookmarkEnd w:id="932"/>
      <w:bookmarkEnd w:id="933"/>
    </w:p>
    <w:p>
      <w:pPr>
        <w:widowControl w:val="0"/>
        <w:adjustRightInd/>
        <w:snapToGrid/>
        <w:spacing w:line="240" w:lineRule="auto"/>
        <w:ind w:left="425"/>
        <w:jc w:val="both"/>
        <w:rPr>
          <w:rFonts w:ascii="宋体" w:hAnsi="宋体" w:cs="宋体"/>
          <w:color w:val="auto"/>
          <w:kern w:val="2"/>
          <w:szCs w:val="21"/>
          <w:highlight w:val="none"/>
        </w:rPr>
      </w:pPr>
    </w:p>
    <w:p>
      <w:pPr>
        <w:widowControl w:val="0"/>
        <w:tabs>
          <w:tab w:val="left" w:pos="1135"/>
        </w:tabs>
        <w:adjustRightInd/>
        <w:jc w:val="both"/>
        <w:rPr>
          <w:rFonts w:ascii="宋体" w:hAnsi="宋体" w:cs="宋体"/>
          <w:color w:val="auto"/>
          <w:kern w:val="2"/>
          <w:szCs w:val="21"/>
          <w:highlight w:val="none"/>
        </w:rPr>
      </w:pPr>
      <w:r>
        <w:rPr>
          <w:rFonts w:hint="eastAsia" w:ascii="宋体" w:hAnsi="宋体" w:cs="宋体"/>
          <w:color w:val="auto"/>
          <w:kern w:val="2"/>
          <w:szCs w:val="21"/>
          <w:highlight w:val="none"/>
        </w:rPr>
        <w:t>投标人名称（公章）：                           招标编号：</w:t>
      </w:r>
    </w:p>
    <w:p>
      <w:pPr>
        <w:widowControl w:val="0"/>
        <w:tabs>
          <w:tab w:val="left" w:pos="1135"/>
        </w:tabs>
        <w:adjustRightInd/>
        <w:jc w:val="both"/>
        <w:rPr>
          <w:rFonts w:ascii="宋体" w:hAnsi="宋体" w:cs="宋体"/>
          <w:color w:val="auto"/>
          <w:kern w:val="2"/>
          <w:szCs w:val="21"/>
          <w:highlight w:val="none"/>
        </w:rPr>
      </w:pPr>
      <w:r>
        <w:rPr>
          <w:rFonts w:hint="eastAsia" w:ascii="宋体" w:hAnsi="宋体" w:cs="宋体"/>
          <w:color w:val="auto"/>
          <w:kern w:val="2"/>
          <w:szCs w:val="21"/>
          <w:highlight w:val="none"/>
        </w:rPr>
        <w:t>第   页/共   页</w:t>
      </w:r>
    </w:p>
    <w:p>
      <w:pPr>
        <w:widowControl w:val="0"/>
        <w:tabs>
          <w:tab w:val="left" w:pos="1135"/>
        </w:tabs>
        <w:adjustRightInd/>
        <w:rPr>
          <w:rFonts w:ascii="宋体" w:hAnsi="宋体" w:cs="宋体"/>
          <w:color w:val="auto"/>
          <w:kern w:val="2"/>
          <w:szCs w:val="21"/>
          <w:highlight w:val="none"/>
        </w:rPr>
      </w:pPr>
    </w:p>
    <w:tbl>
      <w:tblPr>
        <w:tblStyle w:val="34"/>
        <w:tblW w:w="8997"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40"/>
        <w:gridCol w:w="1690"/>
        <w:gridCol w:w="2167"/>
        <w:gridCol w:w="1029"/>
        <w:gridCol w:w="1085"/>
        <w:gridCol w:w="890"/>
        <w:gridCol w:w="139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1085" w:hRule="atLeast"/>
          <w:jc w:val="center"/>
        </w:trPr>
        <w:tc>
          <w:tcPr>
            <w:tcW w:w="740" w:type="dxa"/>
            <w:vAlign w:val="center"/>
          </w:tcPr>
          <w:p>
            <w:pPr>
              <w:widowControl w:val="0"/>
              <w:adjustRightInd/>
              <w:jc w:val="center"/>
              <w:rPr>
                <w:rFonts w:ascii="宋体" w:hAnsi="宋体" w:cs="宋体"/>
                <w:color w:val="auto"/>
                <w:kern w:val="2"/>
                <w:szCs w:val="21"/>
                <w:highlight w:val="none"/>
              </w:rPr>
            </w:pPr>
            <w:r>
              <w:rPr>
                <w:rFonts w:hint="eastAsia" w:ascii="宋体" w:hAnsi="宋体" w:cs="宋体"/>
                <w:color w:val="auto"/>
                <w:kern w:val="2"/>
                <w:szCs w:val="21"/>
                <w:highlight w:val="none"/>
              </w:rPr>
              <w:t>序号</w:t>
            </w:r>
          </w:p>
        </w:tc>
        <w:tc>
          <w:tcPr>
            <w:tcW w:w="1690" w:type="dxa"/>
            <w:vAlign w:val="center"/>
          </w:tcPr>
          <w:p>
            <w:pPr>
              <w:widowControl w:val="0"/>
              <w:adjustRightInd/>
              <w:jc w:val="center"/>
              <w:rPr>
                <w:rFonts w:ascii="宋体" w:hAnsi="宋体" w:cs="宋体"/>
                <w:color w:val="auto"/>
                <w:kern w:val="2"/>
                <w:szCs w:val="21"/>
                <w:highlight w:val="none"/>
              </w:rPr>
            </w:pPr>
            <w:r>
              <w:rPr>
                <w:rFonts w:hint="eastAsia" w:ascii="宋体" w:hAnsi="宋体" w:cs="宋体"/>
                <w:color w:val="auto"/>
                <w:kern w:val="2"/>
                <w:szCs w:val="21"/>
                <w:highlight w:val="none"/>
              </w:rPr>
              <w:t>备品备件、易耗品名称及规格</w:t>
            </w:r>
          </w:p>
        </w:tc>
        <w:tc>
          <w:tcPr>
            <w:tcW w:w="2167" w:type="dxa"/>
            <w:vAlign w:val="center"/>
          </w:tcPr>
          <w:p>
            <w:pPr>
              <w:widowControl w:val="0"/>
              <w:adjustRightInd/>
              <w:jc w:val="center"/>
              <w:rPr>
                <w:rFonts w:ascii="宋体" w:hAnsi="宋体" w:cs="宋体"/>
                <w:color w:val="auto"/>
                <w:kern w:val="2"/>
                <w:szCs w:val="21"/>
                <w:highlight w:val="none"/>
              </w:rPr>
            </w:pPr>
            <w:r>
              <w:rPr>
                <w:rFonts w:hint="eastAsia" w:ascii="宋体" w:hAnsi="宋体" w:cs="宋体"/>
                <w:color w:val="auto"/>
                <w:kern w:val="2"/>
                <w:szCs w:val="21"/>
                <w:highlight w:val="none"/>
              </w:rPr>
              <w:t>备品备件、易耗品所属设备（部件）名称</w:t>
            </w:r>
          </w:p>
        </w:tc>
        <w:tc>
          <w:tcPr>
            <w:tcW w:w="1029" w:type="dxa"/>
            <w:vAlign w:val="center"/>
          </w:tcPr>
          <w:p>
            <w:pPr>
              <w:widowControl w:val="0"/>
              <w:adjustRightInd/>
              <w:jc w:val="center"/>
              <w:rPr>
                <w:rFonts w:ascii="宋体" w:hAnsi="宋体" w:cs="宋体"/>
                <w:color w:val="auto"/>
                <w:kern w:val="2"/>
                <w:szCs w:val="21"/>
                <w:highlight w:val="none"/>
              </w:rPr>
            </w:pPr>
            <w:r>
              <w:rPr>
                <w:rFonts w:hint="eastAsia" w:ascii="宋体" w:hAnsi="宋体" w:cs="宋体"/>
                <w:color w:val="auto"/>
                <w:kern w:val="2"/>
                <w:szCs w:val="21"/>
                <w:highlight w:val="none"/>
              </w:rPr>
              <w:t>产地</w:t>
            </w:r>
          </w:p>
        </w:tc>
        <w:tc>
          <w:tcPr>
            <w:tcW w:w="1085" w:type="dxa"/>
            <w:vAlign w:val="center"/>
          </w:tcPr>
          <w:p>
            <w:pPr>
              <w:widowControl w:val="0"/>
              <w:adjustRightInd/>
              <w:jc w:val="center"/>
              <w:rPr>
                <w:rFonts w:ascii="宋体" w:hAnsi="宋体" w:cs="宋体"/>
                <w:color w:val="auto"/>
                <w:kern w:val="2"/>
                <w:szCs w:val="21"/>
                <w:highlight w:val="none"/>
              </w:rPr>
            </w:pPr>
            <w:r>
              <w:rPr>
                <w:rFonts w:hint="eastAsia" w:ascii="宋体" w:hAnsi="宋体" w:cs="宋体"/>
                <w:color w:val="auto"/>
                <w:kern w:val="2"/>
                <w:szCs w:val="21"/>
                <w:highlight w:val="none"/>
              </w:rPr>
              <w:t>单价</w:t>
            </w:r>
          </w:p>
        </w:tc>
        <w:tc>
          <w:tcPr>
            <w:tcW w:w="890" w:type="dxa"/>
            <w:vAlign w:val="center"/>
          </w:tcPr>
          <w:p>
            <w:pPr>
              <w:widowControl w:val="0"/>
              <w:adjustRightInd/>
              <w:jc w:val="center"/>
              <w:rPr>
                <w:rFonts w:ascii="宋体" w:hAnsi="宋体" w:cs="宋体"/>
                <w:color w:val="auto"/>
                <w:kern w:val="2"/>
                <w:szCs w:val="21"/>
                <w:highlight w:val="none"/>
              </w:rPr>
            </w:pPr>
            <w:r>
              <w:rPr>
                <w:rFonts w:hint="eastAsia" w:ascii="宋体" w:hAnsi="宋体" w:cs="宋体"/>
                <w:color w:val="auto"/>
                <w:kern w:val="2"/>
                <w:szCs w:val="21"/>
                <w:highlight w:val="none"/>
              </w:rPr>
              <w:t>数量</w:t>
            </w:r>
          </w:p>
        </w:tc>
        <w:tc>
          <w:tcPr>
            <w:tcW w:w="1396" w:type="dxa"/>
            <w:vAlign w:val="center"/>
          </w:tcPr>
          <w:p>
            <w:pPr>
              <w:widowControl w:val="0"/>
              <w:adjustRightInd/>
              <w:jc w:val="center"/>
              <w:rPr>
                <w:rFonts w:ascii="宋体" w:hAnsi="宋体" w:cs="宋体"/>
                <w:color w:val="auto"/>
                <w:kern w:val="2"/>
                <w:szCs w:val="21"/>
                <w:highlight w:val="none"/>
              </w:rPr>
            </w:pPr>
            <w:r>
              <w:rPr>
                <w:rFonts w:hint="eastAsia" w:ascii="宋体" w:hAnsi="宋体" w:cs="宋体"/>
                <w:color w:val="auto"/>
                <w:kern w:val="2"/>
                <w:szCs w:val="21"/>
                <w:highlight w:val="none"/>
              </w:rPr>
              <w:t>总价=单价×数量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740" w:type="dxa"/>
          </w:tcPr>
          <w:p>
            <w:pPr>
              <w:widowControl w:val="0"/>
              <w:adjustRightInd/>
              <w:jc w:val="both"/>
              <w:rPr>
                <w:rFonts w:ascii="宋体" w:hAnsi="宋体" w:cs="宋体"/>
                <w:color w:val="auto"/>
                <w:kern w:val="2"/>
                <w:szCs w:val="21"/>
                <w:highlight w:val="none"/>
              </w:rPr>
            </w:pPr>
          </w:p>
        </w:tc>
        <w:tc>
          <w:tcPr>
            <w:tcW w:w="1690" w:type="dxa"/>
          </w:tcPr>
          <w:p>
            <w:pPr>
              <w:widowControl w:val="0"/>
              <w:adjustRightInd/>
              <w:jc w:val="both"/>
              <w:rPr>
                <w:rFonts w:ascii="宋体" w:hAnsi="宋体" w:cs="宋体"/>
                <w:color w:val="auto"/>
                <w:kern w:val="2"/>
                <w:szCs w:val="21"/>
                <w:highlight w:val="none"/>
              </w:rPr>
            </w:pPr>
          </w:p>
        </w:tc>
        <w:tc>
          <w:tcPr>
            <w:tcW w:w="2167" w:type="dxa"/>
          </w:tcPr>
          <w:p>
            <w:pPr>
              <w:widowControl w:val="0"/>
              <w:adjustRightInd/>
              <w:jc w:val="both"/>
              <w:rPr>
                <w:rFonts w:ascii="宋体" w:hAnsi="宋体" w:cs="宋体"/>
                <w:color w:val="auto"/>
                <w:kern w:val="2"/>
                <w:szCs w:val="21"/>
                <w:highlight w:val="none"/>
              </w:rPr>
            </w:pPr>
          </w:p>
        </w:tc>
        <w:tc>
          <w:tcPr>
            <w:tcW w:w="1029" w:type="dxa"/>
          </w:tcPr>
          <w:p>
            <w:pPr>
              <w:widowControl w:val="0"/>
              <w:adjustRightInd/>
              <w:jc w:val="both"/>
              <w:rPr>
                <w:rFonts w:ascii="宋体" w:hAnsi="宋体" w:cs="宋体"/>
                <w:color w:val="auto"/>
                <w:kern w:val="2"/>
                <w:szCs w:val="21"/>
                <w:highlight w:val="none"/>
              </w:rPr>
            </w:pPr>
          </w:p>
        </w:tc>
        <w:tc>
          <w:tcPr>
            <w:tcW w:w="1085" w:type="dxa"/>
          </w:tcPr>
          <w:p>
            <w:pPr>
              <w:widowControl w:val="0"/>
              <w:adjustRightInd/>
              <w:jc w:val="both"/>
              <w:rPr>
                <w:rFonts w:ascii="宋体" w:hAnsi="宋体" w:cs="宋体"/>
                <w:color w:val="auto"/>
                <w:kern w:val="2"/>
                <w:szCs w:val="21"/>
                <w:highlight w:val="none"/>
              </w:rPr>
            </w:pPr>
          </w:p>
        </w:tc>
        <w:tc>
          <w:tcPr>
            <w:tcW w:w="890" w:type="dxa"/>
          </w:tcPr>
          <w:p>
            <w:pPr>
              <w:widowControl w:val="0"/>
              <w:adjustRightInd/>
              <w:jc w:val="both"/>
              <w:rPr>
                <w:rFonts w:ascii="宋体" w:hAnsi="宋体" w:cs="宋体"/>
                <w:color w:val="auto"/>
                <w:kern w:val="2"/>
                <w:szCs w:val="21"/>
                <w:highlight w:val="none"/>
              </w:rPr>
            </w:pPr>
          </w:p>
        </w:tc>
        <w:tc>
          <w:tcPr>
            <w:tcW w:w="1396" w:type="dxa"/>
          </w:tcPr>
          <w:p>
            <w:pPr>
              <w:widowControl w:val="0"/>
              <w:adjustRightInd/>
              <w:jc w:val="both"/>
              <w:rPr>
                <w:rFonts w:ascii="宋体" w:hAnsi="宋体" w:cs="宋体"/>
                <w:color w:val="auto"/>
                <w:kern w:val="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740" w:type="dxa"/>
          </w:tcPr>
          <w:p>
            <w:pPr>
              <w:widowControl w:val="0"/>
              <w:adjustRightInd/>
              <w:jc w:val="both"/>
              <w:rPr>
                <w:rFonts w:ascii="宋体" w:hAnsi="宋体" w:cs="宋体"/>
                <w:color w:val="auto"/>
                <w:kern w:val="2"/>
                <w:szCs w:val="21"/>
                <w:highlight w:val="none"/>
              </w:rPr>
            </w:pPr>
          </w:p>
        </w:tc>
        <w:tc>
          <w:tcPr>
            <w:tcW w:w="1690" w:type="dxa"/>
          </w:tcPr>
          <w:p>
            <w:pPr>
              <w:widowControl w:val="0"/>
              <w:adjustRightInd/>
              <w:jc w:val="both"/>
              <w:rPr>
                <w:rFonts w:ascii="宋体" w:hAnsi="宋体" w:cs="宋体"/>
                <w:color w:val="auto"/>
                <w:kern w:val="2"/>
                <w:szCs w:val="21"/>
                <w:highlight w:val="none"/>
              </w:rPr>
            </w:pPr>
          </w:p>
        </w:tc>
        <w:tc>
          <w:tcPr>
            <w:tcW w:w="2167" w:type="dxa"/>
          </w:tcPr>
          <w:p>
            <w:pPr>
              <w:widowControl w:val="0"/>
              <w:adjustRightInd/>
              <w:jc w:val="both"/>
              <w:rPr>
                <w:rFonts w:ascii="宋体" w:hAnsi="宋体" w:cs="宋体"/>
                <w:color w:val="auto"/>
                <w:kern w:val="2"/>
                <w:szCs w:val="21"/>
                <w:highlight w:val="none"/>
              </w:rPr>
            </w:pPr>
          </w:p>
        </w:tc>
        <w:tc>
          <w:tcPr>
            <w:tcW w:w="1029" w:type="dxa"/>
          </w:tcPr>
          <w:p>
            <w:pPr>
              <w:widowControl w:val="0"/>
              <w:adjustRightInd/>
              <w:jc w:val="both"/>
              <w:rPr>
                <w:rFonts w:ascii="宋体" w:hAnsi="宋体" w:cs="宋体"/>
                <w:color w:val="auto"/>
                <w:kern w:val="2"/>
                <w:szCs w:val="21"/>
                <w:highlight w:val="none"/>
              </w:rPr>
            </w:pPr>
          </w:p>
        </w:tc>
        <w:tc>
          <w:tcPr>
            <w:tcW w:w="1085" w:type="dxa"/>
          </w:tcPr>
          <w:p>
            <w:pPr>
              <w:widowControl w:val="0"/>
              <w:adjustRightInd/>
              <w:jc w:val="both"/>
              <w:rPr>
                <w:rFonts w:ascii="宋体" w:hAnsi="宋体" w:cs="宋体"/>
                <w:color w:val="auto"/>
                <w:kern w:val="2"/>
                <w:szCs w:val="21"/>
                <w:highlight w:val="none"/>
              </w:rPr>
            </w:pPr>
          </w:p>
        </w:tc>
        <w:tc>
          <w:tcPr>
            <w:tcW w:w="890" w:type="dxa"/>
          </w:tcPr>
          <w:p>
            <w:pPr>
              <w:widowControl w:val="0"/>
              <w:adjustRightInd/>
              <w:jc w:val="both"/>
              <w:rPr>
                <w:rFonts w:ascii="宋体" w:hAnsi="宋体" w:cs="宋体"/>
                <w:color w:val="auto"/>
                <w:kern w:val="2"/>
                <w:szCs w:val="21"/>
                <w:highlight w:val="none"/>
              </w:rPr>
            </w:pPr>
          </w:p>
        </w:tc>
        <w:tc>
          <w:tcPr>
            <w:tcW w:w="1396" w:type="dxa"/>
          </w:tcPr>
          <w:p>
            <w:pPr>
              <w:widowControl w:val="0"/>
              <w:adjustRightInd/>
              <w:jc w:val="both"/>
              <w:rPr>
                <w:rFonts w:ascii="宋体" w:hAnsi="宋体" w:cs="宋体"/>
                <w:color w:val="auto"/>
                <w:kern w:val="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740" w:type="dxa"/>
          </w:tcPr>
          <w:p>
            <w:pPr>
              <w:widowControl w:val="0"/>
              <w:adjustRightInd/>
              <w:jc w:val="both"/>
              <w:rPr>
                <w:rFonts w:ascii="宋体" w:hAnsi="宋体" w:cs="宋体"/>
                <w:color w:val="auto"/>
                <w:kern w:val="2"/>
                <w:szCs w:val="21"/>
                <w:highlight w:val="none"/>
              </w:rPr>
            </w:pPr>
          </w:p>
        </w:tc>
        <w:tc>
          <w:tcPr>
            <w:tcW w:w="1690" w:type="dxa"/>
          </w:tcPr>
          <w:p>
            <w:pPr>
              <w:widowControl w:val="0"/>
              <w:adjustRightInd/>
              <w:jc w:val="both"/>
              <w:rPr>
                <w:rFonts w:ascii="宋体" w:hAnsi="宋体" w:cs="宋体"/>
                <w:color w:val="auto"/>
                <w:kern w:val="2"/>
                <w:szCs w:val="21"/>
                <w:highlight w:val="none"/>
              </w:rPr>
            </w:pPr>
          </w:p>
        </w:tc>
        <w:tc>
          <w:tcPr>
            <w:tcW w:w="2167" w:type="dxa"/>
          </w:tcPr>
          <w:p>
            <w:pPr>
              <w:widowControl w:val="0"/>
              <w:adjustRightInd/>
              <w:jc w:val="both"/>
              <w:rPr>
                <w:rFonts w:ascii="宋体" w:hAnsi="宋体" w:cs="宋体"/>
                <w:color w:val="auto"/>
                <w:kern w:val="2"/>
                <w:szCs w:val="21"/>
                <w:highlight w:val="none"/>
              </w:rPr>
            </w:pPr>
          </w:p>
        </w:tc>
        <w:tc>
          <w:tcPr>
            <w:tcW w:w="1029" w:type="dxa"/>
          </w:tcPr>
          <w:p>
            <w:pPr>
              <w:widowControl w:val="0"/>
              <w:adjustRightInd/>
              <w:jc w:val="both"/>
              <w:rPr>
                <w:rFonts w:ascii="宋体" w:hAnsi="宋体" w:cs="宋体"/>
                <w:color w:val="auto"/>
                <w:kern w:val="2"/>
                <w:szCs w:val="21"/>
                <w:highlight w:val="none"/>
              </w:rPr>
            </w:pPr>
          </w:p>
        </w:tc>
        <w:tc>
          <w:tcPr>
            <w:tcW w:w="1085" w:type="dxa"/>
          </w:tcPr>
          <w:p>
            <w:pPr>
              <w:widowControl w:val="0"/>
              <w:adjustRightInd/>
              <w:jc w:val="both"/>
              <w:rPr>
                <w:rFonts w:ascii="宋体" w:hAnsi="宋体" w:cs="宋体"/>
                <w:color w:val="auto"/>
                <w:kern w:val="2"/>
                <w:szCs w:val="21"/>
                <w:highlight w:val="none"/>
              </w:rPr>
            </w:pPr>
          </w:p>
        </w:tc>
        <w:tc>
          <w:tcPr>
            <w:tcW w:w="890" w:type="dxa"/>
          </w:tcPr>
          <w:p>
            <w:pPr>
              <w:widowControl w:val="0"/>
              <w:adjustRightInd/>
              <w:jc w:val="both"/>
              <w:rPr>
                <w:rFonts w:ascii="宋体" w:hAnsi="宋体" w:cs="宋体"/>
                <w:color w:val="auto"/>
                <w:kern w:val="2"/>
                <w:szCs w:val="21"/>
                <w:highlight w:val="none"/>
              </w:rPr>
            </w:pPr>
          </w:p>
        </w:tc>
        <w:tc>
          <w:tcPr>
            <w:tcW w:w="1396" w:type="dxa"/>
          </w:tcPr>
          <w:p>
            <w:pPr>
              <w:widowControl w:val="0"/>
              <w:adjustRightInd/>
              <w:jc w:val="both"/>
              <w:rPr>
                <w:rFonts w:ascii="宋体" w:hAnsi="宋体" w:cs="宋体"/>
                <w:color w:val="auto"/>
                <w:kern w:val="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740" w:type="dxa"/>
          </w:tcPr>
          <w:p>
            <w:pPr>
              <w:widowControl w:val="0"/>
              <w:adjustRightInd/>
              <w:jc w:val="both"/>
              <w:rPr>
                <w:rFonts w:ascii="宋体" w:hAnsi="宋体" w:cs="宋体"/>
                <w:color w:val="auto"/>
                <w:kern w:val="2"/>
                <w:szCs w:val="21"/>
                <w:highlight w:val="none"/>
              </w:rPr>
            </w:pPr>
          </w:p>
        </w:tc>
        <w:tc>
          <w:tcPr>
            <w:tcW w:w="1690" w:type="dxa"/>
          </w:tcPr>
          <w:p>
            <w:pPr>
              <w:widowControl w:val="0"/>
              <w:adjustRightInd/>
              <w:jc w:val="both"/>
              <w:rPr>
                <w:rFonts w:ascii="宋体" w:hAnsi="宋体" w:cs="宋体"/>
                <w:color w:val="auto"/>
                <w:kern w:val="2"/>
                <w:szCs w:val="21"/>
                <w:highlight w:val="none"/>
              </w:rPr>
            </w:pPr>
          </w:p>
        </w:tc>
        <w:tc>
          <w:tcPr>
            <w:tcW w:w="2167" w:type="dxa"/>
          </w:tcPr>
          <w:p>
            <w:pPr>
              <w:widowControl w:val="0"/>
              <w:adjustRightInd/>
              <w:jc w:val="both"/>
              <w:rPr>
                <w:rFonts w:ascii="宋体" w:hAnsi="宋体" w:cs="宋体"/>
                <w:color w:val="auto"/>
                <w:kern w:val="2"/>
                <w:szCs w:val="21"/>
                <w:highlight w:val="none"/>
              </w:rPr>
            </w:pPr>
          </w:p>
        </w:tc>
        <w:tc>
          <w:tcPr>
            <w:tcW w:w="1029" w:type="dxa"/>
          </w:tcPr>
          <w:p>
            <w:pPr>
              <w:widowControl w:val="0"/>
              <w:adjustRightInd/>
              <w:jc w:val="both"/>
              <w:rPr>
                <w:rFonts w:ascii="宋体" w:hAnsi="宋体" w:cs="宋体"/>
                <w:color w:val="auto"/>
                <w:kern w:val="2"/>
                <w:szCs w:val="21"/>
                <w:highlight w:val="none"/>
              </w:rPr>
            </w:pPr>
          </w:p>
        </w:tc>
        <w:tc>
          <w:tcPr>
            <w:tcW w:w="1085" w:type="dxa"/>
          </w:tcPr>
          <w:p>
            <w:pPr>
              <w:widowControl w:val="0"/>
              <w:adjustRightInd/>
              <w:jc w:val="both"/>
              <w:rPr>
                <w:rFonts w:ascii="宋体" w:hAnsi="宋体" w:cs="宋体"/>
                <w:color w:val="auto"/>
                <w:kern w:val="2"/>
                <w:szCs w:val="21"/>
                <w:highlight w:val="none"/>
              </w:rPr>
            </w:pPr>
          </w:p>
        </w:tc>
        <w:tc>
          <w:tcPr>
            <w:tcW w:w="890" w:type="dxa"/>
          </w:tcPr>
          <w:p>
            <w:pPr>
              <w:widowControl w:val="0"/>
              <w:adjustRightInd/>
              <w:jc w:val="both"/>
              <w:rPr>
                <w:rFonts w:ascii="宋体" w:hAnsi="宋体" w:cs="宋体"/>
                <w:color w:val="auto"/>
                <w:kern w:val="2"/>
                <w:szCs w:val="21"/>
                <w:highlight w:val="none"/>
              </w:rPr>
            </w:pPr>
          </w:p>
        </w:tc>
        <w:tc>
          <w:tcPr>
            <w:tcW w:w="1396" w:type="dxa"/>
          </w:tcPr>
          <w:p>
            <w:pPr>
              <w:widowControl w:val="0"/>
              <w:adjustRightInd/>
              <w:jc w:val="both"/>
              <w:rPr>
                <w:rFonts w:ascii="宋体" w:hAnsi="宋体" w:cs="宋体"/>
                <w:color w:val="auto"/>
                <w:kern w:val="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740" w:type="dxa"/>
          </w:tcPr>
          <w:p>
            <w:pPr>
              <w:widowControl w:val="0"/>
              <w:adjustRightInd/>
              <w:jc w:val="both"/>
              <w:rPr>
                <w:rFonts w:ascii="宋体" w:hAnsi="宋体" w:cs="宋体"/>
                <w:color w:val="auto"/>
                <w:kern w:val="2"/>
                <w:szCs w:val="21"/>
                <w:highlight w:val="none"/>
              </w:rPr>
            </w:pPr>
          </w:p>
        </w:tc>
        <w:tc>
          <w:tcPr>
            <w:tcW w:w="1690" w:type="dxa"/>
          </w:tcPr>
          <w:p>
            <w:pPr>
              <w:widowControl w:val="0"/>
              <w:adjustRightInd/>
              <w:jc w:val="both"/>
              <w:rPr>
                <w:rFonts w:ascii="宋体" w:hAnsi="宋体" w:cs="宋体"/>
                <w:color w:val="auto"/>
                <w:kern w:val="2"/>
                <w:szCs w:val="21"/>
                <w:highlight w:val="none"/>
              </w:rPr>
            </w:pPr>
          </w:p>
        </w:tc>
        <w:tc>
          <w:tcPr>
            <w:tcW w:w="2167" w:type="dxa"/>
          </w:tcPr>
          <w:p>
            <w:pPr>
              <w:widowControl w:val="0"/>
              <w:adjustRightInd/>
              <w:jc w:val="both"/>
              <w:rPr>
                <w:rFonts w:ascii="宋体" w:hAnsi="宋体" w:cs="宋体"/>
                <w:color w:val="auto"/>
                <w:kern w:val="2"/>
                <w:szCs w:val="21"/>
                <w:highlight w:val="none"/>
              </w:rPr>
            </w:pPr>
          </w:p>
        </w:tc>
        <w:tc>
          <w:tcPr>
            <w:tcW w:w="1029" w:type="dxa"/>
          </w:tcPr>
          <w:p>
            <w:pPr>
              <w:widowControl w:val="0"/>
              <w:adjustRightInd/>
              <w:jc w:val="both"/>
              <w:rPr>
                <w:rFonts w:ascii="宋体" w:hAnsi="宋体" w:cs="宋体"/>
                <w:color w:val="auto"/>
                <w:kern w:val="2"/>
                <w:szCs w:val="21"/>
                <w:highlight w:val="none"/>
              </w:rPr>
            </w:pPr>
          </w:p>
        </w:tc>
        <w:tc>
          <w:tcPr>
            <w:tcW w:w="1085" w:type="dxa"/>
          </w:tcPr>
          <w:p>
            <w:pPr>
              <w:widowControl w:val="0"/>
              <w:adjustRightInd/>
              <w:jc w:val="both"/>
              <w:rPr>
                <w:rFonts w:ascii="宋体" w:hAnsi="宋体" w:cs="宋体"/>
                <w:color w:val="auto"/>
                <w:kern w:val="2"/>
                <w:szCs w:val="21"/>
                <w:highlight w:val="none"/>
              </w:rPr>
            </w:pPr>
          </w:p>
        </w:tc>
        <w:tc>
          <w:tcPr>
            <w:tcW w:w="890" w:type="dxa"/>
          </w:tcPr>
          <w:p>
            <w:pPr>
              <w:widowControl w:val="0"/>
              <w:adjustRightInd/>
              <w:jc w:val="both"/>
              <w:rPr>
                <w:rFonts w:ascii="宋体" w:hAnsi="宋体" w:cs="宋体"/>
                <w:color w:val="auto"/>
                <w:kern w:val="2"/>
                <w:szCs w:val="21"/>
                <w:highlight w:val="none"/>
              </w:rPr>
            </w:pPr>
          </w:p>
        </w:tc>
        <w:tc>
          <w:tcPr>
            <w:tcW w:w="1396" w:type="dxa"/>
          </w:tcPr>
          <w:p>
            <w:pPr>
              <w:widowControl w:val="0"/>
              <w:adjustRightInd/>
              <w:jc w:val="both"/>
              <w:rPr>
                <w:rFonts w:ascii="宋体" w:hAnsi="宋体" w:cs="宋体"/>
                <w:color w:val="auto"/>
                <w:kern w:val="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447" w:hRule="atLeast"/>
          <w:jc w:val="center"/>
        </w:trPr>
        <w:tc>
          <w:tcPr>
            <w:tcW w:w="7601" w:type="dxa"/>
            <w:gridSpan w:val="6"/>
            <w:vAlign w:val="center"/>
          </w:tcPr>
          <w:p>
            <w:pPr>
              <w:widowControl w:val="0"/>
              <w:adjustRightInd/>
              <w:jc w:val="center"/>
              <w:rPr>
                <w:rFonts w:ascii="宋体" w:hAnsi="宋体" w:cs="宋体"/>
                <w:color w:val="auto"/>
                <w:kern w:val="2"/>
                <w:szCs w:val="21"/>
                <w:highlight w:val="none"/>
              </w:rPr>
            </w:pPr>
            <w:r>
              <w:rPr>
                <w:rFonts w:hint="eastAsia" w:ascii="宋体" w:hAnsi="宋体" w:cs="宋体"/>
                <w:color w:val="auto"/>
                <w:kern w:val="2"/>
                <w:szCs w:val="21"/>
                <w:highlight w:val="none"/>
              </w:rPr>
              <w:t>合计</w:t>
            </w:r>
          </w:p>
        </w:tc>
        <w:tc>
          <w:tcPr>
            <w:tcW w:w="1396" w:type="dxa"/>
          </w:tcPr>
          <w:p>
            <w:pPr>
              <w:widowControl w:val="0"/>
              <w:adjustRightInd/>
              <w:jc w:val="both"/>
              <w:rPr>
                <w:rFonts w:ascii="宋体" w:hAnsi="宋体" w:cs="宋体"/>
                <w:color w:val="auto"/>
                <w:kern w:val="2"/>
                <w:szCs w:val="21"/>
                <w:highlight w:val="none"/>
              </w:rPr>
            </w:pPr>
          </w:p>
        </w:tc>
      </w:tr>
    </w:tbl>
    <w:p>
      <w:pPr>
        <w:widowControl w:val="0"/>
        <w:adjustRightInd/>
        <w:jc w:val="center"/>
        <w:rPr>
          <w:rFonts w:ascii="宋体" w:hAnsi="宋体" w:cs="宋体"/>
          <w:color w:val="auto"/>
          <w:kern w:val="2"/>
          <w:szCs w:val="21"/>
          <w:highlight w:val="none"/>
        </w:rPr>
      </w:pPr>
    </w:p>
    <w:p>
      <w:pPr>
        <w:widowControl w:val="0"/>
        <w:adjustRightInd/>
        <w:jc w:val="center"/>
        <w:rPr>
          <w:rFonts w:ascii="宋体" w:hAnsi="宋体" w:cs="宋体"/>
          <w:color w:val="auto"/>
          <w:kern w:val="2"/>
          <w:szCs w:val="21"/>
          <w:highlight w:val="none"/>
        </w:rPr>
      </w:pPr>
    </w:p>
    <w:p>
      <w:pPr>
        <w:pStyle w:val="11"/>
        <w:adjustRightInd/>
        <w:snapToGrid/>
        <w:spacing w:line="24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注：（1） 质保期内的所有备品、备件费用均应列入本表。</w:t>
      </w:r>
    </w:p>
    <w:p>
      <w:pPr>
        <w:pStyle w:val="11"/>
        <w:adjustRightInd/>
        <w:snapToGrid/>
        <w:spacing w:line="24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（2） 所有价格均用人民币（RMB）元表示。</w:t>
      </w:r>
    </w:p>
    <w:p>
      <w:pPr>
        <w:pStyle w:val="11"/>
        <w:adjustRightInd/>
        <w:snapToGrid/>
        <w:spacing w:line="240" w:lineRule="auto"/>
        <w:ind w:left="441" w:leftChars="210" w:firstLine="315" w:firstLineChars="150"/>
        <w:rPr>
          <w:rFonts w:ascii="宋体" w:hAnsi="宋体" w:cs="宋体"/>
          <w:color w:val="auto"/>
          <w:szCs w:val="21"/>
          <w:highlight w:val="none"/>
        </w:rPr>
      </w:pPr>
      <w:r>
        <w:rPr>
          <w:rFonts w:hint="eastAsia" w:ascii="宋体" w:hAnsi="宋体" w:cs="宋体"/>
          <w:color w:val="auto"/>
          <w:szCs w:val="21"/>
          <w:highlight w:val="none"/>
        </w:rPr>
        <w:t>（3） 如果在质保期内，表内列明的备品、备件没有用完，剩余的备品、备件归采购人所有；如果在设备正常使用的情况下，表内列明的备品、备件不够使用，不够部分由中标人提供并承担费用。</w:t>
      </w:r>
    </w:p>
    <w:p>
      <w:pPr>
        <w:pStyle w:val="11"/>
        <w:adjustRightInd/>
        <w:snapToGrid/>
        <w:spacing w:line="24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（4） 本表的合计价格应转入表1备品备件中。</w:t>
      </w:r>
    </w:p>
    <w:p>
      <w:pPr>
        <w:widowControl w:val="0"/>
        <w:adjustRightInd/>
        <w:jc w:val="both"/>
        <w:rPr>
          <w:rFonts w:ascii="宋体" w:hAnsi="宋体" w:cs="宋体"/>
          <w:color w:val="auto"/>
          <w:kern w:val="2"/>
          <w:szCs w:val="21"/>
          <w:highlight w:val="none"/>
        </w:rPr>
      </w:pPr>
    </w:p>
    <w:p>
      <w:pPr>
        <w:autoSpaceDE w:val="0"/>
        <w:autoSpaceDN w:val="0"/>
        <w:adjustRightInd/>
        <w:snapToGrid/>
        <w:ind w:right="893"/>
        <w:jc w:val="both"/>
        <w:textAlignment w:val="bottom"/>
        <w:rPr>
          <w:rFonts w:ascii="宋体" w:hAnsi="宋体" w:cs="宋体"/>
          <w:color w:val="auto"/>
          <w:kern w:val="2"/>
          <w:szCs w:val="21"/>
          <w:highlight w:val="none"/>
        </w:rPr>
      </w:pPr>
      <w:r>
        <w:rPr>
          <w:rFonts w:hint="eastAsia" w:ascii="宋体" w:hAnsi="宋体" w:cs="宋体"/>
          <w:color w:val="auto"/>
          <w:kern w:val="2"/>
          <w:szCs w:val="21"/>
          <w:highlight w:val="none"/>
        </w:rPr>
        <w:t>投标人法定代表人或其委托人签字或盖私章： _____________</w:t>
      </w:r>
    </w:p>
    <w:p>
      <w:pPr>
        <w:widowControl w:val="0"/>
        <w:adjustRightInd/>
        <w:snapToGrid/>
        <w:jc w:val="both"/>
        <w:rPr>
          <w:rFonts w:ascii="宋体" w:hAnsi="宋体" w:cs="宋体"/>
          <w:color w:val="auto"/>
          <w:kern w:val="2"/>
          <w:szCs w:val="21"/>
          <w:highlight w:val="none"/>
        </w:rPr>
      </w:pPr>
      <w:r>
        <w:rPr>
          <w:rFonts w:hint="eastAsia" w:ascii="宋体" w:hAnsi="宋体" w:cs="宋体"/>
          <w:color w:val="auto"/>
          <w:kern w:val="2"/>
          <w:szCs w:val="21"/>
          <w:highlight w:val="none"/>
        </w:rPr>
        <w:t>日  期：</w:t>
      </w:r>
    </w:p>
    <w:p>
      <w:pPr>
        <w:widowControl w:val="0"/>
        <w:adjustRightInd/>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widowControl w:val="0"/>
        <w:jc w:val="both"/>
        <w:rPr>
          <w:rFonts w:ascii="宋体" w:hAnsi="宋体" w:cs="宋体"/>
          <w:color w:val="auto"/>
          <w:kern w:val="2"/>
          <w:szCs w:val="21"/>
          <w:highlight w:val="none"/>
        </w:rPr>
      </w:pPr>
    </w:p>
    <w:p>
      <w:pPr>
        <w:keepNext/>
        <w:keepLines/>
        <w:spacing w:before="180" w:beforeLines="50" w:after="180" w:afterLines="50" w:line="360" w:lineRule="exact"/>
        <w:jc w:val="center"/>
        <w:outlineLvl w:val="1"/>
        <w:rPr>
          <w:rFonts w:ascii="黑体" w:eastAsia="黑体"/>
          <w:color w:val="auto"/>
          <w:sz w:val="32"/>
          <w:szCs w:val="32"/>
          <w:highlight w:val="none"/>
        </w:rPr>
      </w:pPr>
      <w:bookmarkStart w:id="934" w:name="_Toc19954"/>
      <w:bookmarkStart w:id="935" w:name="_Toc39154307"/>
      <w:bookmarkStart w:id="936" w:name="_Toc2329"/>
      <w:bookmarkStart w:id="937" w:name="_Toc21697"/>
      <w:bookmarkStart w:id="938" w:name="_Toc14031"/>
      <w:bookmarkStart w:id="939" w:name="_Toc8217"/>
      <w:r>
        <w:rPr>
          <w:rFonts w:hint="eastAsia" w:ascii="黑体" w:eastAsia="黑体"/>
          <w:color w:val="auto"/>
          <w:sz w:val="32"/>
          <w:szCs w:val="32"/>
          <w:highlight w:val="none"/>
        </w:rPr>
        <w:t>7、质保期满后所需的备品、备件报价表</w:t>
      </w:r>
      <w:bookmarkEnd w:id="934"/>
      <w:bookmarkEnd w:id="935"/>
      <w:bookmarkEnd w:id="936"/>
      <w:bookmarkEnd w:id="937"/>
      <w:r>
        <w:rPr>
          <w:rFonts w:hint="eastAsia" w:ascii="黑体" w:eastAsia="黑体"/>
          <w:color w:val="auto"/>
          <w:sz w:val="32"/>
          <w:szCs w:val="32"/>
          <w:highlight w:val="none"/>
        </w:rPr>
        <w:t xml:space="preserve">  包组号（ ）</w:t>
      </w:r>
      <w:bookmarkEnd w:id="938"/>
      <w:bookmarkEnd w:id="939"/>
    </w:p>
    <w:p>
      <w:pPr>
        <w:widowControl w:val="0"/>
        <w:adjustRightInd/>
        <w:snapToGrid/>
        <w:spacing w:line="240" w:lineRule="auto"/>
        <w:ind w:left="425"/>
        <w:jc w:val="both"/>
        <w:rPr>
          <w:rFonts w:ascii="宋体" w:hAnsi="宋体" w:cs="宋体"/>
          <w:color w:val="auto"/>
          <w:kern w:val="2"/>
          <w:szCs w:val="21"/>
          <w:highlight w:val="none"/>
        </w:rPr>
      </w:pPr>
    </w:p>
    <w:p>
      <w:pPr>
        <w:widowControl w:val="0"/>
        <w:tabs>
          <w:tab w:val="left" w:pos="1135"/>
        </w:tabs>
        <w:adjustRightInd/>
        <w:jc w:val="both"/>
        <w:rPr>
          <w:rFonts w:ascii="宋体" w:hAnsi="宋体" w:cs="宋体"/>
          <w:color w:val="auto"/>
          <w:kern w:val="2"/>
          <w:szCs w:val="21"/>
          <w:highlight w:val="none"/>
        </w:rPr>
      </w:pPr>
      <w:r>
        <w:rPr>
          <w:rFonts w:hint="eastAsia" w:ascii="宋体" w:hAnsi="宋体" w:cs="宋体"/>
          <w:color w:val="auto"/>
          <w:kern w:val="2"/>
          <w:szCs w:val="21"/>
          <w:highlight w:val="none"/>
        </w:rPr>
        <w:t xml:space="preserve">投标人名称（公章）：                        招标编号： </w:t>
      </w:r>
    </w:p>
    <w:p>
      <w:pPr>
        <w:widowControl w:val="0"/>
        <w:tabs>
          <w:tab w:val="left" w:pos="1135"/>
        </w:tabs>
        <w:adjustRightInd/>
        <w:jc w:val="both"/>
        <w:rPr>
          <w:rFonts w:ascii="宋体" w:hAnsi="宋体" w:cs="宋体"/>
          <w:color w:val="auto"/>
          <w:kern w:val="2"/>
          <w:szCs w:val="21"/>
          <w:highlight w:val="none"/>
        </w:rPr>
      </w:pPr>
      <w:r>
        <w:rPr>
          <w:rFonts w:hint="eastAsia" w:ascii="宋体" w:hAnsi="宋体" w:cs="宋体"/>
          <w:color w:val="auto"/>
          <w:kern w:val="2"/>
          <w:szCs w:val="21"/>
          <w:highlight w:val="none"/>
        </w:rPr>
        <w:t>第   页/共   页</w:t>
      </w:r>
    </w:p>
    <w:p>
      <w:pPr>
        <w:widowControl w:val="0"/>
        <w:adjustRightInd/>
        <w:rPr>
          <w:rFonts w:ascii="宋体" w:hAnsi="宋体" w:cs="宋体"/>
          <w:color w:val="auto"/>
          <w:kern w:val="2"/>
          <w:szCs w:val="21"/>
          <w:highlight w:val="none"/>
        </w:rPr>
      </w:pPr>
    </w:p>
    <w:tbl>
      <w:tblPr>
        <w:tblStyle w:val="34"/>
        <w:tblW w:w="912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46"/>
        <w:gridCol w:w="3822"/>
        <w:gridCol w:w="1540"/>
        <w:gridCol w:w="1234"/>
        <w:gridCol w:w="15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834" w:hRule="atLeast"/>
          <w:jc w:val="center"/>
        </w:trPr>
        <w:tc>
          <w:tcPr>
            <w:tcW w:w="946" w:type="dxa"/>
            <w:tcBorders>
              <w:top w:val="single" w:color="auto" w:sz="12"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序号</w:t>
            </w:r>
          </w:p>
        </w:tc>
        <w:tc>
          <w:tcPr>
            <w:tcW w:w="3822" w:type="dxa"/>
            <w:tcBorders>
              <w:top w:val="single" w:color="auto" w:sz="12"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备品、备件名称和规格型号</w:t>
            </w:r>
          </w:p>
        </w:tc>
        <w:tc>
          <w:tcPr>
            <w:tcW w:w="1540" w:type="dxa"/>
            <w:tcBorders>
              <w:top w:val="single" w:color="auto" w:sz="12"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数量</w:t>
            </w:r>
          </w:p>
        </w:tc>
        <w:tc>
          <w:tcPr>
            <w:tcW w:w="1234" w:type="dxa"/>
            <w:tcBorders>
              <w:top w:val="single" w:color="auto" w:sz="12"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单价</w:t>
            </w:r>
          </w:p>
        </w:tc>
        <w:tc>
          <w:tcPr>
            <w:tcW w:w="1584" w:type="dxa"/>
            <w:tcBorders>
              <w:top w:val="single" w:color="auto" w:sz="12" w:space="0"/>
            </w:tcBorders>
            <w:vAlign w:val="center"/>
          </w:tcPr>
          <w:p>
            <w:pPr>
              <w:widowControl w:val="0"/>
              <w:jc w:val="center"/>
              <w:rPr>
                <w:rFonts w:ascii="宋体" w:hAnsi="宋体" w:cs="宋体"/>
                <w:color w:val="auto"/>
                <w:kern w:val="2"/>
                <w:szCs w:val="21"/>
                <w:highlight w:val="none"/>
              </w:rPr>
            </w:pPr>
            <w:r>
              <w:rPr>
                <w:rFonts w:hint="eastAsia" w:ascii="宋体" w:hAnsi="宋体" w:cs="宋体"/>
                <w:color w:val="auto"/>
                <w:kern w:val="2"/>
                <w:szCs w:val="21"/>
                <w:highlight w:val="none"/>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83" w:hRule="exact"/>
          <w:jc w:val="center"/>
        </w:trPr>
        <w:tc>
          <w:tcPr>
            <w:tcW w:w="946"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3822" w:type="dxa"/>
            <w:tcBorders>
              <w:top w:val="single" w:color="auto" w:sz="6" w:space="0"/>
              <w:bottom w:val="single" w:color="auto" w:sz="6" w:space="0"/>
            </w:tcBorders>
            <w:vAlign w:val="center"/>
          </w:tcPr>
          <w:p>
            <w:pPr>
              <w:widowControl w:val="0"/>
              <w:jc w:val="both"/>
              <w:rPr>
                <w:rFonts w:ascii="宋体" w:hAnsi="宋体" w:cs="宋体"/>
                <w:color w:val="auto"/>
                <w:kern w:val="2"/>
                <w:szCs w:val="21"/>
                <w:highlight w:val="none"/>
              </w:rPr>
            </w:pPr>
          </w:p>
        </w:tc>
        <w:tc>
          <w:tcPr>
            <w:tcW w:w="154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234"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584"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03" w:hRule="exact"/>
          <w:jc w:val="center"/>
        </w:trPr>
        <w:tc>
          <w:tcPr>
            <w:tcW w:w="946"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1.1</w:t>
            </w:r>
          </w:p>
        </w:tc>
        <w:tc>
          <w:tcPr>
            <w:tcW w:w="3822"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w:t>
            </w:r>
          </w:p>
        </w:tc>
        <w:tc>
          <w:tcPr>
            <w:tcW w:w="154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234"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584"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97" w:hRule="exact"/>
          <w:jc w:val="center"/>
        </w:trPr>
        <w:tc>
          <w:tcPr>
            <w:tcW w:w="946"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3822"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w:t>
            </w:r>
          </w:p>
        </w:tc>
        <w:tc>
          <w:tcPr>
            <w:tcW w:w="154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234"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584"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97" w:hRule="exact"/>
          <w:jc w:val="center"/>
        </w:trPr>
        <w:tc>
          <w:tcPr>
            <w:tcW w:w="946"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3822"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54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234"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584"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97" w:hRule="exact"/>
          <w:jc w:val="center"/>
        </w:trPr>
        <w:tc>
          <w:tcPr>
            <w:tcW w:w="946"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3822"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备品、备件费小计</w:t>
            </w:r>
          </w:p>
        </w:tc>
        <w:tc>
          <w:tcPr>
            <w:tcW w:w="1540"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234"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c>
          <w:tcPr>
            <w:tcW w:w="1584" w:type="dxa"/>
            <w:tcBorders>
              <w:top w:val="single" w:color="auto" w:sz="6" w:space="0"/>
              <w:bottom w:val="single" w:color="auto" w:sz="6" w:space="0"/>
            </w:tcBorders>
          </w:tcPr>
          <w:p>
            <w:pPr>
              <w:widowControl w:val="0"/>
              <w:jc w:val="both"/>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97" w:hRule="exact"/>
          <w:jc w:val="center"/>
        </w:trPr>
        <w:tc>
          <w:tcPr>
            <w:tcW w:w="4768" w:type="dxa"/>
            <w:gridSpan w:val="2"/>
            <w:tcBorders>
              <w:top w:val="single" w:color="auto" w:sz="6" w:space="0"/>
              <w:bottom w:val="single" w:color="auto" w:sz="12" w:space="0"/>
            </w:tcBorders>
          </w:tcPr>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合计</w:t>
            </w:r>
          </w:p>
        </w:tc>
        <w:tc>
          <w:tcPr>
            <w:tcW w:w="1540" w:type="dxa"/>
            <w:tcBorders>
              <w:top w:val="single" w:color="auto" w:sz="6" w:space="0"/>
              <w:bottom w:val="single" w:color="auto" w:sz="12" w:space="0"/>
            </w:tcBorders>
          </w:tcPr>
          <w:p>
            <w:pPr>
              <w:widowControl w:val="0"/>
              <w:jc w:val="both"/>
              <w:rPr>
                <w:rFonts w:ascii="宋体" w:hAnsi="宋体" w:cs="宋体"/>
                <w:color w:val="auto"/>
                <w:kern w:val="2"/>
                <w:szCs w:val="21"/>
                <w:highlight w:val="none"/>
              </w:rPr>
            </w:pPr>
          </w:p>
        </w:tc>
        <w:tc>
          <w:tcPr>
            <w:tcW w:w="1234" w:type="dxa"/>
            <w:tcBorders>
              <w:top w:val="single" w:color="auto" w:sz="6" w:space="0"/>
              <w:bottom w:val="single" w:color="auto" w:sz="12" w:space="0"/>
            </w:tcBorders>
          </w:tcPr>
          <w:p>
            <w:pPr>
              <w:widowControl w:val="0"/>
              <w:jc w:val="both"/>
              <w:rPr>
                <w:rFonts w:ascii="宋体" w:hAnsi="宋体" w:cs="宋体"/>
                <w:color w:val="auto"/>
                <w:kern w:val="2"/>
                <w:szCs w:val="21"/>
                <w:highlight w:val="none"/>
              </w:rPr>
            </w:pPr>
          </w:p>
        </w:tc>
        <w:tc>
          <w:tcPr>
            <w:tcW w:w="1584" w:type="dxa"/>
            <w:tcBorders>
              <w:top w:val="single" w:color="auto" w:sz="6" w:space="0"/>
              <w:bottom w:val="single" w:color="auto" w:sz="12" w:space="0"/>
            </w:tcBorders>
          </w:tcPr>
          <w:p>
            <w:pPr>
              <w:widowControl w:val="0"/>
              <w:jc w:val="both"/>
              <w:rPr>
                <w:rFonts w:ascii="宋体" w:hAnsi="宋体" w:cs="宋体"/>
                <w:color w:val="auto"/>
                <w:kern w:val="2"/>
                <w:szCs w:val="21"/>
                <w:highlight w:val="none"/>
              </w:rPr>
            </w:pPr>
          </w:p>
        </w:tc>
      </w:tr>
    </w:tbl>
    <w:p>
      <w:pPr>
        <w:pStyle w:val="11"/>
        <w:adjustRightInd/>
        <w:snapToGrid/>
        <w:spacing w:line="240" w:lineRule="auto"/>
        <w:ind w:firstLine="0"/>
        <w:rPr>
          <w:rFonts w:ascii="宋体" w:hAnsi="宋体" w:cs="宋体"/>
          <w:color w:val="auto"/>
          <w:szCs w:val="21"/>
          <w:highlight w:val="none"/>
        </w:rPr>
      </w:pPr>
    </w:p>
    <w:p>
      <w:pPr>
        <w:pStyle w:val="11"/>
        <w:adjustRightInd/>
        <w:snapToGrid/>
        <w:spacing w:line="240" w:lineRule="auto"/>
        <w:ind w:firstLine="425"/>
        <w:rPr>
          <w:rFonts w:ascii="宋体" w:hAnsi="宋体" w:cs="宋体"/>
          <w:color w:val="auto"/>
          <w:szCs w:val="21"/>
          <w:highlight w:val="none"/>
        </w:rPr>
      </w:pPr>
      <w:r>
        <w:rPr>
          <w:rFonts w:hint="eastAsia" w:ascii="宋体" w:hAnsi="宋体" w:cs="宋体"/>
          <w:color w:val="auto"/>
          <w:szCs w:val="21"/>
          <w:highlight w:val="none"/>
        </w:rPr>
        <w:t>在此承诺：在质保期满后的两（2）年内保证以不高于本表列明的价格提供备品、备件，如果市场价格下调，则按下调的价格提供备品、备件。</w:t>
      </w:r>
    </w:p>
    <w:p>
      <w:pPr>
        <w:pStyle w:val="11"/>
        <w:adjustRightInd/>
        <w:snapToGrid/>
        <w:spacing w:line="240" w:lineRule="auto"/>
        <w:ind w:firstLine="0"/>
        <w:rPr>
          <w:rFonts w:ascii="宋体" w:hAnsi="宋体" w:cs="宋体"/>
          <w:color w:val="auto"/>
          <w:szCs w:val="21"/>
          <w:highlight w:val="none"/>
        </w:rPr>
      </w:pPr>
    </w:p>
    <w:p>
      <w:pPr>
        <w:pStyle w:val="11"/>
        <w:adjustRightInd/>
        <w:snapToGrid/>
        <w:spacing w:line="240" w:lineRule="auto"/>
        <w:ind w:firstLine="0"/>
        <w:rPr>
          <w:rFonts w:ascii="宋体" w:hAnsi="宋体" w:cs="宋体"/>
          <w:color w:val="auto"/>
          <w:szCs w:val="21"/>
          <w:highlight w:val="none"/>
        </w:rPr>
      </w:pPr>
    </w:p>
    <w:p>
      <w:pPr>
        <w:pStyle w:val="11"/>
        <w:adjustRightInd/>
        <w:snapToGrid/>
        <w:spacing w:line="240" w:lineRule="auto"/>
        <w:ind w:firstLine="0"/>
        <w:rPr>
          <w:rFonts w:ascii="宋体" w:hAnsi="宋体" w:cs="宋体"/>
          <w:color w:val="auto"/>
          <w:szCs w:val="21"/>
          <w:highlight w:val="none"/>
        </w:rPr>
      </w:pPr>
    </w:p>
    <w:p>
      <w:pPr>
        <w:pStyle w:val="11"/>
        <w:adjustRightInd/>
        <w:snapToGrid/>
        <w:spacing w:line="240" w:lineRule="auto"/>
        <w:ind w:firstLine="0"/>
        <w:rPr>
          <w:rFonts w:ascii="宋体" w:hAnsi="宋体" w:cs="宋体"/>
          <w:color w:val="auto"/>
          <w:szCs w:val="21"/>
          <w:highlight w:val="none"/>
        </w:rPr>
      </w:pPr>
    </w:p>
    <w:p>
      <w:pPr>
        <w:pStyle w:val="11"/>
        <w:adjustRightInd/>
        <w:snapToGrid/>
        <w:spacing w:line="240" w:lineRule="auto"/>
        <w:ind w:firstLine="0"/>
        <w:rPr>
          <w:rFonts w:ascii="宋体" w:hAnsi="宋体" w:cs="宋体"/>
          <w:color w:val="auto"/>
          <w:szCs w:val="21"/>
          <w:highlight w:val="none"/>
        </w:rPr>
      </w:pPr>
      <w:r>
        <w:rPr>
          <w:rFonts w:hint="eastAsia" w:ascii="宋体" w:hAnsi="宋体" w:cs="宋体"/>
          <w:color w:val="auto"/>
          <w:szCs w:val="21"/>
          <w:highlight w:val="none"/>
        </w:rPr>
        <w:t>注：（1） 所有价格均用人民币（RMB）元表示。</w:t>
      </w:r>
    </w:p>
    <w:p>
      <w:pPr>
        <w:pStyle w:val="92"/>
        <w:spacing w:before="0" w:after="0" w:line="360" w:lineRule="auto"/>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 此备品、备件报价应尽可能详细；报价不计入投标总价，但作为评标参考之一。</w:t>
      </w:r>
    </w:p>
    <w:p>
      <w:pPr>
        <w:pStyle w:val="92"/>
        <w:spacing w:before="0" w:after="0" w:line="360" w:lineRule="auto"/>
        <w:ind w:firstLine="420" w:firstLineChars="200"/>
        <w:jc w:val="both"/>
        <w:rPr>
          <w:rFonts w:ascii="宋体" w:hAnsi="宋体" w:eastAsia="宋体" w:cs="宋体"/>
          <w:color w:val="auto"/>
          <w:sz w:val="21"/>
          <w:szCs w:val="21"/>
          <w:highlight w:val="none"/>
        </w:rPr>
      </w:pPr>
    </w:p>
    <w:p>
      <w:pPr>
        <w:widowControl w:val="0"/>
        <w:adjustRightInd/>
        <w:jc w:val="both"/>
        <w:rPr>
          <w:rFonts w:ascii="宋体" w:hAnsi="宋体" w:cs="宋体"/>
          <w:color w:val="auto"/>
          <w:kern w:val="2"/>
          <w:szCs w:val="21"/>
          <w:highlight w:val="none"/>
        </w:rPr>
      </w:pPr>
    </w:p>
    <w:p>
      <w:pPr>
        <w:autoSpaceDE w:val="0"/>
        <w:autoSpaceDN w:val="0"/>
        <w:adjustRightInd/>
        <w:snapToGrid/>
        <w:ind w:right="893"/>
        <w:jc w:val="both"/>
        <w:textAlignment w:val="bottom"/>
        <w:rPr>
          <w:rFonts w:ascii="宋体" w:hAnsi="宋体" w:cs="宋体"/>
          <w:color w:val="auto"/>
          <w:kern w:val="2"/>
          <w:szCs w:val="21"/>
          <w:highlight w:val="none"/>
        </w:rPr>
      </w:pPr>
      <w:r>
        <w:rPr>
          <w:rFonts w:hint="eastAsia" w:ascii="宋体" w:hAnsi="宋体" w:cs="宋体"/>
          <w:color w:val="auto"/>
          <w:kern w:val="2"/>
          <w:szCs w:val="21"/>
          <w:highlight w:val="none"/>
        </w:rPr>
        <w:t>投标人法定代表人或其委托人签字或盖私章： _____________</w:t>
      </w:r>
    </w:p>
    <w:p>
      <w:pPr>
        <w:widowControl w:val="0"/>
        <w:jc w:val="both"/>
        <w:rPr>
          <w:rFonts w:ascii="宋体" w:hAnsi="宋体" w:cs="宋体"/>
          <w:color w:val="auto"/>
          <w:kern w:val="2"/>
          <w:szCs w:val="21"/>
          <w:highlight w:val="none"/>
        </w:rPr>
      </w:pPr>
      <w:r>
        <w:rPr>
          <w:rFonts w:hint="eastAsia" w:ascii="宋体" w:hAnsi="宋体" w:cs="宋体"/>
          <w:color w:val="auto"/>
          <w:kern w:val="2"/>
          <w:szCs w:val="21"/>
          <w:highlight w:val="none"/>
        </w:rPr>
        <w:t>日  期：</w:t>
      </w:r>
    </w:p>
    <w:p>
      <w:pPr>
        <w:widowControl w:val="0"/>
        <w:adjustRightInd/>
        <w:jc w:val="both"/>
        <w:rPr>
          <w:rFonts w:ascii="宋体" w:hAnsi="宋体" w:cs="Times New Roman"/>
          <w:color w:val="auto"/>
          <w:kern w:val="2"/>
          <w:szCs w:val="24"/>
          <w:highlight w:val="none"/>
        </w:rPr>
      </w:pPr>
      <w:r>
        <w:rPr>
          <w:rFonts w:hint="eastAsia" w:ascii="宋体" w:hAnsi="宋体" w:cs="Arial"/>
          <w:color w:val="auto"/>
          <w:kern w:val="2"/>
          <w:szCs w:val="24"/>
          <w:highlight w:val="none"/>
          <w:u w:val="single"/>
        </w:rPr>
        <w:t xml:space="preserve">                   </w:t>
      </w:r>
    </w:p>
    <w:p>
      <w:pPr>
        <w:rPr>
          <w:color w:val="auto"/>
          <w:sz w:val="52"/>
          <w:szCs w:val="52"/>
          <w:highlight w:val="none"/>
        </w:rPr>
      </w:pPr>
    </w:p>
    <w:p>
      <w:pPr>
        <w:rPr>
          <w:color w:val="auto"/>
          <w:sz w:val="72"/>
          <w:szCs w:val="72"/>
          <w:highlight w:val="none"/>
        </w:rPr>
      </w:pPr>
      <w:bookmarkStart w:id="940" w:name="_Toc20754"/>
      <w:r>
        <w:rPr>
          <w:rFonts w:hint="eastAsia"/>
          <w:color w:val="auto"/>
          <w:sz w:val="72"/>
          <w:szCs w:val="72"/>
          <w:highlight w:val="none"/>
        </w:rPr>
        <w:br w:type="page"/>
      </w:r>
    </w:p>
    <w:p>
      <w:pPr>
        <w:pStyle w:val="6"/>
        <w:spacing w:before="0" w:after="0" w:line="360" w:lineRule="auto"/>
        <w:jc w:val="center"/>
        <w:rPr>
          <w:color w:val="auto"/>
          <w:sz w:val="72"/>
          <w:szCs w:val="72"/>
          <w:highlight w:val="none"/>
        </w:rPr>
      </w:pPr>
      <w:r>
        <w:rPr>
          <w:rFonts w:hint="eastAsia"/>
          <w:color w:val="auto"/>
          <w:sz w:val="72"/>
          <w:szCs w:val="72"/>
          <w:highlight w:val="none"/>
        </w:rPr>
        <w:t>商务文件</w:t>
      </w:r>
      <w:bookmarkEnd w:id="940"/>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pPr>
        <w:rPr>
          <w:color w:val="auto"/>
          <w:highlight w:val="none"/>
        </w:rPr>
      </w:pPr>
    </w:p>
    <w:p>
      <w:pPr>
        <w:pStyle w:val="2"/>
        <w:rPr>
          <w:color w:val="auto"/>
          <w:highlight w:val="none"/>
        </w:rPr>
      </w:pPr>
    </w:p>
    <w:p>
      <w:pPr>
        <w:pStyle w:val="31"/>
        <w:ind w:firstLine="240"/>
        <w:rPr>
          <w:color w:val="auto"/>
          <w:highlight w:val="none"/>
        </w:rPr>
      </w:pPr>
    </w:p>
    <w:p>
      <w:pPr>
        <w:rPr>
          <w:rFonts w:hint="eastAsia" w:ascii="宋体" w:hAnsi="宋体" w:cs="宋体"/>
          <w:b/>
          <w:bCs w:val="0"/>
          <w:color w:val="auto"/>
          <w:spacing w:val="0"/>
          <w:w w:val="83"/>
          <w:sz w:val="32"/>
          <w:szCs w:val="32"/>
          <w:highlight w:val="none"/>
          <w:fitText w:val="1600" w:id="5"/>
        </w:rPr>
      </w:pPr>
      <w:r>
        <w:rPr>
          <w:rFonts w:hint="eastAsia" w:ascii="宋体" w:hAnsi="宋体" w:cs="宋体"/>
          <w:b/>
          <w:bCs w:val="0"/>
          <w:color w:val="auto"/>
          <w:spacing w:val="0"/>
          <w:w w:val="21"/>
          <w:kern w:val="0"/>
          <w:sz w:val="32"/>
          <w:szCs w:val="32"/>
          <w:highlight w:val="none"/>
          <w:fitText w:val="1600" w:id="5"/>
        </w:rPr>
        <w:t>项目名称：</w:t>
      </w:r>
      <w:r>
        <w:rPr>
          <w:rFonts w:hint="eastAsia" w:ascii="宋体" w:hAnsi="宋体" w:eastAsia="宋体" w:cs="宋体"/>
          <w:b/>
          <w:bCs w:val="0"/>
          <w:color w:val="auto"/>
          <w:spacing w:val="0"/>
          <w:w w:val="21"/>
          <w:kern w:val="0"/>
          <w:sz w:val="32"/>
          <w:szCs w:val="32"/>
          <w:highlight w:val="none"/>
          <w:u w:val="none"/>
          <w:fitText w:val="1600" w:id="5"/>
        </w:rPr>
        <w:t>东莞市寮步镇生活垃圾综合处理中心项</w:t>
      </w:r>
      <w:r>
        <w:rPr>
          <w:rFonts w:hint="eastAsia" w:ascii="宋体" w:hAnsi="宋体" w:eastAsia="宋体" w:cs="宋体"/>
          <w:b/>
          <w:bCs w:val="0"/>
          <w:color w:val="auto"/>
          <w:spacing w:val="10"/>
          <w:w w:val="21"/>
          <w:kern w:val="0"/>
          <w:sz w:val="32"/>
          <w:szCs w:val="32"/>
          <w:highlight w:val="none"/>
          <w:u w:val="none"/>
          <w:fitText w:val="1600" w:id="5"/>
        </w:rPr>
        <w:t>目</w:t>
      </w:r>
    </w:p>
    <w:p>
      <w:pPr>
        <w:rPr>
          <w:rFonts w:hint="eastAsia" w:ascii="宋体" w:hAnsi="宋体" w:eastAsia="黑体" w:cs="宋体"/>
          <w:b/>
          <w:bCs/>
          <w:color w:val="auto"/>
          <w:sz w:val="32"/>
          <w:szCs w:val="32"/>
          <w:highlight w:val="none"/>
          <w:lang w:eastAsia="zh-CN"/>
        </w:rPr>
      </w:pPr>
      <w:r>
        <w:rPr>
          <w:rFonts w:hint="eastAsia" w:ascii="宋体" w:hAnsi="宋体" w:cs="宋体"/>
          <w:b/>
          <w:bCs/>
          <w:color w:val="auto"/>
          <w:spacing w:val="0"/>
          <w:kern w:val="0"/>
          <w:sz w:val="32"/>
          <w:szCs w:val="32"/>
          <w:highlight w:val="none"/>
          <w:fitText w:val="1600" w:id="6"/>
        </w:rPr>
        <w:t>项目编号：</w:t>
      </w:r>
      <w:r>
        <w:rPr>
          <w:rFonts w:hint="eastAsia" w:ascii="黑体" w:hAnsi="黑体" w:eastAsia="黑体" w:cs="黑体"/>
          <w:bCs/>
          <w:color w:val="auto"/>
          <w:sz w:val="32"/>
          <w:szCs w:val="24"/>
          <w:highlight w:val="none"/>
          <w:u w:val="single"/>
          <w:lang w:eastAsia="zh-CN"/>
        </w:rPr>
        <w:t>DSCF-LB-02-08-010(2023)</w:t>
      </w:r>
    </w:p>
    <w:p>
      <w:pPr>
        <w:pStyle w:val="2"/>
        <w:ind w:left="0"/>
        <w:rPr>
          <w:b/>
          <w:color w:val="auto"/>
          <w:spacing w:val="1280"/>
          <w:sz w:val="32"/>
          <w:szCs w:val="32"/>
          <w:highlight w:val="none"/>
        </w:rPr>
      </w:pPr>
      <w:r>
        <w:rPr>
          <w:b/>
          <w:color w:val="auto"/>
          <w:spacing w:val="106"/>
          <w:sz w:val="32"/>
          <w:szCs w:val="32"/>
          <w:highlight w:val="none"/>
          <w:lang w:val="en-US" w:bidi="ar-SA"/>
        </w:rPr>
        <w:t>包组号：</w:t>
      </w:r>
    </w:p>
    <w:p>
      <w:pPr>
        <w:rPr>
          <w:rFonts w:ascii="宋体" w:hAnsi="宋体" w:cs="宋体"/>
          <w:b/>
          <w:color w:val="auto"/>
          <w:spacing w:val="1"/>
          <w:w w:val="83"/>
          <w:kern w:val="0"/>
          <w:sz w:val="32"/>
          <w:szCs w:val="32"/>
          <w:highlight w:val="none"/>
          <w:fitText w:val="1600" w:id="7"/>
        </w:rPr>
      </w:pPr>
      <w:r>
        <w:rPr>
          <w:rFonts w:hint="eastAsia" w:ascii="宋体" w:hAnsi="宋体" w:cs="宋体"/>
          <w:b/>
          <w:color w:val="auto"/>
          <w:spacing w:val="0"/>
          <w:w w:val="83"/>
          <w:kern w:val="0"/>
          <w:sz w:val="32"/>
          <w:szCs w:val="32"/>
          <w:highlight w:val="none"/>
          <w:fitText w:val="1600" w:id="7"/>
        </w:rPr>
        <w:t>投标人名称：</w:t>
      </w:r>
    </w:p>
    <w:p>
      <w:pPr>
        <w:rPr>
          <w:rFonts w:ascii="宋体" w:hAnsi="宋体" w:cs="宋体"/>
          <w:b/>
          <w:color w:val="auto"/>
          <w:spacing w:val="0"/>
          <w:kern w:val="0"/>
          <w:sz w:val="32"/>
          <w:szCs w:val="32"/>
          <w:highlight w:val="none"/>
          <w:fitText w:val="1600" w:id="8"/>
        </w:rPr>
      </w:pPr>
      <w:r>
        <w:rPr>
          <w:rFonts w:hint="eastAsia" w:ascii="宋体" w:hAnsi="宋体" w:cs="宋体"/>
          <w:b/>
          <w:color w:val="auto"/>
          <w:spacing w:val="0"/>
          <w:kern w:val="0"/>
          <w:sz w:val="32"/>
          <w:szCs w:val="32"/>
          <w:highlight w:val="none"/>
          <w:fitText w:val="1600" w:id="8"/>
        </w:rPr>
        <w:t>日    期：</w:t>
      </w:r>
    </w:p>
    <w:p>
      <w:pPr>
        <w:pStyle w:val="2"/>
        <w:rPr>
          <w:b/>
          <w:color w:val="auto"/>
          <w:sz w:val="32"/>
          <w:szCs w:val="32"/>
          <w:highlight w:val="none"/>
        </w:rPr>
      </w:pPr>
    </w:p>
    <w:p>
      <w:pPr>
        <w:pStyle w:val="31"/>
        <w:ind w:firstLine="321"/>
        <w:rPr>
          <w:b/>
          <w:color w:val="auto"/>
          <w:sz w:val="32"/>
          <w:szCs w:val="32"/>
          <w:highlight w:val="none"/>
        </w:rPr>
      </w:pPr>
    </w:p>
    <w:p>
      <w:pPr>
        <w:pStyle w:val="24"/>
        <w:rPr>
          <w:rFonts w:ascii="宋体" w:hAnsi="宋体" w:cs="宋体"/>
          <w:b/>
          <w:color w:val="auto"/>
          <w:sz w:val="32"/>
          <w:szCs w:val="32"/>
          <w:highlight w:val="none"/>
        </w:rPr>
      </w:pPr>
    </w:p>
    <w:p>
      <w:pPr>
        <w:rPr>
          <w:rFonts w:ascii="宋体" w:hAnsi="宋体" w:cs="宋体"/>
          <w:b/>
          <w:color w:val="auto"/>
          <w:sz w:val="32"/>
          <w:szCs w:val="32"/>
          <w:highlight w:val="none"/>
        </w:rPr>
      </w:pPr>
    </w:p>
    <w:p>
      <w:pPr>
        <w:pStyle w:val="2"/>
        <w:rPr>
          <w:b/>
          <w:color w:val="auto"/>
          <w:sz w:val="32"/>
          <w:szCs w:val="32"/>
          <w:highlight w:val="none"/>
        </w:rPr>
      </w:pPr>
    </w:p>
    <w:p>
      <w:pPr>
        <w:rPr>
          <w:color w:val="auto"/>
          <w:spacing w:val="52"/>
          <w:highlight w:val="none"/>
        </w:rPr>
      </w:pPr>
    </w:p>
    <w:p>
      <w:pPr>
        <w:rPr>
          <w:rFonts w:ascii="宋体" w:hAnsi="宋体"/>
          <w:color w:val="auto"/>
          <w:spacing w:val="52"/>
          <w:szCs w:val="21"/>
          <w:highlight w:val="none"/>
        </w:rPr>
      </w:pPr>
      <w:r>
        <w:rPr>
          <w:rFonts w:hint="eastAsia" w:ascii="宋体" w:hAnsi="宋体"/>
          <w:color w:val="auto"/>
          <w:spacing w:val="52"/>
          <w:szCs w:val="21"/>
          <w:highlight w:val="none"/>
          <w:fitText w:val="1600" w:id="9"/>
        </w:rPr>
        <w:br w:type="page"/>
      </w:r>
    </w:p>
    <w:p>
      <w:pPr>
        <w:pStyle w:val="8"/>
        <w:widowControl w:val="0"/>
        <w:overflowPunct w:val="0"/>
        <w:spacing w:line="240" w:lineRule="auto"/>
        <w:rPr>
          <w:color w:val="auto"/>
          <w:highlight w:val="none"/>
        </w:rPr>
      </w:pPr>
      <w:bookmarkStart w:id="941" w:name="_Toc15134"/>
      <w:r>
        <w:rPr>
          <w:rFonts w:hint="eastAsia" w:ascii="宋体" w:hAnsi="宋体"/>
          <w:color w:val="auto"/>
          <w:spacing w:val="6"/>
          <w:kern w:val="0"/>
          <w:sz w:val="21"/>
          <w:szCs w:val="21"/>
          <w:highlight w:val="none"/>
          <w:fitText w:val="1600" w:id="10"/>
        </w:rPr>
        <w:t>附件4.投标书</w:t>
      </w:r>
      <w:r>
        <w:rPr>
          <w:rFonts w:hint="eastAsia" w:ascii="宋体" w:hAnsi="宋体"/>
          <w:color w:val="auto"/>
          <w:spacing w:val="1"/>
          <w:kern w:val="0"/>
          <w:sz w:val="21"/>
          <w:szCs w:val="21"/>
          <w:highlight w:val="none"/>
          <w:fitText w:val="1600" w:id="10"/>
        </w:rPr>
        <w:t>格</w:t>
      </w:r>
      <w:r>
        <w:rPr>
          <w:rFonts w:hint="eastAsia" w:ascii="宋体" w:hAnsi="宋体"/>
          <w:color w:val="auto"/>
          <w:sz w:val="21"/>
          <w:szCs w:val="21"/>
          <w:highlight w:val="none"/>
        </w:rPr>
        <w:t>式</w:t>
      </w:r>
      <w:bookmarkEnd w:id="941"/>
    </w:p>
    <w:p>
      <w:pPr>
        <w:jc w:val="center"/>
        <w:rPr>
          <w:rFonts w:ascii="宋体" w:hAnsi="宋体" w:eastAsia="黑体"/>
          <w:color w:val="auto"/>
          <w:szCs w:val="21"/>
          <w:highlight w:val="none"/>
        </w:rPr>
      </w:pPr>
      <w:r>
        <w:rPr>
          <w:rFonts w:hint="eastAsia" w:ascii="黑体" w:eastAsia="黑体"/>
          <w:color w:val="auto"/>
          <w:sz w:val="32"/>
          <w:szCs w:val="32"/>
          <w:highlight w:val="none"/>
        </w:rPr>
        <w:t>投标书  包组号（ ）</w:t>
      </w:r>
    </w:p>
    <w:p>
      <w:pPr>
        <w:rPr>
          <w:rFonts w:ascii="宋体" w:hAnsi="宋体"/>
          <w:color w:val="auto"/>
          <w:szCs w:val="21"/>
          <w:highlight w:val="none"/>
        </w:rPr>
      </w:pPr>
      <w:r>
        <w:rPr>
          <w:rFonts w:hint="eastAsia" w:ascii="宋体" w:hAnsi="宋体"/>
          <w:color w:val="auto"/>
          <w:szCs w:val="21"/>
          <w:highlight w:val="none"/>
        </w:rPr>
        <w:t>致：xxx公司：</w:t>
      </w:r>
    </w:p>
    <w:p>
      <w:pPr>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项目采购公告/采购邀请，签字代表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hAnsi="宋体"/>
          <w:color w:val="auto"/>
          <w:szCs w:val="21"/>
          <w:highlight w:val="none"/>
        </w:rPr>
        <w:t>提交投标文件及“唱标信封”：</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在此，签字代表宣布同意如下： </w:t>
      </w:r>
    </w:p>
    <w:p>
      <w:pPr>
        <w:widowControl w:val="0"/>
        <w:numPr>
          <w:ilvl w:val="0"/>
          <w:numId w:val="124"/>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我方将按采购文件的规定履行合同责任和义务。 </w:t>
      </w:r>
    </w:p>
    <w:p>
      <w:pPr>
        <w:widowControl w:val="0"/>
        <w:numPr>
          <w:ilvl w:val="0"/>
          <w:numId w:val="124"/>
        </w:numPr>
        <w:adjustRightInd/>
        <w:snapToGrid/>
        <w:jc w:val="both"/>
        <w:rPr>
          <w:rFonts w:ascii="宋体" w:hAnsi="宋体"/>
          <w:color w:val="auto"/>
          <w:szCs w:val="21"/>
          <w:highlight w:val="none"/>
        </w:rPr>
      </w:pPr>
      <w:r>
        <w:rPr>
          <w:rFonts w:hint="eastAsia" w:ascii="宋体" w:hAnsi="宋体"/>
          <w:b/>
          <w:color w:val="auto"/>
          <w:szCs w:val="21"/>
          <w:highlight w:val="none"/>
        </w:rPr>
        <w:t>我方已完整阅读了本项目采购文件的所有内容（包括澄清，以及所有已提供的参考资料和有关附件），并完全理解上述文件所表达的意思，该项目递交投标文件时间截止后，我方承诺不再对上述文件内容进行异议。</w:t>
      </w:r>
    </w:p>
    <w:p>
      <w:pPr>
        <w:widowControl w:val="0"/>
        <w:numPr>
          <w:ilvl w:val="0"/>
          <w:numId w:val="124"/>
        </w:numPr>
        <w:adjustRightInd/>
        <w:snapToGrid/>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 xml:space="preserve">个日历日。 </w:t>
      </w:r>
    </w:p>
    <w:p>
      <w:pPr>
        <w:widowControl w:val="0"/>
        <w:numPr>
          <w:ilvl w:val="0"/>
          <w:numId w:val="124"/>
        </w:numPr>
        <w:adjustRightInd/>
        <w:snapToGrid/>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24"/>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24"/>
        </w:numPr>
        <w:adjustRightInd/>
        <w:snapToGrid/>
        <w:jc w:val="both"/>
        <w:rPr>
          <w:rFonts w:ascii="宋体" w:hAnsi="宋体"/>
          <w:color w:val="auto"/>
          <w:szCs w:val="21"/>
          <w:highlight w:val="none"/>
        </w:rPr>
      </w:pPr>
      <w:r>
        <w:rPr>
          <w:rFonts w:hint="eastAsia" w:ascii="宋体" w:hAnsi="宋体"/>
          <w:color w:val="auto"/>
          <w:szCs w:val="21"/>
          <w:highlight w:val="none"/>
        </w:rPr>
        <w:t>我方承诺，我方具备投标人邀请中所要求的资格条件，已清楚采购文件所有要求及有关规定；并承诺参加本次采购活动中，如有违法、违规、弄虚作假行为，所造成的损失、不良后果及法律责任，一律由我方承担；</w:t>
      </w:r>
    </w:p>
    <w:p>
      <w:pPr>
        <w:widowControl w:val="0"/>
        <w:numPr>
          <w:ilvl w:val="0"/>
          <w:numId w:val="124"/>
        </w:numPr>
        <w:adjustRightInd/>
        <w:snapToGrid/>
        <w:jc w:val="both"/>
        <w:rPr>
          <w:rFonts w:ascii="宋体" w:hAnsi="宋体"/>
          <w:color w:val="auto"/>
          <w:szCs w:val="21"/>
          <w:highlight w:val="none"/>
        </w:rPr>
      </w:pPr>
      <w:r>
        <w:rPr>
          <w:rFonts w:hint="eastAsia" w:ascii="宋体" w:hAnsi="宋体"/>
          <w:color w:val="auto"/>
          <w:szCs w:val="21"/>
          <w:highlight w:val="none"/>
        </w:rPr>
        <w:t>我方同意提供按照贵方可能要求的与其投标有关的一切数据或资料。</w:t>
      </w:r>
    </w:p>
    <w:p>
      <w:pPr>
        <w:widowControl w:val="0"/>
        <w:numPr>
          <w:ilvl w:val="0"/>
          <w:numId w:val="124"/>
        </w:numPr>
        <w:adjustRightInd/>
        <w:snapToGrid/>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r>
        <w:rPr>
          <w:rFonts w:hint="eastAsia" w:ascii="宋体" w:hAnsi="宋体"/>
          <w:color w:val="auto"/>
          <w:szCs w:val="21"/>
          <w:highlight w:val="none"/>
        </w:rPr>
        <w:t>地址：　　　　　　　　　　　　　　　电子邮箱：　　　　</w:t>
      </w:r>
    </w:p>
    <w:p>
      <w:pPr>
        <w:rPr>
          <w:rFonts w:ascii="宋体" w:hAnsi="宋体"/>
          <w:color w:val="auto"/>
          <w:szCs w:val="21"/>
          <w:highlight w:val="none"/>
        </w:rPr>
      </w:pPr>
      <w:r>
        <w:rPr>
          <w:rFonts w:hint="eastAsia" w:ascii="宋体" w:hAnsi="宋体"/>
          <w:color w:val="auto"/>
          <w:szCs w:val="21"/>
          <w:highlight w:val="none"/>
        </w:rPr>
        <w:t>电话/移动电话：</w:t>
      </w:r>
    </w:p>
    <w:p>
      <w:pPr>
        <w:rPr>
          <w:rFonts w:ascii="宋体" w:hAnsi="宋体"/>
          <w:color w:val="auto"/>
          <w:szCs w:val="21"/>
          <w:highlight w:val="none"/>
        </w:rPr>
      </w:pPr>
      <w:r>
        <w:rPr>
          <w:rFonts w:hint="eastAsia" w:ascii="宋体" w:hAnsi="宋体"/>
          <w:color w:val="auto"/>
          <w:szCs w:val="21"/>
          <w:highlight w:val="none"/>
        </w:rPr>
        <w:t xml:space="preserve">投标人法定代表人（或其授权代表）签字：                  </w:t>
      </w:r>
    </w:p>
    <w:p>
      <w:pPr>
        <w:rPr>
          <w:rFonts w:ascii="宋体" w:hAnsi="宋体"/>
          <w:color w:val="auto"/>
          <w:szCs w:val="21"/>
          <w:highlight w:val="none"/>
        </w:rPr>
      </w:pPr>
      <w:r>
        <w:rPr>
          <w:rFonts w:hint="eastAsia" w:ascii="宋体" w:hAnsi="宋体"/>
          <w:color w:val="auto"/>
          <w:szCs w:val="21"/>
          <w:highlight w:val="none"/>
        </w:rPr>
        <w:t xml:space="preserve">投标人名称（全称）： </w:t>
      </w:r>
    </w:p>
    <w:p>
      <w:pPr>
        <w:rPr>
          <w:rFonts w:ascii="宋体" w:hAnsi="宋体"/>
          <w:color w:val="auto"/>
          <w:szCs w:val="21"/>
          <w:highlight w:val="none"/>
        </w:rPr>
      </w:pPr>
      <w:r>
        <w:rPr>
          <w:rFonts w:hint="eastAsia" w:ascii="宋体" w:hAnsi="宋体"/>
          <w:color w:val="auto"/>
          <w:szCs w:val="21"/>
          <w:highlight w:val="none"/>
        </w:rPr>
        <w:t xml:space="preserve">投标人盖章： </w:t>
      </w:r>
    </w:p>
    <w:p>
      <w:pPr>
        <w:rPr>
          <w:color w:val="auto"/>
          <w:highlight w:val="none"/>
        </w:rPr>
      </w:pPr>
      <w:r>
        <w:rPr>
          <w:rFonts w:hint="eastAsia" w:ascii="宋体" w:hAnsi="宋体"/>
          <w:color w:val="auto"/>
          <w:szCs w:val="21"/>
          <w:highlight w:val="none"/>
        </w:rPr>
        <w:t>日期：</w:t>
      </w:r>
      <w:r>
        <w:rPr>
          <w:color w:val="auto"/>
          <w:highlight w:val="none"/>
        </w:rPr>
        <w:br w:type="page"/>
      </w:r>
    </w:p>
    <w:p>
      <w:pPr>
        <w:pStyle w:val="8"/>
        <w:widowControl w:val="0"/>
        <w:overflowPunct w:val="0"/>
        <w:spacing w:line="240" w:lineRule="auto"/>
        <w:rPr>
          <w:rFonts w:ascii="宋体" w:hAnsi="宋体"/>
          <w:color w:val="auto"/>
          <w:sz w:val="21"/>
          <w:szCs w:val="21"/>
          <w:highlight w:val="none"/>
        </w:rPr>
      </w:pPr>
      <w:bookmarkStart w:id="942" w:name="_Toc4877"/>
      <w:r>
        <w:rPr>
          <w:rFonts w:hint="eastAsia" w:ascii="宋体" w:hAnsi="宋体"/>
          <w:color w:val="auto"/>
          <w:sz w:val="21"/>
          <w:szCs w:val="21"/>
          <w:highlight w:val="none"/>
        </w:rPr>
        <w:t>附件5. 法定代表人证明书格式</w:t>
      </w:r>
      <w:bookmarkEnd w:id="942"/>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法定代表人证明书  包组号（ ）</w:t>
      </w:r>
    </w:p>
    <w:p>
      <w:pPr>
        <w:pStyle w:val="49"/>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致：xxx公司</w:t>
      </w:r>
    </w:p>
    <w:p>
      <w:pPr>
        <w:pStyle w:val="49"/>
        <w:spacing w:line="420" w:lineRule="atLeast"/>
        <w:ind w:firstLine="433"/>
        <w:rPr>
          <w:rFonts w:ascii="宋体" w:eastAsia="宋体"/>
          <w:color w:val="auto"/>
          <w:sz w:val="21"/>
          <w:szCs w:val="21"/>
          <w:highlight w:val="none"/>
        </w:rPr>
      </w:pPr>
    </w:p>
    <w:p>
      <w:pPr>
        <w:pStyle w:val="49"/>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投标人名称:</w:t>
      </w:r>
    </w:p>
    <w:p>
      <w:pPr>
        <w:pStyle w:val="49"/>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pPr>
        <w:pStyle w:val="49"/>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pPr>
        <w:pStyle w:val="49"/>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pPr>
        <w:pStyle w:val="49"/>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pPr>
        <w:pStyle w:val="49"/>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pPr>
        <w:pStyle w:val="49"/>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系（投标人名称）的法定代表人。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9"/>
        <w:spacing w:line="500" w:lineRule="atLeast"/>
        <w:ind w:firstLine="3517" w:firstLineChars="1675"/>
        <w:rPr>
          <w:rFonts w:ascii="宋体" w:eastAsia="宋体"/>
          <w:color w:val="auto"/>
          <w:sz w:val="21"/>
          <w:szCs w:val="21"/>
          <w:highlight w:val="none"/>
        </w:rPr>
      </w:pPr>
    </w:p>
    <w:p>
      <w:pPr>
        <w:pStyle w:val="49"/>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49"/>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49"/>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pPr>
        <w:pStyle w:val="49"/>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49"/>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注：法定代表人身份证明书需附法人代表身份证复印件。</w:t>
      </w:r>
    </w:p>
    <w:tbl>
      <w:tblPr>
        <w:tblStyle w:val="34"/>
        <w:tblW w:w="8364" w:type="dxa"/>
        <w:jc w:val="center"/>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517" w:hRule="atLeast"/>
          <w:jc w:val="center"/>
        </w:trPr>
        <w:tc>
          <w:tcPr>
            <w:tcW w:w="4182" w:type="dxa"/>
            <w:vAlign w:val="center"/>
          </w:tcPr>
          <w:p>
            <w:pPr>
              <w:pStyle w:val="49"/>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vAlign w:val="center"/>
          </w:tcPr>
          <w:p>
            <w:pPr>
              <w:pStyle w:val="49"/>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rPr>
          <w:color w:val="auto"/>
          <w:highlight w:val="none"/>
        </w:rPr>
      </w:pP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8"/>
        <w:widowControl w:val="0"/>
        <w:overflowPunct w:val="0"/>
        <w:spacing w:line="240" w:lineRule="auto"/>
        <w:rPr>
          <w:color w:val="auto"/>
          <w:highlight w:val="none"/>
        </w:rPr>
      </w:pPr>
      <w:bookmarkStart w:id="943" w:name="_Toc29112"/>
      <w:r>
        <w:rPr>
          <w:rFonts w:hint="eastAsia" w:ascii="宋体" w:hAnsi="宋体"/>
          <w:color w:val="auto"/>
          <w:sz w:val="21"/>
          <w:szCs w:val="21"/>
          <w:highlight w:val="none"/>
        </w:rPr>
        <w:t>附件6.法定代表人授权书格式</w:t>
      </w:r>
      <w:bookmarkEnd w:id="943"/>
    </w:p>
    <w:p>
      <w:pPr>
        <w:rPr>
          <w:color w:val="auto"/>
          <w:highlight w:val="none"/>
        </w:rPr>
      </w:pPr>
      <w:r>
        <w:rPr>
          <w:rFonts w:hint="eastAsia"/>
          <w:color w:val="auto"/>
          <w:highlight w:val="none"/>
        </w:rPr>
        <w:t xml:space="preserve"> </w:t>
      </w: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法定代表人授权书  包组号（ ）</w:t>
      </w:r>
    </w:p>
    <w:p>
      <w:pPr>
        <w:pStyle w:val="49"/>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致：xxx公司</w:t>
      </w:r>
    </w:p>
    <w:p>
      <w:pPr>
        <w:pStyle w:val="49"/>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本授权书声明：注册于</w:t>
      </w:r>
      <w:r>
        <w:rPr>
          <w:rFonts w:hint="eastAsia" w:ascii="宋体" w:hAnsi="宋体" w:cs="Times New Roman"/>
          <w:color w:val="auto"/>
          <w:szCs w:val="21"/>
          <w:highlight w:val="none"/>
          <w:u w:val="single"/>
        </w:rPr>
        <w:t>（国家或地区的名称）</w:t>
      </w:r>
      <w:r>
        <w:rPr>
          <w:rFonts w:hint="eastAsia" w:ascii="宋体" w:hAnsi="宋体" w:cs="Times New Roman"/>
          <w:color w:val="auto"/>
          <w:szCs w:val="21"/>
          <w:highlight w:val="none"/>
        </w:rPr>
        <w:t>的</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（法定代表人姓名、职务）</w:t>
      </w:r>
      <w:r>
        <w:rPr>
          <w:rFonts w:hint="eastAsia" w:ascii="宋体" w:hAnsi="宋体" w:cs="Times New Roman"/>
          <w:color w:val="auto"/>
          <w:szCs w:val="21"/>
          <w:highlight w:val="none"/>
        </w:rPr>
        <w:t>代表本单位授权</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（被授权人的姓名、职务）</w:t>
      </w:r>
      <w:r>
        <w:rPr>
          <w:rFonts w:hint="eastAsia" w:ascii="宋体" w:hAnsi="宋体" w:cs="Times New Roman"/>
          <w:color w:val="auto"/>
          <w:szCs w:val="21"/>
          <w:highlight w:val="none"/>
        </w:rPr>
        <w:t>为本单位的合法代理人，就</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rPr>
        <w:t>投标及参加项目谈判，以本单位名义处理一切与之有关的事务。</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9"/>
        <w:spacing w:line="500" w:lineRule="atLeast"/>
        <w:ind w:firstLine="3517" w:firstLineChars="1675"/>
        <w:rPr>
          <w:rFonts w:ascii="宋体" w:eastAsia="宋体"/>
          <w:color w:val="auto"/>
          <w:sz w:val="21"/>
          <w:szCs w:val="21"/>
          <w:highlight w:val="none"/>
        </w:rPr>
      </w:pPr>
    </w:p>
    <w:p>
      <w:pPr>
        <w:pStyle w:val="49"/>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49"/>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pPr>
        <w:pStyle w:val="49"/>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pPr>
        <w:pStyle w:val="49"/>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pPr>
        <w:pStyle w:val="49"/>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pPr>
        <w:pStyle w:val="49"/>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pPr>
        <w:pStyle w:val="49"/>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pPr>
        <w:pStyle w:val="49"/>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pPr>
        <w:pStyle w:val="49"/>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须附：被授权人身份证复印件。</w:t>
      </w:r>
    </w:p>
    <w:tbl>
      <w:tblPr>
        <w:tblStyle w:val="34"/>
        <w:tblW w:w="8464" w:type="dxa"/>
        <w:jc w:val="center"/>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661" w:hRule="atLeast"/>
          <w:jc w:val="center"/>
        </w:trPr>
        <w:tc>
          <w:tcPr>
            <w:tcW w:w="4232" w:type="dxa"/>
            <w:vAlign w:val="center"/>
          </w:tcPr>
          <w:p>
            <w:pPr>
              <w:pStyle w:val="49"/>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vAlign w:val="center"/>
          </w:tcPr>
          <w:p>
            <w:pPr>
              <w:pStyle w:val="49"/>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adjustRightInd/>
        <w:snapToGrid/>
        <w:spacing w:line="276" w:lineRule="auto"/>
        <w:rPr>
          <w:color w:val="auto"/>
          <w:highlight w:val="none"/>
        </w:rPr>
      </w:pPr>
      <w:bookmarkStart w:id="944" w:name="_Toc22486"/>
      <w:r>
        <w:rPr>
          <w:rFonts w:hint="eastAsia" w:ascii="宋体" w:hAnsi="宋体"/>
          <w:color w:val="auto"/>
          <w:szCs w:val="21"/>
          <w:highlight w:val="none"/>
        </w:rPr>
        <w:br w:type="page"/>
      </w:r>
    </w:p>
    <w:p>
      <w:pPr>
        <w:pStyle w:val="8"/>
        <w:widowControl w:val="0"/>
        <w:overflowPunct w:val="0"/>
        <w:spacing w:line="240" w:lineRule="auto"/>
        <w:rPr>
          <w:rFonts w:ascii="宋体" w:hAnsi="宋体"/>
          <w:color w:val="auto"/>
          <w:sz w:val="21"/>
          <w:szCs w:val="21"/>
          <w:highlight w:val="none"/>
        </w:rPr>
      </w:pPr>
      <w:bookmarkStart w:id="945" w:name="_Toc26686"/>
      <w:r>
        <w:rPr>
          <w:rFonts w:hint="eastAsia" w:ascii="宋体" w:hAnsi="宋体"/>
          <w:color w:val="auto"/>
          <w:sz w:val="21"/>
          <w:szCs w:val="21"/>
          <w:highlight w:val="none"/>
        </w:rPr>
        <w:t>附件7.资格申明</w:t>
      </w:r>
      <w:bookmarkEnd w:id="945"/>
    </w:p>
    <w:p>
      <w:pPr>
        <w:jc w:val="center"/>
        <w:rPr>
          <w:rFonts w:ascii="黑体" w:eastAsia="黑体"/>
          <w:color w:val="auto"/>
          <w:sz w:val="28"/>
          <w:szCs w:val="28"/>
          <w:highlight w:val="none"/>
        </w:rPr>
      </w:pPr>
      <w:r>
        <w:rPr>
          <w:rFonts w:hint="eastAsia" w:ascii="黑体" w:eastAsia="黑体"/>
          <w:color w:val="auto"/>
          <w:sz w:val="28"/>
          <w:szCs w:val="28"/>
          <w:highlight w:val="none"/>
        </w:rPr>
        <w:t>资格申明  包组号（ ）</w:t>
      </w:r>
    </w:p>
    <w:p>
      <w:pPr>
        <w:pStyle w:val="49"/>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u w:val="single"/>
        </w:rPr>
        <w:t xml:space="preserve">  xxx   </w:t>
      </w:r>
      <w:r>
        <w:rPr>
          <w:rFonts w:hint="eastAsia" w:ascii="宋体" w:eastAsia="宋体"/>
          <w:color w:val="auto"/>
          <w:sz w:val="21"/>
          <w:szCs w:val="21"/>
          <w:highlight w:val="none"/>
        </w:rPr>
        <w:t>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采购</w:t>
      </w:r>
      <w:r>
        <w:rPr>
          <w:rFonts w:ascii="宋体" w:hAnsi="宋体"/>
          <w:color w:val="auto"/>
          <w:szCs w:val="21"/>
          <w:highlight w:val="none"/>
        </w:rPr>
        <w:t>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一、我方具备投标人邀请中所要求得资格条件，已清楚采购文件所有要求及有关规定；并承诺参加本次采购活动中，如有违法、违规、弄虚作假行为，所造成的损失、不良后果及法律责任，一律由我方承担；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u w:val="single"/>
        </w:rPr>
        <w:t xml:space="preserve">  xxxx   </w:t>
      </w:r>
      <w:r>
        <w:rPr>
          <w:rFonts w:hint="eastAsia" w:ascii="宋体" w:hAnsi="宋体"/>
          <w:color w:val="auto"/>
          <w:szCs w:val="21"/>
          <w:highlight w:val="none"/>
        </w:rPr>
        <w:t>公司</w:t>
      </w:r>
      <w:r>
        <w:rPr>
          <w:rFonts w:ascii="宋体" w:hAnsi="宋体"/>
          <w:color w:val="auto"/>
          <w:szCs w:val="21"/>
          <w:highlight w:val="none"/>
        </w:rPr>
        <w:t>（</w:t>
      </w:r>
      <w:r>
        <w:rPr>
          <w:rFonts w:hint="eastAsia" w:ascii="宋体" w:hAnsi="宋体"/>
          <w:color w:val="auto"/>
          <w:szCs w:val="21"/>
          <w:highlight w:val="none"/>
        </w:rPr>
        <w:t>采购人</w:t>
      </w:r>
      <w:r>
        <w:rPr>
          <w:rFonts w:ascii="宋体" w:hAnsi="宋体"/>
          <w:color w:val="auto"/>
          <w:szCs w:val="21"/>
          <w:highlight w:val="none"/>
        </w:rPr>
        <w:t>）及</w:t>
      </w:r>
      <w:r>
        <w:rPr>
          <w:rFonts w:hint="eastAsia" w:ascii="宋体" w:hAnsi="宋体"/>
          <w:color w:val="auto"/>
          <w:szCs w:val="21"/>
          <w:highlight w:val="none"/>
          <w:u w:val="single"/>
        </w:rPr>
        <w:t xml:space="preserve">    xxx   </w:t>
      </w:r>
      <w:r>
        <w:rPr>
          <w:rFonts w:hint="eastAsia" w:ascii="宋体" w:hAnsi="宋体"/>
          <w:color w:val="auto"/>
          <w:szCs w:val="21"/>
          <w:highlight w:val="none"/>
        </w:rPr>
        <w:t>公司</w:t>
      </w:r>
      <w:r>
        <w:rPr>
          <w:rFonts w:ascii="宋体" w:hAnsi="宋体"/>
          <w:color w:val="auto"/>
          <w:szCs w:val="21"/>
          <w:highlight w:val="none"/>
        </w:rPr>
        <w:t>（采购代理机构）</w:t>
      </w:r>
      <w:r>
        <w:rPr>
          <w:rFonts w:hint="eastAsia" w:ascii="宋体" w:hAnsi="宋体"/>
          <w:color w:val="auto"/>
          <w:szCs w:val="21"/>
          <w:highlight w:val="none"/>
        </w:rPr>
        <w:t>。</w:t>
      </w:r>
    </w:p>
    <w:p>
      <w:pPr>
        <w:pStyle w:val="49"/>
        <w:spacing w:line="500" w:lineRule="atLeast"/>
        <w:ind w:firstLine="3517" w:firstLineChars="1675"/>
        <w:rPr>
          <w:rFonts w:ascii="宋体" w:eastAsia="宋体"/>
          <w:color w:val="auto"/>
          <w:sz w:val="21"/>
          <w:szCs w:val="21"/>
          <w:highlight w:val="none"/>
        </w:rPr>
      </w:pPr>
    </w:p>
    <w:p>
      <w:pPr>
        <w:pStyle w:val="49"/>
        <w:spacing w:line="500" w:lineRule="atLeast"/>
        <w:ind w:firstLine="3517" w:firstLineChars="1675"/>
        <w:rPr>
          <w:rFonts w:ascii="宋体" w:eastAsia="宋体"/>
          <w:color w:val="auto"/>
          <w:sz w:val="21"/>
          <w:szCs w:val="21"/>
          <w:highlight w:val="none"/>
        </w:rPr>
      </w:pPr>
    </w:p>
    <w:p>
      <w:pPr>
        <w:pStyle w:val="49"/>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49"/>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法定代表人签字（签名或盖私章）：</w:t>
      </w:r>
    </w:p>
    <w:p>
      <w:pPr>
        <w:pStyle w:val="49"/>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49"/>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pPr>
        <w:pStyle w:val="8"/>
        <w:widowControl w:val="0"/>
        <w:overflowPunct w:val="0"/>
        <w:spacing w:line="240" w:lineRule="auto"/>
        <w:rPr>
          <w:rFonts w:ascii="宋体" w:hAnsi="宋体"/>
          <w:color w:val="auto"/>
          <w:sz w:val="21"/>
          <w:szCs w:val="21"/>
          <w:highlight w:val="none"/>
        </w:rPr>
      </w:pPr>
      <w:bookmarkStart w:id="946" w:name="_Toc15178"/>
      <w:r>
        <w:rPr>
          <w:rFonts w:hint="eastAsia" w:ascii="宋体" w:hAnsi="宋体"/>
          <w:color w:val="auto"/>
          <w:sz w:val="21"/>
          <w:szCs w:val="21"/>
          <w:highlight w:val="none"/>
        </w:rPr>
        <w:t>附件8.营业执照</w:t>
      </w:r>
      <w:bookmarkEnd w:id="946"/>
    </w:p>
    <w:p>
      <w:pPr>
        <w:jc w:val="center"/>
        <w:rPr>
          <w:rFonts w:ascii="黑体" w:eastAsia="黑体"/>
          <w:color w:val="auto"/>
          <w:sz w:val="28"/>
          <w:szCs w:val="28"/>
          <w:highlight w:val="none"/>
        </w:rPr>
      </w:pPr>
      <w:bookmarkStart w:id="947" w:name="_Toc4926"/>
      <w:bookmarkStart w:id="948" w:name="_Toc5919"/>
      <w:bookmarkStart w:id="949" w:name="_Toc17470"/>
      <w:bookmarkStart w:id="950" w:name="_Toc1511"/>
      <w:bookmarkStart w:id="951" w:name="_Toc24210"/>
      <w:r>
        <w:rPr>
          <w:rFonts w:hint="eastAsia" w:ascii="黑体" w:eastAsia="黑体"/>
          <w:color w:val="auto"/>
          <w:sz w:val="28"/>
          <w:szCs w:val="28"/>
          <w:highlight w:val="none"/>
        </w:rPr>
        <w:t>营业执照</w:t>
      </w:r>
      <w:bookmarkEnd w:id="947"/>
      <w:bookmarkEnd w:id="948"/>
      <w:bookmarkEnd w:id="949"/>
      <w:bookmarkEnd w:id="950"/>
      <w:bookmarkEnd w:id="951"/>
      <w:r>
        <w:rPr>
          <w:rFonts w:hint="eastAsia" w:ascii="黑体" w:eastAsia="黑体"/>
          <w:color w:val="auto"/>
          <w:sz w:val="28"/>
          <w:szCs w:val="28"/>
          <w:highlight w:val="none"/>
        </w:rPr>
        <w:t xml:space="preserve">  包组号（ ）</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8"/>
        <w:widowControl w:val="0"/>
        <w:overflowPunct w:val="0"/>
        <w:spacing w:line="240" w:lineRule="auto"/>
        <w:rPr>
          <w:rFonts w:ascii="宋体" w:hAnsi="宋体"/>
          <w:color w:val="auto"/>
          <w:sz w:val="21"/>
          <w:szCs w:val="21"/>
          <w:highlight w:val="none"/>
        </w:rPr>
      </w:pPr>
      <w:bookmarkStart w:id="952" w:name="_Toc5052"/>
      <w:r>
        <w:rPr>
          <w:rFonts w:hint="eastAsia" w:ascii="宋体" w:hAnsi="宋体"/>
          <w:color w:val="auto"/>
          <w:sz w:val="21"/>
          <w:szCs w:val="21"/>
          <w:highlight w:val="none"/>
        </w:rPr>
        <w:t>附件9.相关资质证明文件</w:t>
      </w:r>
      <w:bookmarkEnd w:id="952"/>
    </w:p>
    <w:p>
      <w:pPr>
        <w:rPr>
          <w:color w:val="auto"/>
          <w:highlight w:val="none"/>
        </w:rPr>
      </w:pPr>
    </w:p>
    <w:p>
      <w:pPr>
        <w:jc w:val="center"/>
        <w:rPr>
          <w:rFonts w:ascii="黑体" w:eastAsia="黑体"/>
          <w:color w:val="auto"/>
          <w:sz w:val="28"/>
          <w:szCs w:val="28"/>
          <w:highlight w:val="none"/>
        </w:rPr>
      </w:pPr>
      <w:bookmarkStart w:id="953" w:name="_Toc30307"/>
      <w:bookmarkStart w:id="954" w:name="_Toc9592"/>
      <w:bookmarkStart w:id="955" w:name="_Toc16233"/>
      <w:bookmarkStart w:id="956" w:name="_Toc13458"/>
      <w:bookmarkStart w:id="957" w:name="_Toc16698"/>
      <w:r>
        <w:rPr>
          <w:rFonts w:hint="eastAsia" w:ascii="黑体" w:eastAsia="黑体"/>
          <w:color w:val="auto"/>
          <w:sz w:val="28"/>
          <w:szCs w:val="28"/>
          <w:highlight w:val="none"/>
        </w:rPr>
        <w:t>相关资质证明文件</w:t>
      </w:r>
      <w:bookmarkEnd w:id="944"/>
      <w:bookmarkEnd w:id="953"/>
      <w:bookmarkEnd w:id="954"/>
      <w:bookmarkEnd w:id="955"/>
      <w:bookmarkEnd w:id="956"/>
      <w:bookmarkEnd w:id="957"/>
      <w:r>
        <w:rPr>
          <w:rFonts w:hint="eastAsia" w:ascii="黑体" w:eastAsia="黑体"/>
          <w:color w:val="auto"/>
          <w:sz w:val="28"/>
          <w:szCs w:val="28"/>
          <w:highlight w:val="none"/>
        </w:rPr>
        <w:t xml:space="preserve">  包组号（ ）</w:t>
      </w:r>
    </w:p>
    <w:p>
      <w:pPr>
        <w:numPr>
          <w:ilvl w:val="0"/>
          <w:numId w:val="125"/>
        </w:numP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符合投标邀请书“投标人资格要求”其他要求对应的证明文件；</w:t>
      </w:r>
    </w:p>
    <w:p>
      <w:pPr>
        <w:numPr>
          <w:ilvl w:val="0"/>
          <w:numId w:val="125"/>
        </w:numP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投标人认为必要的文件。</w:t>
      </w:r>
      <w:r>
        <w:rPr>
          <w:rFonts w:hint="eastAsia" w:ascii="宋体" w:hAnsi="宋体" w:cs="宋体"/>
          <w:b/>
          <w:bCs/>
          <w:color w:val="auto"/>
          <w:szCs w:val="21"/>
          <w:highlight w:val="none"/>
        </w:rPr>
        <w:br w:type="page"/>
      </w:r>
    </w:p>
    <w:p>
      <w:pPr>
        <w:pStyle w:val="8"/>
        <w:widowControl w:val="0"/>
        <w:overflowPunct w:val="0"/>
        <w:spacing w:line="240" w:lineRule="auto"/>
        <w:rPr>
          <w:rFonts w:ascii="楷体_GB2312" w:eastAsia="楷体_GB2312"/>
          <w:color w:val="auto"/>
          <w:highlight w:val="none"/>
        </w:rPr>
      </w:pPr>
      <w:bookmarkStart w:id="958" w:name="_Toc30039"/>
      <w:r>
        <w:rPr>
          <w:rFonts w:hint="eastAsia" w:ascii="宋体" w:hAnsi="宋体"/>
          <w:color w:val="auto"/>
          <w:sz w:val="21"/>
          <w:szCs w:val="21"/>
          <w:highlight w:val="none"/>
        </w:rPr>
        <w:t>附件10.在经营活动中没有重大违法记录的书面声明格式</w:t>
      </w:r>
      <w:bookmarkEnd w:id="958"/>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投标人在经营活动中前三年内未有重大违法记录、没有不良信用记录的声明函  包组号（ ）</w:t>
      </w:r>
    </w:p>
    <w:p>
      <w:pPr>
        <w:ind w:firstLine="420" w:firstLineChars="200"/>
        <w:rPr>
          <w:rFonts w:ascii="宋体" w:hAnsi="宋体" w:cs="宋体"/>
          <w:color w:val="auto"/>
          <w:szCs w:val="21"/>
          <w:highlight w:val="none"/>
        </w:rPr>
      </w:pP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x</w:t>
      </w:r>
      <w:r>
        <w:rPr>
          <w:rFonts w:ascii="宋体" w:hAnsi="宋体" w:cs="宋体"/>
          <w:color w:val="auto"/>
          <w:szCs w:val="21"/>
          <w:highlight w:val="none"/>
        </w:rPr>
        <w:t>xxxxx</w:t>
      </w:r>
      <w:r>
        <w:rPr>
          <w:rFonts w:hint="eastAsia" w:ascii="宋体" w:hAnsi="宋体" w:cs="宋体"/>
          <w:color w:val="auto"/>
          <w:szCs w:val="21"/>
          <w:highlight w:val="none"/>
        </w:rPr>
        <w:t>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 xml:space="preserve"> （采购项目名称）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活动前三年内（设立不满三年的从设立之日计算），在经营活动中没有重大违法记录；至本项目提交投标文件截止时间止未被列入“信用中国”网站失信被执行人、重大税收违法失信主体、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投标人名称（盖章）：</w:t>
      </w: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rPr>
          <w:color w:val="auto"/>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color w:val="auto"/>
          <w:highlight w:val="none"/>
        </w:rPr>
      </w:pPr>
    </w:p>
    <w:p>
      <w:pPr>
        <w:pStyle w:val="8"/>
        <w:widowControl w:val="0"/>
        <w:overflowPunct w:val="0"/>
        <w:spacing w:line="240" w:lineRule="auto"/>
        <w:rPr>
          <w:rFonts w:ascii="楷体_GB2312" w:eastAsia="楷体_GB2312"/>
          <w:color w:val="auto"/>
          <w:highlight w:val="none"/>
        </w:rPr>
      </w:pPr>
      <w:bookmarkStart w:id="959" w:name="_Toc12444"/>
      <w:r>
        <w:rPr>
          <w:rFonts w:hint="eastAsia" w:ascii="宋体" w:hAnsi="宋体"/>
          <w:color w:val="auto"/>
          <w:sz w:val="21"/>
          <w:szCs w:val="21"/>
          <w:highlight w:val="none"/>
        </w:rPr>
        <w:t>附件11.承诺书格式</w:t>
      </w:r>
      <w:bookmarkEnd w:id="959"/>
    </w:p>
    <w:p>
      <w:pPr>
        <w:jc w:val="center"/>
        <w:rPr>
          <w:rFonts w:ascii="黑体" w:eastAsia="黑体"/>
          <w:color w:val="auto"/>
          <w:sz w:val="28"/>
          <w:szCs w:val="28"/>
          <w:highlight w:val="none"/>
        </w:rPr>
      </w:pPr>
      <w:r>
        <w:rPr>
          <w:rFonts w:hint="eastAsia" w:ascii="黑体" w:eastAsia="黑体"/>
          <w:color w:val="auto"/>
          <w:sz w:val="28"/>
          <w:szCs w:val="28"/>
          <w:highlight w:val="none"/>
        </w:rPr>
        <w:t>承诺书-1  包组号（ A/B/C/D/E）</w:t>
      </w:r>
    </w:p>
    <w:p>
      <w:pPr>
        <w:pStyle w:val="49"/>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致xxx公司：</w:t>
      </w:r>
    </w:p>
    <w:p>
      <w:pPr>
        <w:jc w:val="center"/>
        <w:rPr>
          <w:rFonts w:ascii="宋体" w:hAnsi="宋体" w:cs="宋体"/>
          <w:color w:val="auto"/>
          <w:szCs w:val="21"/>
          <w:highlight w:val="none"/>
        </w:rPr>
      </w:pPr>
    </w:p>
    <w:p>
      <w:pPr>
        <w:pStyle w:val="49"/>
        <w:spacing w:line="420" w:lineRule="exact"/>
        <w:ind w:firstLine="433"/>
        <w:rPr>
          <w:rFonts w:ascii="宋体" w:eastAsia="宋体" w:cs="宋体"/>
          <w:color w:val="auto"/>
          <w:sz w:val="21"/>
          <w:szCs w:val="21"/>
          <w:highlight w:val="none"/>
        </w:rPr>
      </w:pPr>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）采购文件的所有内容（包括澄清，以及所有已提供的参考资料和有关附件），并完全理解上述文件所表达的意思，该项目递交投标文件时间截止后，我方承诺不再对上述文件内容有异议。</w:t>
      </w:r>
      <w:r>
        <w:rPr>
          <w:rFonts w:hint="eastAsia" w:ascii="宋体" w:eastAsia="宋体" w:cs="宋体"/>
          <w:color w:val="auto"/>
          <w:sz w:val="21"/>
          <w:szCs w:val="21"/>
          <w:highlight w:val="none"/>
        </w:rPr>
        <w:cr/>
      </w:r>
    </w:p>
    <w:p>
      <w:pPr>
        <w:pStyle w:val="49"/>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rPr>
          <w:color w:val="auto"/>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pStyle w:val="2"/>
        <w:rPr>
          <w:color w:val="auto"/>
          <w:sz w:val="21"/>
          <w:szCs w:val="21"/>
          <w:highlight w:val="none"/>
        </w:rPr>
      </w:pPr>
    </w:p>
    <w:p>
      <w:pPr>
        <w:jc w:val="center"/>
        <w:rPr>
          <w:rFonts w:ascii="黑体" w:eastAsia="黑体"/>
          <w:color w:val="auto"/>
          <w:sz w:val="28"/>
          <w:szCs w:val="28"/>
          <w:highlight w:val="none"/>
        </w:rPr>
      </w:pPr>
      <w:bookmarkStart w:id="960" w:name="_Toc32126"/>
      <w:bookmarkStart w:id="961" w:name="_Toc24267"/>
      <w:bookmarkStart w:id="962" w:name="_Toc12625"/>
      <w:r>
        <w:rPr>
          <w:rFonts w:hint="eastAsia" w:ascii="黑体" w:eastAsia="黑体"/>
          <w:color w:val="auto"/>
          <w:sz w:val="28"/>
          <w:szCs w:val="28"/>
          <w:highlight w:val="none"/>
        </w:rPr>
        <w:t>关于工期的承诺书-2 包号（A）</w:t>
      </w:r>
      <w:bookmarkEnd w:id="960"/>
      <w:bookmarkEnd w:id="961"/>
    </w:p>
    <w:p>
      <w:pPr>
        <w:pStyle w:val="11"/>
        <w:rPr>
          <w:rFonts w:ascii="宋体" w:hAnsi="宋体" w:cs="宋体"/>
          <w:color w:val="auto"/>
          <w:highlight w:val="none"/>
        </w:rPr>
      </w:pPr>
    </w:p>
    <w:p>
      <w:pPr>
        <w:ind w:firstLine="720" w:firstLineChars="300"/>
        <w:rPr>
          <w:rFonts w:hint="eastAsia" w:ascii="宋体" w:hAnsi="宋体" w:eastAsia="宋体" w:cs="宋体"/>
          <w:color w:val="auto"/>
          <w:sz w:val="24"/>
          <w:highlight w:val="none"/>
          <w:lang w:eastAsia="zh-CN"/>
        </w:rPr>
      </w:pPr>
      <w:r>
        <w:rPr>
          <w:rFonts w:hint="eastAsia" w:ascii="宋体" w:hAnsi="宋体" w:cs="宋体"/>
          <w:color w:val="auto"/>
          <w:sz w:val="24"/>
          <w:highlight w:val="none"/>
        </w:rPr>
        <w:t>投标人名称（公章）：         招标编号：</w:t>
      </w:r>
      <w:r>
        <w:rPr>
          <w:rFonts w:hint="eastAsia" w:ascii="宋体" w:hAnsi="宋体" w:cs="宋体"/>
          <w:color w:val="auto"/>
          <w:sz w:val="24"/>
          <w:highlight w:val="none"/>
          <w:lang w:eastAsia="zh-CN"/>
        </w:rPr>
        <w:t>DSCF-LB-02-08-010(2023)</w:t>
      </w:r>
    </w:p>
    <w:p>
      <w:pPr>
        <w:spacing w:before="180" w:beforeLines="50" w:after="180" w:afterLines="50"/>
        <w:ind w:firstLine="420"/>
        <w:rPr>
          <w:rFonts w:ascii="宋体" w:hAnsi="宋体" w:cs="宋体"/>
          <w:color w:val="auto"/>
          <w:sz w:val="24"/>
          <w:highlight w:val="none"/>
        </w:rPr>
      </w:pPr>
      <w:r>
        <w:rPr>
          <w:rFonts w:hint="eastAsia" w:ascii="宋体" w:hAnsi="宋体" w:cs="宋体"/>
          <w:color w:val="auto"/>
          <w:sz w:val="24"/>
          <w:highlight w:val="none"/>
        </w:rPr>
        <w:t>我方如中标本项目，将严格按照采购文件中有关工期的要求，按下表节点时间对应完成相应项目实施。</w:t>
      </w:r>
    </w:p>
    <w:tbl>
      <w:tblPr>
        <w:tblStyle w:val="34"/>
        <w:tblW w:w="84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70"/>
        <w:gridCol w:w="3224"/>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序号</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主要节点</w:t>
            </w:r>
          </w:p>
        </w:tc>
        <w:tc>
          <w:tcPr>
            <w:tcW w:w="3224"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日期</w:t>
            </w:r>
          </w:p>
        </w:tc>
        <w:tc>
          <w:tcPr>
            <w:tcW w:w="166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1</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土建设计条件提资</w:t>
            </w:r>
          </w:p>
        </w:tc>
        <w:tc>
          <w:tcPr>
            <w:tcW w:w="3224"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中标通知书发出后一周内</w:t>
            </w:r>
          </w:p>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(根据车间土建方案图结合设备进行微调)</w:t>
            </w:r>
          </w:p>
        </w:tc>
        <w:tc>
          <w:tcPr>
            <w:tcW w:w="1669" w:type="dxa"/>
            <w:vAlign w:val="center"/>
          </w:tcPr>
          <w:p>
            <w:pPr>
              <w:autoSpaceDE w:val="0"/>
              <w:autoSpaceDN w:val="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2</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设备到货</w:t>
            </w:r>
          </w:p>
        </w:tc>
        <w:tc>
          <w:tcPr>
            <w:tcW w:w="3224" w:type="dxa"/>
            <w:vAlign w:val="center"/>
          </w:tcPr>
          <w:p>
            <w:pPr>
              <w:autoSpaceDE w:val="0"/>
              <w:autoSpaceDN w:val="0"/>
              <w:rPr>
                <w:rFonts w:ascii="宋体" w:hAnsi="宋体" w:cs="宋体"/>
                <w:color w:val="auto"/>
                <w:sz w:val="24"/>
                <w:highlight w:val="none"/>
              </w:rPr>
            </w:pPr>
            <w:r>
              <w:rPr>
                <w:rFonts w:hint="eastAsia" w:ascii="宋体" w:hAnsi="宋体" w:cs="宋体"/>
                <w:color w:val="auto"/>
                <w:sz w:val="24"/>
                <w:highlight w:val="none"/>
              </w:rPr>
              <w:t>收到采购人进场通知后一周</w:t>
            </w:r>
          </w:p>
        </w:tc>
        <w:tc>
          <w:tcPr>
            <w:tcW w:w="1669" w:type="dxa"/>
            <w:vAlign w:val="center"/>
          </w:tcPr>
          <w:p>
            <w:pPr>
              <w:autoSpaceDE w:val="0"/>
              <w:autoSpaceDN w:val="0"/>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3</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设备安装完成</w:t>
            </w:r>
          </w:p>
        </w:tc>
        <w:tc>
          <w:tcPr>
            <w:tcW w:w="3224"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设备到货后一个半月内</w:t>
            </w:r>
          </w:p>
        </w:tc>
        <w:tc>
          <w:tcPr>
            <w:tcW w:w="1669" w:type="dxa"/>
            <w:vAlign w:val="center"/>
          </w:tcPr>
          <w:p>
            <w:pPr>
              <w:autoSpaceDE w:val="0"/>
              <w:autoSpaceDN w:val="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4</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设备调试</w:t>
            </w:r>
          </w:p>
        </w:tc>
        <w:tc>
          <w:tcPr>
            <w:tcW w:w="3224"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设备安装完成后一个月内</w:t>
            </w:r>
          </w:p>
        </w:tc>
        <w:tc>
          <w:tcPr>
            <w:tcW w:w="1669" w:type="dxa"/>
            <w:vAlign w:val="center"/>
          </w:tcPr>
          <w:p>
            <w:pPr>
              <w:autoSpaceDE w:val="0"/>
              <w:autoSpaceDN w:val="0"/>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5</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性能测试完成</w:t>
            </w:r>
          </w:p>
        </w:tc>
        <w:tc>
          <w:tcPr>
            <w:tcW w:w="3224"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中转站投入使用后一个月内</w:t>
            </w:r>
          </w:p>
        </w:tc>
        <w:tc>
          <w:tcPr>
            <w:tcW w:w="1669" w:type="dxa"/>
            <w:vAlign w:val="center"/>
          </w:tcPr>
          <w:p>
            <w:pPr>
              <w:autoSpaceDE w:val="0"/>
              <w:autoSpaceDN w:val="0"/>
              <w:jc w:val="center"/>
              <w:rPr>
                <w:rFonts w:ascii="宋体" w:hAnsi="宋体" w:cs="宋体"/>
                <w:color w:val="auto"/>
                <w:sz w:val="24"/>
                <w:highlight w:val="none"/>
              </w:rPr>
            </w:pPr>
          </w:p>
        </w:tc>
      </w:tr>
    </w:tbl>
    <w:p>
      <w:pPr>
        <w:ind w:firstLine="480" w:firstLineChars="200"/>
        <w:rPr>
          <w:rFonts w:hint="eastAsia" w:ascii="宋体" w:hAnsi="宋体" w:eastAsia="宋体" w:cs="宋体"/>
          <w:color w:val="auto"/>
          <w:sz w:val="24"/>
          <w:szCs w:val="22"/>
          <w:highlight w:val="none"/>
        </w:rPr>
      </w:pPr>
      <w:r>
        <w:rPr>
          <w:rFonts w:hint="eastAsia" w:ascii="宋体" w:hAnsi="宋体" w:cs="宋体"/>
          <w:color w:val="auto"/>
          <w:sz w:val="24"/>
          <w:highlight w:val="none"/>
        </w:rPr>
        <w:t>我公司承诺完全按照以上日期安排保证各工程节点按时完成，因我公司自身原因在相应项目实施进度中出现与上表进度延误情况：</w:t>
      </w:r>
      <w:r>
        <w:rPr>
          <w:rFonts w:hint="eastAsia" w:ascii="宋体" w:hAnsi="宋体" w:eastAsia="宋体" w:cs="宋体"/>
          <w:color w:val="auto"/>
          <w:sz w:val="24"/>
          <w:szCs w:val="22"/>
          <w:highlight w:val="none"/>
        </w:rPr>
        <w:t>（1）逾期第1~5 日历日，每延误一日按</w:t>
      </w:r>
      <w:r>
        <w:rPr>
          <w:rFonts w:hint="eastAsia" w:ascii="宋体" w:hAnsi="宋体" w:eastAsia="宋体" w:cs="宋体"/>
          <w:color w:val="auto"/>
          <w:sz w:val="24"/>
          <w:szCs w:val="22"/>
          <w:highlight w:val="none"/>
          <w:lang w:val="en-US" w:eastAsia="zh-CN"/>
        </w:rPr>
        <w:t>中标</w:t>
      </w:r>
      <w:r>
        <w:rPr>
          <w:rFonts w:hint="eastAsia" w:ascii="宋体" w:hAnsi="宋体" w:eastAsia="宋体" w:cs="宋体"/>
          <w:color w:val="auto"/>
          <w:sz w:val="24"/>
          <w:szCs w:val="22"/>
          <w:highlight w:val="none"/>
        </w:rPr>
        <w:t>总价的 0.4%计算违约金； （2）逾期第6~10 日历日，每延误一日按</w:t>
      </w:r>
      <w:r>
        <w:rPr>
          <w:rFonts w:hint="eastAsia" w:ascii="宋体" w:hAnsi="宋体" w:eastAsia="宋体" w:cs="宋体"/>
          <w:color w:val="auto"/>
          <w:sz w:val="24"/>
          <w:szCs w:val="22"/>
          <w:highlight w:val="none"/>
          <w:lang w:val="en-US" w:eastAsia="zh-CN"/>
        </w:rPr>
        <w:t>中标</w:t>
      </w:r>
      <w:r>
        <w:rPr>
          <w:rFonts w:hint="eastAsia" w:ascii="宋体" w:hAnsi="宋体" w:eastAsia="宋体" w:cs="宋体"/>
          <w:color w:val="auto"/>
          <w:sz w:val="24"/>
          <w:szCs w:val="22"/>
          <w:highlight w:val="none"/>
        </w:rPr>
        <w:t>总价的 0.7%计算违约金； （3）逾期第11~15 日历日，每延误一日按</w:t>
      </w:r>
      <w:r>
        <w:rPr>
          <w:rFonts w:hint="eastAsia" w:ascii="宋体" w:hAnsi="宋体" w:eastAsia="宋体" w:cs="宋体"/>
          <w:color w:val="auto"/>
          <w:sz w:val="24"/>
          <w:szCs w:val="22"/>
          <w:highlight w:val="none"/>
          <w:lang w:val="en-US" w:eastAsia="zh-CN"/>
        </w:rPr>
        <w:t>中标</w:t>
      </w:r>
      <w:r>
        <w:rPr>
          <w:rFonts w:hint="eastAsia" w:ascii="宋体" w:hAnsi="宋体" w:eastAsia="宋体" w:cs="宋体"/>
          <w:color w:val="auto"/>
          <w:sz w:val="24"/>
          <w:szCs w:val="22"/>
          <w:highlight w:val="none"/>
        </w:rPr>
        <w:t>总价的 0.9%计算违约金</w:t>
      </w:r>
      <w:r>
        <w:rPr>
          <w:rFonts w:hint="eastAsia" w:ascii="宋体" w:hAnsi="宋体" w:cs="宋体"/>
          <w:color w:val="auto"/>
          <w:sz w:val="24"/>
          <w:szCs w:val="22"/>
          <w:highlight w:val="none"/>
          <w:lang w:eastAsia="zh-CN"/>
        </w:rPr>
        <w:t>。</w:t>
      </w:r>
      <w:r>
        <w:rPr>
          <w:rFonts w:hint="eastAsia" w:ascii="宋体" w:hAnsi="宋体" w:eastAsia="宋体" w:cs="宋体"/>
          <w:color w:val="auto"/>
          <w:sz w:val="24"/>
          <w:szCs w:val="22"/>
          <w:highlight w:val="none"/>
        </w:rPr>
        <w:t>注：以上违约金分段累计。</w:t>
      </w:r>
    </w:p>
    <w:p>
      <w:pPr>
        <w:rPr>
          <w:rFonts w:ascii="宋体" w:hAnsi="宋体" w:cs="宋体"/>
          <w:color w:val="auto"/>
          <w:sz w:val="24"/>
          <w:highlight w:val="none"/>
        </w:rPr>
      </w:pPr>
      <w:r>
        <w:rPr>
          <w:rFonts w:hint="eastAsia" w:ascii="宋体" w:hAnsi="宋体" w:eastAsia="宋体" w:cs="宋体"/>
          <w:color w:val="auto"/>
          <w:sz w:val="24"/>
          <w:szCs w:val="22"/>
          <w:highlight w:val="none"/>
        </w:rPr>
        <w:t>违约金不足以弥补因此给</w:t>
      </w:r>
      <w:r>
        <w:rPr>
          <w:rFonts w:hint="eastAsia" w:ascii="宋体" w:hAnsi="宋体" w:eastAsia="宋体" w:cs="宋体"/>
          <w:color w:val="auto"/>
          <w:sz w:val="24"/>
          <w:szCs w:val="22"/>
          <w:highlight w:val="none"/>
          <w:lang w:val="en-US" w:eastAsia="zh-CN"/>
        </w:rPr>
        <w:t>采购人</w:t>
      </w:r>
      <w:r>
        <w:rPr>
          <w:rFonts w:hint="eastAsia" w:ascii="宋体" w:hAnsi="宋体" w:eastAsia="宋体" w:cs="宋体"/>
          <w:color w:val="auto"/>
          <w:sz w:val="24"/>
          <w:szCs w:val="22"/>
          <w:highlight w:val="none"/>
        </w:rPr>
        <w:t>造成的损失的，</w:t>
      </w:r>
      <w:r>
        <w:rPr>
          <w:rFonts w:hint="eastAsia" w:ascii="宋体" w:hAnsi="宋体" w:cs="宋体"/>
          <w:color w:val="auto"/>
          <w:sz w:val="24"/>
          <w:highlight w:val="none"/>
        </w:rPr>
        <w:t>我公司按要求补足</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若我司</w:t>
      </w:r>
      <w:r>
        <w:rPr>
          <w:rFonts w:hint="eastAsia" w:ascii="宋体" w:hAnsi="宋体" w:eastAsia="宋体" w:cs="宋体"/>
          <w:color w:val="auto"/>
          <w:sz w:val="24"/>
          <w:szCs w:val="22"/>
          <w:highlight w:val="none"/>
        </w:rPr>
        <w:t>未在</w:t>
      </w:r>
      <w:r>
        <w:rPr>
          <w:rFonts w:hint="eastAsia" w:ascii="宋体" w:hAnsi="宋体" w:eastAsia="宋体" w:cs="宋体"/>
          <w:color w:val="auto"/>
          <w:sz w:val="24"/>
          <w:szCs w:val="22"/>
          <w:highlight w:val="none"/>
          <w:lang w:val="en-US" w:eastAsia="zh-CN"/>
        </w:rPr>
        <w:t>采购人</w:t>
      </w:r>
      <w:r>
        <w:rPr>
          <w:rFonts w:hint="eastAsia" w:ascii="宋体" w:hAnsi="宋体" w:eastAsia="宋体" w:cs="宋体"/>
          <w:color w:val="auto"/>
          <w:sz w:val="24"/>
          <w:szCs w:val="22"/>
          <w:highlight w:val="none"/>
        </w:rPr>
        <w:t>通知的期限内补足的，</w:t>
      </w:r>
      <w:r>
        <w:rPr>
          <w:rFonts w:hint="eastAsia" w:ascii="宋体" w:hAnsi="宋体" w:eastAsia="宋体" w:cs="宋体"/>
          <w:color w:val="auto"/>
          <w:sz w:val="24"/>
          <w:szCs w:val="22"/>
          <w:highlight w:val="none"/>
          <w:lang w:val="en-US" w:eastAsia="zh-CN"/>
        </w:rPr>
        <w:t>同意采购人</w:t>
      </w:r>
      <w:r>
        <w:rPr>
          <w:rFonts w:hint="eastAsia" w:ascii="宋体" w:hAnsi="宋体" w:eastAsia="宋体" w:cs="宋体"/>
          <w:color w:val="auto"/>
          <w:sz w:val="24"/>
          <w:szCs w:val="22"/>
          <w:highlight w:val="none"/>
        </w:rPr>
        <w:t>在未付合同款中扣除；</w:t>
      </w:r>
      <w:r>
        <w:rPr>
          <w:rFonts w:hint="eastAsia" w:ascii="宋体" w:hAnsi="宋体" w:cs="宋体"/>
          <w:color w:val="auto"/>
          <w:sz w:val="24"/>
          <w:highlight w:val="none"/>
        </w:rPr>
        <w:t>若延误累计超过15日（不含15日）的，违约金为中标金额的20％，且采购人可单方面解除合同。同时，造成采购人损失（包括但不限于经济损失等），均由我公司承担。</w:t>
      </w:r>
    </w:p>
    <w:p>
      <w:pPr>
        <w:pStyle w:val="3"/>
        <w:ind w:firstLine="205"/>
        <w:rPr>
          <w:rFonts w:cs="宋体"/>
          <w:color w:val="auto"/>
          <w:sz w:val="24"/>
          <w:highlight w:val="none"/>
        </w:rPr>
      </w:pPr>
    </w:p>
    <w:p>
      <w:pPr>
        <w:rPr>
          <w:rFonts w:ascii="宋体" w:hAnsi="宋体" w:cs="宋体"/>
          <w:color w:val="auto"/>
          <w:sz w:val="24"/>
          <w:szCs w:val="24"/>
          <w:highlight w:val="none"/>
        </w:rPr>
      </w:pPr>
      <w:r>
        <w:rPr>
          <w:rFonts w:hint="eastAsia" w:ascii="宋体" w:hAnsi="宋体" w:cs="宋体"/>
          <w:color w:val="auto"/>
          <w:sz w:val="24"/>
          <w:szCs w:val="24"/>
          <w:highlight w:val="none"/>
        </w:rPr>
        <w:t>投标人法定代表人或其委托人签字： _____________</w:t>
      </w:r>
    </w:p>
    <w:p>
      <w:pPr>
        <w:pStyle w:val="80"/>
        <w:spacing w:before="0" w:after="0"/>
        <w:rPr>
          <w:rFonts w:cs="宋体"/>
          <w:color w:val="auto"/>
          <w:spacing w:val="0"/>
          <w:kern w:val="2"/>
          <w:sz w:val="24"/>
          <w:szCs w:val="24"/>
          <w:highlight w:val="none"/>
        </w:rPr>
      </w:pPr>
      <w:r>
        <w:rPr>
          <w:rFonts w:hint="eastAsia" w:cs="宋体"/>
          <w:color w:val="auto"/>
          <w:spacing w:val="0"/>
          <w:kern w:val="2"/>
          <w:sz w:val="24"/>
          <w:szCs w:val="24"/>
          <w:highlight w:val="none"/>
        </w:rPr>
        <w:t>日  期：</w:t>
      </w:r>
    </w:p>
    <w:p>
      <w:pPr>
        <w:pStyle w:val="80"/>
        <w:spacing w:before="0" w:after="0"/>
        <w:rPr>
          <w:rFonts w:cs="宋体"/>
          <w:color w:val="auto"/>
          <w:spacing w:val="0"/>
          <w:kern w:val="2"/>
          <w:sz w:val="24"/>
          <w:szCs w:val="24"/>
          <w:highlight w:val="none"/>
        </w:rPr>
      </w:pPr>
    </w:p>
    <w:p>
      <w:pPr>
        <w:pStyle w:val="80"/>
        <w:spacing w:before="0" w:after="0"/>
        <w:rPr>
          <w:rFonts w:cs="宋体"/>
          <w:color w:val="auto"/>
          <w:spacing w:val="0"/>
          <w:kern w:val="2"/>
          <w:sz w:val="24"/>
          <w:szCs w:val="24"/>
          <w:highlight w:val="none"/>
        </w:rPr>
      </w:pPr>
    </w:p>
    <w:p>
      <w:pPr>
        <w:pStyle w:val="80"/>
        <w:spacing w:before="0" w:after="0"/>
        <w:rPr>
          <w:rFonts w:cs="宋体"/>
          <w:color w:val="auto"/>
          <w:spacing w:val="0"/>
          <w:kern w:val="2"/>
          <w:sz w:val="24"/>
          <w:szCs w:val="24"/>
          <w:highlight w:val="none"/>
        </w:rPr>
      </w:pPr>
    </w:p>
    <w:p>
      <w:pPr>
        <w:jc w:val="center"/>
        <w:rPr>
          <w:rFonts w:ascii="黑体" w:eastAsia="黑体"/>
          <w:color w:val="auto"/>
          <w:sz w:val="28"/>
          <w:szCs w:val="28"/>
          <w:highlight w:val="none"/>
        </w:rPr>
      </w:pPr>
      <w:bookmarkStart w:id="963" w:name="_Toc25194"/>
      <w:r>
        <w:rPr>
          <w:rFonts w:hint="eastAsia" w:ascii="黑体" w:eastAsia="黑体"/>
          <w:color w:val="auto"/>
          <w:sz w:val="28"/>
          <w:szCs w:val="28"/>
          <w:highlight w:val="none"/>
        </w:rPr>
        <w:t>关于工期的承诺书-2 包号（B）</w:t>
      </w:r>
      <w:bookmarkEnd w:id="962"/>
      <w:bookmarkEnd w:id="963"/>
    </w:p>
    <w:p>
      <w:pPr>
        <w:pStyle w:val="11"/>
        <w:rPr>
          <w:rFonts w:ascii="宋体" w:hAnsi="宋体" w:cs="宋体"/>
          <w:color w:val="auto"/>
          <w:highlight w:val="none"/>
        </w:rPr>
      </w:pPr>
    </w:p>
    <w:p>
      <w:pPr>
        <w:ind w:firstLine="720" w:firstLineChars="300"/>
        <w:rPr>
          <w:rFonts w:hint="eastAsia" w:ascii="宋体" w:hAnsi="宋体" w:eastAsia="宋体" w:cs="宋体"/>
          <w:color w:val="auto"/>
          <w:sz w:val="24"/>
          <w:highlight w:val="none"/>
          <w:lang w:eastAsia="zh-CN"/>
        </w:rPr>
      </w:pPr>
      <w:r>
        <w:rPr>
          <w:rFonts w:hint="eastAsia" w:ascii="宋体" w:hAnsi="宋体" w:cs="宋体"/>
          <w:color w:val="auto"/>
          <w:sz w:val="24"/>
          <w:highlight w:val="none"/>
        </w:rPr>
        <w:t>投标人名称（公章）：         招标编号：</w:t>
      </w:r>
      <w:r>
        <w:rPr>
          <w:rFonts w:hint="eastAsia" w:ascii="宋体" w:hAnsi="宋体" w:cs="宋体"/>
          <w:color w:val="auto"/>
          <w:sz w:val="24"/>
          <w:highlight w:val="none"/>
          <w:lang w:eastAsia="zh-CN"/>
        </w:rPr>
        <w:t>DSCF-LB-02-08-010(2023)</w:t>
      </w:r>
    </w:p>
    <w:p>
      <w:pPr>
        <w:pStyle w:val="11"/>
        <w:ind w:firstLine="0"/>
        <w:rPr>
          <w:rFonts w:ascii="宋体" w:hAnsi="宋体" w:cs="宋体"/>
          <w:color w:val="auto"/>
          <w:highlight w:val="none"/>
        </w:rPr>
      </w:pPr>
    </w:p>
    <w:p>
      <w:pPr>
        <w:spacing w:before="180" w:beforeLines="50" w:after="180" w:afterLines="50"/>
        <w:ind w:firstLine="420"/>
        <w:rPr>
          <w:rFonts w:ascii="宋体" w:hAnsi="宋体" w:cs="宋体"/>
          <w:color w:val="auto"/>
          <w:sz w:val="24"/>
          <w:highlight w:val="none"/>
        </w:rPr>
      </w:pPr>
      <w:r>
        <w:rPr>
          <w:rFonts w:hint="eastAsia" w:ascii="宋体" w:hAnsi="宋体" w:cs="宋体"/>
          <w:color w:val="auto"/>
          <w:sz w:val="24"/>
          <w:highlight w:val="none"/>
        </w:rPr>
        <w:t>我方如中标本项目，将严格按照采购文件中有关工期的要求，按下表节点时间对应完成相应项目实施。</w:t>
      </w:r>
    </w:p>
    <w:tbl>
      <w:tblPr>
        <w:tblStyle w:val="34"/>
        <w:tblW w:w="84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70"/>
        <w:gridCol w:w="3224"/>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序号</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主要节点</w:t>
            </w:r>
          </w:p>
        </w:tc>
        <w:tc>
          <w:tcPr>
            <w:tcW w:w="3224"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日期</w:t>
            </w:r>
          </w:p>
        </w:tc>
        <w:tc>
          <w:tcPr>
            <w:tcW w:w="166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1</w:t>
            </w:r>
          </w:p>
        </w:tc>
        <w:tc>
          <w:tcPr>
            <w:tcW w:w="2570" w:type="dxa"/>
            <w:vAlign w:val="center"/>
          </w:tcPr>
          <w:p>
            <w:pPr>
              <w:widowControl w:val="0"/>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土建设计条件提资</w:t>
            </w:r>
          </w:p>
        </w:tc>
        <w:tc>
          <w:tcPr>
            <w:tcW w:w="3224" w:type="dxa"/>
            <w:vAlign w:val="center"/>
          </w:tcPr>
          <w:p>
            <w:pPr>
              <w:widowControl w:val="0"/>
              <w:autoSpaceDE w:val="0"/>
              <w:autoSpaceDN w:val="0"/>
              <w:jc w:val="center"/>
              <w:rPr>
                <w:rFonts w:ascii="宋体" w:hAnsi="宋体" w:cs="宋体"/>
                <w:color w:val="auto"/>
                <w:sz w:val="24"/>
                <w:highlight w:val="none"/>
                <w:lang w:bidi="ar"/>
              </w:rPr>
            </w:pPr>
            <w:r>
              <w:rPr>
                <w:rFonts w:hint="eastAsia" w:ascii="宋体" w:hAnsi="宋体" w:cs="宋体"/>
                <w:color w:val="auto"/>
                <w:sz w:val="24"/>
                <w:highlight w:val="none"/>
                <w:lang w:bidi="ar"/>
              </w:rPr>
              <w:t>中标通知书发出后一周内</w:t>
            </w:r>
          </w:p>
          <w:p>
            <w:pPr>
              <w:widowControl w:val="0"/>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(根据车间土建方案图结合设备进行微调)</w:t>
            </w:r>
          </w:p>
        </w:tc>
        <w:tc>
          <w:tcPr>
            <w:tcW w:w="1669" w:type="dxa"/>
            <w:vAlign w:val="center"/>
          </w:tcPr>
          <w:p>
            <w:pPr>
              <w:autoSpaceDE w:val="0"/>
              <w:autoSpaceDN w:val="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2</w:t>
            </w:r>
          </w:p>
        </w:tc>
        <w:tc>
          <w:tcPr>
            <w:tcW w:w="2570" w:type="dxa"/>
            <w:vAlign w:val="center"/>
          </w:tcPr>
          <w:p>
            <w:pPr>
              <w:widowControl w:val="0"/>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设备到货</w:t>
            </w:r>
          </w:p>
        </w:tc>
        <w:tc>
          <w:tcPr>
            <w:tcW w:w="3224" w:type="dxa"/>
            <w:vAlign w:val="center"/>
          </w:tcPr>
          <w:p>
            <w:pPr>
              <w:widowControl w:val="0"/>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收到采购人进场通知后一周</w:t>
            </w:r>
          </w:p>
        </w:tc>
        <w:tc>
          <w:tcPr>
            <w:tcW w:w="1669" w:type="dxa"/>
            <w:vAlign w:val="center"/>
          </w:tcPr>
          <w:p>
            <w:pPr>
              <w:autoSpaceDE w:val="0"/>
              <w:autoSpaceDN w:val="0"/>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3</w:t>
            </w:r>
          </w:p>
        </w:tc>
        <w:tc>
          <w:tcPr>
            <w:tcW w:w="2570" w:type="dxa"/>
            <w:vAlign w:val="center"/>
          </w:tcPr>
          <w:p>
            <w:pPr>
              <w:widowControl w:val="0"/>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设备安装完成</w:t>
            </w:r>
          </w:p>
        </w:tc>
        <w:tc>
          <w:tcPr>
            <w:tcW w:w="3224" w:type="dxa"/>
            <w:vAlign w:val="center"/>
          </w:tcPr>
          <w:p>
            <w:pPr>
              <w:widowControl w:val="0"/>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设备到货后一个半月内</w:t>
            </w:r>
          </w:p>
        </w:tc>
        <w:tc>
          <w:tcPr>
            <w:tcW w:w="1669" w:type="dxa"/>
            <w:vAlign w:val="center"/>
          </w:tcPr>
          <w:p>
            <w:pPr>
              <w:autoSpaceDE w:val="0"/>
              <w:autoSpaceDN w:val="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4</w:t>
            </w:r>
          </w:p>
        </w:tc>
        <w:tc>
          <w:tcPr>
            <w:tcW w:w="2570" w:type="dxa"/>
            <w:vAlign w:val="center"/>
          </w:tcPr>
          <w:p>
            <w:pPr>
              <w:widowControl w:val="0"/>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设备调试</w:t>
            </w:r>
          </w:p>
        </w:tc>
        <w:tc>
          <w:tcPr>
            <w:tcW w:w="3224" w:type="dxa"/>
            <w:vAlign w:val="center"/>
          </w:tcPr>
          <w:p>
            <w:pPr>
              <w:widowControl w:val="0"/>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设备安装完成后一个月内</w:t>
            </w:r>
          </w:p>
        </w:tc>
        <w:tc>
          <w:tcPr>
            <w:tcW w:w="1669" w:type="dxa"/>
            <w:vAlign w:val="center"/>
          </w:tcPr>
          <w:p>
            <w:pPr>
              <w:autoSpaceDE w:val="0"/>
              <w:autoSpaceDN w:val="0"/>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5</w:t>
            </w:r>
          </w:p>
        </w:tc>
        <w:tc>
          <w:tcPr>
            <w:tcW w:w="2570" w:type="dxa"/>
            <w:vAlign w:val="center"/>
          </w:tcPr>
          <w:p>
            <w:pPr>
              <w:widowControl w:val="0"/>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性能测试完成</w:t>
            </w:r>
          </w:p>
        </w:tc>
        <w:tc>
          <w:tcPr>
            <w:tcW w:w="3224" w:type="dxa"/>
            <w:vAlign w:val="center"/>
          </w:tcPr>
          <w:p>
            <w:pPr>
              <w:widowControl w:val="0"/>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中转站投入使用后一个月内</w:t>
            </w:r>
          </w:p>
        </w:tc>
        <w:tc>
          <w:tcPr>
            <w:tcW w:w="1669" w:type="dxa"/>
            <w:vAlign w:val="center"/>
          </w:tcPr>
          <w:p>
            <w:pPr>
              <w:autoSpaceDE w:val="0"/>
              <w:autoSpaceDN w:val="0"/>
              <w:jc w:val="center"/>
              <w:rPr>
                <w:rFonts w:ascii="宋体" w:hAnsi="宋体" w:cs="宋体"/>
                <w:color w:val="auto"/>
                <w:sz w:val="24"/>
                <w:highlight w:val="none"/>
              </w:rPr>
            </w:pPr>
          </w:p>
        </w:tc>
      </w:tr>
    </w:tbl>
    <w:p>
      <w:pPr>
        <w:ind w:firstLine="480" w:firstLineChars="200"/>
        <w:rPr>
          <w:rFonts w:hint="eastAsia" w:ascii="宋体" w:hAnsi="宋体" w:eastAsia="宋体" w:cs="宋体"/>
          <w:color w:val="auto"/>
          <w:sz w:val="24"/>
          <w:szCs w:val="22"/>
          <w:highlight w:val="none"/>
        </w:rPr>
      </w:pPr>
      <w:r>
        <w:rPr>
          <w:rFonts w:hint="eastAsia" w:ascii="宋体" w:hAnsi="宋体" w:cs="宋体"/>
          <w:color w:val="auto"/>
          <w:sz w:val="24"/>
          <w:highlight w:val="none"/>
        </w:rPr>
        <w:t>我公司承诺完全按照以上日期安排保证各工程节点按时完成，因我公司自身原因在相应项目实施进度中出现与上表进度延误情况：</w:t>
      </w:r>
      <w:r>
        <w:rPr>
          <w:rFonts w:hint="eastAsia" w:ascii="宋体" w:hAnsi="宋体" w:eastAsia="宋体" w:cs="宋体"/>
          <w:color w:val="auto"/>
          <w:sz w:val="24"/>
          <w:szCs w:val="22"/>
          <w:highlight w:val="none"/>
        </w:rPr>
        <w:t>（1）逾期第1~5 日历日，每延误一日按</w:t>
      </w:r>
      <w:r>
        <w:rPr>
          <w:rFonts w:hint="eastAsia" w:ascii="宋体" w:hAnsi="宋体" w:eastAsia="宋体" w:cs="宋体"/>
          <w:color w:val="auto"/>
          <w:sz w:val="24"/>
          <w:szCs w:val="22"/>
          <w:highlight w:val="none"/>
          <w:lang w:val="en-US" w:eastAsia="zh-CN"/>
        </w:rPr>
        <w:t>中标</w:t>
      </w:r>
      <w:r>
        <w:rPr>
          <w:rFonts w:hint="eastAsia" w:ascii="宋体" w:hAnsi="宋体" w:eastAsia="宋体" w:cs="宋体"/>
          <w:color w:val="auto"/>
          <w:sz w:val="24"/>
          <w:szCs w:val="22"/>
          <w:highlight w:val="none"/>
        </w:rPr>
        <w:t>总价的 0.4%计算违约金； （2）逾期第6~10 日历日，每延误一日按</w:t>
      </w:r>
      <w:r>
        <w:rPr>
          <w:rFonts w:hint="eastAsia" w:ascii="宋体" w:hAnsi="宋体" w:eastAsia="宋体" w:cs="宋体"/>
          <w:color w:val="auto"/>
          <w:sz w:val="24"/>
          <w:szCs w:val="22"/>
          <w:highlight w:val="none"/>
          <w:lang w:val="en-US" w:eastAsia="zh-CN"/>
        </w:rPr>
        <w:t>中标</w:t>
      </w:r>
      <w:r>
        <w:rPr>
          <w:rFonts w:hint="eastAsia" w:ascii="宋体" w:hAnsi="宋体" w:eastAsia="宋体" w:cs="宋体"/>
          <w:color w:val="auto"/>
          <w:sz w:val="24"/>
          <w:szCs w:val="22"/>
          <w:highlight w:val="none"/>
        </w:rPr>
        <w:t>总价的 0.7%计算违约金； （3）逾期第11~15 日历日，每延误一日按</w:t>
      </w:r>
      <w:r>
        <w:rPr>
          <w:rFonts w:hint="eastAsia" w:ascii="宋体" w:hAnsi="宋体" w:eastAsia="宋体" w:cs="宋体"/>
          <w:color w:val="auto"/>
          <w:sz w:val="24"/>
          <w:szCs w:val="22"/>
          <w:highlight w:val="none"/>
          <w:lang w:val="en-US" w:eastAsia="zh-CN"/>
        </w:rPr>
        <w:t>中标</w:t>
      </w:r>
      <w:r>
        <w:rPr>
          <w:rFonts w:hint="eastAsia" w:ascii="宋体" w:hAnsi="宋体" w:eastAsia="宋体" w:cs="宋体"/>
          <w:color w:val="auto"/>
          <w:sz w:val="24"/>
          <w:szCs w:val="22"/>
          <w:highlight w:val="none"/>
        </w:rPr>
        <w:t>总价的 0.9%计算违约金。 注：以上违约金分段累计。</w:t>
      </w:r>
    </w:p>
    <w:p>
      <w:pPr>
        <w:rPr>
          <w:rFonts w:ascii="宋体" w:hAnsi="宋体" w:cs="宋体"/>
          <w:color w:val="auto"/>
          <w:sz w:val="24"/>
          <w:highlight w:val="none"/>
        </w:rPr>
      </w:pPr>
      <w:r>
        <w:rPr>
          <w:rFonts w:hint="eastAsia" w:ascii="宋体" w:hAnsi="宋体" w:eastAsia="宋体" w:cs="宋体"/>
          <w:color w:val="auto"/>
          <w:sz w:val="24"/>
          <w:szCs w:val="22"/>
          <w:highlight w:val="none"/>
        </w:rPr>
        <w:t>违约金不足以弥补因此给</w:t>
      </w:r>
      <w:r>
        <w:rPr>
          <w:rFonts w:hint="eastAsia" w:ascii="宋体" w:hAnsi="宋体" w:eastAsia="宋体" w:cs="宋体"/>
          <w:color w:val="auto"/>
          <w:sz w:val="24"/>
          <w:szCs w:val="22"/>
          <w:highlight w:val="none"/>
          <w:lang w:val="en-US" w:eastAsia="zh-CN"/>
        </w:rPr>
        <w:t>采购人</w:t>
      </w:r>
      <w:r>
        <w:rPr>
          <w:rFonts w:hint="eastAsia" w:ascii="宋体" w:hAnsi="宋体" w:eastAsia="宋体" w:cs="宋体"/>
          <w:color w:val="auto"/>
          <w:sz w:val="24"/>
          <w:szCs w:val="22"/>
          <w:highlight w:val="none"/>
        </w:rPr>
        <w:t>造成的损失的，</w:t>
      </w:r>
      <w:r>
        <w:rPr>
          <w:rFonts w:hint="eastAsia" w:ascii="宋体" w:hAnsi="宋体" w:cs="宋体"/>
          <w:color w:val="auto"/>
          <w:sz w:val="24"/>
          <w:highlight w:val="none"/>
        </w:rPr>
        <w:t>我公司按要求补足</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若我司</w:t>
      </w:r>
      <w:r>
        <w:rPr>
          <w:rFonts w:hint="eastAsia" w:ascii="宋体" w:hAnsi="宋体" w:eastAsia="宋体" w:cs="宋体"/>
          <w:color w:val="auto"/>
          <w:sz w:val="24"/>
          <w:szCs w:val="22"/>
          <w:highlight w:val="none"/>
        </w:rPr>
        <w:t>未在</w:t>
      </w:r>
      <w:r>
        <w:rPr>
          <w:rFonts w:hint="eastAsia" w:ascii="宋体" w:hAnsi="宋体" w:eastAsia="宋体" w:cs="宋体"/>
          <w:color w:val="auto"/>
          <w:sz w:val="24"/>
          <w:szCs w:val="22"/>
          <w:highlight w:val="none"/>
          <w:lang w:val="en-US" w:eastAsia="zh-CN"/>
        </w:rPr>
        <w:t>采购人</w:t>
      </w:r>
      <w:r>
        <w:rPr>
          <w:rFonts w:hint="eastAsia" w:ascii="宋体" w:hAnsi="宋体" w:eastAsia="宋体" w:cs="宋体"/>
          <w:color w:val="auto"/>
          <w:sz w:val="24"/>
          <w:szCs w:val="22"/>
          <w:highlight w:val="none"/>
        </w:rPr>
        <w:t>通知的期限内补足的，</w:t>
      </w:r>
      <w:r>
        <w:rPr>
          <w:rFonts w:hint="eastAsia" w:ascii="宋体" w:hAnsi="宋体" w:eastAsia="宋体" w:cs="宋体"/>
          <w:color w:val="auto"/>
          <w:sz w:val="24"/>
          <w:szCs w:val="22"/>
          <w:highlight w:val="none"/>
          <w:lang w:val="en-US" w:eastAsia="zh-CN"/>
        </w:rPr>
        <w:t>同意采购人</w:t>
      </w:r>
      <w:r>
        <w:rPr>
          <w:rFonts w:hint="eastAsia" w:ascii="宋体" w:hAnsi="宋体" w:eastAsia="宋体" w:cs="宋体"/>
          <w:color w:val="auto"/>
          <w:sz w:val="24"/>
          <w:szCs w:val="22"/>
          <w:highlight w:val="none"/>
        </w:rPr>
        <w:t>在未付合同款中扣除；</w:t>
      </w:r>
      <w:r>
        <w:rPr>
          <w:rFonts w:hint="eastAsia" w:ascii="宋体" w:hAnsi="宋体" w:cs="宋体"/>
          <w:color w:val="auto"/>
          <w:sz w:val="24"/>
          <w:highlight w:val="none"/>
        </w:rPr>
        <w:t>若延误累计超过15日（不含15日）的，违约金为中标金额的20％，且采购人可单方面解除合同。同时，造成采购人损失（包括但不限于经济损失等），均由我公司承担。</w:t>
      </w:r>
    </w:p>
    <w:p>
      <w:pPr>
        <w:rPr>
          <w:rFonts w:ascii="宋体" w:hAnsi="宋体" w:cs="宋体"/>
          <w:color w:val="auto"/>
          <w:sz w:val="24"/>
          <w:highlight w:val="none"/>
        </w:rPr>
      </w:pPr>
    </w:p>
    <w:p>
      <w:pPr>
        <w:pStyle w:val="3"/>
        <w:ind w:firstLine="205"/>
        <w:rPr>
          <w:rFonts w:cs="宋体"/>
          <w:color w:val="auto"/>
          <w:sz w:val="24"/>
          <w:highlight w:val="none"/>
        </w:rPr>
      </w:pPr>
    </w:p>
    <w:p>
      <w:pPr>
        <w:rPr>
          <w:rFonts w:ascii="宋体" w:hAnsi="宋体" w:cs="宋体"/>
          <w:color w:val="auto"/>
          <w:sz w:val="24"/>
          <w:szCs w:val="24"/>
          <w:highlight w:val="none"/>
        </w:rPr>
      </w:pPr>
      <w:r>
        <w:rPr>
          <w:rFonts w:hint="eastAsia" w:ascii="宋体" w:hAnsi="宋体" w:cs="宋体"/>
          <w:color w:val="auto"/>
          <w:sz w:val="24"/>
          <w:szCs w:val="24"/>
          <w:highlight w:val="none"/>
        </w:rPr>
        <w:t>投标人法定代表人或其委托人签字： _____________</w:t>
      </w:r>
    </w:p>
    <w:p>
      <w:pPr>
        <w:pStyle w:val="80"/>
        <w:spacing w:before="0" w:after="0"/>
        <w:rPr>
          <w:rFonts w:cs="宋体"/>
          <w:color w:val="auto"/>
          <w:spacing w:val="0"/>
          <w:kern w:val="2"/>
          <w:sz w:val="24"/>
          <w:szCs w:val="24"/>
          <w:highlight w:val="none"/>
        </w:rPr>
      </w:pPr>
      <w:r>
        <w:rPr>
          <w:rFonts w:hint="eastAsia" w:cs="宋体"/>
          <w:color w:val="auto"/>
          <w:spacing w:val="0"/>
          <w:kern w:val="2"/>
          <w:sz w:val="24"/>
          <w:szCs w:val="24"/>
          <w:highlight w:val="none"/>
        </w:rPr>
        <w:t>日  期：</w:t>
      </w:r>
    </w:p>
    <w:p>
      <w:pPr>
        <w:pStyle w:val="80"/>
        <w:spacing w:before="0" w:after="0"/>
        <w:rPr>
          <w:rFonts w:cs="宋体"/>
          <w:color w:val="auto"/>
          <w:spacing w:val="0"/>
          <w:kern w:val="2"/>
          <w:sz w:val="24"/>
          <w:szCs w:val="24"/>
          <w:highlight w:val="none"/>
        </w:rPr>
      </w:pPr>
    </w:p>
    <w:p>
      <w:pPr>
        <w:jc w:val="center"/>
        <w:rPr>
          <w:rFonts w:ascii="黑体" w:eastAsia="黑体"/>
          <w:color w:val="auto"/>
          <w:sz w:val="28"/>
          <w:szCs w:val="28"/>
          <w:highlight w:val="none"/>
        </w:rPr>
      </w:pPr>
      <w:bookmarkStart w:id="964" w:name="_Toc21433"/>
      <w:bookmarkStart w:id="965" w:name="_Toc4990"/>
      <w:r>
        <w:rPr>
          <w:rFonts w:hint="eastAsia" w:ascii="黑体" w:eastAsia="黑体"/>
          <w:color w:val="auto"/>
          <w:sz w:val="28"/>
          <w:szCs w:val="28"/>
          <w:highlight w:val="none"/>
        </w:rPr>
        <w:t>关于工期的承诺书-2 包号（C）</w:t>
      </w:r>
      <w:bookmarkEnd w:id="964"/>
      <w:bookmarkEnd w:id="965"/>
    </w:p>
    <w:p>
      <w:pPr>
        <w:pStyle w:val="11"/>
        <w:rPr>
          <w:rFonts w:ascii="宋体" w:hAnsi="宋体" w:cs="宋体"/>
          <w:color w:val="auto"/>
          <w:highlight w:val="none"/>
        </w:rPr>
      </w:pPr>
    </w:p>
    <w:p>
      <w:pPr>
        <w:ind w:firstLine="720" w:firstLineChars="300"/>
        <w:rPr>
          <w:rFonts w:hint="eastAsia" w:ascii="宋体" w:hAnsi="宋体" w:eastAsia="宋体" w:cs="宋体"/>
          <w:color w:val="auto"/>
          <w:sz w:val="24"/>
          <w:highlight w:val="none"/>
          <w:lang w:eastAsia="zh-CN"/>
        </w:rPr>
      </w:pPr>
      <w:r>
        <w:rPr>
          <w:rFonts w:hint="eastAsia" w:ascii="宋体" w:hAnsi="宋体" w:cs="宋体"/>
          <w:color w:val="auto"/>
          <w:sz w:val="24"/>
          <w:highlight w:val="none"/>
        </w:rPr>
        <w:t>投标人名称（公章）：         招标编号：</w:t>
      </w:r>
      <w:r>
        <w:rPr>
          <w:rFonts w:hint="eastAsia" w:ascii="宋体" w:hAnsi="宋体" w:cs="宋体"/>
          <w:color w:val="auto"/>
          <w:sz w:val="24"/>
          <w:highlight w:val="none"/>
          <w:lang w:eastAsia="zh-CN"/>
        </w:rPr>
        <w:t>DSCF-LB-02-08-010(2023)</w:t>
      </w:r>
    </w:p>
    <w:p>
      <w:pPr>
        <w:ind w:firstLine="480" w:firstLineChars="200"/>
        <w:rPr>
          <w:rFonts w:ascii="宋体" w:hAnsi="宋体" w:cs="宋体"/>
          <w:color w:val="auto"/>
          <w:sz w:val="24"/>
          <w:highlight w:val="none"/>
        </w:rPr>
      </w:pPr>
      <w:r>
        <w:rPr>
          <w:rFonts w:hint="eastAsia" w:ascii="宋体" w:hAnsi="宋体" w:cs="宋体"/>
          <w:color w:val="auto"/>
          <w:sz w:val="24"/>
          <w:highlight w:val="none"/>
        </w:rPr>
        <w:t>我方如中标本项目，将严格按照采购文件中有关工期的要求，按下表节点时间对应完成相应项目实施。</w:t>
      </w:r>
    </w:p>
    <w:tbl>
      <w:tblPr>
        <w:tblStyle w:val="34"/>
        <w:tblW w:w="84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70"/>
        <w:gridCol w:w="3224"/>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序号</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主要节点</w:t>
            </w:r>
          </w:p>
        </w:tc>
        <w:tc>
          <w:tcPr>
            <w:tcW w:w="3224"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日期</w:t>
            </w:r>
          </w:p>
        </w:tc>
        <w:tc>
          <w:tcPr>
            <w:tcW w:w="166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1</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土建设计条件提资</w:t>
            </w:r>
          </w:p>
        </w:tc>
        <w:tc>
          <w:tcPr>
            <w:tcW w:w="3224" w:type="dxa"/>
          </w:tcPr>
          <w:p>
            <w:pPr>
              <w:autoSpaceDE w:val="0"/>
              <w:autoSpaceDN w:val="0"/>
              <w:jc w:val="center"/>
              <w:rPr>
                <w:rFonts w:ascii="宋体" w:hAnsi="宋体" w:cs="宋体"/>
                <w:color w:val="auto"/>
                <w:sz w:val="24"/>
                <w:highlight w:val="none"/>
                <w:lang w:bidi="ar"/>
              </w:rPr>
            </w:pPr>
            <w:r>
              <w:rPr>
                <w:rFonts w:hint="eastAsia" w:ascii="宋体" w:hAnsi="宋体" w:cs="宋体"/>
                <w:color w:val="auto"/>
                <w:sz w:val="24"/>
                <w:highlight w:val="none"/>
                <w:lang w:bidi="ar"/>
              </w:rPr>
              <w:t>中标通知书发出后一周内</w:t>
            </w:r>
          </w:p>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(根据设备基础平面调整非标设备尺寸)</w:t>
            </w:r>
          </w:p>
        </w:tc>
        <w:tc>
          <w:tcPr>
            <w:tcW w:w="1669" w:type="dxa"/>
            <w:vAlign w:val="center"/>
          </w:tcPr>
          <w:p>
            <w:pPr>
              <w:autoSpaceDE w:val="0"/>
              <w:autoSpaceDN w:val="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2</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设备到货</w:t>
            </w:r>
          </w:p>
        </w:tc>
        <w:tc>
          <w:tcPr>
            <w:tcW w:w="3224" w:type="dxa"/>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收到采购人进场通知后一周</w:t>
            </w:r>
          </w:p>
        </w:tc>
        <w:tc>
          <w:tcPr>
            <w:tcW w:w="1669" w:type="dxa"/>
            <w:vAlign w:val="center"/>
          </w:tcPr>
          <w:p>
            <w:pPr>
              <w:autoSpaceDE w:val="0"/>
              <w:autoSpaceDN w:val="0"/>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3</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设备安装完成</w:t>
            </w:r>
          </w:p>
        </w:tc>
        <w:tc>
          <w:tcPr>
            <w:tcW w:w="3224" w:type="dxa"/>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设备到货后一个半月内</w:t>
            </w:r>
          </w:p>
        </w:tc>
        <w:tc>
          <w:tcPr>
            <w:tcW w:w="1669" w:type="dxa"/>
            <w:vAlign w:val="center"/>
          </w:tcPr>
          <w:p>
            <w:pPr>
              <w:autoSpaceDE w:val="0"/>
              <w:autoSpaceDN w:val="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4</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主要设备调试</w:t>
            </w:r>
          </w:p>
        </w:tc>
        <w:tc>
          <w:tcPr>
            <w:tcW w:w="3224" w:type="dxa"/>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设备安装完成后一个月内</w:t>
            </w:r>
          </w:p>
        </w:tc>
        <w:tc>
          <w:tcPr>
            <w:tcW w:w="1669" w:type="dxa"/>
            <w:vAlign w:val="center"/>
          </w:tcPr>
          <w:p>
            <w:pPr>
              <w:autoSpaceDE w:val="0"/>
              <w:autoSpaceDN w:val="0"/>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5</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性能测试完成</w:t>
            </w:r>
          </w:p>
        </w:tc>
        <w:tc>
          <w:tcPr>
            <w:tcW w:w="3224" w:type="dxa"/>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bidi="ar"/>
              </w:rPr>
              <w:t>中转站投入使用后一个月内</w:t>
            </w:r>
          </w:p>
        </w:tc>
        <w:tc>
          <w:tcPr>
            <w:tcW w:w="1669" w:type="dxa"/>
            <w:vAlign w:val="center"/>
          </w:tcPr>
          <w:p>
            <w:pPr>
              <w:autoSpaceDE w:val="0"/>
              <w:autoSpaceDN w:val="0"/>
              <w:jc w:val="center"/>
              <w:rPr>
                <w:rFonts w:ascii="宋体" w:hAnsi="宋体" w:cs="宋体"/>
                <w:color w:val="auto"/>
                <w:sz w:val="24"/>
                <w:highlight w:val="none"/>
              </w:rPr>
            </w:pPr>
          </w:p>
        </w:tc>
      </w:tr>
    </w:tbl>
    <w:p>
      <w:pPr>
        <w:ind w:firstLine="480" w:firstLineChars="200"/>
        <w:rPr>
          <w:rFonts w:hint="eastAsia" w:ascii="宋体" w:hAnsi="宋体" w:eastAsia="宋体" w:cs="宋体"/>
          <w:color w:val="auto"/>
          <w:sz w:val="24"/>
          <w:szCs w:val="22"/>
          <w:highlight w:val="none"/>
        </w:rPr>
      </w:pPr>
      <w:r>
        <w:rPr>
          <w:rFonts w:hint="eastAsia" w:ascii="宋体" w:hAnsi="宋体" w:cs="宋体"/>
          <w:color w:val="auto"/>
          <w:sz w:val="24"/>
          <w:highlight w:val="none"/>
        </w:rPr>
        <w:t>我公司承诺完全按照以上日期安排保证各工程节点按时完成，因我公司自身原因在相应项目实施进度中出现与上表进度延误情况：</w:t>
      </w:r>
      <w:r>
        <w:rPr>
          <w:rFonts w:hint="eastAsia" w:ascii="宋体" w:hAnsi="宋体" w:eastAsia="宋体" w:cs="宋体"/>
          <w:color w:val="auto"/>
          <w:sz w:val="24"/>
          <w:szCs w:val="22"/>
          <w:highlight w:val="none"/>
        </w:rPr>
        <w:t>（1）逾期第1~5 日历日，每延误一日按</w:t>
      </w:r>
      <w:r>
        <w:rPr>
          <w:rFonts w:hint="eastAsia" w:ascii="宋体" w:hAnsi="宋体" w:eastAsia="宋体" w:cs="宋体"/>
          <w:color w:val="auto"/>
          <w:sz w:val="24"/>
          <w:szCs w:val="22"/>
          <w:highlight w:val="none"/>
          <w:lang w:val="en-US" w:eastAsia="zh-CN"/>
        </w:rPr>
        <w:t>中标</w:t>
      </w:r>
      <w:r>
        <w:rPr>
          <w:rFonts w:hint="eastAsia" w:ascii="宋体" w:hAnsi="宋体" w:eastAsia="宋体" w:cs="宋体"/>
          <w:color w:val="auto"/>
          <w:sz w:val="24"/>
          <w:szCs w:val="22"/>
          <w:highlight w:val="none"/>
        </w:rPr>
        <w:t>总价的 0.4%计算违约金； （2）逾期第6~10 日历日，每延误一日按</w:t>
      </w:r>
      <w:r>
        <w:rPr>
          <w:rFonts w:hint="eastAsia" w:ascii="宋体" w:hAnsi="宋体" w:eastAsia="宋体" w:cs="宋体"/>
          <w:color w:val="auto"/>
          <w:sz w:val="24"/>
          <w:szCs w:val="22"/>
          <w:highlight w:val="none"/>
          <w:lang w:val="en-US" w:eastAsia="zh-CN"/>
        </w:rPr>
        <w:t>中标</w:t>
      </w:r>
      <w:r>
        <w:rPr>
          <w:rFonts w:hint="eastAsia" w:ascii="宋体" w:hAnsi="宋体" w:eastAsia="宋体" w:cs="宋体"/>
          <w:color w:val="auto"/>
          <w:sz w:val="24"/>
          <w:szCs w:val="22"/>
          <w:highlight w:val="none"/>
        </w:rPr>
        <w:t>总价的 0.7%计算违约金； （3）逾期第11~15 日历日，每延误一日按</w:t>
      </w:r>
      <w:r>
        <w:rPr>
          <w:rFonts w:hint="eastAsia" w:ascii="宋体" w:hAnsi="宋体" w:eastAsia="宋体" w:cs="宋体"/>
          <w:color w:val="auto"/>
          <w:sz w:val="24"/>
          <w:szCs w:val="22"/>
          <w:highlight w:val="none"/>
          <w:lang w:val="en-US" w:eastAsia="zh-CN"/>
        </w:rPr>
        <w:t>中标</w:t>
      </w:r>
      <w:r>
        <w:rPr>
          <w:rFonts w:hint="eastAsia" w:ascii="宋体" w:hAnsi="宋体" w:eastAsia="宋体" w:cs="宋体"/>
          <w:color w:val="auto"/>
          <w:sz w:val="24"/>
          <w:szCs w:val="22"/>
          <w:highlight w:val="none"/>
        </w:rPr>
        <w:t>总价的 0.9%计算违约金。 注：以上违约金分段累计。</w:t>
      </w:r>
    </w:p>
    <w:p>
      <w:pPr>
        <w:rPr>
          <w:rFonts w:ascii="宋体" w:hAnsi="宋体" w:cs="宋体"/>
          <w:color w:val="auto"/>
          <w:sz w:val="24"/>
          <w:highlight w:val="none"/>
        </w:rPr>
      </w:pPr>
      <w:r>
        <w:rPr>
          <w:rFonts w:hint="eastAsia" w:ascii="宋体" w:hAnsi="宋体" w:eastAsia="宋体" w:cs="宋体"/>
          <w:color w:val="auto"/>
          <w:sz w:val="24"/>
          <w:szCs w:val="22"/>
          <w:highlight w:val="none"/>
        </w:rPr>
        <w:t>违约金不足以弥补因此给</w:t>
      </w:r>
      <w:r>
        <w:rPr>
          <w:rFonts w:hint="eastAsia" w:ascii="宋体" w:hAnsi="宋体" w:eastAsia="宋体" w:cs="宋体"/>
          <w:color w:val="auto"/>
          <w:sz w:val="24"/>
          <w:szCs w:val="22"/>
          <w:highlight w:val="none"/>
          <w:lang w:val="en-US" w:eastAsia="zh-CN"/>
        </w:rPr>
        <w:t>采购人</w:t>
      </w:r>
      <w:r>
        <w:rPr>
          <w:rFonts w:hint="eastAsia" w:ascii="宋体" w:hAnsi="宋体" w:eastAsia="宋体" w:cs="宋体"/>
          <w:color w:val="auto"/>
          <w:sz w:val="24"/>
          <w:szCs w:val="22"/>
          <w:highlight w:val="none"/>
        </w:rPr>
        <w:t>造成的损失的，</w:t>
      </w:r>
      <w:r>
        <w:rPr>
          <w:rFonts w:hint="eastAsia" w:ascii="宋体" w:hAnsi="宋体" w:cs="宋体"/>
          <w:color w:val="auto"/>
          <w:sz w:val="24"/>
          <w:highlight w:val="none"/>
        </w:rPr>
        <w:t>我公司按要求补足</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若我司</w:t>
      </w:r>
      <w:r>
        <w:rPr>
          <w:rFonts w:hint="eastAsia" w:ascii="宋体" w:hAnsi="宋体" w:eastAsia="宋体" w:cs="宋体"/>
          <w:color w:val="auto"/>
          <w:sz w:val="24"/>
          <w:szCs w:val="22"/>
          <w:highlight w:val="none"/>
        </w:rPr>
        <w:t>未在</w:t>
      </w:r>
      <w:r>
        <w:rPr>
          <w:rFonts w:hint="eastAsia" w:ascii="宋体" w:hAnsi="宋体" w:eastAsia="宋体" w:cs="宋体"/>
          <w:color w:val="auto"/>
          <w:sz w:val="24"/>
          <w:szCs w:val="22"/>
          <w:highlight w:val="none"/>
          <w:lang w:val="en-US" w:eastAsia="zh-CN"/>
        </w:rPr>
        <w:t>采购人</w:t>
      </w:r>
      <w:r>
        <w:rPr>
          <w:rFonts w:hint="eastAsia" w:ascii="宋体" w:hAnsi="宋体" w:eastAsia="宋体" w:cs="宋体"/>
          <w:color w:val="auto"/>
          <w:sz w:val="24"/>
          <w:szCs w:val="22"/>
          <w:highlight w:val="none"/>
        </w:rPr>
        <w:t>通知的期限内补足的，</w:t>
      </w:r>
      <w:r>
        <w:rPr>
          <w:rFonts w:hint="eastAsia" w:ascii="宋体" w:hAnsi="宋体" w:eastAsia="宋体" w:cs="宋体"/>
          <w:color w:val="auto"/>
          <w:sz w:val="24"/>
          <w:szCs w:val="22"/>
          <w:highlight w:val="none"/>
          <w:lang w:val="en-US" w:eastAsia="zh-CN"/>
        </w:rPr>
        <w:t>同意采购人</w:t>
      </w:r>
      <w:r>
        <w:rPr>
          <w:rFonts w:hint="eastAsia" w:ascii="宋体" w:hAnsi="宋体" w:eastAsia="宋体" w:cs="宋体"/>
          <w:color w:val="auto"/>
          <w:sz w:val="24"/>
          <w:szCs w:val="22"/>
          <w:highlight w:val="none"/>
        </w:rPr>
        <w:t>在未付合同款中扣除；</w:t>
      </w:r>
      <w:r>
        <w:rPr>
          <w:rFonts w:hint="eastAsia" w:ascii="宋体" w:hAnsi="宋体" w:cs="宋体"/>
          <w:color w:val="auto"/>
          <w:sz w:val="24"/>
          <w:highlight w:val="none"/>
        </w:rPr>
        <w:t>若延误累计超过15日（不含15日）的，违约金为中标金额的20％，且采购人可单方面解除合同。同时，造成采购人损失（包括但不限于经济损失等），均由我公司承担。</w:t>
      </w:r>
    </w:p>
    <w:p>
      <w:pPr>
        <w:rPr>
          <w:rFonts w:ascii="宋体" w:hAnsi="宋体" w:cs="宋体"/>
          <w:color w:val="auto"/>
          <w:sz w:val="24"/>
          <w:highlight w:val="none"/>
        </w:rPr>
      </w:pPr>
    </w:p>
    <w:p>
      <w:pPr>
        <w:pStyle w:val="3"/>
        <w:ind w:firstLine="205"/>
        <w:rPr>
          <w:rFonts w:cs="宋体"/>
          <w:color w:val="auto"/>
          <w:sz w:val="24"/>
          <w:szCs w:val="24"/>
          <w:highlight w:val="none"/>
        </w:rPr>
      </w:pPr>
    </w:p>
    <w:p>
      <w:pPr>
        <w:rPr>
          <w:rFonts w:ascii="宋体" w:hAnsi="宋体" w:cs="宋体"/>
          <w:color w:val="auto"/>
          <w:sz w:val="24"/>
          <w:szCs w:val="24"/>
          <w:highlight w:val="none"/>
        </w:rPr>
      </w:pPr>
      <w:r>
        <w:rPr>
          <w:rFonts w:hint="eastAsia" w:ascii="宋体" w:hAnsi="宋体" w:cs="宋体"/>
          <w:color w:val="auto"/>
          <w:sz w:val="24"/>
          <w:szCs w:val="24"/>
          <w:highlight w:val="none"/>
        </w:rPr>
        <w:t>投标人法定代表人或其委托人签字： _____________</w:t>
      </w:r>
    </w:p>
    <w:p>
      <w:pPr>
        <w:pStyle w:val="80"/>
        <w:spacing w:before="0" w:after="0"/>
        <w:rPr>
          <w:rFonts w:cs="宋体"/>
          <w:color w:val="auto"/>
          <w:spacing w:val="0"/>
          <w:kern w:val="2"/>
          <w:sz w:val="24"/>
          <w:szCs w:val="24"/>
          <w:highlight w:val="none"/>
        </w:rPr>
      </w:pPr>
      <w:r>
        <w:rPr>
          <w:rFonts w:hint="eastAsia" w:cs="宋体"/>
          <w:color w:val="auto"/>
          <w:spacing w:val="0"/>
          <w:kern w:val="2"/>
          <w:sz w:val="24"/>
          <w:szCs w:val="24"/>
          <w:highlight w:val="none"/>
        </w:rPr>
        <w:t>日  期：</w:t>
      </w:r>
    </w:p>
    <w:p>
      <w:pPr>
        <w:pStyle w:val="80"/>
        <w:spacing w:before="0" w:after="0"/>
        <w:rPr>
          <w:rFonts w:cs="宋体"/>
          <w:color w:val="auto"/>
          <w:spacing w:val="0"/>
          <w:kern w:val="2"/>
          <w:szCs w:val="24"/>
          <w:highlight w:val="none"/>
        </w:rPr>
      </w:pPr>
    </w:p>
    <w:p>
      <w:pPr>
        <w:pStyle w:val="80"/>
        <w:spacing w:before="0" w:after="0"/>
        <w:rPr>
          <w:rFonts w:cs="宋体"/>
          <w:color w:val="auto"/>
          <w:spacing w:val="0"/>
          <w:kern w:val="2"/>
          <w:szCs w:val="24"/>
          <w:highlight w:val="none"/>
        </w:rPr>
      </w:pPr>
    </w:p>
    <w:p>
      <w:pPr>
        <w:pStyle w:val="80"/>
        <w:spacing w:before="0" w:after="0"/>
        <w:rPr>
          <w:rFonts w:cs="宋体"/>
          <w:color w:val="auto"/>
          <w:spacing w:val="0"/>
          <w:kern w:val="2"/>
          <w:szCs w:val="24"/>
          <w:highlight w:val="none"/>
        </w:rPr>
      </w:pPr>
    </w:p>
    <w:p>
      <w:pPr>
        <w:pStyle w:val="80"/>
        <w:spacing w:before="0" w:after="0"/>
        <w:rPr>
          <w:rFonts w:cs="宋体"/>
          <w:color w:val="auto"/>
          <w:spacing w:val="0"/>
          <w:kern w:val="2"/>
          <w:szCs w:val="24"/>
          <w:highlight w:val="none"/>
        </w:rPr>
      </w:pPr>
    </w:p>
    <w:p>
      <w:pPr>
        <w:pStyle w:val="80"/>
        <w:spacing w:before="0" w:after="0"/>
        <w:rPr>
          <w:rFonts w:cs="宋体"/>
          <w:color w:val="auto"/>
          <w:spacing w:val="0"/>
          <w:kern w:val="2"/>
          <w:szCs w:val="24"/>
          <w:highlight w:val="none"/>
        </w:rPr>
      </w:pPr>
    </w:p>
    <w:p>
      <w:pPr>
        <w:pStyle w:val="80"/>
        <w:spacing w:before="0" w:after="0"/>
        <w:rPr>
          <w:rFonts w:cs="宋体"/>
          <w:color w:val="auto"/>
          <w:spacing w:val="0"/>
          <w:kern w:val="2"/>
          <w:szCs w:val="24"/>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关于工期的承诺书-2 包号（D）</w:t>
      </w:r>
    </w:p>
    <w:p>
      <w:pPr>
        <w:pStyle w:val="11"/>
        <w:rPr>
          <w:rFonts w:ascii="宋体" w:hAnsi="宋体" w:cs="宋体"/>
          <w:color w:val="auto"/>
          <w:highlight w:val="none"/>
        </w:rPr>
      </w:pPr>
    </w:p>
    <w:p>
      <w:pPr>
        <w:ind w:firstLine="720" w:firstLineChars="300"/>
        <w:rPr>
          <w:rFonts w:hint="eastAsia" w:ascii="宋体" w:hAnsi="宋体" w:eastAsia="宋体" w:cs="宋体"/>
          <w:color w:val="auto"/>
          <w:sz w:val="24"/>
          <w:highlight w:val="none"/>
          <w:lang w:eastAsia="zh-CN"/>
        </w:rPr>
      </w:pPr>
      <w:r>
        <w:rPr>
          <w:rFonts w:hint="eastAsia" w:ascii="宋体" w:hAnsi="宋体" w:cs="宋体"/>
          <w:color w:val="auto"/>
          <w:sz w:val="24"/>
          <w:highlight w:val="none"/>
        </w:rPr>
        <w:t>投标人名称（公章）：         招标编号：</w:t>
      </w:r>
      <w:r>
        <w:rPr>
          <w:rFonts w:hint="eastAsia" w:ascii="宋体" w:hAnsi="宋体" w:cs="宋体"/>
          <w:color w:val="auto"/>
          <w:sz w:val="24"/>
          <w:highlight w:val="none"/>
          <w:lang w:eastAsia="zh-CN"/>
        </w:rPr>
        <w:t>DSCF-LB-02-08-010(2023)</w:t>
      </w:r>
    </w:p>
    <w:p>
      <w:pPr>
        <w:pStyle w:val="11"/>
        <w:ind w:firstLine="0"/>
        <w:rPr>
          <w:rFonts w:ascii="宋体" w:hAnsi="宋体" w:cs="宋体"/>
          <w:color w:val="auto"/>
          <w:highlight w:val="none"/>
        </w:rPr>
      </w:pPr>
    </w:p>
    <w:p>
      <w:pPr>
        <w:spacing w:before="180" w:beforeLines="50" w:after="180" w:afterLines="50"/>
        <w:ind w:firstLine="420"/>
        <w:rPr>
          <w:rFonts w:ascii="宋体" w:hAnsi="宋体" w:cs="宋体"/>
          <w:color w:val="auto"/>
          <w:sz w:val="24"/>
          <w:highlight w:val="none"/>
        </w:rPr>
      </w:pPr>
      <w:r>
        <w:rPr>
          <w:rFonts w:hint="eastAsia" w:ascii="宋体" w:hAnsi="宋体" w:cs="宋体"/>
          <w:color w:val="auto"/>
          <w:sz w:val="24"/>
          <w:highlight w:val="none"/>
        </w:rPr>
        <w:t>我方如中标本项目，将严格按照采购文件中有关工期的要求，按下表节点时间对应完成相应项目实施。</w:t>
      </w:r>
    </w:p>
    <w:tbl>
      <w:tblPr>
        <w:tblStyle w:val="34"/>
        <w:tblW w:w="84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70"/>
        <w:gridCol w:w="3224"/>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序号</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主要节点</w:t>
            </w:r>
          </w:p>
        </w:tc>
        <w:tc>
          <w:tcPr>
            <w:tcW w:w="3224"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日期</w:t>
            </w:r>
          </w:p>
        </w:tc>
        <w:tc>
          <w:tcPr>
            <w:tcW w:w="166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1</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土建设计条件提资</w:t>
            </w:r>
          </w:p>
        </w:tc>
        <w:tc>
          <w:tcPr>
            <w:tcW w:w="3224"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中标通知书发出后一周内</w:t>
            </w:r>
          </w:p>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(根据设备基础平面调整非标设备尺寸)</w:t>
            </w:r>
          </w:p>
        </w:tc>
        <w:tc>
          <w:tcPr>
            <w:tcW w:w="1669" w:type="dxa"/>
            <w:vAlign w:val="center"/>
          </w:tcPr>
          <w:p>
            <w:pPr>
              <w:autoSpaceDE w:val="0"/>
              <w:autoSpaceDN w:val="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2</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设备到货</w:t>
            </w:r>
          </w:p>
        </w:tc>
        <w:tc>
          <w:tcPr>
            <w:tcW w:w="3224"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收到采购人进场通知后一周</w:t>
            </w:r>
          </w:p>
        </w:tc>
        <w:tc>
          <w:tcPr>
            <w:tcW w:w="1669" w:type="dxa"/>
            <w:vAlign w:val="center"/>
          </w:tcPr>
          <w:p>
            <w:pPr>
              <w:autoSpaceDE w:val="0"/>
              <w:autoSpaceDN w:val="0"/>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3</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设备安装完成</w:t>
            </w:r>
          </w:p>
        </w:tc>
        <w:tc>
          <w:tcPr>
            <w:tcW w:w="3224"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设备到货后一个半月内</w:t>
            </w:r>
          </w:p>
        </w:tc>
        <w:tc>
          <w:tcPr>
            <w:tcW w:w="1669" w:type="dxa"/>
            <w:vAlign w:val="center"/>
          </w:tcPr>
          <w:p>
            <w:pPr>
              <w:autoSpaceDE w:val="0"/>
              <w:autoSpaceDN w:val="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4</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主要设备调试</w:t>
            </w:r>
          </w:p>
        </w:tc>
        <w:tc>
          <w:tcPr>
            <w:tcW w:w="3224"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设备安装完成后一个月内</w:t>
            </w:r>
          </w:p>
        </w:tc>
        <w:tc>
          <w:tcPr>
            <w:tcW w:w="1669" w:type="dxa"/>
            <w:vAlign w:val="center"/>
          </w:tcPr>
          <w:p>
            <w:pPr>
              <w:autoSpaceDE w:val="0"/>
              <w:autoSpaceDN w:val="0"/>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5</w:t>
            </w:r>
          </w:p>
        </w:tc>
        <w:tc>
          <w:tcPr>
            <w:tcW w:w="2570"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性能测试完成</w:t>
            </w:r>
          </w:p>
        </w:tc>
        <w:tc>
          <w:tcPr>
            <w:tcW w:w="3224" w:type="dxa"/>
            <w:vAlign w:val="center"/>
          </w:tcPr>
          <w:p>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中转站投入使用后一个月内</w:t>
            </w:r>
          </w:p>
        </w:tc>
        <w:tc>
          <w:tcPr>
            <w:tcW w:w="1669" w:type="dxa"/>
            <w:vAlign w:val="center"/>
          </w:tcPr>
          <w:p>
            <w:pPr>
              <w:autoSpaceDE w:val="0"/>
              <w:autoSpaceDN w:val="0"/>
              <w:jc w:val="center"/>
              <w:rPr>
                <w:rFonts w:ascii="宋体" w:hAnsi="宋体" w:cs="宋体"/>
                <w:color w:val="auto"/>
                <w:sz w:val="24"/>
                <w:highlight w:val="none"/>
              </w:rPr>
            </w:pPr>
          </w:p>
        </w:tc>
      </w:tr>
    </w:tbl>
    <w:p>
      <w:pPr>
        <w:ind w:firstLine="480" w:firstLineChars="200"/>
        <w:rPr>
          <w:rFonts w:hint="eastAsia" w:ascii="宋体" w:hAnsi="宋体" w:eastAsia="宋体" w:cs="宋体"/>
          <w:color w:val="auto"/>
          <w:sz w:val="24"/>
          <w:szCs w:val="22"/>
          <w:highlight w:val="none"/>
        </w:rPr>
      </w:pPr>
      <w:r>
        <w:rPr>
          <w:rFonts w:hint="eastAsia" w:ascii="宋体" w:hAnsi="宋体" w:cs="宋体"/>
          <w:color w:val="auto"/>
          <w:sz w:val="24"/>
          <w:highlight w:val="none"/>
        </w:rPr>
        <w:t>我公司承诺完全按照以上日期安排保证各工程节点按</w:t>
      </w:r>
      <w:r>
        <w:rPr>
          <w:rFonts w:hint="eastAsia" w:ascii="宋体" w:hAnsi="宋体" w:eastAsia="宋体" w:cs="宋体"/>
          <w:color w:val="auto"/>
          <w:sz w:val="24"/>
          <w:szCs w:val="22"/>
          <w:highlight w:val="none"/>
        </w:rPr>
        <w:t>（1）逾期第1~5 日历日，每延误一日按</w:t>
      </w:r>
      <w:r>
        <w:rPr>
          <w:rFonts w:hint="eastAsia" w:ascii="宋体" w:hAnsi="宋体" w:eastAsia="宋体" w:cs="宋体"/>
          <w:color w:val="auto"/>
          <w:sz w:val="24"/>
          <w:szCs w:val="22"/>
          <w:highlight w:val="none"/>
          <w:lang w:val="en-US" w:eastAsia="zh-CN"/>
        </w:rPr>
        <w:t>中标</w:t>
      </w:r>
      <w:r>
        <w:rPr>
          <w:rFonts w:hint="eastAsia" w:ascii="宋体" w:hAnsi="宋体" w:eastAsia="宋体" w:cs="宋体"/>
          <w:color w:val="auto"/>
          <w:sz w:val="24"/>
          <w:szCs w:val="22"/>
          <w:highlight w:val="none"/>
        </w:rPr>
        <w:t>总价的 0.4%计算违约金； （2）逾期第6~10 日历日，每延误一日按</w:t>
      </w:r>
      <w:r>
        <w:rPr>
          <w:rFonts w:hint="eastAsia" w:ascii="宋体" w:hAnsi="宋体" w:eastAsia="宋体" w:cs="宋体"/>
          <w:color w:val="auto"/>
          <w:sz w:val="24"/>
          <w:szCs w:val="22"/>
          <w:highlight w:val="none"/>
          <w:lang w:val="en-US" w:eastAsia="zh-CN"/>
        </w:rPr>
        <w:t>中标</w:t>
      </w:r>
      <w:r>
        <w:rPr>
          <w:rFonts w:hint="eastAsia" w:ascii="宋体" w:hAnsi="宋体" w:eastAsia="宋体" w:cs="宋体"/>
          <w:color w:val="auto"/>
          <w:sz w:val="24"/>
          <w:szCs w:val="22"/>
          <w:highlight w:val="none"/>
        </w:rPr>
        <w:t>总价的 0.7%计算违约金； （3）逾期第11~15 日历日，每延误一日按</w:t>
      </w:r>
      <w:r>
        <w:rPr>
          <w:rFonts w:hint="eastAsia" w:ascii="宋体" w:hAnsi="宋体" w:eastAsia="宋体" w:cs="宋体"/>
          <w:color w:val="auto"/>
          <w:sz w:val="24"/>
          <w:szCs w:val="22"/>
          <w:highlight w:val="none"/>
          <w:lang w:val="en-US" w:eastAsia="zh-CN"/>
        </w:rPr>
        <w:t>中标</w:t>
      </w:r>
      <w:r>
        <w:rPr>
          <w:rFonts w:hint="eastAsia" w:ascii="宋体" w:hAnsi="宋体" w:eastAsia="宋体" w:cs="宋体"/>
          <w:color w:val="auto"/>
          <w:sz w:val="24"/>
          <w:szCs w:val="22"/>
          <w:highlight w:val="none"/>
        </w:rPr>
        <w:t>总价的 0.9%计算违约金。 注：以上违约金分段累计。</w:t>
      </w:r>
    </w:p>
    <w:p>
      <w:pPr>
        <w:rPr>
          <w:rFonts w:ascii="宋体" w:hAnsi="宋体" w:cs="宋体"/>
          <w:color w:val="auto"/>
          <w:sz w:val="24"/>
          <w:highlight w:val="none"/>
        </w:rPr>
      </w:pPr>
      <w:r>
        <w:rPr>
          <w:rFonts w:hint="eastAsia" w:ascii="宋体" w:hAnsi="宋体" w:eastAsia="宋体" w:cs="宋体"/>
          <w:color w:val="auto"/>
          <w:sz w:val="24"/>
          <w:szCs w:val="22"/>
          <w:highlight w:val="none"/>
        </w:rPr>
        <w:t>违约金不足以弥补因此给</w:t>
      </w:r>
      <w:r>
        <w:rPr>
          <w:rFonts w:hint="eastAsia" w:ascii="宋体" w:hAnsi="宋体" w:eastAsia="宋体" w:cs="宋体"/>
          <w:color w:val="auto"/>
          <w:sz w:val="24"/>
          <w:szCs w:val="22"/>
          <w:highlight w:val="none"/>
          <w:lang w:val="en-US" w:eastAsia="zh-CN"/>
        </w:rPr>
        <w:t>采购人</w:t>
      </w:r>
      <w:r>
        <w:rPr>
          <w:rFonts w:hint="eastAsia" w:ascii="宋体" w:hAnsi="宋体" w:eastAsia="宋体" w:cs="宋体"/>
          <w:color w:val="auto"/>
          <w:sz w:val="24"/>
          <w:szCs w:val="22"/>
          <w:highlight w:val="none"/>
        </w:rPr>
        <w:t>造成的损失的，</w:t>
      </w:r>
      <w:r>
        <w:rPr>
          <w:rFonts w:hint="eastAsia" w:ascii="宋体" w:hAnsi="宋体" w:cs="宋体"/>
          <w:color w:val="auto"/>
          <w:sz w:val="24"/>
          <w:highlight w:val="none"/>
        </w:rPr>
        <w:t>我公司按要求补足</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若我司</w:t>
      </w:r>
      <w:r>
        <w:rPr>
          <w:rFonts w:hint="eastAsia" w:ascii="宋体" w:hAnsi="宋体" w:eastAsia="宋体" w:cs="宋体"/>
          <w:color w:val="auto"/>
          <w:sz w:val="24"/>
          <w:szCs w:val="22"/>
          <w:highlight w:val="none"/>
        </w:rPr>
        <w:t>未在</w:t>
      </w:r>
      <w:r>
        <w:rPr>
          <w:rFonts w:hint="eastAsia" w:ascii="宋体" w:hAnsi="宋体" w:eastAsia="宋体" w:cs="宋体"/>
          <w:color w:val="auto"/>
          <w:sz w:val="24"/>
          <w:szCs w:val="22"/>
          <w:highlight w:val="none"/>
          <w:lang w:val="en-US" w:eastAsia="zh-CN"/>
        </w:rPr>
        <w:t>采购人</w:t>
      </w:r>
      <w:r>
        <w:rPr>
          <w:rFonts w:hint="eastAsia" w:ascii="宋体" w:hAnsi="宋体" w:eastAsia="宋体" w:cs="宋体"/>
          <w:color w:val="auto"/>
          <w:sz w:val="24"/>
          <w:szCs w:val="22"/>
          <w:highlight w:val="none"/>
        </w:rPr>
        <w:t>通知的期限内补足的，</w:t>
      </w:r>
      <w:r>
        <w:rPr>
          <w:rFonts w:hint="eastAsia" w:ascii="宋体" w:hAnsi="宋体" w:eastAsia="宋体" w:cs="宋体"/>
          <w:color w:val="auto"/>
          <w:sz w:val="24"/>
          <w:szCs w:val="22"/>
          <w:highlight w:val="none"/>
          <w:lang w:val="en-US" w:eastAsia="zh-CN"/>
        </w:rPr>
        <w:t>同意采购人</w:t>
      </w:r>
      <w:r>
        <w:rPr>
          <w:rFonts w:hint="eastAsia" w:ascii="宋体" w:hAnsi="宋体" w:eastAsia="宋体" w:cs="宋体"/>
          <w:color w:val="auto"/>
          <w:sz w:val="24"/>
          <w:szCs w:val="22"/>
          <w:highlight w:val="none"/>
        </w:rPr>
        <w:t>在未付合同款中扣除；</w:t>
      </w:r>
      <w:r>
        <w:rPr>
          <w:rFonts w:hint="eastAsia" w:ascii="宋体" w:hAnsi="宋体" w:cs="宋体"/>
          <w:color w:val="auto"/>
          <w:sz w:val="24"/>
          <w:highlight w:val="none"/>
        </w:rPr>
        <w:t>若延误累计超过15日（不含15日）的，违约金为中标金额的20％，且采购人可单方面解除合同。同时，造成采购人损失（包括但不限于经济损失等），均由我公司承担。</w:t>
      </w:r>
    </w:p>
    <w:p>
      <w:pPr>
        <w:pStyle w:val="3"/>
        <w:ind w:firstLine="205"/>
        <w:rPr>
          <w:rFonts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投标人法定代表人或其委托人签字： _____________</w:t>
      </w:r>
    </w:p>
    <w:p>
      <w:pPr>
        <w:pStyle w:val="80"/>
        <w:spacing w:before="0" w:after="0"/>
        <w:rPr>
          <w:rFonts w:cs="宋体"/>
          <w:color w:val="auto"/>
          <w:spacing w:val="0"/>
          <w:kern w:val="2"/>
          <w:szCs w:val="24"/>
          <w:highlight w:val="none"/>
        </w:rPr>
      </w:pPr>
      <w:r>
        <w:rPr>
          <w:rFonts w:hint="eastAsia" w:cs="宋体"/>
          <w:color w:val="auto"/>
          <w:spacing w:val="0"/>
          <w:kern w:val="2"/>
          <w:szCs w:val="24"/>
          <w:highlight w:val="none"/>
        </w:rPr>
        <w:t>日  期：</w:t>
      </w:r>
    </w:p>
    <w:p>
      <w:pPr>
        <w:pStyle w:val="80"/>
        <w:spacing w:before="0" w:after="0"/>
        <w:rPr>
          <w:rFonts w:cs="宋体"/>
          <w:color w:val="auto"/>
          <w:spacing w:val="0"/>
          <w:kern w:val="2"/>
          <w:szCs w:val="24"/>
          <w:highlight w:val="none"/>
        </w:rPr>
      </w:pPr>
    </w:p>
    <w:p>
      <w:pPr>
        <w:rPr>
          <w:color w:val="auto"/>
          <w:highlight w:val="none"/>
        </w:rPr>
      </w:pPr>
      <w:r>
        <w:rPr>
          <w:color w:val="auto"/>
          <w:highlight w:val="none"/>
        </w:rPr>
        <w:br w:type="page"/>
      </w:r>
    </w:p>
    <w:p>
      <w:pPr>
        <w:jc w:val="center"/>
        <w:rPr>
          <w:rFonts w:ascii="黑体" w:eastAsia="黑体"/>
          <w:color w:val="auto"/>
          <w:sz w:val="28"/>
          <w:szCs w:val="28"/>
          <w:highlight w:val="none"/>
        </w:rPr>
      </w:pPr>
      <w:r>
        <w:rPr>
          <w:rFonts w:hint="eastAsia" w:ascii="黑体" w:eastAsia="黑体"/>
          <w:color w:val="auto"/>
          <w:sz w:val="28"/>
          <w:szCs w:val="28"/>
          <w:highlight w:val="none"/>
        </w:rPr>
        <w:t>关于工期的承诺书-2 包号（E）</w:t>
      </w:r>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承诺书-2</w:t>
      </w:r>
    </w:p>
    <w:p>
      <w:pPr>
        <w:pStyle w:val="49"/>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致xxx公司：</w:t>
      </w:r>
    </w:p>
    <w:p>
      <w:pPr>
        <w:jc w:val="center"/>
        <w:rPr>
          <w:rFonts w:ascii="宋体" w:hAnsi="宋体" w:cs="宋体"/>
          <w:color w:val="auto"/>
          <w:szCs w:val="21"/>
          <w:highlight w:val="none"/>
        </w:rPr>
      </w:pPr>
    </w:p>
    <w:p>
      <w:pPr>
        <w:pStyle w:val="49"/>
        <w:spacing w:line="420" w:lineRule="exact"/>
        <w:ind w:firstLine="434"/>
        <w:rPr>
          <w:rFonts w:ascii="宋体" w:eastAsia="宋体" w:cs="宋体"/>
          <w:color w:val="auto"/>
          <w:sz w:val="21"/>
          <w:szCs w:val="21"/>
          <w:highlight w:val="none"/>
        </w:rPr>
      </w:pPr>
      <w:r>
        <w:rPr>
          <w:rFonts w:hint="eastAsia" w:ascii="宋体" w:cs="宋体"/>
          <w:b/>
          <w:bCs/>
          <w:color w:val="auto"/>
          <w:sz w:val="21"/>
          <w:szCs w:val="21"/>
          <w:highlight w:val="none"/>
          <w:lang w:bidi="zh-CN"/>
        </w:rPr>
        <w:t>我方承诺：若我方中标，提供的货物开放接口，并由我方接入采购人现有的智慧环卫系统及东莞市第三方平台，所产生的费用由我方承担。</w:t>
      </w:r>
      <w:r>
        <w:rPr>
          <w:rFonts w:hint="eastAsia" w:ascii="宋体" w:eastAsia="宋体" w:cs="宋体"/>
          <w:color w:val="auto"/>
          <w:sz w:val="21"/>
          <w:szCs w:val="21"/>
          <w:highlight w:val="none"/>
        </w:rPr>
        <w:cr/>
      </w:r>
    </w:p>
    <w:p>
      <w:pPr>
        <w:pStyle w:val="49"/>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t>承诺书-3包号（E）</w:t>
      </w:r>
    </w:p>
    <w:p>
      <w:pPr>
        <w:pStyle w:val="49"/>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致xxx公司：</w:t>
      </w:r>
    </w:p>
    <w:p>
      <w:pPr>
        <w:jc w:val="center"/>
        <w:rPr>
          <w:rFonts w:ascii="宋体" w:hAnsi="宋体" w:cs="宋体"/>
          <w:color w:val="auto"/>
          <w:szCs w:val="21"/>
          <w:highlight w:val="none"/>
        </w:rPr>
      </w:pPr>
    </w:p>
    <w:p>
      <w:pPr>
        <w:pStyle w:val="49"/>
        <w:spacing w:line="420" w:lineRule="exact"/>
        <w:ind w:firstLine="434"/>
        <w:rPr>
          <w:rFonts w:ascii="宋体" w:eastAsia="宋体" w:cs="宋体"/>
          <w:color w:val="auto"/>
          <w:sz w:val="21"/>
          <w:szCs w:val="21"/>
          <w:highlight w:val="none"/>
        </w:rPr>
      </w:pPr>
      <w:r>
        <w:rPr>
          <w:rFonts w:ascii="宋体" w:cs="宋体"/>
          <w:b/>
          <w:bCs/>
          <w:color w:val="auto"/>
          <w:sz w:val="21"/>
          <w:szCs w:val="21"/>
          <w:highlight w:val="none"/>
          <w:lang w:bidi="zh-CN"/>
        </w:rPr>
        <w:t>我方承诺：若我方中标，</w:t>
      </w:r>
      <w:r>
        <w:rPr>
          <w:rFonts w:hint="eastAsia" w:ascii="宋体" w:cs="宋体"/>
          <w:b/>
          <w:bCs/>
          <w:color w:val="auto"/>
          <w:sz w:val="21"/>
          <w:szCs w:val="21"/>
          <w:highlight w:val="none"/>
        </w:rPr>
        <w:t>中标后</w:t>
      </w:r>
      <w:r>
        <w:rPr>
          <w:rFonts w:ascii="宋体" w:cs="宋体"/>
          <w:b/>
          <w:bCs/>
          <w:color w:val="auto"/>
          <w:sz w:val="21"/>
          <w:szCs w:val="21"/>
          <w:highlight w:val="none"/>
        </w:rPr>
        <w:t>30天内在东莞内设立售后服务点。</w:t>
      </w:r>
      <w:r>
        <w:rPr>
          <w:rFonts w:hint="eastAsia" w:ascii="宋体" w:eastAsia="宋体" w:cs="宋体"/>
          <w:color w:val="auto"/>
          <w:sz w:val="21"/>
          <w:szCs w:val="21"/>
          <w:highlight w:val="none"/>
        </w:rPr>
        <w:cr/>
      </w:r>
    </w:p>
    <w:p>
      <w:pPr>
        <w:pStyle w:val="49"/>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ind w:right="561"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承诺书-3仅适用于未在东莞内有建立售后服务点的投标人。</w:t>
      </w:r>
    </w:p>
    <w:p>
      <w:pPr>
        <w:pStyle w:val="2"/>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承诺书-4包号（E）</w:t>
      </w:r>
    </w:p>
    <w:p>
      <w:pPr>
        <w:pStyle w:val="49"/>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致xxx公司：</w:t>
      </w:r>
    </w:p>
    <w:p>
      <w:pPr>
        <w:jc w:val="center"/>
        <w:rPr>
          <w:rFonts w:ascii="宋体" w:hAnsi="宋体" w:cs="宋体"/>
          <w:color w:val="auto"/>
          <w:szCs w:val="21"/>
          <w:highlight w:val="none"/>
        </w:rPr>
      </w:pPr>
    </w:p>
    <w:p>
      <w:pPr>
        <w:pStyle w:val="49"/>
        <w:spacing w:line="420" w:lineRule="exact"/>
        <w:ind w:firstLine="434"/>
        <w:rPr>
          <w:rFonts w:ascii="宋体" w:eastAsia="宋体" w:cs="宋体"/>
          <w:color w:val="auto"/>
          <w:sz w:val="21"/>
          <w:szCs w:val="21"/>
          <w:highlight w:val="none"/>
        </w:rPr>
      </w:pPr>
      <w:r>
        <w:rPr>
          <w:rFonts w:ascii="宋体" w:cs="宋体"/>
          <w:b/>
          <w:bCs/>
          <w:color w:val="auto"/>
          <w:sz w:val="21"/>
          <w:szCs w:val="21"/>
          <w:highlight w:val="none"/>
          <w:lang w:bidi="zh-CN"/>
        </w:rPr>
        <w:t>我方承诺：若我方中标，将严格按照采购文件中有关工期的要求</w:t>
      </w:r>
      <w:r>
        <w:rPr>
          <w:rFonts w:hint="eastAsia" w:ascii="宋体" w:cs="宋体"/>
          <w:b/>
          <w:bCs/>
          <w:color w:val="auto"/>
          <w:sz w:val="21"/>
          <w:szCs w:val="21"/>
          <w:highlight w:val="none"/>
          <w:lang w:bidi="zh-CN"/>
        </w:rPr>
        <w:t>。</w:t>
      </w:r>
      <w:r>
        <w:rPr>
          <w:rFonts w:hint="eastAsia" w:ascii="宋体" w:eastAsia="宋体" w:cs="宋体"/>
          <w:color w:val="auto"/>
          <w:sz w:val="21"/>
          <w:szCs w:val="21"/>
          <w:highlight w:val="none"/>
        </w:rPr>
        <w:cr/>
      </w:r>
    </w:p>
    <w:p>
      <w:pPr>
        <w:pStyle w:val="49"/>
        <w:numPr>
          <w:ilvl w:val="255"/>
          <w:numId w:val="0"/>
        </w:numPr>
        <w:spacing w:line="420" w:lineRule="exact"/>
        <w:ind w:firstLine="422" w:firstLineChars="200"/>
        <w:rPr>
          <w:rFonts w:ascii="宋体" w:cs="宋体"/>
          <w:b/>
          <w:bCs/>
          <w:color w:val="auto"/>
          <w:sz w:val="21"/>
          <w:szCs w:val="21"/>
          <w:highlight w:val="none"/>
          <w:lang w:bidi="zh-CN"/>
        </w:rPr>
      </w:pPr>
      <w:r>
        <w:rPr>
          <w:rFonts w:hint="eastAsia" w:ascii="宋体" w:cs="宋体"/>
          <w:b/>
          <w:bCs/>
          <w:color w:val="auto"/>
          <w:sz w:val="21"/>
          <w:szCs w:val="21"/>
          <w:highlight w:val="none"/>
          <w:lang w:bidi="zh-CN"/>
        </w:rPr>
        <w:t>收到中标通知书后15个日历日内完成智慧环卫设备及车辆到货并由采购人验收合格，到货后5个日历日内完成设备安装并接入智慧环卫系统、第三方平台并经采购人验收合格，车辆验收合格后10个日历天内完成上牌（必须为东莞市车牌）。</w:t>
      </w:r>
    </w:p>
    <w:p>
      <w:pPr>
        <w:pStyle w:val="49"/>
        <w:spacing w:line="420" w:lineRule="exact"/>
        <w:ind w:firstLine="434"/>
        <w:rPr>
          <w:rFonts w:ascii="宋体" w:cs="宋体"/>
          <w:b/>
          <w:bCs/>
          <w:color w:val="auto"/>
          <w:sz w:val="21"/>
          <w:szCs w:val="21"/>
          <w:highlight w:val="none"/>
          <w:lang w:bidi="zh-CN"/>
        </w:rPr>
      </w:pPr>
    </w:p>
    <w:p>
      <w:pPr>
        <w:ind w:firstLine="422" w:firstLineChars="200"/>
        <w:rPr>
          <w:rFonts w:hint="eastAsia" w:ascii="宋体" w:hAnsi="Tahoma" w:eastAsia="宋体" w:cs="宋体"/>
          <w:b/>
          <w:bCs/>
          <w:color w:val="auto"/>
          <w:sz w:val="21"/>
          <w:szCs w:val="21"/>
          <w:highlight w:val="none"/>
          <w:lang w:bidi="zh-CN"/>
        </w:rPr>
      </w:pPr>
      <w:r>
        <w:rPr>
          <w:rFonts w:hint="eastAsia" w:ascii="宋体" w:cs="宋体"/>
          <w:b/>
          <w:bCs/>
          <w:color w:val="auto"/>
          <w:sz w:val="21"/>
          <w:szCs w:val="21"/>
          <w:highlight w:val="none"/>
          <w:lang w:bidi="zh-CN"/>
        </w:rPr>
        <w:t>我公司承诺完全按照以上日期安排保证各节点按时完成，因我公司自身原因在相应项目实施进度中出现与上进度延误情况：</w:t>
      </w:r>
      <w:r>
        <w:rPr>
          <w:rFonts w:hint="eastAsia" w:ascii="宋体" w:hAnsi="Tahoma" w:eastAsia="宋体" w:cs="宋体"/>
          <w:b/>
          <w:bCs/>
          <w:color w:val="auto"/>
          <w:sz w:val="21"/>
          <w:szCs w:val="21"/>
          <w:highlight w:val="none"/>
          <w:lang w:bidi="zh-CN"/>
        </w:rPr>
        <w:t>（1）逾期第1~5 日历日，每延误一日按</w:t>
      </w:r>
      <w:r>
        <w:rPr>
          <w:rFonts w:hint="eastAsia" w:ascii="宋体" w:hAnsi="Tahoma" w:eastAsia="宋体" w:cs="宋体"/>
          <w:b/>
          <w:bCs/>
          <w:color w:val="auto"/>
          <w:sz w:val="21"/>
          <w:szCs w:val="21"/>
          <w:highlight w:val="none"/>
          <w:lang w:val="en-US" w:eastAsia="zh-CN" w:bidi="zh-CN"/>
        </w:rPr>
        <w:t>中标</w:t>
      </w:r>
      <w:r>
        <w:rPr>
          <w:rFonts w:hint="eastAsia" w:ascii="宋体" w:hAnsi="Tahoma" w:eastAsia="宋体" w:cs="宋体"/>
          <w:b/>
          <w:bCs/>
          <w:color w:val="auto"/>
          <w:sz w:val="21"/>
          <w:szCs w:val="21"/>
          <w:highlight w:val="none"/>
          <w:lang w:bidi="zh-CN"/>
        </w:rPr>
        <w:t>总价的 0.4%计算违约金； （2）逾期第6~10 日历日，每延误一日按</w:t>
      </w:r>
      <w:r>
        <w:rPr>
          <w:rFonts w:hint="eastAsia" w:ascii="宋体" w:hAnsi="Tahoma" w:eastAsia="宋体" w:cs="宋体"/>
          <w:b/>
          <w:bCs/>
          <w:color w:val="auto"/>
          <w:sz w:val="21"/>
          <w:szCs w:val="21"/>
          <w:highlight w:val="none"/>
          <w:lang w:val="en-US" w:eastAsia="zh-CN" w:bidi="zh-CN"/>
        </w:rPr>
        <w:t>中标</w:t>
      </w:r>
      <w:r>
        <w:rPr>
          <w:rFonts w:hint="eastAsia" w:ascii="宋体" w:hAnsi="Tahoma" w:eastAsia="宋体" w:cs="宋体"/>
          <w:b/>
          <w:bCs/>
          <w:color w:val="auto"/>
          <w:sz w:val="21"/>
          <w:szCs w:val="21"/>
          <w:highlight w:val="none"/>
          <w:lang w:bidi="zh-CN"/>
        </w:rPr>
        <w:t>总价的 0.7%计算违约金； （3）逾期第11~15 日历日，每延误一日按</w:t>
      </w:r>
      <w:r>
        <w:rPr>
          <w:rFonts w:hint="eastAsia" w:ascii="宋体" w:hAnsi="Tahoma" w:eastAsia="宋体" w:cs="宋体"/>
          <w:b/>
          <w:bCs/>
          <w:color w:val="auto"/>
          <w:sz w:val="21"/>
          <w:szCs w:val="21"/>
          <w:highlight w:val="none"/>
          <w:lang w:val="en-US" w:eastAsia="zh-CN" w:bidi="zh-CN"/>
        </w:rPr>
        <w:t>中标</w:t>
      </w:r>
      <w:r>
        <w:rPr>
          <w:rFonts w:hint="eastAsia" w:ascii="宋体" w:hAnsi="Tahoma" w:eastAsia="宋体" w:cs="宋体"/>
          <w:b/>
          <w:bCs/>
          <w:color w:val="auto"/>
          <w:sz w:val="21"/>
          <w:szCs w:val="21"/>
          <w:highlight w:val="none"/>
          <w:lang w:bidi="zh-CN"/>
        </w:rPr>
        <w:t>总价的 0.9%计算违约金。 注：以上违约金分段累计。</w:t>
      </w:r>
    </w:p>
    <w:p>
      <w:pPr>
        <w:ind w:firstLine="422" w:firstLineChars="200"/>
        <w:rPr>
          <w:rFonts w:hint="eastAsia" w:ascii="宋体" w:hAnsi="Tahoma" w:cs="宋体"/>
          <w:b/>
          <w:bCs/>
          <w:color w:val="auto"/>
          <w:sz w:val="21"/>
          <w:szCs w:val="21"/>
          <w:highlight w:val="none"/>
          <w:lang w:bidi="zh-CN"/>
        </w:rPr>
      </w:pPr>
      <w:r>
        <w:rPr>
          <w:rFonts w:hint="eastAsia" w:ascii="宋体" w:hAnsi="Tahoma" w:eastAsia="宋体" w:cs="宋体"/>
          <w:b/>
          <w:bCs/>
          <w:color w:val="auto"/>
          <w:sz w:val="21"/>
          <w:szCs w:val="21"/>
          <w:highlight w:val="none"/>
          <w:lang w:bidi="zh-CN"/>
        </w:rPr>
        <w:t>违约金不足以弥补因此给</w:t>
      </w:r>
      <w:r>
        <w:rPr>
          <w:rFonts w:hint="eastAsia" w:ascii="宋体" w:hAnsi="Tahoma" w:eastAsia="宋体" w:cs="宋体"/>
          <w:b/>
          <w:bCs/>
          <w:color w:val="auto"/>
          <w:sz w:val="21"/>
          <w:szCs w:val="21"/>
          <w:highlight w:val="none"/>
          <w:lang w:val="en-US" w:eastAsia="zh-CN" w:bidi="zh-CN"/>
        </w:rPr>
        <w:t>采购人</w:t>
      </w:r>
      <w:r>
        <w:rPr>
          <w:rFonts w:hint="eastAsia" w:ascii="宋体" w:hAnsi="Tahoma" w:eastAsia="宋体" w:cs="宋体"/>
          <w:b/>
          <w:bCs/>
          <w:color w:val="auto"/>
          <w:sz w:val="21"/>
          <w:szCs w:val="21"/>
          <w:highlight w:val="none"/>
          <w:lang w:bidi="zh-CN"/>
        </w:rPr>
        <w:t>造成的损失的，</w:t>
      </w:r>
      <w:r>
        <w:rPr>
          <w:rFonts w:hint="eastAsia" w:ascii="宋体" w:hAnsi="Tahoma" w:cs="宋体"/>
          <w:b/>
          <w:bCs/>
          <w:color w:val="auto"/>
          <w:sz w:val="21"/>
          <w:szCs w:val="21"/>
          <w:highlight w:val="none"/>
          <w:lang w:bidi="zh-CN"/>
        </w:rPr>
        <w:t>我公司按要求补足</w:t>
      </w:r>
      <w:r>
        <w:rPr>
          <w:rFonts w:hint="eastAsia" w:ascii="宋体" w:hAnsi="Tahoma" w:eastAsia="宋体" w:cs="宋体"/>
          <w:b/>
          <w:bCs/>
          <w:color w:val="auto"/>
          <w:sz w:val="21"/>
          <w:szCs w:val="21"/>
          <w:highlight w:val="none"/>
          <w:lang w:bidi="zh-CN"/>
        </w:rPr>
        <w:t>，</w:t>
      </w:r>
      <w:r>
        <w:rPr>
          <w:rFonts w:hint="eastAsia" w:ascii="宋体" w:hAnsi="Tahoma" w:eastAsia="宋体" w:cs="宋体"/>
          <w:b/>
          <w:bCs/>
          <w:color w:val="auto"/>
          <w:sz w:val="21"/>
          <w:szCs w:val="21"/>
          <w:highlight w:val="none"/>
          <w:lang w:val="en-US" w:eastAsia="zh-CN" w:bidi="zh-CN"/>
        </w:rPr>
        <w:t>若我司</w:t>
      </w:r>
      <w:r>
        <w:rPr>
          <w:rFonts w:hint="eastAsia" w:ascii="宋体" w:hAnsi="Tahoma" w:eastAsia="宋体" w:cs="宋体"/>
          <w:b/>
          <w:bCs/>
          <w:color w:val="auto"/>
          <w:sz w:val="21"/>
          <w:szCs w:val="21"/>
          <w:highlight w:val="none"/>
          <w:lang w:bidi="zh-CN"/>
        </w:rPr>
        <w:t>未在</w:t>
      </w:r>
      <w:r>
        <w:rPr>
          <w:rFonts w:hint="eastAsia" w:ascii="宋体" w:hAnsi="Tahoma" w:eastAsia="宋体" w:cs="宋体"/>
          <w:b/>
          <w:bCs/>
          <w:color w:val="auto"/>
          <w:sz w:val="21"/>
          <w:szCs w:val="21"/>
          <w:highlight w:val="none"/>
          <w:lang w:val="en-US" w:eastAsia="zh-CN" w:bidi="zh-CN"/>
        </w:rPr>
        <w:t>采购人</w:t>
      </w:r>
      <w:r>
        <w:rPr>
          <w:rFonts w:hint="eastAsia" w:ascii="宋体" w:hAnsi="Tahoma" w:eastAsia="宋体" w:cs="宋体"/>
          <w:b/>
          <w:bCs/>
          <w:color w:val="auto"/>
          <w:sz w:val="21"/>
          <w:szCs w:val="21"/>
          <w:highlight w:val="none"/>
          <w:lang w:bidi="zh-CN"/>
        </w:rPr>
        <w:t>通知的期限内补足的，</w:t>
      </w:r>
      <w:r>
        <w:rPr>
          <w:rFonts w:hint="eastAsia" w:ascii="宋体" w:hAnsi="Tahoma" w:eastAsia="宋体" w:cs="宋体"/>
          <w:b/>
          <w:bCs/>
          <w:color w:val="auto"/>
          <w:sz w:val="21"/>
          <w:szCs w:val="21"/>
          <w:highlight w:val="none"/>
          <w:lang w:val="en-US" w:eastAsia="zh-CN" w:bidi="zh-CN"/>
        </w:rPr>
        <w:t>同意采购人</w:t>
      </w:r>
      <w:r>
        <w:rPr>
          <w:rFonts w:hint="eastAsia" w:ascii="宋体" w:hAnsi="Tahoma" w:eastAsia="宋体" w:cs="宋体"/>
          <w:b/>
          <w:bCs/>
          <w:color w:val="auto"/>
          <w:sz w:val="21"/>
          <w:szCs w:val="21"/>
          <w:highlight w:val="none"/>
          <w:lang w:bidi="zh-CN"/>
        </w:rPr>
        <w:t>在未付合同款中扣除；</w:t>
      </w:r>
      <w:r>
        <w:rPr>
          <w:rFonts w:hint="eastAsia" w:ascii="宋体" w:hAnsi="Tahoma" w:cs="宋体"/>
          <w:b/>
          <w:bCs/>
          <w:color w:val="auto"/>
          <w:sz w:val="21"/>
          <w:szCs w:val="21"/>
          <w:highlight w:val="none"/>
          <w:lang w:bidi="zh-CN"/>
        </w:rPr>
        <w:t>若延误累计超过15日（不含15日）的，违约金为中标金额的20％，且采购人可单方面解除合同。同时，造成采购人损失（包括但不限于经济损失等），均由我公司承担。</w:t>
      </w:r>
    </w:p>
    <w:p>
      <w:pPr>
        <w:pStyle w:val="49"/>
        <w:widowControl/>
        <w:spacing w:line="420" w:lineRule="exact"/>
        <w:ind w:firstLine="434"/>
        <w:jc w:val="left"/>
        <w:rPr>
          <w:rFonts w:ascii="宋体" w:cs="宋体"/>
          <w:b/>
          <w:bCs/>
          <w:color w:val="auto"/>
          <w:sz w:val="21"/>
          <w:szCs w:val="21"/>
          <w:highlight w:val="none"/>
          <w:lang w:bidi="zh-CN"/>
        </w:rPr>
      </w:pPr>
    </w:p>
    <w:p>
      <w:pPr>
        <w:pStyle w:val="49"/>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rPr>
          <w:color w:val="auto"/>
          <w:highlight w:val="none"/>
        </w:rPr>
      </w:pPr>
      <w:r>
        <w:rPr>
          <w:color w:val="auto"/>
          <w:highlight w:val="none"/>
        </w:rPr>
        <w:br w:type="page"/>
      </w:r>
    </w:p>
    <w:p>
      <w:pPr>
        <w:pStyle w:val="19"/>
        <w:rPr>
          <w:color w:val="auto"/>
          <w:highlight w:val="none"/>
        </w:rPr>
      </w:pPr>
    </w:p>
    <w:p>
      <w:pPr>
        <w:pStyle w:val="8"/>
        <w:widowControl w:val="0"/>
        <w:overflowPunct w:val="0"/>
        <w:spacing w:line="240" w:lineRule="auto"/>
        <w:rPr>
          <w:rFonts w:ascii="宋体" w:hAnsi="宋体"/>
          <w:color w:val="auto"/>
          <w:sz w:val="21"/>
          <w:szCs w:val="21"/>
          <w:highlight w:val="none"/>
        </w:rPr>
      </w:pPr>
      <w:bookmarkStart w:id="966" w:name="_Toc8279"/>
      <w:bookmarkStart w:id="967" w:name="_Toc15294"/>
      <w:r>
        <w:rPr>
          <w:rFonts w:hint="eastAsia" w:ascii="宋体" w:hAnsi="宋体"/>
          <w:color w:val="auto"/>
          <w:sz w:val="21"/>
          <w:szCs w:val="21"/>
          <w:highlight w:val="none"/>
        </w:rPr>
        <w:t>附件12.商务需求条款偏离表格式</w:t>
      </w:r>
      <w:bookmarkEnd w:id="966"/>
      <w:bookmarkEnd w:id="967"/>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商务需求条款偏离表  包组号（ ）</w:t>
      </w:r>
    </w:p>
    <w:tbl>
      <w:tblPr>
        <w:tblStyle w:val="34"/>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tblPrEx>
          <w:tblLayout w:type="fixed"/>
          <w:tblCellMar>
            <w:top w:w="0" w:type="dxa"/>
            <w:left w:w="108" w:type="dxa"/>
            <w:bottom w:w="0" w:type="dxa"/>
            <w:right w:w="108" w:type="dxa"/>
          </w:tblCellMar>
        </w:tblPrEx>
        <w:trPr>
          <w:trHeight w:val="662" w:hRule="atLeast"/>
        </w:trPr>
        <w:tc>
          <w:tcPr>
            <w:tcW w:w="100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620" w:type="dxa"/>
            <w:vAlign w:val="center"/>
          </w:tcPr>
          <w:p>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60" w:type="dxa"/>
            <w:vAlign w:val="center"/>
          </w:tcPr>
          <w:p>
            <w:pPr>
              <w:jc w:val="center"/>
              <w:rPr>
                <w:rFonts w:ascii="宋体" w:hAnsi="宋体"/>
                <w:color w:val="auto"/>
                <w:szCs w:val="21"/>
                <w:highlight w:val="none"/>
              </w:rPr>
            </w:pPr>
            <w:r>
              <w:rPr>
                <w:rFonts w:hint="eastAsia" w:ascii="宋体" w:hAnsi="宋体"/>
                <w:color w:val="auto"/>
                <w:szCs w:val="21"/>
                <w:highlight w:val="none"/>
              </w:rPr>
              <w:t>采购要求</w:t>
            </w:r>
          </w:p>
        </w:tc>
        <w:tc>
          <w:tcPr>
            <w:tcW w:w="1587" w:type="dxa"/>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133" w:type="dxa"/>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730" w:type="dxa"/>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Layout w:type="fixed"/>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ind w:left="718" w:hanging="718" w:hangingChars="342"/>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1、投标人应对照采购文件商务需求书中商务要求，说明已对采购文件的商务内容做出了实质性的响应。</w:t>
      </w:r>
    </w:p>
    <w:p>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，投标人都被认为已清楚了解采购文件“</w:t>
      </w:r>
      <w:r>
        <w:rPr>
          <w:rFonts w:hint="eastAsia" w:ascii="宋体" w:hAnsi="宋体"/>
          <w:color w:val="auto"/>
          <w:szCs w:val="21"/>
          <w:highlight w:val="none"/>
        </w:rPr>
        <w:t>商务</w:t>
      </w:r>
      <w:r>
        <w:rPr>
          <w:rFonts w:hint="eastAsia" w:hAnsi="宋体" w:cs="宋体"/>
          <w:color w:val="auto"/>
          <w:szCs w:val="21"/>
          <w:highlight w:val="none"/>
        </w:rPr>
        <w:t>需求书”的内容并对采购人所需的服务要求作全面响应，投标人必须承担完成“</w:t>
      </w:r>
      <w:r>
        <w:rPr>
          <w:rFonts w:hint="eastAsia" w:ascii="宋体" w:hAnsi="宋体"/>
          <w:color w:val="auto"/>
          <w:szCs w:val="21"/>
          <w:highlight w:val="none"/>
        </w:rPr>
        <w:t>商务</w:t>
      </w:r>
      <w:r>
        <w:rPr>
          <w:rFonts w:hint="eastAsia" w:hAnsi="宋体" w:cs="宋体"/>
          <w:color w:val="auto"/>
          <w:szCs w:val="21"/>
          <w:highlight w:val="none"/>
        </w:rPr>
        <w:t>需求书”所描述内容的义务</w:t>
      </w:r>
      <w:r>
        <w:rPr>
          <w:rFonts w:hint="eastAsia" w:ascii="宋体" w:hAnsi="宋体"/>
          <w:color w:val="auto"/>
          <w:szCs w:val="21"/>
          <w:highlight w:val="none"/>
        </w:rPr>
        <w:t>，因此对投标人投标产生负面影响的，投标人自行承担后果。</w:t>
      </w:r>
    </w:p>
    <w:p>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如投标人差异内容较多可另附页说明。</w:t>
      </w:r>
    </w:p>
    <w:p>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如投标人对用户需求书商务要求的条款全部响应的，也可以在表格下面用文字总括性的说明。</w:t>
      </w:r>
    </w:p>
    <w:p>
      <w:pPr>
        <w:rPr>
          <w:rFonts w:ascii="宋体" w:hAnsi="宋体"/>
          <w:color w:val="auto"/>
          <w:szCs w:val="21"/>
          <w:highlight w:val="none"/>
        </w:rPr>
      </w:pPr>
      <w:r>
        <w:rPr>
          <w:rFonts w:hint="eastAsia" w:ascii="宋体" w:hAnsi="宋体"/>
          <w:color w:val="auto"/>
          <w:szCs w:val="21"/>
          <w:highlight w:val="none"/>
        </w:rPr>
        <w:br w:type="page"/>
      </w:r>
    </w:p>
    <w:p>
      <w:pPr>
        <w:pStyle w:val="8"/>
        <w:widowControl w:val="0"/>
        <w:overflowPunct w:val="0"/>
        <w:spacing w:line="240" w:lineRule="auto"/>
        <w:rPr>
          <w:rFonts w:ascii="宋体" w:hAnsi="宋体"/>
          <w:color w:val="auto"/>
          <w:sz w:val="30"/>
          <w:szCs w:val="30"/>
          <w:highlight w:val="none"/>
        </w:rPr>
      </w:pPr>
      <w:bookmarkStart w:id="968" w:name="_Toc3065"/>
      <w:r>
        <w:rPr>
          <w:rFonts w:hint="eastAsia" w:ascii="宋体" w:hAnsi="宋体"/>
          <w:color w:val="auto"/>
          <w:sz w:val="21"/>
          <w:szCs w:val="21"/>
          <w:highlight w:val="none"/>
        </w:rPr>
        <w:t>附件13.业绩表</w:t>
      </w:r>
      <w:bookmarkEnd w:id="968"/>
    </w:p>
    <w:p>
      <w:pPr>
        <w:jc w:val="center"/>
        <w:rPr>
          <w:rFonts w:ascii="黑体" w:eastAsia="黑体"/>
          <w:color w:val="auto"/>
          <w:sz w:val="28"/>
          <w:szCs w:val="28"/>
          <w:highlight w:val="none"/>
        </w:rPr>
      </w:pPr>
      <w:r>
        <w:rPr>
          <w:rFonts w:hint="eastAsia" w:ascii="黑体" w:eastAsia="黑体"/>
          <w:color w:val="auto"/>
          <w:sz w:val="28"/>
          <w:szCs w:val="28"/>
          <w:highlight w:val="none"/>
        </w:rPr>
        <w:t>业绩表  包组号（ ）</w:t>
      </w:r>
    </w:p>
    <w:tbl>
      <w:tblPr>
        <w:tblStyle w:val="35"/>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5"/>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序号</w:t>
            </w:r>
          </w:p>
        </w:tc>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项目名称</w:t>
            </w:r>
          </w:p>
        </w:tc>
        <w:tc>
          <w:tcPr>
            <w:tcW w:w="1706"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项目金额</w:t>
            </w:r>
          </w:p>
        </w:tc>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项目合同签订时间</w:t>
            </w:r>
          </w:p>
        </w:tc>
        <w:tc>
          <w:tcPr>
            <w:tcW w:w="1697"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vAlign w:val="center"/>
          </w:tcPr>
          <w:p>
            <w:pPr>
              <w:adjustRightInd/>
              <w:snapToGrid/>
              <w:jc w:val="center"/>
              <w:rPr>
                <w:rFonts w:ascii="宋体" w:hAnsi="宋体"/>
                <w:color w:val="auto"/>
                <w:szCs w:val="21"/>
                <w:highlight w:val="none"/>
              </w:rPr>
            </w:pPr>
          </w:p>
        </w:tc>
        <w:tc>
          <w:tcPr>
            <w:tcW w:w="1705" w:type="dxa"/>
            <w:vAlign w:val="center"/>
          </w:tcPr>
          <w:p>
            <w:pPr>
              <w:adjustRightInd/>
              <w:snapToGrid/>
              <w:jc w:val="center"/>
              <w:rPr>
                <w:rFonts w:ascii="宋体" w:hAnsi="宋体"/>
                <w:color w:val="auto"/>
                <w:szCs w:val="21"/>
                <w:highlight w:val="none"/>
              </w:rPr>
            </w:pPr>
          </w:p>
        </w:tc>
        <w:tc>
          <w:tcPr>
            <w:tcW w:w="1706" w:type="dxa"/>
            <w:vAlign w:val="center"/>
          </w:tcPr>
          <w:p>
            <w:pPr>
              <w:adjustRightInd/>
              <w:snapToGrid/>
              <w:jc w:val="center"/>
              <w:rPr>
                <w:rFonts w:ascii="宋体" w:hAnsi="宋体"/>
                <w:color w:val="auto"/>
                <w:szCs w:val="21"/>
                <w:highlight w:val="none"/>
              </w:rPr>
            </w:pPr>
          </w:p>
        </w:tc>
        <w:tc>
          <w:tcPr>
            <w:tcW w:w="1705" w:type="dxa"/>
            <w:vAlign w:val="center"/>
          </w:tcPr>
          <w:p>
            <w:pPr>
              <w:adjustRightInd/>
              <w:snapToGrid/>
              <w:jc w:val="center"/>
              <w:rPr>
                <w:rFonts w:ascii="宋体" w:hAnsi="宋体"/>
                <w:color w:val="auto"/>
                <w:szCs w:val="21"/>
                <w:highlight w:val="none"/>
              </w:rPr>
            </w:pPr>
          </w:p>
        </w:tc>
        <w:tc>
          <w:tcPr>
            <w:tcW w:w="1697" w:type="dxa"/>
            <w:vAlign w:val="center"/>
          </w:tcPr>
          <w:p>
            <w:pPr>
              <w:adjustRightInd/>
              <w:snapToGrid/>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bl>
    <w:p>
      <w:pPr>
        <w:pStyle w:val="46"/>
        <w:rPr>
          <w:rFonts w:ascii="宋体" w:hAnsi="宋体"/>
          <w:color w:val="auto"/>
          <w:szCs w:val="21"/>
          <w:highlight w:val="none"/>
        </w:rPr>
      </w:pPr>
    </w:p>
    <w:p>
      <w:pPr>
        <w:pStyle w:val="46"/>
        <w:rPr>
          <w:rFonts w:ascii="宋体" w:hAnsi="宋体"/>
          <w:color w:val="auto"/>
          <w:szCs w:val="21"/>
          <w:highlight w:val="none"/>
        </w:rPr>
      </w:pPr>
      <w:r>
        <w:rPr>
          <w:rFonts w:hint="eastAsia" w:ascii="宋体" w:hAnsi="宋体"/>
          <w:color w:val="auto"/>
          <w:szCs w:val="21"/>
          <w:highlight w:val="none"/>
        </w:rPr>
        <w:t>注：</w:t>
      </w:r>
    </w:p>
    <w:p>
      <w:pPr>
        <w:pStyle w:val="46"/>
        <w:numPr>
          <w:ilvl w:val="0"/>
          <w:numId w:val="126"/>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w:t>
      </w:r>
    </w:p>
    <w:p>
      <w:pPr>
        <w:pStyle w:val="46"/>
        <w:numPr>
          <w:ilvl w:val="0"/>
          <w:numId w:val="126"/>
        </w:numPr>
        <w:rPr>
          <w:rFonts w:ascii="宋体" w:hAnsi="宋体"/>
          <w:color w:val="auto"/>
          <w:szCs w:val="21"/>
          <w:highlight w:val="none"/>
        </w:rPr>
      </w:pPr>
      <w:r>
        <w:rPr>
          <w:rFonts w:hint="eastAsia" w:ascii="宋体" w:hAnsi="宋体"/>
          <w:color w:val="auto"/>
          <w:szCs w:val="21"/>
          <w:highlight w:val="none"/>
        </w:rPr>
        <w:t>业绩表所列出的材料应为真实准确的，并应提供相关证明材料复印件加盖公章。请勿提供虚假、过期材料，否则将依据相关规定严肃处理。</w:t>
      </w:r>
    </w:p>
    <w:p>
      <w:pPr>
        <w:rPr>
          <w:rFonts w:ascii="宋体" w:hAnsi="宋体"/>
          <w:color w:val="auto"/>
          <w:szCs w:val="21"/>
          <w:highlight w:val="none"/>
        </w:rPr>
      </w:pPr>
      <w:r>
        <w:rPr>
          <w:rFonts w:hint="eastAsia" w:ascii="宋体" w:hAnsi="宋体"/>
          <w:color w:val="auto"/>
          <w:szCs w:val="21"/>
          <w:highlight w:val="none"/>
        </w:rPr>
        <w:br w:type="page"/>
      </w:r>
    </w:p>
    <w:p>
      <w:pPr>
        <w:pStyle w:val="2"/>
        <w:rPr>
          <w:color w:val="auto"/>
          <w:szCs w:val="21"/>
          <w:highlight w:val="none"/>
        </w:rPr>
        <w:sectPr>
          <w:headerReference r:id="rId11" w:type="first"/>
          <w:footerReference r:id="rId13" w:type="first"/>
          <w:headerReference r:id="rId9" w:type="default"/>
          <w:footerReference r:id="rId12" w:type="default"/>
          <w:headerReference r:id="rId10" w:type="even"/>
          <w:pgSz w:w="11906" w:h="16838"/>
          <w:pgMar w:top="1440" w:right="1800" w:bottom="1440" w:left="1800" w:header="708" w:footer="708" w:gutter="0"/>
          <w:pgNumType w:fmt="numberInDash"/>
          <w:cols w:space="708" w:num="1"/>
          <w:titlePg/>
          <w:docGrid w:type="lines" w:linePitch="360" w:charSpace="0"/>
        </w:sectPr>
      </w:pPr>
    </w:p>
    <w:p>
      <w:pPr>
        <w:pStyle w:val="2"/>
        <w:rPr>
          <w:color w:val="auto"/>
          <w:highlight w:val="none"/>
        </w:rPr>
      </w:pPr>
    </w:p>
    <w:p>
      <w:pPr>
        <w:pStyle w:val="6"/>
        <w:spacing w:before="0" w:after="0" w:line="360" w:lineRule="auto"/>
        <w:jc w:val="center"/>
        <w:rPr>
          <w:color w:val="auto"/>
          <w:sz w:val="72"/>
          <w:szCs w:val="72"/>
          <w:highlight w:val="none"/>
        </w:rPr>
      </w:pPr>
      <w:bookmarkStart w:id="969" w:name="_Toc8280"/>
      <w:r>
        <w:rPr>
          <w:rFonts w:hint="eastAsia"/>
          <w:color w:val="auto"/>
          <w:sz w:val="72"/>
          <w:szCs w:val="72"/>
          <w:highlight w:val="none"/>
        </w:rPr>
        <w:t>技术文件</w:t>
      </w:r>
      <w:bookmarkEnd w:id="969"/>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pPr>
        <w:rPr>
          <w:color w:val="auto"/>
          <w:highlight w:val="none"/>
        </w:rPr>
      </w:pPr>
    </w:p>
    <w:p>
      <w:pPr>
        <w:pStyle w:val="2"/>
        <w:rPr>
          <w:color w:val="auto"/>
          <w:highlight w:val="none"/>
        </w:rPr>
      </w:pPr>
    </w:p>
    <w:p>
      <w:pPr>
        <w:pStyle w:val="31"/>
        <w:ind w:firstLine="240"/>
        <w:rPr>
          <w:color w:val="auto"/>
          <w:highlight w:val="none"/>
        </w:rPr>
      </w:pPr>
    </w:p>
    <w:p>
      <w:pPr>
        <w:rPr>
          <w:rFonts w:ascii="宋体" w:hAnsi="宋体" w:cs="宋体"/>
          <w:b/>
          <w:bCs/>
          <w:color w:val="auto"/>
          <w:spacing w:val="0"/>
          <w:kern w:val="0"/>
          <w:sz w:val="32"/>
          <w:szCs w:val="32"/>
          <w:highlight w:val="none"/>
          <w:fitText w:val="1600" w:id="11"/>
        </w:rPr>
      </w:pPr>
      <w:r>
        <w:rPr>
          <w:rFonts w:hint="eastAsia" w:ascii="宋体" w:hAnsi="宋体" w:cs="宋体"/>
          <w:b/>
          <w:bCs/>
          <w:color w:val="auto"/>
          <w:spacing w:val="0"/>
          <w:kern w:val="0"/>
          <w:sz w:val="32"/>
          <w:szCs w:val="32"/>
          <w:highlight w:val="none"/>
          <w:fitText w:val="1600" w:id="11"/>
        </w:rPr>
        <w:t>项目名称：</w:t>
      </w:r>
    </w:p>
    <w:p>
      <w:pPr>
        <w:rPr>
          <w:rFonts w:ascii="宋体" w:hAnsi="宋体" w:cs="宋体"/>
          <w:b/>
          <w:bCs/>
          <w:color w:val="auto"/>
          <w:spacing w:val="0"/>
          <w:kern w:val="0"/>
          <w:sz w:val="32"/>
          <w:szCs w:val="32"/>
          <w:highlight w:val="none"/>
          <w:fitText w:val="1600" w:id="12"/>
        </w:rPr>
      </w:pPr>
      <w:r>
        <w:rPr>
          <w:rFonts w:hint="eastAsia" w:ascii="宋体" w:hAnsi="宋体" w:cs="宋体"/>
          <w:b/>
          <w:bCs/>
          <w:color w:val="auto"/>
          <w:spacing w:val="0"/>
          <w:kern w:val="0"/>
          <w:sz w:val="32"/>
          <w:szCs w:val="32"/>
          <w:highlight w:val="none"/>
          <w:fitText w:val="1600" w:id="12"/>
        </w:rPr>
        <w:t>项目编号：</w:t>
      </w:r>
    </w:p>
    <w:p>
      <w:pPr>
        <w:pStyle w:val="2"/>
        <w:ind w:left="0"/>
        <w:rPr>
          <w:b/>
          <w:color w:val="auto"/>
          <w:spacing w:val="6"/>
          <w:w w:val="71"/>
          <w:kern w:val="0"/>
          <w:sz w:val="32"/>
          <w:szCs w:val="32"/>
          <w:highlight w:val="none"/>
          <w:fitText w:val="1600" w:id="13"/>
        </w:rPr>
      </w:pPr>
      <w:r>
        <w:rPr>
          <w:b/>
          <w:color w:val="auto"/>
          <w:spacing w:val="106"/>
          <w:sz w:val="32"/>
          <w:szCs w:val="32"/>
          <w:highlight w:val="none"/>
          <w:lang w:val="en-US" w:bidi="ar-SA"/>
        </w:rPr>
        <w:t>包</w:t>
      </w:r>
      <w:r>
        <w:rPr>
          <w:b/>
          <w:color w:val="auto"/>
          <w:spacing w:val="0"/>
          <w:w w:val="71"/>
          <w:kern w:val="0"/>
          <w:sz w:val="32"/>
          <w:szCs w:val="32"/>
          <w:highlight w:val="none"/>
          <w:fitText w:val="1600" w:id="13"/>
          <w:lang w:val="en-US" w:bidi="ar-SA"/>
        </w:rPr>
        <w:t>组号（如有）</w:t>
      </w:r>
      <w:r>
        <w:rPr>
          <w:b/>
          <w:color w:val="auto"/>
          <w:spacing w:val="2"/>
          <w:w w:val="71"/>
          <w:kern w:val="0"/>
          <w:sz w:val="32"/>
          <w:szCs w:val="32"/>
          <w:highlight w:val="none"/>
          <w:fitText w:val="1600" w:id="13"/>
          <w:lang w:val="en-US" w:bidi="ar-SA"/>
        </w:rPr>
        <w:t>：</w:t>
      </w:r>
    </w:p>
    <w:p>
      <w:pPr>
        <w:rPr>
          <w:rFonts w:ascii="宋体" w:hAnsi="宋体" w:cs="宋体"/>
          <w:b/>
          <w:color w:val="auto"/>
          <w:spacing w:val="1"/>
          <w:w w:val="83"/>
          <w:kern w:val="0"/>
          <w:sz w:val="32"/>
          <w:szCs w:val="32"/>
          <w:highlight w:val="none"/>
          <w:fitText w:val="1600" w:id="14"/>
        </w:rPr>
      </w:pPr>
      <w:r>
        <w:rPr>
          <w:rFonts w:hint="eastAsia" w:ascii="宋体" w:hAnsi="宋体" w:cs="宋体"/>
          <w:b/>
          <w:color w:val="auto"/>
          <w:spacing w:val="0"/>
          <w:w w:val="83"/>
          <w:kern w:val="0"/>
          <w:sz w:val="32"/>
          <w:szCs w:val="32"/>
          <w:highlight w:val="none"/>
          <w:fitText w:val="1600" w:id="14"/>
        </w:rPr>
        <w:t>投标人名称：</w:t>
      </w:r>
    </w:p>
    <w:p>
      <w:pPr>
        <w:rPr>
          <w:rFonts w:ascii="宋体" w:hAnsi="宋体" w:cs="宋体"/>
          <w:b/>
          <w:color w:val="auto"/>
          <w:spacing w:val="0"/>
          <w:kern w:val="0"/>
          <w:sz w:val="32"/>
          <w:szCs w:val="32"/>
          <w:highlight w:val="none"/>
          <w:fitText w:val="1600" w:id="15"/>
        </w:rPr>
      </w:pPr>
      <w:r>
        <w:rPr>
          <w:rFonts w:hint="eastAsia" w:ascii="宋体" w:hAnsi="宋体" w:cs="宋体"/>
          <w:b/>
          <w:color w:val="auto"/>
          <w:spacing w:val="0"/>
          <w:kern w:val="0"/>
          <w:sz w:val="32"/>
          <w:szCs w:val="32"/>
          <w:highlight w:val="none"/>
          <w:fitText w:val="1600" w:id="15"/>
        </w:rPr>
        <w:t>日    期：</w:t>
      </w:r>
    </w:p>
    <w:p>
      <w:pPr>
        <w:rPr>
          <w:rFonts w:ascii="宋体" w:hAnsi="宋体"/>
          <w:color w:val="auto"/>
          <w:spacing w:val="66"/>
          <w:szCs w:val="21"/>
          <w:highlight w:val="none"/>
        </w:rPr>
      </w:pPr>
      <w:r>
        <w:rPr>
          <w:rFonts w:hint="eastAsia" w:ascii="宋体" w:hAnsi="宋体"/>
          <w:color w:val="auto"/>
          <w:spacing w:val="66"/>
          <w:szCs w:val="21"/>
          <w:highlight w:val="none"/>
          <w:fitText w:val="1600" w:id="16"/>
        </w:rPr>
        <w:br w:type="page"/>
      </w:r>
    </w:p>
    <w:p>
      <w:pPr>
        <w:pStyle w:val="8"/>
        <w:widowControl w:val="0"/>
        <w:overflowPunct w:val="0"/>
        <w:spacing w:line="240" w:lineRule="auto"/>
        <w:jc w:val="left"/>
        <w:rPr>
          <w:rFonts w:hint="eastAsia" w:ascii="宋体" w:hAnsi="宋体"/>
          <w:color w:val="auto"/>
          <w:sz w:val="21"/>
          <w:szCs w:val="21"/>
          <w:highlight w:val="none"/>
        </w:rPr>
      </w:pPr>
      <w:bookmarkStart w:id="970" w:name="_Toc7938"/>
      <w:r>
        <w:rPr>
          <w:rFonts w:hint="eastAsia" w:ascii="宋体" w:hAnsi="宋体"/>
          <w:color w:val="auto"/>
          <w:sz w:val="21"/>
          <w:szCs w:val="21"/>
          <w:highlight w:val="none"/>
        </w:rPr>
        <w:t>附件1</w:t>
      </w:r>
      <w:r>
        <w:rPr>
          <w:rFonts w:hint="eastAsia" w:ascii="宋体" w:hAnsi="宋体"/>
          <w:color w:val="auto"/>
          <w:spacing w:val="0"/>
          <w:w w:val="84"/>
          <w:kern w:val="0"/>
          <w:sz w:val="21"/>
          <w:szCs w:val="21"/>
          <w:highlight w:val="none"/>
          <w:fitText w:val="1600" w:id="17"/>
        </w:rPr>
        <w:t>4.技术规格偏离表格</w:t>
      </w:r>
      <w:r>
        <w:rPr>
          <w:rFonts w:hint="eastAsia" w:ascii="宋体" w:hAnsi="宋体"/>
          <w:color w:val="auto"/>
          <w:sz w:val="21"/>
          <w:szCs w:val="21"/>
          <w:highlight w:val="none"/>
        </w:rPr>
        <w:t>式</w:t>
      </w:r>
      <w:bookmarkEnd w:id="970"/>
    </w:p>
    <w:p>
      <w:pPr>
        <w:pStyle w:val="8"/>
        <w:widowControl w:val="0"/>
        <w:overflowPunct w:val="0"/>
        <w:spacing w:line="240" w:lineRule="auto"/>
        <w:jc w:val="left"/>
        <w:rPr>
          <w:rFonts w:hint="eastAsia" w:ascii="宋体" w:hAnsi="宋体"/>
          <w:color w:val="auto"/>
          <w:sz w:val="21"/>
          <w:szCs w:val="21"/>
          <w:highlight w:val="none"/>
        </w:rPr>
      </w:pPr>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技术规格偏离表  包组号（ ）</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83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902" w:type="dxa"/>
            <w:vAlign w:val="center"/>
          </w:tcPr>
          <w:p>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70" w:type="dxa"/>
            <w:vAlign w:val="center"/>
          </w:tcPr>
          <w:p>
            <w:pPr>
              <w:jc w:val="center"/>
              <w:rPr>
                <w:rFonts w:ascii="宋体" w:hAnsi="宋体"/>
                <w:color w:val="auto"/>
                <w:szCs w:val="21"/>
                <w:highlight w:val="none"/>
              </w:rPr>
            </w:pPr>
            <w:r>
              <w:rPr>
                <w:rFonts w:hint="eastAsia" w:ascii="宋体" w:hAnsi="宋体"/>
                <w:color w:val="auto"/>
                <w:szCs w:val="21"/>
                <w:highlight w:val="none"/>
              </w:rPr>
              <w:t>采购要求</w:t>
            </w:r>
          </w:p>
        </w:tc>
        <w:tc>
          <w:tcPr>
            <w:tcW w:w="1629" w:type="dxa"/>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239" w:type="dxa"/>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544" w:type="dxa"/>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投标人应对照采购文件技术需求书中技术规格，说明所提供服务已对采购文件的技术规格做出了实质性的响应，并申明与技术规格条文的偏差和例外。特别对有具体参数要求的指标，投标人必须提供所投设备的具体参数值。</w:t>
      </w:r>
    </w:p>
    <w:p>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，投标人都被认为已清楚了解采购文件“技术需求书”的内容并对采购人所需的服务要求作全面响应，投标人必须承担完成“技术需求书”所描述内容的义务</w:t>
      </w:r>
      <w:r>
        <w:rPr>
          <w:rFonts w:hint="eastAsia" w:ascii="宋体" w:hAnsi="宋体"/>
          <w:color w:val="auto"/>
          <w:szCs w:val="21"/>
          <w:highlight w:val="none"/>
        </w:rPr>
        <w:t>，因此对投标人投标产生负面影响的，投标人自行承担后果。</w:t>
      </w:r>
    </w:p>
    <w:p>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如投标人差异内容较多可另附页说明。</w:t>
      </w:r>
    </w:p>
    <w:p>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如投标人对用户需求书商务要求的条款全部响应的，也可以在表格下面用文字总括性的说明。</w:t>
      </w:r>
    </w:p>
    <w:p>
      <w:pPr>
        <w:rPr>
          <w:rFonts w:ascii="宋体" w:hAnsi="宋体"/>
          <w:color w:val="auto"/>
          <w:szCs w:val="21"/>
          <w:highlight w:val="none"/>
        </w:rPr>
      </w:pPr>
    </w:p>
    <w:p>
      <w:pPr>
        <w:adjustRightInd/>
        <w:snapToGrid/>
        <w:spacing w:line="276" w:lineRule="auto"/>
        <w:rPr>
          <w:color w:val="auto"/>
          <w:highlight w:val="none"/>
        </w:rPr>
      </w:pPr>
    </w:p>
    <w:p>
      <w:pPr>
        <w:rPr>
          <w:rFonts w:ascii="宋体" w:hAnsi="宋体"/>
          <w:color w:val="auto"/>
          <w:szCs w:val="21"/>
          <w:highlight w:val="none"/>
        </w:rPr>
      </w:pPr>
      <w:bookmarkStart w:id="971" w:name="_Toc17691"/>
      <w:r>
        <w:rPr>
          <w:rFonts w:hint="eastAsia" w:ascii="宋体" w:hAnsi="宋体"/>
          <w:color w:val="auto"/>
          <w:szCs w:val="21"/>
          <w:highlight w:val="none"/>
        </w:rPr>
        <w:br w:type="page"/>
      </w:r>
    </w:p>
    <w:bookmarkEnd w:id="971"/>
    <w:p>
      <w:pPr>
        <w:pStyle w:val="8"/>
        <w:widowControl w:val="0"/>
        <w:overflowPunct w:val="0"/>
        <w:spacing w:line="240" w:lineRule="auto"/>
        <w:rPr>
          <w:rFonts w:ascii="宋体" w:hAnsi="宋体"/>
          <w:color w:val="auto"/>
          <w:sz w:val="21"/>
          <w:szCs w:val="21"/>
          <w:highlight w:val="none"/>
        </w:rPr>
      </w:pPr>
      <w:bookmarkStart w:id="972" w:name="_Toc17666"/>
      <w:r>
        <w:rPr>
          <w:rFonts w:hint="eastAsia" w:ascii="宋体" w:hAnsi="宋体"/>
          <w:color w:val="auto"/>
          <w:sz w:val="21"/>
          <w:szCs w:val="21"/>
          <w:highlight w:val="none"/>
        </w:rPr>
        <w:t>附件15.项目实施方案格式</w:t>
      </w:r>
      <w:bookmarkEnd w:id="972"/>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项目实施方案  包组号（ ）</w:t>
      </w:r>
    </w:p>
    <w:p>
      <w:pPr>
        <w:jc w:val="center"/>
        <w:rPr>
          <w:rFonts w:ascii="黑体" w:eastAsia="黑体"/>
          <w:color w:val="auto"/>
          <w:sz w:val="32"/>
          <w:szCs w:val="32"/>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1、为完成本项目投标人临时投入的设备</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2、为完成本项目投标人投入的人员以及具体工作安排</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3、投标人为本项目制定的具体项目实施方案与项目实施流程</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4、服务方案</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5、..........</w:t>
      </w:r>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8"/>
        <w:widowControl w:val="0"/>
        <w:overflowPunct w:val="0"/>
        <w:spacing w:line="240" w:lineRule="auto"/>
        <w:rPr>
          <w:rFonts w:ascii="宋体" w:hAnsi="宋体"/>
          <w:color w:val="auto"/>
          <w:sz w:val="21"/>
          <w:szCs w:val="21"/>
          <w:highlight w:val="none"/>
        </w:rPr>
      </w:pPr>
      <w:bookmarkStart w:id="973" w:name="_Toc19134"/>
      <w:r>
        <w:rPr>
          <w:rFonts w:hint="eastAsia" w:ascii="宋体" w:hAnsi="宋体"/>
          <w:color w:val="auto"/>
          <w:sz w:val="21"/>
          <w:szCs w:val="21"/>
          <w:highlight w:val="none"/>
        </w:rPr>
        <w:t>附件16.实施本项目的有关人员资料表格式</w:t>
      </w:r>
      <w:bookmarkEnd w:id="973"/>
    </w:p>
    <w:p>
      <w:pPr>
        <w:jc w:val="center"/>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实施本项目的有关人员资料表  包组号（ ）</w:t>
      </w:r>
    </w:p>
    <w:tbl>
      <w:tblPr>
        <w:tblStyle w:val="34"/>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702"/>
        <w:gridCol w:w="1861"/>
        <w:gridCol w:w="702"/>
        <w:gridCol w:w="702"/>
        <w:gridCol w:w="1164"/>
        <w:gridCol w:w="818"/>
        <w:gridCol w:w="1165"/>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02" w:type="dxa"/>
            <w:vAlign w:val="center"/>
          </w:tcPr>
          <w:p>
            <w:pPr>
              <w:jc w:val="center"/>
              <w:rPr>
                <w:rFonts w:ascii="宋体" w:hAnsi="宋体"/>
                <w:color w:val="auto"/>
                <w:szCs w:val="21"/>
                <w:highlight w:val="none"/>
              </w:rPr>
            </w:pPr>
            <w:r>
              <w:rPr>
                <w:rFonts w:hint="eastAsia" w:ascii="宋体" w:hAnsi="宋体"/>
                <w:color w:val="auto"/>
                <w:szCs w:val="21"/>
                <w:highlight w:val="none"/>
              </w:rPr>
              <w:t>姓名</w:t>
            </w:r>
          </w:p>
        </w:tc>
        <w:tc>
          <w:tcPr>
            <w:tcW w:w="1861" w:type="dxa"/>
            <w:vAlign w:val="center"/>
          </w:tcPr>
          <w:p>
            <w:pPr>
              <w:jc w:val="center"/>
              <w:rPr>
                <w:rFonts w:ascii="宋体" w:hAnsi="宋体"/>
                <w:color w:val="auto"/>
                <w:szCs w:val="21"/>
                <w:highlight w:val="none"/>
              </w:rPr>
            </w:pPr>
            <w:r>
              <w:rPr>
                <w:rFonts w:hint="eastAsia" w:ascii="宋体" w:hAnsi="宋体"/>
                <w:color w:val="auto"/>
                <w:szCs w:val="21"/>
                <w:highlight w:val="none"/>
              </w:rPr>
              <w:t>本项目拟任岗位</w:t>
            </w:r>
          </w:p>
        </w:tc>
        <w:tc>
          <w:tcPr>
            <w:tcW w:w="702" w:type="dxa"/>
            <w:vAlign w:val="center"/>
          </w:tcPr>
          <w:p>
            <w:pPr>
              <w:jc w:val="center"/>
              <w:rPr>
                <w:rFonts w:ascii="宋体" w:hAnsi="宋体"/>
                <w:color w:val="auto"/>
                <w:szCs w:val="21"/>
                <w:highlight w:val="none"/>
              </w:rPr>
            </w:pPr>
            <w:r>
              <w:rPr>
                <w:rFonts w:hint="eastAsia" w:ascii="宋体" w:hAnsi="宋体"/>
                <w:color w:val="auto"/>
                <w:szCs w:val="21"/>
                <w:highlight w:val="none"/>
              </w:rPr>
              <w:t>性别</w:t>
            </w:r>
          </w:p>
        </w:tc>
        <w:tc>
          <w:tcPr>
            <w:tcW w:w="702" w:type="dxa"/>
            <w:vAlign w:val="center"/>
          </w:tcPr>
          <w:p>
            <w:pPr>
              <w:jc w:val="center"/>
              <w:rPr>
                <w:rFonts w:ascii="宋体" w:hAnsi="宋体"/>
                <w:color w:val="auto"/>
                <w:szCs w:val="21"/>
                <w:highlight w:val="none"/>
              </w:rPr>
            </w:pPr>
            <w:r>
              <w:rPr>
                <w:rFonts w:hint="eastAsia" w:ascii="宋体" w:hAnsi="宋体"/>
                <w:color w:val="auto"/>
                <w:szCs w:val="21"/>
                <w:highlight w:val="none"/>
              </w:rPr>
              <w:t>年龄</w:t>
            </w:r>
          </w:p>
        </w:tc>
        <w:tc>
          <w:tcPr>
            <w:tcW w:w="1164" w:type="dxa"/>
            <w:vAlign w:val="center"/>
          </w:tcPr>
          <w:p>
            <w:pPr>
              <w:jc w:val="center"/>
              <w:rPr>
                <w:rFonts w:ascii="宋体" w:hAnsi="宋体"/>
                <w:color w:val="auto"/>
                <w:szCs w:val="21"/>
                <w:highlight w:val="none"/>
              </w:rPr>
            </w:pPr>
            <w:r>
              <w:rPr>
                <w:rFonts w:hint="eastAsia" w:ascii="宋体" w:hAnsi="宋体"/>
                <w:color w:val="auto"/>
                <w:szCs w:val="21"/>
                <w:highlight w:val="none"/>
              </w:rPr>
              <w:t>技术职称</w:t>
            </w:r>
          </w:p>
        </w:tc>
        <w:tc>
          <w:tcPr>
            <w:tcW w:w="818" w:type="dxa"/>
            <w:vAlign w:val="center"/>
          </w:tcPr>
          <w:p>
            <w:pPr>
              <w:jc w:val="center"/>
              <w:rPr>
                <w:rFonts w:ascii="宋体" w:hAnsi="宋体"/>
                <w:color w:val="auto"/>
                <w:szCs w:val="21"/>
                <w:highlight w:val="none"/>
              </w:rPr>
            </w:pPr>
            <w:r>
              <w:rPr>
                <w:rFonts w:hint="eastAsia" w:ascii="宋体" w:hAnsi="宋体"/>
                <w:color w:val="auto"/>
                <w:szCs w:val="21"/>
                <w:highlight w:val="none"/>
              </w:rPr>
              <w:t>专 业</w:t>
            </w:r>
          </w:p>
        </w:tc>
        <w:tc>
          <w:tcPr>
            <w:tcW w:w="1165" w:type="dxa"/>
            <w:vAlign w:val="center"/>
          </w:tcPr>
          <w:p>
            <w:pPr>
              <w:jc w:val="center"/>
              <w:rPr>
                <w:rFonts w:ascii="宋体" w:hAnsi="宋体"/>
                <w:color w:val="auto"/>
                <w:szCs w:val="21"/>
                <w:highlight w:val="none"/>
              </w:rPr>
            </w:pPr>
            <w:r>
              <w:rPr>
                <w:rFonts w:hint="eastAsia" w:ascii="宋体" w:hAnsi="宋体"/>
                <w:color w:val="auto"/>
                <w:szCs w:val="21"/>
                <w:highlight w:val="none"/>
              </w:rPr>
              <w:t>资质证书</w:t>
            </w:r>
          </w:p>
        </w:tc>
        <w:tc>
          <w:tcPr>
            <w:tcW w:w="703" w:type="dxa"/>
            <w:tcBorders>
              <w:right w:val="single" w:color="auto" w:sz="6" w:space="0"/>
            </w:tcBorders>
            <w:vAlign w:val="center"/>
          </w:tcPr>
          <w:p>
            <w:pPr>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861"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164" w:type="dxa"/>
            <w:vAlign w:val="center"/>
          </w:tcPr>
          <w:p>
            <w:pPr>
              <w:spacing w:line="288" w:lineRule="auto"/>
              <w:jc w:val="center"/>
              <w:rPr>
                <w:rFonts w:ascii="宋体" w:hAnsi="宋体"/>
                <w:color w:val="auto"/>
                <w:szCs w:val="21"/>
                <w:highlight w:val="none"/>
              </w:rPr>
            </w:pPr>
          </w:p>
        </w:tc>
        <w:tc>
          <w:tcPr>
            <w:tcW w:w="818" w:type="dxa"/>
            <w:vAlign w:val="center"/>
          </w:tcPr>
          <w:p>
            <w:pPr>
              <w:spacing w:line="288" w:lineRule="auto"/>
              <w:jc w:val="center"/>
              <w:rPr>
                <w:rFonts w:ascii="宋体" w:hAnsi="宋体"/>
                <w:color w:val="auto"/>
                <w:szCs w:val="21"/>
                <w:highlight w:val="none"/>
              </w:rPr>
            </w:pPr>
          </w:p>
        </w:tc>
        <w:tc>
          <w:tcPr>
            <w:tcW w:w="1165" w:type="dxa"/>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861"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164" w:type="dxa"/>
            <w:vAlign w:val="center"/>
          </w:tcPr>
          <w:p>
            <w:pPr>
              <w:spacing w:line="288" w:lineRule="auto"/>
              <w:jc w:val="center"/>
              <w:rPr>
                <w:rFonts w:ascii="宋体" w:hAnsi="宋体"/>
                <w:color w:val="auto"/>
                <w:szCs w:val="21"/>
                <w:highlight w:val="none"/>
              </w:rPr>
            </w:pPr>
          </w:p>
        </w:tc>
        <w:tc>
          <w:tcPr>
            <w:tcW w:w="818" w:type="dxa"/>
            <w:vAlign w:val="center"/>
          </w:tcPr>
          <w:p>
            <w:pPr>
              <w:spacing w:line="288" w:lineRule="auto"/>
              <w:jc w:val="center"/>
              <w:rPr>
                <w:rFonts w:ascii="宋体" w:hAnsi="宋体"/>
                <w:color w:val="auto"/>
                <w:szCs w:val="21"/>
                <w:highlight w:val="none"/>
              </w:rPr>
            </w:pPr>
          </w:p>
        </w:tc>
        <w:tc>
          <w:tcPr>
            <w:tcW w:w="1165" w:type="dxa"/>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861"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164" w:type="dxa"/>
            <w:vAlign w:val="center"/>
          </w:tcPr>
          <w:p>
            <w:pPr>
              <w:spacing w:line="288" w:lineRule="auto"/>
              <w:jc w:val="center"/>
              <w:rPr>
                <w:rFonts w:ascii="宋体" w:hAnsi="宋体"/>
                <w:color w:val="auto"/>
                <w:szCs w:val="21"/>
                <w:highlight w:val="none"/>
              </w:rPr>
            </w:pPr>
          </w:p>
        </w:tc>
        <w:tc>
          <w:tcPr>
            <w:tcW w:w="818" w:type="dxa"/>
            <w:vAlign w:val="center"/>
          </w:tcPr>
          <w:p>
            <w:pPr>
              <w:spacing w:line="288" w:lineRule="auto"/>
              <w:jc w:val="center"/>
              <w:rPr>
                <w:rFonts w:ascii="宋体" w:hAnsi="宋体"/>
                <w:color w:val="auto"/>
                <w:szCs w:val="21"/>
                <w:highlight w:val="none"/>
              </w:rPr>
            </w:pPr>
          </w:p>
        </w:tc>
        <w:tc>
          <w:tcPr>
            <w:tcW w:w="1165" w:type="dxa"/>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861"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164" w:type="dxa"/>
            <w:vAlign w:val="center"/>
          </w:tcPr>
          <w:p>
            <w:pPr>
              <w:spacing w:line="288" w:lineRule="auto"/>
              <w:jc w:val="center"/>
              <w:rPr>
                <w:rFonts w:ascii="宋体" w:hAnsi="宋体"/>
                <w:color w:val="auto"/>
                <w:szCs w:val="21"/>
                <w:highlight w:val="none"/>
              </w:rPr>
            </w:pPr>
          </w:p>
        </w:tc>
        <w:tc>
          <w:tcPr>
            <w:tcW w:w="818" w:type="dxa"/>
            <w:vAlign w:val="center"/>
          </w:tcPr>
          <w:p>
            <w:pPr>
              <w:spacing w:line="288" w:lineRule="auto"/>
              <w:jc w:val="center"/>
              <w:rPr>
                <w:rFonts w:ascii="宋体" w:hAnsi="宋体"/>
                <w:color w:val="auto"/>
                <w:szCs w:val="21"/>
                <w:highlight w:val="none"/>
              </w:rPr>
            </w:pPr>
          </w:p>
        </w:tc>
        <w:tc>
          <w:tcPr>
            <w:tcW w:w="1165" w:type="dxa"/>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861"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164" w:type="dxa"/>
            <w:vAlign w:val="center"/>
          </w:tcPr>
          <w:p>
            <w:pPr>
              <w:spacing w:line="288" w:lineRule="auto"/>
              <w:jc w:val="center"/>
              <w:rPr>
                <w:rFonts w:ascii="宋体" w:hAnsi="宋体"/>
                <w:color w:val="auto"/>
                <w:szCs w:val="21"/>
                <w:highlight w:val="none"/>
              </w:rPr>
            </w:pPr>
          </w:p>
        </w:tc>
        <w:tc>
          <w:tcPr>
            <w:tcW w:w="818" w:type="dxa"/>
            <w:vAlign w:val="center"/>
          </w:tcPr>
          <w:p>
            <w:pPr>
              <w:spacing w:line="288" w:lineRule="auto"/>
              <w:jc w:val="center"/>
              <w:rPr>
                <w:rFonts w:ascii="宋体" w:hAnsi="宋体"/>
                <w:color w:val="auto"/>
                <w:szCs w:val="21"/>
                <w:highlight w:val="none"/>
              </w:rPr>
            </w:pPr>
          </w:p>
        </w:tc>
        <w:tc>
          <w:tcPr>
            <w:tcW w:w="1165" w:type="dxa"/>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861"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164" w:type="dxa"/>
            <w:vAlign w:val="center"/>
          </w:tcPr>
          <w:p>
            <w:pPr>
              <w:spacing w:line="288" w:lineRule="auto"/>
              <w:jc w:val="center"/>
              <w:rPr>
                <w:rFonts w:ascii="宋体" w:hAnsi="宋体"/>
                <w:color w:val="auto"/>
                <w:szCs w:val="21"/>
                <w:highlight w:val="none"/>
              </w:rPr>
            </w:pPr>
          </w:p>
        </w:tc>
        <w:tc>
          <w:tcPr>
            <w:tcW w:w="818" w:type="dxa"/>
            <w:vAlign w:val="center"/>
          </w:tcPr>
          <w:p>
            <w:pPr>
              <w:spacing w:line="288" w:lineRule="auto"/>
              <w:jc w:val="center"/>
              <w:rPr>
                <w:rFonts w:ascii="宋体" w:hAnsi="宋体"/>
                <w:color w:val="auto"/>
                <w:szCs w:val="21"/>
                <w:highlight w:val="none"/>
              </w:rPr>
            </w:pPr>
          </w:p>
        </w:tc>
        <w:tc>
          <w:tcPr>
            <w:tcW w:w="1165" w:type="dxa"/>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861"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164" w:type="dxa"/>
            <w:vAlign w:val="center"/>
          </w:tcPr>
          <w:p>
            <w:pPr>
              <w:spacing w:line="288" w:lineRule="auto"/>
              <w:jc w:val="center"/>
              <w:rPr>
                <w:rFonts w:ascii="宋体" w:hAnsi="宋体"/>
                <w:color w:val="auto"/>
                <w:szCs w:val="21"/>
                <w:highlight w:val="none"/>
              </w:rPr>
            </w:pPr>
          </w:p>
        </w:tc>
        <w:tc>
          <w:tcPr>
            <w:tcW w:w="818" w:type="dxa"/>
            <w:vAlign w:val="center"/>
          </w:tcPr>
          <w:p>
            <w:pPr>
              <w:spacing w:line="288" w:lineRule="auto"/>
              <w:jc w:val="center"/>
              <w:rPr>
                <w:rFonts w:ascii="宋体" w:hAnsi="宋体"/>
                <w:color w:val="auto"/>
                <w:szCs w:val="21"/>
                <w:highlight w:val="none"/>
              </w:rPr>
            </w:pPr>
          </w:p>
        </w:tc>
        <w:tc>
          <w:tcPr>
            <w:tcW w:w="1165" w:type="dxa"/>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861"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164" w:type="dxa"/>
            <w:vAlign w:val="center"/>
          </w:tcPr>
          <w:p>
            <w:pPr>
              <w:spacing w:line="288" w:lineRule="auto"/>
              <w:jc w:val="center"/>
              <w:rPr>
                <w:rFonts w:ascii="宋体" w:hAnsi="宋体"/>
                <w:color w:val="auto"/>
                <w:szCs w:val="21"/>
                <w:highlight w:val="none"/>
              </w:rPr>
            </w:pPr>
          </w:p>
        </w:tc>
        <w:tc>
          <w:tcPr>
            <w:tcW w:w="818" w:type="dxa"/>
            <w:vAlign w:val="center"/>
          </w:tcPr>
          <w:p>
            <w:pPr>
              <w:spacing w:line="288" w:lineRule="auto"/>
              <w:jc w:val="center"/>
              <w:rPr>
                <w:rFonts w:ascii="宋体" w:hAnsi="宋体"/>
                <w:color w:val="auto"/>
                <w:szCs w:val="21"/>
                <w:highlight w:val="none"/>
              </w:rPr>
            </w:pPr>
          </w:p>
        </w:tc>
        <w:tc>
          <w:tcPr>
            <w:tcW w:w="1165" w:type="dxa"/>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861"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164" w:type="dxa"/>
            <w:vAlign w:val="center"/>
          </w:tcPr>
          <w:p>
            <w:pPr>
              <w:spacing w:line="288" w:lineRule="auto"/>
              <w:jc w:val="center"/>
              <w:rPr>
                <w:rFonts w:ascii="宋体" w:hAnsi="宋体"/>
                <w:color w:val="auto"/>
                <w:szCs w:val="21"/>
                <w:highlight w:val="none"/>
              </w:rPr>
            </w:pPr>
          </w:p>
        </w:tc>
        <w:tc>
          <w:tcPr>
            <w:tcW w:w="818" w:type="dxa"/>
            <w:vAlign w:val="center"/>
          </w:tcPr>
          <w:p>
            <w:pPr>
              <w:spacing w:line="288" w:lineRule="auto"/>
              <w:jc w:val="center"/>
              <w:rPr>
                <w:rFonts w:ascii="宋体" w:hAnsi="宋体"/>
                <w:color w:val="auto"/>
                <w:szCs w:val="21"/>
                <w:highlight w:val="none"/>
              </w:rPr>
            </w:pPr>
          </w:p>
        </w:tc>
        <w:tc>
          <w:tcPr>
            <w:tcW w:w="1165" w:type="dxa"/>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861"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702" w:type="dxa"/>
            <w:vAlign w:val="center"/>
          </w:tcPr>
          <w:p>
            <w:pPr>
              <w:spacing w:line="288" w:lineRule="auto"/>
              <w:jc w:val="center"/>
              <w:rPr>
                <w:rFonts w:ascii="宋体" w:hAnsi="宋体"/>
                <w:color w:val="auto"/>
                <w:szCs w:val="21"/>
                <w:highlight w:val="none"/>
              </w:rPr>
            </w:pPr>
          </w:p>
        </w:tc>
        <w:tc>
          <w:tcPr>
            <w:tcW w:w="1164" w:type="dxa"/>
            <w:vAlign w:val="center"/>
          </w:tcPr>
          <w:p>
            <w:pPr>
              <w:spacing w:line="288" w:lineRule="auto"/>
              <w:jc w:val="center"/>
              <w:rPr>
                <w:rFonts w:ascii="宋体" w:hAnsi="宋体"/>
                <w:color w:val="auto"/>
                <w:szCs w:val="21"/>
                <w:highlight w:val="none"/>
              </w:rPr>
            </w:pPr>
          </w:p>
        </w:tc>
        <w:tc>
          <w:tcPr>
            <w:tcW w:w="818" w:type="dxa"/>
            <w:vAlign w:val="center"/>
          </w:tcPr>
          <w:p>
            <w:pPr>
              <w:spacing w:line="288" w:lineRule="auto"/>
              <w:jc w:val="center"/>
              <w:rPr>
                <w:rFonts w:ascii="宋体" w:hAnsi="宋体"/>
                <w:color w:val="auto"/>
                <w:szCs w:val="21"/>
                <w:highlight w:val="none"/>
              </w:rPr>
            </w:pPr>
          </w:p>
        </w:tc>
        <w:tc>
          <w:tcPr>
            <w:tcW w:w="1165" w:type="dxa"/>
            <w:vAlign w:val="center"/>
          </w:tcPr>
          <w:p>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pacing w:line="288" w:lineRule="auto"/>
              <w:jc w:val="center"/>
              <w:rPr>
                <w:rFonts w:ascii="宋体" w:hAnsi="宋体"/>
                <w:color w:val="auto"/>
                <w:szCs w:val="21"/>
                <w:highlight w:val="none"/>
              </w:rPr>
            </w:pPr>
          </w:p>
        </w:tc>
      </w:tr>
    </w:tbl>
    <w:p>
      <w:pPr>
        <w:ind w:firstLine="178" w:firstLineChars="85"/>
        <w:rPr>
          <w:rFonts w:ascii="宋体" w:hAnsi="宋体"/>
          <w:color w:val="auto"/>
          <w:szCs w:val="21"/>
          <w:highlight w:val="none"/>
        </w:rPr>
      </w:pPr>
    </w:p>
    <w:p>
      <w:pPr>
        <w:ind w:firstLine="178" w:firstLineChars="85"/>
        <w:rPr>
          <w:rFonts w:ascii="宋体" w:hAnsi="宋体"/>
          <w:color w:val="auto"/>
          <w:szCs w:val="21"/>
          <w:highlight w:val="none"/>
        </w:rPr>
      </w:pPr>
      <w:r>
        <w:rPr>
          <w:rFonts w:hint="eastAsia" w:ascii="宋体" w:hAnsi="宋体"/>
          <w:color w:val="auto"/>
          <w:szCs w:val="21"/>
          <w:highlight w:val="none"/>
        </w:rPr>
        <w:t>附有关证明文件（复印件加盖公章）</w:t>
      </w:r>
    </w:p>
    <w:p>
      <w:pPr>
        <w:ind w:firstLine="178" w:firstLineChars="85"/>
        <w:rPr>
          <w:rFonts w:ascii="宋体" w:hAnsi="宋体"/>
          <w:color w:val="auto"/>
          <w:szCs w:val="21"/>
          <w:highlight w:val="none"/>
        </w:rPr>
      </w:pPr>
      <w:r>
        <w:rPr>
          <w:rFonts w:hint="eastAsia" w:ascii="宋体" w:hAnsi="宋体"/>
          <w:color w:val="auto"/>
          <w:szCs w:val="21"/>
          <w:highlight w:val="none"/>
        </w:rPr>
        <w:t>投标人代表签字：</w:t>
      </w:r>
    </w:p>
    <w:p>
      <w:pPr>
        <w:ind w:firstLine="178" w:firstLineChars="85"/>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r>
        <w:rPr>
          <w:rFonts w:hint="eastAsia" w:ascii="宋体" w:hAnsi="宋体"/>
          <w:color w:val="auto"/>
          <w:szCs w:val="21"/>
          <w:highlight w:val="none"/>
        </w:rPr>
        <w:t>注：</w:t>
      </w:r>
    </w:p>
    <w:p>
      <w:pPr>
        <w:pStyle w:val="46"/>
        <w:numPr>
          <w:ilvl w:val="0"/>
          <w:numId w:val="127"/>
        </w:numPr>
        <w:ind w:firstLineChars="0"/>
        <w:rPr>
          <w:rFonts w:ascii="宋体" w:hAnsi="宋体"/>
          <w:color w:val="auto"/>
          <w:szCs w:val="21"/>
          <w:highlight w:val="none"/>
        </w:rPr>
      </w:pPr>
      <w:r>
        <w:rPr>
          <w:rFonts w:hint="eastAsia" w:ascii="宋体" w:hAnsi="宋体"/>
          <w:color w:val="auto"/>
          <w:szCs w:val="21"/>
          <w:highlight w:val="none"/>
        </w:rPr>
        <w:t>投标人可按项目的实际需要提供本表格。</w:t>
      </w:r>
    </w:p>
    <w:p>
      <w:pPr>
        <w:pStyle w:val="46"/>
        <w:numPr>
          <w:ilvl w:val="0"/>
          <w:numId w:val="127"/>
        </w:numPr>
        <w:ind w:firstLineChars="0"/>
        <w:rPr>
          <w:rFonts w:ascii="宋体" w:hAnsi="宋体" w:cs="Times New Roman"/>
          <w:color w:val="auto"/>
          <w:szCs w:val="21"/>
          <w:highlight w:val="none"/>
        </w:rPr>
      </w:pPr>
      <w:r>
        <w:rPr>
          <w:rFonts w:hint="eastAsia" w:ascii="宋体" w:hAnsi="宋体"/>
          <w:color w:val="auto"/>
          <w:szCs w:val="21"/>
          <w:highlight w:val="none"/>
        </w:rPr>
        <w:t>该表格为参考格式，投标人可按实际情况自行制订。</w:t>
      </w:r>
    </w:p>
    <w:p>
      <w:pPr>
        <w:rPr>
          <w:rFonts w:ascii="宋体" w:hAnsi="宋体" w:cs="Times New Roman"/>
          <w:color w:val="auto"/>
          <w:szCs w:val="21"/>
          <w:highlight w:val="none"/>
        </w:rPr>
      </w:pPr>
      <w:r>
        <w:rPr>
          <w:rFonts w:hint="eastAsia" w:ascii="宋体" w:hAnsi="宋体"/>
          <w:color w:val="auto"/>
          <w:szCs w:val="21"/>
          <w:highlight w:val="none"/>
        </w:rPr>
        <w:t>3、投标人若未提供或未填写完整则视为完全响应采购文件的人员要求，因此对投标人投标产生负面影响的，投标人自行承担后果。</w:t>
      </w:r>
    </w:p>
    <w:p>
      <w:pPr>
        <w:pStyle w:val="46"/>
        <w:numPr>
          <w:ilvl w:val="0"/>
          <w:numId w:val="127"/>
        </w:numPr>
        <w:ind w:firstLineChars="0"/>
        <w:rPr>
          <w:rFonts w:ascii="宋体" w:hAnsi="宋体" w:cs="Times New Roman"/>
          <w:color w:val="auto"/>
          <w:szCs w:val="21"/>
          <w:highlight w:val="none"/>
        </w:rPr>
      </w:pPr>
      <w:r>
        <w:rPr>
          <w:rFonts w:hint="eastAsia" w:ascii="宋体" w:hAnsi="宋体"/>
          <w:color w:val="auto"/>
          <w:szCs w:val="21"/>
          <w:highlight w:val="none"/>
        </w:rPr>
        <w:br w:type="page"/>
      </w:r>
    </w:p>
    <w:p>
      <w:pPr>
        <w:pStyle w:val="8"/>
        <w:widowControl w:val="0"/>
        <w:overflowPunct w:val="0"/>
        <w:spacing w:line="240" w:lineRule="auto"/>
        <w:rPr>
          <w:color w:val="auto"/>
          <w:highlight w:val="none"/>
        </w:rPr>
      </w:pPr>
      <w:bookmarkStart w:id="974" w:name="_Toc31044"/>
      <w:r>
        <w:rPr>
          <w:rFonts w:hint="eastAsia" w:ascii="宋体" w:hAnsi="宋体"/>
          <w:color w:val="auto"/>
          <w:sz w:val="21"/>
          <w:szCs w:val="21"/>
          <w:highlight w:val="none"/>
        </w:rPr>
        <w:t>附件17.投标保证金汇入情况说明格式</w:t>
      </w:r>
      <w:bookmarkEnd w:id="974"/>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投标保证金汇入情况说明  包组号（ ）</w:t>
      </w:r>
    </w:p>
    <w:p>
      <w:pPr>
        <w:spacing w:line="480" w:lineRule="auto"/>
        <w:rPr>
          <w:rFonts w:ascii="宋体" w:hAnsi="宋体"/>
          <w:color w:val="auto"/>
          <w:szCs w:val="21"/>
          <w:highlight w:val="none"/>
        </w:rPr>
      </w:pPr>
      <w:r>
        <w:rPr>
          <w:rFonts w:hint="eastAsia" w:ascii="宋体" w:hAnsi="宋体"/>
          <w:color w:val="auto"/>
          <w:szCs w:val="21"/>
          <w:highlight w:val="none"/>
        </w:rPr>
        <w:t>致：x</w:t>
      </w:r>
      <w:r>
        <w:rPr>
          <w:rFonts w:ascii="宋体" w:hAnsi="宋体"/>
          <w:color w:val="auto"/>
          <w:szCs w:val="21"/>
          <w:highlight w:val="none"/>
        </w:rPr>
        <w:t>xxxxx</w:t>
      </w:r>
      <w:r>
        <w:rPr>
          <w:rFonts w:hint="eastAsia" w:ascii="宋体" w:hAnsi="宋体"/>
          <w:color w:val="auto"/>
          <w:szCs w:val="21"/>
          <w:highlight w:val="none"/>
        </w:rPr>
        <w:t>公司：</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本单位已按</w:t>
      </w:r>
      <w:r>
        <w:rPr>
          <w:rFonts w:hint="eastAsia" w:ascii="宋体" w:hAnsi="宋体"/>
          <w:color w:val="auto"/>
          <w:szCs w:val="21"/>
          <w:highlight w:val="none"/>
          <w:u w:val="single"/>
        </w:rPr>
        <w:t xml:space="preserve">         </w:t>
      </w:r>
      <w:r>
        <w:rPr>
          <w:rFonts w:hint="eastAsia" w:ascii="宋体" w:hAnsi="宋体"/>
          <w:color w:val="auto"/>
          <w:szCs w:val="21"/>
          <w:highlight w:val="none"/>
        </w:rPr>
        <w:t>项目（采购项目编号：）的采购文件要求，于年月日前以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方式汇入指定账户（账户名称：</w:t>
      </w:r>
      <w:r>
        <w:rPr>
          <w:rFonts w:hint="eastAsia" w:ascii="宋体" w:hAnsi="宋体"/>
          <w:color w:val="auto"/>
          <w:szCs w:val="21"/>
          <w:highlight w:val="none"/>
          <w:u w:val="single"/>
        </w:rPr>
        <w:t xml:space="preserve">       </w:t>
      </w:r>
      <w:r>
        <w:rPr>
          <w:rFonts w:hint="eastAsia" w:ascii="宋体" w:hAnsi="宋体"/>
          <w:color w:val="auto"/>
          <w:szCs w:val="21"/>
          <w:highlight w:val="none"/>
        </w:rPr>
        <w:t>，帐号：</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w:t>
      </w:r>
      <w:r>
        <w:rPr>
          <w:rFonts w:hint="eastAsia" w:ascii="宋体" w:hAnsi="宋体"/>
          <w:color w:val="auto"/>
          <w:szCs w:val="21"/>
          <w:highlight w:val="none"/>
          <w:u w:val="single"/>
        </w:rPr>
        <w:t xml:space="preserve">       </w:t>
      </w:r>
      <w:r>
        <w:rPr>
          <w:rFonts w:hint="eastAsia" w:ascii="宋体" w:hAnsi="宋体"/>
          <w:color w:val="auto"/>
          <w:szCs w:val="21"/>
          <w:highlight w:val="none"/>
        </w:rPr>
        <w:t>元（小写：￥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汇款账户名称：</w:t>
      </w:r>
      <w:r>
        <w:rPr>
          <w:rFonts w:hint="eastAsia" w:ascii="宋体" w:hAnsi="宋体"/>
          <w:color w:val="auto"/>
          <w:szCs w:val="21"/>
          <w:highlight w:val="none"/>
          <w:u w:val="single"/>
        </w:rPr>
        <w:t xml:space="preserve">  （必须是投标时使用的</w:t>
      </w:r>
      <w:r>
        <w:rPr>
          <w:rFonts w:hint="eastAsia" w:ascii="宋体" w:hAnsi="宋体"/>
          <w:color w:val="auto"/>
          <w:szCs w:val="21"/>
          <w:highlight w:val="none"/>
        </w:rPr>
        <w:t>账</w:t>
      </w:r>
      <w:r>
        <w:rPr>
          <w:rFonts w:hint="eastAsia" w:ascii="宋体" w:hAnsi="宋体"/>
          <w:color w:val="auto"/>
          <w:szCs w:val="21"/>
          <w:highlight w:val="none"/>
          <w:u w:val="single"/>
        </w:rPr>
        <w:t xml:space="preserve">户名）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账        号：</w:t>
      </w:r>
      <w:r>
        <w:rPr>
          <w:rFonts w:hint="eastAsia" w:ascii="宋体" w:hAnsi="宋体"/>
          <w:color w:val="auto"/>
          <w:szCs w:val="21"/>
          <w:highlight w:val="none"/>
          <w:u w:val="single"/>
        </w:rPr>
        <w:t xml:space="preserve">  （必须是投标时使用的</w:t>
      </w:r>
      <w:r>
        <w:rPr>
          <w:rFonts w:hint="eastAsia" w:ascii="宋体" w:hAnsi="宋体"/>
          <w:color w:val="auto"/>
          <w:szCs w:val="21"/>
          <w:highlight w:val="none"/>
        </w:rPr>
        <w:t>账</w:t>
      </w:r>
      <w:r>
        <w:rPr>
          <w:rFonts w:hint="eastAsia" w:ascii="宋体" w:hAnsi="宋体"/>
          <w:color w:val="auto"/>
          <w:szCs w:val="21"/>
          <w:highlight w:val="none"/>
          <w:u w:val="single"/>
        </w:rPr>
        <w:t xml:space="preserve">号）        </w:t>
      </w:r>
    </w:p>
    <w:p>
      <w:pPr>
        <w:spacing w:line="48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XX 银行 XX 分行 XX 支行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right"/>
        <w:rPr>
          <w:rFonts w:ascii="宋体" w:hAnsi="宋体"/>
          <w:color w:val="auto"/>
          <w:szCs w:val="21"/>
          <w:highlight w:val="none"/>
        </w:rPr>
      </w:pPr>
      <w:r>
        <w:rPr>
          <w:rFonts w:hint="eastAsia" w:ascii="宋体" w:hAnsi="宋体"/>
          <w:color w:val="auto"/>
          <w:szCs w:val="21"/>
          <w:highlight w:val="none"/>
        </w:rPr>
        <w:t>年 月 日</w:t>
      </w:r>
    </w:p>
    <w:p>
      <w:pPr>
        <w:spacing w:line="480" w:lineRule="auto"/>
        <w:rPr>
          <w:rFonts w:ascii="宋体" w:hAnsi="宋体"/>
          <w:color w:val="auto"/>
          <w:szCs w:val="21"/>
          <w:highlight w:val="none"/>
        </w:rPr>
      </w:pPr>
      <w:r>
        <w:rPr>
          <w:rFonts w:hint="eastAsia" w:ascii="宋体" w:hAnsi="宋体"/>
          <w:color w:val="auto"/>
          <w:szCs w:val="21"/>
          <w:highlight w:val="none"/>
        </w:rPr>
        <w:t>单位名称：</w:t>
      </w:r>
    </w:p>
    <w:p>
      <w:pPr>
        <w:spacing w:line="480" w:lineRule="auto"/>
        <w:rPr>
          <w:rFonts w:ascii="宋体" w:hAnsi="宋体"/>
          <w:color w:val="auto"/>
          <w:szCs w:val="21"/>
          <w:highlight w:val="none"/>
        </w:rPr>
      </w:pPr>
      <w:r>
        <w:rPr>
          <w:rFonts w:hint="eastAsia" w:ascii="宋体" w:hAnsi="宋体"/>
          <w:color w:val="auto"/>
          <w:szCs w:val="21"/>
          <w:highlight w:val="none"/>
        </w:rPr>
        <w:t>单位地址：</w:t>
      </w:r>
    </w:p>
    <w:p>
      <w:pPr>
        <w:spacing w:line="480" w:lineRule="auto"/>
        <w:rPr>
          <w:rFonts w:ascii="宋体" w:hAnsi="宋体"/>
          <w:color w:val="auto"/>
          <w:szCs w:val="21"/>
          <w:highlight w:val="none"/>
        </w:rPr>
      </w:pPr>
      <w:r>
        <w:rPr>
          <w:rFonts w:hint="eastAsia" w:ascii="宋体" w:hAnsi="宋体"/>
          <w:color w:val="auto"/>
          <w:szCs w:val="21"/>
          <w:highlight w:val="none"/>
        </w:rPr>
        <w:t>联系人：</w:t>
      </w:r>
    </w:p>
    <w:p>
      <w:pPr>
        <w:spacing w:line="480" w:lineRule="auto"/>
        <w:rPr>
          <w:rFonts w:ascii="宋体" w:hAnsi="宋体"/>
          <w:color w:val="auto"/>
          <w:szCs w:val="21"/>
          <w:highlight w:val="none"/>
        </w:rPr>
      </w:pPr>
      <w:r>
        <w:rPr>
          <w:rFonts w:hint="eastAsia" w:ascii="宋体" w:hAnsi="宋体"/>
          <w:color w:val="auto"/>
          <w:szCs w:val="21"/>
          <w:highlight w:val="none"/>
        </w:rPr>
        <w:t>单位电话： 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34"/>
        <w:tblW w:w="78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3" w:hRule="atLeast"/>
        </w:trPr>
        <w:tc>
          <w:tcPr>
            <w:tcW w:w="7800"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注：此表既要装订在投标文件中，又要按投标人须知的规定与开标一览表、投标保证金汇款底单复印件及授权委托书一同密封装入唱标信封，唱标信封单独提交。</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pStyle w:val="8"/>
        <w:numPr>
          <w:ilvl w:val="255"/>
          <w:numId w:val="0"/>
        </w:numPr>
        <w:tabs>
          <w:tab w:val="left" w:pos="720"/>
          <w:tab w:val="left" w:pos="3840"/>
        </w:tabs>
        <w:ind w:left="283"/>
        <w:jc w:val="both"/>
        <w:rPr>
          <w:rFonts w:ascii="宋体" w:hAnsi="宋体"/>
          <w:color w:val="auto"/>
          <w:sz w:val="21"/>
          <w:szCs w:val="21"/>
          <w:highlight w:val="none"/>
        </w:rPr>
      </w:pPr>
      <w:bookmarkStart w:id="975" w:name="_Toc19947"/>
      <w:bookmarkStart w:id="976" w:name="_Toc25861"/>
      <w:bookmarkStart w:id="977" w:name="_Toc29855"/>
      <w:bookmarkStart w:id="978" w:name="_Toc28623"/>
      <w:bookmarkStart w:id="979" w:name="_Toc2144"/>
      <w:bookmarkStart w:id="980" w:name="_Toc14605"/>
      <w:bookmarkStart w:id="981" w:name="_Toc4866"/>
      <w:bookmarkStart w:id="982" w:name="_Toc31158"/>
      <w:bookmarkStart w:id="983" w:name="_Toc18296"/>
      <w:bookmarkStart w:id="984" w:name="_Toc1562"/>
      <w:bookmarkStart w:id="985" w:name="_Toc17028"/>
      <w:r>
        <w:rPr>
          <w:rFonts w:hint="eastAsia" w:ascii="宋体" w:hAnsi="宋体"/>
          <w:color w:val="auto"/>
          <w:sz w:val="21"/>
          <w:szCs w:val="21"/>
          <w:highlight w:val="none"/>
        </w:rPr>
        <w:t>附件18.不可撤销履约保函</w:t>
      </w:r>
      <w:bookmarkEnd w:id="975"/>
      <w:bookmarkEnd w:id="976"/>
      <w:bookmarkEnd w:id="977"/>
      <w:bookmarkEnd w:id="978"/>
      <w:bookmarkEnd w:id="979"/>
      <w:bookmarkEnd w:id="980"/>
      <w:bookmarkEnd w:id="981"/>
      <w:bookmarkEnd w:id="982"/>
      <w:bookmarkEnd w:id="983"/>
      <w:bookmarkEnd w:id="984"/>
      <w:bookmarkEnd w:id="985"/>
    </w:p>
    <w:p>
      <w:pPr>
        <w:jc w:val="center"/>
        <w:rPr>
          <w:rFonts w:ascii="宋体" w:hAnsi="宋体"/>
          <w:color w:val="auto"/>
          <w:highlight w:val="none"/>
        </w:rPr>
      </w:pPr>
      <w:r>
        <w:rPr>
          <w:rFonts w:hint="eastAsia" w:ascii="宋体" w:hAnsi="宋体"/>
          <w:color w:val="auto"/>
          <w:highlight w:val="none"/>
        </w:rPr>
        <w:t>银行编号：</w:t>
      </w:r>
    </w:p>
    <w:p>
      <w:pPr>
        <w:rPr>
          <w:rFonts w:ascii="宋体" w:hAnsi="宋体"/>
          <w:color w:val="auto"/>
          <w:highlight w:val="none"/>
        </w:rPr>
      </w:pPr>
      <w:r>
        <w:rPr>
          <w:rFonts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w:t>
      </w:r>
      <w:r>
        <w:rPr>
          <w:rFonts w:hint="eastAsia"/>
          <w:color w:val="auto"/>
          <w:highlight w:val="none"/>
        </w:rPr>
        <w:t>甲方</w:t>
      </w:r>
      <w:r>
        <w:rPr>
          <w:rFonts w:hint="eastAsia" w:ascii="宋体" w:hAnsi="宋体"/>
          <w:color w:val="auto"/>
          <w:highlight w:val="none"/>
        </w:rPr>
        <w:t>）</w:t>
      </w:r>
    </w:p>
    <w:p>
      <w:pPr>
        <w:ind w:firstLine="420" w:firstLineChars="200"/>
        <w:rPr>
          <w:rFonts w:ascii="宋体" w:hAnsi="宋体"/>
          <w:color w:val="auto"/>
          <w:highlight w:val="none"/>
        </w:rPr>
      </w:pPr>
      <w:r>
        <w:rPr>
          <w:rFonts w:hint="eastAsia" w:ascii="宋体" w:hAnsi="宋体"/>
          <w:color w:val="auto"/>
          <w:highlight w:val="none"/>
        </w:rPr>
        <w:t>鉴于</w:t>
      </w:r>
      <w:r>
        <w:rPr>
          <w:rFonts w:hint="eastAsia" w:ascii="宋体" w:hAnsi="宋体"/>
          <w:color w:val="auto"/>
          <w:highlight w:val="none"/>
          <w:u w:val="single"/>
        </w:rPr>
        <w:t xml:space="preserve">         （地址：          ，下称 “乙方” ）</w:t>
      </w:r>
      <w:r>
        <w:rPr>
          <w:rFonts w:hint="eastAsia" w:ascii="宋体" w:hAnsi="宋体"/>
          <w:color w:val="auto"/>
          <w:highlight w:val="none"/>
        </w:rPr>
        <w:t>已保证按</w:t>
      </w:r>
      <w:r>
        <w:rPr>
          <w:rFonts w:hint="eastAsia" w:ascii="宋体" w:hAnsi="宋体"/>
          <w:color w:val="auto"/>
          <w:highlight w:val="none"/>
          <w:u w:val="single"/>
        </w:rPr>
        <w:t xml:space="preserve">        承包合同书（合同编号：    ）</w:t>
      </w:r>
      <w:r>
        <w:rPr>
          <w:rFonts w:hint="eastAsia" w:ascii="宋体" w:hAnsi="宋体"/>
          <w:color w:val="auto"/>
          <w:highlight w:val="none"/>
        </w:rPr>
        <w:t>中规定的义务履行合同。</w:t>
      </w:r>
    </w:p>
    <w:p>
      <w:pPr>
        <w:ind w:firstLine="420" w:firstLineChars="200"/>
        <w:rPr>
          <w:rFonts w:ascii="宋体" w:hAnsi="宋体"/>
          <w:color w:val="auto"/>
          <w:highlight w:val="none"/>
        </w:rPr>
      </w:pPr>
      <w:r>
        <w:rPr>
          <w:rFonts w:hint="eastAsia" w:ascii="宋体" w:hAnsi="宋体"/>
          <w:color w:val="auto"/>
          <w:highlight w:val="none"/>
        </w:rPr>
        <w:t>根据上述合同约定，乙方应向</w:t>
      </w:r>
      <w:r>
        <w:rPr>
          <w:rFonts w:hint="eastAsia"/>
          <w:color w:val="auto"/>
          <w:highlight w:val="none"/>
        </w:rPr>
        <w:t>甲方</w:t>
      </w:r>
      <w:r>
        <w:rPr>
          <w:rFonts w:hint="eastAsia" w:ascii="宋体" w:hAnsi="宋体"/>
          <w:color w:val="auto"/>
          <w:highlight w:val="none"/>
        </w:rPr>
        <w:t>提供一份金额为合同总价的10%即</w:t>
      </w:r>
      <w:r>
        <w:rPr>
          <w:rFonts w:hint="eastAsia" w:ascii="宋体" w:hAnsi="宋体"/>
          <w:color w:val="auto"/>
          <w:highlight w:val="none"/>
          <w:u w:val="single"/>
        </w:rPr>
        <w:t>人民币      （RMB    元）</w:t>
      </w:r>
      <w:r>
        <w:rPr>
          <w:rFonts w:hint="eastAsia" w:ascii="宋体" w:hAnsi="宋体"/>
          <w:color w:val="auto"/>
          <w:highlight w:val="none"/>
        </w:rPr>
        <w:t>的</w:t>
      </w:r>
      <w:r>
        <w:rPr>
          <w:rFonts w:hint="eastAsia" w:ascii="宋体" w:hAnsi="宋体"/>
          <w:bCs/>
          <w:color w:val="auto"/>
          <w:highlight w:val="none"/>
        </w:rPr>
        <w:t>不可撤销</w:t>
      </w:r>
      <w:r>
        <w:rPr>
          <w:rFonts w:hint="eastAsia" w:ascii="宋体" w:hAnsi="宋体"/>
          <w:color w:val="auto"/>
          <w:highlight w:val="none"/>
        </w:rPr>
        <w:t>银行履约保函，作为乙方履行上述合同的担保。</w:t>
      </w:r>
    </w:p>
    <w:p>
      <w:pPr>
        <w:ind w:firstLine="420" w:firstLineChars="200"/>
        <w:rPr>
          <w:rFonts w:ascii="宋体" w:hAnsi="宋体"/>
          <w:color w:val="auto"/>
          <w:highlight w:val="none"/>
        </w:rPr>
      </w:pPr>
      <w:r>
        <w:rPr>
          <w:rFonts w:hint="eastAsia" w:ascii="宋体" w:hAnsi="宋体"/>
          <w:color w:val="auto"/>
          <w:highlight w:val="none"/>
        </w:rPr>
        <w:t>我方</w:t>
      </w:r>
      <w:r>
        <w:rPr>
          <w:rFonts w:hint="eastAsia" w:ascii="宋体" w:hAnsi="宋体"/>
          <w:color w:val="auto"/>
          <w:highlight w:val="none"/>
          <w:u w:val="single"/>
        </w:rPr>
        <w:t xml:space="preserve">            （银行名称）</w:t>
      </w:r>
      <w:r>
        <w:rPr>
          <w:rFonts w:hint="eastAsia" w:ascii="宋体" w:hAnsi="宋体"/>
          <w:color w:val="auto"/>
          <w:highlight w:val="none"/>
        </w:rPr>
        <w:t>，受乙方的委托，不仅作为连带责任保证人而且作为主要的责任人，无条件和不可撤销地同意在</w:t>
      </w:r>
      <w:r>
        <w:rPr>
          <w:rFonts w:hint="eastAsia"/>
          <w:color w:val="auto"/>
          <w:highlight w:val="none"/>
        </w:rPr>
        <w:t>甲方</w:t>
      </w:r>
      <w:r>
        <w:rPr>
          <w:rFonts w:hint="eastAsia" w:ascii="宋体" w:hAnsi="宋体"/>
          <w:color w:val="auto"/>
          <w:highlight w:val="none"/>
        </w:rPr>
        <w:t>提出因乙方没有履行上述合同规定，而要求扣划保证金的书面要求后，7个工作日内为</w:t>
      </w:r>
      <w:r>
        <w:rPr>
          <w:rFonts w:hint="eastAsia"/>
          <w:color w:val="auto"/>
          <w:highlight w:val="none"/>
        </w:rPr>
        <w:t>甲方</w:t>
      </w:r>
      <w:r>
        <w:rPr>
          <w:rFonts w:hint="eastAsia" w:ascii="宋体" w:hAnsi="宋体"/>
          <w:color w:val="auto"/>
          <w:highlight w:val="none"/>
        </w:rPr>
        <w:t>扣划金额不超过</w:t>
      </w:r>
      <w:r>
        <w:rPr>
          <w:rFonts w:hint="eastAsia" w:ascii="宋体" w:hAnsi="宋体"/>
          <w:color w:val="auto"/>
          <w:highlight w:val="none"/>
          <w:u w:val="single"/>
        </w:rPr>
        <w:t>人民币          （RMB       元）</w:t>
      </w:r>
      <w:r>
        <w:rPr>
          <w:rFonts w:hint="eastAsia" w:ascii="宋体" w:hAnsi="宋体"/>
          <w:color w:val="auto"/>
          <w:highlight w:val="none"/>
        </w:rPr>
        <w:t>的保证金。</w:t>
      </w:r>
    </w:p>
    <w:p>
      <w:pPr>
        <w:ind w:firstLine="420" w:firstLineChars="200"/>
        <w:rPr>
          <w:color w:val="auto"/>
          <w:highlight w:val="none"/>
        </w:rPr>
      </w:pPr>
      <w:r>
        <w:rPr>
          <w:rFonts w:hint="eastAsia" w:ascii="宋体" w:hAnsi="宋体"/>
          <w:color w:val="auto"/>
          <w:highlight w:val="none"/>
        </w:rPr>
        <w:t>我</w:t>
      </w:r>
      <w:r>
        <w:rPr>
          <w:rFonts w:hint="eastAsia"/>
          <w:color w:val="auto"/>
          <w:highlight w:val="none"/>
        </w:rPr>
        <w:t>方还同意，任何甲方与乙方之间可能对合同条款的修改、规范或其他合同文件的变动补充，都不能免除我方按本保函所承担的责任。因此，有关上述变动、补充和修改无须通知我方。</w:t>
      </w:r>
    </w:p>
    <w:p>
      <w:pPr>
        <w:ind w:firstLine="420" w:firstLineChars="200"/>
        <w:rPr>
          <w:color w:val="auto"/>
          <w:highlight w:val="none"/>
        </w:rPr>
      </w:pPr>
      <w:r>
        <w:rPr>
          <w:rFonts w:hint="eastAsia"/>
          <w:color w:val="auto"/>
          <w:highlight w:val="none"/>
        </w:rPr>
        <w:t>本保函从上述合同签订之日起至项目</w:t>
      </w:r>
      <w:r>
        <w:rPr>
          <w:rFonts w:hint="eastAsia"/>
          <w:color w:val="auto"/>
          <w:highlight w:val="none"/>
          <w:lang w:val="en-US" w:eastAsia="zh-CN"/>
        </w:rPr>
        <w:t>完工验收合格</w:t>
      </w:r>
      <w:r>
        <w:rPr>
          <w:rFonts w:hint="eastAsia"/>
          <w:color w:val="auto"/>
          <w:highlight w:val="none"/>
        </w:rPr>
        <w:t>并结算</w:t>
      </w:r>
      <w:r>
        <w:rPr>
          <w:rFonts w:hint="eastAsia"/>
          <w:color w:val="auto"/>
          <w:highlight w:val="none"/>
          <w:lang w:val="en-US" w:eastAsia="zh-CN"/>
        </w:rPr>
        <w:t>完毕</w:t>
      </w:r>
      <w:r>
        <w:rPr>
          <w:rFonts w:hint="eastAsia"/>
          <w:color w:val="auto"/>
          <w:highlight w:val="none"/>
        </w:rPr>
        <w:t>后，双方签字之日起7天内保持有效。</w:t>
      </w:r>
    </w:p>
    <w:p>
      <w:pPr>
        <w:ind w:firstLine="2824" w:firstLineChars="1345"/>
        <w:rPr>
          <w:rFonts w:ascii="宋体" w:hAnsi="宋体"/>
          <w:color w:val="auto"/>
          <w:highlight w:val="none"/>
        </w:rPr>
      </w:pPr>
    </w:p>
    <w:p>
      <w:pPr>
        <w:ind w:firstLine="5040" w:firstLineChars="2400"/>
        <w:rPr>
          <w:rFonts w:ascii="宋体" w:hAnsi="宋体"/>
          <w:color w:val="auto"/>
          <w:highlight w:val="none"/>
        </w:rPr>
      </w:pPr>
      <w:r>
        <w:rPr>
          <w:rFonts w:hint="eastAsia" w:ascii="宋体" w:hAnsi="宋体"/>
          <w:color w:val="auto"/>
          <w:highlight w:val="none"/>
        </w:rPr>
        <w:t>保证人：（盖章）</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负责人：（签字）</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联系人：</w:t>
      </w:r>
      <w:r>
        <w:rPr>
          <w:rFonts w:hint="eastAsia" w:ascii="宋体" w:hAnsi="宋体"/>
          <w:color w:val="auto"/>
          <w:highlight w:val="none"/>
          <w:u w:val="single"/>
        </w:rPr>
        <w:t xml:space="preserve">                               </w:t>
      </w:r>
      <w:r>
        <w:rPr>
          <w:rFonts w:hint="eastAsia" w:ascii="宋体" w:hAnsi="宋体"/>
          <w:color w:val="auto"/>
          <w:highlight w:val="none"/>
        </w:rPr>
        <w:t xml:space="preserve">   </w:t>
      </w:r>
    </w:p>
    <w:p>
      <w:pPr>
        <w:ind w:firstLine="5040" w:firstLineChars="24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日期：</w:t>
      </w:r>
      <w:r>
        <w:rPr>
          <w:rFonts w:hint="eastAsia" w:ascii="宋体" w:hAnsi="宋体"/>
          <w:color w:val="auto"/>
          <w:highlight w:val="none"/>
          <w:u w:val="single"/>
        </w:rPr>
        <w:t xml:space="preserve">                               </w:t>
      </w:r>
    </w:p>
    <w:p>
      <w:pPr>
        <w:pStyle w:val="3"/>
        <w:rPr>
          <w:color w:val="auto"/>
          <w:szCs w:val="24"/>
          <w:highlight w:val="none"/>
        </w:rPr>
      </w:pPr>
      <w:r>
        <w:rPr>
          <w:rFonts w:hint="eastAsia"/>
          <w:color w:val="auto"/>
          <w:szCs w:val="24"/>
          <w:highlight w:val="none"/>
        </w:rPr>
        <w:t>说明：投标人在投标时不需提交正式保函，在投标文件中盖投标人公章确认保函格式即可，乙方</w:t>
      </w:r>
      <w:r>
        <w:rPr>
          <w:rFonts w:hint="eastAsia"/>
          <w:color w:val="auto"/>
          <w:highlight w:val="none"/>
        </w:rPr>
        <w:t>在签订合同时</w:t>
      </w:r>
      <w:r>
        <w:rPr>
          <w:rFonts w:hint="eastAsia"/>
          <w:color w:val="auto"/>
          <w:szCs w:val="24"/>
          <w:highlight w:val="none"/>
        </w:rPr>
        <w:t>提交正式保函。</w:t>
      </w:r>
    </w:p>
    <w:p>
      <w:pPr>
        <w:rPr>
          <w:rFonts w:ascii="宋体" w:hAnsi="宋体"/>
          <w:color w:val="auto"/>
          <w:szCs w:val="21"/>
          <w:highlight w:val="none"/>
        </w:rPr>
      </w:pPr>
    </w:p>
    <w:p>
      <w:pPr>
        <w:rPr>
          <w:rFonts w:ascii="宋体" w:hAnsi="宋体"/>
          <w:color w:val="auto"/>
          <w:szCs w:val="21"/>
          <w:highlight w:val="none"/>
        </w:rPr>
        <w:sectPr>
          <w:pgSz w:w="11906" w:h="16838"/>
          <w:pgMar w:top="1440" w:right="1800" w:bottom="1440" w:left="1800" w:header="708" w:footer="708" w:gutter="0"/>
          <w:pgNumType w:fmt="numberInDash"/>
          <w:cols w:space="708" w:num="1"/>
          <w:titlePg/>
          <w:docGrid w:type="lines" w:linePitch="360" w:charSpace="0"/>
        </w:sectPr>
      </w:pPr>
    </w:p>
    <w:p>
      <w:pPr>
        <w:pStyle w:val="8"/>
        <w:numPr>
          <w:ilvl w:val="255"/>
          <w:numId w:val="0"/>
        </w:numPr>
        <w:tabs>
          <w:tab w:val="left" w:pos="720"/>
          <w:tab w:val="left" w:pos="3840"/>
        </w:tabs>
        <w:ind w:left="283"/>
        <w:jc w:val="both"/>
        <w:rPr>
          <w:rFonts w:ascii="宋体" w:hAnsi="宋体"/>
          <w:color w:val="auto"/>
          <w:sz w:val="21"/>
          <w:szCs w:val="21"/>
          <w:highlight w:val="none"/>
        </w:rPr>
      </w:pPr>
      <w:bookmarkStart w:id="986" w:name="_Toc1313"/>
      <w:bookmarkStart w:id="987" w:name="_Toc12992"/>
      <w:r>
        <w:rPr>
          <w:rFonts w:hint="eastAsia" w:ascii="宋体" w:hAnsi="宋体"/>
          <w:color w:val="auto"/>
          <w:sz w:val="21"/>
          <w:szCs w:val="21"/>
          <w:highlight w:val="none"/>
        </w:rPr>
        <w:t>附件19.预付款保函</w:t>
      </w:r>
      <w:bookmarkEnd w:id="986"/>
      <w:r>
        <w:rPr>
          <w:rFonts w:hint="eastAsia" w:ascii="宋体" w:hAnsi="宋体"/>
          <w:color w:val="auto"/>
          <w:sz w:val="21"/>
          <w:szCs w:val="21"/>
          <w:highlight w:val="none"/>
        </w:rPr>
        <w:t>（适用于预付款支付）</w:t>
      </w:r>
      <w:bookmarkEnd w:id="987"/>
    </w:p>
    <w:p>
      <w:pPr>
        <w:pStyle w:val="3"/>
        <w:rPr>
          <w:color w:val="auto"/>
          <w:szCs w:val="24"/>
          <w:highlight w:val="none"/>
        </w:rPr>
      </w:pPr>
    </w:p>
    <w:p>
      <w:pPr>
        <w:jc w:val="center"/>
        <w:rPr>
          <w:rFonts w:ascii="黑体" w:eastAsia="黑体"/>
          <w:color w:val="auto"/>
          <w:sz w:val="28"/>
          <w:szCs w:val="28"/>
          <w:highlight w:val="none"/>
        </w:rPr>
      </w:pPr>
      <w:bookmarkStart w:id="988" w:name="_Toc25494"/>
      <w:bookmarkStart w:id="989" w:name="_Toc10719"/>
      <w:bookmarkStart w:id="990" w:name="_Toc6877"/>
      <w:bookmarkStart w:id="991" w:name="_Toc7374"/>
      <w:bookmarkStart w:id="992" w:name="_Toc3295"/>
      <w:bookmarkStart w:id="993" w:name="_Toc27545"/>
      <w:bookmarkStart w:id="994" w:name="_Toc20669"/>
      <w:bookmarkStart w:id="995" w:name="_Toc29728"/>
      <w:bookmarkStart w:id="996" w:name="_Toc10315"/>
      <w:bookmarkStart w:id="997" w:name="_Toc1039"/>
      <w:bookmarkStart w:id="998" w:name="_Toc29054"/>
      <w:bookmarkStart w:id="999" w:name="_Toc31418"/>
      <w:r>
        <w:rPr>
          <w:rFonts w:hint="eastAsia" w:ascii="黑体" w:eastAsia="黑体"/>
          <w:color w:val="auto"/>
          <w:sz w:val="28"/>
          <w:szCs w:val="28"/>
          <w:highlight w:val="none"/>
        </w:rPr>
        <w:t>不可撤销预付款保函</w:t>
      </w:r>
      <w:bookmarkEnd w:id="988"/>
      <w:bookmarkEnd w:id="989"/>
      <w:bookmarkEnd w:id="990"/>
      <w:bookmarkEnd w:id="991"/>
      <w:bookmarkEnd w:id="992"/>
      <w:bookmarkEnd w:id="993"/>
      <w:bookmarkEnd w:id="994"/>
      <w:bookmarkEnd w:id="995"/>
      <w:bookmarkEnd w:id="996"/>
      <w:bookmarkEnd w:id="997"/>
      <w:bookmarkEnd w:id="998"/>
      <w:bookmarkEnd w:id="999"/>
    </w:p>
    <w:p>
      <w:pPr>
        <w:ind w:firstLine="6300"/>
        <w:rPr>
          <w:color w:val="auto"/>
          <w:szCs w:val="21"/>
          <w:highlight w:val="none"/>
          <w:u w:val="single"/>
        </w:rPr>
      </w:pPr>
      <w:r>
        <w:rPr>
          <w:rFonts w:hint="eastAsia"/>
          <w:color w:val="auto"/>
          <w:szCs w:val="21"/>
          <w:highlight w:val="none"/>
        </w:rPr>
        <w:t>银行编号：</w:t>
      </w:r>
      <w:r>
        <w:rPr>
          <w:rFonts w:hint="eastAsia"/>
          <w:color w:val="auto"/>
          <w:szCs w:val="21"/>
          <w:highlight w:val="none"/>
          <w:u w:val="single"/>
        </w:rPr>
        <w:t xml:space="preserve">             </w:t>
      </w:r>
    </w:p>
    <w:p>
      <w:pPr>
        <w:ind w:firstLine="6300"/>
        <w:rPr>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 xml:space="preserve">                    </w:t>
      </w:r>
      <w:r>
        <w:rPr>
          <w:rFonts w:hint="eastAsia" w:ascii="宋体" w:hAnsi="宋体"/>
          <w:color w:val="auto"/>
          <w:szCs w:val="21"/>
          <w:highlight w:val="none"/>
        </w:rPr>
        <w:t>（下称“采购人”）</w:t>
      </w:r>
    </w:p>
    <w:p>
      <w:pPr>
        <w:ind w:firstLine="437"/>
        <w:rPr>
          <w:rFonts w:ascii="宋体" w:hAnsi="宋体"/>
          <w:color w:val="auto"/>
          <w:szCs w:val="21"/>
          <w:highlight w:val="none"/>
        </w:rPr>
      </w:pPr>
      <w:r>
        <w:rPr>
          <w:rFonts w:hint="eastAsia" w:ascii="宋体" w:hAnsi="宋体"/>
          <w:color w:val="auto"/>
          <w:szCs w:val="21"/>
          <w:highlight w:val="none"/>
        </w:rPr>
        <w:t>鉴于</w:t>
      </w:r>
      <w:r>
        <w:rPr>
          <w:rFonts w:hint="eastAsia" w:ascii="宋体" w:hAnsi="宋体"/>
          <w:color w:val="auto"/>
          <w:szCs w:val="21"/>
          <w:highlight w:val="none"/>
          <w:u w:val="single"/>
        </w:rPr>
        <w:t xml:space="preserve">            </w:t>
      </w:r>
      <w:r>
        <w:rPr>
          <w:rFonts w:hint="eastAsia" w:ascii="宋体" w:hAnsi="宋体"/>
          <w:color w:val="auto"/>
          <w:szCs w:val="24"/>
          <w:highlight w:val="none"/>
          <w:u w:val="single"/>
        </w:rPr>
        <w:t>（地址：          ，下称 “中标人” ）</w:t>
      </w:r>
      <w:r>
        <w:rPr>
          <w:rFonts w:hint="eastAsia" w:ascii="宋体" w:hAnsi="宋体"/>
          <w:color w:val="auto"/>
          <w:szCs w:val="21"/>
          <w:highlight w:val="none"/>
        </w:rPr>
        <w:t>，已保证按</w:t>
      </w:r>
      <w:r>
        <w:rPr>
          <w:rFonts w:hint="eastAsia" w:ascii="宋体" w:hAnsi="宋体"/>
          <w:color w:val="auto"/>
          <w:szCs w:val="21"/>
          <w:highlight w:val="none"/>
          <w:u w:val="single"/>
        </w:rPr>
        <w:t xml:space="preserve">          承包合同书（合同编号：    ）</w:t>
      </w:r>
      <w:r>
        <w:rPr>
          <w:rFonts w:hint="eastAsia" w:ascii="宋体" w:hAnsi="宋体"/>
          <w:color w:val="auto"/>
          <w:szCs w:val="21"/>
          <w:highlight w:val="none"/>
        </w:rPr>
        <w:t>中规定的义务履行合同。</w:t>
      </w:r>
    </w:p>
    <w:p>
      <w:pPr>
        <w:ind w:firstLine="437"/>
        <w:rPr>
          <w:rFonts w:ascii="宋体" w:hAnsi="宋体"/>
          <w:color w:val="auto"/>
          <w:szCs w:val="21"/>
          <w:highlight w:val="none"/>
        </w:rPr>
      </w:pPr>
      <w:r>
        <w:rPr>
          <w:rFonts w:hint="eastAsia" w:ascii="宋体" w:hAnsi="宋体"/>
          <w:color w:val="auto"/>
          <w:szCs w:val="24"/>
          <w:highlight w:val="none"/>
        </w:rPr>
        <w:t>根据上述合同（采购文件）规定，中标人应向采购人提供一份金额为合同总价的</w:t>
      </w:r>
      <w:r>
        <w:rPr>
          <w:rFonts w:hint="eastAsia" w:ascii="宋体" w:hAnsi="宋体"/>
          <w:color w:val="auto"/>
          <w:szCs w:val="24"/>
          <w:highlight w:val="none"/>
          <w:u w:val="single"/>
        </w:rPr>
        <w:t xml:space="preserve">   </w:t>
      </w:r>
      <w:r>
        <w:rPr>
          <w:rFonts w:hint="eastAsia" w:ascii="宋体" w:hAnsi="宋体"/>
          <w:color w:val="auto"/>
          <w:szCs w:val="24"/>
          <w:highlight w:val="none"/>
        </w:rPr>
        <w:t>% 即人民币</w:t>
      </w:r>
      <w:r>
        <w:rPr>
          <w:rFonts w:hint="eastAsia" w:ascii="宋体" w:hAnsi="宋体"/>
          <w:color w:val="auto"/>
          <w:szCs w:val="21"/>
          <w:highlight w:val="none"/>
          <w:u w:val="single"/>
        </w:rPr>
        <w:t xml:space="preserve">      （RMB      元）</w:t>
      </w:r>
      <w:r>
        <w:rPr>
          <w:rFonts w:hint="eastAsia" w:ascii="宋体" w:hAnsi="宋体"/>
          <w:color w:val="auto"/>
          <w:szCs w:val="21"/>
          <w:highlight w:val="none"/>
        </w:rPr>
        <w:t>的不可撤销银行预付款保函，以保证中标人履行合同的相关条款。</w:t>
      </w:r>
    </w:p>
    <w:p>
      <w:pPr>
        <w:ind w:firstLine="437"/>
        <w:rPr>
          <w:rFonts w:ascii="宋体" w:hAnsi="宋体"/>
          <w:color w:val="auto"/>
          <w:szCs w:val="21"/>
          <w:highlight w:val="none"/>
        </w:rPr>
      </w:pPr>
      <w:r>
        <w:rPr>
          <w:rFonts w:hint="eastAsia" w:ascii="宋体" w:hAnsi="宋体"/>
          <w:color w:val="auto"/>
          <w:szCs w:val="21"/>
          <w:highlight w:val="none"/>
        </w:rPr>
        <w:t>我方</w:t>
      </w:r>
      <w:r>
        <w:rPr>
          <w:rFonts w:hint="eastAsia" w:ascii="宋体" w:hAnsi="宋体"/>
          <w:color w:val="auto"/>
          <w:szCs w:val="21"/>
          <w:highlight w:val="none"/>
          <w:u w:val="single"/>
        </w:rPr>
        <w:t xml:space="preserve">  （银行名称）  </w:t>
      </w:r>
      <w:r>
        <w:rPr>
          <w:rFonts w:hint="eastAsia" w:ascii="宋体" w:hAnsi="宋体"/>
          <w:color w:val="auto"/>
          <w:szCs w:val="21"/>
          <w:highlight w:val="none"/>
        </w:rPr>
        <w:t>，受中标人的委托，作为连带责任保证人，无条件和不可撤销地同意在采购人提出因中标人没有履行上述合同规定，而要求收回上述金额内任何付款的书面要求后，于7个工作日内为采购人予以支付并保证到达采购人账户，以保证在中标人没有履行或部分履行合同条款的责任时，采购人可以向中标人收回全部或部分预付款。</w:t>
      </w:r>
    </w:p>
    <w:p>
      <w:pPr>
        <w:ind w:firstLine="437"/>
        <w:rPr>
          <w:rFonts w:ascii="宋体" w:hAnsi="宋体"/>
          <w:color w:val="auto"/>
          <w:szCs w:val="21"/>
          <w:highlight w:val="none"/>
        </w:rPr>
      </w:pPr>
      <w:r>
        <w:rPr>
          <w:rFonts w:hint="eastAsia" w:ascii="宋体" w:hAnsi="宋体"/>
          <w:color w:val="auto"/>
          <w:szCs w:val="21"/>
          <w:highlight w:val="none"/>
        </w:rPr>
        <w:t>我方还同意，任何采购人与中标人之间可能对合同条款的修改、规范或其他合同文件的变动补充，都不能免除我方按本保函所承担的责任。因此，有关上述变动、补充和修改无须通知我方。</w:t>
      </w:r>
    </w:p>
    <w:p>
      <w:pPr>
        <w:ind w:firstLine="437"/>
        <w:rPr>
          <w:rFonts w:ascii="宋体" w:hAnsi="宋体"/>
          <w:color w:val="auto"/>
          <w:szCs w:val="21"/>
          <w:highlight w:val="none"/>
        </w:rPr>
      </w:pPr>
      <w:r>
        <w:rPr>
          <w:rFonts w:hint="eastAsia" w:ascii="宋体" w:hAnsi="宋体"/>
          <w:color w:val="auto"/>
          <w:szCs w:val="21"/>
          <w:highlight w:val="none"/>
        </w:rPr>
        <w:t>本保函有效期从保函开立之日起至采购人向中标人抵扣完所有预付款之日止。</w:t>
      </w:r>
    </w:p>
    <w:p>
      <w:pPr>
        <w:rPr>
          <w:rFonts w:ascii="宋体" w:hAnsi="宋体"/>
          <w:color w:val="auto"/>
          <w:szCs w:val="21"/>
          <w:highlight w:val="none"/>
        </w:rPr>
      </w:pPr>
    </w:p>
    <w:p>
      <w:pPr>
        <w:ind w:firstLine="437"/>
        <w:rPr>
          <w:rFonts w:ascii="宋体" w:hAnsi="宋体"/>
          <w:color w:val="auto"/>
          <w:szCs w:val="21"/>
          <w:highlight w:val="none"/>
        </w:rPr>
      </w:pPr>
    </w:p>
    <w:p>
      <w:pPr>
        <w:ind w:firstLine="4860"/>
        <w:rPr>
          <w:rFonts w:ascii="宋体" w:hAnsi="宋体"/>
          <w:color w:val="auto"/>
          <w:szCs w:val="21"/>
          <w:highlight w:val="none"/>
        </w:rPr>
      </w:pPr>
      <w:r>
        <w:rPr>
          <w:rFonts w:hint="eastAsia" w:ascii="宋体" w:hAnsi="宋体"/>
          <w:color w:val="auto"/>
          <w:szCs w:val="21"/>
          <w:highlight w:val="none"/>
        </w:rPr>
        <w:t>保证人：（公章）</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负责人：（签字）</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联系电话：</w:t>
      </w:r>
      <w:r>
        <w:rPr>
          <w:rFonts w:hint="eastAsia" w:ascii="宋体" w:hAnsi="宋体"/>
          <w:color w:val="auto"/>
          <w:szCs w:val="21"/>
          <w:highlight w:val="none"/>
          <w:u w:val="single"/>
        </w:rPr>
        <w:t xml:space="preserve">                          </w:t>
      </w:r>
    </w:p>
    <w:p>
      <w:pPr>
        <w:ind w:firstLine="4860"/>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p>
    <w:p>
      <w:pPr>
        <w:pStyle w:val="3"/>
        <w:rPr>
          <w:color w:val="auto"/>
          <w:szCs w:val="21"/>
          <w:highlight w:val="none"/>
        </w:rPr>
      </w:pPr>
    </w:p>
    <w:p>
      <w:pPr>
        <w:pStyle w:val="3"/>
        <w:rPr>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说明：投标人在投标文件中盖投标人公章确认保函内容即可，如中标再由银行出具保函。</w:t>
      </w:r>
    </w:p>
    <w:p>
      <w:pPr>
        <w:rPr>
          <w:rFonts w:ascii="宋体" w:hAnsi="宋体"/>
          <w:color w:val="auto"/>
          <w:szCs w:val="21"/>
          <w:highlight w:val="none"/>
        </w:rPr>
        <w:sectPr>
          <w:pgSz w:w="11906" w:h="16838"/>
          <w:pgMar w:top="1440" w:right="1800" w:bottom="1440" w:left="1800" w:header="708" w:footer="708" w:gutter="0"/>
          <w:pgNumType w:fmt="numberInDash"/>
          <w:cols w:space="708" w:num="1"/>
          <w:titlePg/>
          <w:docGrid w:type="lines" w:linePitch="360" w:charSpace="0"/>
        </w:sectPr>
      </w:pPr>
    </w:p>
    <w:p>
      <w:pPr>
        <w:jc w:val="center"/>
        <w:outlineLvl w:val="1"/>
        <w:rPr>
          <w:rFonts w:eastAsia="黑体"/>
          <w:color w:val="auto"/>
          <w:sz w:val="72"/>
          <w:szCs w:val="72"/>
          <w:highlight w:val="none"/>
        </w:rPr>
      </w:pPr>
      <w:bookmarkStart w:id="1000" w:name="_Toc32046"/>
      <w:r>
        <w:rPr>
          <w:rFonts w:hint="eastAsia" w:eastAsia="黑体"/>
          <w:color w:val="auto"/>
          <w:sz w:val="72"/>
          <w:szCs w:val="72"/>
          <w:highlight w:val="none"/>
        </w:rPr>
        <w:t>唱标信封</w:t>
      </w:r>
      <w:bookmarkEnd w:id="1000"/>
    </w:p>
    <w:p>
      <w:pPr>
        <w:jc w:val="center"/>
        <w:rPr>
          <w:rFonts w:ascii="黑体" w:eastAsia="黑体"/>
          <w:color w:val="auto"/>
          <w:sz w:val="52"/>
          <w:szCs w:val="52"/>
          <w:highlight w:val="none"/>
        </w:rPr>
      </w:pPr>
      <w:r>
        <w:rPr>
          <w:rFonts w:hint="eastAsia" w:ascii="黑体" w:eastAsia="黑体"/>
          <w:color w:val="auto"/>
          <w:sz w:val="52"/>
          <w:szCs w:val="52"/>
          <w:highlight w:val="none"/>
        </w:rPr>
        <w:t>（单独装订成册，单独封装）</w:t>
      </w:r>
    </w:p>
    <w:p>
      <w:pPr>
        <w:rPr>
          <w:color w:val="auto"/>
          <w:highlight w:val="none"/>
        </w:rPr>
      </w:pPr>
    </w:p>
    <w:p>
      <w:pPr>
        <w:pStyle w:val="2"/>
        <w:rPr>
          <w:color w:val="auto"/>
          <w:highlight w:val="none"/>
        </w:rPr>
      </w:pPr>
    </w:p>
    <w:p>
      <w:pPr>
        <w:pStyle w:val="31"/>
        <w:ind w:firstLine="240"/>
        <w:rPr>
          <w:color w:val="auto"/>
          <w:highlight w:val="none"/>
        </w:rPr>
      </w:pPr>
    </w:p>
    <w:p>
      <w:pPr>
        <w:pStyle w:val="31"/>
        <w:ind w:firstLine="240"/>
        <w:rPr>
          <w:color w:val="auto"/>
          <w:highlight w:val="none"/>
        </w:rPr>
      </w:pPr>
    </w:p>
    <w:p>
      <w:pPr>
        <w:rPr>
          <w:rFonts w:ascii="宋体" w:hAnsi="宋体" w:cs="宋体"/>
          <w:b/>
          <w:color w:val="auto"/>
          <w:spacing w:val="-6"/>
          <w:sz w:val="32"/>
          <w:szCs w:val="32"/>
          <w:highlight w:val="none"/>
        </w:rPr>
      </w:pPr>
      <w:r>
        <w:rPr>
          <w:rFonts w:hint="eastAsia" w:ascii="宋体" w:hAnsi="宋体" w:cs="宋体"/>
          <w:b/>
          <w:color w:val="auto"/>
          <w:spacing w:val="106"/>
          <w:sz w:val="32"/>
          <w:szCs w:val="32"/>
          <w:highlight w:val="none"/>
        </w:rPr>
        <w:t>项目名</w:t>
      </w:r>
      <w:r>
        <w:rPr>
          <w:rFonts w:hint="eastAsia" w:ascii="宋体" w:hAnsi="宋体" w:cs="宋体"/>
          <w:b/>
          <w:color w:val="auto"/>
          <w:spacing w:val="2"/>
          <w:sz w:val="32"/>
          <w:szCs w:val="32"/>
          <w:highlight w:val="none"/>
        </w:rPr>
        <w:t>称</w:t>
      </w:r>
      <w:r>
        <w:rPr>
          <w:rFonts w:hint="eastAsia" w:ascii="宋体" w:hAnsi="宋体" w:cs="宋体"/>
          <w:b/>
          <w:color w:val="auto"/>
          <w:spacing w:val="-6"/>
          <w:sz w:val="32"/>
          <w:szCs w:val="32"/>
          <w:highlight w:val="none"/>
        </w:rPr>
        <w:t>：</w:t>
      </w:r>
    </w:p>
    <w:p>
      <w:pPr>
        <w:rPr>
          <w:rFonts w:ascii="宋体" w:hAnsi="宋体" w:cs="宋体"/>
          <w:b/>
          <w:color w:val="auto"/>
          <w:sz w:val="32"/>
          <w:szCs w:val="32"/>
          <w:highlight w:val="none"/>
        </w:rPr>
      </w:pPr>
      <w:r>
        <w:rPr>
          <w:rFonts w:hint="eastAsia" w:ascii="宋体" w:hAnsi="宋体" w:cs="宋体"/>
          <w:b/>
          <w:color w:val="auto"/>
          <w:spacing w:val="106"/>
          <w:sz w:val="32"/>
          <w:szCs w:val="32"/>
          <w:highlight w:val="none"/>
        </w:rPr>
        <w:t>项目编</w:t>
      </w:r>
      <w:r>
        <w:rPr>
          <w:rFonts w:hint="eastAsia" w:ascii="宋体" w:hAnsi="宋体" w:cs="宋体"/>
          <w:b/>
          <w:color w:val="auto"/>
          <w:spacing w:val="2"/>
          <w:sz w:val="32"/>
          <w:szCs w:val="32"/>
          <w:highlight w:val="none"/>
        </w:rPr>
        <w:t>号</w:t>
      </w:r>
      <w:r>
        <w:rPr>
          <w:rFonts w:hint="eastAsia" w:ascii="宋体" w:hAnsi="宋体" w:cs="宋体"/>
          <w:b/>
          <w:color w:val="auto"/>
          <w:sz w:val="32"/>
          <w:szCs w:val="32"/>
          <w:highlight w:val="none"/>
        </w:rPr>
        <w:t>：</w:t>
      </w:r>
    </w:p>
    <w:p>
      <w:pPr>
        <w:pStyle w:val="2"/>
        <w:ind w:left="0"/>
        <w:rPr>
          <w:b/>
          <w:color w:val="auto"/>
          <w:spacing w:val="106"/>
          <w:sz w:val="32"/>
          <w:szCs w:val="32"/>
          <w:highlight w:val="none"/>
          <w:lang w:val="en-US" w:bidi="ar-SA"/>
        </w:rPr>
      </w:pPr>
      <w:r>
        <w:rPr>
          <w:rFonts w:hint="eastAsia"/>
          <w:b/>
          <w:color w:val="auto"/>
          <w:spacing w:val="106"/>
          <w:sz w:val="32"/>
          <w:szCs w:val="32"/>
          <w:highlight w:val="none"/>
          <w:lang w:val="en-US" w:bidi="ar-SA"/>
        </w:rPr>
        <w:t>包组号（如有）：</w:t>
      </w:r>
    </w:p>
    <w:p>
      <w:pPr>
        <w:rPr>
          <w:rFonts w:ascii="宋体" w:hAnsi="宋体" w:cs="宋体"/>
          <w:b/>
          <w:color w:val="auto"/>
          <w:sz w:val="32"/>
          <w:szCs w:val="32"/>
          <w:highlight w:val="none"/>
        </w:rPr>
      </w:pPr>
      <w:r>
        <w:rPr>
          <w:rFonts w:hint="eastAsia" w:ascii="宋体" w:hAnsi="宋体" w:cs="宋体"/>
          <w:b/>
          <w:color w:val="auto"/>
          <w:sz w:val="32"/>
          <w:szCs w:val="32"/>
          <w:highlight w:val="none"/>
        </w:rPr>
        <w:t>投标人名称：</w:t>
      </w:r>
    </w:p>
    <w:p>
      <w:pPr>
        <w:rPr>
          <w:rFonts w:ascii="宋体" w:hAnsi="宋体" w:cs="宋体"/>
          <w:b/>
          <w:color w:val="auto"/>
          <w:sz w:val="32"/>
          <w:szCs w:val="32"/>
          <w:highlight w:val="none"/>
        </w:rPr>
      </w:pPr>
      <w:r>
        <w:rPr>
          <w:rFonts w:hint="eastAsia" w:ascii="宋体" w:hAnsi="宋体" w:cs="宋体"/>
          <w:b/>
          <w:color w:val="auto"/>
          <w:spacing w:val="64"/>
          <w:sz w:val="32"/>
          <w:szCs w:val="32"/>
          <w:highlight w:val="none"/>
        </w:rPr>
        <w:t xml:space="preserve">日    </w:t>
      </w:r>
      <w:r>
        <w:rPr>
          <w:rFonts w:hint="eastAsia" w:ascii="宋体" w:hAnsi="宋体" w:cs="宋体"/>
          <w:b/>
          <w:color w:val="auto"/>
          <w:sz w:val="32"/>
          <w:szCs w:val="32"/>
          <w:highlight w:val="none"/>
        </w:rPr>
        <w:t>期：</w:t>
      </w:r>
    </w:p>
    <w:p>
      <w:pPr>
        <w:rPr>
          <w:rFonts w:ascii="宋体" w:hAnsi="宋体"/>
          <w:color w:val="auto"/>
          <w:szCs w:val="21"/>
          <w:highlight w:val="none"/>
        </w:rPr>
      </w:pPr>
      <w:r>
        <w:rPr>
          <w:rFonts w:hint="eastAsia" w:ascii="宋体" w:hAnsi="宋体"/>
          <w:color w:val="auto"/>
          <w:szCs w:val="21"/>
          <w:highlight w:val="none"/>
        </w:rPr>
        <w:br w:type="page"/>
      </w:r>
    </w:p>
    <w:p>
      <w:pPr>
        <w:pStyle w:val="8"/>
        <w:numPr>
          <w:ilvl w:val="255"/>
          <w:numId w:val="0"/>
        </w:numPr>
        <w:tabs>
          <w:tab w:val="left" w:pos="720"/>
          <w:tab w:val="left" w:pos="3840"/>
        </w:tabs>
        <w:ind w:left="283"/>
        <w:jc w:val="both"/>
        <w:rPr>
          <w:rFonts w:ascii="宋体" w:hAnsi="宋体"/>
          <w:color w:val="auto"/>
          <w:sz w:val="21"/>
          <w:szCs w:val="21"/>
          <w:highlight w:val="none"/>
        </w:rPr>
      </w:pPr>
      <w:bookmarkStart w:id="1001" w:name="_Toc3890"/>
      <w:r>
        <w:rPr>
          <w:rFonts w:hint="eastAsia" w:ascii="宋体" w:hAnsi="宋体"/>
          <w:color w:val="auto"/>
          <w:sz w:val="21"/>
          <w:szCs w:val="21"/>
          <w:highlight w:val="none"/>
        </w:rPr>
        <w:t>附件20.唱标信封内装（内容务必与投标文件正本一致）</w:t>
      </w:r>
      <w:bookmarkEnd w:id="1001"/>
    </w:p>
    <w:p>
      <w:pPr>
        <w:numPr>
          <w:ilvl w:val="0"/>
          <w:numId w:val="128"/>
        </w:numPr>
        <w:ind w:firstLineChars="200"/>
        <w:rPr>
          <w:rFonts w:hAnsi="宋体"/>
          <w:color w:val="auto"/>
          <w:szCs w:val="21"/>
          <w:highlight w:val="none"/>
        </w:rPr>
      </w:pPr>
      <w:r>
        <w:rPr>
          <w:rFonts w:hint="eastAsia" w:hAnsi="宋体"/>
          <w:color w:val="auto"/>
          <w:szCs w:val="21"/>
          <w:highlight w:val="none"/>
        </w:rPr>
        <w:t>开标一览表加盖公章；</w:t>
      </w:r>
    </w:p>
    <w:p>
      <w:pPr>
        <w:numPr>
          <w:ilvl w:val="0"/>
          <w:numId w:val="128"/>
        </w:numPr>
        <w:ind w:firstLineChars="200"/>
        <w:rPr>
          <w:rFonts w:hAnsi="宋体"/>
          <w:color w:val="auto"/>
          <w:szCs w:val="21"/>
          <w:highlight w:val="none"/>
        </w:rPr>
      </w:pPr>
      <w:r>
        <w:rPr>
          <w:rFonts w:hint="eastAsia" w:hAnsi="宋体"/>
          <w:color w:val="auto"/>
          <w:szCs w:val="21"/>
          <w:highlight w:val="none"/>
        </w:rPr>
        <w:t>法定代表人证明书加盖公章；</w:t>
      </w:r>
    </w:p>
    <w:p>
      <w:pPr>
        <w:numPr>
          <w:ilvl w:val="0"/>
          <w:numId w:val="128"/>
        </w:numPr>
        <w:ind w:firstLineChars="200"/>
        <w:rPr>
          <w:rFonts w:hAnsi="宋体"/>
          <w:color w:val="auto"/>
          <w:szCs w:val="21"/>
          <w:highlight w:val="none"/>
        </w:rPr>
      </w:pPr>
      <w:r>
        <w:rPr>
          <w:rFonts w:hint="eastAsia" w:hAnsi="宋体"/>
          <w:color w:val="auto"/>
          <w:szCs w:val="21"/>
          <w:highlight w:val="none"/>
        </w:rPr>
        <w:t>法定代表人授权委托书加盖公章（法定代表人投标的除外）；</w:t>
      </w:r>
    </w:p>
    <w:p>
      <w:pPr>
        <w:numPr>
          <w:ilvl w:val="0"/>
          <w:numId w:val="128"/>
        </w:numPr>
        <w:ind w:firstLineChars="200"/>
        <w:rPr>
          <w:rFonts w:hAnsi="宋体"/>
          <w:color w:val="auto"/>
          <w:szCs w:val="21"/>
          <w:highlight w:val="none"/>
        </w:rPr>
      </w:pPr>
      <w:r>
        <w:rPr>
          <w:rFonts w:hint="eastAsia" w:hAnsi="宋体"/>
          <w:color w:val="auto"/>
          <w:szCs w:val="21"/>
          <w:highlight w:val="none"/>
        </w:rPr>
        <w:t>投标保证金汇入情况说明（含银行汇款凭证）或投标保函加盖公章；</w:t>
      </w:r>
    </w:p>
    <w:p>
      <w:pPr>
        <w:numPr>
          <w:ilvl w:val="0"/>
          <w:numId w:val="128"/>
        </w:numPr>
        <w:ind w:firstLineChars="200"/>
        <w:rPr>
          <w:rFonts w:hAnsi="宋体"/>
          <w:color w:val="auto"/>
          <w:szCs w:val="21"/>
          <w:highlight w:val="none"/>
        </w:rPr>
      </w:pPr>
      <w:r>
        <w:rPr>
          <w:rFonts w:hint="eastAsia" w:hAnsi="宋体"/>
          <w:color w:val="auto"/>
          <w:szCs w:val="21"/>
          <w:highlight w:val="none"/>
        </w:rPr>
        <w:t>投标文件电子文件（U盘，须含盖章版PDF投标文件和WORD版投标文件各一版，文字采用WORD文档，计算表格采用 EXCEL文档。）</w:t>
      </w:r>
    </w:p>
    <w:p>
      <w:pPr>
        <w:rPr>
          <w:rFonts w:ascii="宋体" w:hAnsi="宋体" w:cs="宋体"/>
          <w:color w:val="auto"/>
          <w:szCs w:val="21"/>
          <w:highlight w:val="none"/>
        </w:rPr>
      </w:pPr>
    </w:p>
    <w:p>
      <w:pPr>
        <w:rPr>
          <w:color w:val="auto"/>
          <w:highlight w:val="none"/>
        </w:rPr>
      </w:pPr>
    </w:p>
    <w:sectPr>
      <w:pgSz w:w="11906" w:h="16838"/>
      <w:pgMar w:top="1440" w:right="1800" w:bottom="1440" w:left="1800" w:header="708" w:footer="708" w:gutter="0"/>
      <w:pgNumType w:fmt="numberInDash"/>
      <w:cols w:space="708" w:num="1"/>
      <w:titlePg/>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Noto Sans CJK JP Regular">
    <w:altName w:val="Arial"/>
    <w:panose1 w:val="00000000000000000000"/>
    <w:charset w:val="00"/>
    <w:family w:val="swiss"/>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Times">
    <w:altName w:val="Times New Roman"/>
    <w:panose1 w:val="02020603050405020304"/>
    <w:charset w:val="00"/>
    <w:family w:val="roman"/>
    <w:pitch w:val="default"/>
    <w:sig w:usb0="00000000" w:usb1="00000000" w:usb2="00000009" w:usb3="00000000" w:csb0="000001FF" w:csb1="00000000"/>
  </w:font>
  <w:font w:name="MS Sans Serif">
    <w:altName w:val="Times New Roman"/>
    <w:panose1 w:val="020B0500000000000000"/>
    <w:charset w:val="00"/>
    <w:family w:val="auto"/>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19"/>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6228"/>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35455" cy="304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735455" cy="304800"/>
                      </a:xfrm>
                      <a:prstGeom prst="rect">
                        <a:avLst/>
                      </a:prstGeom>
                      <a:noFill/>
                      <a:ln>
                        <a:noFill/>
                      </a:ln>
                    </wps:spPr>
                    <wps:txbx>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- 19 -</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377</w:t>
                          </w:r>
                          <w:r>
                            <w:fldChar w:fldCharType="end"/>
                          </w:r>
                          <w:r>
                            <w:rPr>
                              <w:rFonts w:hint="eastAsia"/>
                            </w:rPr>
                            <w:t>页</w:t>
                          </w:r>
                        </w:p>
                      </w:txbxContent>
                    </wps:txbx>
                    <wps:bodyPr wrap="square" lIns="0" tIns="0" rIns="0" bIns="0" upright="1">
                      <a:noAutofit/>
                    </wps:bodyPr>
                  </wps:wsp>
                </a:graphicData>
              </a:graphic>
            </wp:anchor>
          </w:drawing>
        </mc:Choice>
        <mc:Fallback>
          <w:pict>
            <v:shape id="文本框 1026" o:spid="_x0000_s1026" o:spt="202" type="#_x0000_t202" style="position:absolute;left:0pt;margin-top:0pt;height:24pt;width:136.65pt;mso-position-horizontal:center;mso-position-horizontal-relative:margin;z-index:251659264;mso-width-relative:page;mso-height-relative:page;" filled="f" stroked="f" coordsize="21600,21600" o:gfxdata="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3c2d7VAAAABAEAAA8AAAAAAAAAAQAgAAAAIgAAAGRycy9kb3ducmV2LnhtbFBLAQIUABQA&#10;AAAIAIdO4kD/IraVugEAAE8DAAAOAAAAAAAAAAEAIAAAACQBAABkcnMvZTJvRG9jLnhtbFBLBQYA&#10;AAAABgAGAFkBAABQBQAAAAA=&#10;">
              <v:fill on="f" focussize="0,0"/>
              <v:stroke on="f"/>
              <v:imagedata o:title=""/>
              <o:lock v:ext="edit" aspectratio="f"/>
              <v:textbox inset="0mm,0mm,0mm,0mm">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- 19 -</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377</w:t>
                    </w:r>
                    <w:r>
                      <w:fldChar w:fldCharType="end"/>
                    </w:r>
                    <w:r>
                      <w:rPr>
                        <w:rFonts w:hint="eastAsia"/>
                      </w:rPr>
                      <w:t>页</w:t>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5062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150620" cy="1828800"/>
                      </a:xfrm>
                      <a:prstGeom prst="rect">
                        <a:avLst/>
                      </a:prstGeom>
                      <a:noFill/>
                      <a:ln>
                        <a:noFill/>
                      </a:ln>
                    </wps:spPr>
                    <wps:txbx>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- 376 -</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377</w:t>
                          </w:r>
                          <w:r>
                            <w:fldChar w:fldCharType="end"/>
                          </w:r>
                          <w:r>
                            <w:rPr>
                              <w:rFonts w:hint="eastAsia"/>
                            </w:rPr>
                            <w:t xml:space="preserve"> 页</w:t>
                          </w:r>
                        </w:p>
                      </w:txbxContent>
                    </wps:txbx>
                    <wps:bodyPr lIns="0" tIns="0" rIns="0" bIns="0" upright="1">
                      <a:spAutoFit/>
                    </wps:bodyPr>
                  </wps:wsp>
                </a:graphicData>
              </a:graphic>
            </wp:anchor>
          </w:drawing>
        </mc:Choice>
        <mc:Fallback>
          <w:pict>
            <v:shape id="文本框 1025" o:spid="_x0000_s1026" o:spt="202" type="#_x0000_t202" style="position:absolute;left:0pt;margin-top:0pt;height:144pt;width:90.6pt;mso-position-horizontal:center;mso-position-horizontal-relative:margin;z-index:251660288;mso-width-relative:page;mso-height-relative:page;" filled="f" stroked="f" coordsize="21600,21600" o:gfxdata="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ggSLNIAAAAFAQAA&#10;DwAAAAAAAAABACAAAAAiAAAAZHJzL2Rvd25yZXYueG1sUEsBAhQAFAAAAAgAh07iQPzF/Y2tAQAA&#10;QgMAAA4AAAAAAAAAAQAgAAAAIQEAAGRycy9lMm9Eb2MueG1sUEsFBgAAAAAGAAYAWQEAAEAFAAAA&#10;AA==&#10;">
              <v:fill on="f" focussize="0,0"/>
              <v:stroke on="f"/>
              <v:imagedata o:title=""/>
              <o:lock v:ext="edit" aspectratio="f"/>
              <v:textbox inset="0mm,0mm,0mm,0mm" style="mso-fit-shape-to-text:t;">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- 376 -</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377</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w:pict>
        <v:shape id="PowerPlusWaterMarkObject24759" o:spid="_x0000_s2049" o:spt="136" type="#_x0000_t136" style="position:absolute;left:0pt;height:161.6pt;width:425.65pt;mso-position-horizontal:center;mso-position-horizontal-relative:margin;mso-position-vertical:center;mso-position-vertical-relative:margin;rotation:-2949120f;z-index:-251653120;mso-width-relative:page;mso-height-relative:page;" fillcolor="#C0C0C0" filled="t" stroked="f" coordsize="21600,21600" adj="10800">
          <v:path/>
          <v:fill on="t" opacity="19660f" focussize="0,0"/>
          <v:stroke on="f"/>
          <v:imagedata o:title=""/>
          <o:lock v:ext="edit" aspectratio="t"/>
          <v:textpath on="t" fitshape="t" fitpath="t" trim="t" xscale="f" string="已审核" style="font-family:宋体;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w:pict>
        <v:shape id="_x0000_s2050" o:spid="_x0000_s2050" o:spt="136" type="#_x0000_t136" style="position:absolute;left:0pt;height:161.6pt;width:425.65pt;mso-position-horizontal:center;mso-position-horizontal-relative:margin;mso-position-vertical:center;mso-position-vertical-relative:margin;rotation:-2949120f;z-index:-251652096;mso-width-relative:page;mso-height-relative:page;" fillcolor="#C0C0C0" filled="t" stroked="f" coordsize="21600,21600" adj="10800">
          <v:path/>
          <v:fill on="t" opacity="19660f" focussize="0,0"/>
          <v:stroke on="f"/>
          <v:imagedata o:title=""/>
          <o:lock v:ext="edit" aspectratio="t"/>
          <v:textpath on="t" fitshape="t" fitpath="t" trim="t" xscale="f" string="已审核" style="font-family:宋体;font-size:36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left"/>
    </w:pPr>
    <w:r>
      <w:rPr>
        <w:sz w:val="18"/>
      </w:rPr>
      <w:pict>
        <v:shape id="_x0000_s2051" o:spid="_x0000_s2051" o:spt="136" type="#_x0000_t136" style="position:absolute;left:0pt;height:161.6pt;width:425.65pt;mso-position-horizontal:center;mso-position-horizontal-relative:margin;mso-position-vertical:center;mso-position-vertical-relative:margin;rotation:-2949120f;z-index:-251651072;mso-width-relative:page;mso-height-relative:page;" fillcolor="#C0C0C0" filled="t" stroked="f" coordsize="21600,21600" adj="10800">
          <v:path/>
          <v:fill on="t" opacity="19660f" focussize="0,0"/>
          <v:stroke on="f"/>
          <v:imagedata o:title=""/>
          <o:lock v:ext="edit" aspectratio="t"/>
          <v:textpath on="t" fitshape="t" fitpath="t" trim="t" xscale="f" string="已审核" style="font-family:宋体;font-size:36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w:pict>
        <v:shape id="_x0000_s2052" o:spid="_x0000_s2052" o:spt="136" type="#_x0000_t136" style="position:absolute;left:0pt;height:161.6pt;width:425.65pt;mso-position-horizontal:center;mso-position-horizontal-relative:margin;mso-position-vertical:center;mso-position-vertical-relative:margin;rotation:-2949120f;z-index:-251650048;mso-width-relative:page;mso-height-relative:page;" fillcolor="#C0C0C0" filled="t" stroked="f" coordsize="21600,21600" adj="10800">
          <v:path/>
          <v:fill on="t" opacity="19660f" focussize="0,0"/>
          <v:stroke on="f"/>
          <v:imagedata o:title=""/>
          <o:lock v:ext="edit" aspectratio="t"/>
          <v:textpath on="t" fitshape="t" fitpath="t" trim="t" xscale="f" string="已审核" style="font-family:宋体;font-size:36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A51B24"/>
    <w:multiLevelType w:val="singleLevel"/>
    <w:tmpl w:val="82A51B24"/>
    <w:lvl w:ilvl="0" w:tentative="0">
      <w:start w:val="1"/>
      <w:numFmt w:val="chineseCounting"/>
      <w:suff w:val="nothing"/>
      <w:lvlText w:val="（%1）"/>
      <w:lvlJc w:val="left"/>
      <w:pPr>
        <w:ind w:left="0" w:firstLine="420"/>
      </w:pPr>
      <w:rPr>
        <w:rFonts w:hint="eastAsia"/>
      </w:rPr>
    </w:lvl>
  </w:abstractNum>
  <w:abstractNum w:abstractNumId="1">
    <w:nsid w:val="8C2CD88E"/>
    <w:multiLevelType w:val="singleLevel"/>
    <w:tmpl w:val="8C2CD88E"/>
    <w:lvl w:ilvl="0" w:tentative="0">
      <w:start w:val="1"/>
      <w:numFmt w:val="decimal"/>
      <w:lvlText w:val="%1."/>
      <w:lvlJc w:val="left"/>
      <w:pPr>
        <w:tabs>
          <w:tab w:val="left" w:pos="312"/>
        </w:tabs>
      </w:pPr>
    </w:lvl>
  </w:abstractNum>
  <w:abstractNum w:abstractNumId="2">
    <w:nsid w:val="90F88E11"/>
    <w:multiLevelType w:val="multilevel"/>
    <w:tmpl w:val="90F88E11"/>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4.5.%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929C4033"/>
    <w:multiLevelType w:val="multilevel"/>
    <w:tmpl w:val="929C4033"/>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93D38B88"/>
    <w:multiLevelType w:val="singleLevel"/>
    <w:tmpl w:val="93D38B88"/>
    <w:lvl w:ilvl="0" w:tentative="0">
      <w:start w:val="1"/>
      <w:numFmt w:val="decimal"/>
      <w:suff w:val="nothing"/>
      <w:lvlText w:val="%1．"/>
      <w:lvlJc w:val="left"/>
      <w:pPr>
        <w:ind w:left="0" w:firstLine="400"/>
      </w:pPr>
      <w:rPr>
        <w:rFonts w:hint="default"/>
      </w:rPr>
    </w:lvl>
  </w:abstractNum>
  <w:abstractNum w:abstractNumId="5">
    <w:nsid w:val="94BA7CDE"/>
    <w:multiLevelType w:val="multilevel"/>
    <w:tmpl w:val="94BA7CDE"/>
    <w:lvl w:ilvl="0" w:tentative="0">
      <w:start w:val="1"/>
      <w:numFmt w:val="decimal"/>
      <w:lvlText w:val="%1)"/>
      <w:lvlJc w:val="left"/>
      <w:pPr>
        <w:ind w:left="1854" w:hanging="360"/>
      </w:pPr>
    </w:lvl>
    <w:lvl w:ilvl="1" w:tentative="0">
      <w:start w:val="1"/>
      <w:numFmt w:val="lowerLetter"/>
      <w:lvlText w:val="%2."/>
      <w:lvlJc w:val="left"/>
      <w:pPr>
        <w:ind w:left="840"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6">
    <w:nsid w:val="9860D511"/>
    <w:multiLevelType w:val="multilevel"/>
    <w:tmpl w:val="9860D511"/>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4.5.%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9C8EA55A"/>
    <w:multiLevelType w:val="multilevel"/>
    <w:tmpl w:val="9C8EA55A"/>
    <w:lvl w:ilvl="0" w:tentative="0">
      <w:start w:val="1"/>
      <w:numFmt w:val="decimal"/>
      <w:lvlText w:val="%1"/>
      <w:lvlJc w:val="left"/>
      <w:pPr>
        <w:ind w:left="425" w:hanging="425"/>
      </w:pPr>
      <w:rPr>
        <w:rFonts w:hint="eastAsia"/>
      </w:rPr>
    </w:lvl>
    <w:lvl w:ilvl="1" w:tentative="0">
      <w:start w:val="1"/>
      <w:numFmt w:val="decimal"/>
      <w:lvlText w:val="5.%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9E5A756B"/>
    <w:multiLevelType w:val="multilevel"/>
    <w:tmpl w:val="9E5A756B"/>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suff w:val="space"/>
      <w:lvlText w:val="7.8.%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A1D8579B"/>
    <w:multiLevelType w:val="multilevel"/>
    <w:tmpl w:val="A1D8579B"/>
    <w:lvl w:ilvl="0" w:tentative="0">
      <w:start w:val="1"/>
      <w:numFmt w:val="decimal"/>
      <w:lvlText w:val="%1"/>
      <w:lvlJc w:val="left"/>
      <w:pPr>
        <w:ind w:left="425" w:hanging="425"/>
      </w:pPr>
      <w:rPr>
        <w:rFonts w:hint="eastAsia"/>
      </w:rPr>
    </w:lvl>
    <w:lvl w:ilvl="1" w:tentative="0">
      <w:start w:val="1"/>
      <w:numFmt w:val="decimal"/>
      <w:lvlText w:val="3.%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A271E32F"/>
    <w:multiLevelType w:val="multilevel"/>
    <w:tmpl w:val="A271E32F"/>
    <w:lvl w:ilvl="0" w:tentative="0">
      <w:start w:val="1"/>
      <w:numFmt w:val="decimal"/>
      <w:lvlText w:val="%1"/>
      <w:lvlJc w:val="left"/>
      <w:pPr>
        <w:ind w:left="425" w:hanging="425"/>
      </w:pPr>
      <w:rPr>
        <w:rFonts w:hint="eastAsia"/>
      </w:rPr>
    </w:lvl>
    <w:lvl w:ilvl="1" w:tentative="0">
      <w:start w:val="1"/>
      <w:numFmt w:val="decimal"/>
      <w:lvlText w:val="5.%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A5643ACA"/>
    <w:multiLevelType w:val="multilevel"/>
    <w:tmpl w:val="A5643AC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A6EE717A"/>
    <w:multiLevelType w:val="multilevel"/>
    <w:tmpl w:val="A6EE717A"/>
    <w:lvl w:ilvl="0" w:tentative="0">
      <w:start w:val="1"/>
      <w:numFmt w:val="decimal"/>
      <w:lvlText w:val="%1"/>
      <w:lvlJc w:val="left"/>
      <w:pPr>
        <w:ind w:left="425" w:hanging="425"/>
      </w:pPr>
      <w:rPr>
        <w:rFonts w:hint="eastAsia"/>
      </w:rPr>
    </w:lvl>
    <w:lvl w:ilvl="1" w:tentative="0">
      <w:start w:val="1"/>
      <w:numFmt w:val="decimal"/>
      <w:lvlText w:val="7.%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A928CEBA"/>
    <w:multiLevelType w:val="singleLevel"/>
    <w:tmpl w:val="A928CEBA"/>
    <w:lvl w:ilvl="0" w:tentative="0">
      <w:start w:val="1"/>
      <w:numFmt w:val="decimal"/>
      <w:suff w:val="nothing"/>
      <w:lvlText w:val="（%1）"/>
      <w:lvlJc w:val="left"/>
    </w:lvl>
  </w:abstractNum>
  <w:abstractNum w:abstractNumId="14">
    <w:nsid w:val="A930E074"/>
    <w:multiLevelType w:val="multilevel"/>
    <w:tmpl w:val="A930E074"/>
    <w:lvl w:ilvl="0" w:tentative="0">
      <w:start w:val="1"/>
      <w:numFmt w:val="decimal"/>
      <w:lvlText w:val="%1"/>
      <w:lvlJc w:val="left"/>
      <w:pPr>
        <w:ind w:left="425" w:hanging="425"/>
      </w:pPr>
      <w:rPr>
        <w:rFonts w:hint="eastAsia"/>
      </w:rPr>
    </w:lvl>
    <w:lvl w:ilvl="1" w:tentative="0">
      <w:start w:val="1"/>
      <w:numFmt w:val="decimal"/>
      <w:suff w:val="space"/>
      <w:lvlText w:val="4.%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AA5F331E"/>
    <w:multiLevelType w:val="multilevel"/>
    <w:tmpl w:val="AA5F331E"/>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7.9.%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AD76A0D4"/>
    <w:multiLevelType w:val="multilevel"/>
    <w:tmpl w:val="AD76A0D4"/>
    <w:lvl w:ilvl="0" w:tentative="0">
      <w:start w:val="1"/>
      <w:numFmt w:val="decimal"/>
      <w:suff w:val="nothing"/>
      <w:lvlText w:val="（%1）"/>
      <w:lvlJc w:val="left"/>
      <w:pPr>
        <w:ind w:left="0" w:firstLine="0"/>
      </w:pPr>
      <w:rPr>
        <w:rFonts w:hint="eastAsia"/>
        <w:lang w:val="en-US"/>
      </w:rPr>
    </w:lvl>
    <w:lvl w:ilvl="1" w:tentative="0">
      <w:start w:val="1"/>
      <w:numFmt w:val="lowerLetter"/>
      <w:lvlText w:val="%2)"/>
      <w:lvlJc w:val="left"/>
      <w:pPr>
        <w:tabs>
          <w:tab w:val="left" w:pos="964"/>
        </w:tabs>
        <w:ind w:left="0" w:firstLine="0"/>
      </w:pPr>
      <w:rPr>
        <w:rFonts w:hint="eastAsia"/>
      </w:rPr>
    </w:lvl>
    <w:lvl w:ilvl="2" w:tentative="0">
      <w:start w:val="1"/>
      <w:numFmt w:val="lowerRoman"/>
      <w:lvlText w:val="%3."/>
      <w:lvlJc w:val="right"/>
      <w:pPr>
        <w:tabs>
          <w:tab w:val="left" w:pos="1077"/>
        </w:tabs>
        <w:ind w:left="113" w:firstLine="0"/>
      </w:pPr>
      <w:rPr>
        <w:rFonts w:hint="eastAsia"/>
      </w:rPr>
    </w:lvl>
    <w:lvl w:ilvl="3" w:tentative="0">
      <w:start w:val="1"/>
      <w:numFmt w:val="decimal"/>
      <w:lvlText w:val="%4."/>
      <w:lvlJc w:val="left"/>
      <w:pPr>
        <w:tabs>
          <w:tab w:val="left" w:pos="1190"/>
        </w:tabs>
        <w:ind w:left="226" w:firstLine="0"/>
      </w:pPr>
      <w:rPr>
        <w:rFonts w:hint="eastAsia"/>
      </w:rPr>
    </w:lvl>
    <w:lvl w:ilvl="4" w:tentative="0">
      <w:start w:val="1"/>
      <w:numFmt w:val="lowerLetter"/>
      <w:lvlText w:val="%5)"/>
      <w:lvlJc w:val="left"/>
      <w:pPr>
        <w:tabs>
          <w:tab w:val="left" w:pos="1303"/>
        </w:tabs>
        <w:ind w:left="339" w:firstLine="0"/>
      </w:pPr>
      <w:rPr>
        <w:rFonts w:hint="eastAsia"/>
      </w:rPr>
    </w:lvl>
    <w:lvl w:ilvl="5" w:tentative="0">
      <w:start w:val="1"/>
      <w:numFmt w:val="lowerRoman"/>
      <w:lvlText w:val="%6."/>
      <w:lvlJc w:val="right"/>
      <w:pPr>
        <w:tabs>
          <w:tab w:val="left" w:pos="1416"/>
        </w:tabs>
        <w:ind w:left="452" w:firstLine="0"/>
      </w:pPr>
      <w:rPr>
        <w:rFonts w:hint="eastAsia"/>
      </w:rPr>
    </w:lvl>
    <w:lvl w:ilvl="6" w:tentative="0">
      <w:start w:val="1"/>
      <w:numFmt w:val="decimal"/>
      <w:lvlText w:val="%7."/>
      <w:lvlJc w:val="left"/>
      <w:pPr>
        <w:tabs>
          <w:tab w:val="left" w:pos="1529"/>
        </w:tabs>
        <w:ind w:left="565" w:firstLine="0"/>
      </w:pPr>
      <w:rPr>
        <w:rFonts w:hint="eastAsia"/>
      </w:rPr>
    </w:lvl>
    <w:lvl w:ilvl="7" w:tentative="0">
      <w:start w:val="1"/>
      <w:numFmt w:val="lowerLetter"/>
      <w:lvlText w:val="%8)"/>
      <w:lvlJc w:val="left"/>
      <w:pPr>
        <w:tabs>
          <w:tab w:val="left" w:pos="1642"/>
        </w:tabs>
        <w:ind w:left="678" w:firstLine="0"/>
      </w:pPr>
      <w:rPr>
        <w:rFonts w:hint="eastAsia"/>
      </w:rPr>
    </w:lvl>
    <w:lvl w:ilvl="8" w:tentative="0">
      <w:start w:val="1"/>
      <w:numFmt w:val="lowerRoman"/>
      <w:lvlText w:val="%9."/>
      <w:lvlJc w:val="right"/>
      <w:pPr>
        <w:tabs>
          <w:tab w:val="left" w:pos="1755"/>
        </w:tabs>
        <w:ind w:left="791" w:firstLine="0"/>
      </w:pPr>
      <w:rPr>
        <w:rFonts w:hint="eastAsia"/>
      </w:rPr>
    </w:lvl>
  </w:abstractNum>
  <w:abstractNum w:abstractNumId="17">
    <w:nsid w:val="B0294921"/>
    <w:multiLevelType w:val="multilevel"/>
    <w:tmpl w:val="B0294921"/>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B1F4E709"/>
    <w:multiLevelType w:val="multilevel"/>
    <w:tmpl w:val="B1F4E70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7.8.%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BCFAF30D"/>
    <w:multiLevelType w:val="multilevel"/>
    <w:tmpl w:val="BCFAF30D"/>
    <w:lvl w:ilvl="0" w:tentative="0">
      <w:start w:val="1"/>
      <w:numFmt w:val="decimal"/>
      <w:suff w:val="nothing"/>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C020FE3E"/>
    <w:multiLevelType w:val="multilevel"/>
    <w:tmpl w:val="C020FE3E"/>
    <w:lvl w:ilvl="0" w:tentative="0">
      <w:start w:val="1"/>
      <w:numFmt w:val="decimal"/>
      <w:lvlText w:val="%1"/>
      <w:lvlJc w:val="left"/>
      <w:pPr>
        <w:ind w:left="425" w:hanging="425"/>
      </w:pPr>
      <w:rPr>
        <w:rFonts w:hint="eastAsia"/>
      </w:rPr>
    </w:lvl>
    <w:lvl w:ilvl="1" w:tentative="0">
      <w:start w:val="1"/>
      <w:numFmt w:val="decimal"/>
      <w:lvlText w:val="5.%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C5228329"/>
    <w:multiLevelType w:val="multilevel"/>
    <w:tmpl w:val="C522832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4.5.%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C9555E15"/>
    <w:multiLevelType w:val="singleLevel"/>
    <w:tmpl w:val="C9555E15"/>
    <w:lvl w:ilvl="0" w:tentative="0">
      <w:start w:val="1"/>
      <w:numFmt w:val="decimal"/>
      <w:lvlText w:val="(%1)"/>
      <w:lvlJc w:val="left"/>
      <w:pPr>
        <w:ind w:left="425" w:hanging="425"/>
      </w:pPr>
      <w:rPr>
        <w:rFonts w:hint="default"/>
      </w:rPr>
    </w:lvl>
  </w:abstractNum>
  <w:abstractNum w:abstractNumId="23">
    <w:nsid w:val="CC23954B"/>
    <w:multiLevelType w:val="multilevel"/>
    <w:tmpl w:val="CC23954B"/>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4">
    <w:nsid w:val="CCD94BD5"/>
    <w:multiLevelType w:val="multilevel"/>
    <w:tmpl w:val="CCD94BD5"/>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CD4E083B"/>
    <w:multiLevelType w:val="multilevel"/>
    <w:tmpl w:val="CD4E083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CD88015D"/>
    <w:multiLevelType w:val="multilevel"/>
    <w:tmpl w:val="CD88015D"/>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CFF174A5"/>
    <w:multiLevelType w:val="singleLevel"/>
    <w:tmpl w:val="CFF174A5"/>
    <w:lvl w:ilvl="0" w:tentative="0">
      <w:start w:val="1"/>
      <w:numFmt w:val="decimal"/>
      <w:suff w:val="nothing"/>
      <w:lvlText w:val="%1、"/>
      <w:lvlJc w:val="left"/>
    </w:lvl>
  </w:abstractNum>
  <w:abstractNum w:abstractNumId="28">
    <w:nsid w:val="D0047B7E"/>
    <w:multiLevelType w:val="singleLevel"/>
    <w:tmpl w:val="D0047B7E"/>
    <w:lvl w:ilvl="0" w:tentative="0">
      <w:start w:val="1"/>
      <w:numFmt w:val="decimal"/>
      <w:suff w:val="nothing"/>
      <w:lvlText w:val="%1、"/>
      <w:lvlJc w:val="left"/>
    </w:lvl>
  </w:abstractNum>
  <w:abstractNum w:abstractNumId="29">
    <w:nsid w:val="D39130D0"/>
    <w:multiLevelType w:val="multilevel"/>
    <w:tmpl w:val="D39130D0"/>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0">
    <w:nsid w:val="D3BDA2AB"/>
    <w:multiLevelType w:val="multilevel"/>
    <w:tmpl w:val="D3BDA2AB"/>
    <w:lvl w:ilvl="0" w:tentative="0">
      <w:start w:val="1"/>
      <w:numFmt w:val="decimal"/>
      <w:lvlText w:val="%1"/>
      <w:lvlJc w:val="left"/>
      <w:pPr>
        <w:ind w:left="425" w:hanging="425"/>
      </w:pPr>
      <w:rPr>
        <w:rFonts w:hint="eastAsia"/>
      </w:rPr>
    </w:lvl>
    <w:lvl w:ilvl="1" w:tentative="0">
      <w:start w:val="1"/>
      <w:numFmt w:val="decimal"/>
      <w:suff w:val="space"/>
      <w:lvlText w:val="4.%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D42EB95F"/>
    <w:multiLevelType w:val="multilevel"/>
    <w:tmpl w:val="D42EB95F"/>
    <w:lvl w:ilvl="0" w:tentative="0">
      <w:start w:val="1"/>
      <w:numFmt w:val="decimal"/>
      <w:lvlText w:val="%1)"/>
      <w:lvlJc w:val="left"/>
      <w:pPr>
        <w:ind w:left="1854" w:hanging="360"/>
      </w:pPr>
    </w:lvl>
    <w:lvl w:ilvl="1" w:tentative="0">
      <w:start w:val="1"/>
      <w:numFmt w:val="lowerLetter"/>
      <w:lvlText w:val="%2."/>
      <w:lvlJc w:val="left"/>
      <w:pPr>
        <w:ind w:left="840"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32">
    <w:nsid w:val="D9C0E4FF"/>
    <w:multiLevelType w:val="multilevel"/>
    <w:tmpl w:val="D9C0E4FF"/>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D9D420A4"/>
    <w:multiLevelType w:val="multilevel"/>
    <w:tmpl w:val="D9D420A4"/>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4">
    <w:nsid w:val="DEE79AF8"/>
    <w:multiLevelType w:val="multilevel"/>
    <w:tmpl w:val="DEE79AF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DF3388C2"/>
    <w:multiLevelType w:val="multilevel"/>
    <w:tmpl w:val="DF3388C2"/>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4.4.%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6">
    <w:nsid w:val="E6205FD2"/>
    <w:multiLevelType w:val="multilevel"/>
    <w:tmpl w:val="E6205FD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E8F81CAF"/>
    <w:multiLevelType w:val="multilevel"/>
    <w:tmpl w:val="E8F81CAF"/>
    <w:lvl w:ilvl="0" w:tentative="0">
      <w:start w:val="1"/>
      <w:numFmt w:val="decimal"/>
      <w:lvlText w:val="%1)"/>
      <w:lvlJc w:val="left"/>
      <w:pPr>
        <w:ind w:left="1854" w:hanging="360"/>
      </w:pPr>
    </w:lvl>
    <w:lvl w:ilvl="1" w:tentative="0">
      <w:start w:val="1"/>
      <w:numFmt w:val="lowerLetter"/>
      <w:lvlText w:val="%2."/>
      <w:lvlJc w:val="left"/>
      <w:pPr>
        <w:ind w:left="840"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38">
    <w:nsid w:val="EBDD42D9"/>
    <w:multiLevelType w:val="singleLevel"/>
    <w:tmpl w:val="EBDD42D9"/>
    <w:lvl w:ilvl="0" w:tentative="0">
      <w:start w:val="1"/>
      <w:numFmt w:val="decimal"/>
      <w:lvlText w:val="(%1)"/>
      <w:lvlJc w:val="left"/>
      <w:pPr>
        <w:ind w:left="425" w:hanging="425"/>
      </w:pPr>
      <w:rPr>
        <w:rFonts w:hint="default"/>
      </w:rPr>
    </w:lvl>
  </w:abstractNum>
  <w:abstractNum w:abstractNumId="39">
    <w:nsid w:val="EC7A1A65"/>
    <w:multiLevelType w:val="singleLevel"/>
    <w:tmpl w:val="EC7A1A65"/>
    <w:lvl w:ilvl="0" w:tentative="0">
      <w:start w:val="1"/>
      <w:numFmt w:val="decimal"/>
      <w:suff w:val="nothing"/>
      <w:lvlText w:val="%1）"/>
      <w:lvlJc w:val="left"/>
    </w:lvl>
  </w:abstractNum>
  <w:abstractNum w:abstractNumId="40">
    <w:nsid w:val="EDA55951"/>
    <w:multiLevelType w:val="multilevel"/>
    <w:tmpl w:val="EDA55951"/>
    <w:lvl w:ilvl="0" w:tentative="0">
      <w:start w:val="1"/>
      <w:numFmt w:val="decimal"/>
      <w:lvlText w:val="%1"/>
      <w:lvlJc w:val="left"/>
      <w:pPr>
        <w:ind w:left="425" w:hanging="425"/>
      </w:pPr>
      <w:rPr>
        <w:rFonts w:hint="eastAsia"/>
      </w:rPr>
    </w:lvl>
    <w:lvl w:ilvl="1" w:tentative="0">
      <w:start w:val="1"/>
      <w:numFmt w:val="decimal"/>
      <w:lvlText w:val="6.%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1">
    <w:nsid w:val="EF00C362"/>
    <w:multiLevelType w:val="multilevel"/>
    <w:tmpl w:val="EF00C362"/>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7.9.%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2">
    <w:nsid w:val="F14A9FCE"/>
    <w:multiLevelType w:val="multilevel"/>
    <w:tmpl w:val="F14A9FCE"/>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4.4.%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3">
    <w:nsid w:val="F1DAC052"/>
    <w:multiLevelType w:val="multilevel"/>
    <w:tmpl w:val="F1DAC052"/>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F43C15A3"/>
    <w:multiLevelType w:val="multilevel"/>
    <w:tmpl w:val="F43C15A3"/>
    <w:lvl w:ilvl="0" w:tentative="0">
      <w:start w:val="1"/>
      <w:numFmt w:val="decimal"/>
      <w:lvlText w:val="%1"/>
      <w:lvlJc w:val="left"/>
      <w:pPr>
        <w:ind w:left="425" w:hanging="425"/>
      </w:pPr>
      <w:rPr>
        <w:rFonts w:hint="eastAsia"/>
      </w:rPr>
    </w:lvl>
    <w:lvl w:ilvl="1" w:tentative="0">
      <w:start w:val="1"/>
      <w:numFmt w:val="decimal"/>
      <w:lvlText w:val="3.%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5">
    <w:nsid w:val="FB9A3E74"/>
    <w:multiLevelType w:val="multilevel"/>
    <w:tmpl w:val="FB9A3E74"/>
    <w:lvl w:ilvl="0" w:tentative="0">
      <w:start w:val="1"/>
      <w:numFmt w:val="decimal"/>
      <w:lvlText w:val="%1"/>
      <w:lvlJc w:val="left"/>
      <w:pPr>
        <w:ind w:left="425" w:hanging="425"/>
      </w:pPr>
      <w:rPr>
        <w:rFonts w:hint="eastAsia"/>
      </w:rPr>
    </w:lvl>
    <w:lvl w:ilvl="1" w:tentative="0">
      <w:start w:val="1"/>
      <w:numFmt w:val="decimal"/>
      <w:lvlText w:val="7.%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6">
    <w:nsid w:val="FCA3BE05"/>
    <w:multiLevelType w:val="multilevel"/>
    <w:tmpl w:val="FCA3BE0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8">
    <w:nsid w:val="00000021"/>
    <w:multiLevelType w:val="multilevel"/>
    <w:tmpl w:val="00000021"/>
    <w:lvl w:ilvl="0" w:tentative="0">
      <w:start w:val="1"/>
      <w:numFmt w:val="chineseCountingThousand"/>
      <w:lvlText w:val="第 %1 条"/>
      <w:lvlJc w:val="left"/>
      <w:pPr>
        <w:tabs>
          <w:tab w:val="left" w:pos="1440"/>
        </w:tabs>
        <w:ind w:left="0" w:firstLine="0"/>
      </w:pPr>
      <w:rPr>
        <w:rFonts w:hint="eastAsia"/>
      </w:rPr>
    </w:lvl>
    <w:lvl w:ilvl="1" w:tentative="0">
      <w:start w:val="1"/>
      <w:numFmt w:val="taiwaneseCountingThousand"/>
      <w:lvlText w:val="%2、"/>
      <w:lvlJc w:val="left"/>
      <w:pPr>
        <w:tabs>
          <w:tab w:val="left" w:pos="720"/>
        </w:tabs>
        <w:ind w:left="720" w:hanging="720"/>
      </w:pPr>
      <w:rPr>
        <w:rFonts w:hint="default"/>
      </w:rPr>
    </w:lvl>
    <w:lvl w:ilvl="2" w:tentative="0">
      <w:start w:val="1"/>
      <w:numFmt w:val="lowerLetter"/>
      <w:lvlText w:val="(%3)"/>
      <w:lvlJc w:val="left"/>
      <w:pPr>
        <w:tabs>
          <w:tab w:val="left" w:pos="720"/>
        </w:tabs>
        <w:ind w:left="720" w:hanging="432"/>
      </w:pPr>
      <w:rPr>
        <w:rFonts w:hint="eastAsia"/>
      </w:rPr>
    </w:lvl>
    <w:lvl w:ilvl="3" w:tentative="0">
      <w:start w:val="1"/>
      <w:numFmt w:val="lowerRoman"/>
      <w:lvlText w:val="(%4)"/>
      <w:lvlJc w:val="right"/>
      <w:pPr>
        <w:tabs>
          <w:tab w:val="left" w:pos="864"/>
        </w:tabs>
        <w:ind w:left="864" w:hanging="144"/>
      </w:pPr>
      <w:rPr>
        <w:rFonts w:hint="eastAsia"/>
      </w:rPr>
    </w:lvl>
    <w:lvl w:ilvl="4" w:tentative="0">
      <w:start w:val="1"/>
      <w:numFmt w:val="decimal"/>
      <w:lvlText w:val="%5)"/>
      <w:lvlJc w:val="left"/>
      <w:pPr>
        <w:tabs>
          <w:tab w:val="left" w:pos="1008"/>
        </w:tabs>
        <w:ind w:left="1008" w:hanging="432"/>
      </w:pPr>
      <w:rPr>
        <w:rFonts w:hint="eastAsia"/>
      </w:rPr>
    </w:lvl>
    <w:lvl w:ilvl="5" w:tentative="0">
      <w:start w:val="1"/>
      <w:numFmt w:val="lowerLetter"/>
      <w:lvlText w:val="%6)"/>
      <w:lvlJc w:val="left"/>
      <w:pPr>
        <w:tabs>
          <w:tab w:val="left" w:pos="1152"/>
        </w:tabs>
        <w:ind w:left="1152" w:hanging="432"/>
      </w:pPr>
      <w:rPr>
        <w:rFonts w:hint="eastAsia"/>
      </w:rPr>
    </w:lvl>
    <w:lvl w:ilvl="6" w:tentative="0">
      <w:start w:val="1"/>
      <w:numFmt w:val="lowerRoman"/>
      <w:lvlText w:val="%7)"/>
      <w:lvlJc w:val="right"/>
      <w:pPr>
        <w:tabs>
          <w:tab w:val="left" w:pos="1296"/>
        </w:tabs>
        <w:ind w:left="1296" w:hanging="288"/>
      </w:pPr>
      <w:rPr>
        <w:rFonts w:hint="eastAsia"/>
      </w:rPr>
    </w:lvl>
    <w:lvl w:ilvl="7" w:tentative="0">
      <w:start w:val="1"/>
      <w:numFmt w:val="lowerLetter"/>
      <w:pStyle w:val="10"/>
      <w:lvlText w:val="%8."/>
      <w:lvlJc w:val="left"/>
      <w:pPr>
        <w:tabs>
          <w:tab w:val="left" w:pos="1440"/>
        </w:tabs>
        <w:ind w:left="1440" w:hanging="432"/>
      </w:pPr>
      <w:rPr>
        <w:rFonts w:hint="eastAsia"/>
      </w:rPr>
    </w:lvl>
    <w:lvl w:ilvl="8" w:tentative="0">
      <w:start w:val="1"/>
      <w:numFmt w:val="lowerRoman"/>
      <w:lvlText w:val="%9."/>
      <w:lvlJc w:val="right"/>
      <w:pPr>
        <w:tabs>
          <w:tab w:val="left" w:pos="1584"/>
        </w:tabs>
        <w:ind w:left="1584" w:hanging="144"/>
      </w:pPr>
      <w:rPr>
        <w:rFonts w:hint="eastAsia"/>
      </w:rPr>
    </w:lvl>
  </w:abstractNum>
  <w:abstractNum w:abstractNumId="49">
    <w:nsid w:val="00000025"/>
    <w:multiLevelType w:val="multilevel"/>
    <w:tmpl w:val="00000025"/>
    <w:lvl w:ilvl="0" w:tentative="0">
      <w:start w:val="1"/>
      <w:numFmt w:val="decimal"/>
      <w:lvlText w:val="%1"/>
      <w:lvlJc w:val="left"/>
      <w:pPr>
        <w:tabs>
          <w:tab w:val="left" w:pos="420"/>
        </w:tabs>
        <w:ind w:left="420" w:hanging="420"/>
      </w:pPr>
      <w:rPr>
        <w:rFonts w:hint="default"/>
        <w:u w:val="none"/>
      </w:rPr>
    </w:lvl>
    <w:lvl w:ilvl="1" w:tentative="0">
      <w:start w:val="1"/>
      <w:numFmt w:val="lowerLetter"/>
      <w:lvlText w:val="%2)"/>
      <w:lvlJc w:val="left"/>
      <w:pPr>
        <w:tabs>
          <w:tab w:val="left" w:pos="840"/>
        </w:tabs>
        <w:ind w:left="840" w:hanging="420"/>
      </w:pPr>
      <w:rPr>
        <w:rFonts w:hint="default"/>
        <w:u w:val="none"/>
      </w:rPr>
    </w:lvl>
    <w:lvl w:ilvl="2" w:tentative="0">
      <w:start w:val="1"/>
      <w:numFmt w:val="lowerRoman"/>
      <w:lvlText w:val="%3."/>
      <w:lvlJc w:val="right"/>
      <w:pPr>
        <w:tabs>
          <w:tab w:val="left" w:pos="1260"/>
        </w:tabs>
        <w:ind w:left="1260" w:hanging="420"/>
      </w:pPr>
      <w:rPr>
        <w:rFonts w:hint="default"/>
        <w:u w:val="none"/>
      </w:rPr>
    </w:lvl>
    <w:lvl w:ilvl="3" w:tentative="0">
      <w:start w:val="1"/>
      <w:numFmt w:val="decimal"/>
      <w:lvlText w:val="%4."/>
      <w:lvlJc w:val="left"/>
      <w:pPr>
        <w:tabs>
          <w:tab w:val="left" w:pos="1680"/>
        </w:tabs>
        <w:ind w:left="1680" w:hanging="420"/>
      </w:pPr>
      <w:rPr>
        <w:rFonts w:hint="default"/>
        <w:u w:val="none"/>
      </w:rPr>
    </w:lvl>
    <w:lvl w:ilvl="4" w:tentative="0">
      <w:start w:val="1"/>
      <w:numFmt w:val="lowerLetter"/>
      <w:lvlText w:val="%5)"/>
      <w:lvlJc w:val="left"/>
      <w:pPr>
        <w:tabs>
          <w:tab w:val="left" w:pos="2100"/>
        </w:tabs>
        <w:ind w:left="2100" w:hanging="420"/>
      </w:pPr>
      <w:rPr>
        <w:rFonts w:hint="default"/>
        <w:u w:val="none"/>
      </w:rPr>
    </w:lvl>
    <w:lvl w:ilvl="5" w:tentative="0">
      <w:start w:val="1"/>
      <w:numFmt w:val="lowerRoman"/>
      <w:lvlText w:val="%6."/>
      <w:lvlJc w:val="right"/>
      <w:pPr>
        <w:tabs>
          <w:tab w:val="left" w:pos="2520"/>
        </w:tabs>
        <w:ind w:left="2520" w:hanging="420"/>
      </w:pPr>
      <w:rPr>
        <w:rFonts w:hint="default"/>
        <w:u w:val="none"/>
      </w:rPr>
    </w:lvl>
    <w:lvl w:ilvl="6" w:tentative="0">
      <w:start w:val="1"/>
      <w:numFmt w:val="decimal"/>
      <w:lvlText w:val="%7."/>
      <w:lvlJc w:val="left"/>
      <w:pPr>
        <w:tabs>
          <w:tab w:val="left" w:pos="2940"/>
        </w:tabs>
        <w:ind w:left="2940" w:hanging="420"/>
      </w:pPr>
      <w:rPr>
        <w:rFonts w:hint="default"/>
        <w:u w:val="none"/>
      </w:rPr>
    </w:lvl>
    <w:lvl w:ilvl="7" w:tentative="0">
      <w:start w:val="1"/>
      <w:numFmt w:val="lowerLetter"/>
      <w:lvlText w:val="%8)"/>
      <w:lvlJc w:val="left"/>
      <w:pPr>
        <w:tabs>
          <w:tab w:val="left" w:pos="3360"/>
        </w:tabs>
        <w:ind w:left="3360" w:hanging="420"/>
      </w:pPr>
      <w:rPr>
        <w:rFonts w:hint="default"/>
        <w:u w:val="none"/>
      </w:rPr>
    </w:lvl>
    <w:lvl w:ilvl="8" w:tentative="0">
      <w:start w:val="1"/>
      <w:numFmt w:val="lowerRoman"/>
      <w:lvlText w:val="%9."/>
      <w:lvlJc w:val="right"/>
      <w:pPr>
        <w:tabs>
          <w:tab w:val="left" w:pos="3780"/>
        </w:tabs>
        <w:ind w:left="3780" w:hanging="420"/>
      </w:pPr>
      <w:rPr>
        <w:rFonts w:hint="default"/>
        <w:u w:val="none"/>
      </w:rPr>
    </w:lvl>
  </w:abstractNum>
  <w:abstractNum w:abstractNumId="50">
    <w:nsid w:val="000856F6"/>
    <w:multiLevelType w:val="multilevel"/>
    <w:tmpl w:val="000856F6"/>
    <w:lvl w:ilvl="0" w:tentative="0">
      <w:start w:val="1"/>
      <w:numFmt w:val="lowerLetter"/>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1">
    <w:nsid w:val="021A48D1"/>
    <w:multiLevelType w:val="multilevel"/>
    <w:tmpl w:val="021A48D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2">
    <w:nsid w:val="0785E735"/>
    <w:multiLevelType w:val="multilevel"/>
    <w:tmpl w:val="0785E735"/>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08B77D56"/>
    <w:multiLevelType w:val="multilevel"/>
    <w:tmpl w:val="08B77D56"/>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4">
    <w:nsid w:val="0B0E3DC4"/>
    <w:multiLevelType w:val="multilevel"/>
    <w:tmpl w:val="0B0E3DC4"/>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55">
    <w:nsid w:val="0B2C5A1C"/>
    <w:multiLevelType w:val="multilevel"/>
    <w:tmpl w:val="0B2C5A1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0B59E7A0"/>
    <w:multiLevelType w:val="multilevel"/>
    <w:tmpl w:val="0B59E7A0"/>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4.4.%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7">
    <w:nsid w:val="0F229F2A"/>
    <w:multiLevelType w:val="multilevel"/>
    <w:tmpl w:val="0F229F2A"/>
    <w:lvl w:ilvl="0" w:tentative="0">
      <w:start w:val="1"/>
      <w:numFmt w:val="decimal"/>
      <w:lvlText w:val="%1"/>
      <w:lvlJc w:val="left"/>
      <w:pPr>
        <w:ind w:left="425" w:hanging="425"/>
      </w:pPr>
      <w:rPr>
        <w:rFonts w:hint="eastAsia"/>
      </w:rPr>
    </w:lvl>
    <w:lvl w:ilvl="1" w:tentative="0">
      <w:start w:val="1"/>
      <w:numFmt w:val="decimal"/>
      <w:lvlText w:val="4.%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8">
    <w:nsid w:val="125CD9B5"/>
    <w:multiLevelType w:val="multilevel"/>
    <w:tmpl w:val="125CD9B5"/>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14DE8C78"/>
    <w:multiLevelType w:val="multilevel"/>
    <w:tmpl w:val="14DE8C78"/>
    <w:lvl w:ilvl="0" w:tentative="0">
      <w:start w:val="1"/>
      <w:numFmt w:val="decimal"/>
      <w:lvlText w:val="%1"/>
      <w:lvlJc w:val="left"/>
      <w:pPr>
        <w:ind w:left="425" w:hanging="425"/>
      </w:pPr>
      <w:rPr>
        <w:rFonts w:hint="eastAsia"/>
      </w:rPr>
    </w:lvl>
    <w:lvl w:ilvl="1" w:tentative="0">
      <w:start w:val="1"/>
      <w:numFmt w:val="decimal"/>
      <w:lvlText w:val="6.%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0">
    <w:nsid w:val="167B1220"/>
    <w:multiLevelType w:val="multilevel"/>
    <w:tmpl w:val="167B1220"/>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18A94718"/>
    <w:multiLevelType w:val="multilevel"/>
    <w:tmpl w:val="18A94718"/>
    <w:lvl w:ilvl="0" w:tentative="0">
      <w:start w:val="1"/>
      <w:numFmt w:val="upperLetter"/>
      <w:lvlText w:val="%1、"/>
      <w:lvlJc w:val="left"/>
      <w:pPr>
        <w:tabs>
          <w:tab w:val="left" w:pos="720"/>
        </w:tabs>
        <w:ind w:left="720" w:hanging="360"/>
      </w:pPr>
      <w:rPr>
        <w:rFonts w:ascii="宋体" w:hAnsi="宋体" w:eastAsia="宋体" w:cs="Times New Roman"/>
      </w:rPr>
    </w:lvl>
    <w:lvl w:ilvl="1" w:tentative="0">
      <w:start w:val="1"/>
      <w:numFmt w:val="lowerLetter"/>
      <w:lvlText w:val="%2."/>
      <w:lvlJc w:val="left"/>
      <w:pPr>
        <w:tabs>
          <w:tab w:val="left" w:pos="1140"/>
        </w:tabs>
        <w:ind w:left="1140" w:hanging="360"/>
      </w:pPr>
      <w:rPr>
        <w:rFonts w:hint="default"/>
      </w:rPr>
    </w:lvl>
    <w:lvl w:ilvl="2" w:tentative="0">
      <w:start w:val="1"/>
      <w:numFmt w:val="lowerLetter"/>
      <w:lvlText w:val="%3）"/>
      <w:lvlJc w:val="left"/>
      <w:pPr>
        <w:ind w:left="1560" w:hanging="360"/>
      </w:pPr>
      <w:rPr>
        <w:rFonts w:hint="default"/>
      </w:r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62">
    <w:nsid w:val="18B9364A"/>
    <w:multiLevelType w:val="multilevel"/>
    <w:tmpl w:val="18B9364A"/>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63">
    <w:nsid w:val="1A765114"/>
    <w:multiLevelType w:val="multilevel"/>
    <w:tmpl w:val="1A765114"/>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7.8.%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4">
    <w:nsid w:val="1C6925B8"/>
    <w:multiLevelType w:val="multilevel"/>
    <w:tmpl w:val="1C6925B8"/>
    <w:lvl w:ilvl="0" w:tentative="0">
      <w:start w:val="1"/>
      <w:numFmt w:val="decimal"/>
      <w:suff w:val="space"/>
      <w:lvlText w:val="%1."/>
      <w:lvlJc w:val="left"/>
      <w:pPr>
        <w:ind w:left="222" w:firstLine="0"/>
      </w:pPr>
      <w:rPr>
        <w:rFonts w:hint="eastAsia"/>
        <w:color w:val="auto"/>
      </w:rPr>
    </w:lvl>
    <w:lvl w:ilvl="1" w:tentative="0">
      <w:start w:val="1"/>
      <w:numFmt w:val="lowerLetter"/>
      <w:lvlText w:val="%2)"/>
      <w:lvlJc w:val="left"/>
      <w:pPr>
        <w:ind w:left="461" w:hanging="440"/>
      </w:pPr>
    </w:lvl>
    <w:lvl w:ilvl="2" w:tentative="0">
      <w:start w:val="1"/>
      <w:numFmt w:val="lowerRoman"/>
      <w:lvlText w:val="%3."/>
      <w:lvlJc w:val="right"/>
      <w:pPr>
        <w:ind w:left="901" w:hanging="440"/>
      </w:pPr>
    </w:lvl>
    <w:lvl w:ilvl="3" w:tentative="0">
      <w:start w:val="1"/>
      <w:numFmt w:val="decimal"/>
      <w:lvlText w:val="%4."/>
      <w:lvlJc w:val="left"/>
      <w:pPr>
        <w:ind w:left="1341" w:hanging="440"/>
      </w:pPr>
    </w:lvl>
    <w:lvl w:ilvl="4" w:tentative="0">
      <w:start w:val="1"/>
      <w:numFmt w:val="lowerLetter"/>
      <w:lvlText w:val="%5)"/>
      <w:lvlJc w:val="left"/>
      <w:pPr>
        <w:ind w:left="1781" w:hanging="440"/>
      </w:pPr>
    </w:lvl>
    <w:lvl w:ilvl="5" w:tentative="0">
      <w:start w:val="1"/>
      <w:numFmt w:val="lowerRoman"/>
      <w:lvlText w:val="%6."/>
      <w:lvlJc w:val="right"/>
      <w:pPr>
        <w:ind w:left="2221" w:hanging="440"/>
      </w:pPr>
    </w:lvl>
    <w:lvl w:ilvl="6" w:tentative="0">
      <w:start w:val="1"/>
      <w:numFmt w:val="decimal"/>
      <w:lvlText w:val="%7."/>
      <w:lvlJc w:val="left"/>
      <w:pPr>
        <w:ind w:left="2661" w:hanging="440"/>
      </w:pPr>
    </w:lvl>
    <w:lvl w:ilvl="7" w:tentative="0">
      <w:start w:val="1"/>
      <w:numFmt w:val="lowerLetter"/>
      <w:lvlText w:val="%8)"/>
      <w:lvlJc w:val="left"/>
      <w:pPr>
        <w:ind w:left="3101" w:hanging="440"/>
      </w:pPr>
    </w:lvl>
    <w:lvl w:ilvl="8" w:tentative="0">
      <w:start w:val="1"/>
      <w:numFmt w:val="lowerRoman"/>
      <w:lvlText w:val="%9."/>
      <w:lvlJc w:val="right"/>
      <w:pPr>
        <w:ind w:left="3541" w:hanging="440"/>
      </w:pPr>
    </w:lvl>
  </w:abstractNum>
  <w:abstractNum w:abstractNumId="65">
    <w:nsid w:val="1D85293F"/>
    <w:multiLevelType w:val="multilevel"/>
    <w:tmpl w:val="1D85293F"/>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6">
    <w:nsid w:val="1E417B57"/>
    <w:multiLevelType w:val="multilevel"/>
    <w:tmpl w:val="1E417B57"/>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20D2348B"/>
    <w:multiLevelType w:val="singleLevel"/>
    <w:tmpl w:val="20D2348B"/>
    <w:lvl w:ilvl="0" w:tentative="0">
      <w:start w:val="1"/>
      <w:numFmt w:val="chineseCounting"/>
      <w:suff w:val="nothing"/>
      <w:lvlText w:val="（%1）"/>
      <w:lvlJc w:val="left"/>
      <w:rPr>
        <w:rFonts w:hint="eastAsia"/>
      </w:rPr>
    </w:lvl>
  </w:abstractNum>
  <w:abstractNum w:abstractNumId="68">
    <w:nsid w:val="22E429FE"/>
    <w:multiLevelType w:val="multilevel"/>
    <w:tmpl w:val="22E429F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9">
    <w:nsid w:val="27F49B4B"/>
    <w:multiLevelType w:val="multilevel"/>
    <w:tmpl w:val="27F49B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566" w:hanging="566"/>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0">
    <w:nsid w:val="29711071"/>
    <w:multiLevelType w:val="multilevel"/>
    <w:tmpl w:val="2971107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1">
    <w:nsid w:val="2974A4AF"/>
    <w:multiLevelType w:val="multilevel"/>
    <w:tmpl w:val="2974A4AF"/>
    <w:lvl w:ilvl="0" w:tentative="0">
      <w:start w:val="1"/>
      <w:numFmt w:val="decimal"/>
      <w:lvlText w:val="%1"/>
      <w:lvlJc w:val="left"/>
      <w:pPr>
        <w:ind w:left="425" w:hanging="425"/>
      </w:pPr>
      <w:rPr>
        <w:rFonts w:hint="eastAsia"/>
      </w:rPr>
    </w:lvl>
    <w:lvl w:ilvl="1" w:tentative="0">
      <w:start w:val="1"/>
      <w:numFmt w:val="decimal"/>
      <w:lvlText w:val="3.%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2">
    <w:nsid w:val="2C353541"/>
    <w:multiLevelType w:val="multilevel"/>
    <w:tmpl w:val="2C35354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2F402743"/>
    <w:multiLevelType w:val="multilevel"/>
    <w:tmpl w:val="2F402743"/>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4.4.%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4">
    <w:nsid w:val="2FB91505"/>
    <w:multiLevelType w:val="multilevel"/>
    <w:tmpl w:val="2FB91505"/>
    <w:lvl w:ilvl="0" w:tentative="0">
      <w:start w:val="1"/>
      <w:numFmt w:val="upperLetter"/>
      <w:lvlText w:val="%1、"/>
      <w:lvlJc w:val="left"/>
      <w:pPr>
        <w:tabs>
          <w:tab w:val="left" w:pos="720"/>
        </w:tabs>
        <w:ind w:left="720" w:hanging="360"/>
      </w:pPr>
      <w:rPr>
        <w:rFonts w:ascii="宋体" w:hAnsi="宋体" w:eastAsia="宋体" w:cs="Times New Roman"/>
      </w:rPr>
    </w:lvl>
    <w:lvl w:ilvl="1" w:tentative="0">
      <w:start w:val="1"/>
      <w:numFmt w:val="lowerLetter"/>
      <w:lvlText w:val="%2."/>
      <w:lvlJc w:val="left"/>
      <w:pPr>
        <w:tabs>
          <w:tab w:val="left" w:pos="1140"/>
        </w:tabs>
        <w:ind w:left="1140" w:hanging="360"/>
      </w:pPr>
      <w:rPr>
        <w:rFonts w:hint="default"/>
      </w:rPr>
    </w:lvl>
    <w:lvl w:ilvl="2" w:tentative="0">
      <w:start w:val="1"/>
      <w:numFmt w:val="lowerLetter"/>
      <w:lvlText w:val="%3）"/>
      <w:lvlJc w:val="left"/>
      <w:pPr>
        <w:ind w:left="1560" w:hanging="360"/>
      </w:pPr>
      <w:rPr>
        <w:rFonts w:hint="default"/>
      </w:r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75">
    <w:nsid w:val="31D2F208"/>
    <w:multiLevelType w:val="multilevel"/>
    <w:tmpl w:val="31D2F20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34C77AB7"/>
    <w:multiLevelType w:val="multilevel"/>
    <w:tmpl w:val="34C77AB7"/>
    <w:lvl w:ilvl="0" w:tentative="0">
      <w:start w:val="1"/>
      <w:numFmt w:val="decimal"/>
      <w:lvlText w:val="%1)"/>
      <w:lvlJc w:val="left"/>
      <w:pPr>
        <w:ind w:left="1854" w:hanging="360"/>
      </w:pPr>
    </w:lvl>
    <w:lvl w:ilvl="1" w:tentative="0">
      <w:start w:val="1"/>
      <w:numFmt w:val="lowerLetter"/>
      <w:lvlText w:val="%2."/>
      <w:lvlJc w:val="left"/>
      <w:pPr>
        <w:ind w:left="840"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77">
    <w:nsid w:val="35E47BEF"/>
    <w:multiLevelType w:val="multilevel"/>
    <w:tmpl w:val="35E47BEF"/>
    <w:lvl w:ilvl="0" w:tentative="0">
      <w:start w:val="1"/>
      <w:numFmt w:val="decimal"/>
      <w:lvlText w:val="%1"/>
      <w:lvlJc w:val="left"/>
      <w:pPr>
        <w:ind w:left="425" w:hanging="425"/>
      </w:pPr>
      <w:rPr>
        <w:rFonts w:hint="eastAsia"/>
      </w:rPr>
    </w:lvl>
    <w:lvl w:ilvl="1" w:tentative="0">
      <w:start w:val="1"/>
      <w:numFmt w:val="decimal"/>
      <w:suff w:val="space"/>
      <w:lvlText w:val="7.%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8">
    <w:nsid w:val="36952003"/>
    <w:multiLevelType w:val="multilevel"/>
    <w:tmpl w:val="36952003"/>
    <w:lvl w:ilvl="0" w:tentative="0">
      <w:start w:val="1"/>
      <w:numFmt w:val="decimal"/>
      <w:lvlText w:val="%1"/>
      <w:lvlJc w:val="left"/>
      <w:pPr>
        <w:ind w:left="425" w:hanging="425"/>
      </w:pPr>
      <w:rPr>
        <w:rFonts w:hint="eastAsia"/>
      </w:rPr>
    </w:lvl>
    <w:lvl w:ilvl="1" w:tentative="0">
      <w:start w:val="1"/>
      <w:numFmt w:val="decimal"/>
      <w:lvlText w:val="6.%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9">
    <w:nsid w:val="37428093"/>
    <w:multiLevelType w:val="multilevel"/>
    <w:tmpl w:val="37428093"/>
    <w:lvl w:ilvl="0" w:tentative="0">
      <w:start w:val="1"/>
      <w:numFmt w:val="decimal"/>
      <w:lvlText w:val="%1"/>
      <w:lvlJc w:val="left"/>
      <w:pPr>
        <w:ind w:left="425" w:hanging="425"/>
      </w:pPr>
      <w:rPr>
        <w:rFonts w:hint="eastAsia"/>
      </w:rPr>
    </w:lvl>
    <w:lvl w:ilvl="1" w:tentative="0">
      <w:start w:val="1"/>
      <w:numFmt w:val="decimal"/>
      <w:lvlText w:val="7.%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0">
    <w:nsid w:val="37852693"/>
    <w:multiLevelType w:val="multilevel"/>
    <w:tmpl w:val="3785269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3A923125"/>
    <w:multiLevelType w:val="multilevel"/>
    <w:tmpl w:val="3A923125"/>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2">
    <w:nsid w:val="3F525D9F"/>
    <w:multiLevelType w:val="multilevel"/>
    <w:tmpl w:val="3F525D9F"/>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83">
    <w:nsid w:val="3F6FA152"/>
    <w:multiLevelType w:val="multilevel"/>
    <w:tmpl w:val="3F6FA152"/>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5.9.%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4">
    <w:nsid w:val="3F88662E"/>
    <w:multiLevelType w:val="singleLevel"/>
    <w:tmpl w:val="3F88662E"/>
    <w:lvl w:ilvl="0" w:tentative="0">
      <w:start w:val="1"/>
      <w:numFmt w:val="decimal"/>
      <w:suff w:val="space"/>
      <w:lvlText w:val="%1)"/>
      <w:lvlJc w:val="left"/>
    </w:lvl>
  </w:abstractNum>
  <w:abstractNum w:abstractNumId="85">
    <w:nsid w:val="3F8B7ACD"/>
    <w:multiLevelType w:val="multilevel"/>
    <w:tmpl w:val="3F8B7AC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40D50699"/>
    <w:multiLevelType w:val="multilevel"/>
    <w:tmpl w:val="40D50699"/>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7">
    <w:nsid w:val="41652261"/>
    <w:multiLevelType w:val="multilevel"/>
    <w:tmpl w:val="41652261"/>
    <w:lvl w:ilvl="0" w:tentative="0">
      <w:start w:val="1"/>
      <w:numFmt w:val="decimal"/>
      <w:lvlText w:val="%1"/>
      <w:lvlJc w:val="left"/>
      <w:pPr>
        <w:ind w:left="425" w:hanging="425"/>
      </w:pPr>
      <w:rPr>
        <w:rFonts w:hint="eastAsia"/>
      </w:rPr>
    </w:lvl>
    <w:lvl w:ilvl="1" w:tentative="0">
      <w:start w:val="1"/>
      <w:numFmt w:val="decimal"/>
      <w:lvlText w:val="6.%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8">
    <w:nsid w:val="42D80B27"/>
    <w:multiLevelType w:val="multilevel"/>
    <w:tmpl w:val="42D80B27"/>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4.4.%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9">
    <w:nsid w:val="446465A4"/>
    <w:multiLevelType w:val="multilevel"/>
    <w:tmpl w:val="446465A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4616CE23"/>
    <w:multiLevelType w:val="multilevel"/>
    <w:tmpl w:val="4616CE23"/>
    <w:lvl w:ilvl="0" w:tentative="0">
      <w:start w:val="1"/>
      <w:numFmt w:val="decimal"/>
      <w:suff w:val="space"/>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490336BC"/>
    <w:multiLevelType w:val="multilevel"/>
    <w:tmpl w:val="490336BC"/>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4C343CD9"/>
    <w:multiLevelType w:val="multilevel"/>
    <w:tmpl w:val="4C343CD9"/>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3">
    <w:nsid w:val="4CCC6A40"/>
    <w:multiLevelType w:val="multilevel"/>
    <w:tmpl w:val="4CCC6A40"/>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4">
    <w:nsid w:val="4E53C5D7"/>
    <w:multiLevelType w:val="singleLevel"/>
    <w:tmpl w:val="4E53C5D7"/>
    <w:lvl w:ilvl="0" w:tentative="0">
      <w:start w:val="1"/>
      <w:numFmt w:val="chineseCounting"/>
      <w:suff w:val="nothing"/>
      <w:lvlText w:val="（%1）"/>
      <w:lvlJc w:val="left"/>
      <w:pPr>
        <w:ind w:left="0" w:firstLine="420"/>
      </w:pPr>
      <w:rPr>
        <w:rFonts w:hint="eastAsia"/>
      </w:rPr>
    </w:lvl>
  </w:abstractNum>
  <w:abstractNum w:abstractNumId="95">
    <w:nsid w:val="50FBD7EA"/>
    <w:multiLevelType w:val="multilevel"/>
    <w:tmpl w:val="50FBD7E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53FD9A23"/>
    <w:multiLevelType w:val="multilevel"/>
    <w:tmpl w:val="53FD9A23"/>
    <w:lvl w:ilvl="0" w:tentative="0">
      <w:start w:val="1"/>
      <w:numFmt w:val="decimal"/>
      <w:lvlText w:val="%1)"/>
      <w:lvlJc w:val="left"/>
      <w:pPr>
        <w:ind w:left="1854" w:hanging="360"/>
      </w:pPr>
    </w:lvl>
    <w:lvl w:ilvl="1" w:tentative="0">
      <w:start w:val="1"/>
      <w:numFmt w:val="lowerLetter"/>
      <w:lvlText w:val="%2."/>
      <w:lvlJc w:val="left"/>
      <w:pPr>
        <w:ind w:left="840"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97">
    <w:nsid w:val="54935D27"/>
    <w:multiLevelType w:val="multilevel"/>
    <w:tmpl w:val="54935D27"/>
    <w:lvl w:ilvl="0" w:tentative="0">
      <w:start w:val="1"/>
      <w:numFmt w:val="upperLetter"/>
      <w:lvlText w:val="%1、"/>
      <w:lvlJc w:val="left"/>
      <w:pPr>
        <w:tabs>
          <w:tab w:val="left" w:pos="720"/>
        </w:tabs>
        <w:ind w:left="720" w:hanging="360"/>
      </w:pPr>
      <w:rPr>
        <w:rFonts w:ascii="宋体" w:hAnsi="宋体" w:eastAsia="宋体" w:cs="Times New Roman"/>
      </w:rPr>
    </w:lvl>
    <w:lvl w:ilvl="1" w:tentative="0">
      <w:start w:val="1"/>
      <w:numFmt w:val="lowerLetter"/>
      <w:lvlText w:val="%2."/>
      <w:lvlJc w:val="left"/>
      <w:pPr>
        <w:tabs>
          <w:tab w:val="left" w:pos="1140"/>
        </w:tabs>
        <w:ind w:left="1140" w:hanging="360"/>
      </w:pPr>
      <w:rPr>
        <w:rFonts w:hint="default"/>
      </w:rPr>
    </w:lvl>
    <w:lvl w:ilvl="2" w:tentative="0">
      <w:start w:val="1"/>
      <w:numFmt w:val="lowerLetter"/>
      <w:lvlText w:val="%3）"/>
      <w:lvlJc w:val="left"/>
      <w:pPr>
        <w:ind w:left="1560" w:hanging="360"/>
      </w:pPr>
      <w:rPr>
        <w:rFonts w:hint="default"/>
      </w:r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98">
    <w:nsid w:val="565FA5D3"/>
    <w:multiLevelType w:val="singleLevel"/>
    <w:tmpl w:val="565FA5D3"/>
    <w:lvl w:ilvl="0" w:tentative="0">
      <w:start w:val="1"/>
      <w:numFmt w:val="chineseCounting"/>
      <w:suff w:val="space"/>
      <w:lvlText w:val="第%1章"/>
      <w:lvlJc w:val="left"/>
      <w:rPr>
        <w:rFonts w:hint="eastAsia"/>
      </w:rPr>
    </w:lvl>
  </w:abstractNum>
  <w:abstractNum w:abstractNumId="99">
    <w:nsid w:val="57133F65"/>
    <w:multiLevelType w:val="multilevel"/>
    <w:tmpl w:val="57133F65"/>
    <w:lvl w:ilvl="0" w:tentative="0">
      <w:start w:val="1"/>
      <w:numFmt w:val="decimal"/>
      <w:pStyle w:val="94"/>
      <w:lvlText w:val="第%1章 "/>
      <w:lvlJc w:val="left"/>
      <w:pPr>
        <w:tabs>
          <w:tab w:val="left" w:pos="425"/>
        </w:tabs>
        <w:ind w:left="425" w:hanging="425"/>
      </w:pPr>
      <w:rPr>
        <w:rFonts w:hint="eastAsia"/>
      </w:rPr>
    </w:lvl>
    <w:lvl w:ilvl="1" w:tentative="0">
      <w:start w:val="1"/>
      <w:numFmt w:val="decimal"/>
      <w:lvlText w:val="%1.%2 "/>
      <w:lvlJc w:val="left"/>
      <w:pPr>
        <w:tabs>
          <w:tab w:val="left" w:pos="567"/>
        </w:tabs>
        <w:ind w:left="567" w:hanging="567"/>
      </w:pPr>
      <w:rPr>
        <w:rFonts w:hint="eastAsia"/>
      </w:rPr>
    </w:lvl>
    <w:lvl w:ilvl="2" w:tentative="0">
      <w:start w:val="1"/>
      <w:numFmt w:val="decimal"/>
      <w:lvlText w:val="%1.%2.%3 "/>
      <w:lvlJc w:val="left"/>
      <w:pPr>
        <w:tabs>
          <w:tab w:val="left" w:pos="709"/>
        </w:tabs>
        <w:ind w:left="709" w:hanging="709"/>
      </w:pPr>
      <w:rPr>
        <w:rFonts w:hint="eastAsia"/>
      </w:rPr>
    </w:lvl>
    <w:lvl w:ilvl="3" w:tentative="0">
      <w:start w:val="1"/>
      <w:numFmt w:val="decimal"/>
      <w:lvlText w:val="%1.%2.%3.%4 "/>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0">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1">
    <w:nsid w:val="58EAE56A"/>
    <w:multiLevelType w:val="singleLevel"/>
    <w:tmpl w:val="58EAE56A"/>
    <w:lvl w:ilvl="0" w:tentative="0">
      <w:start w:val="1"/>
      <w:numFmt w:val="lowerLetter"/>
      <w:lvlText w:val="%1."/>
      <w:lvlJc w:val="left"/>
      <w:pPr>
        <w:ind w:left="425" w:hanging="425"/>
      </w:pPr>
      <w:rPr>
        <w:rFonts w:hint="default"/>
      </w:rPr>
    </w:lvl>
  </w:abstractNum>
  <w:abstractNum w:abstractNumId="102">
    <w:nsid w:val="59031B2E"/>
    <w:multiLevelType w:val="multilevel"/>
    <w:tmpl w:val="59031B2E"/>
    <w:lvl w:ilvl="0" w:tentative="0">
      <w:start w:val="1"/>
      <w:numFmt w:val="decimal"/>
      <w:lvlText w:val="（%1）"/>
      <w:lvlJc w:val="left"/>
      <w:pPr>
        <w:tabs>
          <w:tab w:val="left" w:pos="2295"/>
        </w:tabs>
        <w:ind w:left="2295" w:hanging="139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3">
    <w:nsid w:val="59C5D728"/>
    <w:multiLevelType w:val="singleLevel"/>
    <w:tmpl w:val="59C5D728"/>
    <w:lvl w:ilvl="0" w:tentative="0">
      <w:start w:val="1"/>
      <w:numFmt w:val="chineseCounting"/>
      <w:suff w:val="nothing"/>
      <w:lvlText w:val="%1、"/>
      <w:lvlJc w:val="left"/>
      <w:pPr>
        <w:ind w:left="0" w:firstLine="420"/>
      </w:pPr>
      <w:rPr>
        <w:rFonts w:hint="eastAsia"/>
      </w:rPr>
    </w:lvl>
  </w:abstractNum>
  <w:abstractNum w:abstractNumId="104">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5">
    <w:nsid w:val="5CAE3ECC"/>
    <w:multiLevelType w:val="multilevel"/>
    <w:tmpl w:val="5CAE3EC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6">
    <w:nsid w:val="5D1539A1"/>
    <w:multiLevelType w:val="multilevel"/>
    <w:tmpl w:val="5D1539A1"/>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07">
    <w:nsid w:val="5E77467F"/>
    <w:multiLevelType w:val="multilevel"/>
    <w:tmpl w:val="5E77467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8">
    <w:nsid w:val="5F187CD4"/>
    <w:multiLevelType w:val="multilevel"/>
    <w:tmpl w:val="5F187CD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9">
    <w:nsid w:val="608C20C8"/>
    <w:multiLevelType w:val="multilevel"/>
    <w:tmpl w:val="608C20C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0">
    <w:nsid w:val="66FE649F"/>
    <w:multiLevelType w:val="multilevel"/>
    <w:tmpl w:val="66FE649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1">
    <w:nsid w:val="6B1161FA"/>
    <w:multiLevelType w:val="multilevel"/>
    <w:tmpl w:val="6B1161FA"/>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4.5.%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2">
    <w:nsid w:val="6CC3B8B0"/>
    <w:multiLevelType w:val="multilevel"/>
    <w:tmpl w:val="6CC3B8B0"/>
    <w:lvl w:ilvl="0" w:tentative="0">
      <w:start w:val="1"/>
      <w:numFmt w:val="decimal"/>
      <w:suff w:val="nothing"/>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3">
    <w:nsid w:val="6E229327"/>
    <w:multiLevelType w:val="multilevel"/>
    <w:tmpl w:val="6E229327"/>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7.9.%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4">
    <w:nsid w:val="6EF2BD64"/>
    <w:multiLevelType w:val="multilevel"/>
    <w:tmpl w:val="6EF2BD64"/>
    <w:lvl w:ilvl="0" w:tentative="0">
      <w:start w:val="1"/>
      <w:numFmt w:val="decimal"/>
      <w:lvlText w:val="%1"/>
      <w:lvlJc w:val="left"/>
      <w:pPr>
        <w:ind w:left="425" w:hanging="425"/>
      </w:pPr>
      <w:rPr>
        <w:rFonts w:hint="eastAsia"/>
      </w:rPr>
    </w:lvl>
    <w:lvl w:ilvl="1" w:tentative="0">
      <w:start w:val="1"/>
      <w:numFmt w:val="decimal"/>
      <w:lvlText w:val="3.%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5">
    <w:nsid w:val="70B92AA1"/>
    <w:multiLevelType w:val="multilevel"/>
    <w:tmpl w:val="70B92AA1"/>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6">
    <w:nsid w:val="72311A72"/>
    <w:multiLevelType w:val="multilevel"/>
    <w:tmpl w:val="72311A72"/>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bullet"/>
      <w:lvlText w:val=""/>
      <w:lvlJc w:val="left"/>
      <w:pPr>
        <w:tabs>
          <w:tab w:val="left" w:pos="1260"/>
        </w:tabs>
        <w:ind w:left="1714" w:hanging="454"/>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7">
    <w:nsid w:val="75400E1C"/>
    <w:multiLevelType w:val="multilevel"/>
    <w:tmpl w:val="75400E1C"/>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7.8.%3"/>
      <w:lvlJc w:val="left"/>
      <w:pPr>
        <w:ind w:left="1418" w:hanging="567"/>
      </w:pPr>
      <w:rPr>
        <w:rFonts w:hint="default" w:ascii="宋体" w:hAnsi="宋体" w:eastAsia="宋体" w:cs="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8">
    <w:nsid w:val="759064BD"/>
    <w:multiLevelType w:val="multilevel"/>
    <w:tmpl w:val="759064B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9">
    <w:nsid w:val="75D241D3"/>
    <w:multiLevelType w:val="multilevel"/>
    <w:tmpl w:val="75D241D3"/>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20">
    <w:nsid w:val="7615DEAC"/>
    <w:multiLevelType w:val="multilevel"/>
    <w:tmpl w:val="7615DEAC"/>
    <w:lvl w:ilvl="0" w:tentative="0">
      <w:start w:val="1"/>
      <w:numFmt w:val="decimal"/>
      <w:lvlText w:val="%1"/>
      <w:lvlJc w:val="left"/>
      <w:pPr>
        <w:ind w:left="425" w:hanging="425"/>
      </w:pPr>
      <w:rPr>
        <w:rFonts w:hint="eastAsia"/>
      </w:rPr>
    </w:lvl>
    <w:lvl w:ilvl="1" w:tentative="0">
      <w:start w:val="1"/>
      <w:numFmt w:val="decimal"/>
      <w:lvlText w:val="5.%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1">
    <w:nsid w:val="76551CFC"/>
    <w:multiLevelType w:val="multilevel"/>
    <w:tmpl w:val="76551CFC"/>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2">
    <w:nsid w:val="783A138A"/>
    <w:multiLevelType w:val="multilevel"/>
    <w:tmpl w:val="783A138A"/>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23">
    <w:nsid w:val="7952F2DB"/>
    <w:multiLevelType w:val="multilevel"/>
    <w:tmpl w:val="7952F2DB"/>
    <w:lvl w:ilvl="0" w:tentative="0">
      <w:start w:val="1"/>
      <w:numFmt w:val="decimal"/>
      <w:lvlText w:val="%1"/>
      <w:lvlJc w:val="left"/>
      <w:pPr>
        <w:ind w:left="425" w:hanging="425"/>
      </w:pPr>
      <w:rPr>
        <w:rFonts w:hint="eastAsia"/>
      </w:rPr>
    </w:lvl>
    <w:lvl w:ilvl="1" w:tentative="0">
      <w:start w:val="1"/>
      <w:numFmt w:val="decimal"/>
      <w:lvlText w:val="4.%2"/>
      <w:lvlJc w:val="left"/>
      <w:pPr>
        <w:ind w:left="992" w:hanging="567"/>
      </w:pPr>
      <w:rPr>
        <w:rFonts w:hint="default" w:ascii="宋体" w:hAnsi="宋体" w:eastAsia="宋体" w:cs="宋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4">
    <w:nsid w:val="7DD06C59"/>
    <w:multiLevelType w:val="multilevel"/>
    <w:tmpl w:val="7DD06C5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5">
    <w:nsid w:val="7EF2C5E7"/>
    <w:multiLevelType w:val="multilevel"/>
    <w:tmpl w:val="7EF2C5E7"/>
    <w:lvl w:ilvl="0" w:tentative="0">
      <w:start w:val="1"/>
      <w:numFmt w:val="decimal"/>
      <w:lvlText w:val="%1)"/>
      <w:lvlJc w:val="left"/>
      <w:pPr>
        <w:ind w:left="1854" w:hanging="360"/>
      </w:pPr>
    </w:lvl>
    <w:lvl w:ilvl="1" w:tentative="0">
      <w:start w:val="1"/>
      <w:numFmt w:val="lowerLetter"/>
      <w:lvlText w:val="%2."/>
      <w:lvlJc w:val="left"/>
      <w:pPr>
        <w:ind w:left="840"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126">
    <w:nsid w:val="7F83E277"/>
    <w:multiLevelType w:val="multilevel"/>
    <w:tmpl w:val="7F83E27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8"/>
  </w:num>
  <w:num w:numId="2">
    <w:abstractNumId w:val="99"/>
  </w:num>
  <w:num w:numId="3">
    <w:abstractNumId w:val="1"/>
  </w:num>
  <w:num w:numId="4">
    <w:abstractNumId w:val="98"/>
  </w:num>
  <w:num w:numId="5">
    <w:abstractNumId w:val="38"/>
  </w:num>
  <w:num w:numId="6">
    <w:abstractNumId w:val="112"/>
  </w:num>
  <w:num w:numId="7">
    <w:abstractNumId w:val="60"/>
  </w:num>
  <w:num w:numId="8">
    <w:abstractNumId w:val="44"/>
  </w:num>
  <w:num w:numId="9">
    <w:abstractNumId w:val="30"/>
  </w:num>
  <w:num w:numId="10">
    <w:abstractNumId w:val="35"/>
  </w:num>
  <w:num w:numId="11">
    <w:abstractNumId w:val="58"/>
  </w:num>
  <w:num w:numId="12">
    <w:abstractNumId w:val="72"/>
  </w:num>
  <w:num w:numId="13">
    <w:abstractNumId w:val="107"/>
  </w:num>
  <w:num w:numId="14">
    <w:abstractNumId w:val="105"/>
  </w:num>
  <w:num w:numId="15">
    <w:abstractNumId w:val="110"/>
  </w:num>
  <w:num w:numId="16">
    <w:abstractNumId w:val="6"/>
  </w:num>
  <w:num w:numId="17">
    <w:abstractNumId w:val="86"/>
  </w:num>
  <w:num w:numId="18">
    <w:abstractNumId w:val="70"/>
  </w:num>
  <w:num w:numId="19">
    <w:abstractNumId w:val="120"/>
  </w:num>
  <w:num w:numId="20">
    <w:abstractNumId w:val="16"/>
  </w:num>
  <w:num w:numId="21">
    <w:abstractNumId w:val="97"/>
  </w:num>
  <w:num w:numId="22">
    <w:abstractNumId w:val="74"/>
  </w:num>
  <w:num w:numId="23">
    <w:abstractNumId w:val="61"/>
  </w:num>
  <w:num w:numId="24">
    <w:abstractNumId w:val="78"/>
  </w:num>
  <w:num w:numId="25">
    <w:abstractNumId w:val="89"/>
  </w:num>
  <w:num w:numId="26">
    <w:abstractNumId w:val="76"/>
  </w:num>
  <w:num w:numId="27">
    <w:abstractNumId w:val="125"/>
  </w:num>
  <w:num w:numId="28">
    <w:abstractNumId w:val="118"/>
  </w:num>
  <w:num w:numId="29">
    <w:abstractNumId w:val="55"/>
  </w:num>
  <w:num w:numId="30">
    <w:abstractNumId w:val="85"/>
  </w:num>
  <w:num w:numId="31">
    <w:abstractNumId w:val="45"/>
  </w:num>
  <w:num w:numId="32">
    <w:abstractNumId w:val="95"/>
  </w:num>
  <w:num w:numId="33">
    <w:abstractNumId w:val="51"/>
  </w:num>
  <w:num w:numId="34">
    <w:abstractNumId w:val="63"/>
  </w:num>
  <w:num w:numId="35">
    <w:abstractNumId w:val="15"/>
  </w:num>
  <w:num w:numId="36">
    <w:abstractNumId w:val="19"/>
  </w:num>
  <w:num w:numId="37">
    <w:abstractNumId w:val="17"/>
  </w:num>
  <w:num w:numId="38">
    <w:abstractNumId w:val="9"/>
  </w:num>
  <w:num w:numId="39">
    <w:abstractNumId w:val="14"/>
  </w:num>
  <w:num w:numId="40">
    <w:abstractNumId w:val="73"/>
  </w:num>
  <w:num w:numId="41">
    <w:abstractNumId w:val="24"/>
  </w:num>
  <w:num w:numId="42">
    <w:abstractNumId w:val="3"/>
  </w:num>
  <w:num w:numId="43">
    <w:abstractNumId w:val="121"/>
  </w:num>
  <w:num w:numId="44">
    <w:abstractNumId w:val="88"/>
  </w:num>
  <w:num w:numId="45">
    <w:abstractNumId w:val="43"/>
  </w:num>
  <w:num w:numId="46">
    <w:abstractNumId w:val="21"/>
  </w:num>
  <w:num w:numId="47">
    <w:abstractNumId w:val="26"/>
  </w:num>
  <w:num w:numId="48">
    <w:abstractNumId w:val="108"/>
  </w:num>
  <w:num w:numId="49">
    <w:abstractNumId w:val="7"/>
  </w:num>
  <w:num w:numId="50">
    <w:abstractNumId w:val="87"/>
  </w:num>
  <w:num w:numId="51">
    <w:abstractNumId w:val="32"/>
  </w:num>
  <w:num w:numId="52">
    <w:abstractNumId w:val="96"/>
  </w:num>
  <w:num w:numId="53">
    <w:abstractNumId w:val="5"/>
  </w:num>
  <w:num w:numId="54">
    <w:abstractNumId w:val="115"/>
  </w:num>
  <w:num w:numId="55">
    <w:abstractNumId w:val="66"/>
  </w:num>
  <w:num w:numId="56">
    <w:abstractNumId w:val="52"/>
  </w:num>
  <w:num w:numId="57">
    <w:abstractNumId w:val="12"/>
  </w:num>
  <w:num w:numId="58">
    <w:abstractNumId w:val="91"/>
  </w:num>
  <w:num w:numId="59">
    <w:abstractNumId w:val="117"/>
  </w:num>
  <w:num w:numId="60">
    <w:abstractNumId w:val="41"/>
  </w:num>
  <w:num w:numId="61">
    <w:abstractNumId w:val="64"/>
  </w:num>
  <w:num w:numId="62">
    <w:abstractNumId w:val="4"/>
  </w:num>
  <w:num w:numId="63">
    <w:abstractNumId w:val="114"/>
  </w:num>
  <w:num w:numId="64">
    <w:abstractNumId w:val="123"/>
  </w:num>
  <w:num w:numId="65">
    <w:abstractNumId w:val="42"/>
  </w:num>
  <w:num w:numId="66">
    <w:abstractNumId w:val="124"/>
  </w:num>
  <w:num w:numId="67">
    <w:abstractNumId w:val="126"/>
  </w:num>
  <w:num w:numId="68">
    <w:abstractNumId w:val="46"/>
  </w:num>
  <w:num w:numId="69">
    <w:abstractNumId w:val="36"/>
  </w:num>
  <w:num w:numId="70">
    <w:abstractNumId w:val="111"/>
  </w:num>
  <w:num w:numId="71">
    <w:abstractNumId w:val="80"/>
  </w:num>
  <w:num w:numId="72">
    <w:abstractNumId w:val="68"/>
  </w:num>
  <w:num w:numId="73">
    <w:abstractNumId w:val="10"/>
  </w:num>
  <w:num w:numId="74">
    <w:abstractNumId w:val="83"/>
  </w:num>
  <w:num w:numId="75">
    <w:abstractNumId w:val="39"/>
  </w:num>
  <w:num w:numId="76">
    <w:abstractNumId w:val="116"/>
  </w:num>
  <w:num w:numId="77">
    <w:abstractNumId w:val="92"/>
  </w:num>
  <w:num w:numId="78">
    <w:abstractNumId w:val="50"/>
  </w:num>
  <w:num w:numId="79">
    <w:abstractNumId w:val="59"/>
  </w:num>
  <w:num w:numId="80">
    <w:abstractNumId w:val="109"/>
  </w:num>
  <w:num w:numId="81">
    <w:abstractNumId w:val="31"/>
  </w:num>
  <w:num w:numId="82">
    <w:abstractNumId w:val="37"/>
  </w:num>
  <w:num w:numId="83">
    <w:abstractNumId w:val="11"/>
  </w:num>
  <w:num w:numId="84">
    <w:abstractNumId w:val="34"/>
  </w:num>
  <w:num w:numId="85">
    <w:abstractNumId w:val="25"/>
  </w:num>
  <w:num w:numId="86">
    <w:abstractNumId w:val="79"/>
  </w:num>
  <w:num w:numId="87">
    <w:abstractNumId w:val="75"/>
  </w:num>
  <w:num w:numId="88">
    <w:abstractNumId w:val="18"/>
  </w:num>
  <w:num w:numId="89">
    <w:abstractNumId w:val="113"/>
  </w:num>
  <w:num w:numId="90">
    <w:abstractNumId w:val="90"/>
  </w:num>
  <w:num w:numId="91">
    <w:abstractNumId w:val="71"/>
  </w:num>
  <w:num w:numId="92">
    <w:abstractNumId w:val="57"/>
  </w:num>
  <w:num w:numId="93">
    <w:abstractNumId w:val="56"/>
  </w:num>
  <w:num w:numId="94">
    <w:abstractNumId w:val="65"/>
  </w:num>
  <w:num w:numId="95">
    <w:abstractNumId w:val="33"/>
  </w:num>
  <w:num w:numId="96">
    <w:abstractNumId w:val="29"/>
  </w:num>
  <w:num w:numId="97">
    <w:abstractNumId w:val="82"/>
  </w:num>
  <w:num w:numId="98">
    <w:abstractNumId w:val="54"/>
  </w:num>
  <w:num w:numId="99">
    <w:abstractNumId w:val="2"/>
  </w:num>
  <w:num w:numId="100">
    <w:abstractNumId w:val="122"/>
  </w:num>
  <w:num w:numId="101">
    <w:abstractNumId w:val="20"/>
  </w:num>
  <w:num w:numId="102">
    <w:abstractNumId w:val="13"/>
  </w:num>
  <w:num w:numId="103">
    <w:abstractNumId w:val="40"/>
  </w:num>
  <w:num w:numId="104">
    <w:abstractNumId w:val="53"/>
  </w:num>
  <w:num w:numId="105">
    <w:abstractNumId w:val="119"/>
  </w:num>
  <w:num w:numId="106">
    <w:abstractNumId w:val="93"/>
  </w:num>
  <w:num w:numId="107">
    <w:abstractNumId w:val="77"/>
  </w:num>
  <w:num w:numId="108">
    <w:abstractNumId w:val="62"/>
  </w:num>
  <w:num w:numId="109">
    <w:abstractNumId w:val="8"/>
  </w:num>
  <w:num w:numId="110">
    <w:abstractNumId w:val="63"/>
    <w:lvlOverride w:ilvl="0">
      <w:lvl w:ilvl="0" w:tentative="1">
        <w:start w:val="1"/>
        <w:numFmt w:val="decimal"/>
        <w:lvlText w:val="%1"/>
        <w:lvlJc w:val="left"/>
        <w:pPr>
          <w:ind w:left="425" w:hanging="425"/>
        </w:pPr>
        <w:rPr>
          <w:rFonts w:hint="eastAsia"/>
        </w:rPr>
      </w:lvl>
    </w:lvlOverride>
    <w:lvlOverride w:ilvl="1">
      <w:lvl w:ilvl="1" w:tentative="1">
        <w:start w:val="1"/>
        <w:numFmt w:val="decimal"/>
        <w:lvlText w:val="%1.%2"/>
        <w:lvlJc w:val="left"/>
        <w:pPr>
          <w:ind w:left="992" w:hanging="567"/>
        </w:pPr>
        <w:rPr>
          <w:rFonts w:hint="eastAsia"/>
        </w:rPr>
      </w:lvl>
    </w:lvlOverride>
    <w:lvlOverride w:ilvl="2">
      <w:lvl w:ilvl="2" w:tentative="1">
        <w:start w:val="1"/>
        <w:numFmt w:val="none"/>
        <w:lvlText w:val="7.9.1"/>
        <w:lvlJc w:val="left"/>
        <w:pPr>
          <w:ind w:left="1418" w:hanging="567"/>
        </w:pPr>
        <w:rPr>
          <w:rFonts w:hint="default" w:ascii="宋体" w:hAnsi="宋体" w:eastAsia="宋体" w:cs="宋体"/>
        </w:rPr>
      </w:lvl>
    </w:lvlOverride>
    <w:lvlOverride w:ilvl="3">
      <w:lvl w:ilvl="3" w:tentative="1">
        <w:start w:val="1"/>
        <w:numFmt w:val="decimal"/>
        <w:lvlText w:val="%1.%2.%3.%4"/>
        <w:lvlJc w:val="left"/>
        <w:pPr>
          <w:ind w:left="1984" w:hanging="708"/>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111">
    <w:abstractNumId w:val="81"/>
  </w:num>
  <w:num w:numId="112">
    <w:abstractNumId w:val="100"/>
  </w:num>
  <w:num w:numId="113">
    <w:abstractNumId w:val="69"/>
  </w:num>
  <w:num w:numId="114">
    <w:abstractNumId w:val="23"/>
  </w:num>
  <w:num w:numId="115">
    <w:abstractNumId w:val="106"/>
  </w:num>
  <w:num w:numId="116">
    <w:abstractNumId w:val="84"/>
  </w:num>
  <w:num w:numId="117">
    <w:abstractNumId w:val="49"/>
  </w:num>
  <w:num w:numId="118">
    <w:abstractNumId w:val="22"/>
  </w:num>
  <w:num w:numId="119">
    <w:abstractNumId w:val="102"/>
  </w:num>
  <w:num w:numId="120">
    <w:abstractNumId w:val="94"/>
  </w:num>
  <w:num w:numId="121">
    <w:abstractNumId w:val="0"/>
  </w:num>
  <w:num w:numId="122">
    <w:abstractNumId w:val="27"/>
  </w:num>
  <w:num w:numId="123">
    <w:abstractNumId w:val="101"/>
  </w:num>
  <w:num w:numId="124">
    <w:abstractNumId w:val="47"/>
  </w:num>
  <w:num w:numId="125">
    <w:abstractNumId w:val="67"/>
  </w:num>
  <w:num w:numId="126">
    <w:abstractNumId w:val="28"/>
  </w:num>
  <w:num w:numId="127">
    <w:abstractNumId w:val="104"/>
  </w:num>
  <w:num w:numId="128">
    <w:abstractNumId w:val="1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ocumentProtection w:enforcement="0"/>
  <w:defaultTabStop w:val="720"/>
  <w:drawingGridHorizontalSpacing w:val="110"/>
  <w:noPunctuationKerning w:val="1"/>
  <w:characterSpacingControl w:val="doNotCompress"/>
  <w:hdrShapeDefaults>
    <o:shapelayout v:ext="edit">
      <o:idmap v:ext="edit" data="2"/>
    </o:shapelayout>
  </w:hdrShapeDefaults>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VmMjhjNzMxYWYxODc5MGQ1YTZiY2JhOGFlOTU5ZWYifQ=="/>
  </w:docVars>
  <w:rsids>
    <w:rsidRoot w:val="00172A27"/>
    <w:rsid w:val="00005A66"/>
    <w:rsid w:val="00006462"/>
    <w:rsid w:val="000300E4"/>
    <w:rsid w:val="0003307E"/>
    <w:rsid w:val="000336BA"/>
    <w:rsid w:val="000359A1"/>
    <w:rsid w:val="0005185D"/>
    <w:rsid w:val="00067748"/>
    <w:rsid w:val="0007500F"/>
    <w:rsid w:val="0008282E"/>
    <w:rsid w:val="00084F6D"/>
    <w:rsid w:val="00093A13"/>
    <w:rsid w:val="000A363F"/>
    <w:rsid w:val="000A42A8"/>
    <w:rsid w:val="000A5063"/>
    <w:rsid w:val="000A540D"/>
    <w:rsid w:val="000A5DBD"/>
    <w:rsid w:val="000C4524"/>
    <w:rsid w:val="000D44A6"/>
    <w:rsid w:val="000E2CB7"/>
    <w:rsid w:val="000F0E98"/>
    <w:rsid w:val="001049A5"/>
    <w:rsid w:val="001120E0"/>
    <w:rsid w:val="00121ADA"/>
    <w:rsid w:val="001242F3"/>
    <w:rsid w:val="001332BB"/>
    <w:rsid w:val="00134CAD"/>
    <w:rsid w:val="001368B7"/>
    <w:rsid w:val="0013730B"/>
    <w:rsid w:val="00137853"/>
    <w:rsid w:val="00137E1C"/>
    <w:rsid w:val="001407C9"/>
    <w:rsid w:val="00147012"/>
    <w:rsid w:val="00172A27"/>
    <w:rsid w:val="00173126"/>
    <w:rsid w:val="00173905"/>
    <w:rsid w:val="00173E04"/>
    <w:rsid w:val="00175D29"/>
    <w:rsid w:val="001833A1"/>
    <w:rsid w:val="001844F4"/>
    <w:rsid w:val="00185039"/>
    <w:rsid w:val="001852D7"/>
    <w:rsid w:val="001934B1"/>
    <w:rsid w:val="00193CF2"/>
    <w:rsid w:val="001A06D8"/>
    <w:rsid w:val="001A2D42"/>
    <w:rsid w:val="001A2EF7"/>
    <w:rsid w:val="001B1F14"/>
    <w:rsid w:val="001B41CF"/>
    <w:rsid w:val="001B5860"/>
    <w:rsid w:val="001C1135"/>
    <w:rsid w:val="001C15AE"/>
    <w:rsid w:val="001C4661"/>
    <w:rsid w:val="001C5689"/>
    <w:rsid w:val="001C6E4B"/>
    <w:rsid w:val="001F0070"/>
    <w:rsid w:val="001F4B02"/>
    <w:rsid w:val="001F6BC7"/>
    <w:rsid w:val="002065A7"/>
    <w:rsid w:val="0021149E"/>
    <w:rsid w:val="00213021"/>
    <w:rsid w:val="00216BE9"/>
    <w:rsid w:val="0022503E"/>
    <w:rsid w:val="00225BB4"/>
    <w:rsid w:val="00226313"/>
    <w:rsid w:val="002358D2"/>
    <w:rsid w:val="00240F5F"/>
    <w:rsid w:val="00247224"/>
    <w:rsid w:val="00247AE0"/>
    <w:rsid w:val="00260AC1"/>
    <w:rsid w:val="0026312D"/>
    <w:rsid w:val="0027078E"/>
    <w:rsid w:val="0028395F"/>
    <w:rsid w:val="00284156"/>
    <w:rsid w:val="00285643"/>
    <w:rsid w:val="002867A1"/>
    <w:rsid w:val="002901F8"/>
    <w:rsid w:val="002920A4"/>
    <w:rsid w:val="002B4087"/>
    <w:rsid w:val="002B5F6C"/>
    <w:rsid w:val="002C6C78"/>
    <w:rsid w:val="002D1594"/>
    <w:rsid w:val="002D3F9C"/>
    <w:rsid w:val="002D503C"/>
    <w:rsid w:val="002D7E27"/>
    <w:rsid w:val="002E17E5"/>
    <w:rsid w:val="002E6B7E"/>
    <w:rsid w:val="002F0FC9"/>
    <w:rsid w:val="0030669E"/>
    <w:rsid w:val="003101A3"/>
    <w:rsid w:val="00320CEA"/>
    <w:rsid w:val="00323B43"/>
    <w:rsid w:val="00326831"/>
    <w:rsid w:val="003274CE"/>
    <w:rsid w:val="003361E9"/>
    <w:rsid w:val="003430F6"/>
    <w:rsid w:val="00353842"/>
    <w:rsid w:val="00353DFB"/>
    <w:rsid w:val="0035595E"/>
    <w:rsid w:val="00360C24"/>
    <w:rsid w:val="003717F5"/>
    <w:rsid w:val="0038564C"/>
    <w:rsid w:val="00387CE4"/>
    <w:rsid w:val="00393B1D"/>
    <w:rsid w:val="003A1D97"/>
    <w:rsid w:val="003C18EB"/>
    <w:rsid w:val="003C1E4E"/>
    <w:rsid w:val="003C32D3"/>
    <w:rsid w:val="003C3B19"/>
    <w:rsid w:val="003C412B"/>
    <w:rsid w:val="003C415C"/>
    <w:rsid w:val="003D36FB"/>
    <w:rsid w:val="003D37D8"/>
    <w:rsid w:val="003E0802"/>
    <w:rsid w:val="003E18E7"/>
    <w:rsid w:val="003E2B8C"/>
    <w:rsid w:val="003F46B4"/>
    <w:rsid w:val="003F4822"/>
    <w:rsid w:val="00401C64"/>
    <w:rsid w:val="00401CC0"/>
    <w:rsid w:val="00410AB5"/>
    <w:rsid w:val="00410F11"/>
    <w:rsid w:val="00411067"/>
    <w:rsid w:val="004203B9"/>
    <w:rsid w:val="004322A2"/>
    <w:rsid w:val="004358AB"/>
    <w:rsid w:val="00451EB4"/>
    <w:rsid w:val="00460B31"/>
    <w:rsid w:val="00462105"/>
    <w:rsid w:val="00463ACB"/>
    <w:rsid w:val="00475A80"/>
    <w:rsid w:val="00477010"/>
    <w:rsid w:val="00482096"/>
    <w:rsid w:val="00490B9E"/>
    <w:rsid w:val="00497577"/>
    <w:rsid w:val="004A05D7"/>
    <w:rsid w:val="004A154E"/>
    <w:rsid w:val="004A2B28"/>
    <w:rsid w:val="004A69F1"/>
    <w:rsid w:val="004B3550"/>
    <w:rsid w:val="004B3F06"/>
    <w:rsid w:val="004C7FD6"/>
    <w:rsid w:val="004D08C0"/>
    <w:rsid w:val="004D1669"/>
    <w:rsid w:val="004D22B3"/>
    <w:rsid w:val="004D51A2"/>
    <w:rsid w:val="004D5AFB"/>
    <w:rsid w:val="004E04FD"/>
    <w:rsid w:val="004E3E1F"/>
    <w:rsid w:val="004F1BB7"/>
    <w:rsid w:val="0050759C"/>
    <w:rsid w:val="00510827"/>
    <w:rsid w:val="00511DEA"/>
    <w:rsid w:val="005267F1"/>
    <w:rsid w:val="005269A9"/>
    <w:rsid w:val="00532034"/>
    <w:rsid w:val="00545D9A"/>
    <w:rsid w:val="00546A42"/>
    <w:rsid w:val="0055408D"/>
    <w:rsid w:val="0057492D"/>
    <w:rsid w:val="0058523E"/>
    <w:rsid w:val="00590819"/>
    <w:rsid w:val="00593D68"/>
    <w:rsid w:val="005A208B"/>
    <w:rsid w:val="005A555E"/>
    <w:rsid w:val="005A7612"/>
    <w:rsid w:val="005B58A6"/>
    <w:rsid w:val="005C57E1"/>
    <w:rsid w:val="005C702E"/>
    <w:rsid w:val="005D01B8"/>
    <w:rsid w:val="005D066B"/>
    <w:rsid w:val="005D1D00"/>
    <w:rsid w:val="005D2D85"/>
    <w:rsid w:val="005F20A4"/>
    <w:rsid w:val="005F4EAE"/>
    <w:rsid w:val="005F573A"/>
    <w:rsid w:val="005F660B"/>
    <w:rsid w:val="005F7EB1"/>
    <w:rsid w:val="00604B81"/>
    <w:rsid w:val="0061246F"/>
    <w:rsid w:val="00613151"/>
    <w:rsid w:val="00613417"/>
    <w:rsid w:val="00613B25"/>
    <w:rsid w:val="0061545F"/>
    <w:rsid w:val="006175DE"/>
    <w:rsid w:val="006215AC"/>
    <w:rsid w:val="00621821"/>
    <w:rsid w:val="00622362"/>
    <w:rsid w:val="00622497"/>
    <w:rsid w:val="006276AD"/>
    <w:rsid w:val="006378D4"/>
    <w:rsid w:val="00641E8C"/>
    <w:rsid w:val="0064416A"/>
    <w:rsid w:val="006476E3"/>
    <w:rsid w:val="00650DDC"/>
    <w:rsid w:val="00652983"/>
    <w:rsid w:val="0065365D"/>
    <w:rsid w:val="006546D0"/>
    <w:rsid w:val="006576FD"/>
    <w:rsid w:val="00664F6B"/>
    <w:rsid w:val="006731D2"/>
    <w:rsid w:val="00680EB0"/>
    <w:rsid w:val="00682986"/>
    <w:rsid w:val="0068501E"/>
    <w:rsid w:val="00691701"/>
    <w:rsid w:val="00691AE0"/>
    <w:rsid w:val="0069491E"/>
    <w:rsid w:val="006A5604"/>
    <w:rsid w:val="006A75B0"/>
    <w:rsid w:val="006B004E"/>
    <w:rsid w:val="006B3E6C"/>
    <w:rsid w:val="006B4832"/>
    <w:rsid w:val="006B7878"/>
    <w:rsid w:val="006C14BD"/>
    <w:rsid w:val="006C28E5"/>
    <w:rsid w:val="006C67A9"/>
    <w:rsid w:val="006D393E"/>
    <w:rsid w:val="006D43C5"/>
    <w:rsid w:val="006D4AD8"/>
    <w:rsid w:val="006E0B58"/>
    <w:rsid w:val="006E0C4B"/>
    <w:rsid w:val="00704F7B"/>
    <w:rsid w:val="007110BA"/>
    <w:rsid w:val="00711465"/>
    <w:rsid w:val="00716E96"/>
    <w:rsid w:val="00723B11"/>
    <w:rsid w:val="007343A7"/>
    <w:rsid w:val="00734BB2"/>
    <w:rsid w:val="0075028E"/>
    <w:rsid w:val="007528A6"/>
    <w:rsid w:val="007608B9"/>
    <w:rsid w:val="007724B4"/>
    <w:rsid w:val="0077462B"/>
    <w:rsid w:val="007902ED"/>
    <w:rsid w:val="007916E7"/>
    <w:rsid w:val="00797C5D"/>
    <w:rsid w:val="00797D2F"/>
    <w:rsid w:val="007A34B9"/>
    <w:rsid w:val="007A3EF1"/>
    <w:rsid w:val="007A4DB3"/>
    <w:rsid w:val="007A6F47"/>
    <w:rsid w:val="007A7779"/>
    <w:rsid w:val="007C4F46"/>
    <w:rsid w:val="007C7297"/>
    <w:rsid w:val="007D1B4F"/>
    <w:rsid w:val="007D2F9E"/>
    <w:rsid w:val="007D3175"/>
    <w:rsid w:val="007D48BF"/>
    <w:rsid w:val="007D5C45"/>
    <w:rsid w:val="007E2543"/>
    <w:rsid w:val="007E4A26"/>
    <w:rsid w:val="007E7A17"/>
    <w:rsid w:val="007F01B0"/>
    <w:rsid w:val="007F2CD8"/>
    <w:rsid w:val="007F4DC5"/>
    <w:rsid w:val="00806380"/>
    <w:rsid w:val="0081104F"/>
    <w:rsid w:val="0081319A"/>
    <w:rsid w:val="00822299"/>
    <w:rsid w:val="0083486A"/>
    <w:rsid w:val="00837E35"/>
    <w:rsid w:val="00841378"/>
    <w:rsid w:val="00842B87"/>
    <w:rsid w:val="00845BEB"/>
    <w:rsid w:val="008472E6"/>
    <w:rsid w:val="008518B4"/>
    <w:rsid w:val="00853463"/>
    <w:rsid w:val="008548BD"/>
    <w:rsid w:val="00857709"/>
    <w:rsid w:val="0086026F"/>
    <w:rsid w:val="008640F5"/>
    <w:rsid w:val="0087704E"/>
    <w:rsid w:val="008907DA"/>
    <w:rsid w:val="008A0587"/>
    <w:rsid w:val="008A7273"/>
    <w:rsid w:val="008B55B9"/>
    <w:rsid w:val="008B7726"/>
    <w:rsid w:val="008C05BA"/>
    <w:rsid w:val="008D429E"/>
    <w:rsid w:val="008D5A10"/>
    <w:rsid w:val="008E319F"/>
    <w:rsid w:val="008E619C"/>
    <w:rsid w:val="008F6E0E"/>
    <w:rsid w:val="00906F49"/>
    <w:rsid w:val="00907417"/>
    <w:rsid w:val="00914604"/>
    <w:rsid w:val="00916A34"/>
    <w:rsid w:val="0092092D"/>
    <w:rsid w:val="00923533"/>
    <w:rsid w:val="00930A38"/>
    <w:rsid w:val="00934170"/>
    <w:rsid w:val="00942948"/>
    <w:rsid w:val="009474B5"/>
    <w:rsid w:val="00953E98"/>
    <w:rsid w:val="00960F22"/>
    <w:rsid w:val="00972D86"/>
    <w:rsid w:val="009736BF"/>
    <w:rsid w:val="0097392B"/>
    <w:rsid w:val="00976066"/>
    <w:rsid w:val="00980A66"/>
    <w:rsid w:val="009904F7"/>
    <w:rsid w:val="009910F6"/>
    <w:rsid w:val="009A07B1"/>
    <w:rsid w:val="009A6B4A"/>
    <w:rsid w:val="009A7058"/>
    <w:rsid w:val="009C19DE"/>
    <w:rsid w:val="009C23A6"/>
    <w:rsid w:val="009C5206"/>
    <w:rsid w:val="009C6AD9"/>
    <w:rsid w:val="009E398C"/>
    <w:rsid w:val="009E6F05"/>
    <w:rsid w:val="009F644E"/>
    <w:rsid w:val="009F6A05"/>
    <w:rsid w:val="00A01BE2"/>
    <w:rsid w:val="00A10906"/>
    <w:rsid w:val="00A12E66"/>
    <w:rsid w:val="00A13E78"/>
    <w:rsid w:val="00A14EEF"/>
    <w:rsid w:val="00A23304"/>
    <w:rsid w:val="00A25809"/>
    <w:rsid w:val="00A275C2"/>
    <w:rsid w:val="00A3295D"/>
    <w:rsid w:val="00A353F9"/>
    <w:rsid w:val="00A4012F"/>
    <w:rsid w:val="00A4190E"/>
    <w:rsid w:val="00A42E91"/>
    <w:rsid w:val="00A50383"/>
    <w:rsid w:val="00A61230"/>
    <w:rsid w:val="00A668C8"/>
    <w:rsid w:val="00A74ED3"/>
    <w:rsid w:val="00A75C51"/>
    <w:rsid w:val="00A813C5"/>
    <w:rsid w:val="00A824E6"/>
    <w:rsid w:val="00A858DC"/>
    <w:rsid w:val="00A94D14"/>
    <w:rsid w:val="00A96ED2"/>
    <w:rsid w:val="00AA0EAD"/>
    <w:rsid w:val="00AB19CE"/>
    <w:rsid w:val="00AB3969"/>
    <w:rsid w:val="00AC0E7A"/>
    <w:rsid w:val="00AC187B"/>
    <w:rsid w:val="00AE310E"/>
    <w:rsid w:val="00AE4FC5"/>
    <w:rsid w:val="00AF1B1B"/>
    <w:rsid w:val="00AF5F1F"/>
    <w:rsid w:val="00B027A4"/>
    <w:rsid w:val="00B04202"/>
    <w:rsid w:val="00B236B3"/>
    <w:rsid w:val="00B26806"/>
    <w:rsid w:val="00B31B24"/>
    <w:rsid w:val="00B4287F"/>
    <w:rsid w:val="00B4315F"/>
    <w:rsid w:val="00B43306"/>
    <w:rsid w:val="00B60DAB"/>
    <w:rsid w:val="00B61CB1"/>
    <w:rsid w:val="00B63189"/>
    <w:rsid w:val="00B67B5C"/>
    <w:rsid w:val="00B7194E"/>
    <w:rsid w:val="00B73575"/>
    <w:rsid w:val="00B7380A"/>
    <w:rsid w:val="00B763B0"/>
    <w:rsid w:val="00B91005"/>
    <w:rsid w:val="00B92951"/>
    <w:rsid w:val="00B93045"/>
    <w:rsid w:val="00B93169"/>
    <w:rsid w:val="00B950B6"/>
    <w:rsid w:val="00BA4130"/>
    <w:rsid w:val="00BB2CAF"/>
    <w:rsid w:val="00BB79B5"/>
    <w:rsid w:val="00BC0E6D"/>
    <w:rsid w:val="00BC3E74"/>
    <w:rsid w:val="00BD630F"/>
    <w:rsid w:val="00BD7C1B"/>
    <w:rsid w:val="00BE0825"/>
    <w:rsid w:val="00BE2EE6"/>
    <w:rsid w:val="00BF17FD"/>
    <w:rsid w:val="00BF2820"/>
    <w:rsid w:val="00BF41D4"/>
    <w:rsid w:val="00BF5AFB"/>
    <w:rsid w:val="00C16734"/>
    <w:rsid w:val="00C17B47"/>
    <w:rsid w:val="00C2046D"/>
    <w:rsid w:val="00C25C77"/>
    <w:rsid w:val="00C303E7"/>
    <w:rsid w:val="00C319C2"/>
    <w:rsid w:val="00C53CE5"/>
    <w:rsid w:val="00C612F8"/>
    <w:rsid w:val="00C62E44"/>
    <w:rsid w:val="00C63BD8"/>
    <w:rsid w:val="00C65954"/>
    <w:rsid w:val="00C7126B"/>
    <w:rsid w:val="00C72C24"/>
    <w:rsid w:val="00C73468"/>
    <w:rsid w:val="00C74986"/>
    <w:rsid w:val="00C80EC4"/>
    <w:rsid w:val="00C8568E"/>
    <w:rsid w:val="00CA2D67"/>
    <w:rsid w:val="00CA32B5"/>
    <w:rsid w:val="00CB57AD"/>
    <w:rsid w:val="00CC009D"/>
    <w:rsid w:val="00CC584A"/>
    <w:rsid w:val="00CC5E4E"/>
    <w:rsid w:val="00CD0EAB"/>
    <w:rsid w:val="00CD7E8F"/>
    <w:rsid w:val="00CE2AF3"/>
    <w:rsid w:val="00CE621D"/>
    <w:rsid w:val="00CE66E8"/>
    <w:rsid w:val="00D005FE"/>
    <w:rsid w:val="00D05388"/>
    <w:rsid w:val="00D114CD"/>
    <w:rsid w:val="00D14476"/>
    <w:rsid w:val="00D232FF"/>
    <w:rsid w:val="00D279AA"/>
    <w:rsid w:val="00D31215"/>
    <w:rsid w:val="00D34544"/>
    <w:rsid w:val="00D34841"/>
    <w:rsid w:val="00D4444E"/>
    <w:rsid w:val="00D44A97"/>
    <w:rsid w:val="00D45C0C"/>
    <w:rsid w:val="00D508A5"/>
    <w:rsid w:val="00D5104B"/>
    <w:rsid w:val="00D555D8"/>
    <w:rsid w:val="00D60778"/>
    <w:rsid w:val="00D63EB2"/>
    <w:rsid w:val="00D64D28"/>
    <w:rsid w:val="00D6604D"/>
    <w:rsid w:val="00D677F1"/>
    <w:rsid w:val="00D74601"/>
    <w:rsid w:val="00D83E46"/>
    <w:rsid w:val="00D847B6"/>
    <w:rsid w:val="00D93958"/>
    <w:rsid w:val="00D951D3"/>
    <w:rsid w:val="00DA1DB9"/>
    <w:rsid w:val="00DA6169"/>
    <w:rsid w:val="00DA7B28"/>
    <w:rsid w:val="00DB5480"/>
    <w:rsid w:val="00DB6317"/>
    <w:rsid w:val="00DC2FC5"/>
    <w:rsid w:val="00DC5AD9"/>
    <w:rsid w:val="00DC691F"/>
    <w:rsid w:val="00DD02DE"/>
    <w:rsid w:val="00DD07B7"/>
    <w:rsid w:val="00DD113C"/>
    <w:rsid w:val="00DD324C"/>
    <w:rsid w:val="00DE0BEB"/>
    <w:rsid w:val="00DE4856"/>
    <w:rsid w:val="00DF485B"/>
    <w:rsid w:val="00DF6877"/>
    <w:rsid w:val="00E0295D"/>
    <w:rsid w:val="00E042BC"/>
    <w:rsid w:val="00E132FE"/>
    <w:rsid w:val="00E21B77"/>
    <w:rsid w:val="00E23352"/>
    <w:rsid w:val="00E40CAD"/>
    <w:rsid w:val="00E40DC7"/>
    <w:rsid w:val="00E4215F"/>
    <w:rsid w:val="00E61D2E"/>
    <w:rsid w:val="00E62B7F"/>
    <w:rsid w:val="00E7066D"/>
    <w:rsid w:val="00E726BC"/>
    <w:rsid w:val="00E72821"/>
    <w:rsid w:val="00E75C82"/>
    <w:rsid w:val="00E81DDC"/>
    <w:rsid w:val="00E81F67"/>
    <w:rsid w:val="00E83400"/>
    <w:rsid w:val="00E83650"/>
    <w:rsid w:val="00E83A31"/>
    <w:rsid w:val="00E93BF5"/>
    <w:rsid w:val="00E97CC0"/>
    <w:rsid w:val="00EA22B8"/>
    <w:rsid w:val="00EA2524"/>
    <w:rsid w:val="00EA33E7"/>
    <w:rsid w:val="00EC092D"/>
    <w:rsid w:val="00EC0DF8"/>
    <w:rsid w:val="00ED378B"/>
    <w:rsid w:val="00ED6D58"/>
    <w:rsid w:val="00EE08F9"/>
    <w:rsid w:val="00EE70B3"/>
    <w:rsid w:val="00EF24AA"/>
    <w:rsid w:val="00EF728A"/>
    <w:rsid w:val="00EF7D0D"/>
    <w:rsid w:val="00F00FF7"/>
    <w:rsid w:val="00F02093"/>
    <w:rsid w:val="00F068E3"/>
    <w:rsid w:val="00F10B5F"/>
    <w:rsid w:val="00F218C1"/>
    <w:rsid w:val="00F321EB"/>
    <w:rsid w:val="00F32B00"/>
    <w:rsid w:val="00F346CF"/>
    <w:rsid w:val="00F3610C"/>
    <w:rsid w:val="00F36839"/>
    <w:rsid w:val="00F52A5F"/>
    <w:rsid w:val="00F55954"/>
    <w:rsid w:val="00F57308"/>
    <w:rsid w:val="00F61962"/>
    <w:rsid w:val="00F62865"/>
    <w:rsid w:val="00F64022"/>
    <w:rsid w:val="00F64660"/>
    <w:rsid w:val="00F74FF3"/>
    <w:rsid w:val="00F97062"/>
    <w:rsid w:val="00F9745D"/>
    <w:rsid w:val="00FA07A9"/>
    <w:rsid w:val="00FA54B2"/>
    <w:rsid w:val="00FC1C43"/>
    <w:rsid w:val="00FC529F"/>
    <w:rsid w:val="00FC7B53"/>
    <w:rsid w:val="00FD48CC"/>
    <w:rsid w:val="00FE0C02"/>
    <w:rsid w:val="00FE62D1"/>
    <w:rsid w:val="00FE701D"/>
    <w:rsid w:val="00FE7B94"/>
    <w:rsid w:val="00FF0736"/>
    <w:rsid w:val="00FF2515"/>
    <w:rsid w:val="00FF26BF"/>
    <w:rsid w:val="010908A7"/>
    <w:rsid w:val="013C51B0"/>
    <w:rsid w:val="01525581"/>
    <w:rsid w:val="016412A2"/>
    <w:rsid w:val="01651C23"/>
    <w:rsid w:val="018023CE"/>
    <w:rsid w:val="01881AD6"/>
    <w:rsid w:val="019127B6"/>
    <w:rsid w:val="01B71A01"/>
    <w:rsid w:val="01DC03CE"/>
    <w:rsid w:val="01DE5C36"/>
    <w:rsid w:val="01E36F4E"/>
    <w:rsid w:val="020C3478"/>
    <w:rsid w:val="023C5F15"/>
    <w:rsid w:val="023F3FA2"/>
    <w:rsid w:val="028B6D36"/>
    <w:rsid w:val="02985CD5"/>
    <w:rsid w:val="02A741FD"/>
    <w:rsid w:val="02C16E5D"/>
    <w:rsid w:val="02D964CF"/>
    <w:rsid w:val="02DE5ECF"/>
    <w:rsid w:val="02E74073"/>
    <w:rsid w:val="02F713C2"/>
    <w:rsid w:val="0367744E"/>
    <w:rsid w:val="03707410"/>
    <w:rsid w:val="039240A3"/>
    <w:rsid w:val="03A0770F"/>
    <w:rsid w:val="03A448B8"/>
    <w:rsid w:val="03AB3EA8"/>
    <w:rsid w:val="03C01631"/>
    <w:rsid w:val="03C656A9"/>
    <w:rsid w:val="03F33148"/>
    <w:rsid w:val="042F3419"/>
    <w:rsid w:val="044566F3"/>
    <w:rsid w:val="044841D6"/>
    <w:rsid w:val="047B4012"/>
    <w:rsid w:val="047F2DDF"/>
    <w:rsid w:val="04815FBF"/>
    <w:rsid w:val="04822497"/>
    <w:rsid w:val="04895C96"/>
    <w:rsid w:val="04974587"/>
    <w:rsid w:val="04DF1036"/>
    <w:rsid w:val="05112EDA"/>
    <w:rsid w:val="053D02C3"/>
    <w:rsid w:val="0599183C"/>
    <w:rsid w:val="05A97DEC"/>
    <w:rsid w:val="05B23978"/>
    <w:rsid w:val="05C81981"/>
    <w:rsid w:val="05D72E1E"/>
    <w:rsid w:val="060C3203"/>
    <w:rsid w:val="065A6D82"/>
    <w:rsid w:val="069B4E4A"/>
    <w:rsid w:val="06AA70A5"/>
    <w:rsid w:val="06BC41F2"/>
    <w:rsid w:val="06C42A77"/>
    <w:rsid w:val="06CA40EF"/>
    <w:rsid w:val="06F415CC"/>
    <w:rsid w:val="070E26CD"/>
    <w:rsid w:val="07197D08"/>
    <w:rsid w:val="071E5C55"/>
    <w:rsid w:val="075C1FE5"/>
    <w:rsid w:val="076B4CB0"/>
    <w:rsid w:val="077005AB"/>
    <w:rsid w:val="078F4581"/>
    <w:rsid w:val="07BF027F"/>
    <w:rsid w:val="08031A31"/>
    <w:rsid w:val="08420CAE"/>
    <w:rsid w:val="08574B3D"/>
    <w:rsid w:val="086E4CDE"/>
    <w:rsid w:val="08BE6AD5"/>
    <w:rsid w:val="08E0126D"/>
    <w:rsid w:val="08E352B9"/>
    <w:rsid w:val="09061A75"/>
    <w:rsid w:val="09182241"/>
    <w:rsid w:val="09204F93"/>
    <w:rsid w:val="095F1030"/>
    <w:rsid w:val="09855177"/>
    <w:rsid w:val="09B90AFC"/>
    <w:rsid w:val="09EE5125"/>
    <w:rsid w:val="0A2522FD"/>
    <w:rsid w:val="0A327478"/>
    <w:rsid w:val="0A462748"/>
    <w:rsid w:val="0A4D0C81"/>
    <w:rsid w:val="0A723E95"/>
    <w:rsid w:val="0A733243"/>
    <w:rsid w:val="0A846743"/>
    <w:rsid w:val="0A873F23"/>
    <w:rsid w:val="0AA534D5"/>
    <w:rsid w:val="0AA650EB"/>
    <w:rsid w:val="0AA7129C"/>
    <w:rsid w:val="0AE26205"/>
    <w:rsid w:val="0AF47339"/>
    <w:rsid w:val="0B22594B"/>
    <w:rsid w:val="0B27506F"/>
    <w:rsid w:val="0B70168E"/>
    <w:rsid w:val="0B9610F4"/>
    <w:rsid w:val="0BBF77A4"/>
    <w:rsid w:val="0BD16C8D"/>
    <w:rsid w:val="0BDF26F7"/>
    <w:rsid w:val="0C027DB2"/>
    <w:rsid w:val="0C2B4952"/>
    <w:rsid w:val="0C322F8A"/>
    <w:rsid w:val="0C4607E5"/>
    <w:rsid w:val="0C516C55"/>
    <w:rsid w:val="0C7B2220"/>
    <w:rsid w:val="0CAB6861"/>
    <w:rsid w:val="0CB67D83"/>
    <w:rsid w:val="0CD20599"/>
    <w:rsid w:val="0CE53018"/>
    <w:rsid w:val="0D0B5B12"/>
    <w:rsid w:val="0D133046"/>
    <w:rsid w:val="0D153F28"/>
    <w:rsid w:val="0D3A0F98"/>
    <w:rsid w:val="0D6A4502"/>
    <w:rsid w:val="0D7415CA"/>
    <w:rsid w:val="0D890E47"/>
    <w:rsid w:val="0D8E2058"/>
    <w:rsid w:val="0DC64A00"/>
    <w:rsid w:val="0DEB5FFA"/>
    <w:rsid w:val="0DF75C46"/>
    <w:rsid w:val="0DFC60BA"/>
    <w:rsid w:val="0E1C06B2"/>
    <w:rsid w:val="0E69691B"/>
    <w:rsid w:val="0EBB5484"/>
    <w:rsid w:val="0EBD5AA3"/>
    <w:rsid w:val="0EE31201"/>
    <w:rsid w:val="0F407E8F"/>
    <w:rsid w:val="0F5723EF"/>
    <w:rsid w:val="0F5F5360"/>
    <w:rsid w:val="0F7C5FF6"/>
    <w:rsid w:val="0FC63FBD"/>
    <w:rsid w:val="0FDD003F"/>
    <w:rsid w:val="0FF87EA4"/>
    <w:rsid w:val="0FFF7484"/>
    <w:rsid w:val="10066939"/>
    <w:rsid w:val="100B77ED"/>
    <w:rsid w:val="101D47AD"/>
    <w:rsid w:val="10305890"/>
    <w:rsid w:val="103D5A1A"/>
    <w:rsid w:val="105847E5"/>
    <w:rsid w:val="106C564D"/>
    <w:rsid w:val="106E0AED"/>
    <w:rsid w:val="107B7B8F"/>
    <w:rsid w:val="107C67CE"/>
    <w:rsid w:val="10912D03"/>
    <w:rsid w:val="109D68CB"/>
    <w:rsid w:val="10A949B8"/>
    <w:rsid w:val="10AB5D61"/>
    <w:rsid w:val="10BD64B1"/>
    <w:rsid w:val="11144AFE"/>
    <w:rsid w:val="111E3421"/>
    <w:rsid w:val="11200D07"/>
    <w:rsid w:val="115E03E3"/>
    <w:rsid w:val="11786AB5"/>
    <w:rsid w:val="118049D4"/>
    <w:rsid w:val="118561F8"/>
    <w:rsid w:val="11942D84"/>
    <w:rsid w:val="11B21219"/>
    <w:rsid w:val="11DA73AF"/>
    <w:rsid w:val="11FC1ECD"/>
    <w:rsid w:val="122A5781"/>
    <w:rsid w:val="124D097B"/>
    <w:rsid w:val="12511265"/>
    <w:rsid w:val="126D4818"/>
    <w:rsid w:val="1283614B"/>
    <w:rsid w:val="12856FF3"/>
    <w:rsid w:val="129671FB"/>
    <w:rsid w:val="12A576FF"/>
    <w:rsid w:val="12C60D80"/>
    <w:rsid w:val="12FD1169"/>
    <w:rsid w:val="130523B3"/>
    <w:rsid w:val="131F7A3A"/>
    <w:rsid w:val="132645D0"/>
    <w:rsid w:val="1327225E"/>
    <w:rsid w:val="133D4061"/>
    <w:rsid w:val="13455ABC"/>
    <w:rsid w:val="1370322B"/>
    <w:rsid w:val="13BA0460"/>
    <w:rsid w:val="13BB41AE"/>
    <w:rsid w:val="13C24F9B"/>
    <w:rsid w:val="13C45A18"/>
    <w:rsid w:val="13C9247B"/>
    <w:rsid w:val="13D6515C"/>
    <w:rsid w:val="143B2E0B"/>
    <w:rsid w:val="147C1943"/>
    <w:rsid w:val="148054E9"/>
    <w:rsid w:val="14892735"/>
    <w:rsid w:val="14CC769D"/>
    <w:rsid w:val="14D764D5"/>
    <w:rsid w:val="14EF61BF"/>
    <w:rsid w:val="14F43330"/>
    <w:rsid w:val="150F7FEC"/>
    <w:rsid w:val="15436F05"/>
    <w:rsid w:val="15691FE3"/>
    <w:rsid w:val="157C0C11"/>
    <w:rsid w:val="158B5DDD"/>
    <w:rsid w:val="15B11221"/>
    <w:rsid w:val="15C16EB3"/>
    <w:rsid w:val="15CB76C9"/>
    <w:rsid w:val="15D359D7"/>
    <w:rsid w:val="160E7A2C"/>
    <w:rsid w:val="16317A1A"/>
    <w:rsid w:val="163C77BE"/>
    <w:rsid w:val="164A3F23"/>
    <w:rsid w:val="16573587"/>
    <w:rsid w:val="165C5C7C"/>
    <w:rsid w:val="1679588C"/>
    <w:rsid w:val="167F2A55"/>
    <w:rsid w:val="168C2855"/>
    <w:rsid w:val="16994962"/>
    <w:rsid w:val="16A233CF"/>
    <w:rsid w:val="16A71041"/>
    <w:rsid w:val="16AA24BF"/>
    <w:rsid w:val="16F871DC"/>
    <w:rsid w:val="171D3FE1"/>
    <w:rsid w:val="17680CAB"/>
    <w:rsid w:val="176E4128"/>
    <w:rsid w:val="17725CE9"/>
    <w:rsid w:val="177546F8"/>
    <w:rsid w:val="1783371F"/>
    <w:rsid w:val="178E48DA"/>
    <w:rsid w:val="17C93012"/>
    <w:rsid w:val="17E62B67"/>
    <w:rsid w:val="180F4499"/>
    <w:rsid w:val="182201B4"/>
    <w:rsid w:val="18221ECE"/>
    <w:rsid w:val="183C3D90"/>
    <w:rsid w:val="1859036F"/>
    <w:rsid w:val="18681814"/>
    <w:rsid w:val="186A79E7"/>
    <w:rsid w:val="18B0649B"/>
    <w:rsid w:val="18D418FC"/>
    <w:rsid w:val="18E5143F"/>
    <w:rsid w:val="18E83469"/>
    <w:rsid w:val="18FC7745"/>
    <w:rsid w:val="19117D89"/>
    <w:rsid w:val="192F3B7C"/>
    <w:rsid w:val="19353F17"/>
    <w:rsid w:val="19864975"/>
    <w:rsid w:val="19864EEB"/>
    <w:rsid w:val="198C33B8"/>
    <w:rsid w:val="19D1065C"/>
    <w:rsid w:val="19DD405E"/>
    <w:rsid w:val="1A460CF5"/>
    <w:rsid w:val="1A7F297D"/>
    <w:rsid w:val="1A9D6244"/>
    <w:rsid w:val="1AB16AC1"/>
    <w:rsid w:val="1ABF1CEA"/>
    <w:rsid w:val="1B014DDE"/>
    <w:rsid w:val="1B0320FB"/>
    <w:rsid w:val="1B034A52"/>
    <w:rsid w:val="1B2640F6"/>
    <w:rsid w:val="1B45344E"/>
    <w:rsid w:val="1B5D76FB"/>
    <w:rsid w:val="1B683578"/>
    <w:rsid w:val="1B8C0040"/>
    <w:rsid w:val="1BC177B1"/>
    <w:rsid w:val="1BDE2F66"/>
    <w:rsid w:val="1C750ECE"/>
    <w:rsid w:val="1CA56AF4"/>
    <w:rsid w:val="1CD667CB"/>
    <w:rsid w:val="1D196139"/>
    <w:rsid w:val="1D372585"/>
    <w:rsid w:val="1D5E02D1"/>
    <w:rsid w:val="1D7F0ED0"/>
    <w:rsid w:val="1D921938"/>
    <w:rsid w:val="1DBB6100"/>
    <w:rsid w:val="1DBE6816"/>
    <w:rsid w:val="1DCB4FF1"/>
    <w:rsid w:val="1DF20D7E"/>
    <w:rsid w:val="1E010AF7"/>
    <w:rsid w:val="1E1C405A"/>
    <w:rsid w:val="1E2E29E0"/>
    <w:rsid w:val="1E301173"/>
    <w:rsid w:val="1E884D18"/>
    <w:rsid w:val="1ED8781E"/>
    <w:rsid w:val="1EDD3235"/>
    <w:rsid w:val="1F1102B0"/>
    <w:rsid w:val="1F2F1047"/>
    <w:rsid w:val="1F2F2B69"/>
    <w:rsid w:val="1F43381C"/>
    <w:rsid w:val="1F781224"/>
    <w:rsid w:val="1FA4148D"/>
    <w:rsid w:val="1FBB4C72"/>
    <w:rsid w:val="1FC10FAB"/>
    <w:rsid w:val="1FC65577"/>
    <w:rsid w:val="1FD82385"/>
    <w:rsid w:val="1FF274ED"/>
    <w:rsid w:val="20121621"/>
    <w:rsid w:val="20147D79"/>
    <w:rsid w:val="201636E2"/>
    <w:rsid w:val="202E3F6D"/>
    <w:rsid w:val="20325F7E"/>
    <w:rsid w:val="204E554F"/>
    <w:rsid w:val="20590035"/>
    <w:rsid w:val="209033C5"/>
    <w:rsid w:val="20E5011E"/>
    <w:rsid w:val="20FC799E"/>
    <w:rsid w:val="21101BAA"/>
    <w:rsid w:val="21286DA7"/>
    <w:rsid w:val="2134683B"/>
    <w:rsid w:val="219068BB"/>
    <w:rsid w:val="21C82E72"/>
    <w:rsid w:val="21DB1967"/>
    <w:rsid w:val="21DE0801"/>
    <w:rsid w:val="21DE339D"/>
    <w:rsid w:val="22154DDD"/>
    <w:rsid w:val="22336873"/>
    <w:rsid w:val="22396826"/>
    <w:rsid w:val="22412CD8"/>
    <w:rsid w:val="225471A3"/>
    <w:rsid w:val="225E34DC"/>
    <w:rsid w:val="227D1295"/>
    <w:rsid w:val="22AB3B7D"/>
    <w:rsid w:val="22AF3A08"/>
    <w:rsid w:val="22D7155B"/>
    <w:rsid w:val="22E950CE"/>
    <w:rsid w:val="22F92F75"/>
    <w:rsid w:val="231F1F4A"/>
    <w:rsid w:val="23202F23"/>
    <w:rsid w:val="23247F00"/>
    <w:rsid w:val="23BB4E7D"/>
    <w:rsid w:val="23C172D6"/>
    <w:rsid w:val="23D77537"/>
    <w:rsid w:val="23E6195D"/>
    <w:rsid w:val="23F04F64"/>
    <w:rsid w:val="24814CBE"/>
    <w:rsid w:val="24AC168B"/>
    <w:rsid w:val="24BB6664"/>
    <w:rsid w:val="24BD06C3"/>
    <w:rsid w:val="24BD406A"/>
    <w:rsid w:val="24D23A61"/>
    <w:rsid w:val="250E1318"/>
    <w:rsid w:val="25467247"/>
    <w:rsid w:val="254D0389"/>
    <w:rsid w:val="256A432E"/>
    <w:rsid w:val="25884C5D"/>
    <w:rsid w:val="258C3BEC"/>
    <w:rsid w:val="25A03144"/>
    <w:rsid w:val="25B2479F"/>
    <w:rsid w:val="25C15C5D"/>
    <w:rsid w:val="25D329B9"/>
    <w:rsid w:val="25E5427A"/>
    <w:rsid w:val="26276A31"/>
    <w:rsid w:val="26366F9D"/>
    <w:rsid w:val="263B1230"/>
    <w:rsid w:val="2642752B"/>
    <w:rsid w:val="26485508"/>
    <w:rsid w:val="26554808"/>
    <w:rsid w:val="26607D95"/>
    <w:rsid w:val="26700955"/>
    <w:rsid w:val="26A16AE9"/>
    <w:rsid w:val="26A605D9"/>
    <w:rsid w:val="26AD0500"/>
    <w:rsid w:val="26B121A3"/>
    <w:rsid w:val="272E3097"/>
    <w:rsid w:val="272E6F74"/>
    <w:rsid w:val="277E6655"/>
    <w:rsid w:val="27880BDF"/>
    <w:rsid w:val="27933DEA"/>
    <w:rsid w:val="27AF30E6"/>
    <w:rsid w:val="27B36A67"/>
    <w:rsid w:val="27BE6794"/>
    <w:rsid w:val="27C9646A"/>
    <w:rsid w:val="281E404F"/>
    <w:rsid w:val="28302479"/>
    <w:rsid w:val="2846581F"/>
    <w:rsid w:val="284A5CA4"/>
    <w:rsid w:val="286602C8"/>
    <w:rsid w:val="28665C95"/>
    <w:rsid w:val="28716D1C"/>
    <w:rsid w:val="28736F5F"/>
    <w:rsid w:val="28833BE9"/>
    <w:rsid w:val="28851EB4"/>
    <w:rsid w:val="28B01D1E"/>
    <w:rsid w:val="28C2628C"/>
    <w:rsid w:val="28C826B1"/>
    <w:rsid w:val="28CC3373"/>
    <w:rsid w:val="28F579BA"/>
    <w:rsid w:val="290B3EB9"/>
    <w:rsid w:val="292728C1"/>
    <w:rsid w:val="292C7FA1"/>
    <w:rsid w:val="2940493E"/>
    <w:rsid w:val="2950768C"/>
    <w:rsid w:val="297A5FC4"/>
    <w:rsid w:val="29B41DA5"/>
    <w:rsid w:val="29E14657"/>
    <w:rsid w:val="29E474B8"/>
    <w:rsid w:val="29ED574B"/>
    <w:rsid w:val="29FA2D3E"/>
    <w:rsid w:val="29FE5CE6"/>
    <w:rsid w:val="2A600C13"/>
    <w:rsid w:val="2A633B90"/>
    <w:rsid w:val="2A68500A"/>
    <w:rsid w:val="2A743AE8"/>
    <w:rsid w:val="2A8D4F8F"/>
    <w:rsid w:val="2A901BEE"/>
    <w:rsid w:val="2A917B34"/>
    <w:rsid w:val="2A9308A8"/>
    <w:rsid w:val="2A9475FF"/>
    <w:rsid w:val="2A9F5AB8"/>
    <w:rsid w:val="2AAA0AA2"/>
    <w:rsid w:val="2AD3556A"/>
    <w:rsid w:val="2AD74E8C"/>
    <w:rsid w:val="2AE3766F"/>
    <w:rsid w:val="2AEC612E"/>
    <w:rsid w:val="2B0E56AB"/>
    <w:rsid w:val="2B276305"/>
    <w:rsid w:val="2B54704F"/>
    <w:rsid w:val="2B590601"/>
    <w:rsid w:val="2B7E4054"/>
    <w:rsid w:val="2B882622"/>
    <w:rsid w:val="2B8B7B3E"/>
    <w:rsid w:val="2BA45A85"/>
    <w:rsid w:val="2BB12905"/>
    <w:rsid w:val="2BBA6A76"/>
    <w:rsid w:val="2BCC03D1"/>
    <w:rsid w:val="2BFF196C"/>
    <w:rsid w:val="2C0C6D59"/>
    <w:rsid w:val="2C787BAC"/>
    <w:rsid w:val="2C8903AA"/>
    <w:rsid w:val="2C8E776E"/>
    <w:rsid w:val="2C8E7BB8"/>
    <w:rsid w:val="2C987C56"/>
    <w:rsid w:val="2CA156F3"/>
    <w:rsid w:val="2CC11460"/>
    <w:rsid w:val="2CC15BAA"/>
    <w:rsid w:val="2CDC3153"/>
    <w:rsid w:val="2CDF621C"/>
    <w:rsid w:val="2CE136D7"/>
    <w:rsid w:val="2CFE7A11"/>
    <w:rsid w:val="2CFF149A"/>
    <w:rsid w:val="2D201865"/>
    <w:rsid w:val="2D2F67DA"/>
    <w:rsid w:val="2D4B5CEA"/>
    <w:rsid w:val="2D4C5B4C"/>
    <w:rsid w:val="2D4C6B07"/>
    <w:rsid w:val="2D514661"/>
    <w:rsid w:val="2D652658"/>
    <w:rsid w:val="2D964A56"/>
    <w:rsid w:val="2DC16E0A"/>
    <w:rsid w:val="2DC80C49"/>
    <w:rsid w:val="2DCA6355"/>
    <w:rsid w:val="2DD85F0E"/>
    <w:rsid w:val="2E166748"/>
    <w:rsid w:val="2E2054A0"/>
    <w:rsid w:val="2E482374"/>
    <w:rsid w:val="2E556F01"/>
    <w:rsid w:val="2E8345A7"/>
    <w:rsid w:val="2E8E20B4"/>
    <w:rsid w:val="2EAA7BAE"/>
    <w:rsid w:val="2EC0235F"/>
    <w:rsid w:val="2EC1207D"/>
    <w:rsid w:val="2ED06066"/>
    <w:rsid w:val="2ED1223D"/>
    <w:rsid w:val="2F000139"/>
    <w:rsid w:val="2F1B303D"/>
    <w:rsid w:val="2F3925CB"/>
    <w:rsid w:val="2F65799D"/>
    <w:rsid w:val="2F9F42DC"/>
    <w:rsid w:val="2FAC3772"/>
    <w:rsid w:val="2FBC2844"/>
    <w:rsid w:val="2FC32F68"/>
    <w:rsid w:val="2FF37AB3"/>
    <w:rsid w:val="30210B8A"/>
    <w:rsid w:val="30224DC7"/>
    <w:rsid w:val="303265F2"/>
    <w:rsid w:val="303B4C3F"/>
    <w:rsid w:val="30476D7A"/>
    <w:rsid w:val="3073310C"/>
    <w:rsid w:val="309D6BE6"/>
    <w:rsid w:val="30AA1790"/>
    <w:rsid w:val="30E453B4"/>
    <w:rsid w:val="30EE385E"/>
    <w:rsid w:val="30F85AFE"/>
    <w:rsid w:val="31170995"/>
    <w:rsid w:val="31264A30"/>
    <w:rsid w:val="312651F8"/>
    <w:rsid w:val="31440D43"/>
    <w:rsid w:val="31884E67"/>
    <w:rsid w:val="31A0275E"/>
    <w:rsid w:val="31A67308"/>
    <w:rsid w:val="31B91526"/>
    <w:rsid w:val="31EF0041"/>
    <w:rsid w:val="320107F5"/>
    <w:rsid w:val="320A3D3B"/>
    <w:rsid w:val="326A0524"/>
    <w:rsid w:val="32986C45"/>
    <w:rsid w:val="32AB70C5"/>
    <w:rsid w:val="32B83797"/>
    <w:rsid w:val="33247607"/>
    <w:rsid w:val="33487C23"/>
    <w:rsid w:val="335D0AF5"/>
    <w:rsid w:val="3370088C"/>
    <w:rsid w:val="33735C77"/>
    <w:rsid w:val="339A687B"/>
    <w:rsid w:val="33C14594"/>
    <w:rsid w:val="33DC2F78"/>
    <w:rsid w:val="34064CF5"/>
    <w:rsid w:val="3428227C"/>
    <w:rsid w:val="343230D5"/>
    <w:rsid w:val="3439428E"/>
    <w:rsid w:val="347918A5"/>
    <w:rsid w:val="349D37D5"/>
    <w:rsid w:val="34A61BDE"/>
    <w:rsid w:val="34D20D5C"/>
    <w:rsid w:val="3522586C"/>
    <w:rsid w:val="35572473"/>
    <w:rsid w:val="35602226"/>
    <w:rsid w:val="356B72E7"/>
    <w:rsid w:val="356D2AC8"/>
    <w:rsid w:val="3572424F"/>
    <w:rsid w:val="35866014"/>
    <w:rsid w:val="359E5CE0"/>
    <w:rsid w:val="362B215D"/>
    <w:rsid w:val="363E0D05"/>
    <w:rsid w:val="36550380"/>
    <w:rsid w:val="367801A9"/>
    <w:rsid w:val="36AD519D"/>
    <w:rsid w:val="36B57705"/>
    <w:rsid w:val="36CB08C5"/>
    <w:rsid w:val="36DC1DD3"/>
    <w:rsid w:val="37090CD6"/>
    <w:rsid w:val="37122320"/>
    <w:rsid w:val="372F6E95"/>
    <w:rsid w:val="373E6129"/>
    <w:rsid w:val="3754697A"/>
    <w:rsid w:val="37636A21"/>
    <w:rsid w:val="37883E50"/>
    <w:rsid w:val="37A103ED"/>
    <w:rsid w:val="37A367C3"/>
    <w:rsid w:val="37BD33EE"/>
    <w:rsid w:val="37C24FF3"/>
    <w:rsid w:val="37E02B23"/>
    <w:rsid w:val="37E345A6"/>
    <w:rsid w:val="37EA5E6E"/>
    <w:rsid w:val="37FF016F"/>
    <w:rsid w:val="382A6E2D"/>
    <w:rsid w:val="38534B1D"/>
    <w:rsid w:val="386E4145"/>
    <w:rsid w:val="387C5ABE"/>
    <w:rsid w:val="3899313F"/>
    <w:rsid w:val="38B66D0C"/>
    <w:rsid w:val="38EB6119"/>
    <w:rsid w:val="38ED3021"/>
    <w:rsid w:val="392D500E"/>
    <w:rsid w:val="394B330A"/>
    <w:rsid w:val="395948D8"/>
    <w:rsid w:val="396678D9"/>
    <w:rsid w:val="39736669"/>
    <w:rsid w:val="397A0ADB"/>
    <w:rsid w:val="39954B2B"/>
    <w:rsid w:val="39DA2245"/>
    <w:rsid w:val="39E66E3B"/>
    <w:rsid w:val="39FD4CC2"/>
    <w:rsid w:val="3A51228C"/>
    <w:rsid w:val="3A545E48"/>
    <w:rsid w:val="3A552E60"/>
    <w:rsid w:val="3A5D642F"/>
    <w:rsid w:val="3A744447"/>
    <w:rsid w:val="3A78219D"/>
    <w:rsid w:val="3A995C5C"/>
    <w:rsid w:val="3AB210FC"/>
    <w:rsid w:val="3B043A1D"/>
    <w:rsid w:val="3B086DA8"/>
    <w:rsid w:val="3B1A2548"/>
    <w:rsid w:val="3B212C76"/>
    <w:rsid w:val="3B44206B"/>
    <w:rsid w:val="3B793A48"/>
    <w:rsid w:val="3B85393E"/>
    <w:rsid w:val="3BCA4B8A"/>
    <w:rsid w:val="3BCD72F7"/>
    <w:rsid w:val="3BF4153E"/>
    <w:rsid w:val="3C37146A"/>
    <w:rsid w:val="3C3D3625"/>
    <w:rsid w:val="3C414142"/>
    <w:rsid w:val="3C5B725E"/>
    <w:rsid w:val="3C88055A"/>
    <w:rsid w:val="3C8841DA"/>
    <w:rsid w:val="3CAF79B9"/>
    <w:rsid w:val="3CB35097"/>
    <w:rsid w:val="3CF737A2"/>
    <w:rsid w:val="3D10295A"/>
    <w:rsid w:val="3D184041"/>
    <w:rsid w:val="3D370C2A"/>
    <w:rsid w:val="3D414FC0"/>
    <w:rsid w:val="3D7D049C"/>
    <w:rsid w:val="3DC4250E"/>
    <w:rsid w:val="3DE20EAE"/>
    <w:rsid w:val="3DEF3701"/>
    <w:rsid w:val="3E0572FD"/>
    <w:rsid w:val="3E0720FE"/>
    <w:rsid w:val="3E2819F6"/>
    <w:rsid w:val="3E287A22"/>
    <w:rsid w:val="3E5A7FE7"/>
    <w:rsid w:val="3E955A6A"/>
    <w:rsid w:val="3E964D81"/>
    <w:rsid w:val="3EEF6FFF"/>
    <w:rsid w:val="3EF66B2E"/>
    <w:rsid w:val="3F217914"/>
    <w:rsid w:val="3F5D44A8"/>
    <w:rsid w:val="3FD70BB0"/>
    <w:rsid w:val="3FF1740C"/>
    <w:rsid w:val="3FF542A0"/>
    <w:rsid w:val="3FFB55AC"/>
    <w:rsid w:val="40017152"/>
    <w:rsid w:val="400A057C"/>
    <w:rsid w:val="401C5F9D"/>
    <w:rsid w:val="401C690C"/>
    <w:rsid w:val="401D7195"/>
    <w:rsid w:val="402D6138"/>
    <w:rsid w:val="405C1C05"/>
    <w:rsid w:val="407A652F"/>
    <w:rsid w:val="40825D97"/>
    <w:rsid w:val="409928E7"/>
    <w:rsid w:val="40997CFE"/>
    <w:rsid w:val="409C35A8"/>
    <w:rsid w:val="40A06CB8"/>
    <w:rsid w:val="40C33CD5"/>
    <w:rsid w:val="40C45B55"/>
    <w:rsid w:val="40CE3DC0"/>
    <w:rsid w:val="40D7455A"/>
    <w:rsid w:val="40E743E5"/>
    <w:rsid w:val="40EB4012"/>
    <w:rsid w:val="410A1661"/>
    <w:rsid w:val="41246142"/>
    <w:rsid w:val="412D5EA0"/>
    <w:rsid w:val="416D78C7"/>
    <w:rsid w:val="41734CBA"/>
    <w:rsid w:val="417F4E1A"/>
    <w:rsid w:val="41A82190"/>
    <w:rsid w:val="41DE5999"/>
    <w:rsid w:val="41E1181A"/>
    <w:rsid w:val="41E32A20"/>
    <w:rsid w:val="41FA3241"/>
    <w:rsid w:val="420F7A65"/>
    <w:rsid w:val="4216611A"/>
    <w:rsid w:val="423E300F"/>
    <w:rsid w:val="425656C8"/>
    <w:rsid w:val="4257273C"/>
    <w:rsid w:val="42594918"/>
    <w:rsid w:val="42687ACE"/>
    <w:rsid w:val="4285733F"/>
    <w:rsid w:val="429E6041"/>
    <w:rsid w:val="42BF4B02"/>
    <w:rsid w:val="42C84B75"/>
    <w:rsid w:val="42FD694D"/>
    <w:rsid w:val="43525542"/>
    <w:rsid w:val="437D6687"/>
    <w:rsid w:val="438351F5"/>
    <w:rsid w:val="438D35EA"/>
    <w:rsid w:val="43BC1E57"/>
    <w:rsid w:val="43D23F8D"/>
    <w:rsid w:val="43D43F1D"/>
    <w:rsid w:val="43FA5777"/>
    <w:rsid w:val="44023422"/>
    <w:rsid w:val="44184A2D"/>
    <w:rsid w:val="441C1611"/>
    <w:rsid w:val="44226CE5"/>
    <w:rsid w:val="443C440B"/>
    <w:rsid w:val="44506DE3"/>
    <w:rsid w:val="44514F52"/>
    <w:rsid w:val="44761C8F"/>
    <w:rsid w:val="449722E3"/>
    <w:rsid w:val="449D7B09"/>
    <w:rsid w:val="44AE3FD4"/>
    <w:rsid w:val="44D0586F"/>
    <w:rsid w:val="44FA2D53"/>
    <w:rsid w:val="4504751B"/>
    <w:rsid w:val="453B49AD"/>
    <w:rsid w:val="453C4912"/>
    <w:rsid w:val="45627191"/>
    <w:rsid w:val="45687813"/>
    <w:rsid w:val="456E7B7D"/>
    <w:rsid w:val="4571374F"/>
    <w:rsid w:val="458B1BB0"/>
    <w:rsid w:val="45AD31D6"/>
    <w:rsid w:val="45B93426"/>
    <w:rsid w:val="464C6420"/>
    <w:rsid w:val="46552F9B"/>
    <w:rsid w:val="466E04E0"/>
    <w:rsid w:val="467742E7"/>
    <w:rsid w:val="467A0297"/>
    <w:rsid w:val="468B7125"/>
    <w:rsid w:val="469031CB"/>
    <w:rsid w:val="46B506EF"/>
    <w:rsid w:val="46BC1F6E"/>
    <w:rsid w:val="46C4691F"/>
    <w:rsid w:val="46CB53EF"/>
    <w:rsid w:val="46CE645F"/>
    <w:rsid w:val="470F5A71"/>
    <w:rsid w:val="47685427"/>
    <w:rsid w:val="4779499C"/>
    <w:rsid w:val="479C6284"/>
    <w:rsid w:val="479D1D34"/>
    <w:rsid w:val="47B609C0"/>
    <w:rsid w:val="47EC3B04"/>
    <w:rsid w:val="47EC6277"/>
    <w:rsid w:val="47F32A62"/>
    <w:rsid w:val="481A219B"/>
    <w:rsid w:val="482D31EA"/>
    <w:rsid w:val="48594C7C"/>
    <w:rsid w:val="485970A0"/>
    <w:rsid w:val="48667F79"/>
    <w:rsid w:val="486A6E89"/>
    <w:rsid w:val="48702E73"/>
    <w:rsid w:val="48823516"/>
    <w:rsid w:val="48877686"/>
    <w:rsid w:val="48AF1458"/>
    <w:rsid w:val="48B176C2"/>
    <w:rsid w:val="48B65C71"/>
    <w:rsid w:val="48FB1909"/>
    <w:rsid w:val="491574F4"/>
    <w:rsid w:val="491F266E"/>
    <w:rsid w:val="492E6A57"/>
    <w:rsid w:val="495839AA"/>
    <w:rsid w:val="49771AFE"/>
    <w:rsid w:val="49802948"/>
    <w:rsid w:val="4986089F"/>
    <w:rsid w:val="498B5309"/>
    <w:rsid w:val="4993589D"/>
    <w:rsid w:val="499E6DEB"/>
    <w:rsid w:val="499F0AAB"/>
    <w:rsid w:val="49C33FF5"/>
    <w:rsid w:val="49C63D13"/>
    <w:rsid w:val="49CD72A2"/>
    <w:rsid w:val="49DB11EC"/>
    <w:rsid w:val="49E22068"/>
    <w:rsid w:val="49E31DD1"/>
    <w:rsid w:val="49E64E2B"/>
    <w:rsid w:val="49E82ED4"/>
    <w:rsid w:val="4A0030EE"/>
    <w:rsid w:val="4A0568D6"/>
    <w:rsid w:val="4A0C4F3C"/>
    <w:rsid w:val="4A404105"/>
    <w:rsid w:val="4A484D41"/>
    <w:rsid w:val="4A6D15F8"/>
    <w:rsid w:val="4A8C4FB8"/>
    <w:rsid w:val="4A9A25BD"/>
    <w:rsid w:val="4A9E0551"/>
    <w:rsid w:val="4AA03D78"/>
    <w:rsid w:val="4AAB17DF"/>
    <w:rsid w:val="4AB542AE"/>
    <w:rsid w:val="4ABA7AB3"/>
    <w:rsid w:val="4AF72FEA"/>
    <w:rsid w:val="4B243D9D"/>
    <w:rsid w:val="4B5B54F0"/>
    <w:rsid w:val="4B645524"/>
    <w:rsid w:val="4B8C2DEB"/>
    <w:rsid w:val="4BC423D3"/>
    <w:rsid w:val="4BFA3C9F"/>
    <w:rsid w:val="4C042674"/>
    <w:rsid w:val="4C107F48"/>
    <w:rsid w:val="4C3277BC"/>
    <w:rsid w:val="4C5C442D"/>
    <w:rsid w:val="4C6D42A9"/>
    <w:rsid w:val="4C716A38"/>
    <w:rsid w:val="4CC0351C"/>
    <w:rsid w:val="4CC353EB"/>
    <w:rsid w:val="4CE64E14"/>
    <w:rsid w:val="4CF36F3C"/>
    <w:rsid w:val="4D00189F"/>
    <w:rsid w:val="4D007BC8"/>
    <w:rsid w:val="4D1470BD"/>
    <w:rsid w:val="4D154882"/>
    <w:rsid w:val="4D1C3C50"/>
    <w:rsid w:val="4D603399"/>
    <w:rsid w:val="4D6A7284"/>
    <w:rsid w:val="4D867EE1"/>
    <w:rsid w:val="4DB07591"/>
    <w:rsid w:val="4DBC4C65"/>
    <w:rsid w:val="4DE2009B"/>
    <w:rsid w:val="4E0F235E"/>
    <w:rsid w:val="4E157689"/>
    <w:rsid w:val="4E533FA5"/>
    <w:rsid w:val="4E550010"/>
    <w:rsid w:val="4E5964E9"/>
    <w:rsid w:val="4E5F14CB"/>
    <w:rsid w:val="4E6808B0"/>
    <w:rsid w:val="4E973310"/>
    <w:rsid w:val="4EC00DDD"/>
    <w:rsid w:val="4EE334F2"/>
    <w:rsid w:val="4EF265BE"/>
    <w:rsid w:val="4EFB1C45"/>
    <w:rsid w:val="4F0C2A48"/>
    <w:rsid w:val="4F26273B"/>
    <w:rsid w:val="4F2D3A8A"/>
    <w:rsid w:val="4F32478A"/>
    <w:rsid w:val="4F3705F8"/>
    <w:rsid w:val="4F785B69"/>
    <w:rsid w:val="4F9714A0"/>
    <w:rsid w:val="4FAC3540"/>
    <w:rsid w:val="4FC56ABD"/>
    <w:rsid w:val="4FC97CE0"/>
    <w:rsid w:val="4FCF1583"/>
    <w:rsid w:val="4FD23E66"/>
    <w:rsid w:val="4FD44D1B"/>
    <w:rsid w:val="4FDC066D"/>
    <w:rsid w:val="4FFA7625"/>
    <w:rsid w:val="50453E7E"/>
    <w:rsid w:val="50485BA4"/>
    <w:rsid w:val="507D2599"/>
    <w:rsid w:val="508F08E7"/>
    <w:rsid w:val="5096229D"/>
    <w:rsid w:val="509E157D"/>
    <w:rsid w:val="50DA3350"/>
    <w:rsid w:val="50DC4184"/>
    <w:rsid w:val="50FB6146"/>
    <w:rsid w:val="512F4CA0"/>
    <w:rsid w:val="51323DB9"/>
    <w:rsid w:val="51361FFF"/>
    <w:rsid w:val="513723D1"/>
    <w:rsid w:val="514C3EA7"/>
    <w:rsid w:val="51551AFE"/>
    <w:rsid w:val="51FF3C99"/>
    <w:rsid w:val="52363D4D"/>
    <w:rsid w:val="52521A20"/>
    <w:rsid w:val="52722770"/>
    <w:rsid w:val="52A27564"/>
    <w:rsid w:val="52AC4ABC"/>
    <w:rsid w:val="52C201B9"/>
    <w:rsid w:val="52E57A12"/>
    <w:rsid w:val="52F20B62"/>
    <w:rsid w:val="538152F3"/>
    <w:rsid w:val="53827E49"/>
    <w:rsid w:val="538A6BB9"/>
    <w:rsid w:val="539964FD"/>
    <w:rsid w:val="539C1B81"/>
    <w:rsid w:val="53A447B1"/>
    <w:rsid w:val="53AE750F"/>
    <w:rsid w:val="53D00C67"/>
    <w:rsid w:val="53D224B3"/>
    <w:rsid w:val="53DF06D8"/>
    <w:rsid w:val="53DF60FC"/>
    <w:rsid w:val="53F81D96"/>
    <w:rsid w:val="544B5214"/>
    <w:rsid w:val="546B0405"/>
    <w:rsid w:val="549A6BFA"/>
    <w:rsid w:val="54B36A7C"/>
    <w:rsid w:val="54D933CD"/>
    <w:rsid w:val="55055F70"/>
    <w:rsid w:val="55244D7F"/>
    <w:rsid w:val="55362287"/>
    <w:rsid w:val="55432F3C"/>
    <w:rsid w:val="55474BD1"/>
    <w:rsid w:val="554A577D"/>
    <w:rsid w:val="555016D2"/>
    <w:rsid w:val="556D2820"/>
    <w:rsid w:val="55C3227E"/>
    <w:rsid w:val="55FA2961"/>
    <w:rsid w:val="5602250F"/>
    <w:rsid w:val="564220BA"/>
    <w:rsid w:val="565E7F4F"/>
    <w:rsid w:val="565F3DA6"/>
    <w:rsid w:val="56914056"/>
    <w:rsid w:val="56C36589"/>
    <w:rsid w:val="570D55B0"/>
    <w:rsid w:val="5719464F"/>
    <w:rsid w:val="57293C95"/>
    <w:rsid w:val="572A6381"/>
    <w:rsid w:val="572B41B4"/>
    <w:rsid w:val="572E079D"/>
    <w:rsid w:val="57365868"/>
    <w:rsid w:val="573C1959"/>
    <w:rsid w:val="57F12ED6"/>
    <w:rsid w:val="57F65317"/>
    <w:rsid w:val="57FC2169"/>
    <w:rsid w:val="58024015"/>
    <w:rsid w:val="58096275"/>
    <w:rsid w:val="5819544F"/>
    <w:rsid w:val="582E6EF7"/>
    <w:rsid w:val="584E30E6"/>
    <w:rsid w:val="58546EFD"/>
    <w:rsid w:val="58E26731"/>
    <w:rsid w:val="590E4A97"/>
    <w:rsid w:val="591250FF"/>
    <w:rsid w:val="5920012C"/>
    <w:rsid w:val="592B1244"/>
    <w:rsid w:val="594714AD"/>
    <w:rsid w:val="595578DE"/>
    <w:rsid w:val="597B384D"/>
    <w:rsid w:val="59996DA8"/>
    <w:rsid w:val="599C05DE"/>
    <w:rsid w:val="59C30F1B"/>
    <w:rsid w:val="59E44015"/>
    <w:rsid w:val="59FE45F2"/>
    <w:rsid w:val="5A8C20D0"/>
    <w:rsid w:val="5AC7121C"/>
    <w:rsid w:val="5AD90B8D"/>
    <w:rsid w:val="5AE12927"/>
    <w:rsid w:val="5AE35472"/>
    <w:rsid w:val="5AF41CF3"/>
    <w:rsid w:val="5AF87CC9"/>
    <w:rsid w:val="5B19477F"/>
    <w:rsid w:val="5B4E1A44"/>
    <w:rsid w:val="5B4E260E"/>
    <w:rsid w:val="5B774ED6"/>
    <w:rsid w:val="5B873201"/>
    <w:rsid w:val="5B967767"/>
    <w:rsid w:val="5B9D1624"/>
    <w:rsid w:val="5C0C2FF6"/>
    <w:rsid w:val="5C1241CC"/>
    <w:rsid w:val="5C286807"/>
    <w:rsid w:val="5C370E72"/>
    <w:rsid w:val="5C446BC8"/>
    <w:rsid w:val="5C4529E1"/>
    <w:rsid w:val="5C4B56E1"/>
    <w:rsid w:val="5C7146B1"/>
    <w:rsid w:val="5C7C2768"/>
    <w:rsid w:val="5CB23AE6"/>
    <w:rsid w:val="5CDC0A42"/>
    <w:rsid w:val="5CED5863"/>
    <w:rsid w:val="5D0D6DF5"/>
    <w:rsid w:val="5D580A8A"/>
    <w:rsid w:val="5D893B14"/>
    <w:rsid w:val="5DB42C29"/>
    <w:rsid w:val="5E291636"/>
    <w:rsid w:val="5E6F64A1"/>
    <w:rsid w:val="5E7E7421"/>
    <w:rsid w:val="5E865E60"/>
    <w:rsid w:val="5E8B0770"/>
    <w:rsid w:val="5EA06921"/>
    <w:rsid w:val="5EA902B4"/>
    <w:rsid w:val="5EBA259F"/>
    <w:rsid w:val="5EE97BB4"/>
    <w:rsid w:val="5F085DDA"/>
    <w:rsid w:val="5F2E2D52"/>
    <w:rsid w:val="5F4170BF"/>
    <w:rsid w:val="5F54198B"/>
    <w:rsid w:val="5F546D2C"/>
    <w:rsid w:val="5F9D1350"/>
    <w:rsid w:val="5FBE370A"/>
    <w:rsid w:val="5FC83407"/>
    <w:rsid w:val="5FD56E87"/>
    <w:rsid w:val="5FF0558C"/>
    <w:rsid w:val="601A27F4"/>
    <w:rsid w:val="60292845"/>
    <w:rsid w:val="605238CF"/>
    <w:rsid w:val="6053694F"/>
    <w:rsid w:val="607921FE"/>
    <w:rsid w:val="608F62AE"/>
    <w:rsid w:val="60A06C62"/>
    <w:rsid w:val="60B9251B"/>
    <w:rsid w:val="60E236C1"/>
    <w:rsid w:val="611911B1"/>
    <w:rsid w:val="61260B6B"/>
    <w:rsid w:val="612B3ABB"/>
    <w:rsid w:val="612E1A5D"/>
    <w:rsid w:val="614E5D7E"/>
    <w:rsid w:val="61560892"/>
    <w:rsid w:val="61770BF8"/>
    <w:rsid w:val="61816046"/>
    <w:rsid w:val="61BD1325"/>
    <w:rsid w:val="61C81AB1"/>
    <w:rsid w:val="61D417B9"/>
    <w:rsid w:val="620B0059"/>
    <w:rsid w:val="62391564"/>
    <w:rsid w:val="623F0B7F"/>
    <w:rsid w:val="624A22BE"/>
    <w:rsid w:val="624B4424"/>
    <w:rsid w:val="626A1E19"/>
    <w:rsid w:val="626E235A"/>
    <w:rsid w:val="626F60D5"/>
    <w:rsid w:val="62816669"/>
    <w:rsid w:val="6282086D"/>
    <w:rsid w:val="62B36CD7"/>
    <w:rsid w:val="62BA0953"/>
    <w:rsid w:val="62D03A7C"/>
    <w:rsid w:val="62F42FAE"/>
    <w:rsid w:val="62F648FE"/>
    <w:rsid w:val="63167A4F"/>
    <w:rsid w:val="631D2BD6"/>
    <w:rsid w:val="635356F3"/>
    <w:rsid w:val="635D6064"/>
    <w:rsid w:val="636E4F60"/>
    <w:rsid w:val="637D5B70"/>
    <w:rsid w:val="63825E77"/>
    <w:rsid w:val="63A10995"/>
    <w:rsid w:val="63C23EFA"/>
    <w:rsid w:val="63D255DA"/>
    <w:rsid w:val="64076B79"/>
    <w:rsid w:val="640B7654"/>
    <w:rsid w:val="643A070A"/>
    <w:rsid w:val="64402337"/>
    <w:rsid w:val="64410A96"/>
    <w:rsid w:val="644C573D"/>
    <w:rsid w:val="64507EFB"/>
    <w:rsid w:val="64B97A50"/>
    <w:rsid w:val="65032F85"/>
    <w:rsid w:val="651304A7"/>
    <w:rsid w:val="65136B50"/>
    <w:rsid w:val="657E2A35"/>
    <w:rsid w:val="65A94E9D"/>
    <w:rsid w:val="65B96B3F"/>
    <w:rsid w:val="65BE1071"/>
    <w:rsid w:val="65C60A92"/>
    <w:rsid w:val="65D35142"/>
    <w:rsid w:val="660451CE"/>
    <w:rsid w:val="660B02F6"/>
    <w:rsid w:val="665346B7"/>
    <w:rsid w:val="66705A4E"/>
    <w:rsid w:val="667C7CCE"/>
    <w:rsid w:val="66904E86"/>
    <w:rsid w:val="669C56BF"/>
    <w:rsid w:val="66A12460"/>
    <w:rsid w:val="66A20C1E"/>
    <w:rsid w:val="66BE2423"/>
    <w:rsid w:val="66DD6702"/>
    <w:rsid w:val="6712451C"/>
    <w:rsid w:val="671B1623"/>
    <w:rsid w:val="671E6EBA"/>
    <w:rsid w:val="672C0ACD"/>
    <w:rsid w:val="675352AA"/>
    <w:rsid w:val="6759400B"/>
    <w:rsid w:val="675E528D"/>
    <w:rsid w:val="676C598C"/>
    <w:rsid w:val="67966EFB"/>
    <w:rsid w:val="679E7FA1"/>
    <w:rsid w:val="67A32389"/>
    <w:rsid w:val="67B768D0"/>
    <w:rsid w:val="67C779FD"/>
    <w:rsid w:val="682A2352"/>
    <w:rsid w:val="682E7AFD"/>
    <w:rsid w:val="68707071"/>
    <w:rsid w:val="687A4379"/>
    <w:rsid w:val="687B015C"/>
    <w:rsid w:val="687E3889"/>
    <w:rsid w:val="6884222C"/>
    <w:rsid w:val="68AD17BB"/>
    <w:rsid w:val="68B620A8"/>
    <w:rsid w:val="68D94D22"/>
    <w:rsid w:val="68FC2FE7"/>
    <w:rsid w:val="692B2E4A"/>
    <w:rsid w:val="69457F18"/>
    <w:rsid w:val="696A0B34"/>
    <w:rsid w:val="69821807"/>
    <w:rsid w:val="698D6A17"/>
    <w:rsid w:val="69B81C97"/>
    <w:rsid w:val="69D37590"/>
    <w:rsid w:val="69F954C1"/>
    <w:rsid w:val="69FA2750"/>
    <w:rsid w:val="6A1E1E73"/>
    <w:rsid w:val="6A2031B6"/>
    <w:rsid w:val="6A26299B"/>
    <w:rsid w:val="6A276275"/>
    <w:rsid w:val="6A2F57D7"/>
    <w:rsid w:val="6A3C1D40"/>
    <w:rsid w:val="6A6432E1"/>
    <w:rsid w:val="6A6A5005"/>
    <w:rsid w:val="6A8D5833"/>
    <w:rsid w:val="6AA23DFF"/>
    <w:rsid w:val="6AC61F6F"/>
    <w:rsid w:val="6AD34E53"/>
    <w:rsid w:val="6AD83EA1"/>
    <w:rsid w:val="6ADE74F0"/>
    <w:rsid w:val="6B1D62E8"/>
    <w:rsid w:val="6B723594"/>
    <w:rsid w:val="6B805156"/>
    <w:rsid w:val="6B945E48"/>
    <w:rsid w:val="6BD50977"/>
    <w:rsid w:val="6BE450D3"/>
    <w:rsid w:val="6BE60C84"/>
    <w:rsid w:val="6C587C0E"/>
    <w:rsid w:val="6C6C32E1"/>
    <w:rsid w:val="6C6E3E15"/>
    <w:rsid w:val="6C824768"/>
    <w:rsid w:val="6C8B1F5D"/>
    <w:rsid w:val="6CAA3931"/>
    <w:rsid w:val="6CB27339"/>
    <w:rsid w:val="6CCF3BFB"/>
    <w:rsid w:val="6CD02EB0"/>
    <w:rsid w:val="6D325918"/>
    <w:rsid w:val="6D370B82"/>
    <w:rsid w:val="6D3933CA"/>
    <w:rsid w:val="6D6261FE"/>
    <w:rsid w:val="6D7B61EC"/>
    <w:rsid w:val="6D8E03AA"/>
    <w:rsid w:val="6DBB089F"/>
    <w:rsid w:val="6DC63038"/>
    <w:rsid w:val="6DE30DE0"/>
    <w:rsid w:val="6DE6130A"/>
    <w:rsid w:val="6DE839B9"/>
    <w:rsid w:val="6E09491E"/>
    <w:rsid w:val="6E0D3655"/>
    <w:rsid w:val="6E1A437E"/>
    <w:rsid w:val="6E3A144E"/>
    <w:rsid w:val="6E4C4475"/>
    <w:rsid w:val="6E5F4465"/>
    <w:rsid w:val="6E8B1663"/>
    <w:rsid w:val="6E8C54DA"/>
    <w:rsid w:val="6ECF52E8"/>
    <w:rsid w:val="6EF11E03"/>
    <w:rsid w:val="6EF1241D"/>
    <w:rsid w:val="6EF82916"/>
    <w:rsid w:val="6F0B2DE7"/>
    <w:rsid w:val="6F111C62"/>
    <w:rsid w:val="6F2176E5"/>
    <w:rsid w:val="6F2D79CC"/>
    <w:rsid w:val="6F3A2A5F"/>
    <w:rsid w:val="6F4F7F03"/>
    <w:rsid w:val="6F592303"/>
    <w:rsid w:val="6F5F5B74"/>
    <w:rsid w:val="6F8D149B"/>
    <w:rsid w:val="6F98032D"/>
    <w:rsid w:val="6F9B1C65"/>
    <w:rsid w:val="6FA44937"/>
    <w:rsid w:val="6FE82C9C"/>
    <w:rsid w:val="6FF47174"/>
    <w:rsid w:val="6FFB146E"/>
    <w:rsid w:val="6FFC3AA6"/>
    <w:rsid w:val="70160742"/>
    <w:rsid w:val="702C7A97"/>
    <w:rsid w:val="7030610F"/>
    <w:rsid w:val="70612DB4"/>
    <w:rsid w:val="706516C3"/>
    <w:rsid w:val="70896E68"/>
    <w:rsid w:val="708A4844"/>
    <w:rsid w:val="70E05E9D"/>
    <w:rsid w:val="71073061"/>
    <w:rsid w:val="711A201F"/>
    <w:rsid w:val="71396ACC"/>
    <w:rsid w:val="715B60E9"/>
    <w:rsid w:val="715D4C96"/>
    <w:rsid w:val="716F0EE9"/>
    <w:rsid w:val="7196674D"/>
    <w:rsid w:val="71CD6D08"/>
    <w:rsid w:val="71EA1FED"/>
    <w:rsid w:val="72165C6B"/>
    <w:rsid w:val="722021E3"/>
    <w:rsid w:val="722C6DDA"/>
    <w:rsid w:val="72345748"/>
    <w:rsid w:val="72E661B1"/>
    <w:rsid w:val="72F90C18"/>
    <w:rsid w:val="730313F6"/>
    <w:rsid w:val="730E4732"/>
    <w:rsid w:val="732A6AD8"/>
    <w:rsid w:val="73370D24"/>
    <w:rsid w:val="73472C84"/>
    <w:rsid w:val="7359268C"/>
    <w:rsid w:val="7366631C"/>
    <w:rsid w:val="736C263C"/>
    <w:rsid w:val="73723640"/>
    <w:rsid w:val="737311F5"/>
    <w:rsid w:val="73761585"/>
    <w:rsid w:val="739503EB"/>
    <w:rsid w:val="73A05B28"/>
    <w:rsid w:val="73C07D69"/>
    <w:rsid w:val="73DC335B"/>
    <w:rsid w:val="74026044"/>
    <w:rsid w:val="740B60EC"/>
    <w:rsid w:val="74717AE5"/>
    <w:rsid w:val="749E16A8"/>
    <w:rsid w:val="74B42AE4"/>
    <w:rsid w:val="74C54993"/>
    <w:rsid w:val="750A429D"/>
    <w:rsid w:val="75252454"/>
    <w:rsid w:val="7533222E"/>
    <w:rsid w:val="75474B47"/>
    <w:rsid w:val="75614792"/>
    <w:rsid w:val="75761866"/>
    <w:rsid w:val="75784473"/>
    <w:rsid w:val="7582466D"/>
    <w:rsid w:val="75B161B3"/>
    <w:rsid w:val="75C055BD"/>
    <w:rsid w:val="75C46B63"/>
    <w:rsid w:val="75DC6C44"/>
    <w:rsid w:val="761932D3"/>
    <w:rsid w:val="762770AC"/>
    <w:rsid w:val="762F6A19"/>
    <w:rsid w:val="76341B33"/>
    <w:rsid w:val="76533487"/>
    <w:rsid w:val="76736B32"/>
    <w:rsid w:val="768811B6"/>
    <w:rsid w:val="76AF35EE"/>
    <w:rsid w:val="76C27A74"/>
    <w:rsid w:val="76E3765E"/>
    <w:rsid w:val="76FC2AFA"/>
    <w:rsid w:val="76FD3782"/>
    <w:rsid w:val="77527424"/>
    <w:rsid w:val="77653671"/>
    <w:rsid w:val="778546CC"/>
    <w:rsid w:val="778B6B46"/>
    <w:rsid w:val="77A96931"/>
    <w:rsid w:val="77B105D5"/>
    <w:rsid w:val="77B551B3"/>
    <w:rsid w:val="77B56730"/>
    <w:rsid w:val="77B92EBE"/>
    <w:rsid w:val="77BF1E80"/>
    <w:rsid w:val="77C04A8B"/>
    <w:rsid w:val="77D85DB3"/>
    <w:rsid w:val="77E61BDB"/>
    <w:rsid w:val="77EB1B74"/>
    <w:rsid w:val="77F12928"/>
    <w:rsid w:val="782A3EA3"/>
    <w:rsid w:val="78A50513"/>
    <w:rsid w:val="78D37FAF"/>
    <w:rsid w:val="78EF7AB5"/>
    <w:rsid w:val="790A4A06"/>
    <w:rsid w:val="790D6849"/>
    <w:rsid w:val="79252148"/>
    <w:rsid w:val="795767E3"/>
    <w:rsid w:val="79586707"/>
    <w:rsid w:val="796518DD"/>
    <w:rsid w:val="79724BEF"/>
    <w:rsid w:val="797264AC"/>
    <w:rsid w:val="797D35A8"/>
    <w:rsid w:val="799008E5"/>
    <w:rsid w:val="79AA0532"/>
    <w:rsid w:val="79AB2CDA"/>
    <w:rsid w:val="79C370A4"/>
    <w:rsid w:val="79FE1DDD"/>
    <w:rsid w:val="7A075767"/>
    <w:rsid w:val="7A0C15B3"/>
    <w:rsid w:val="7A212062"/>
    <w:rsid w:val="7A2522C9"/>
    <w:rsid w:val="7A282A11"/>
    <w:rsid w:val="7A3A59B8"/>
    <w:rsid w:val="7A531649"/>
    <w:rsid w:val="7A5D0F75"/>
    <w:rsid w:val="7A715CD2"/>
    <w:rsid w:val="7A921E9A"/>
    <w:rsid w:val="7AAF1F8F"/>
    <w:rsid w:val="7ABF2475"/>
    <w:rsid w:val="7AC21562"/>
    <w:rsid w:val="7AD213D2"/>
    <w:rsid w:val="7AD474A4"/>
    <w:rsid w:val="7AF55544"/>
    <w:rsid w:val="7AFC38DE"/>
    <w:rsid w:val="7B165244"/>
    <w:rsid w:val="7B217A1E"/>
    <w:rsid w:val="7B2965AD"/>
    <w:rsid w:val="7B303E8C"/>
    <w:rsid w:val="7B39121D"/>
    <w:rsid w:val="7B865D50"/>
    <w:rsid w:val="7B87547C"/>
    <w:rsid w:val="7B8D34C3"/>
    <w:rsid w:val="7B971D84"/>
    <w:rsid w:val="7BAB0CB7"/>
    <w:rsid w:val="7BB4028F"/>
    <w:rsid w:val="7BE85BAB"/>
    <w:rsid w:val="7BF32F03"/>
    <w:rsid w:val="7BF42D23"/>
    <w:rsid w:val="7BF50D2C"/>
    <w:rsid w:val="7C066F4E"/>
    <w:rsid w:val="7C1724A5"/>
    <w:rsid w:val="7CA54112"/>
    <w:rsid w:val="7CA553D9"/>
    <w:rsid w:val="7CAB27F5"/>
    <w:rsid w:val="7CAF438A"/>
    <w:rsid w:val="7CBE6703"/>
    <w:rsid w:val="7CCE726D"/>
    <w:rsid w:val="7CD71EA3"/>
    <w:rsid w:val="7CDC31AB"/>
    <w:rsid w:val="7CE50CE4"/>
    <w:rsid w:val="7CF877E9"/>
    <w:rsid w:val="7D134762"/>
    <w:rsid w:val="7D2E5ABF"/>
    <w:rsid w:val="7D4A45B8"/>
    <w:rsid w:val="7E007625"/>
    <w:rsid w:val="7E0737C8"/>
    <w:rsid w:val="7E131C51"/>
    <w:rsid w:val="7E176B90"/>
    <w:rsid w:val="7E2142A2"/>
    <w:rsid w:val="7E240411"/>
    <w:rsid w:val="7E6A046F"/>
    <w:rsid w:val="7E797DE5"/>
    <w:rsid w:val="7E7B0BF2"/>
    <w:rsid w:val="7E8D75B6"/>
    <w:rsid w:val="7E8E672B"/>
    <w:rsid w:val="7EF760EE"/>
    <w:rsid w:val="7F193E37"/>
    <w:rsid w:val="7F2536B5"/>
    <w:rsid w:val="7F485E64"/>
    <w:rsid w:val="7F5A01CA"/>
    <w:rsid w:val="7F942D38"/>
    <w:rsid w:val="7FA017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5">
    <w:name w:val="heading 1"/>
    <w:basedOn w:val="1"/>
    <w:next w:val="1"/>
    <w:link w:val="78"/>
    <w:qFormat/>
    <w:uiPriority w:val="9"/>
    <w:pPr>
      <w:keepNext/>
      <w:keepLines/>
      <w:spacing w:before="340" w:after="330" w:line="576" w:lineRule="auto"/>
      <w:outlineLvl w:val="0"/>
    </w:pPr>
    <w:rPr>
      <w:b/>
      <w:kern w:val="44"/>
      <w:sz w:val="44"/>
    </w:rPr>
  </w:style>
  <w:style w:type="paragraph" w:styleId="6">
    <w:name w:val="heading 2"/>
    <w:basedOn w:val="1"/>
    <w:next w:val="1"/>
    <w:link w:val="4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5"/>
    <w:unhideWhenUsed/>
    <w:qFormat/>
    <w:uiPriority w:val="9"/>
    <w:pPr>
      <w:keepNext/>
      <w:keepLines/>
      <w:spacing w:before="260" w:after="260" w:line="416" w:lineRule="auto"/>
      <w:outlineLvl w:val="2"/>
    </w:pPr>
    <w:rPr>
      <w:b/>
      <w:bCs/>
      <w:sz w:val="32"/>
      <w:szCs w:val="32"/>
    </w:rPr>
  </w:style>
  <w:style w:type="paragraph" w:styleId="8">
    <w:name w:val="heading 4"/>
    <w:basedOn w:val="1"/>
    <w:next w:val="1"/>
    <w:link w:val="47"/>
    <w:unhideWhenUsed/>
    <w:qFormat/>
    <w:uiPriority w:val="9"/>
    <w:pPr>
      <w:keepNext/>
      <w:keepLines/>
      <w:outlineLvl w:val="3"/>
    </w:pPr>
    <w:rPr>
      <w:rFonts w:asciiTheme="majorHAnsi" w:hAnsiTheme="majorHAnsi" w:cstheme="majorBidi"/>
      <w:b/>
      <w:bCs/>
      <w:sz w:val="24"/>
      <w:szCs w:val="28"/>
    </w:rPr>
  </w:style>
  <w:style w:type="paragraph" w:styleId="9">
    <w:name w:val="heading 5"/>
    <w:basedOn w:val="1"/>
    <w:next w:val="1"/>
    <w:link w:val="77"/>
    <w:semiHidden/>
    <w:unhideWhenUsed/>
    <w:qFormat/>
    <w:uiPriority w:val="9"/>
    <w:pPr>
      <w:keepNext/>
      <w:keepLines/>
      <w:spacing w:before="280" w:after="290" w:line="372" w:lineRule="auto"/>
      <w:outlineLvl w:val="4"/>
    </w:pPr>
    <w:rPr>
      <w:b/>
      <w:sz w:val="28"/>
    </w:rPr>
  </w:style>
  <w:style w:type="paragraph" w:styleId="10">
    <w:name w:val="heading 8"/>
    <w:next w:val="11"/>
    <w:qFormat/>
    <w:uiPriority w:val="0"/>
    <w:pPr>
      <w:keepNext/>
      <w:keepLines/>
      <w:widowControl w:val="0"/>
      <w:numPr>
        <w:ilvl w:val="7"/>
        <w:numId w:val="1"/>
      </w:numPr>
      <w:spacing w:before="240" w:after="64" w:line="320" w:lineRule="auto"/>
      <w:jc w:val="both"/>
      <w:outlineLvl w:val="7"/>
    </w:pPr>
    <w:rPr>
      <w:rFonts w:ascii="Arial" w:hAnsi="Arial" w:eastAsia="黑体" w:cs="Times New Roman"/>
      <w:kern w:val="2"/>
      <w:sz w:val="24"/>
      <w:szCs w:val="24"/>
      <w:lang w:val="en-US" w:eastAsia="zh-CN" w:bidi="ar-SA"/>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3"/>
    <w:link w:val="69"/>
    <w:qFormat/>
    <w:uiPriority w:val="1"/>
    <w:pPr>
      <w:spacing w:before="161"/>
      <w:ind w:left="120"/>
    </w:pPr>
    <w:rPr>
      <w:rFonts w:ascii="宋体" w:hAnsi="宋体" w:cs="宋体"/>
      <w:sz w:val="24"/>
      <w:lang w:val="zh-CN" w:bidi="zh-CN"/>
    </w:rPr>
  </w:style>
  <w:style w:type="paragraph" w:styleId="3">
    <w:name w:val="Body Text Indent"/>
    <w:basedOn w:val="1"/>
    <w:next w:val="4"/>
    <w:qFormat/>
    <w:uiPriority w:val="0"/>
    <w:pPr>
      <w:ind w:left="359" w:leftChars="171" w:firstLine="179" w:firstLineChars="85"/>
    </w:pPr>
    <w:rPr>
      <w:rFonts w:ascii="宋体" w:hAnsi="宋体"/>
      <w:b/>
      <w:bCs/>
      <w:szCs w:val="26"/>
    </w:rPr>
  </w:style>
  <w:style w:type="paragraph" w:styleId="4">
    <w:name w:val="envelope return"/>
    <w:basedOn w:val="1"/>
    <w:qFormat/>
    <w:uiPriority w:val="0"/>
    <w:pPr>
      <w:widowControl w:val="0"/>
      <w:jc w:val="both"/>
    </w:pPr>
    <w:rPr>
      <w:rFonts w:ascii="Calibri" w:hAnsi="Calibri" w:cs="Times New Roman"/>
      <w:kern w:val="2"/>
      <w:szCs w:val="24"/>
    </w:rPr>
  </w:style>
  <w:style w:type="paragraph" w:styleId="11">
    <w:name w:val="Normal Indent"/>
    <w:basedOn w:val="1"/>
    <w:qFormat/>
    <w:uiPriority w:val="0"/>
    <w:pPr>
      <w:ind w:firstLine="420"/>
    </w:pPr>
    <w:rPr>
      <w:rFonts w:ascii="Times New Roman" w:hAnsi="Times New Roman" w:cs="Times New Roman"/>
      <w:szCs w:val="20"/>
    </w:rPr>
  </w:style>
  <w:style w:type="paragraph" w:styleId="12">
    <w:name w:val="toc 7"/>
    <w:basedOn w:val="1"/>
    <w:next w:val="1"/>
    <w:unhideWhenUsed/>
    <w:qFormat/>
    <w:uiPriority w:val="39"/>
    <w:pPr>
      <w:widowControl w:val="0"/>
      <w:adjustRightInd/>
      <w:snapToGrid/>
      <w:spacing w:line="240" w:lineRule="auto"/>
      <w:ind w:left="2520" w:leftChars="1200"/>
      <w:jc w:val="both"/>
    </w:pPr>
    <w:rPr>
      <w:rFonts w:asciiTheme="minorHAnsi" w:hAnsiTheme="minorHAnsi" w:eastAsiaTheme="minorEastAsia"/>
      <w:kern w:val="2"/>
    </w:rPr>
  </w:style>
  <w:style w:type="paragraph" w:styleId="13">
    <w:name w:val="annotation text"/>
    <w:basedOn w:val="1"/>
    <w:link w:val="66"/>
    <w:unhideWhenUsed/>
    <w:qFormat/>
    <w:uiPriority w:val="99"/>
  </w:style>
  <w:style w:type="paragraph" w:styleId="14">
    <w:name w:val="toc 5"/>
    <w:basedOn w:val="1"/>
    <w:next w:val="1"/>
    <w:unhideWhenUsed/>
    <w:qFormat/>
    <w:uiPriority w:val="39"/>
    <w:pPr>
      <w:widowControl w:val="0"/>
      <w:adjustRightInd/>
      <w:snapToGrid/>
      <w:spacing w:line="240" w:lineRule="auto"/>
      <w:ind w:left="1680" w:leftChars="800"/>
      <w:jc w:val="both"/>
    </w:pPr>
    <w:rPr>
      <w:rFonts w:asciiTheme="minorHAnsi" w:hAnsiTheme="minorHAnsi" w:eastAsiaTheme="minorEastAsia"/>
      <w:kern w:val="2"/>
    </w:rPr>
  </w:style>
  <w:style w:type="paragraph" w:styleId="15">
    <w:name w:val="toc 3"/>
    <w:basedOn w:val="1"/>
    <w:next w:val="1"/>
    <w:unhideWhenUsed/>
    <w:qFormat/>
    <w:uiPriority w:val="39"/>
    <w:pPr>
      <w:tabs>
        <w:tab w:val="right" w:leader="dot" w:pos="8296"/>
      </w:tabs>
      <w:ind w:left="838" w:leftChars="381"/>
    </w:pPr>
    <w:rPr>
      <w:szCs w:val="21"/>
    </w:rPr>
  </w:style>
  <w:style w:type="paragraph" w:styleId="16">
    <w:name w:val="Plain Text"/>
    <w:basedOn w:val="1"/>
    <w:link w:val="105"/>
    <w:qFormat/>
    <w:uiPriority w:val="0"/>
    <w:pPr>
      <w:widowControl w:val="0"/>
      <w:adjustRightInd/>
      <w:snapToGrid/>
      <w:jc w:val="both"/>
    </w:pPr>
    <w:rPr>
      <w:rFonts w:ascii="宋体" w:hAnsi="Courier New" w:cs="Times New Roman"/>
      <w:b/>
      <w:kern w:val="2"/>
      <w:szCs w:val="20"/>
    </w:rPr>
  </w:style>
  <w:style w:type="paragraph" w:styleId="17">
    <w:name w:val="toc 8"/>
    <w:basedOn w:val="1"/>
    <w:next w:val="1"/>
    <w:unhideWhenUsed/>
    <w:qFormat/>
    <w:uiPriority w:val="39"/>
    <w:pPr>
      <w:widowControl w:val="0"/>
      <w:adjustRightInd/>
      <w:snapToGrid/>
      <w:spacing w:line="240" w:lineRule="auto"/>
      <w:ind w:left="2940" w:leftChars="1400"/>
      <w:jc w:val="both"/>
    </w:pPr>
    <w:rPr>
      <w:rFonts w:asciiTheme="minorHAnsi" w:hAnsiTheme="minorHAnsi" w:eastAsiaTheme="minorEastAsia"/>
      <w:kern w:val="2"/>
    </w:rPr>
  </w:style>
  <w:style w:type="paragraph" w:styleId="18">
    <w:name w:val="Balloon Text"/>
    <w:basedOn w:val="1"/>
    <w:link w:val="61"/>
    <w:semiHidden/>
    <w:unhideWhenUsed/>
    <w:qFormat/>
    <w:uiPriority w:val="99"/>
    <w:rPr>
      <w:sz w:val="18"/>
      <w:szCs w:val="18"/>
    </w:rPr>
  </w:style>
  <w:style w:type="paragraph" w:styleId="19">
    <w:name w:val="footer"/>
    <w:basedOn w:val="1"/>
    <w:link w:val="60"/>
    <w:unhideWhenUsed/>
    <w:qFormat/>
    <w:uiPriority w:val="99"/>
    <w:pPr>
      <w:tabs>
        <w:tab w:val="center" w:pos="4153"/>
        <w:tab w:val="right" w:pos="8306"/>
      </w:tabs>
    </w:pPr>
    <w:rPr>
      <w:sz w:val="18"/>
      <w:szCs w:val="18"/>
    </w:rPr>
  </w:style>
  <w:style w:type="paragraph" w:styleId="20">
    <w:name w:val="header"/>
    <w:basedOn w:val="1"/>
    <w:link w:val="59"/>
    <w:unhideWhenUsed/>
    <w:qFormat/>
    <w:uiPriority w:val="99"/>
    <w:pPr>
      <w:pBdr>
        <w:bottom w:val="single" w:color="auto" w:sz="6" w:space="1"/>
      </w:pBdr>
      <w:tabs>
        <w:tab w:val="center" w:pos="4153"/>
        <w:tab w:val="right" w:pos="8306"/>
      </w:tabs>
      <w:jc w:val="center"/>
    </w:pPr>
    <w:rPr>
      <w:sz w:val="18"/>
      <w:szCs w:val="18"/>
    </w:rPr>
  </w:style>
  <w:style w:type="paragraph" w:styleId="21">
    <w:name w:val="toc 1"/>
    <w:basedOn w:val="1"/>
    <w:next w:val="1"/>
    <w:unhideWhenUsed/>
    <w:qFormat/>
    <w:uiPriority w:val="39"/>
  </w:style>
  <w:style w:type="paragraph" w:styleId="22">
    <w:name w:val="toc 4"/>
    <w:basedOn w:val="1"/>
    <w:next w:val="1"/>
    <w:unhideWhenUsed/>
    <w:qFormat/>
    <w:uiPriority w:val="39"/>
    <w:pPr>
      <w:tabs>
        <w:tab w:val="right" w:leader="dot" w:pos="8296"/>
      </w:tabs>
      <w:spacing w:after="120"/>
      <w:ind w:left="1320" w:leftChars="600"/>
    </w:pPr>
  </w:style>
  <w:style w:type="paragraph" w:styleId="23">
    <w:name w:val="footnote text"/>
    <w:basedOn w:val="1"/>
    <w:semiHidden/>
    <w:unhideWhenUsed/>
    <w:qFormat/>
    <w:uiPriority w:val="99"/>
    <w:rPr>
      <w:sz w:val="18"/>
    </w:rPr>
  </w:style>
  <w:style w:type="paragraph" w:styleId="24">
    <w:name w:val="toc 6"/>
    <w:basedOn w:val="1"/>
    <w:next w:val="1"/>
    <w:qFormat/>
    <w:uiPriority w:val="39"/>
    <w:pPr>
      <w:ind w:left="1200"/>
    </w:pPr>
    <w:rPr>
      <w:rFonts w:ascii="Calibri" w:cs="Calibri"/>
      <w:sz w:val="18"/>
      <w:szCs w:val="18"/>
    </w:rPr>
  </w:style>
  <w:style w:type="paragraph" w:styleId="25">
    <w:name w:val="Body Text Indent 3"/>
    <w:qFormat/>
    <w:uiPriority w:val="0"/>
    <w:pPr>
      <w:widowControl w:val="0"/>
      <w:spacing w:line="360" w:lineRule="auto"/>
      <w:ind w:firstLine="458" w:firstLineChars="218"/>
      <w:jc w:val="both"/>
    </w:pPr>
    <w:rPr>
      <w:rFonts w:ascii="宋体" w:hAnsi="宋体" w:eastAsia="宋体" w:cs="Times New Roman"/>
      <w:kern w:val="2"/>
      <w:sz w:val="21"/>
      <w:szCs w:val="24"/>
      <w:lang w:val="en-US" w:eastAsia="zh-CN" w:bidi="ar-SA"/>
    </w:rPr>
  </w:style>
  <w:style w:type="paragraph" w:styleId="26">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7">
    <w:name w:val="toc 9"/>
    <w:basedOn w:val="1"/>
    <w:next w:val="1"/>
    <w:unhideWhenUsed/>
    <w:qFormat/>
    <w:uiPriority w:val="39"/>
    <w:pPr>
      <w:widowControl w:val="0"/>
      <w:adjustRightInd/>
      <w:snapToGrid/>
      <w:spacing w:line="240" w:lineRule="auto"/>
      <w:ind w:left="3360" w:leftChars="1600"/>
      <w:jc w:val="both"/>
    </w:pPr>
    <w:rPr>
      <w:rFonts w:asciiTheme="minorHAnsi" w:hAnsiTheme="minorHAnsi" w:eastAsiaTheme="minorEastAsia"/>
      <w:kern w:val="2"/>
    </w:rPr>
  </w:style>
  <w:style w:type="paragraph" w:styleId="28">
    <w:name w:val="Body Text 2"/>
    <w:basedOn w:val="1"/>
    <w:unhideWhenUsed/>
    <w:qFormat/>
    <w:uiPriority w:val="0"/>
    <w:pPr>
      <w:spacing w:line="480" w:lineRule="atLeast"/>
    </w:pPr>
    <w:rPr>
      <w:sz w:val="28"/>
    </w:rPr>
  </w:style>
  <w:style w:type="paragraph" w:styleId="29">
    <w:name w:val="Normal (Web)"/>
    <w:basedOn w:val="1"/>
    <w:link w:val="63"/>
    <w:qFormat/>
    <w:uiPriority w:val="0"/>
    <w:pPr>
      <w:widowControl w:val="0"/>
      <w:adjustRightInd/>
      <w:snapToGrid/>
      <w:jc w:val="both"/>
    </w:pPr>
    <w:rPr>
      <w:rFonts w:asciiTheme="minorHAnsi" w:hAnsiTheme="minorHAnsi"/>
      <w:kern w:val="2"/>
      <w:sz w:val="24"/>
      <w:szCs w:val="24"/>
    </w:rPr>
  </w:style>
  <w:style w:type="paragraph" w:styleId="30">
    <w:name w:val="annotation subject"/>
    <w:basedOn w:val="13"/>
    <w:next w:val="13"/>
    <w:link w:val="67"/>
    <w:semiHidden/>
    <w:unhideWhenUsed/>
    <w:qFormat/>
    <w:uiPriority w:val="99"/>
    <w:rPr>
      <w:b/>
      <w:bCs/>
    </w:rPr>
  </w:style>
  <w:style w:type="paragraph" w:styleId="31">
    <w:name w:val="Body Text First Indent"/>
    <w:basedOn w:val="2"/>
    <w:next w:val="24"/>
    <w:qFormat/>
    <w:uiPriority w:val="0"/>
    <w:pPr>
      <w:spacing w:after="120"/>
      <w:ind w:firstLine="420" w:firstLineChars="100"/>
    </w:pPr>
    <w:rPr>
      <w:bCs/>
      <w:szCs w:val="21"/>
    </w:rPr>
  </w:style>
  <w:style w:type="paragraph" w:styleId="32">
    <w:name w:val="Body Text First Indent 2"/>
    <w:next w:val="33"/>
    <w:qFormat/>
    <w:uiPriority w:val="0"/>
    <w:pPr>
      <w:widowControl w:val="0"/>
      <w:adjustRightInd w:val="0"/>
      <w:snapToGrid w:val="0"/>
      <w:spacing w:line="360" w:lineRule="auto"/>
      <w:ind w:left="980" w:firstLine="210" w:firstLineChars="200"/>
      <w:jc w:val="both"/>
    </w:pPr>
    <w:rPr>
      <w:rFonts w:ascii="Times New Roman" w:hAnsi="Times New Roman" w:eastAsia="宋体" w:cs="Times New Roman"/>
      <w:snapToGrid w:val="0"/>
      <w:sz w:val="28"/>
      <w:lang w:val="en-US" w:eastAsia="zh-CN" w:bidi="ar-SA"/>
    </w:rPr>
  </w:style>
  <w:style w:type="paragraph" w:customStyle="1" w:styleId="33">
    <w:name w:val="样式 标题 2 + Times New Roman 四号 非加粗 段前: 5 磅 段后: 0 磅 行距: 固定值 20..."/>
    <w:next w:val="23"/>
    <w:qFormat/>
    <w:uiPriority w:val="0"/>
    <w:pPr>
      <w:keepNext/>
      <w:keepLines/>
      <w:widowControl w:val="0"/>
      <w:tabs>
        <w:tab w:val="left" w:pos="0"/>
      </w:tabs>
      <w:adjustRightInd w:val="0"/>
      <w:snapToGrid w:val="0"/>
      <w:spacing w:line="400" w:lineRule="exact"/>
      <w:jc w:val="center"/>
      <w:outlineLvl w:val="1"/>
    </w:pPr>
    <w:rPr>
      <w:rFonts w:hint="eastAsia" w:ascii="宋体" w:hAnsi="Arial" w:eastAsia="黑体" w:cs="Times New Roman"/>
      <w:sz w:val="32"/>
      <w:lang w:val="en-US" w:eastAsia="zh-CN" w:bidi="ar-SA"/>
    </w:rPr>
  </w:style>
  <w:style w:type="table" w:styleId="35">
    <w:name w:val="Table Grid"/>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7">
    <w:name w:val="page number"/>
    <w:basedOn w:val="36"/>
    <w:qFormat/>
    <w:uiPriority w:val="0"/>
  </w:style>
  <w:style w:type="character" w:styleId="38">
    <w:name w:val="Emphasis"/>
    <w:basedOn w:val="36"/>
    <w:qFormat/>
    <w:uiPriority w:val="20"/>
    <w:rPr>
      <w:i/>
      <w:iCs/>
    </w:rPr>
  </w:style>
  <w:style w:type="character" w:styleId="39">
    <w:name w:val="Hyperlink"/>
    <w:basedOn w:val="36"/>
    <w:qFormat/>
    <w:uiPriority w:val="99"/>
    <w:rPr>
      <w:rFonts w:hint="eastAsia" w:ascii="宋体" w:hAnsi="宋体" w:eastAsia="宋体" w:cs="宋体"/>
      <w:b/>
      <w:color w:val="0031C1"/>
      <w:kern w:val="0"/>
      <w:sz w:val="18"/>
      <w:szCs w:val="18"/>
      <w:u w:val="none"/>
      <w:lang w:eastAsia="en-US"/>
    </w:rPr>
  </w:style>
  <w:style w:type="character" w:styleId="40">
    <w:name w:val="annotation reference"/>
    <w:basedOn w:val="36"/>
    <w:semiHidden/>
    <w:unhideWhenUsed/>
    <w:qFormat/>
    <w:uiPriority w:val="99"/>
    <w:rPr>
      <w:sz w:val="21"/>
      <w:szCs w:val="21"/>
    </w:rPr>
  </w:style>
  <w:style w:type="character" w:styleId="41">
    <w:name w:val="footnote reference"/>
    <w:basedOn w:val="36"/>
    <w:semiHidden/>
    <w:unhideWhenUsed/>
    <w:qFormat/>
    <w:uiPriority w:val="99"/>
    <w:rPr>
      <w:vertAlign w:val="superscript"/>
    </w:rPr>
  </w:style>
  <w:style w:type="paragraph" w:customStyle="1" w:styleId="42">
    <w:name w:val="样式 正文首行缩进 + 首行缩进:  1 字符"/>
    <w:basedOn w:val="1"/>
    <w:next w:val="1"/>
    <w:qFormat/>
    <w:uiPriority w:val="0"/>
    <w:pPr>
      <w:ind w:firstLine="200" w:firstLineChars="200"/>
    </w:pPr>
    <w:rPr>
      <w:rFonts w:cs="宋体"/>
      <w:szCs w:val="20"/>
    </w:rPr>
  </w:style>
  <w:style w:type="paragraph" w:customStyle="1" w:styleId="43">
    <w:name w:val="首行缩进"/>
    <w:basedOn w:val="1"/>
    <w:qFormat/>
    <w:uiPriority w:val="0"/>
    <w:pPr>
      <w:adjustRightInd/>
      <w:spacing w:line="300" w:lineRule="auto"/>
      <w:ind w:firstLine="420" w:firstLineChars="200"/>
      <w:jc w:val="both"/>
    </w:pPr>
    <w:rPr>
      <w:rFonts w:ascii="Calibri" w:hAnsi="Calibri" w:eastAsia="方正书宋简体" w:cs="Times New Roman"/>
      <w:sz w:val="20"/>
    </w:rPr>
  </w:style>
  <w:style w:type="character" w:customStyle="1" w:styleId="44">
    <w:name w:val="标题 2 Char"/>
    <w:basedOn w:val="36"/>
    <w:link w:val="6"/>
    <w:qFormat/>
    <w:uiPriority w:val="9"/>
    <w:rPr>
      <w:rFonts w:asciiTheme="majorHAnsi" w:hAnsiTheme="majorHAnsi" w:eastAsiaTheme="majorEastAsia" w:cstheme="majorBidi"/>
      <w:b/>
      <w:bCs/>
      <w:sz w:val="32"/>
      <w:szCs w:val="32"/>
    </w:rPr>
  </w:style>
  <w:style w:type="character" w:customStyle="1" w:styleId="45">
    <w:name w:val="标题 3 Char"/>
    <w:basedOn w:val="36"/>
    <w:link w:val="7"/>
    <w:qFormat/>
    <w:uiPriority w:val="9"/>
    <w:rPr>
      <w:rFonts w:ascii="Tahoma" w:hAnsi="Tahoma"/>
      <w:b/>
      <w:bCs/>
      <w:sz w:val="32"/>
      <w:szCs w:val="32"/>
    </w:rPr>
  </w:style>
  <w:style w:type="paragraph" w:styleId="46">
    <w:name w:val="List Paragraph"/>
    <w:basedOn w:val="1"/>
    <w:link w:val="68"/>
    <w:qFormat/>
    <w:uiPriority w:val="0"/>
    <w:pPr>
      <w:ind w:firstLine="420" w:firstLineChars="200"/>
    </w:pPr>
  </w:style>
  <w:style w:type="character" w:customStyle="1" w:styleId="47">
    <w:name w:val="标题 4 Char"/>
    <w:basedOn w:val="36"/>
    <w:link w:val="8"/>
    <w:qFormat/>
    <w:uiPriority w:val="9"/>
    <w:rPr>
      <w:rFonts w:eastAsia="宋体" w:asciiTheme="majorHAnsi" w:hAnsiTheme="majorHAnsi" w:cstheme="majorBidi"/>
      <w:b/>
      <w:bCs/>
      <w:sz w:val="24"/>
      <w:szCs w:val="28"/>
    </w:rPr>
  </w:style>
  <w:style w:type="character" w:customStyle="1" w:styleId="48">
    <w:name w:val="正文缩进2格 Char"/>
    <w:link w:val="49"/>
    <w:qFormat/>
    <w:uiPriority w:val="0"/>
    <w:rPr>
      <w:rFonts w:ascii="仿宋_GB2312" w:hAnsi="宋体" w:eastAsia="仿宋_GB2312"/>
      <w:kern w:val="2"/>
      <w:sz w:val="31"/>
    </w:rPr>
  </w:style>
  <w:style w:type="paragraph" w:customStyle="1" w:styleId="49">
    <w:name w:val="正文缩进2格"/>
    <w:basedOn w:val="1"/>
    <w:next w:val="1"/>
    <w:link w:val="48"/>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50">
    <w:name w:val="正文缩进4格"/>
    <w:basedOn w:val="49"/>
    <w:qFormat/>
    <w:uiPriority w:val="0"/>
    <w:pPr>
      <w:ind w:left="2" w:firstLine="538" w:firstLineChars="192"/>
    </w:pPr>
    <w:rPr>
      <w:color w:val="0000FF"/>
      <w:sz w:val="28"/>
    </w:rPr>
  </w:style>
  <w:style w:type="character" w:customStyle="1" w:styleId="51">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52">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53">
    <w:name w:val="标题1"/>
    <w:qFormat/>
    <w:uiPriority w:val="0"/>
    <w:rPr>
      <w:rFonts w:ascii="Times New Roman" w:hAnsi="Times New Roman" w:eastAsia="宋体" w:cs="Times New Roman"/>
      <w:b/>
      <w:kern w:val="0"/>
      <w:sz w:val="24"/>
      <w:szCs w:val="20"/>
      <w:lang w:eastAsia="en-US"/>
    </w:rPr>
  </w:style>
  <w:style w:type="character" w:customStyle="1" w:styleId="54">
    <w:name w:val="标题 3.1 Char"/>
    <w:link w:val="55"/>
    <w:qFormat/>
    <w:uiPriority w:val="0"/>
    <w:rPr>
      <w:rFonts w:ascii="宋体" w:hAnsi="宋体" w:eastAsia="宋体"/>
      <w:b/>
      <w:color w:val="FF0000"/>
      <w:kern w:val="2"/>
      <w:sz w:val="32"/>
    </w:rPr>
  </w:style>
  <w:style w:type="paragraph" w:customStyle="1" w:styleId="55">
    <w:name w:val="标题 3.1"/>
    <w:basedOn w:val="7"/>
    <w:link w:val="54"/>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6">
    <w:name w:val="样式 楷体_GB2312 小四"/>
    <w:qFormat/>
    <w:uiPriority w:val="0"/>
    <w:rPr>
      <w:rFonts w:ascii="楷体_GB2312" w:hAnsi="楷体_GB2312" w:eastAsia="仿宋_GB2312"/>
      <w:sz w:val="24"/>
    </w:rPr>
  </w:style>
  <w:style w:type="character" w:customStyle="1" w:styleId="57">
    <w:name w:val="纯文本 Char"/>
    <w:basedOn w:val="36"/>
    <w:qFormat/>
    <w:uiPriority w:val="0"/>
    <w:rPr>
      <w:rFonts w:ascii="宋体" w:hAnsi="Courier New" w:eastAsia="宋体" w:cs="Times New Roman"/>
      <w:b/>
      <w:kern w:val="2"/>
      <w:sz w:val="21"/>
      <w:szCs w:val="20"/>
    </w:rPr>
  </w:style>
  <w:style w:type="character" w:customStyle="1" w:styleId="58">
    <w:name w:val="纯文本 Char1"/>
    <w:basedOn w:val="36"/>
    <w:link w:val="16"/>
    <w:semiHidden/>
    <w:qFormat/>
    <w:uiPriority w:val="99"/>
    <w:rPr>
      <w:rFonts w:ascii="宋体" w:hAnsi="Courier New" w:eastAsia="宋体" w:cs="Courier New"/>
      <w:sz w:val="21"/>
      <w:szCs w:val="21"/>
    </w:rPr>
  </w:style>
  <w:style w:type="character" w:customStyle="1" w:styleId="59">
    <w:name w:val="页眉 Char"/>
    <w:basedOn w:val="36"/>
    <w:link w:val="20"/>
    <w:qFormat/>
    <w:uiPriority w:val="99"/>
    <w:rPr>
      <w:rFonts w:ascii="Tahoma" w:hAnsi="Tahoma"/>
      <w:sz w:val="18"/>
      <w:szCs w:val="18"/>
    </w:rPr>
  </w:style>
  <w:style w:type="character" w:customStyle="1" w:styleId="60">
    <w:name w:val="页脚 Char"/>
    <w:basedOn w:val="36"/>
    <w:link w:val="19"/>
    <w:qFormat/>
    <w:uiPriority w:val="99"/>
    <w:rPr>
      <w:rFonts w:ascii="Tahoma" w:hAnsi="Tahoma"/>
      <w:sz w:val="18"/>
      <w:szCs w:val="18"/>
    </w:rPr>
  </w:style>
  <w:style w:type="character" w:customStyle="1" w:styleId="61">
    <w:name w:val="批注框文本 Char"/>
    <w:basedOn w:val="36"/>
    <w:link w:val="18"/>
    <w:semiHidden/>
    <w:qFormat/>
    <w:uiPriority w:val="99"/>
    <w:rPr>
      <w:rFonts w:ascii="Tahoma" w:hAnsi="Tahoma"/>
      <w:sz w:val="18"/>
      <w:szCs w:val="18"/>
    </w:rPr>
  </w:style>
  <w:style w:type="paragraph" w:customStyle="1" w:styleId="62">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63">
    <w:name w:val="普通(网站) Char"/>
    <w:link w:val="29"/>
    <w:qFormat/>
    <w:uiPriority w:val="0"/>
    <w:rPr>
      <w:rFonts w:eastAsia="宋体"/>
      <w:kern w:val="2"/>
      <w:sz w:val="24"/>
      <w:szCs w:val="24"/>
    </w:rPr>
  </w:style>
  <w:style w:type="paragraph" w:customStyle="1" w:styleId="64">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65">
    <w:name w:val="p141"/>
    <w:qFormat/>
    <w:uiPriority w:val="0"/>
    <w:rPr>
      <w:sz w:val="21"/>
      <w:szCs w:val="21"/>
    </w:rPr>
  </w:style>
  <w:style w:type="character" w:customStyle="1" w:styleId="66">
    <w:name w:val="批注文字 Char"/>
    <w:basedOn w:val="36"/>
    <w:link w:val="13"/>
    <w:qFormat/>
    <w:uiPriority w:val="99"/>
    <w:rPr>
      <w:rFonts w:ascii="Tahoma" w:hAnsi="Tahoma" w:eastAsia="微软雅黑" w:cstheme="minorBidi"/>
      <w:sz w:val="22"/>
      <w:szCs w:val="22"/>
    </w:rPr>
  </w:style>
  <w:style w:type="character" w:customStyle="1" w:styleId="67">
    <w:name w:val="批注主题 Char"/>
    <w:basedOn w:val="66"/>
    <w:link w:val="30"/>
    <w:semiHidden/>
    <w:qFormat/>
    <w:uiPriority w:val="99"/>
    <w:rPr>
      <w:rFonts w:ascii="Tahoma" w:hAnsi="Tahoma" w:eastAsia="微软雅黑" w:cstheme="minorBidi"/>
      <w:b/>
      <w:bCs/>
      <w:sz w:val="22"/>
      <w:szCs w:val="22"/>
    </w:rPr>
  </w:style>
  <w:style w:type="character" w:customStyle="1" w:styleId="68">
    <w:name w:val="列出段落 Char"/>
    <w:link w:val="46"/>
    <w:qFormat/>
    <w:uiPriority w:val="0"/>
    <w:rPr>
      <w:rFonts w:ascii="Tahoma" w:hAnsi="Tahoma" w:eastAsia="微软雅黑" w:cstheme="minorBidi"/>
      <w:sz w:val="22"/>
      <w:szCs w:val="22"/>
    </w:rPr>
  </w:style>
  <w:style w:type="character" w:customStyle="1" w:styleId="69">
    <w:name w:val="正文文本 Char"/>
    <w:basedOn w:val="36"/>
    <w:link w:val="2"/>
    <w:qFormat/>
    <w:uiPriority w:val="1"/>
    <w:rPr>
      <w:rFonts w:ascii="宋体" w:hAnsi="宋体" w:cs="宋体"/>
      <w:sz w:val="24"/>
      <w:szCs w:val="22"/>
      <w:lang w:val="zh-CN" w:bidi="zh-CN"/>
    </w:rPr>
  </w:style>
  <w:style w:type="paragraph" w:customStyle="1" w:styleId="7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1">
    <w:name w:val="_Style 1"/>
    <w:basedOn w:val="1"/>
    <w:qFormat/>
    <w:uiPriority w:val="0"/>
    <w:pPr>
      <w:ind w:firstLine="420" w:firstLineChars="200"/>
    </w:pPr>
  </w:style>
  <w:style w:type="paragraph" w:customStyle="1" w:styleId="72">
    <w:name w:val="列出段落2"/>
    <w:basedOn w:val="1"/>
    <w:qFormat/>
    <w:uiPriority w:val="0"/>
    <w:pPr>
      <w:ind w:firstLine="420" w:firstLineChars="200"/>
    </w:pPr>
  </w:style>
  <w:style w:type="paragraph" w:customStyle="1" w:styleId="73">
    <w:name w:val="p0"/>
    <w:basedOn w:val="1"/>
    <w:qFormat/>
    <w:uiPriority w:val="0"/>
    <w:rPr>
      <w:szCs w:val="21"/>
    </w:rPr>
  </w:style>
  <w:style w:type="paragraph" w:customStyle="1" w:styleId="74">
    <w:name w:val="正文文本缩进 21"/>
    <w:basedOn w:val="1"/>
    <w:qFormat/>
    <w:uiPriority w:val="0"/>
    <w:pPr>
      <w:spacing w:line="480" w:lineRule="auto"/>
      <w:ind w:firstLine="540"/>
    </w:pPr>
    <w:rPr>
      <w:rFonts w:ascii="Calibri" w:hAnsi="Calibri"/>
      <w:sz w:val="20"/>
      <w:szCs w:val="20"/>
    </w:rPr>
  </w:style>
  <w:style w:type="paragraph" w:customStyle="1" w:styleId="75">
    <w:name w:val="_Style 2"/>
    <w:basedOn w:val="1"/>
    <w:qFormat/>
    <w:uiPriority w:val="0"/>
    <w:pPr>
      <w:ind w:firstLine="420" w:firstLineChars="200"/>
    </w:pPr>
  </w:style>
  <w:style w:type="paragraph" w:customStyle="1" w:styleId="76">
    <w:name w:val="msolistparagraph"/>
    <w:basedOn w:val="1"/>
    <w:qFormat/>
    <w:uiPriority w:val="0"/>
    <w:pPr>
      <w:ind w:firstLine="420" w:firstLineChars="200"/>
    </w:pPr>
    <w:rPr>
      <w:rFonts w:hint="eastAsia" w:hAnsi="宋体"/>
    </w:rPr>
  </w:style>
  <w:style w:type="character" w:customStyle="1" w:styleId="77">
    <w:name w:val="标题 5 Char"/>
    <w:link w:val="9"/>
    <w:qFormat/>
    <w:uiPriority w:val="0"/>
    <w:rPr>
      <w:b/>
      <w:sz w:val="28"/>
    </w:rPr>
  </w:style>
  <w:style w:type="character" w:customStyle="1" w:styleId="78">
    <w:name w:val="标题 1 Char"/>
    <w:link w:val="5"/>
    <w:qFormat/>
    <w:uiPriority w:val="9"/>
    <w:rPr>
      <w:b/>
      <w:kern w:val="44"/>
      <w:sz w:val="44"/>
    </w:rPr>
  </w:style>
  <w:style w:type="paragraph" w:customStyle="1" w:styleId="79">
    <w:name w:val="修订1"/>
    <w:hidden/>
    <w:semiHidden/>
    <w:qFormat/>
    <w:uiPriority w:val="99"/>
    <w:rPr>
      <w:rFonts w:ascii="Tahoma" w:hAnsi="Tahoma" w:eastAsia="宋体" w:cstheme="minorBidi"/>
      <w:sz w:val="21"/>
      <w:szCs w:val="22"/>
      <w:lang w:val="en-US" w:eastAsia="zh-CN" w:bidi="ar-SA"/>
    </w:rPr>
  </w:style>
  <w:style w:type="paragraph" w:customStyle="1" w:styleId="80">
    <w:name w:val="表格文字"/>
    <w:basedOn w:val="1"/>
    <w:qFormat/>
    <w:uiPriority w:val="0"/>
    <w:pPr>
      <w:adjustRightInd/>
      <w:spacing w:before="25" w:after="25"/>
    </w:pPr>
    <w:rPr>
      <w:rFonts w:ascii="Times New Roman"/>
      <w:bCs/>
      <w:spacing w:val="10"/>
      <w:szCs w:val="20"/>
    </w:rPr>
  </w:style>
  <w:style w:type="paragraph" w:customStyle="1" w:styleId="81">
    <w:name w:val="纯文本1"/>
    <w:basedOn w:val="82"/>
    <w:qFormat/>
    <w:uiPriority w:val="0"/>
    <w:rPr>
      <w:rFonts w:ascii="宋体" w:hAnsi="Courier New"/>
      <w:szCs w:val="20"/>
    </w:rPr>
  </w:style>
  <w:style w:type="paragraph" w:customStyle="1" w:styleId="82">
    <w:name w:val="正文 New"/>
    <w:qFormat/>
    <w:uiPriority w:val="99"/>
    <w:pPr>
      <w:widowControl w:val="0"/>
      <w:spacing w:line="360" w:lineRule="auto"/>
      <w:jc w:val="both"/>
    </w:pPr>
    <w:rPr>
      <w:rFonts w:ascii="Times New Roman" w:hAnsi="Times New Roman" w:eastAsia="宋体" w:cs="黑体"/>
      <w:kern w:val="2"/>
      <w:sz w:val="21"/>
      <w:szCs w:val="22"/>
      <w:lang w:val="en-US" w:eastAsia="zh-CN" w:bidi="ar-SA"/>
    </w:rPr>
  </w:style>
  <w:style w:type="paragraph" w:customStyle="1" w:styleId="83">
    <w:name w:val="正文2"/>
    <w:qFormat/>
    <w:uiPriority w:val="0"/>
    <w:pPr>
      <w:jc w:val="both"/>
    </w:pPr>
    <w:rPr>
      <w:rFonts w:ascii="Times New Roman" w:hAnsi="Times New Roman" w:eastAsia="宋体" w:cs="Times New Roman"/>
      <w:kern w:val="2"/>
      <w:sz w:val="21"/>
      <w:szCs w:val="21"/>
      <w:lang w:val="en-US" w:eastAsia="zh-CN" w:bidi="ar-SA"/>
    </w:rPr>
  </w:style>
  <w:style w:type="table" w:customStyle="1" w:styleId="84">
    <w:name w:val="Table Normal"/>
    <w:semiHidden/>
    <w:unhideWhenUsed/>
    <w:qFormat/>
    <w:uiPriority w:val="2"/>
    <w:tblPr>
      <w:tblLayout w:type="fixed"/>
      <w:tblCellMar>
        <w:top w:w="0" w:type="dxa"/>
        <w:left w:w="0" w:type="dxa"/>
        <w:bottom w:w="0" w:type="dxa"/>
        <w:right w:w="0" w:type="dxa"/>
      </w:tblCellMar>
    </w:tblPr>
  </w:style>
  <w:style w:type="paragraph" w:customStyle="1" w:styleId="85">
    <w:name w:val="Table Paragraph"/>
    <w:basedOn w:val="1"/>
    <w:qFormat/>
    <w:uiPriority w:val="1"/>
  </w:style>
  <w:style w:type="paragraph" w:customStyle="1" w:styleId="86">
    <w:name w:val="正文文本缩进1"/>
    <w:basedOn w:val="82"/>
    <w:qFormat/>
    <w:uiPriority w:val="0"/>
    <w:pPr>
      <w:spacing w:after="120"/>
      <w:ind w:left="420" w:leftChars="200"/>
    </w:pPr>
  </w:style>
  <w:style w:type="paragraph" w:customStyle="1" w:styleId="87">
    <w:name w:val="正文 New New"/>
    <w:qFormat/>
    <w:uiPriority w:val="0"/>
    <w:pPr>
      <w:widowControl w:val="0"/>
      <w:jc w:val="both"/>
    </w:pPr>
    <w:rPr>
      <w:rFonts w:ascii="Times New Roman" w:hAnsi="Times New Roman" w:eastAsia="宋体" w:cs="Times New Roman"/>
      <w:szCs w:val="24"/>
      <w:lang w:val="en-US" w:eastAsia="zh-CN" w:bidi="ar-SA"/>
    </w:rPr>
  </w:style>
  <w:style w:type="paragraph" w:customStyle="1" w:styleId="88">
    <w:name w:val="纯文本2"/>
    <w:basedOn w:val="82"/>
    <w:qFormat/>
    <w:uiPriority w:val="0"/>
    <w:rPr>
      <w:rFonts w:ascii="宋体" w:hAnsi="Courier New"/>
      <w:szCs w:val="20"/>
    </w:rPr>
  </w:style>
  <w:style w:type="character" w:customStyle="1" w:styleId="89">
    <w:name w:val="font141"/>
    <w:qFormat/>
    <w:uiPriority w:val="0"/>
    <w:rPr>
      <w:rFonts w:hint="default" w:ascii="Times New Roman" w:hAnsi="Times New Roman" w:cs="Times New Roman"/>
      <w:color w:val="000000"/>
      <w:sz w:val="18"/>
      <w:szCs w:val="18"/>
      <w:u w:val="none"/>
    </w:rPr>
  </w:style>
  <w:style w:type="character" w:customStyle="1" w:styleId="90">
    <w:name w:val="font71"/>
    <w:qFormat/>
    <w:uiPriority w:val="0"/>
    <w:rPr>
      <w:rFonts w:hint="eastAsia" w:ascii="宋体" w:hAnsi="宋体" w:eastAsia="宋体" w:cs="宋体"/>
      <w:color w:val="000000"/>
      <w:sz w:val="18"/>
      <w:szCs w:val="18"/>
      <w:u w:val="none"/>
    </w:rPr>
  </w:style>
  <w:style w:type="paragraph" w:customStyle="1" w:styleId="91">
    <w:name w:val="djz"/>
    <w:qFormat/>
    <w:uiPriority w:val="0"/>
    <w:pPr>
      <w:widowControl w:val="0"/>
      <w:autoSpaceDE w:val="0"/>
      <w:autoSpaceDN w:val="0"/>
      <w:spacing w:line="560" w:lineRule="exact"/>
      <w:ind w:firstLine="200" w:firstLineChars="200"/>
    </w:pPr>
    <w:rPr>
      <w:rFonts w:ascii="Calibri" w:hAnsi="Calibri" w:eastAsia="Noto Sans CJK JP Regular" w:cs="Noto Sans CJK JP Regular"/>
      <w:sz w:val="24"/>
      <w:szCs w:val="22"/>
      <w:lang w:val="en-US" w:eastAsia="en-US" w:bidi="ar-SA"/>
    </w:rPr>
  </w:style>
  <w:style w:type="paragraph" w:customStyle="1" w:styleId="92">
    <w:name w:val="flName"/>
    <w:qFormat/>
    <w:uiPriority w:val="0"/>
    <w:pPr>
      <w:widowControl w:val="0"/>
      <w:adjustRightInd w:val="0"/>
      <w:spacing w:before="320" w:after="160" w:line="360" w:lineRule="atLeast"/>
      <w:jc w:val="center"/>
      <w:textAlignment w:val="baseline"/>
    </w:pPr>
    <w:rPr>
      <w:rFonts w:ascii="Arial" w:hAnsi="Calibri" w:eastAsia="黑体" w:cs="Times New Roman"/>
      <w:sz w:val="32"/>
      <w:lang w:val="en-US" w:eastAsia="zh-CN" w:bidi="ar-SA"/>
    </w:rPr>
  </w:style>
  <w:style w:type="paragraph" w:customStyle="1" w:styleId="93">
    <w:name w:val="cucd-TB-Head"/>
    <w:basedOn w:val="1"/>
    <w:next w:val="94"/>
    <w:qFormat/>
    <w:uiPriority w:val="0"/>
    <w:pPr>
      <w:spacing w:before="120" w:line="288" w:lineRule="auto"/>
      <w:jc w:val="center"/>
    </w:pPr>
    <w:rPr>
      <w:rFonts w:ascii="宋体" w:hAnsi="宋体"/>
    </w:rPr>
  </w:style>
  <w:style w:type="paragraph" w:customStyle="1" w:styleId="94">
    <w:name w:val="cucd-0"/>
    <w:qFormat/>
    <w:uiPriority w:val="0"/>
    <w:pPr>
      <w:numPr>
        <w:ilvl w:val="0"/>
        <w:numId w:val="2"/>
      </w:numPr>
      <w:tabs>
        <w:tab w:val="clear" w:pos="425"/>
      </w:tabs>
      <w:spacing w:line="360" w:lineRule="auto"/>
      <w:ind w:left="0" w:firstLine="480" w:firstLineChars="200"/>
    </w:pPr>
    <w:rPr>
      <w:rFonts w:ascii="Times New Roman" w:hAnsi="Times New Roman" w:eastAsia="宋体" w:cs="Times New Roman"/>
      <w:kern w:val="2"/>
      <w:sz w:val="24"/>
      <w:szCs w:val="24"/>
      <w:lang w:val="en-US" w:eastAsia="zh-CN" w:bidi="ar-SA"/>
    </w:rPr>
  </w:style>
  <w:style w:type="paragraph" w:customStyle="1" w:styleId="95">
    <w:name w:val="cucd-TB"/>
    <w:qFormat/>
    <w:uiPriority w:val="0"/>
    <w:pPr>
      <w:spacing w:line="360" w:lineRule="auto"/>
      <w:jc w:val="center"/>
    </w:pPr>
    <w:rPr>
      <w:rFonts w:ascii="Times New Roman" w:hAnsi="Times New Roman" w:eastAsia="Times New Roman" w:cs="Times New Roman"/>
      <w:kern w:val="2"/>
      <w:sz w:val="21"/>
      <w:szCs w:val="24"/>
      <w:lang w:val="en-US" w:eastAsia="zh-CN" w:bidi="ar-SA"/>
    </w:rPr>
  </w:style>
  <w:style w:type="character" w:customStyle="1" w:styleId="96">
    <w:name w:val="NormalCharacter"/>
    <w:qFormat/>
    <w:uiPriority w:val="0"/>
    <w:rPr>
      <w:rFonts w:ascii="Calibri" w:hAnsi="Calibri" w:eastAsia="宋体" w:cs="Times New Roman"/>
      <w:kern w:val="2"/>
      <w:sz w:val="21"/>
      <w:szCs w:val="24"/>
      <w:lang w:val="en-US" w:eastAsia="zh-CN" w:bidi="ar-SA"/>
    </w:rPr>
  </w:style>
  <w:style w:type="paragraph" w:customStyle="1" w:styleId="97">
    <w:name w:val="[基本段落]"/>
    <w:basedOn w:val="1"/>
    <w:qFormat/>
    <w:uiPriority w:val="99"/>
    <w:pPr>
      <w:spacing w:line="288" w:lineRule="auto"/>
    </w:pPr>
    <w:rPr>
      <w:rFonts w:ascii="宋体" w:cs="宋体"/>
      <w:color w:val="000000"/>
      <w:szCs w:val="24"/>
      <w:lang w:val="zh-CN"/>
    </w:rPr>
  </w:style>
  <w:style w:type="paragraph" w:customStyle="1" w:styleId="98">
    <w:name w:val="！正文内容1.5倍行距"/>
    <w:basedOn w:val="1"/>
    <w:qFormat/>
    <w:uiPriority w:val="0"/>
    <w:pPr>
      <w:spacing w:line="420" w:lineRule="atLeast"/>
      <w:ind w:firstLine="200" w:firstLineChars="200"/>
    </w:pPr>
    <w:rPr>
      <w:szCs w:val="24"/>
    </w:rPr>
  </w:style>
  <w:style w:type="paragraph" w:customStyle="1" w:styleId="99">
    <w:name w:val="批注文字1"/>
    <w:basedOn w:val="1"/>
    <w:qFormat/>
    <w:uiPriority w:val="0"/>
    <w:pPr>
      <w:spacing w:line="560" w:lineRule="atLeast"/>
    </w:pPr>
    <w:rPr>
      <w:color w:val="000000"/>
      <w:spacing w:val="14"/>
      <w:kern w:val="1"/>
      <w:sz w:val="20"/>
    </w:rPr>
  </w:style>
  <w:style w:type="character" w:customStyle="1" w:styleId="100">
    <w:name w:val="fontstyle01"/>
    <w:qFormat/>
    <w:uiPriority w:val="0"/>
    <w:rPr>
      <w:rFonts w:hint="eastAsia" w:ascii="宋体" w:hAnsi="宋体" w:eastAsia="宋体"/>
      <w:color w:val="000000"/>
      <w:sz w:val="24"/>
      <w:szCs w:val="24"/>
    </w:rPr>
  </w:style>
  <w:style w:type="character" w:customStyle="1" w:styleId="101">
    <w:name w:val="font21"/>
    <w:basedOn w:val="36"/>
    <w:qFormat/>
    <w:uiPriority w:val="0"/>
    <w:rPr>
      <w:rFonts w:hint="default" w:ascii="Times New Roman" w:hAnsi="Times New Roman" w:cs="Times New Roman"/>
      <w:color w:val="000000"/>
      <w:sz w:val="20"/>
      <w:szCs w:val="20"/>
      <w:u w:val="none"/>
    </w:rPr>
  </w:style>
  <w:style w:type="character" w:customStyle="1" w:styleId="102">
    <w:name w:val="font01"/>
    <w:qFormat/>
    <w:uiPriority w:val="0"/>
    <w:rPr>
      <w:rFonts w:hint="eastAsia" w:ascii="宋体" w:hAnsi="宋体" w:eastAsia="宋体" w:cs="宋体"/>
      <w:color w:val="000000"/>
      <w:sz w:val="24"/>
      <w:szCs w:val="24"/>
      <w:u w:val="none"/>
    </w:rPr>
  </w:style>
  <w:style w:type="paragraph" w:customStyle="1" w:styleId="103">
    <w:name w:val="_Style 79"/>
    <w:basedOn w:val="1"/>
    <w:next w:val="46"/>
    <w:qFormat/>
    <w:uiPriority w:val="1"/>
    <w:pPr>
      <w:spacing w:line="468" w:lineRule="exact"/>
      <w:ind w:left="1206" w:hanging="420"/>
    </w:pPr>
  </w:style>
  <w:style w:type="paragraph" w:customStyle="1" w:styleId="104">
    <w:name w:val="TOC 标题2"/>
    <w:basedOn w:val="5"/>
    <w:next w:val="1"/>
    <w:semiHidden/>
    <w:unhideWhenUsed/>
    <w:qFormat/>
    <w:uiPriority w:val="39"/>
    <w:pPr>
      <w:spacing w:before="480" w:line="276" w:lineRule="auto"/>
      <w:outlineLvl w:val="9"/>
    </w:pPr>
    <w:rPr>
      <w:rFonts w:asciiTheme="majorHAnsi" w:hAnsiTheme="majorHAnsi" w:eastAsiaTheme="majorEastAsia" w:cstheme="majorBidi"/>
      <w:bCs/>
      <w:color w:val="376092" w:themeColor="accent1" w:themeShade="BF"/>
      <w:sz w:val="28"/>
      <w:szCs w:val="28"/>
    </w:rPr>
  </w:style>
  <w:style w:type="character" w:customStyle="1" w:styleId="105">
    <w:name w:val="纯文本 字符"/>
    <w:basedOn w:val="36"/>
    <w:link w:val="16"/>
    <w:qFormat/>
    <w:uiPriority w:val="0"/>
    <w:rPr>
      <w:rFonts w:ascii="宋体" w:hAnsi="Courier New"/>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0"/>
    <customShpInfo spid="_x0000_s1026" textRotate="1"/>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1C93B2-7095-4D08-979B-0D4393A0E03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373</Pages>
  <Words>190905</Words>
  <Characters>207812</Characters>
  <Lines>315</Lines>
  <Paragraphs>458</Paragraphs>
  <TotalTime>0</TotalTime>
  <ScaleCrop>false</ScaleCrop>
  <LinksUpToDate>false</LinksUpToDate>
  <CharactersWithSpaces>212032</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2022-10-28T09:19:00Z</dcterms:created>
  <dc:creator>MyPC</dc:creator>
  <cp:lastModifiedBy>代理</cp:lastModifiedBy>
  <cp:lastPrinted>2023-11-07T07:25:00Z</cp:lastPrinted>
  <dcterms:modified xsi:type="dcterms:W3CDTF">2023-12-12T03:26:28Z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EF196EA79CFF477095D59E63CB75EFD1_13</vt:lpwstr>
  </property>
</Properties>
</file>