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auto"/>
          <w:highlight w:val="none"/>
        </w:rPr>
      </w:pPr>
    </w:p>
    <w:p>
      <w:pPr>
        <w:pStyle w:val="38"/>
        <w:ind w:firstLine="400"/>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ind w:right="-28"/>
        <w:jc w:val="center"/>
        <w:textAlignment w:val="bottom"/>
        <w:outlineLvl w:val="9"/>
        <w:rPr>
          <w:rFonts w:hint="eastAsia" w:ascii="宋体" w:hAnsi="宋体" w:eastAsia="宋体" w:cs="宋体"/>
          <w:b/>
          <w:bCs w:val="0"/>
          <w:color w:val="auto"/>
          <w:spacing w:val="57"/>
          <w:sz w:val="96"/>
          <w:szCs w:val="96"/>
          <w:highlight w:val="none"/>
        </w:rPr>
      </w:pPr>
      <w:r>
        <w:rPr>
          <w:rFonts w:hint="eastAsia" w:ascii="宋体" w:hAnsi="宋体" w:eastAsia="宋体" w:cs="宋体"/>
          <w:b/>
          <w:bCs w:val="0"/>
          <w:color w:val="auto"/>
          <w:spacing w:val="57"/>
          <w:sz w:val="96"/>
          <w:szCs w:val="96"/>
          <w:highlight w:val="none"/>
        </w:rPr>
        <w:t>公开采购文件</w:t>
      </w: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tbl>
      <w:tblPr>
        <w:tblStyle w:val="30"/>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trPr>
        <w:tc>
          <w:tcPr>
            <w:tcW w:w="261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项目名称：</w:t>
            </w:r>
          </w:p>
        </w:tc>
        <w:tc>
          <w:tcPr>
            <w:tcW w:w="620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cs="宋体"/>
                <w:bCs/>
                <w:color w:val="auto"/>
                <w:sz w:val="32"/>
                <w:szCs w:val="24"/>
                <w:highlight w:val="none"/>
                <w:u w:val="none"/>
                <w:lang w:val="en-US" w:eastAsia="zh-CN"/>
              </w:rPr>
              <w:t>东莞市骏安押运有限公司2024年度车辆维修保养服务整体外包项目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项目采购编号：</w:t>
            </w:r>
          </w:p>
        </w:tc>
        <w:tc>
          <w:tcPr>
            <w:tcW w:w="620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JAYY-BGS-03-01-05（2023）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采购人：</w:t>
            </w:r>
          </w:p>
        </w:tc>
        <w:tc>
          <w:tcPr>
            <w:tcW w:w="6203" w:type="dxa"/>
            <w:noWrap/>
            <w:vAlign w:val="center"/>
          </w:tcPr>
          <w:p>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lang w:eastAsia="zh-CN"/>
              </w:rPr>
              <w:t>东莞市骏安押运有限公司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采购代理：</w:t>
            </w:r>
          </w:p>
        </w:tc>
        <w:tc>
          <w:tcPr>
            <w:tcW w:w="6203" w:type="dxa"/>
            <w:noWrap/>
            <w:vAlign w:val="center"/>
          </w:tcPr>
          <w:p>
            <w:pPr>
              <w:spacing w:before="200"/>
              <w:jc w:val="both"/>
              <w:rPr>
                <w:rFonts w:hint="eastAsia" w:ascii="宋体" w:hAnsi="宋体" w:eastAsia="宋体" w:cs="宋体"/>
                <w:bCs/>
                <w:color w:val="auto"/>
                <w:sz w:val="32"/>
                <w:szCs w:val="24"/>
                <w:highlight w:val="none"/>
                <w:lang w:val="en-US" w:eastAsia="zh-CN"/>
              </w:rPr>
            </w:pPr>
            <w:r>
              <w:rPr>
                <w:rFonts w:hint="eastAsia" w:ascii="宋体" w:hAnsi="宋体" w:eastAsia="宋体" w:cs="宋体"/>
                <w:bCs/>
                <w:color w:val="auto"/>
                <w:sz w:val="32"/>
                <w:szCs w:val="24"/>
                <w:highlight w:val="none"/>
                <w:u w:val="none"/>
                <w:lang w:val="en-US" w:eastAsia="zh-CN"/>
              </w:rPr>
              <w:t>广东志正招标有限</w:t>
            </w:r>
            <w:r>
              <w:rPr>
                <w:rFonts w:hint="eastAsia" w:ascii="宋体" w:hAnsi="宋体" w:eastAsia="宋体" w:cs="宋体"/>
                <w:bCs/>
                <w:color w:val="auto"/>
                <w:sz w:val="32"/>
                <w:szCs w:val="24"/>
                <w:highlight w:val="none"/>
                <w:u w:val="none"/>
              </w:rPr>
              <w:t>公司</w:t>
            </w:r>
            <w:r>
              <w:rPr>
                <w:rFonts w:hint="eastAsia" w:ascii="宋体" w:hAnsi="宋体" w:eastAsia="宋体" w:cs="宋体"/>
                <w:bCs/>
                <w:color w:val="auto"/>
                <w:sz w:val="32"/>
                <w:szCs w:val="24"/>
                <w:highlight w:val="none"/>
                <w:u w:val="none"/>
                <w:lang w:val="en-US" w:eastAsia="zh-CN"/>
              </w:rPr>
              <w:t>东莞分公司</w:t>
            </w:r>
          </w:p>
        </w:tc>
      </w:tr>
    </w:tbl>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pStyle w:val="38"/>
        <w:ind w:firstLine="400"/>
        <w:rPr>
          <w:rFonts w:hint="eastAsia" w:ascii="宋体" w:hAnsi="宋体" w:eastAsia="宋体" w:cs="宋体"/>
          <w:color w:val="auto"/>
          <w:highlight w:val="none"/>
        </w:rPr>
      </w:pPr>
    </w:p>
    <w:p>
      <w:pPr>
        <w:jc w:val="center"/>
        <w:rPr>
          <w:rFonts w:hint="eastAsia" w:ascii="宋体" w:hAnsi="宋体" w:eastAsia="宋体" w:cs="宋体"/>
          <w:color w:val="auto"/>
          <w:szCs w:val="21"/>
          <w:highlight w:val="none"/>
        </w:rPr>
      </w:pPr>
    </w:p>
    <w:p>
      <w:pPr>
        <w:jc w:val="center"/>
        <w:rPr>
          <w:rFonts w:hint="eastAsia" w:ascii="宋体" w:hAnsi="宋体" w:eastAsia="宋体" w:cs="宋体"/>
          <w:color w:val="auto"/>
          <w:szCs w:val="21"/>
          <w:highlight w:val="none"/>
        </w:rPr>
      </w:pPr>
    </w:p>
    <w:p>
      <w:pPr>
        <w:spacing w:before="200"/>
        <w:jc w:val="center"/>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20</w:t>
      </w:r>
      <w:r>
        <w:rPr>
          <w:rFonts w:hint="eastAsia" w:ascii="宋体" w:hAnsi="宋体" w:eastAsia="宋体" w:cs="宋体"/>
          <w:bCs/>
          <w:color w:val="auto"/>
          <w:sz w:val="32"/>
          <w:szCs w:val="24"/>
          <w:highlight w:val="none"/>
          <w:lang w:val="en-US" w:eastAsia="zh-CN"/>
        </w:rPr>
        <w:t>23</w:t>
      </w:r>
      <w:r>
        <w:rPr>
          <w:rFonts w:hint="eastAsia" w:ascii="宋体" w:hAnsi="宋体" w:eastAsia="宋体" w:cs="宋体"/>
          <w:bCs/>
          <w:color w:val="auto"/>
          <w:sz w:val="32"/>
          <w:szCs w:val="24"/>
          <w:highlight w:val="none"/>
        </w:rPr>
        <w:t>年</w:t>
      </w:r>
      <w:r>
        <w:rPr>
          <w:rFonts w:hint="eastAsia" w:ascii="宋体" w:hAnsi="宋体" w:cs="宋体"/>
          <w:bCs/>
          <w:color w:val="auto"/>
          <w:sz w:val="32"/>
          <w:szCs w:val="24"/>
          <w:highlight w:val="none"/>
          <w:lang w:val="en-US" w:eastAsia="zh-CN"/>
        </w:rPr>
        <w:t>12</w:t>
      </w:r>
      <w:r>
        <w:rPr>
          <w:rFonts w:hint="eastAsia" w:ascii="宋体" w:hAnsi="宋体" w:eastAsia="宋体" w:cs="宋体"/>
          <w:bCs/>
          <w:color w:val="auto"/>
          <w:sz w:val="32"/>
          <w:szCs w:val="24"/>
          <w:highlight w:val="none"/>
        </w:rPr>
        <w:t>月</w:t>
      </w:r>
    </w:p>
    <w:p>
      <w:pPr>
        <w:rPr>
          <w:rFonts w:hint="eastAsia" w:ascii="宋体" w:hAnsi="宋体" w:eastAsia="宋体" w:cs="宋体"/>
          <w:color w:val="auto"/>
          <w:highlight w:val="none"/>
        </w:rPr>
        <w:sectPr>
          <w:footerReference r:id="rId6" w:type="first"/>
          <w:footerReference r:id="rId4" w:type="default"/>
          <w:headerReference r:id="rId3" w:type="even"/>
          <w:footerReference r:id="rId5" w:type="even"/>
          <w:pgSz w:w="11906" w:h="16838"/>
          <w:pgMar w:top="1440" w:right="1800" w:bottom="1440" w:left="1800" w:header="708" w:footer="708" w:gutter="0"/>
          <w:pgNumType w:start="1"/>
          <w:cols w:space="708" w:num="1"/>
          <w:titlePg/>
          <w:docGrid w:type="lines" w:linePitch="360" w:charSpace="0"/>
        </w:sectPr>
      </w:pPr>
    </w:p>
    <w:p>
      <w:pPr>
        <w:pStyle w:val="23"/>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目录</w:t>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_Toc17129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第一部分投标邀请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一、采购项目概况</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_Toc3409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二、投标人资格要求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_Toc3409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三、获取采购文件方式及要求：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五、发布公告的媒介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_Toc20735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六、采购人及采购代理机构的名称、地址和联系方法：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_Toc20735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_Toc22134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第二部分相关资料表格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_Toc25869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_Toc25869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附表二：商务技术评分及价格权重表（满分100分）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_Toc26760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商务需求书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_Toc32652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技术需求书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_Toc32652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第四部分投标人须知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_Toc21984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_Toc27341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 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_Toc27341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 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_Toc9152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 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_Toc9152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_Toc20516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 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_Toc32510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 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 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_Toc14948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 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_Toc14948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 踏勘现场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_Toc14160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二、 采购文件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_Toc24813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 采购文件的组成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_Toc24813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_Toc21125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 采购文件的澄清或修改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_Toc21125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 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_Toc29073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_Toc10505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 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_Toc10505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 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_Toc21207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 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_Toc30425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_Toc3899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四、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_Toc3899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_Toc9934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 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_Toc9934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_Toc12565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 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_Toc19970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 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 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_Toc10556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_Toc10556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 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_Toc29507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 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 评标程序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_Toc22349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 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_Toc22349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 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_Toc14975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 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_Toc14975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_Toc22540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 发布中标结果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 资格后审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_Toc5759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 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_Toc5759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 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_Toc27808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 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_Toc23393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七、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2"/>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八、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 采购文件的解释权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_Toc27155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第五部分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_Toc27155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_Toc15372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第六部分附件－投标文件格式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_Toc15372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_Toc23110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_Toc23110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_Toc6967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_Toc23247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_Toc23247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附件3.服务费构成明细报价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_Toc15788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附件4.投标书格式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_Toc15788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_Toc11265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_Toc11265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附件10.在经营活动中没有重大违法记录的书面声明格式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_Toc9868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.承诺书格式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_Toc9868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_Toc23925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.商务需求条款偏离表格式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_Toc23925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_Toc14764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_Toc13096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.联合体协议书（如有）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_Toc13096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_Toc13960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_Toc13960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_Toc8207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_Toc21714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_Toc6320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.不可撤销履约保函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_Toc6320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_Toc13391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_Toc13391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9"/>
        <w:tabs>
          <w:tab w:val="right" w:leader="dot" w:pos="8306"/>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_Toc17080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唱标信封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_Toc28381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.唱标信封内装（内容务必与投标文件正本一致）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_Toc28381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3"/>
        <w:tabs>
          <w:tab w:val="right" w:leader="dot" w:pos="8306"/>
          <w:tab w:val="clear" w:pos="8296"/>
        </w:tabs>
        <w:spacing w:line="24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
        <w:spacing w:before="0" w:after="0" w:line="240" w:lineRule="auto"/>
        <w:outlineLvl w:val="0"/>
        <w:rPr>
          <w:rFonts w:hint="eastAsia" w:ascii="宋体" w:hAnsi="宋体" w:eastAsia="宋体" w:cs="宋体"/>
          <w:color w:val="auto"/>
          <w:sz w:val="28"/>
          <w:szCs w:val="28"/>
          <w:highlight w:val="none"/>
        </w:rPr>
      </w:pPr>
      <w:bookmarkStart w:id="0" w:name="_Toc17129"/>
      <w:r>
        <w:rPr>
          <w:rFonts w:hint="eastAsia" w:ascii="宋体" w:hAnsi="宋体" w:eastAsia="宋体" w:cs="宋体"/>
          <w:color w:val="auto"/>
          <w:sz w:val="28"/>
          <w:szCs w:val="28"/>
          <w:highlight w:val="none"/>
        </w:rPr>
        <w:t>第一部分投标邀请</w:t>
      </w:r>
      <w:bookmarkEnd w:id="0"/>
    </w:p>
    <w:p>
      <w:pPr>
        <w:pStyle w:val="4"/>
        <w:spacing w:before="0" w:after="0" w:line="360" w:lineRule="auto"/>
        <w:jc w:val="center"/>
        <w:outlineLvl w:val="1"/>
        <w:rPr>
          <w:rFonts w:hint="eastAsia" w:ascii="宋体" w:hAnsi="宋体" w:eastAsia="宋体" w:cs="宋体"/>
          <w:color w:val="auto"/>
          <w:highlight w:val="none"/>
        </w:rPr>
      </w:pPr>
      <w:bookmarkStart w:id="1" w:name="_Toc28778"/>
      <w:r>
        <w:rPr>
          <w:rFonts w:hint="eastAsia" w:ascii="宋体" w:hAnsi="宋体" w:eastAsia="宋体" w:cs="宋体"/>
          <w:color w:val="auto"/>
          <w:highlight w:val="none"/>
        </w:rPr>
        <w:t>投标邀请书</w:t>
      </w:r>
      <w:bookmarkEnd w:id="1"/>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广东志正招标有限</w:t>
      </w:r>
      <w:r>
        <w:rPr>
          <w:rFonts w:hint="eastAsia" w:ascii="宋体" w:hAnsi="宋体" w:eastAsia="宋体" w:cs="宋体"/>
          <w:color w:val="auto"/>
          <w:szCs w:val="21"/>
          <w:highlight w:val="none"/>
        </w:rPr>
        <w:t>公司</w:t>
      </w:r>
      <w:r>
        <w:rPr>
          <w:rFonts w:hint="eastAsia" w:ascii="宋体" w:hAnsi="宋体" w:eastAsia="宋体" w:cs="宋体"/>
          <w:color w:val="auto"/>
          <w:szCs w:val="21"/>
          <w:highlight w:val="none"/>
          <w:lang w:val="en-US" w:eastAsia="zh-CN"/>
        </w:rPr>
        <w:t>东莞分公司</w:t>
      </w:r>
      <w:r>
        <w:rPr>
          <w:rFonts w:hint="eastAsia" w:ascii="宋体" w:hAnsi="宋体" w:eastAsia="宋体" w:cs="宋体"/>
          <w:color w:val="auto"/>
          <w:szCs w:val="21"/>
          <w:highlight w:val="none"/>
        </w:rPr>
        <w:t>（以下简称“采购代理机构”）受</w:t>
      </w:r>
      <w:r>
        <w:rPr>
          <w:rFonts w:hint="eastAsia" w:ascii="宋体" w:hAnsi="宋体" w:cs="宋体"/>
          <w:color w:val="auto"/>
          <w:szCs w:val="21"/>
          <w:highlight w:val="none"/>
          <w:lang w:eastAsia="zh-CN"/>
        </w:rPr>
        <w:t>东莞市骏安押运有限公司</w:t>
      </w:r>
      <w:r>
        <w:rPr>
          <w:rFonts w:hint="eastAsia" w:ascii="宋体" w:hAnsi="宋体" w:eastAsia="宋体" w:cs="宋体"/>
          <w:color w:val="auto"/>
          <w:szCs w:val="21"/>
          <w:highlight w:val="none"/>
        </w:rPr>
        <w:t>（以下简称“采购人”）委托，现就</w:t>
      </w:r>
      <w:r>
        <w:rPr>
          <w:rFonts w:hint="eastAsia" w:ascii="宋体" w:hAnsi="宋体" w:cs="宋体"/>
          <w:color w:val="auto"/>
          <w:szCs w:val="21"/>
          <w:highlight w:val="none"/>
          <w:lang w:eastAsia="zh-CN"/>
        </w:rPr>
        <w:t>东莞市骏安押运有限公司2024年度车辆维修保养服务整体外包项目</w:t>
      </w: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val="en-US" w:eastAsia="zh-CN"/>
        </w:rPr>
        <w:t>JAYY-BGS-03-01-05（2023）</w:t>
      </w:r>
      <w:r>
        <w:rPr>
          <w:rFonts w:hint="eastAsia" w:ascii="宋体" w:hAnsi="宋体" w:eastAsia="宋体" w:cs="宋体"/>
          <w:color w:val="auto"/>
          <w:szCs w:val="21"/>
          <w:highlight w:val="none"/>
        </w:rPr>
        <w:t>）进行国内公开采购，欢迎符合采购文件要求的国内投标人参加投标。有关事项如下：</w:t>
      </w:r>
    </w:p>
    <w:p>
      <w:pPr>
        <w:ind w:firstLine="413" w:firstLineChars="196"/>
        <w:rPr>
          <w:rFonts w:hint="eastAsia" w:ascii="宋体" w:hAnsi="宋体" w:eastAsia="宋体" w:cs="宋体"/>
          <w:b/>
          <w:color w:val="auto"/>
          <w:szCs w:val="21"/>
          <w:highlight w:val="none"/>
        </w:rPr>
      </w:pPr>
    </w:p>
    <w:p>
      <w:pPr>
        <w:ind w:firstLine="413"/>
        <w:outlineLvl w:val="1"/>
        <w:rPr>
          <w:rFonts w:hint="eastAsia" w:ascii="宋体" w:hAnsi="宋体" w:eastAsia="宋体" w:cs="宋体"/>
          <w:b/>
          <w:color w:val="auto"/>
          <w:szCs w:val="21"/>
          <w:highlight w:val="none"/>
        </w:rPr>
      </w:pPr>
      <w:bookmarkStart w:id="2" w:name="_Toc26832"/>
      <w:r>
        <w:rPr>
          <w:rFonts w:hint="eastAsia" w:ascii="宋体" w:hAnsi="宋体" w:eastAsia="宋体" w:cs="宋体"/>
          <w:b/>
          <w:color w:val="auto"/>
          <w:szCs w:val="21"/>
          <w:highlight w:val="none"/>
        </w:rPr>
        <w:t>一、采购项目概况</w:t>
      </w:r>
      <w:bookmarkEnd w:id="2"/>
    </w:p>
    <w:p>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1、采购项目名称：</w:t>
      </w:r>
      <w:r>
        <w:rPr>
          <w:rFonts w:hint="eastAsia" w:ascii="宋体" w:hAnsi="宋体" w:cs="宋体"/>
          <w:color w:val="auto"/>
          <w:szCs w:val="21"/>
          <w:highlight w:val="none"/>
          <w:lang w:eastAsia="zh-CN"/>
        </w:rPr>
        <w:t>东莞市骏安押运有限公司2024年度车辆维修保养服务整体外包项目</w:t>
      </w:r>
    </w:p>
    <w:p>
      <w:pPr>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、项目内容</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816"/>
        <w:gridCol w:w="126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包组号</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服务内容</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服务单位数量</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A包</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寮步基地</w:t>
            </w:r>
            <w:r>
              <w:rPr>
                <w:rFonts w:hint="eastAsia" w:ascii="宋体" w:hAnsi="宋体" w:cs="Times New Roman"/>
                <w:color w:val="auto"/>
                <w:sz w:val="21"/>
                <w:szCs w:val="21"/>
                <w:highlight w:val="none"/>
                <w:lang w:val="en-US" w:eastAsia="zh-CN" w:bidi="ar-SA"/>
              </w:rPr>
              <w:t>2024年度</w:t>
            </w:r>
            <w:r>
              <w:rPr>
                <w:rFonts w:hint="eastAsia" w:ascii="宋体" w:hAnsi="宋体" w:eastAsia="宋体" w:cs="Times New Roman"/>
                <w:color w:val="auto"/>
                <w:sz w:val="21"/>
                <w:szCs w:val="21"/>
                <w:highlight w:val="none"/>
                <w:lang w:val="en-US" w:eastAsia="zh-CN" w:bidi="ar-SA"/>
              </w:rPr>
              <w:t>车辆维修保养整体外包服务</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w:t>
            </w:r>
            <w:r>
              <w:rPr>
                <w:rFonts w:hint="eastAsia" w:ascii="宋体" w:hAnsi="宋体" w:eastAsia="宋体" w:cs="Times New Roman"/>
                <w:color w:val="auto"/>
                <w:sz w:val="21"/>
                <w:szCs w:val="21"/>
                <w:highlight w:val="none"/>
                <w:lang w:val="en-US" w:eastAsia="zh-CN" w:bidi="ar-SA"/>
              </w:rPr>
              <w:t>家</w:t>
            </w:r>
          </w:p>
        </w:tc>
        <w:tc>
          <w:tcPr>
            <w:tcW w:w="15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B包</w:t>
            </w:r>
          </w:p>
        </w:tc>
        <w:tc>
          <w:tcPr>
            <w:tcW w:w="48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万江基地</w:t>
            </w:r>
            <w:r>
              <w:rPr>
                <w:rFonts w:hint="eastAsia" w:ascii="宋体" w:hAnsi="宋体" w:cs="Times New Roman"/>
                <w:color w:val="auto"/>
                <w:sz w:val="21"/>
                <w:szCs w:val="21"/>
                <w:highlight w:val="none"/>
                <w:lang w:val="en-US" w:eastAsia="zh-CN" w:bidi="ar-SA"/>
              </w:rPr>
              <w:t>2024年度</w:t>
            </w:r>
            <w:r>
              <w:rPr>
                <w:rFonts w:hint="eastAsia" w:ascii="宋体" w:hAnsi="宋体" w:eastAsia="宋体" w:cs="Times New Roman"/>
                <w:color w:val="auto"/>
                <w:sz w:val="21"/>
                <w:szCs w:val="21"/>
                <w:highlight w:val="none"/>
                <w:lang w:val="en-US" w:eastAsia="zh-CN" w:bidi="ar-SA"/>
              </w:rPr>
              <w:t>车辆维修保养整体外包服务</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Times New Roman"/>
                <w:color w:val="auto"/>
                <w:sz w:val="21"/>
                <w:szCs w:val="21"/>
                <w:highlight w:val="none"/>
                <w:lang w:val="en-US" w:eastAsia="zh-CN" w:bidi="ar-SA"/>
              </w:rPr>
            </w:pPr>
            <w:r>
              <w:rPr>
                <w:rFonts w:ascii="宋体" w:hAnsi="宋体" w:eastAsia="宋体" w:cs="Times New Roman"/>
                <w:color w:val="auto"/>
                <w:sz w:val="21"/>
                <w:szCs w:val="21"/>
                <w:highlight w:val="none"/>
                <w:lang w:val="en-US" w:eastAsia="zh-CN" w:bidi="ar-SA"/>
              </w:rPr>
              <w:t>1</w:t>
            </w:r>
            <w:r>
              <w:rPr>
                <w:rFonts w:hint="eastAsia" w:ascii="宋体" w:hAnsi="宋体" w:eastAsia="宋体" w:cs="Times New Roman"/>
                <w:color w:val="auto"/>
                <w:sz w:val="21"/>
                <w:szCs w:val="21"/>
                <w:highlight w:val="none"/>
                <w:lang w:val="en-US" w:eastAsia="zh-CN" w:bidi="ar-SA"/>
              </w:rPr>
              <w:t>家</w:t>
            </w: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Times New Roman"/>
                <w:color w:val="auto"/>
                <w:sz w:val="21"/>
                <w:szCs w:val="21"/>
                <w:highlight w:val="none"/>
                <w:lang w:val="en-US" w:eastAsia="zh-CN" w:bidi="ar-SA"/>
              </w:rPr>
            </w:pPr>
          </w:p>
        </w:tc>
      </w:tr>
    </w:tbl>
    <w:p>
      <w:pPr>
        <w:ind w:firstLine="420" w:firstLineChars="200"/>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、项目需求</w:t>
      </w:r>
    </w:p>
    <w:p>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详细内容请参阅采购文件第三部分《用户需求书》。</w:t>
      </w:r>
    </w:p>
    <w:p>
      <w:pPr>
        <w:ind w:firstLine="413" w:firstLineChars="196"/>
        <w:outlineLvl w:val="1"/>
        <w:rPr>
          <w:rFonts w:hint="eastAsia" w:ascii="宋体" w:hAnsi="宋体" w:eastAsia="宋体" w:cs="宋体"/>
          <w:b/>
          <w:color w:val="auto"/>
          <w:szCs w:val="21"/>
          <w:highlight w:val="none"/>
        </w:rPr>
      </w:pPr>
      <w:bookmarkStart w:id="3" w:name="_Toc3409"/>
      <w:r>
        <w:rPr>
          <w:rFonts w:hint="eastAsia" w:ascii="宋体" w:hAnsi="宋体" w:eastAsia="宋体" w:cs="宋体"/>
          <w:b/>
          <w:color w:val="auto"/>
          <w:szCs w:val="21"/>
          <w:highlight w:val="none"/>
        </w:rPr>
        <w:t>二、投标人资格要求</w:t>
      </w:r>
      <w:bookmarkEnd w:id="3"/>
    </w:p>
    <w:p>
      <w:pPr>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（3）投标人的单位负责人为同一人或者存在直接控股、管理关系的不同投标人，不得参加同一合同项下的采购活动。</w:t>
      </w:r>
    </w:p>
    <w:p>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（4）未被列入“信用中国”网站(www.creditchina.gov.cn )“记录失信被执行人或</w:t>
      </w:r>
      <w:r>
        <w:rPr>
          <w:rFonts w:hint="eastAsia" w:eastAsia="宋体"/>
          <w:color w:val="auto"/>
          <w:highlight w:val="none"/>
        </w:rPr>
        <w:t>重大税收违法失信主体</w:t>
      </w:r>
      <w:r>
        <w:rPr>
          <w:rFonts w:hint="eastAsia" w:ascii="宋体" w:hAnsi="宋体" w:eastAsia="宋体"/>
          <w:color w:val="auto"/>
          <w:szCs w:val="21"/>
          <w:highlight w:val="none"/>
        </w:rPr>
        <w:t>或政府采购严重违法失信行为”记录名单。以代理机构于投标截止日当天在“信用中国”网站查询结果为准，如相关失信记录已失效，投标人需提供相关证明资料。</w:t>
      </w:r>
    </w:p>
    <w:p>
      <w:pPr>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（5）未被列入东实集团及下属企业相关领域黑名单。【以</w:t>
      </w:r>
      <w:r>
        <w:rPr>
          <w:rFonts w:hint="eastAsia" w:ascii="宋体" w:hAnsi="宋体" w:eastAsia="宋体"/>
          <w:color w:val="auto"/>
          <w:szCs w:val="21"/>
          <w:highlight w:val="none"/>
          <w:lang w:val="zh-CN"/>
        </w:rPr>
        <w:t>东莞实业投资控股集团有限公司</w:t>
      </w:r>
      <w:r>
        <w:rPr>
          <w:rFonts w:hint="eastAsia" w:ascii="宋体" w:hAnsi="宋体" w:eastAsia="宋体"/>
          <w:color w:val="auto"/>
          <w:szCs w:val="21"/>
          <w:highlight w:val="none"/>
        </w:rPr>
        <w:t>发文（东实通〔2021〕44号）、（东实通〔2021〕98号）、（东实通〔2022〕75号）、（东实通〔2023〕37号）为准，如有最新发文通知，按最新文件执行。】</w:t>
      </w:r>
    </w:p>
    <w:p>
      <w:pPr>
        <w:ind w:firstLine="420" w:firstLineChars="200"/>
        <w:rPr>
          <w:rFonts w:hint="default" w:ascii="宋体" w:hAnsi="宋体" w:eastAsia="宋体" w:cs="宋体"/>
          <w:color w:val="auto"/>
          <w:highlight w:val="none"/>
          <w:u w:val="none"/>
          <w:lang w:val="en-US" w:eastAsia="zh-CN"/>
        </w:rPr>
      </w:pPr>
      <w:r>
        <w:rPr>
          <w:rFonts w:hint="eastAsia" w:ascii="宋体" w:hAnsi="宋体" w:eastAsia="宋体" w:cs="宋体"/>
          <w:color w:val="auto"/>
          <w:szCs w:val="21"/>
          <w:highlight w:val="none"/>
        </w:rPr>
        <w:t>2、其他要求</w:t>
      </w:r>
      <w:r>
        <w:rPr>
          <w:rFonts w:hint="eastAsia" w:ascii="宋体" w:hAnsi="宋体" w:cs="宋体"/>
          <w:color w:val="auto"/>
          <w:szCs w:val="21"/>
          <w:highlight w:val="none"/>
          <w:lang w:eastAsia="zh-CN"/>
        </w:rPr>
        <w:t>：</w:t>
      </w:r>
      <w:r>
        <w:rPr>
          <w:rFonts w:hint="eastAsia"/>
          <w:color w:val="auto"/>
          <w:kern w:val="2"/>
          <w:sz w:val="21"/>
          <w:highlight w:val="none"/>
        </w:rPr>
        <w:t>投标人须具备有效的《道路运输经营许可证》</w:t>
      </w:r>
      <w:r>
        <w:rPr>
          <w:rFonts w:hint="eastAsia" w:ascii="宋体" w:hAnsi="宋体" w:eastAsia="宋体"/>
          <w:color w:val="auto"/>
          <w:szCs w:val="21"/>
          <w:highlight w:val="none"/>
        </w:rPr>
        <w:t>【</w:t>
      </w:r>
      <w:r>
        <w:rPr>
          <w:rFonts w:hint="eastAsia"/>
          <w:color w:val="auto"/>
          <w:kern w:val="2"/>
          <w:sz w:val="21"/>
          <w:highlight w:val="none"/>
        </w:rPr>
        <w:t>经营范围为二类（或以上）机动车维修）或者交通运输部门颁发的《机动车维修经营备案表》（二类或以上）</w:t>
      </w:r>
      <w:r>
        <w:rPr>
          <w:rFonts w:hint="eastAsia" w:eastAsia="宋体"/>
          <w:color w:val="auto"/>
          <w:kern w:val="2"/>
          <w:sz w:val="21"/>
          <w:highlight w:val="none"/>
          <w:lang w:eastAsia="zh-CN"/>
        </w:rPr>
        <w:t>，</w:t>
      </w:r>
      <w:r>
        <w:rPr>
          <w:rFonts w:hint="eastAsia" w:ascii="宋体" w:hAnsi="宋体"/>
          <w:color w:val="auto"/>
          <w:sz w:val="21"/>
          <w:szCs w:val="21"/>
          <w:highlight w:val="none"/>
        </w:rPr>
        <w:t>需提供</w:t>
      </w:r>
      <w:r>
        <w:rPr>
          <w:rFonts w:hint="eastAsia" w:ascii="宋体" w:hAnsi="宋体"/>
          <w:color w:val="auto"/>
          <w:sz w:val="21"/>
          <w:szCs w:val="21"/>
          <w:highlight w:val="none"/>
          <w:lang w:val="en-US" w:eastAsia="zh-CN"/>
        </w:rPr>
        <w:t>相应</w:t>
      </w:r>
      <w:r>
        <w:rPr>
          <w:rFonts w:hint="eastAsia" w:ascii="宋体" w:hAnsi="宋体"/>
          <w:color w:val="auto"/>
          <w:sz w:val="21"/>
          <w:szCs w:val="21"/>
          <w:highlight w:val="none"/>
        </w:rPr>
        <w:t>的复印件加盖投标人的公章】</w:t>
      </w:r>
      <w:r>
        <w:rPr>
          <w:rFonts w:hint="eastAsia" w:ascii="宋体" w:hAnsi="宋体"/>
          <w:color w:val="auto"/>
          <w:sz w:val="21"/>
          <w:szCs w:val="21"/>
          <w:highlight w:val="none"/>
          <w:lang w:eastAsia="zh-CN"/>
        </w:rPr>
        <w:t>。</w:t>
      </w:r>
    </w:p>
    <w:p>
      <w:pPr>
        <w:ind w:firstLine="413" w:firstLineChars="196"/>
        <w:outlineLvl w:val="1"/>
        <w:rPr>
          <w:rFonts w:hint="eastAsia" w:ascii="宋体" w:hAnsi="宋体" w:eastAsia="宋体" w:cs="宋体"/>
          <w:b/>
          <w:color w:val="auto"/>
          <w:szCs w:val="21"/>
          <w:highlight w:val="none"/>
        </w:rPr>
      </w:pPr>
      <w:bookmarkStart w:id="4" w:name="_Toc1377"/>
      <w:r>
        <w:rPr>
          <w:rFonts w:hint="eastAsia" w:ascii="宋体" w:hAnsi="宋体" w:eastAsia="宋体" w:cs="宋体"/>
          <w:b/>
          <w:color w:val="auto"/>
          <w:szCs w:val="21"/>
          <w:highlight w:val="none"/>
        </w:rPr>
        <w:t>三、获取采购文件方式及要求：</w:t>
      </w:r>
      <w:bookmarkEnd w:id="4"/>
    </w:p>
    <w:p>
      <w:pPr>
        <w:wordWrap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进行实名登记报名，拟参加投标的投标人可于投标截止时间前自行网上下载采购文件。采购文件下载地址：中国招标投标公共服务平台（http://www.cebpubservice.com/）、广东省公共资源交易平台（https://ygp.gdzwfw.gov.cn/#/44/index）、东莞实业投资控股集团有限公司-招标采购栏目（http://www.dgsy.com.cn/）、广东志正招标有限公司网站（http：//www.zztender.com）。</w:t>
      </w:r>
    </w:p>
    <w:p>
      <w:pPr>
        <w:rPr>
          <w:rFonts w:hint="eastAsia" w:ascii="宋体" w:hAnsi="宋体" w:eastAsia="宋体" w:cs="宋体"/>
          <w:color w:val="auto"/>
          <w:highlight w:val="none"/>
        </w:rPr>
      </w:pPr>
    </w:p>
    <w:p>
      <w:pPr>
        <w:ind w:firstLine="413" w:firstLineChars="196"/>
        <w:outlineLvl w:val="1"/>
        <w:rPr>
          <w:rFonts w:hint="eastAsia" w:ascii="宋体" w:hAnsi="宋体" w:eastAsia="宋体" w:cs="宋体"/>
          <w:b/>
          <w:color w:val="auto"/>
          <w:szCs w:val="21"/>
          <w:highlight w:val="none"/>
        </w:rPr>
      </w:pPr>
      <w:bookmarkStart w:id="5" w:name="_Toc101"/>
      <w:r>
        <w:rPr>
          <w:rFonts w:hint="eastAsia" w:ascii="宋体" w:hAnsi="宋体" w:eastAsia="宋体" w:cs="宋体"/>
          <w:b/>
          <w:color w:val="auto"/>
          <w:szCs w:val="21"/>
          <w:highlight w:val="none"/>
        </w:rPr>
        <w:t>四、投标文件的递交</w:t>
      </w:r>
      <w:bookmarkEnd w:id="5"/>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22</w:t>
      </w:r>
      <w:r>
        <w:rPr>
          <w:rFonts w:hint="eastAsia" w:ascii="宋体" w:hAnsi="宋体" w:eastAsia="宋体" w:cs="宋体"/>
          <w:color w:val="auto"/>
          <w:szCs w:val="21"/>
          <w:highlight w:val="none"/>
        </w:rPr>
        <w:t>日（北京时间）</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rPr>
        <w:t>。</w:t>
      </w:r>
    </w:p>
    <w:p>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22</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09</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3、开标地点：广东省东莞市南城区西平社区宏伟三路45号东莞市公共资源交易中心开标（5）室。</w:t>
      </w:r>
    </w:p>
    <w:p>
      <w:pPr>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pPr>
        <w:pStyle w:val="38"/>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pPr>
        <w:pStyle w:val="38"/>
        <w:ind w:firstLine="400"/>
        <w:rPr>
          <w:rFonts w:hint="eastAsia" w:ascii="宋体" w:hAnsi="宋体" w:eastAsia="宋体" w:cs="宋体"/>
          <w:color w:val="auto"/>
          <w:highlight w:val="none"/>
        </w:rPr>
      </w:pPr>
    </w:p>
    <w:p>
      <w:pPr>
        <w:pStyle w:val="38"/>
        <w:ind w:firstLine="422"/>
        <w:outlineLvl w:val="1"/>
        <w:rPr>
          <w:rFonts w:hint="eastAsia" w:ascii="宋体" w:hAnsi="宋体" w:eastAsia="宋体" w:cs="宋体"/>
          <w:b/>
          <w:color w:val="auto"/>
          <w:sz w:val="21"/>
          <w:szCs w:val="21"/>
          <w:highlight w:val="none"/>
        </w:rPr>
      </w:pPr>
      <w:bookmarkStart w:id="6" w:name="_Toc27119"/>
      <w:r>
        <w:rPr>
          <w:rFonts w:hint="eastAsia" w:ascii="宋体" w:hAnsi="宋体" w:eastAsia="宋体" w:cs="宋体"/>
          <w:b/>
          <w:color w:val="auto"/>
          <w:sz w:val="21"/>
          <w:szCs w:val="21"/>
          <w:highlight w:val="none"/>
        </w:rPr>
        <w:t>五、发布公告的媒介</w:t>
      </w:r>
      <w:bookmarkEnd w:id="6"/>
    </w:p>
    <w:p>
      <w:pPr>
        <w:pStyle w:val="38"/>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pPr>
        <w:pStyle w:val="3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中国招标投标公共服务平台（http://www.cebpubservice.com/）、广东省公共资源交易平台（https://ygp.gdzwfw.gov.cn/#/44/index）、东莞实业投资控股集团有限公司-招标采购栏目（http://www.dgsy.com.cn/）、广东志正招标有限公司网站（http：//www.zztender.com）</w:t>
      </w:r>
      <w:r>
        <w:rPr>
          <w:rFonts w:hint="eastAsia" w:ascii="宋体" w:hAnsi="宋体" w:eastAsia="宋体" w:cs="宋体"/>
          <w:color w:val="auto"/>
          <w:sz w:val="21"/>
          <w:szCs w:val="21"/>
          <w:highlight w:val="none"/>
        </w:rPr>
        <w:t>。</w:t>
      </w:r>
    </w:p>
    <w:p>
      <w:pPr>
        <w:pStyle w:val="38"/>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pPr>
        <w:pStyle w:val="38"/>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pPr>
        <w:ind w:firstLine="413" w:firstLineChars="196"/>
        <w:outlineLvl w:val="1"/>
        <w:rPr>
          <w:rFonts w:hint="eastAsia" w:ascii="宋体" w:hAnsi="宋体" w:eastAsia="宋体" w:cs="宋体"/>
          <w:bCs/>
          <w:color w:val="auto"/>
          <w:szCs w:val="21"/>
          <w:highlight w:val="none"/>
        </w:rPr>
      </w:pPr>
      <w:bookmarkStart w:id="7" w:name="_Toc20735"/>
      <w:r>
        <w:rPr>
          <w:rFonts w:hint="eastAsia" w:ascii="宋体" w:hAnsi="宋体" w:eastAsia="宋体" w:cs="宋体"/>
          <w:b/>
          <w:color w:val="auto"/>
          <w:szCs w:val="21"/>
          <w:highlight w:val="none"/>
        </w:rPr>
        <w:t>六、采购人及采购代理机构的名称、地址和联系方法：</w:t>
      </w:r>
      <w:bookmarkEnd w:id="7"/>
    </w:p>
    <w:p>
      <w:pPr>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采购人名称：</w:t>
      </w:r>
      <w:r>
        <w:rPr>
          <w:rFonts w:hint="eastAsia" w:ascii="宋体" w:hAnsi="宋体" w:cs="宋体"/>
          <w:bCs/>
          <w:color w:val="auto"/>
          <w:szCs w:val="21"/>
          <w:highlight w:val="none"/>
          <w:lang w:eastAsia="zh-CN"/>
        </w:rPr>
        <w:t>东莞市骏安押运有限公司</w:t>
      </w:r>
    </w:p>
    <w:p>
      <w:pPr>
        <w:ind w:firstLine="420" w:firstLineChars="20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采购人联系人：</w:t>
      </w:r>
      <w:r>
        <w:rPr>
          <w:rFonts w:hint="eastAsia" w:ascii="宋体" w:hAnsi="宋体" w:cs="宋体"/>
          <w:bCs/>
          <w:color w:val="auto"/>
          <w:szCs w:val="21"/>
          <w:highlight w:val="none"/>
          <w:lang w:val="en-US" w:eastAsia="zh-CN"/>
        </w:rPr>
        <w:t>常先生</w:t>
      </w:r>
    </w:p>
    <w:p>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采购人地址：广东省东莞市万江区沿河路1号</w:t>
      </w:r>
    </w:p>
    <w:p>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采购人联系电话：0769-28686886</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采购代理机构名称：广东志正招标有限公司东莞分公司</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采购代理机构地址： 广东省东莞市旗峰路190号城市花园商贸中心903室</w:t>
      </w:r>
    </w:p>
    <w:p>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采购代理机构联系人：</w:t>
      </w:r>
      <w:r>
        <w:rPr>
          <w:rFonts w:hint="eastAsia" w:ascii="宋体" w:hAnsi="宋体" w:eastAsia="宋体" w:cs="宋体"/>
          <w:color w:val="auto"/>
          <w:szCs w:val="21"/>
          <w:highlight w:val="none"/>
          <w:lang w:val="en-US" w:eastAsia="zh-CN"/>
        </w:rPr>
        <w:t>黄小姐</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采购代理机构联系电话： 0769-22306832，22306833</w:t>
      </w:r>
    </w:p>
    <w:p>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采购代理机构邮箱：546797358@qq.com </w:t>
      </w:r>
    </w:p>
    <w:p>
      <w:pPr>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广东志正招标有限公司东莞分公司</w:t>
      </w:r>
    </w:p>
    <w:p>
      <w:pPr>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01</w:t>
      </w:r>
      <w:r>
        <w:rPr>
          <w:rFonts w:hint="eastAsia" w:ascii="宋体" w:hAnsi="宋体" w:eastAsia="宋体" w:cs="宋体"/>
          <w:color w:val="auto"/>
          <w:szCs w:val="21"/>
          <w:highlight w:val="none"/>
        </w:rPr>
        <w:t xml:space="preserve">日 </w:t>
      </w:r>
    </w:p>
    <w:p>
      <w:pPr>
        <w:ind w:left="6205" w:leftChars="2755"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3"/>
        <w:spacing w:before="0" w:after="0" w:line="240" w:lineRule="auto"/>
        <w:outlineLvl w:val="0"/>
        <w:rPr>
          <w:rFonts w:hint="eastAsia" w:ascii="宋体" w:hAnsi="宋体" w:eastAsia="宋体" w:cs="宋体"/>
          <w:color w:val="auto"/>
          <w:sz w:val="28"/>
          <w:szCs w:val="28"/>
          <w:highlight w:val="none"/>
        </w:rPr>
      </w:pPr>
      <w:bookmarkStart w:id="8" w:name="_Toc22134"/>
      <w:r>
        <w:rPr>
          <w:rFonts w:hint="eastAsia" w:ascii="宋体" w:hAnsi="宋体" w:eastAsia="宋体" w:cs="宋体"/>
          <w:color w:val="auto"/>
          <w:sz w:val="28"/>
          <w:szCs w:val="28"/>
          <w:highlight w:val="none"/>
        </w:rPr>
        <w:t>第二部分相关资料表格</w:t>
      </w:r>
      <w:bookmarkEnd w:id="8"/>
    </w:p>
    <w:p>
      <w:pPr>
        <w:pStyle w:val="4"/>
        <w:spacing w:before="0" w:after="0" w:line="240" w:lineRule="auto"/>
        <w:jc w:val="center"/>
        <w:outlineLvl w:val="1"/>
        <w:rPr>
          <w:rFonts w:hint="eastAsia" w:ascii="宋体" w:hAnsi="宋体" w:eastAsia="宋体" w:cs="宋体"/>
          <w:color w:val="auto"/>
          <w:sz w:val="24"/>
          <w:szCs w:val="24"/>
          <w:highlight w:val="none"/>
        </w:rPr>
      </w:pPr>
      <w:bookmarkStart w:id="9" w:name="_Toc25869"/>
      <w:r>
        <w:rPr>
          <w:rFonts w:hint="eastAsia" w:ascii="宋体" w:hAnsi="宋体" w:eastAsia="宋体" w:cs="宋体"/>
          <w:color w:val="auto"/>
          <w:sz w:val="24"/>
          <w:szCs w:val="24"/>
          <w:highlight w:val="none"/>
        </w:rPr>
        <w:t>附表一：投标资料表</w:t>
      </w:r>
      <w:bookmarkEnd w:id="9"/>
    </w:p>
    <w:tbl>
      <w:tblPr>
        <w:tblStyle w:val="29"/>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0" w:hRule="atLeast"/>
        </w:trPr>
        <w:tc>
          <w:tcPr>
            <w:tcW w:w="878" w:type="dxa"/>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532" w:type="dxa"/>
            <w:gridSpan w:val="2"/>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1" w:hRule="atLeast"/>
        </w:trPr>
        <w:tc>
          <w:tcPr>
            <w:tcW w:w="8410" w:type="dxa"/>
            <w:gridSpan w:val="3"/>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b/>
                <w:bCs/>
                <w:color w:val="auto"/>
                <w:szCs w:val="21"/>
                <w:highlight w:val="none"/>
              </w:rPr>
              <w:t>固定总价包干；</w:t>
            </w:r>
          </w:p>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b/>
                <w:bCs/>
                <w:color w:val="auto"/>
                <w:szCs w:val="21"/>
                <w:highlight w:val="none"/>
              </w:rPr>
              <w:t>固定单价暂定总价包干；</w:t>
            </w:r>
          </w:p>
          <w:p>
            <w:pPr>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sym w:font="Wingdings 2" w:char="0052"/>
            </w:r>
            <w:r>
              <w:rPr>
                <w:rFonts w:hint="eastAsia" w:ascii="宋体" w:hAnsi="宋体" w:eastAsia="宋体" w:cs="宋体"/>
                <w:b/>
                <w:bCs/>
                <w:color w:val="auto"/>
                <w:szCs w:val="21"/>
                <w:highlight w:val="none"/>
              </w:rPr>
              <w:t>费率</w:t>
            </w:r>
            <w:r>
              <w:rPr>
                <w:rFonts w:hint="eastAsia" w:ascii="宋体" w:hAnsi="宋体" w:cs="宋体"/>
                <w:b/>
                <w:bCs/>
                <w:color w:val="auto"/>
                <w:szCs w:val="21"/>
                <w:highlight w:val="none"/>
                <w:u w:val="single"/>
                <w:lang w:val="en-US" w:eastAsia="zh-CN"/>
              </w:rPr>
              <w:t xml:space="preserve"> 对</w:t>
            </w:r>
            <w:r>
              <w:rPr>
                <w:rFonts w:hint="eastAsia" w:ascii="宋体" w:hAnsi="宋体" w:eastAsia="宋体" w:cs="宋体"/>
                <w:b/>
                <w:bCs/>
                <w:color w:val="auto"/>
                <w:szCs w:val="21"/>
                <w:highlight w:val="none"/>
                <w:u w:val="single"/>
              </w:rPr>
              <w:t>维修工时费用（报价区间：</w:t>
            </w:r>
            <w:r>
              <w:rPr>
                <w:rFonts w:hint="eastAsia" w:ascii="宋体" w:hAnsi="宋体" w:cs="宋体"/>
                <w:b/>
                <w:bCs/>
                <w:color w:val="auto"/>
                <w:szCs w:val="21"/>
                <w:highlight w:val="none"/>
                <w:u w:val="single"/>
                <w:lang w:val="en-US" w:eastAsia="zh-CN"/>
              </w:rPr>
              <w:t>3</w:t>
            </w:r>
            <w:r>
              <w:rPr>
                <w:rFonts w:hint="eastAsia" w:ascii="宋体" w:hAnsi="宋体" w:eastAsia="宋体" w:cs="宋体"/>
                <w:b/>
                <w:bCs/>
                <w:color w:val="auto"/>
                <w:szCs w:val="21"/>
                <w:highlight w:val="none"/>
                <w:u w:val="single"/>
              </w:rPr>
              <w:t>%≤下浮率≤100%）</w:t>
            </w:r>
            <w:r>
              <w:rPr>
                <w:rFonts w:hint="eastAsia" w:ascii="宋体" w:hAnsi="宋体" w:cs="宋体"/>
                <w:b/>
                <w:bCs/>
                <w:color w:val="auto"/>
                <w:szCs w:val="21"/>
                <w:highlight w:val="none"/>
                <w:u w:val="single"/>
                <w:lang w:val="en-US" w:eastAsia="zh-CN"/>
              </w:rPr>
              <w:t xml:space="preserve">与 </w:t>
            </w:r>
            <w:r>
              <w:rPr>
                <w:rFonts w:hint="eastAsia" w:ascii="宋体" w:hAnsi="宋体" w:eastAsia="宋体" w:cs="宋体"/>
                <w:b/>
                <w:bCs/>
                <w:color w:val="auto"/>
                <w:szCs w:val="21"/>
                <w:highlight w:val="none"/>
                <w:u w:val="single"/>
              </w:rPr>
              <w:t>汽车零配件费用（报价区间：0%≤下浮率≤</w:t>
            </w:r>
            <w:r>
              <w:rPr>
                <w:rFonts w:hint="eastAsia" w:ascii="宋体" w:hAnsi="宋体" w:cs="宋体"/>
                <w:b/>
                <w:bCs/>
                <w:color w:val="auto"/>
                <w:szCs w:val="21"/>
                <w:highlight w:val="none"/>
                <w:u w:val="single"/>
                <w:lang w:val="en-US" w:eastAsia="zh-CN"/>
              </w:rPr>
              <w:t>10</w:t>
            </w:r>
            <w:r>
              <w:rPr>
                <w:rFonts w:hint="eastAsia" w:ascii="宋体" w:hAnsi="宋体" w:eastAsia="宋体" w:cs="宋体"/>
                <w:b/>
                <w:bCs/>
                <w:color w:val="auto"/>
                <w:szCs w:val="21"/>
                <w:highlight w:val="none"/>
                <w:u w:val="single"/>
              </w:rPr>
              <w:t>0%）</w:t>
            </w:r>
            <w:r>
              <w:rPr>
                <w:rFonts w:hint="eastAsia" w:ascii="宋体" w:hAnsi="宋体" w:cs="宋体"/>
                <w:b/>
                <w:bCs/>
                <w:color w:val="auto"/>
                <w:szCs w:val="21"/>
                <w:highlight w:val="none"/>
                <w:u w:val="single"/>
                <w:lang w:val="en-US" w:eastAsia="zh-CN"/>
              </w:rPr>
              <w:t>进行下浮率报价</w:t>
            </w:r>
            <w:r>
              <w:rPr>
                <w:rFonts w:hint="eastAsia" w:ascii="宋体" w:hAnsi="宋体" w:eastAsia="宋体" w:cs="宋体"/>
                <w:b/>
                <w:bCs/>
                <w:color w:val="auto"/>
                <w:szCs w:val="21"/>
                <w:highlight w:val="none"/>
                <w:u w:val="single"/>
              </w:rPr>
              <w:t>；</w:t>
            </w:r>
          </w:p>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b/>
                <w:bCs/>
                <w:color w:val="auto"/>
                <w:szCs w:val="21"/>
                <w:highlight w:val="none"/>
              </w:rPr>
              <w:t>其他</w:t>
            </w:r>
            <w:r>
              <w:rPr>
                <w:rFonts w:hint="eastAsia" w:ascii="宋体" w:hAnsi="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是否接受联合体投标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pStyle w:val="41"/>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是，联合体投标的，应满足下列要求：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szCs w:val="21"/>
                <w:highlight w:val="non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8"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资金来源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u w:val="singl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7532" w:type="dxa"/>
            <w:gridSpan w:val="2"/>
            <w:tcBorders>
              <w:tl2br w:val="nil"/>
              <w:tr2bl w:val="nil"/>
            </w:tcBorders>
            <w:vAlign w:val="center"/>
          </w:tcPr>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踏勘现场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不组织 。</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□组织，踏勘现场时间、地点：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32" w:type="dxa"/>
            <w:gridSpan w:val="2"/>
            <w:tcBorders>
              <w:tl2br w:val="nil"/>
              <w:tr2bl w:val="nil"/>
            </w:tcBorders>
            <w:vAlign w:val="center"/>
          </w:tcPr>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投标语言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0"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numPr>
                <w:ilvl w:val="0"/>
                <w:numId w:val="1"/>
              </w:num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A包投标保证金金额：人民币壹万元整（¥10,000.00）</w:t>
            </w:r>
          </w:p>
          <w:p>
            <w:pPr>
              <w:ind w:firstLine="630" w:firstLineChars="3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B包投标保证金金额：人民币壹万元整（¥10,000.00）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3"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tabs>
                <w:tab w:val="left" w:pos="567"/>
              </w:tabs>
              <w:jc w:val="both"/>
              <w:rPr>
                <w:rFonts w:hint="eastAsia" w:ascii="宋体" w:hAnsi="宋体" w:eastAsia="宋体" w:cs="宋体"/>
                <w:color w:val="auto"/>
                <w:kern w:val="2"/>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pPr>
              <w:tabs>
                <w:tab w:val="left" w:pos="567"/>
              </w:tabs>
              <w:ind w:left="567" w:hanging="567"/>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投标保证金专用账户如下：</w:t>
            </w:r>
          </w:p>
          <w:p>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帐户名称：东莞实业投资控股集团有限公司；</w:t>
            </w:r>
          </w:p>
          <w:p>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开户银行： 中国邮政储蓄银行东莞市分行；</w:t>
            </w:r>
          </w:p>
          <w:p>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银行帐号：100899920180018888；</w:t>
            </w:r>
          </w:p>
          <w:p>
            <w:pPr>
              <w:tabs>
                <w:tab w:val="left" w:pos="567"/>
              </w:tabs>
              <w:ind w:firstLine="422" w:firstLineChars="20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（注：各投标人在转帐或电汇时须在用途栏上备注项目编号，及项目名称，如有字数限制项目名称可简写。）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0"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532" w:type="dxa"/>
            <w:gridSpan w:val="2"/>
            <w:tcBorders>
              <w:tl2br w:val="nil"/>
              <w:tr2bl w:val="nil"/>
            </w:tcBorders>
            <w:vAlign w:val="center"/>
          </w:tcPr>
          <w:p>
            <w:pPr>
              <w:jc w:val="both"/>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投标保证金退还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35"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）未中标的投标人的保证金应当在中标通知书发出后退还，中标</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投标人的保证金应当在采购合同签订</w:t>
            </w:r>
            <w:r>
              <w:rPr>
                <w:rFonts w:hint="eastAsia" w:ascii="宋体" w:hAnsi="宋体" w:eastAsia="宋体" w:cs="宋体"/>
                <w:color w:val="auto"/>
                <w:szCs w:val="21"/>
                <w:highlight w:val="none"/>
              </w:rPr>
              <w:t>并缴纳履约保证金</w:t>
            </w:r>
            <w:r>
              <w:rPr>
                <w:rFonts w:hint="eastAsia" w:ascii="宋体" w:hAnsi="宋体" w:eastAsia="宋体" w:cs="宋体"/>
                <w:color w:val="auto"/>
                <w:szCs w:val="21"/>
                <w:highlight w:val="none"/>
                <w:lang w:val="zh-CN"/>
              </w:rPr>
              <w:t>后退还。</w:t>
            </w:r>
          </w:p>
          <w:p>
            <w:pPr>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）为方便退还未中标的投标人的保证金，投标人应制作《投标保证金汇入情况说明》随唱标信封一并递交。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九十天。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532" w:type="dxa"/>
            <w:gridSpan w:val="2"/>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投标文件A、B包分别</w:t>
            </w:r>
            <w:r>
              <w:rPr>
                <w:rFonts w:hint="eastAsia" w:ascii="宋体" w:hAnsi="宋体" w:cs="宋体"/>
                <w:b/>
                <w:color w:val="auto"/>
                <w:szCs w:val="21"/>
                <w:highlight w:val="none"/>
                <w:lang w:val="en-US" w:eastAsia="zh-CN"/>
              </w:rPr>
              <w:t>独立</w:t>
            </w:r>
            <w:r>
              <w:rPr>
                <w:rFonts w:hint="eastAsia" w:ascii="宋体" w:hAnsi="宋体" w:eastAsia="宋体" w:cs="宋体"/>
                <w:b/>
                <w:color w:val="auto"/>
                <w:szCs w:val="21"/>
                <w:highlight w:val="none"/>
              </w:rPr>
              <w:t>编制。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投标文件类型</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份数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唱标信封</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投标文件正本</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7"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投标文件副本</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sym w:font="Wingdings 2" w:char="0052"/>
            </w:r>
            <w:r>
              <w:rPr>
                <w:rFonts w:hint="eastAsia" w:ascii="宋体" w:hAnsi="宋体" w:eastAsia="宋体" w:cs="宋体"/>
                <w:b/>
                <w:color w:val="auto"/>
                <w:szCs w:val="21"/>
                <w:highlight w:val="none"/>
              </w:rPr>
              <w:t xml:space="preserve">5  </w:t>
            </w:r>
            <w:r>
              <w:rPr>
                <w:rFonts w:hint="eastAsia" w:ascii="宋体" w:hAnsi="宋体" w:eastAsia="宋体" w:cs="宋体"/>
                <w:b/>
                <w:color w:val="auto"/>
                <w:szCs w:val="21"/>
                <w:highlight w:val="none"/>
              </w:rPr>
              <w:sym w:font="Wingdings 2" w:char="00A3"/>
            </w:r>
            <w:r>
              <w:rPr>
                <w:rFonts w:hint="eastAsia" w:ascii="宋体" w:hAnsi="宋体" w:eastAsia="宋体" w:cs="宋体"/>
                <w:b/>
                <w:color w:val="auto"/>
                <w:szCs w:val="21"/>
                <w:highlight w:val="none"/>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vMerge w:val="restart"/>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电子文档</w:t>
            </w: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2608" w:type="dxa"/>
            <w:vMerge w:val="continue"/>
            <w:tcBorders>
              <w:tl2br w:val="nil"/>
              <w:tr2bl w:val="nil"/>
            </w:tcBorders>
            <w:vAlign w:val="center"/>
          </w:tcPr>
          <w:p>
            <w:pPr>
              <w:jc w:val="center"/>
              <w:rPr>
                <w:rFonts w:hint="eastAsia" w:ascii="宋体" w:hAnsi="宋体" w:eastAsia="宋体" w:cs="宋体"/>
                <w:b/>
                <w:color w:val="auto"/>
                <w:szCs w:val="21"/>
                <w:highlight w:val="none"/>
              </w:rPr>
            </w:pPr>
          </w:p>
        </w:tc>
        <w:tc>
          <w:tcPr>
            <w:tcW w:w="4924" w:type="dxa"/>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U盘，须含盖章版PDF投标文件和WORD版投标文件各一版，文字采用WORD文档，计算表格采用 EXCEL文档。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57" w:hRule="atLeast"/>
        </w:trPr>
        <w:tc>
          <w:tcPr>
            <w:tcW w:w="8410" w:type="dxa"/>
            <w:gridSpan w:val="3"/>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三、开标与评标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本项目评标方法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综合评分法评分因素和权重分值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见附表二。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评标委员会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评标委员会成员共</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评标委员会由采购人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代表和</w:t>
            </w:r>
            <w:r>
              <w:rPr>
                <w:rFonts w:hint="eastAsia" w:ascii="宋体" w:hAnsi="宋体" w:eastAsia="宋体" w:cs="宋体"/>
                <w:color w:val="auto"/>
                <w:szCs w:val="21"/>
                <w:highlight w:val="none"/>
              </w:rPr>
              <w:t>有关方面的</w:t>
            </w:r>
            <w:r>
              <w:rPr>
                <w:rFonts w:hint="eastAsia" w:ascii="宋体" w:hAnsi="宋体" w:eastAsia="宋体" w:cs="宋体"/>
                <w:color w:val="auto"/>
                <w:szCs w:val="21"/>
                <w:highlight w:val="none"/>
                <w:lang w:val="zh-CN"/>
              </w:rPr>
              <w:t>专家组成，</w:t>
            </w:r>
            <w:r>
              <w:rPr>
                <w:rFonts w:hint="eastAsia" w:ascii="宋体" w:hAnsi="宋体" w:eastAsia="宋体" w:cs="宋体"/>
                <w:color w:val="auto"/>
                <w:szCs w:val="21"/>
                <w:highlight w:val="none"/>
              </w:rPr>
              <w:t>成员人数为五人或五人以上单数</w:t>
            </w:r>
            <w:r>
              <w:rPr>
                <w:rFonts w:hint="eastAsia" w:ascii="宋体" w:hAnsi="宋体" w:eastAsia="宋体" w:cs="宋体"/>
                <w:color w:val="auto"/>
                <w:szCs w:val="21"/>
                <w:highlight w:val="none"/>
                <w:lang w:val="zh-CN"/>
              </w:rPr>
              <w:t>，其中专家不得少于成员总数的三分之二。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8" w:hRule="atLeast"/>
        </w:trPr>
        <w:tc>
          <w:tcPr>
            <w:tcW w:w="8410" w:type="dxa"/>
            <w:gridSpan w:val="3"/>
            <w:tcBorders>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四、授予合同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532" w:type="dxa"/>
            <w:gridSpan w:val="2"/>
            <w:tcBorders>
              <w:tl2br w:val="nil"/>
              <w:tr2bl w:val="nil"/>
            </w:tcBorders>
            <w:shd w:val="clear" w:color="auto" w:fill="auto"/>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履约担保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0"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shd w:val="clear" w:color="auto" w:fill="auto"/>
            <w:vAlign w:val="center"/>
          </w:tcPr>
          <w:p>
            <w:pPr>
              <w:numPr>
                <w:ilvl w:val="0"/>
                <w:numId w:val="2"/>
              </w:numPr>
              <w:jc w:val="both"/>
              <w:rPr>
                <w:rFonts w:hint="eastAsia" w:ascii="宋体" w:hAnsi="宋体" w:eastAsia="宋体" w:cs="宋体"/>
                <w:color w:val="auto"/>
                <w:szCs w:val="21"/>
                <w:highlight w:val="none"/>
                <w:u w:val="single"/>
              </w:rPr>
            </w:pPr>
            <w:r>
              <w:rPr>
                <w:rFonts w:hint="eastAsia" w:ascii="宋体" w:hAnsi="宋体" w:cs="宋体"/>
                <w:color w:val="auto"/>
                <w:szCs w:val="21"/>
                <w:highlight w:val="none"/>
                <w:lang w:val="en-US" w:eastAsia="zh-CN"/>
              </w:rPr>
              <w:t xml:space="preserve"> A</w:t>
            </w:r>
            <w:r>
              <w:rPr>
                <w:rFonts w:hint="eastAsia" w:ascii="宋体" w:hAnsi="宋体" w:eastAsia="宋体" w:cs="宋体"/>
                <w:color w:val="auto"/>
                <w:szCs w:val="21"/>
                <w:highlight w:val="none"/>
              </w:rPr>
              <w:t>包履约担保金额为：</w:t>
            </w:r>
            <w:r>
              <w:rPr>
                <w:rFonts w:hint="eastAsia" w:ascii="宋体" w:hAnsi="宋体" w:cs="宋体"/>
                <w:color w:val="auto"/>
                <w:szCs w:val="21"/>
                <w:highlight w:val="none"/>
                <w:u w:val="single"/>
                <w:lang w:val="en-US" w:eastAsia="zh-CN"/>
              </w:rPr>
              <w:t>伍万元</w:t>
            </w:r>
            <w:r>
              <w:rPr>
                <w:rFonts w:hint="eastAsia" w:ascii="宋体" w:hAnsi="宋体" w:eastAsia="宋体" w:cs="宋体"/>
                <w:color w:val="auto"/>
                <w:szCs w:val="21"/>
                <w:highlight w:val="none"/>
                <w:u w:val="single"/>
              </w:rPr>
              <w:t xml:space="preserve"> </w:t>
            </w:r>
          </w:p>
          <w:p>
            <w:pPr>
              <w:numPr>
                <w:ilvl w:val="0"/>
                <w:numId w:val="0"/>
              </w:numPr>
              <w:ind w:firstLine="420" w:firstLineChars="2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B包履约担保金额为：</w:t>
            </w:r>
            <w:r>
              <w:rPr>
                <w:rFonts w:hint="eastAsia" w:ascii="宋体" w:hAnsi="宋体" w:eastAsia="宋体" w:cs="宋体"/>
                <w:color w:val="auto"/>
                <w:szCs w:val="21"/>
                <w:highlight w:val="none"/>
                <w:u w:val="single"/>
              </w:rPr>
              <w:t>伍万元</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2.履约保证金账户信息：</w:t>
            </w:r>
          </w:p>
          <w:p>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账户名称：  </w:t>
            </w:r>
            <w:r>
              <w:rPr>
                <w:rFonts w:hint="eastAsia" w:ascii="宋体" w:hAnsi="宋体" w:cs="宋体"/>
                <w:color w:val="auto"/>
                <w:szCs w:val="21"/>
                <w:highlight w:val="none"/>
                <w:lang w:eastAsia="zh-CN"/>
              </w:rPr>
              <w:t>东莞市骏安押运有限公司</w:t>
            </w:r>
            <w:r>
              <w:rPr>
                <w:rFonts w:hint="eastAsia" w:ascii="宋体" w:hAnsi="宋体" w:eastAsia="宋体" w:cs="宋体"/>
                <w:color w:val="auto"/>
                <w:szCs w:val="21"/>
                <w:highlight w:val="none"/>
              </w:rPr>
              <w:t>；</w:t>
            </w:r>
          </w:p>
          <w:p>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东莞农村商业银行谢岗支行；</w:t>
            </w:r>
          </w:p>
          <w:p>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   210010190010027127；</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3.中标人在合同签署时提交履约担保，履约担保金额</w:t>
            </w:r>
            <w:r>
              <w:rPr>
                <w:rFonts w:hint="eastAsia" w:ascii="宋体" w:hAnsi="宋体" w:cs="宋体"/>
                <w:color w:val="auto"/>
                <w:szCs w:val="21"/>
                <w:highlight w:val="none"/>
                <w:lang w:val="en-US" w:eastAsia="zh-CN"/>
              </w:rPr>
              <w:t>为各包</w:t>
            </w:r>
            <w:r>
              <w:rPr>
                <w:rFonts w:hint="eastAsia" w:ascii="宋体" w:hAnsi="宋体" w:eastAsia="宋体" w:cs="宋体"/>
                <w:color w:val="auto"/>
                <w:szCs w:val="21"/>
                <w:highlight w:val="none"/>
              </w:rPr>
              <w:t>伍万元，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4.履约担保期限从合同签订之日起至</w:t>
            </w:r>
            <w:r>
              <w:rPr>
                <w:rFonts w:hint="eastAsia" w:ascii="宋体" w:hAnsi="宋体" w:cs="宋体"/>
                <w:color w:val="auto"/>
                <w:szCs w:val="21"/>
                <w:highlight w:val="none"/>
                <w:lang w:eastAsia="zh-CN"/>
              </w:rPr>
              <w:t>项目服务期结束后，无项目纠纷后</w:t>
            </w:r>
            <w:r>
              <w:rPr>
                <w:rFonts w:hint="eastAsia" w:ascii="宋体" w:hAnsi="宋体" w:eastAsia="宋体" w:cs="宋体"/>
                <w:color w:val="auto"/>
                <w:szCs w:val="21"/>
                <w:highlight w:val="none"/>
              </w:rPr>
              <w:t>，经双方签字</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天内保持有效。</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5、履约担保要求：</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（2）履约保证金。可采用电汇、银行汇票等银行转帐方式提交，但不可以采用现金方式提交。中标人必须保证履约保证金以中标人名称在签订合同前提交至采购人指定账户。</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（3）若中标人不能按本采购文件的规定提交履约</w:t>
            </w:r>
            <w:r>
              <w:rPr>
                <w:rFonts w:hint="eastAsia" w:ascii="宋体" w:hAnsi="宋体" w:cs="宋体"/>
                <w:color w:val="auto"/>
                <w:szCs w:val="21"/>
                <w:highlight w:val="none"/>
                <w:lang w:val="en-US" w:eastAsia="zh-CN"/>
              </w:rPr>
              <w:t>担保</w:t>
            </w:r>
            <w:r>
              <w:rPr>
                <w:rFonts w:hint="eastAsia" w:ascii="宋体" w:hAnsi="宋体" w:eastAsia="宋体" w:cs="宋体"/>
                <w:color w:val="auto"/>
                <w:szCs w:val="21"/>
                <w:highlight w:val="none"/>
              </w:rPr>
              <w:t>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（4）为取得履约担保所需的费用，由中标人承担；若工期延误，履约担保时间延长，延长费用由中标人承担。</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（6）下列任何情况发生时，采购人有权行使享有的担保权利：</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①中标人将本项目转让给他人，或者在投标文件中未说明，且未经采购人同意，将中标项目分包给他人的；</w:t>
            </w:r>
          </w:p>
          <w:p>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②中标人在履行采购合同期间，违反有关法律法规的规定及合同约定的条款，损害了采购人的利益。</w:t>
            </w:r>
          </w:p>
          <w:p>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（7）在整个项目验收合格后，中标人向采购人提交退回履约担保的申请，采购人办理履约担保退还手续。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2" w:hRule="atLeast"/>
        </w:trPr>
        <w:tc>
          <w:tcPr>
            <w:tcW w:w="878" w:type="dxa"/>
            <w:vMerge w:val="restart"/>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532" w:type="dxa"/>
            <w:gridSpan w:val="2"/>
            <w:tcBorders>
              <w:tl2br w:val="nil"/>
              <w:tr2bl w:val="nil"/>
            </w:tcBorders>
            <w:vAlign w:val="center"/>
          </w:tcPr>
          <w:p>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2" w:hRule="atLeast"/>
        </w:trPr>
        <w:tc>
          <w:tcPr>
            <w:tcW w:w="878" w:type="dxa"/>
            <w:vMerge w:val="continue"/>
            <w:tcBorders>
              <w:tl2br w:val="nil"/>
              <w:tr2bl w:val="nil"/>
            </w:tcBorders>
            <w:vAlign w:val="center"/>
          </w:tcPr>
          <w:p>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pPr>
              <w:jc w:val="both"/>
              <w:rPr>
                <w:rFonts w:hint="default"/>
                <w:color w:val="auto"/>
                <w:highlight w:val="none"/>
                <w:lang w:val="en-US"/>
              </w:rPr>
            </w:pPr>
            <w:r>
              <w:rPr>
                <w:rFonts w:hint="eastAsia" w:ascii="宋体" w:hAnsi="宋体"/>
                <w:color w:val="auto"/>
                <w:szCs w:val="21"/>
                <w:highlight w:val="none"/>
              </w:rPr>
              <w:t>本项目中标服务费由采购人支付。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7" w:hRule="atLeast"/>
        </w:trPr>
        <w:tc>
          <w:tcPr>
            <w:tcW w:w="878" w:type="dxa"/>
            <w:tcBorders>
              <w:tl2br w:val="nil"/>
              <w:tr2bl w:val="nil"/>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7532" w:type="dxa"/>
            <w:gridSpan w:val="2"/>
            <w:tcBorders>
              <w:tl2br w:val="nil"/>
              <w:tr2bl w:val="nil"/>
            </w:tcBorders>
            <w:vAlign w:val="center"/>
          </w:tcPr>
          <w:p>
            <w:pPr>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兼投不兼中，同一投标人可同时参加多个子包投标，但仅能成为其中一个子包的中标人。如投标人在多个子包均排序第一，将按照以下顺序确定其最终中标子包：1、A包；2、B包。其他子包按顺序由排在后面的投标人递补，以此类推。凡参加本项目的投标人，视为认可此项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7" w:hRule="atLeast"/>
        </w:trPr>
        <w:tc>
          <w:tcPr>
            <w:tcW w:w="878" w:type="dxa"/>
            <w:vMerge w:val="restart"/>
            <w:tcBorders>
              <w:tl2br w:val="nil"/>
              <w:tr2bl w:val="nil"/>
            </w:tcBorders>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7532" w:type="dxa"/>
            <w:gridSpan w:val="2"/>
            <w:tcBorders>
              <w:tl2br w:val="nil"/>
              <w:tr2bl w:val="nil"/>
            </w:tcBorders>
            <w:vAlign w:val="center"/>
          </w:tcPr>
          <w:p>
            <w:pPr>
              <w:jc w:val="both"/>
              <w:rPr>
                <w:rFonts w:hint="eastAsia" w:ascii="宋体" w:hAnsi="宋体" w:cs="宋体"/>
                <w:color w:val="auto"/>
                <w:szCs w:val="21"/>
                <w:highlight w:val="none"/>
                <w:lang w:val="en-US" w:eastAsia="zh-CN"/>
              </w:rPr>
            </w:pPr>
            <w:r>
              <w:rPr>
                <w:rFonts w:hint="eastAsia" w:ascii="Tahoma" w:hAnsi="Tahoma" w:eastAsia="宋体" w:cstheme="minorBidi"/>
                <w:b/>
                <w:bCs/>
                <w:color w:val="auto"/>
                <w:szCs w:val="21"/>
                <w:highlight w:val="none"/>
              </w:rPr>
              <w:t>技术需求书（A、B包适用）</w:t>
            </w:r>
            <w:r>
              <w:rPr>
                <w:rFonts w:hint="eastAsia"/>
                <w:b/>
                <w:bCs/>
                <w:color w:val="auto"/>
                <w:szCs w:val="21"/>
                <w:highlight w:val="none"/>
              </w:rPr>
              <w:t>★号条款汇总：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7" w:hRule="atLeast"/>
        </w:trPr>
        <w:tc>
          <w:tcPr>
            <w:tcW w:w="878" w:type="dxa"/>
            <w:vMerge w:val="continue"/>
            <w:tcBorders>
              <w:tl2br w:val="nil"/>
              <w:tr2bl w:val="nil"/>
            </w:tcBorders>
            <w:vAlign w:val="center"/>
          </w:tcPr>
          <w:p>
            <w:pPr>
              <w:jc w:val="center"/>
              <w:rPr>
                <w:rFonts w:hint="eastAsia" w:ascii="宋体" w:hAnsi="宋体" w:cs="宋体"/>
                <w:color w:val="auto"/>
                <w:szCs w:val="21"/>
                <w:highlight w:val="none"/>
                <w:lang w:val="en-US" w:eastAsia="zh-CN"/>
              </w:rPr>
            </w:pPr>
          </w:p>
        </w:tc>
        <w:tc>
          <w:tcPr>
            <w:tcW w:w="7532" w:type="dxa"/>
            <w:gridSpan w:val="2"/>
            <w:tcBorders>
              <w:tl2br w:val="nil"/>
              <w:tr2bl w:val="nil"/>
            </w:tcBorders>
            <w:vAlign w:val="center"/>
          </w:tcPr>
          <w:p>
            <w:pP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★2.3  中标人免费提供东莞市内拖车、抢修服务，并至少有正规的施救拖车、急救服务车辆各一辆(自有、租赁、长期合作均可)。【其中施救拖车与急救服务车的证明材料须提供自有购车发票（发票抬头为投标人名称）或自有车辆行驶证（所有人为投标人名称）或车辆租赁（协议/合同）或外包合作（协议/合同），如上述证明材料不具备，须承诺中标后10天内办理相关车辆手续并可提供服务，否则采购人有权取消其中标资格，并没收中标人投标保证金。承诺函格式详见投标文件格式。】</w:t>
            </w:r>
          </w:p>
          <w:p>
            <w:pP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★2.7  检测维修设备工具配置表</w:t>
            </w:r>
          </w:p>
          <w:tbl>
            <w:tblPr>
              <w:tblStyle w:val="29"/>
              <w:tblW w:w="6800" w:type="dxa"/>
              <w:jc w:val="center"/>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代理" w:date="2023-11-23T16:53:10Z">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156"/>
              <w:gridCol w:w="1294"/>
              <w:gridCol w:w="2067"/>
              <w:gridCol w:w="1283"/>
              <w:tblGridChange w:id="1">
                <w:tblGrid>
                  <w:gridCol w:w="3051"/>
                  <w:gridCol w:w="1273"/>
                  <w:gridCol w:w="2590"/>
                  <w:gridCol w:w="160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2" w:author="代理" w:date="2023-11-23T16:53:10Z">
                  <w:trPr>
                    <w:jc w:val="center"/>
                  </w:trPr>
                </w:trPrChange>
              </w:trPr>
              <w:tc>
                <w:tcPr>
                  <w:tcW w:w="2156" w:type="dxa"/>
                  <w:noWrap w:val="0"/>
                  <w:vAlign w:val="bottom"/>
                  <w:tcPrChange w:id="3"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294" w:type="dxa"/>
                  <w:noWrap w:val="0"/>
                  <w:vAlign w:val="center"/>
                  <w:tcPrChange w:id="4"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c>
                <w:tcPr>
                  <w:tcW w:w="2067" w:type="dxa"/>
                  <w:noWrap w:val="0"/>
                  <w:vAlign w:val="bottom"/>
                  <w:tcPrChange w:id="5"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283" w:type="dxa"/>
                  <w:noWrap w:val="0"/>
                  <w:vAlign w:val="bottom"/>
                  <w:tcPrChange w:id="6"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7"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7" w:author="代理" w:date="2023-11-23T16:53:10Z">
                  <w:trPr>
                    <w:jc w:val="center"/>
                  </w:trPr>
                </w:trPrChange>
              </w:trPr>
              <w:tc>
                <w:tcPr>
                  <w:tcW w:w="2156" w:type="dxa"/>
                  <w:noWrap w:val="0"/>
                  <w:vAlign w:val="bottom"/>
                  <w:tcPrChange w:id="8"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四轮定位仪或转向轮定位仪</w:t>
                  </w:r>
                </w:p>
              </w:tc>
              <w:tc>
                <w:tcPr>
                  <w:tcW w:w="1294" w:type="dxa"/>
                  <w:noWrap w:val="0"/>
                  <w:vAlign w:val="center"/>
                  <w:tcPrChange w:id="9"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2067" w:type="dxa"/>
                  <w:noWrap w:val="0"/>
                  <w:vAlign w:val="bottom"/>
                  <w:tcPrChange w:id="10"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喷烤漆房及设备</w:t>
                  </w:r>
                </w:p>
              </w:tc>
              <w:tc>
                <w:tcPr>
                  <w:tcW w:w="1283" w:type="dxa"/>
                  <w:noWrap w:val="0"/>
                  <w:vAlign w:val="bottom"/>
                  <w:tcPrChange w:id="11"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2"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12" w:author="代理" w:date="2023-11-23T16:53:10Z">
                  <w:trPr>
                    <w:trHeight w:val="90" w:hRule="atLeast"/>
                    <w:jc w:val="center"/>
                  </w:trPr>
                </w:trPrChange>
              </w:trPr>
              <w:tc>
                <w:tcPr>
                  <w:tcW w:w="2156" w:type="dxa"/>
                  <w:noWrap w:val="0"/>
                  <w:vAlign w:val="bottom"/>
                  <w:tcPrChange w:id="13"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车轮动平衡机</w:t>
                  </w:r>
                </w:p>
              </w:tc>
              <w:tc>
                <w:tcPr>
                  <w:tcW w:w="1294" w:type="dxa"/>
                  <w:noWrap w:val="0"/>
                  <w:vAlign w:val="center"/>
                  <w:tcPrChange w:id="14"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15"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制动鼓和制动盘维修设备</w:t>
                  </w:r>
                </w:p>
              </w:tc>
              <w:tc>
                <w:tcPr>
                  <w:tcW w:w="1283" w:type="dxa"/>
                  <w:noWrap w:val="0"/>
                  <w:vAlign w:val="bottom"/>
                  <w:tcPrChange w:id="16"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7"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28" w:hRule="atLeast"/>
                <w:jc w:val="center"/>
                <w:trPrChange w:id="17" w:author="代理" w:date="2023-11-23T16:53:10Z">
                  <w:trPr>
                    <w:trHeight w:val="832" w:hRule="atLeast"/>
                    <w:jc w:val="center"/>
                  </w:trPr>
                </w:trPrChange>
              </w:trPr>
              <w:tc>
                <w:tcPr>
                  <w:tcW w:w="2156" w:type="dxa"/>
                  <w:noWrap w:val="0"/>
                  <w:vAlign w:val="bottom"/>
                  <w:tcPrChange w:id="18"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总成吊装设备或变速箱等总成顶举设备</w:t>
                  </w:r>
                </w:p>
              </w:tc>
              <w:tc>
                <w:tcPr>
                  <w:tcW w:w="1294" w:type="dxa"/>
                  <w:noWrap w:val="0"/>
                  <w:vAlign w:val="center"/>
                  <w:tcPrChange w:id="19"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20"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5吨（含）以上汽车举升设备或地沟</w:t>
                  </w:r>
                </w:p>
              </w:tc>
              <w:tc>
                <w:tcPr>
                  <w:tcW w:w="1283" w:type="dxa"/>
                  <w:noWrap w:val="0"/>
                  <w:vAlign w:val="bottom"/>
                  <w:tcPrChange w:id="21"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22" w:author="代理" w:date="2023-11-23T16:53:10Z">
                  <w:trPr>
                    <w:jc w:val="center"/>
                  </w:trPr>
                </w:trPrChange>
              </w:trPr>
              <w:tc>
                <w:tcPr>
                  <w:tcW w:w="2156" w:type="dxa"/>
                  <w:noWrap w:val="0"/>
                  <w:vAlign w:val="bottom"/>
                  <w:tcPrChange w:id="23"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车身整形设备</w:t>
                  </w:r>
                </w:p>
              </w:tc>
              <w:tc>
                <w:tcPr>
                  <w:tcW w:w="1294" w:type="dxa"/>
                  <w:noWrap w:val="0"/>
                  <w:vAlign w:val="center"/>
                  <w:tcPrChange w:id="24"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25"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氮气置换装置</w:t>
                  </w:r>
                </w:p>
              </w:tc>
              <w:tc>
                <w:tcPr>
                  <w:tcW w:w="1283" w:type="dxa"/>
                  <w:noWrap w:val="0"/>
                  <w:vAlign w:val="bottom"/>
                  <w:tcPrChange w:id="26"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7"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12" w:hRule="atLeast"/>
                <w:jc w:val="center"/>
                <w:trPrChange w:id="27" w:author="代理" w:date="2023-11-23T16:53:10Z">
                  <w:trPr>
                    <w:jc w:val="center"/>
                  </w:trPr>
                </w:trPrChange>
              </w:trPr>
              <w:tc>
                <w:tcPr>
                  <w:tcW w:w="2156" w:type="dxa"/>
                  <w:noWrap w:val="0"/>
                  <w:vAlign w:val="bottom"/>
                  <w:tcPrChange w:id="28"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自动变速器维修设备</w:t>
                  </w:r>
                </w:p>
              </w:tc>
              <w:tc>
                <w:tcPr>
                  <w:tcW w:w="1294" w:type="dxa"/>
                  <w:noWrap w:val="0"/>
                  <w:vAlign w:val="center"/>
                  <w:tcPrChange w:id="29"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30"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汽车前照灯检测设备</w:t>
                  </w:r>
                </w:p>
              </w:tc>
              <w:tc>
                <w:tcPr>
                  <w:tcW w:w="1283" w:type="dxa"/>
                  <w:noWrap w:val="0"/>
                  <w:vAlign w:val="bottom"/>
                  <w:tcPrChange w:id="31"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2" w:author="代理" w:date="2023-11-23T16:53: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320" w:hRule="atLeast"/>
                <w:jc w:val="center"/>
                <w:trPrChange w:id="32" w:author="代理" w:date="2023-11-23T16:53:10Z">
                  <w:trPr>
                    <w:jc w:val="center"/>
                  </w:trPr>
                </w:trPrChange>
              </w:trPr>
              <w:tc>
                <w:tcPr>
                  <w:tcW w:w="2156" w:type="dxa"/>
                  <w:noWrap w:val="0"/>
                  <w:vAlign w:val="bottom"/>
                  <w:tcPrChange w:id="33" w:author="代理" w:date="2023-11-23T16:53:10Z">
                    <w:tcPr>
                      <w:tcW w:w="3051"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制动性能检验设备</w:t>
                  </w:r>
                </w:p>
              </w:tc>
              <w:tc>
                <w:tcPr>
                  <w:tcW w:w="1294" w:type="dxa"/>
                  <w:noWrap w:val="0"/>
                  <w:vAlign w:val="center"/>
                  <w:tcPrChange w:id="34" w:author="代理" w:date="2023-11-23T16:53:10Z">
                    <w:tcPr>
                      <w:tcW w:w="1273" w:type="dxa"/>
                      <w:noWrap w:val="0"/>
                      <w:vAlign w:val="center"/>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067" w:type="dxa"/>
                  <w:noWrap w:val="0"/>
                  <w:vAlign w:val="bottom"/>
                  <w:tcPrChange w:id="35" w:author="代理" w:date="2023-11-23T16:53:10Z">
                    <w:tcPr>
                      <w:tcW w:w="2590"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压床</w:t>
                  </w:r>
                </w:p>
              </w:tc>
              <w:tc>
                <w:tcPr>
                  <w:tcW w:w="1283" w:type="dxa"/>
                  <w:noWrap w:val="0"/>
                  <w:vAlign w:val="bottom"/>
                  <w:tcPrChange w:id="36" w:author="代理" w:date="2023-11-23T16:53:10Z">
                    <w:tcPr>
                      <w:tcW w:w="1608" w:type="dxa"/>
                      <w:noWrap w:val="0"/>
                      <w:vAlign w:val="bottom"/>
                    </w:tcPr>
                  </w:tcPrChange>
                </w:tcPr>
                <w:p>
                  <w:pPr>
                    <w:keepNext w:val="0"/>
                    <w:keepLines w:val="0"/>
                    <w:pageBreakBefore w:val="0"/>
                    <w:widowControl/>
                    <w:kinsoku/>
                    <w:wordWrap/>
                    <w:overflowPunct/>
                    <w:topLinePunct w:val="0"/>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地沟提供现场照片，设备须提供自有设备发票（发票抬头为投标人名称）或设备租赁（协议/合同），如上述证明材料不具备，须承诺中标后30天内补齐相关设备及证明材料，否则采购人有权取消其中标资格，</w:t>
            </w:r>
            <w:r>
              <w:rPr>
                <w:rFonts w:hint="eastAsia" w:ascii="宋体" w:hAnsi="宋体" w:eastAsia="宋体" w:cs="宋体"/>
                <w:b/>
                <w:bCs w:val="0"/>
                <w:color w:val="auto"/>
                <w:kern w:val="2"/>
                <w:sz w:val="21"/>
                <w:szCs w:val="21"/>
                <w:highlight w:val="none"/>
                <w:lang w:val="en-US" w:eastAsia="zh-CN" w:bidi="ar-SA"/>
              </w:rPr>
              <w:t>并没收中标人投标保证金。</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（2）在发出中标通知书前采购人将会对中标候选人进行现场核实设备情况，如有虚假将取消其中标资格。</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（3）承诺函格式详见投标文件格式。</w:t>
            </w:r>
          </w:p>
          <w:p>
            <w:pPr>
              <w:jc w:val="left"/>
              <w:rPr>
                <w:rFonts w:hint="eastAsia" w:ascii="Tahoma" w:hAnsi="Tahoma" w:eastAsia="宋体" w:cstheme="minorBidi"/>
                <w:b/>
                <w:bCs/>
                <w:color w:val="auto"/>
                <w:szCs w:val="21"/>
                <w:highlight w:val="none"/>
              </w:rPr>
            </w:pPr>
            <w:r>
              <w:rPr>
                <w:rFonts w:hint="eastAsia" w:ascii="宋体" w:hAnsi="宋体" w:eastAsia="宋体" w:cs="宋体"/>
                <w:b/>
                <w:color w:val="auto"/>
                <w:kern w:val="2"/>
                <w:sz w:val="21"/>
                <w:szCs w:val="21"/>
                <w:highlight w:val="none"/>
                <w:lang w:val="en-US" w:eastAsia="zh-CN" w:bidi="ar-SA"/>
              </w:rPr>
              <w:t>★3.10 中标人应具有采购人车辆投保的保险公司（目前为太平洋保险、平安保险）维修点合作资格并提供相应保险服务，如中标人不具备前述条件，必须在中标后20天内达到前述条件，否则采购人有权取消中标人的中标资格，</w:t>
            </w:r>
            <w:r>
              <w:rPr>
                <w:rFonts w:hint="eastAsia" w:ascii="宋体" w:hAnsi="宋体" w:eastAsia="宋体" w:cs="宋体"/>
                <w:b/>
                <w:bCs w:val="0"/>
                <w:color w:val="auto"/>
                <w:kern w:val="2"/>
                <w:sz w:val="21"/>
                <w:szCs w:val="21"/>
                <w:highlight w:val="none"/>
                <w:lang w:val="en-US" w:eastAsia="zh-CN" w:bidi="ar-SA"/>
              </w:rPr>
              <w:t>并没收中标人投标保证金。</w:t>
            </w:r>
            <w:r>
              <w:rPr>
                <w:rFonts w:hint="eastAsia" w:ascii="宋体" w:hAnsi="宋体" w:eastAsia="宋体" w:cs="宋体"/>
                <w:b/>
                <w:color w:val="auto"/>
                <w:kern w:val="2"/>
                <w:sz w:val="21"/>
                <w:szCs w:val="21"/>
                <w:highlight w:val="none"/>
                <w:lang w:val="en-US" w:eastAsia="zh-CN" w:bidi="ar-SA"/>
              </w:rPr>
              <w:t>服务期内采购人车辆投保的保险公司发生变化的，中标人应在收到采购人通知后20天内取得新保险公司维修点合作及提供保险相应服务资格，否则采购人有权解除合同。保险理赔的车辆维修费及第三方车辆的维修费均需由中标人预先垫付（人员受伤部分不计入垫付范围），先行完成车辆的所有维修。（须提供承诺函，详见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20" w:hRule="atLeast"/>
        </w:trPr>
        <w:tc>
          <w:tcPr>
            <w:tcW w:w="8410" w:type="dxa"/>
            <w:gridSpan w:val="3"/>
            <w:tcBorders>
              <w:tl2br w:val="nil"/>
              <w:tr2bl w:val="nil"/>
            </w:tcBorders>
            <w:vAlign w:val="center"/>
          </w:tcPr>
          <w:p>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before="0" w:after="0" w:line="240" w:lineRule="auto"/>
        <w:jc w:val="center"/>
        <w:outlineLvl w:val="1"/>
        <w:rPr>
          <w:rFonts w:hint="eastAsia" w:ascii="宋体" w:hAnsi="宋体" w:eastAsia="宋体" w:cs="宋体"/>
          <w:b/>
          <w:bCs/>
          <w:color w:val="auto"/>
          <w:sz w:val="21"/>
          <w:szCs w:val="21"/>
          <w:highlight w:val="none"/>
        </w:rPr>
      </w:pPr>
      <w:bookmarkStart w:id="10" w:name="_Toc12166"/>
      <w:r>
        <w:rPr>
          <w:rFonts w:hint="eastAsia" w:ascii="宋体" w:hAnsi="宋体" w:eastAsia="宋体" w:cs="宋体"/>
          <w:b/>
          <w:bCs/>
          <w:color w:val="auto"/>
          <w:sz w:val="24"/>
          <w:szCs w:val="24"/>
          <w:highlight w:val="none"/>
        </w:rPr>
        <w:t>附表二：商务技术评分及价格权重表（满分100分）</w:t>
      </w:r>
      <w:bookmarkEnd w:id="10"/>
    </w:p>
    <w:tbl>
      <w:tblPr>
        <w:tblStyle w:val="29"/>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1"/>
        <w:gridCol w:w="796"/>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2"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序号</w:t>
            </w:r>
          </w:p>
        </w:tc>
        <w:tc>
          <w:tcPr>
            <w:tcW w:w="1481"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评分内容</w:t>
            </w:r>
          </w:p>
        </w:tc>
        <w:tc>
          <w:tcPr>
            <w:tcW w:w="796"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分值</w:t>
            </w:r>
          </w:p>
        </w:tc>
        <w:tc>
          <w:tcPr>
            <w:tcW w:w="5902"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8931" w:type="dxa"/>
            <w:gridSpan w:val="4"/>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商务评分（40分）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52"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481"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财务状况</w:t>
            </w:r>
          </w:p>
        </w:tc>
        <w:tc>
          <w:tcPr>
            <w:tcW w:w="796"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年至</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rPr>
              <w:t>财务状况进行评分，连续</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年盈利得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分，1年盈利得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分，无盈利得0分。</w:t>
            </w:r>
          </w:p>
          <w:p>
            <w:pPr>
              <w:widowControl w:val="0"/>
              <w:adjustRightInd/>
              <w:snapToGrid/>
              <w:spacing w:line="240" w:lineRule="auto"/>
              <w:ind w:firstLine="422"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注：须提供</w:t>
            </w:r>
            <w:r>
              <w:rPr>
                <w:rFonts w:hint="eastAsia" w:ascii="宋体" w:hAnsi="宋体" w:eastAsia="宋体" w:cs="宋体"/>
                <w:b/>
                <w:bCs/>
                <w:color w:val="auto"/>
                <w:sz w:val="21"/>
                <w:szCs w:val="21"/>
                <w:highlight w:val="none"/>
                <w:lang w:val="en-US" w:eastAsia="zh-CN"/>
              </w:rPr>
              <w:t>会计师事务所出具的财务报告</w:t>
            </w:r>
            <w:r>
              <w:rPr>
                <w:rFonts w:hint="eastAsia" w:ascii="宋体" w:hAnsi="宋体" w:eastAsia="宋体" w:cs="宋体"/>
                <w:b/>
                <w:bCs/>
                <w:color w:val="auto"/>
                <w:sz w:val="21"/>
                <w:szCs w:val="21"/>
                <w:highlight w:val="none"/>
                <w:lang w:eastAsia="zh-CN"/>
              </w:rPr>
              <w:t>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w:t>
            </w:r>
          </w:p>
        </w:tc>
        <w:tc>
          <w:tcPr>
            <w:tcW w:w="1481" w:type="dxa"/>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同类项目</w:t>
            </w:r>
          </w:p>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业绩</w:t>
            </w:r>
          </w:p>
        </w:tc>
        <w:tc>
          <w:tcPr>
            <w:tcW w:w="796" w:type="dxa"/>
            <w:noWrap w:val="0"/>
            <w:vAlign w:val="center"/>
          </w:tcPr>
          <w:p>
            <w:pPr>
              <w:widowControl w:val="0"/>
              <w:spacing w:line="240" w:lineRule="auto"/>
              <w:ind w:firstLine="0" w:firstLineChars="0"/>
              <w:jc w:val="both"/>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10分</w:t>
            </w:r>
          </w:p>
        </w:tc>
        <w:tc>
          <w:tcPr>
            <w:tcW w:w="5902" w:type="dxa"/>
            <w:noWrap w:val="0"/>
            <w:vAlign w:val="center"/>
          </w:tcPr>
          <w:p>
            <w:pPr>
              <w:widowControl w:val="0"/>
              <w:numPr>
                <w:ilvl w:val="0"/>
                <w:numId w:val="0"/>
              </w:numPr>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年1月1日（以签订合同时间为准）至今，具有承包单位轻型货车车辆长期（必须为服务期不少于1年的项目业绩，单次维修的不计算）维修项目业绩要求：</w:t>
            </w:r>
          </w:p>
          <w:p>
            <w:pPr>
              <w:widowControl w:val="0"/>
              <w:numPr>
                <w:ilvl w:val="0"/>
                <w:numId w:val="0"/>
              </w:numPr>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业绩的单个合同维修轻型货车车辆达10辆以上（含10辆）的每个业绩得1分，达30辆以上（含30辆）的每个业绩得2分。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本项最高得10分。</w:t>
            </w:r>
          </w:p>
          <w:p>
            <w:pPr>
              <w:widowControl w:val="0"/>
              <w:adjustRightInd/>
              <w:snapToGrid/>
              <w:spacing w:line="240" w:lineRule="auto"/>
              <w:ind w:firstLine="422"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注：业绩合同不重复计分，须提供合同复印件和期间任一次开具的相关发票复印件加盖投标人公章。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752" w:type="dxa"/>
            <w:vMerge w:val="restart"/>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bidi="ar-SA"/>
              </w:rPr>
              <w:t>3</w:t>
            </w:r>
          </w:p>
        </w:tc>
        <w:tc>
          <w:tcPr>
            <w:tcW w:w="1481" w:type="dxa"/>
            <w:vMerge w:val="restart"/>
            <w:noWrap w:val="0"/>
            <w:vAlign w:val="center"/>
          </w:tcPr>
          <w:p>
            <w:pPr>
              <w:widowControl w:val="0"/>
              <w:spacing w:line="300" w:lineRule="exact"/>
              <w:ind w:firstLine="0" w:firstLineChars="0"/>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从业人员情况</w:t>
            </w:r>
          </w:p>
        </w:tc>
        <w:tc>
          <w:tcPr>
            <w:tcW w:w="796" w:type="dxa"/>
            <w:noWrap w:val="0"/>
            <w:vAlign w:val="center"/>
          </w:tcPr>
          <w:p>
            <w:pPr>
              <w:widowControl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5902" w:type="dxa"/>
            <w:noWrap w:val="0"/>
            <w:vAlign w:val="center"/>
          </w:tcPr>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投标人拟配备本项目的技术人员，持有汽车修理（或维修）类技术证书情况:</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（一级）</w:t>
            </w:r>
            <w:r>
              <w:rPr>
                <w:rFonts w:hint="eastAsia" w:ascii="宋体" w:hAnsi="宋体" w:eastAsia="宋体" w:cs="宋体"/>
                <w:i w:val="0"/>
                <w:caps w:val="0"/>
                <w:color w:val="auto"/>
                <w:spacing w:val="0"/>
                <w:sz w:val="21"/>
                <w:szCs w:val="21"/>
                <w:highlight w:val="none"/>
                <w:shd w:val="clear"/>
              </w:rPr>
              <w:t>高级技师</w:t>
            </w:r>
            <w:r>
              <w:rPr>
                <w:rFonts w:hint="eastAsia" w:ascii="宋体" w:hAnsi="宋体" w:cs="宋体"/>
                <w:color w:val="auto"/>
                <w:szCs w:val="21"/>
                <w:highlight w:val="none"/>
                <w:lang w:val="en-US" w:eastAsia="zh-CN"/>
              </w:rPr>
              <w:t>，每个得 2.5分；</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（二级）技师，每个得2.0分；</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（三级）高级技能，每个得 1.5分；</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（四级）中级技能，每个得 1分；</w:t>
            </w:r>
          </w:p>
          <w:p>
            <w:pPr>
              <w:widowControl w:val="0"/>
              <w:adjustRightInd/>
              <w:snapToGrid/>
              <w:spacing w:line="240" w:lineRule="auto"/>
              <w:ind w:firstLine="420" w:firstLineChars="200"/>
              <w:jc w:val="both"/>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（五级）初级技能，每个得 0.5分；</w:t>
            </w:r>
          </w:p>
          <w:p>
            <w:pPr>
              <w:widowControl w:val="0"/>
              <w:adjustRightInd/>
              <w:snapToGrid/>
              <w:spacing w:line="240" w:lineRule="auto"/>
              <w:ind w:firstLine="420" w:firstLineChars="200"/>
              <w:jc w:val="both"/>
              <w:rPr>
                <w:rFonts w:hint="eastAsia"/>
                <w:color w:val="auto"/>
                <w:highlight w:val="none"/>
                <w:lang w:val="en-US" w:eastAsia="zh-CN"/>
              </w:rPr>
            </w:pPr>
            <w:r>
              <w:rPr>
                <w:rFonts w:hint="eastAsia" w:ascii="宋体" w:hAnsi="宋体" w:cs="宋体"/>
                <w:color w:val="auto"/>
                <w:szCs w:val="21"/>
                <w:highlight w:val="none"/>
                <w:lang w:val="en-US" w:eastAsia="zh-CN"/>
              </w:rPr>
              <w:t>本项最高得分 12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752" w:type="dxa"/>
            <w:vMerge w:val="continue"/>
            <w:noWrap w:val="0"/>
            <w:vAlign w:val="center"/>
          </w:tcPr>
          <w:p>
            <w:pPr>
              <w:widowControl w:val="0"/>
              <w:spacing w:line="240" w:lineRule="auto"/>
              <w:ind w:firstLine="0" w:firstLineChars="0"/>
              <w:jc w:val="center"/>
              <w:rPr>
                <w:rFonts w:hint="eastAsia" w:ascii="宋体" w:hAnsi="宋体" w:eastAsia="宋体" w:cs="宋体"/>
                <w:bCs/>
                <w:color w:val="auto"/>
                <w:sz w:val="21"/>
                <w:szCs w:val="21"/>
                <w:highlight w:val="none"/>
                <w:lang w:val="en-US" w:eastAsia="zh-CN" w:bidi="ar-SA"/>
              </w:rPr>
            </w:pPr>
          </w:p>
        </w:tc>
        <w:tc>
          <w:tcPr>
            <w:tcW w:w="1481" w:type="dxa"/>
            <w:vMerge w:val="continue"/>
            <w:noWrap w:val="0"/>
            <w:vAlign w:val="center"/>
          </w:tcPr>
          <w:p>
            <w:pPr>
              <w:widowControl w:val="0"/>
              <w:spacing w:line="300" w:lineRule="exact"/>
              <w:ind w:firstLine="0" w:firstLineChars="0"/>
              <w:jc w:val="center"/>
              <w:rPr>
                <w:rFonts w:hint="eastAsia" w:ascii="宋体" w:hAnsi="宋体" w:eastAsia="宋体" w:cs="宋体"/>
                <w:bCs/>
                <w:color w:val="auto"/>
                <w:sz w:val="21"/>
                <w:szCs w:val="21"/>
                <w:highlight w:val="none"/>
                <w:lang w:val="en-US" w:eastAsia="zh-CN" w:bidi="ar-SA"/>
              </w:rPr>
            </w:pPr>
          </w:p>
        </w:tc>
        <w:tc>
          <w:tcPr>
            <w:tcW w:w="6698" w:type="dxa"/>
            <w:gridSpan w:val="2"/>
            <w:noWrap w:val="0"/>
            <w:vAlign w:val="center"/>
          </w:tcPr>
          <w:p>
            <w:pPr>
              <w:widowControl w:val="0"/>
              <w:adjustRightInd/>
              <w:snapToGrid/>
              <w:spacing w:line="240" w:lineRule="auto"/>
              <w:ind w:firstLine="422" w:firstLineChars="200"/>
              <w:jc w:val="both"/>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注：须提供</w:t>
            </w:r>
            <w:r>
              <w:rPr>
                <w:rFonts w:hint="eastAsia" w:ascii="宋体" w:hAnsi="宋体" w:cs="宋体"/>
                <w:b/>
                <w:bCs/>
                <w:color w:val="auto"/>
                <w:sz w:val="21"/>
                <w:szCs w:val="21"/>
                <w:highlight w:val="none"/>
                <w:lang w:val="en-US" w:eastAsia="zh-CN"/>
              </w:rPr>
              <w:t>对应</w:t>
            </w:r>
            <w:r>
              <w:rPr>
                <w:rFonts w:hint="eastAsia" w:ascii="宋体" w:hAnsi="宋体" w:cs="宋体"/>
                <w:b/>
                <w:bCs/>
                <w:color w:val="auto"/>
                <w:szCs w:val="21"/>
                <w:highlight w:val="none"/>
                <w:lang w:val="en-US" w:eastAsia="zh-CN"/>
              </w:rPr>
              <w:t>技术人员等级资格证书和从业资格证书</w:t>
            </w:r>
            <w:r>
              <w:rPr>
                <w:rFonts w:hint="eastAsia" w:ascii="宋体" w:hAnsi="宋体" w:cs="宋体"/>
                <w:b/>
                <w:bCs/>
                <w:color w:val="auto"/>
                <w:sz w:val="21"/>
                <w:szCs w:val="21"/>
                <w:highlight w:val="none"/>
                <w:lang w:val="en-US" w:eastAsia="zh-CN"/>
              </w:rPr>
              <w:t>和</w:t>
            </w:r>
            <w:r>
              <w:rPr>
                <w:rFonts w:hint="eastAsia" w:ascii="宋体" w:hAnsi="宋体" w:cs="宋体"/>
                <w:b/>
                <w:bCs/>
                <w:color w:val="auto"/>
                <w:szCs w:val="21"/>
                <w:highlight w:val="none"/>
                <w:lang w:val="en-US" w:eastAsia="zh-CN"/>
              </w:rPr>
              <w:t>本单位与持证人员签订的劳动合同和</w:t>
            </w:r>
            <w:r>
              <w:rPr>
                <w:rFonts w:hint="eastAsia" w:ascii="宋体" w:hAnsi="宋体" w:eastAsia="宋体" w:cs="宋体"/>
                <w:b/>
                <w:bCs/>
                <w:color w:val="auto"/>
                <w:sz w:val="21"/>
                <w:szCs w:val="21"/>
                <w:highlight w:val="none"/>
                <w:lang w:val="en-US" w:eastAsia="zh-CN"/>
              </w:rPr>
              <w:t>距离开标当月（不含）前三个月</w:t>
            </w:r>
            <w:r>
              <w:rPr>
                <w:rFonts w:hint="eastAsia" w:ascii="宋体" w:hAnsi="宋体" w:cs="宋体"/>
                <w:b/>
                <w:bCs/>
                <w:color w:val="auto"/>
                <w:sz w:val="21"/>
                <w:szCs w:val="21"/>
                <w:highlight w:val="none"/>
                <w:lang w:val="en-US" w:eastAsia="zh-CN"/>
              </w:rPr>
              <w:t>任一个月</w:t>
            </w:r>
            <w:r>
              <w:rPr>
                <w:rFonts w:hint="eastAsia" w:ascii="宋体" w:hAnsi="宋体" w:eastAsia="宋体" w:cs="宋体"/>
                <w:b/>
                <w:bCs/>
                <w:color w:val="auto"/>
                <w:sz w:val="21"/>
                <w:szCs w:val="21"/>
                <w:highlight w:val="none"/>
                <w:lang w:val="en-US" w:eastAsia="zh-CN"/>
              </w:rPr>
              <w:t>投标人为其购买社保证明复印件加盖投标人公章。</w:t>
            </w:r>
            <w:r>
              <w:rPr>
                <w:rFonts w:hint="eastAsia" w:ascii="宋体" w:hAnsi="宋体" w:cs="宋体"/>
                <w:b/>
                <w:bCs/>
                <w:color w:val="auto"/>
                <w:sz w:val="21"/>
                <w:szCs w:val="21"/>
                <w:highlight w:val="none"/>
                <w:lang w:val="en-US" w:eastAsia="zh-CN"/>
              </w:rPr>
              <w:t>同一技术人员同时持有不同等级同一证书的，以最高等级的为准（即同一证书不重复计分)，但同一技术人员持有不同类证书的，可重复计分。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vMerge w:val="restart"/>
            <w:noWrap w:val="0"/>
            <w:vAlign w:val="center"/>
          </w:tcPr>
          <w:p>
            <w:pPr>
              <w:widowControl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481" w:type="dxa"/>
            <w:vMerge w:val="restart"/>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bidi="ar-SA"/>
              </w:rPr>
              <w:t>服务场所及服务便利性</w:t>
            </w:r>
          </w:p>
        </w:tc>
        <w:tc>
          <w:tcPr>
            <w:tcW w:w="796"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根据投标人的单个维修点经营服务场所总面积进行评分：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服务场所总面积在1000平方米以上的得5分；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服务场所总经营面积在600平方米（不含）至1000平方米（含）的得3分；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服务场所总经营面积在370平方米（不含）至600平方米（含）的，得1分；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vMerge w:val="continue"/>
            <w:noWrap w:val="0"/>
            <w:vAlign w:val="center"/>
          </w:tcPr>
          <w:p>
            <w:pPr>
              <w:widowControl w:val="0"/>
              <w:adjustRightInd/>
              <w:snapToGrid/>
              <w:spacing w:line="240" w:lineRule="auto"/>
              <w:jc w:val="center"/>
              <w:rPr>
                <w:rFonts w:hint="default" w:ascii="宋体" w:hAnsi="宋体" w:eastAsia="宋体" w:cs="宋体"/>
                <w:color w:val="auto"/>
                <w:sz w:val="21"/>
                <w:szCs w:val="21"/>
                <w:highlight w:val="none"/>
                <w:lang w:val="en-US" w:eastAsia="zh-CN"/>
              </w:rPr>
            </w:pPr>
          </w:p>
        </w:tc>
        <w:tc>
          <w:tcPr>
            <w:tcW w:w="1481" w:type="dxa"/>
            <w:vMerge w:val="continue"/>
            <w:noWrap w:val="0"/>
            <w:vAlign w:val="center"/>
          </w:tcPr>
          <w:p>
            <w:pPr>
              <w:widowControl/>
              <w:adjustRightInd/>
              <w:snapToGrid/>
              <w:spacing w:line="400" w:lineRule="exact"/>
              <w:jc w:val="center"/>
              <w:rPr>
                <w:rFonts w:hint="eastAsia" w:ascii="宋体" w:hAnsi="宋体" w:eastAsia="宋体" w:cs="宋体"/>
                <w:bCs/>
                <w:color w:val="auto"/>
                <w:sz w:val="21"/>
                <w:szCs w:val="21"/>
                <w:highlight w:val="none"/>
                <w:lang w:val="en-US" w:eastAsia="zh-CN" w:bidi="ar-SA"/>
              </w:rPr>
            </w:pP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上述维修点经营服务场地址为起点至到达采购人基地为终点的距离进行评分：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导航距离在8公里（含）以内的得5分；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导航距离在8公里（不含）-11公里（含）的得3分；</w:t>
            </w:r>
          </w:p>
          <w:p>
            <w:pPr>
              <w:widowControl w:val="0"/>
              <w:adjustRightInd/>
              <w:snapToGrid/>
              <w:spacing w:line="240" w:lineRule="auto"/>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导航距离在11公里（不含）-14公里（含）的得1分；</w:t>
            </w:r>
          </w:p>
          <w:p>
            <w:pPr>
              <w:widowControl w:val="0"/>
              <w:adjustRightInd/>
              <w:snapToGrid/>
              <w:spacing w:line="240" w:lineRule="auto"/>
              <w:ind w:firstLine="420"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导航距离超过14公里的得0分。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vMerge w:val="continue"/>
            <w:noWrap w:val="0"/>
            <w:vAlign w:val="center"/>
          </w:tcPr>
          <w:p>
            <w:pPr>
              <w:widowControl w:val="0"/>
              <w:adjustRightInd/>
              <w:snapToGrid/>
              <w:spacing w:line="240" w:lineRule="auto"/>
              <w:jc w:val="center"/>
              <w:rPr>
                <w:rFonts w:hint="default" w:ascii="宋体" w:hAnsi="宋体" w:eastAsia="宋体" w:cs="宋体"/>
                <w:color w:val="auto"/>
                <w:sz w:val="21"/>
                <w:szCs w:val="21"/>
                <w:highlight w:val="none"/>
                <w:lang w:val="en-US" w:eastAsia="zh-CN"/>
              </w:rPr>
            </w:pPr>
          </w:p>
        </w:tc>
        <w:tc>
          <w:tcPr>
            <w:tcW w:w="1481" w:type="dxa"/>
            <w:vMerge w:val="continue"/>
            <w:noWrap w:val="0"/>
            <w:vAlign w:val="center"/>
          </w:tcPr>
          <w:p>
            <w:pPr>
              <w:widowControl/>
              <w:adjustRightInd/>
              <w:snapToGrid/>
              <w:spacing w:line="400" w:lineRule="exact"/>
              <w:jc w:val="center"/>
              <w:rPr>
                <w:rFonts w:hint="eastAsia" w:ascii="宋体" w:hAnsi="宋体" w:eastAsia="宋体" w:cs="宋体"/>
                <w:bCs/>
                <w:color w:val="auto"/>
                <w:sz w:val="21"/>
                <w:szCs w:val="21"/>
                <w:highlight w:val="none"/>
                <w:lang w:val="en-US" w:eastAsia="zh-CN" w:bidi="ar-SA"/>
              </w:rPr>
            </w:pPr>
          </w:p>
        </w:tc>
        <w:tc>
          <w:tcPr>
            <w:tcW w:w="6698" w:type="dxa"/>
            <w:gridSpan w:val="2"/>
            <w:noWrap w:val="0"/>
            <w:vAlign w:val="center"/>
          </w:tcPr>
          <w:p>
            <w:pPr>
              <w:widowControl w:val="0"/>
              <w:adjustRightInd/>
              <w:snapToGrid/>
              <w:spacing w:line="24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w:t>
            </w:r>
            <w:r>
              <w:rPr>
                <w:rFonts w:hint="eastAsia" w:ascii="宋体" w:hAnsi="宋体" w:eastAsia="宋体" w:cs="宋体"/>
                <w:color w:val="auto"/>
                <w:sz w:val="21"/>
                <w:szCs w:val="21"/>
                <w:highlight w:val="none"/>
                <w:lang w:val="en-US" w:eastAsia="zh-CN"/>
              </w:rPr>
              <w:t>经营服务场所</w:t>
            </w:r>
            <w:r>
              <w:rPr>
                <w:rFonts w:hint="eastAsia" w:ascii="宋体" w:hAnsi="宋体" w:eastAsia="宋体" w:cs="宋体"/>
                <w:b/>
                <w:bCs/>
                <w:color w:val="auto"/>
                <w:sz w:val="21"/>
                <w:szCs w:val="21"/>
                <w:highlight w:val="none"/>
                <w:lang w:val="en-US" w:eastAsia="zh-CN"/>
              </w:rPr>
              <w:t>须提供自有房产证明或租赁合同复印件加盖投标人公章。租赁时间不得低于以项目开标时间起计算一年。（所提供的证明材料须体现面积，租赁合同同时体现租赁期限，若房产证明或租赁合同不能体现面积或租赁期限的，须提供其他材料进行证明，否则不得分）</w:t>
            </w:r>
          </w:p>
          <w:p>
            <w:pPr>
              <w:widowControl w:val="0"/>
              <w:adjustRightInd/>
              <w:snapToGrid/>
              <w:spacing w:line="240" w:lineRule="auto"/>
              <w:ind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2.须提供导航（百度或高德）地图推荐最近距离截图证明材料，以地图显示距离计算为准，不提供的不得分。</w:t>
            </w:r>
          </w:p>
          <w:p>
            <w:pPr>
              <w:widowControl w:val="0"/>
              <w:adjustRightInd/>
              <w:snapToGrid/>
              <w:spacing w:line="240" w:lineRule="auto"/>
              <w:ind w:firstLineChars="200"/>
              <w:jc w:val="both"/>
              <w:rPr>
                <w:rFonts w:hint="default" w:ascii="Times New Roman" w:hAnsi="Times New Roman" w:cs="Times New Roman"/>
                <w:color w:val="auto"/>
                <w:sz w:val="20"/>
                <w:szCs w:val="20"/>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.在发出中标通知书前采购人将会对中标候选人进行现场核实服务场所面积以及建筑面积，如有虚假将取消其中标资格。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6</w:t>
            </w:r>
          </w:p>
        </w:tc>
        <w:tc>
          <w:tcPr>
            <w:tcW w:w="1481" w:type="dxa"/>
            <w:noWrap w:val="0"/>
            <w:vAlign w:val="center"/>
          </w:tcPr>
          <w:p>
            <w:pPr>
              <w:widowControl/>
              <w:adjustRightInd/>
              <w:snapToGrid/>
              <w:spacing w:line="400" w:lineRule="exact"/>
              <w:jc w:val="center"/>
              <w:rPr>
                <w:rFonts w:hint="eastAsia" w:ascii="宋体" w:hAnsi="宋体" w:eastAsia="宋体" w:cs="宋体"/>
                <w:bCs/>
                <w:color w:val="auto"/>
                <w:sz w:val="21"/>
                <w:szCs w:val="21"/>
                <w:highlight w:val="none"/>
                <w:lang w:val="en-US" w:eastAsia="zh-CN" w:bidi="ar-SA"/>
              </w:rPr>
            </w:pPr>
            <w:r>
              <w:rPr>
                <w:rFonts w:hint="eastAsia" w:ascii="宋体" w:hAnsi="宋体" w:eastAsia="宋体" w:cs="宋体"/>
                <w:color w:val="auto"/>
                <w:sz w:val="21"/>
                <w:szCs w:val="21"/>
                <w:highlight w:val="none"/>
              </w:rPr>
              <w:t>拟投入设备及设施情况</w:t>
            </w:r>
          </w:p>
        </w:tc>
        <w:tc>
          <w:tcPr>
            <w:tcW w:w="796" w:type="dxa"/>
            <w:noWrap w:val="0"/>
            <w:vAlign w:val="center"/>
          </w:tcPr>
          <w:p>
            <w:pPr>
              <w:widowControl/>
              <w:adjustRightInd/>
              <w:snapToGrid/>
              <w:spacing w:line="40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6分</w:t>
            </w:r>
          </w:p>
        </w:tc>
        <w:tc>
          <w:tcPr>
            <w:tcW w:w="5902" w:type="dxa"/>
            <w:noWrap w:val="0"/>
            <w:vAlign w:val="center"/>
          </w:tcPr>
          <w:p>
            <w:pPr>
              <w:widowControl w:val="0"/>
              <w:adjustRightInd/>
              <w:snapToGrid/>
              <w:spacing w:line="240" w:lineRule="auto"/>
              <w:ind w:firstLine="400" w:firstLineChars="200"/>
              <w:jc w:val="both"/>
              <w:rPr>
                <w:rFonts w:hint="eastAsia"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满足用户需求书中《</w:t>
            </w:r>
            <w:r>
              <w:rPr>
                <w:rFonts w:hint="eastAsia" w:ascii="Times New Roman" w:hAnsi="Times New Roman" w:cs="Times New Roman"/>
                <w:color w:val="auto"/>
                <w:sz w:val="20"/>
                <w:szCs w:val="20"/>
                <w:highlight w:val="none"/>
                <w:lang w:eastAsia="zh-CN"/>
              </w:rPr>
              <w:t>检测</w:t>
            </w:r>
            <w:r>
              <w:rPr>
                <w:rFonts w:hint="eastAsia" w:ascii="Times New Roman" w:hAnsi="Times New Roman" w:cs="Times New Roman"/>
                <w:color w:val="auto"/>
                <w:sz w:val="20"/>
                <w:szCs w:val="20"/>
                <w:highlight w:val="none"/>
              </w:rPr>
              <w:t>维修设备工具配置表</w:t>
            </w:r>
            <w:r>
              <w:rPr>
                <w:rFonts w:hint="eastAsia" w:ascii="Times New Roman" w:hAnsi="Times New Roman" w:cs="Times New Roman"/>
                <w:color w:val="auto"/>
                <w:sz w:val="20"/>
                <w:szCs w:val="20"/>
                <w:highlight w:val="none"/>
                <w:lang w:val="en-US" w:eastAsia="zh-CN"/>
              </w:rPr>
              <w:t>》的基础上，每多提供一项配置表中设备的数量得1分，最高得6分。</w:t>
            </w:r>
          </w:p>
          <w:p>
            <w:pPr>
              <w:widowControl w:val="0"/>
              <w:adjustRightInd/>
              <w:snapToGrid/>
              <w:spacing w:line="240" w:lineRule="auto"/>
              <w:ind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注：1.须提供：</w:t>
            </w:r>
            <w:r>
              <w:rPr>
                <w:rFonts w:hint="default" w:ascii="宋体" w:hAnsi="宋体" w:eastAsia="宋体" w:cs="宋体"/>
                <w:b/>
                <w:bCs/>
                <w:color w:val="auto"/>
                <w:sz w:val="21"/>
                <w:szCs w:val="21"/>
                <w:highlight w:val="none"/>
                <w:lang w:val="en-US" w:eastAsia="zh-CN"/>
              </w:rPr>
              <w:t>①</w:t>
            </w:r>
            <w:r>
              <w:rPr>
                <w:rFonts w:hint="eastAsia" w:ascii="宋体" w:hAnsi="宋体" w:eastAsia="宋体" w:cs="宋体"/>
                <w:b/>
                <w:bCs/>
                <w:color w:val="auto"/>
                <w:sz w:val="21"/>
                <w:szCs w:val="21"/>
                <w:highlight w:val="none"/>
                <w:lang w:val="en-US" w:eastAsia="zh-CN"/>
              </w:rPr>
              <w:t>现场设备摆放照片；</w:t>
            </w:r>
            <w:r>
              <w:rPr>
                <w:rFonts w:hint="default"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val="en-US" w:eastAsia="zh-CN"/>
              </w:rPr>
              <w:t>自有设备发票</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lang w:val="en-US" w:eastAsia="zh-CN"/>
              </w:rPr>
              <w:t>发票抬头为投标人名称</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sz w:val="21"/>
                <w:szCs w:val="21"/>
                <w:highlight w:val="none"/>
                <w:lang w:val="en-US" w:eastAsia="zh-CN"/>
              </w:rPr>
              <w:t>或设备租赁（合同/协议）并加盖公章。</w:t>
            </w:r>
          </w:p>
          <w:p>
            <w:pPr>
              <w:widowControl w:val="0"/>
              <w:adjustRightInd/>
              <w:snapToGrid/>
              <w:spacing w:line="240" w:lineRule="auto"/>
              <w:ind w:firstLineChars="200"/>
              <w:jc w:val="both"/>
              <w:rPr>
                <w:rFonts w:hint="eastAsia" w:ascii="Times New Roman" w:hAnsi="Times New Roman" w:cs="Times New Roman"/>
                <w:color w:val="auto"/>
                <w:sz w:val="20"/>
                <w:szCs w:val="20"/>
                <w:highlight w:val="none"/>
                <w:lang w:val="en-US" w:eastAsia="zh-CN"/>
              </w:rPr>
            </w:pPr>
            <w:r>
              <w:rPr>
                <w:rFonts w:hint="eastAsia" w:ascii="宋体" w:hAnsi="宋体" w:eastAsia="宋体" w:cs="宋体"/>
                <w:b/>
                <w:bCs/>
                <w:color w:val="auto"/>
                <w:sz w:val="21"/>
                <w:szCs w:val="21"/>
                <w:highlight w:val="none"/>
                <w:lang w:val="en-US" w:eastAsia="zh-CN"/>
              </w:rPr>
              <w:t>2.在发出中标通知书前采购人将会对中标候选人进行现场核实设备情况，如有虚假将取消其中标资格。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8931" w:type="dxa"/>
            <w:gridSpan w:val="4"/>
            <w:noWrap w:val="0"/>
            <w:vAlign w:val="center"/>
          </w:tcPr>
          <w:p>
            <w:pPr>
              <w:widowControl w:val="0"/>
              <w:adjustRightInd/>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lang w:val="en-US" w:eastAsia="zh-CN" w:bidi="ar-SA"/>
              </w:rPr>
              <w:t>技术评分（10分）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481"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内部管理情况</w:t>
            </w: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根据投标人内部管理规章制度完善情况进行评分：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①内部管理规章制度非常完善、科学合理，得2分；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②内部管理规章制度比较完善、科学合理，得1分；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③内部管理规章制度一般，得0.5分；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2</w:t>
            </w:r>
          </w:p>
        </w:tc>
        <w:tc>
          <w:tcPr>
            <w:tcW w:w="1481"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保修服务方案</w:t>
            </w: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投标人理解用户需求中的服务要求，作出实施方案与服务承诺：</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①对项目理解非常深刻，有完善的响应服务方案与承诺措施，得5分；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②对项目理解比较深刻，有较完善的响应服务方案与承诺措施，得3分；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③对项目理解一般，响应服务方案与承诺简单，得1分；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3</w:t>
            </w:r>
          </w:p>
        </w:tc>
        <w:tc>
          <w:tcPr>
            <w:tcW w:w="1481"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环保情况</w:t>
            </w: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根据投标人作业环境情况进行评分：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废油、废液、废气、废蓄电池、废轮胎、含石棉废料及有害垃圾等物质处理和有害物质存储区域界定设置的方案，物质有集中收集、保持环境整洁，有害物质存储区域界定清楚，必要时有隔离和控制措施的得1分；处理情况与区域界定方案较差的或未提供得0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2、投标人作业环境以及生产工艺配置的处理“四废”及采光、通风、吸尘、净化、消声等设施情况，设施设置全面齐全得1分；设施设置较差或没有得0分。</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3、涂漆车间对废水排放及处理的设施，干打磨工艺中粉尘收集装置和除尘设备和通风设备设施的设置情况，设施设置全面齐全得1分，设施设施较差或没有的得0分。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31" w:type="dxa"/>
            <w:gridSpan w:val="4"/>
            <w:noWrap w:val="0"/>
            <w:vAlign w:val="center"/>
          </w:tcPr>
          <w:p>
            <w:pPr>
              <w:widowControl w:val="0"/>
              <w:adjustRightInd/>
              <w:snapToGrid/>
              <w:spacing w:line="240" w:lineRule="auto"/>
              <w:ind w:firstLine="422"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价格评审（</w:t>
            </w:r>
            <w:r>
              <w:rPr>
                <w:rFonts w:hint="eastAsia" w:ascii="宋体" w:hAnsi="宋体" w:cs="宋体"/>
                <w:b/>
                <w:bCs/>
                <w:color w:val="auto"/>
                <w:sz w:val="21"/>
                <w:szCs w:val="21"/>
                <w:highlight w:val="none"/>
                <w:lang w:val="en-US" w:eastAsia="zh-CN"/>
              </w:rPr>
              <w:t>50</w:t>
            </w:r>
            <w:r>
              <w:rPr>
                <w:rFonts w:hint="eastAsia" w:ascii="宋体" w:hAnsi="宋体" w:eastAsia="宋体" w:cs="宋体"/>
                <w:b/>
                <w:bCs/>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2" w:type="dxa"/>
            <w:noWrap w:val="0"/>
            <w:vAlign w:val="center"/>
          </w:tcPr>
          <w:p>
            <w:pPr>
              <w:widowControl w:val="0"/>
              <w:spacing w:line="240" w:lineRule="auto"/>
              <w:ind w:firstLine="0" w:firstLineChars="0"/>
              <w:jc w:val="center"/>
              <w:rPr>
                <w:rFonts w:hint="default" w:ascii="宋体" w:hAnsi="宋体" w:eastAsia="宋体" w:cs="宋体"/>
                <w:bCs/>
                <w:color w:val="auto"/>
                <w:sz w:val="21"/>
                <w:szCs w:val="21"/>
                <w:highlight w:val="none"/>
                <w:lang w:val="en-US" w:eastAsia="zh-CN" w:bidi="ar-SA"/>
              </w:rPr>
            </w:pPr>
            <w:r>
              <w:rPr>
                <w:rFonts w:hint="eastAsia" w:ascii="宋体" w:hAnsi="宋体" w:eastAsia="宋体" w:cs="宋体"/>
                <w:bCs/>
                <w:color w:val="auto"/>
                <w:sz w:val="21"/>
                <w:szCs w:val="21"/>
                <w:highlight w:val="none"/>
                <w:lang w:val="en-US" w:eastAsia="zh-CN" w:bidi="ar-SA"/>
              </w:rPr>
              <w:t>1</w:t>
            </w:r>
          </w:p>
        </w:tc>
        <w:tc>
          <w:tcPr>
            <w:tcW w:w="1481" w:type="dxa"/>
            <w:noWrap w:val="0"/>
            <w:vAlign w:val="center"/>
          </w:tcPr>
          <w:p>
            <w:pPr>
              <w:widowControl/>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投标总价</w:t>
            </w:r>
          </w:p>
        </w:tc>
        <w:tc>
          <w:tcPr>
            <w:tcW w:w="796" w:type="dxa"/>
            <w:noWrap w:val="0"/>
            <w:vAlign w:val="center"/>
          </w:tcPr>
          <w:p>
            <w:pPr>
              <w:widowControl/>
              <w:adjustRightInd/>
              <w:snapToGrid/>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50分</w:t>
            </w:r>
          </w:p>
        </w:tc>
        <w:tc>
          <w:tcPr>
            <w:tcW w:w="5902" w:type="dxa"/>
            <w:noWrap w:val="0"/>
            <w:vAlign w:val="center"/>
          </w:tcPr>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工时费用得分（25分）：满足采购文件要求且投标下浮率最高的作为评标基准价，其价格分为满分。其他投标人的价格分统一按照下列公式计算：投标人价格得分＝[（1-评标基准价）/（1-投标报价）]×价格权重（25%）×100。</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零配件费用</w:t>
            </w:r>
            <w:r>
              <w:rPr>
                <w:rFonts w:hint="eastAsia" w:ascii="宋体" w:hAnsi="宋体" w:eastAsia="宋体" w:cs="宋体"/>
                <w:color w:val="auto"/>
                <w:sz w:val="21"/>
                <w:szCs w:val="21"/>
                <w:highlight w:val="none"/>
                <w:lang w:val="en-US" w:eastAsia="zh-CN"/>
              </w:rPr>
              <w:t>得分（25分）：满足采购文件要求且投标下浮率最高的作为评标基准价，其价格分为满分。其他投标人的价格分统一按照下列公式计算：投标人价格得分＝[（1-评标基准价）/（1-投标报价）]×价格权重（25%）×100。</w:t>
            </w:r>
          </w:p>
          <w:p>
            <w:pPr>
              <w:widowControl w:val="0"/>
              <w:adjustRightInd/>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3.价格得分（50分）=工时费用得分（25分）+</w:t>
            </w:r>
            <w:r>
              <w:rPr>
                <w:rFonts w:hint="eastAsia" w:ascii="宋体" w:hAnsi="宋体" w:cs="宋体"/>
                <w:color w:val="auto"/>
                <w:sz w:val="21"/>
                <w:szCs w:val="21"/>
                <w:highlight w:val="none"/>
                <w:lang w:val="en-US" w:eastAsia="zh-CN"/>
              </w:rPr>
              <w:t>零配件费用</w:t>
            </w:r>
            <w:r>
              <w:rPr>
                <w:rFonts w:hint="eastAsia" w:ascii="宋体" w:hAnsi="宋体" w:eastAsia="宋体" w:cs="宋体"/>
                <w:color w:val="auto"/>
                <w:sz w:val="21"/>
                <w:szCs w:val="21"/>
                <w:highlight w:val="none"/>
                <w:lang w:val="en-US" w:eastAsia="zh-CN"/>
              </w:rPr>
              <w:t>得分（25分）。</w:t>
            </w:r>
          </w:p>
        </w:tc>
      </w:tr>
    </w:tbl>
    <w:p>
      <w:pPr>
        <w:rPr>
          <w:rFonts w:hint="eastAsia" w:ascii="宋体" w:hAnsi="宋体" w:eastAsia="宋体" w:cs="宋体"/>
          <w:color w:val="auto"/>
          <w:highlight w:val="none"/>
        </w:rPr>
      </w:pPr>
      <w:r>
        <w:rPr>
          <w:rFonts w:hint="eastAsia" w:ascii="宋体" w:hAnsi="宋体" w:eastAsia="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eastAsia="宋体" w:cs="宋体"/>
          <w:color w:val="auto"/>
          <w:highlight w:val="none"/>
        </w:rPr>
        <w:br w:type="page"/>
      </w:r>
    </w:p>
    <w:p>
      <w:pPr>
        <w:pStyle w:val="3"/>
        <w:spacing w:before="0" w:after="0" w:line="240" w:lineRule="auto"/>
        <w:outlineLvl w:val="0"/>
        <w:rPr>
          <w:rFonts w:hint="eastAsia" w:ascii="宋体" w:hAnsi="宋体" w:eastAsia="宋体" w:cs="宋体"/>
          <w:color w:val="auto"/>
          <w:sz w:val="36"/>
          <w:szCs w:val="36"/>
          <w:highlight w:val="none"/>
        </w:rPr>
      </w:pPr>
      <w:bookmarkStart w:id="11" w:name="_Toc13263"/>
      <w:r>
        <w:rPr>
          <w:rFonts w:hint="eastAsia" w:ascii="宋体" w:hAnsi="宋体" w:eastAsia="宋体" w:cs="宋体"/>
          <w:color w:val="auto"/>
          <w:sz w:val="28"/>
          <w:szCs w:val="28"/>
          <w:highlight w:val="none"/>
        </w:rPr>
        <w:t>第三部分用户需求书</w:t>
      </w:r>
      <w:bookmarkEnd w:id="11"/>
    </w:p>
    <w:p>
      <w:pPr>
        <w:pStyle w:val="4"/>
        <w:spacing w:before="0" w:after="0" w:line="360" w:lineRule="auto"/>
        <w:jc w:val="center"/>
        <w:outlineLvl w:val="1"/>
        <w:rPr>
          <w:rFonts w:hint="eastAsia" w:ascii="宋体" w:hAnsi="宋体" w:eastAsia="宋体" w:cs="宋体"/>
          <w:color w:val="auto"/>
          <w:highlight w:val="none"/>
        </w:rPr>
      </w:pPr>
      <w:bookmarkStart w:id="12" w:name="_Toc26760"/>
      <w:bookmarkStart w:id="13" w:name="_Toc1593"/>
      <w:bookmarkStart w:id="14" w:name="_Toc308786492"/>
      <w:bookmarkStart w:id="15" w:name="_Toc14462"/>
      <w:bookmarkStart w:id="16" w:name="_Toc13112"/>
      <w:bookmarkStart w:id="17" w:name="_Toc24679"/>
      <w:bookmarkStart w:id="18" w:name="_Toc31278"/>
      <w:r>
        <w:rPr>
          <w:rFonts w:hint="eastAsia" w:ascii="宋体" w:hAnsi="宋体" w:eastAsia="宋体" w:cs="宋体"/>
          <w:color w:val="auto"/>
          <w:highlight w:val="none"/>
        </w:rPr>
        <w:t>第一章 商务需求书</w:t>
      </w:r>
      <w:bookmarkEnd w:id="12"/>
      <w:bookmarkEnd w:id="13"/>
      <w:r>
        <w:rPr>
          <w:rFonts w:hint="eastAsia" w:ascii="宋体" w:hAnsi="宋体" w:eastAsia="宋体" w:cs="宋体"/>
          <w:color w:val="auto"/>
          <w:highlight w:val="none"/>
        </w:rPr>
        <w:t>（A、B包适用）</w:t>
      </w:r>
    </w:p>
    <w:tbl>
      <w:tblPr>
        <w:tblStyle w:val="29"/>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46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6"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合格投标人</w:t>
            </w:r>
          </w:p>
        </w:tc>
        <w:tc>
          <w:tcPr>
            <w:tcW w:w="6466" w:type="dxa"/>
            <w:vAlign w:val="center"/>
          </w:tcPr>
          <w:p>
            <w:pPr>
              <w:pStyle w:val="41"/>
              <w:rPr>
                <w:rFonts w:hint="eastAsia" w:ascii="宋体" w:hAnsi="宋体" w:eastAsia="宋体" w:cs="宋体"/>
                <w:bCs/>
                <w:color w:val="auto"/>
                <w:kern w:val="44"/>
                <w:szCs w:val="21"/>
                <w:highlight w:val="none"/>
              </w:rPr>
            </w:pPr>
            <w:r>
              <w:rPr>
                <w:rFonts w:hint="eastAsia" w:ascii="宋体" w:hAnsi="宋体" w:eastAsia="宋体" w:cs="宋体"/>
                <w:color w:val="auto"/>
                <w:szCs w:val="21"/>
                <w:highlight w:val="none"/>
              </w:rPr>
              <w:t>详见“第一部分 投标邀请”中“二、投标人资格要求”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1"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6466" w:type="dxa"/>
            <w:vAlign w:val="center"/>
          </w:tcPr>
          <w:p>
            <w:pPr>
              <w:pStyle w:val="38"/>
              <w:spacing w:line="360" w:lineRule="auto"/>
              <w:ind w:firstLine="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自合同签订之日起1年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82"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466" w:type="dxa"/>
            <w:vAlign w:val="center"/>
          </w:tcPr>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1.每月5日前，中标人汇总上月每次实际维修结算单，编制维修结算表，经采购人复核确认签字；</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2.每月10日前，维修结算表经采购人进行审核确认；</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3.每月15日前，采购人审核无误后通知中标人提交合法有效的等额增值税普通发票、请款材料办理维修费结算手续，采购人收到中标人前述发票及请款材料后15个工作日内支付审核确认的维修费。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1"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466" w:type="dxa"/>
            <w:vAlign w:val="center"/>
          </w:tcPr>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6"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6466" w:type="dxa"/>
            <w:vAlign w:val="center"/>
          </w:tcPr>
          <w:p>
            <w:pPr>
              <w:pStyle w:val="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1.本项目投标报价为维修工时费用下浮率（报价区间：</w:t>
            </w:r>
            <w:r>
              <w:rPr>
                <w:rFonts w:hint="default" w:ascii="宋体" w:hAnsi="宋体" w:eastAsia="宋体" w:cs="宋体"/>
                <w:color w:val="auto"/>
                <w:szCs w:val="21"/>
                <w:highlight w:val="none"/>
                <w:lang w:val="en-US"/>
              </w:rPr>
              <w:t>3</w:t>
            </w:r>
            <w:r>
              <w:rPr>
                <w:rFonts w:hint="eastAsia" w:ascii="宋体" w:hAnsi="宋体" w:eastAsia="宋体" w:cs="宋体"/>
                <w:color w:val="auto"/>
                <w:szCs w:val="21"/>
                <w:highlight w:val="none"/>
              </w:rPr>
              <w:t>%≤下浮率≤100%）及</w:t>
            </w:r>
            <w:r>
              <w:rPr>
                <w:rFonts w:hint="eastAsia" w:ascii="宋体" w:hAnsi="宋体" w:cs="宋体"/>
                <w:color w:val="auto"/>
                <w:szCs w:val="21"/>
                <w:highlight w:val="none"/>
                <w:lang w:eastAsia="zh-CN"/>
              </w:rPr>
              <w:t>汽车零配件费用下浮率</w:t>
            </w:r>
            <w:r>
              <w:rPr>
                <w:rFonts w:hint="eastAsia" w:ascii="宋体" w:hAnsi="宋体" w:eastAsia="宋体" w:cs="宋体"/>
                <w:color w:val="auto"/>
                <w:szCs w:val="21"/>
                <w:highlight w:val="none"/>
              </w:rPr>
              <w:t>（报价区间：</w:t>
            </w:r>
            <w:r>
              <w:rPr>
                <w:rFonts w:hint="eastAsia" w:ascii="宋体" w:hAnsi="宋体" w:cs="宋体"/>
                <w:color w:val="auto"/>
                <w:szCs w:val="21"/>
                <w:highlight w:val="none"/>
                <w:lang w:eastAsia="zh-CN"/>
              </w:rPr>
              <w:t>0%≤下浮率≤100%</w:t>
            </w:r>
            <w:r>
              <w:rPr>
                <w:rFonts w:hint="eastAsia" w:ascii="宋体" w:hAnsi="宋体" w:eastAsia="宋体" w:cs="宋体"/>
                <w:color w:val="auto"/>
                <w:szCs w:val="21"/>
                <w:highlight w:val="none"/>
              </w:rPr>
              <w:t>）分别进行报价。</w:t>
            </w:r>
          </w:p>
          <w:p>
            <w:pPr>
              <w:pStyle w:val="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2.投标报价的工时下浮率及</w:t>
            </w:r>
            <w:r>
              <w:rPr>
                <w:rFonts w:hint="eastAsia" w:ascii="宋体" w:hAnsi="宋体" w:cs="宋体"/>
                <w:color w:val="auto"/>
                <w:szCs w:val="21"/>
                <w:highlight w:val="none"/>
                <w:lang w:eastAsia="zh-CN"/>
              </w:rPr>
              <w:t>汽车零配件费用下浮率</w:t>
            </w:r>
            <w:r>
              <w:rPr>
                <w:rFonts w:hint="eastAsia" w:ascii="宋体" w:hAnsi="宋体" w:eastAsia="宋体" w:cs="宋体"/>
                <w:color w:val="auto"/>
                <w:szCs w:val="21"/>
                <w:highlight w:val="none"/>
              </w:rPr>
              <w:t>为核算维修费用的基准参数【维修费=工时费标准×（1-中标下浮率）+配件费标准×（1-中标下浮率）-当月考核扣罚金额】，维修结算费用包含履行合同所有相关服务所需的工时费、配件费、抢修服务费、拖车费、交通费、税费及其他相关全部费用，投标人应充分理解项目需求和综合考虑市场变化等各种因素，采购人不再支付其他费用。</w:t>
            </w:r>
          </w:p>
          <w:p>
            <w:pPr>
              <w:pStyle w:val="8"/>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3.以人民币为结算单位。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1"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466" w:type="dxa"/>
            <w:vAlign w:val="center"/>
          </w:tcPr>
          <w:p>
            <w:pPr>
              <w:tabs>
                <w:tab w:val="center" w:pos="3125"/>
              </w:tabs>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自开标之日起90天。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1" w:hRule="atLeast"/>
        </w:trPr>
        <w:tc>
          <w:tcPr>
            <w:tcW w:w="7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5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w:t>
            </w:r>
          </w:p>
        </w:tc>
        <w:tc>
          <w:tcPr>
            <w:tcW w:w="6466" w:type="dxa"/>
            <w:vAlign w:val="center"/>
          </w:tcPr>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投标人实质响应合同各条款。</w:t>
            </w:r>
          </w:p>
        </w:tc>
      </w:tr>
    </w:tbl>
    <w:p>
      <w:pPr>
        <w:rPr>
          <w:rFonts w:hint="eastAsia" w:ascii="宋体" w:hAnsi="宋体" w:eastAsia="宋体" w:cs="宋体"/>
          <w:color w:val="auto"/>
          <w:highlight w:val="none"/>
        </w:rPr>
      </w:pPr>
      <w:bookmarkStart w:id="19" w:name="_Toc19316"/>
    </w:p>
    <w:p>
      <w:pPr>
        <w:rPr>
          <w:rFonts w:hint="eastAsia" w:ascii="宋体" w:hAnsi="宋体" w:eastAsia="宋体" w:cs="宋体"/>
          <w:color w:val="auto"/>
          <w:highlight w:val="none"/>
        </w:rPr>
      </w:pPr>
      <w:bookmarkStart w:id="20" w:name="_Toc32652"/>
      <w:r>
        <w:rPr>
          <w:rFonts w:hint="eastAsia" w:ascii="宋体" w:hAnsi="宋体" w:eastAsia="宋体" w:cs="宋体"/>
          <w:color w:val="auto"/>
          <w:highlight w:val="none"/>
        </w:rPr>
        <w:br w:type="page"/>
      </w:r>
    </w:p>
    <w:p>
      <w:pPr>
        <w:pStyle w:val="4"/>
        <w:spacing w:before="0" w:after="0" w:line="360" w:lineRule="auto"/>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第二章 技术需求书</w:t>
      </w:r>
      <w:bookmarkEnd w:id="14"/>
      <w:bookmarkEnd w:id="19"/>
      <w:bookmarkEnd w:id="20"/>
      <w:r>
        <w:rPr>
          <w:rFonts w:hint="eastAsia" w:ascii="宋体" w:hAnsi="宋体" w:eastAsia="宋体" w:cs="宋体"/>
          <w:color w:val="auto"/>
          <w:highlight w:val="none"/>
        </w:rPr>
        <w:t>（A、B包适用）</w:t>
      </w:r>
    </w:p>
    <w:p>
      <w:pPr>
        <w:ind w:firstLine="420" w:firstLineChars="200"/>
        <w:rPr>
          <w:rFonts w:hint="eastAsia" w:ascii="宋体" w:hAnsi="宋体" w:eastAsia="宋体" w:cs="宋体"/>
          <w:color w:val="auto"/>
          <w:szCs w:val="21"/>
          <w:highlight w:val="none"/>
        </w:rPr>
      </w:pPr>
    </w:p>
    <w:p>
      <w:pPr>
        <w:keepNext w:val="0"/>
        <w:keepLines w:val="0"/>
        <w:pageBreakBefore w:val="0"/>
        <w:widowControl w:val="0"/>
        <w:tabs>
          <w:tab w:val="left" w:pos="426"/>
        </w:tabs>
        <w:kinsoku/>
        <w:wordWrap/>
        <w:overflowPunct/>
        <w:topLinePunct w:val="0"/>
        <w:bidi w:val="0"/>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东莞市骏安押运有限公司（以下简称“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”）为了保证车辆良好的性能和使用率，完善</w:t>
      </w:r>
      <w:r>
        <w:rPr>
          <w:rFonts w:hint="eastAsia" w:ascii="宋体" w:hAnsi="宋体" w:eastAsia="宋体" w:cs="宋体"/>
          <w:color w:val="auto"/>
          <w:sz w:val="21"/>
          <w:szCs w:val="21"/>
          <w:highlight w:val="none"/>
          <w:lang w:val="en-US" w:eastAsia="zh-CN"/>
        </w:rPr>
        <w:t>送</w:t>
      </w:r>
      <w:r>
        <w:rPr>
          <w:rFonts w:hint="eastAsia" w:ascii="宋体" w:hAnsi="宋体" w:eastAsia="宋体" w:cs="宋体"/>
          <w:color w:val="auto"/>
          <w:sz w:val="21"/>
          <w:szCs w:val="21"/>
          <w:highlight w:val="none"/>
        </w:rPr>
        <w:t>修流程和程序，保障车辆维修、一、二级维护保养、总成修复、抢修、周检和事故修复等车辆维保作业，拟通过</w:t>
      </w:r>
      <w:r>
        <w:rPr>
          <w:rFonts w:hint="eastAsia" w:ascii="宋体" w:hAnsi="宋体" w:eastAsia="宋体" w:cs="宋体"/>
          <w:color w:val="auto"/>
          <w:sz w:val="21"/>
          <w:szCs w:val="21"/>
          <w:highlight w:val="none"/>
          <w:lang w:eastAsia="zh-CN"/>
        </w:rPr>
        <w:t>公开采购</w:t>
      </w:r>
      <w:r>
        <w:rPr>
          <w:rFonts w:hint="eastAsia" w:ascii="宋体" w:hAnsi="宋体" w:eastAsia="宋体" w:cs="宋体"/>
          <w:color w:val="auto"/>
          <w:sz w:val="21"/>
          <w:szCs w:val="21"/>
          <w:highlight w:val="none"/>
        </w:rPr>
        <w:t>的方式择优确定各1家车辆维修服务供应商针对两个基地</w:t>
      </w:r>
      <w:r>
        <w:rPr>
          <w:rFonts w:hint="eastAsia" w:ascii="宋体" w:hAnsi="宋体" w:eastAsia="宋体" w:cs="宋体"/>
          <w:color w:val="auto"/>
          <w:sz w:val="21"/>
          <w:szCs w:val="21"/>
          <w:highlight w:val="none"/>
          <w:lang w:val="en-US" w:eastAsia="zh-CN"/>
        </w:rPr>
        <w:t>运钞车（</w:t>
      </w:r>
      <w:r>
        <w:rPr>
          <w:rFonts w:hint="eastAsia" w:ascii="宋体" w:hAnsi="宋体" w:eastAsia="宋体" w:cs="宋体"/>
          <w:color w:val="auto"/>
          <w:sz w:val="21"/>
          <w:szCs w:val="21"/>
          <w:highlight w:val="none"/>
        </w:rPr>
        <w:t>轻型特殊结构</w:t>
      </w:r>
      <w:r>
        <w:rPr>
          <w:rFonts w:hint="eastAsia" w:ascii="宋体" w:hAnsi="宋体" w:eastAsia="宋体" w:cs="宋体"/>
          <w:color w:val="auto"/>
          <w:sz w:val="21"/>
          <w:szCs w:val="21"/>
          <w:highlight w:val="none"/>
          <w:lang w:val="en-US" w:eastAsia="zh-CN"/>
        </w:rPr>
        <w:t>货</w:t>
      </w:r>
      <w:r>
        <w:rPr>
          <w:rFonts w:hint="eastAsia" w:ascii="宋体" w:hAnsi="宋体" w:eastAsia="宋体" w:cs="宋体"/>
          <w:color w:val="auto"/>
          <w:sz w:val="21"/>
          <w:szCs w:val="21"/>
          <w:highlight w:val="none"/>
        </w:rPr>
        <w:t>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柴油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清机</w:t>
      </w:r>
      <w:r>
        <w:rPr>
          <w:rFonts w:hint="eastAsia" w:ascii="宋体" w:hAnsi="宋体" w:eastAsia="宋体" w:cs="宋体"/>
          <w:color w:val="auto"/>
          <w:sz w:val="21"/>
          <w:szCs w:val="21"/>
          <w:highlight w:val="none"/>
        </w:rPr>
        <w:t>清分服务车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汽油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业务车-汽油</w:t>
      </w:r>
      <w:r>
        <w:rPr>
          <w:rFonts w:hint="eastAsia" w:ascii="宋体" w:hAnsi="宋体" w:eastAsia="宋体" w:cs="宋体"/>
          <w:color w:val="auto"/>
          <w:sz w:val="21"/>
          <w:szCs w:val="21"/>
          <w:highlight w:val="none"/>
        </w:rPr>
        <w:t>提供车辆维保服务。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A包：寮步基地</w:t>
      </w:r>
      <w:r>
        <w:rPr>
          <w:rFonts w:hint="eastAsia" w:ascii="宋体" w:hAnsi="宋体" w:cs="宋体"/>
          <w:color w:val="auto"/>
          <w:kern w:val="2"/>
          <w:sz w:val="21"/>
          <w:szCs w:val="21"/>
          <w:highlight w:val="none"/>
          <w:lang w:val="en-US" w:eastAsia="zh-CN" w:bidi="ar-SA"/>
        </w:rPr>
        <w:t>2024年度</w:t>
      </w:r>
      <w:r>
        <w:rPr>
          <w:rFonts w:hint="eastAsia" w:ascii="宋体" w:hAnsi="Times New Roman" w:eastAsia="宋体" w:cs="Times New Roman"/>
          <w:color w:val="auto"/>
          <w:kern w:val="2"/>
          <w:sz w:val="21"/>
          <w:szCs w:val="21"/>
          <w:highlight w:val="none"/>
          <w:lang w:val="en-US" w:eastAsia="zh-CN" w:bidi="ar-SA"/>
        </w:rPr>
        <w:t>车辆维修保养整体外包服务</w:t>
      </w:r>
      <w:r>
        <w:rPr>
          <w:rFonts w:hint="eastAsia" w:ascii="宋体" w:hAnsi="宋体" w:eastAsia="宋体" w:cs="宋体"/>
          <w:color w:val="auto"/>
          <w:kern w:val="2"/>
          <w:sz w:val="21"/>
          <w:szCs w:val="21"/>
          <w:highlight w:val="none"/>
          <w:lang w:val="en-US" w:eastAsia="zh-CN" w:bidi="ar-SA"/>
        </w:rPr>
        <w:t>供应商1家，服务车辆：轻型特殊结构货车83台，小型越野客车</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台，小型轿车</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台</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上述车辆数量为现有数量，服务期内采购人新增的车辆纳入维修保养范围。地址：广东省东莞市金园新路47号。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B包：万江基地</w:t>
      </w:r>
      <w:r>
        <w:rPr>
          <w:rFonts w:hint="eastAsia" w:ascii="宋体" w:hAnsi="宋体" w:cs="宋体"/>
          <w:color w:val="auto"/>
          <w:kern w:val="2"/>
          <w:sz w:val="21"/>
          <w:szCs w:val="21"/>
          <w:highlight w:val="none"/>
          <w:lang w:val="en-US" w:eastAsia="zh-CN" w:bidi="ar-SA"/>
        </w:rPr>
        <w:t>2024年度</w:t>
      </w:r>
      <w:r>
        <w:rPr>
          <w:rFonts w:hint="eastAsia" w:ascii="宋体" w:hAnsi="Times New Roman" w:eastAsia="宋体" w:cs="Times New Roman"/>
          <w:color w:val="auto"/>
          <w:kern w:val="2"/>
          <w:sz w:val="21"/>
          <w:szCs w:val="21"/>
          <w:highlight w:val="none"/>
          <w:lang w:val="en-US" w:eastAsia="zh-CN" w:bidi="ar-SA"/>
        </w:rPr>
        <w:t>车辆维修保养整体外包服务</w:t>
      </w:r>
      <w:r>
        <w:rPr>
          <w:rFonts w:hint="eastAsia" w:ascii="宋体" w:hAnsi="宋体" w:eastAsia="宋体" w:cs="宋体"/>
          <w:color w:val="auto"/>
          <w:kern w:val="2"/>
          <w:sz w:val="21"/>
          <w:szCs w:val="21"/>
          <w:highlight w:val="none"/>
          <w:lang w:val="en-US" w:eastAsia="zh-CN" w:bidi="ar-SA"/>
        </w:rPr>
        <w:t>供应商1家，服务车辆：轻型特殊结构货车7</w:t>
      </w: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台，小型轿车</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台，</w:t>
      </w:r>
      <w:r>
        <w:rPr>
          <w:rFonts w:hint="eastAsia" w:ascii="宋体" w:hAnsi="宋体" w:eastAsia="宋体" w:cs="宋体"/>
          <w:color w:val="auto"/>
          <w:sz w:val="21"/>
          <w:szCs w:val="21"/>
          <w:highlight w:val="none"/>
        </w:rPr>
        <w:t>小型普通客车</w:t>
      </w:r>
      <w:r>
        <w:rPr>
          <w:rFonts w:hint="eastAsia" w:ascii="宋体" w:hAnsi="宋体" w:eastAsia="宋体" w:cs="宋体"/>
          <w:color w:val="auto"/>
          <w:kern w:val="2"/>
          <w:sz w:val="21"/>
          <w:szCs w:val="21"/>
          <w:highlight w:val="none"/>
          <w:lang w:val="en-US" w:eastAsia="zh-CN" w:bidi="ar-SA"/>
        </w:rPr>
        <w:t>1台，上述车辆数量为现有数量，服务期内采购人新增的车辆纳入维修保养范围。地址：广东省东莞市万江区沿河路1号。</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二、服务范围</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7×24小时响应上述车辆的</w:t>
      </w:r>
      <w:r>
        <w:rPr>
          <w:rFonts w:hint="eastAsia" w:ascii="宋体" w:hAnsi="宋体" w:eastAsia="宋体" w:cs="宋体"/>
          <w:color w:val="auto"/>
          <w:sz w:val="21"/>
          <w:szCs w:val="21"/>
          <w:highlight w:val="none"/>
          <w:lang w:val="en-US" w:eastAsia="zh-CN"/>
        </w:rPr>
        <w:t>日常</w:t>
      </w:r>
      <w:r>
        <w:rPr>
          <w:rFonts w:hint="eastAsia" w:ascii="宋体" w:hAnsi="宋体" w:eastAsia="宋体" w:cs="宋体"/>
          <w:color w:val="auto"/>
          <w:sz w:val="21"/>
          <w:szCs w:val="21"/>
          <w:highlight w:val="none"/>
        </w:rPr>
        <w:t>保养</w:t>
      </w:r>
      <w:r>
        <w:rPr>
          <w:rFonts w:hint="eastAsia" w:ascii="宋体" w:hAnsi="宋体" w:eastAsia="宋体" w:cs="宋体"/>
          <w:color w:val="auto"/>
          <w:sz w:val="21"/>
          <w:szCs w:val="21"/>
          <w:highlight w:val="none"/>
          <w:lang w:val="en-US" w:eastAsia="zh-CN"/>
        </w:rPr>
        <w:t>维修，承保期车辆的</w:t>
      </w:r>
      <w:r>
        <w:rPr>
          <w:rFonts w:hint="eastAsia" w:ascii="宋体" w:hAnsi="宋体" w:eastAsia="宋体" w:cs="宋体"/>
          <w:color w:val="auto"/>
          <w:sz w:val="21"/>
          <w:szCs w:val="21"/>
          <w:highlight w:val="none"/>
        </w:rPr>
        <w:t>修理、设备更换、故障救援和抢修及保险服务。</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rPr>
        <w:t>、车辆型号及分布情况：</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2579"/>
        <w:gridCol w:w="1055"/>
        <w:gridCol w:w="1023"/>
        <w:gridCol w:w="99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　</w:t>
            </w:r>
          </w:p>
        </w:tc>
        <w:tc>
          <w:tcPr>
            <w:tcW w:w="95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车辆类型　</w:t>
            </w:r>
          </w:p>
        </w:tc>
        <w:tc>
          <w:tcPr>
            <w:tcW w:w="2579"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品牌型号　</w:t>
            </w:r>
          </w:p>
        </w:tc>
        <w:tc>
          <w:tcPr>
            <w:tcW w:w="1055"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数量（台）　</w:t>
            </w:r>
          </w:p>
        </w:tc>
        <w:tc>
          <w:tcPr>
            <w:tcW w:w="2980" w:type="dxa"/>
            <w:gridSpan w:val="3"/>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所属基地（中心）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p>
        </w:tc>
        <w:tc>
          <w:tcPr>
            <w:tcW w:w="95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p>
        </w:tc>
        <w:tc>
          <w:tcPr>
            <w:tcW w:w="2579"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p>
        </w:tc>
        <w:tc>
          <w:tcPr>
            <w:tcW w:w="1055"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p>
        </w:tc>
        <w:tc>
          <w:tcPr>
            <w:tcW w:w="102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寮步基地</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万江基地</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现金运营中心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4" w:type="dxa"/>
            <w:vMerge w:val="restart"/>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5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小型轿车</w:t>
            </w:r>
          </w:p>
        </w:tc>
        <w:tc>
          <w:tcPr>
            <w:tcW w:w="2579"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大众FV7150FCBBG轿车</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2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95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2579"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大众汽车SVW71810DJ轿车</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95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2579"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朗逸牌SVW7167HSD</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cs="宋体"/>
                <w:color w:val="auto"/>
                <w:sz w:val="21"/>
                <w:szCs w:val="21"/>
                <w:highlight w:val="none"/>
                <w:lang w:val="en-US" w:eastAsia="zh-CN"/>
              </w:rPr>
              <w:t>1</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　</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5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小型越野客车</w:t>
            </w:r>
          </w:p>
        </w:tc>
        <w:tc>
          <w:tcPr>
            <w:tcW w:w="2579"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汉兰达JTEES48A982</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954" w:type="dxa"/>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2579"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三菱牌CFA2031H</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5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小型普通客车</w:t>
            </w:r>
          </w:p>
        </w:tc>
        <w:tc>
          <w:tcPr>
            <w:tcW w:w="2579"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猎豹牌CFA6470M3</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5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54" w:type="dxa"/>
            <w:vMerge w:val="restart"/>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运钞车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轻型特殊结构货车</w:t>
            </w:r>
            <w:r>
              <w:rPr>
                <w:rFonts w:hint="eastAsia" w:ascii="宋体" w:hAnsi="宋体" w:eastAsia="宋体" w:cs="宋体"/>
                <w:color w:val="auto"/>
                <w:sz w:val="21"/>
                <w:szCs w:val="21"/>
                <w:highlight w:val="none"/>
                <w:lang w:eastAsia="zh-CN"/>
              </w:rPr>
              <w:t>）</w:t>
            </w:r>
          </w:p>
        </w:tc>
        <w:tc>
          <w:tcPr>
            <w:tcW w:w="2579" w:type="dxa"/>
            <w:noWrap/>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宝龙牌TBL5048XYCF2</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23" w:type="dxa"/>
            <w:noWrap/>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8</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5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95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2579" w:type="dxa"/>
            <w:noWrap/>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华东牌CSZ5041XYCFA3</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5</w:t>
            </w:r>
          </w:p>
        </w:tc>
        <w:tc>
          <w:tcPr>
            <w:tcW w:w="1023" w:type="dxa"/>
            <w:noWrap/>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95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954" w:type="dxa"/>
            <w:vMerge w:val="continue"/>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2579" w:type="dxa"/>
            <w:noWrap/>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金冠牌</w:t>
            </w:r>
            <w:r>
              <w:rPr>
                <w:rFonts w:hint="eastAsia" w:ascii="宋体" w:hAnsi="宋体" w:eastAsia="宋体" w:cs="宋体"/>
                <w:color w:val="auto"/>
                <w:sz w:val="21"/>
                <w:szCs w:val="21"/>
                <w:highlight w:val="none"/>
                <w:lang w:val="en-US" w:eastAsia="zh-CN"/>
              </w:rPr>
              <w:t>SLT5042XYCE2L-AM</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1023" w:type="dxa"/>
            <w:noWrap/>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87" w:type="dxa"/>
            <w:gridSpan w:val="3"/>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05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68</w:t>
            </w:r>
          </w:p>
        </w:tc>
        <w:tc>
          <w:tcPr>
            <w:tcW w:w="102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cs="宋体"/>
                <w:color w:val="auto"/>
                <w:sz w:val="21"/>
                <w:szCs w:val="21"/>
                <w:highlight w:val="none"/>
                <w:lang w:val="en-US" w:eastAsia="zh-CN"/>
              </w:rPr>
              <w:t>6</w:t>
            </w:r>
          </w:p>
        </w:tc>
        <w:tc>
          <w:tcPr>
            <w:tcW w:w="995"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82</w:t>
            </w:r>
          </w:p>
        </w:tc>
        <w:tc>
          <w:tcPr>
            <w:tcW w:w="962"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eastAsia="zh-CN"/>
              </w:rPr>
            </w:pPr>
          </w:p>
        </w:tc>
      </w:tr>
    </w:tbl>
    <w:p>
      <w:pPr>
        <w:keepNext w:val="0"/>
        <w:keepLines w:val="0"/>
        <w:pageBreakBefore w:val="0"/>
        <w:widowControl w:val="0"/>
        <w:tabs>
          <w:tab w:val="left" w:pos="426"/>
        </w:tabs>
        <w:kinsoku/>
        <w:wordWrap/>
        <w:overflowPunct/>
        <w:topLinePunct w:val="0"/>
        <w:bidi w:val="0"/>
        <w:adjustRightInd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注：上述车辆数量为现有数量，服务期内</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新增的车辆纳入维修保养范围</w:t>
      </w:r>
    </w:p>
    <w:p>
      <w:pPr>
        <w:keepNext w:val="0"/>
        <w:keepLines w:val="0"/>
        <w:pageBreakBefore w:val="0"/>
        <w:widowControl w:val="0"/>
        <w:tabs>
          <w:tab w:val="left" w:pos="426"/>
        </w:tabs>
        <w:kinsoku/>
        <w:wordWrap/>
        <w:overflowPunct/>
        <w:topLinePunct w:val="0"/>
        <w:bidi w:val="0"/>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、服务内容及要求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（一）技术要求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1.汽车维修保养质量执行标准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必须自觉遵守国家法律、法规，合法经营，严格执行交通运输部令2021年第18号《机动车维修管理规定》等国家、行业或广东省的维修标准和规范进行维修保养，尚无标准或规范的，维修标准参照汽车生产企业提供的维修手册、使用说明书和有关技术资料进行维修。如地方标准与省、国家标准相冲突的，按照最新原则以及上一级标准优先执行。整车修理、总成修理、整车维护、小修、维修救援、专项修理及一、二级保养项目及工艺规范要求，以及车辆维修竣工出厂“合格证”及质量保证期管理制度执行标准（如新标准发布，按新标准执行）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1）机动车维修管理规定（2021年第18号）；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2）汽车维修业开业条件（GB/T 16739）；</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3）机动车运行安全技术条件(GB 7258-2017)；</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4）汽车维修术语(GB/T 5624-2019)。；</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5）汽车维护、检测、诊断技术规范（GB/T 18344-2016）；</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6）汽车用安全玻璃（GB 9656—2003）；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7）汽车修理质量检查评定方法（GB/T 15746-2011）；</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8）专用运钞车防护技术要求（GA 164-2018）；</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9）其他与汽车维修相关国家标准和企业标准。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采购未列明的维修项目，依此按照国家/省/市/汽车企业最新发布的技术标准执行。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（二）条件保障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  固定的生产经营场地应达到二类汽车维修企业规定的规模，应设有专用的接待室及固定的维修车辆停车场所（应有与承修车型、经营规模相适应的合法停车场所）。厂房和停车场地面平整坚实，各区域界定标志明显，并符合安全、环保和消防等各项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  提供轻型特殊结构运钞车专用修车工位2个或以上。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★2.3  中标人免费提供东莞市内拖车、抢修服务，并至少有正规的施救拖车、急救服务车辆各一辆(自有、租赁、长期合作均可)。【其中施救拖车与急救服务车的证明材料须提供自有购车发票（发票抬头为投标人名称）或自有车辆行驶证（所有人为投标人名称）或车辆租赁（协议/合同）或外包合作（协议/合同），如上述证明材料不具备，须承诺中标后10天内办理相关车辆手续并可提供服务，否则采购人有权取消其中标资格，并没收中标人投标保证金。承诺函格式详见投标文件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  维修人员、技术员须经行业培训持证上岗。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  有健全的维修管理制度、技术规定标准和规范化操作程序。包括质量管理制度、安全生产管理制度、车辆维修档案管理制度、人员培训制度、设备管理制度及配件管理制度。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  具备环境保护措施（按照国家标准《汽车维修开业条件》相关条款规定执行）。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★2.7  检测维修设备工具配置表</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1273"/>
        <w:gridCol w:w="259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四轮定位仪或转向轮定位仪</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喷烤漆房及设备</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车轮动平衡机</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制动鼓和制动盘维修设备</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总成吊装设备或变速箱等总成顶举设备</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5吨（含）以上汽车举升设备或地沟</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车身整形设备</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氮气置换装置</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自动变速器维修设备</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汽车前照灯检测设备</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51"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制动性能检验设备</w:t>
            </w:r>
          </w:p>
        </w:tc>
        <w:tc>
          <w:tcPr>
            <w:tcW w:w="1273"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90"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压床</w:t>
            </w:r>
          </w:p>
        </w:tc>
        <w:tc>
          <w:tcPr>
            <w:tcW w:w="1608" w:type="dxa"/>
            <w:noWrap w:val="0"/>
            <w:vAlign w:val="bottom"/>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地沟提供现场照片，设备须提供自有设备发票（发票抬头为投标人名称）或设备租赁（协议/合同），如上述证明材料不具备，须承诺中标后30天内补齐相关设备及证明材料，否则采购人有权取消其中标资格，</w:t>
      </w:r>
      <w:r>
        <w:rPr>
          <w:rFonts w:hint="eastAsia" w:ascii="宋体" w:hAnsi="宋体" w:eastAsia="宋体" w:cs="宋体"/>
          <w:b/>
          <w:bCs w:val="0"/>
          <w:color w:val="auto"/>
          <w:kern w:val="2"/>
          <w:sz w:val="21"/>
          <w:szCs w:val="21"/>
          <w:highlight w:val="none"/>
          <w:lang w:val="en-US" w:eastAsia="zh-CN" w:bidi="ar-SA"/>
        </w:rPr>
        <w:t>并没收中标人投标保证金。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（2）在发出中标通知书前采购人将会对中标候选人进行现场核实设备情况，如有虚假将取消其中标资格。</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（3）承诺函格式详见投标文件格式。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（三）服务要求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  投标人服务必须提供电话预约、上门服务、急修快修、救援、24小时服务、拖车等服务。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  投标人必须以本公司直属人员开展维修服务，不得以任何名义转包给其它公司（需要特种维修资质或投标人无承修能力的维修项目，经采购人同意除外），否则采购人有权终止合同。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  按需求书规定范围内的服务内容和标准执行，投标人不可变更，如采购人因内部管理需要进行小范围服务变更，需经双方协商。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  维修车间和维修点的维修人员配置必须满足采购人实际维修保养需求，确保车辆在6:00-22:00时间内，接到报修时，并建立维修单后，在20分钟内必须安排维修人员开展维修，对于简单的小故障单独作业项目，必须在30分钟内完成，一般故障修理60分钟内完成，一保30分钟内完成，二保4小时内完成，变速器维修24小时内完成，发动机大修48小时内完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  抢修服务响应时限：接到抢修电话后，必须在15分钟内准备好工具及材料出发，按照距离远近在规定时间内到达现场，不得超过60分钟到达现场，具体要求见下表。</w:t>
      </w:r>
    </w:p>
    <w:tbl>
      <w:tblPr>
        <w:tblStyle w:val="29"/>
        <w:tblW w:w="8336" w:type="dxa"/>
        <w:tblInd w:w="0" w:type="dxa"/>
        <w:tblLayout w:type="fixed"/>
        <w:tblCellMar>
          <w:top w:w="15" w:type="dxa"/>
          <w:left w:w="15" w:type="dxa"/>
          <w:bottom w:w="15" w:type="dxa"/>
          <w:right w:w="15" w:type="dxa"/>
        </w:tblCellMar>
      </w:tblPr>
      <w:tblGrid>
        <w:gridCol w:w="1982"/>
        <w:gridCol w:w="990"/>
        <w:gridCol w:w="992"/>
        <w:gridCol w:w="990"/>
        <w:gridCol w:w="992"/>
        <w:gridCol w:w="2390"/>
      </w:tblGrid>
      <w:tr>
        <w:tblPrEx>
          <w:tblLayout w:type="fixed"/>
          <w:tblCellMar>
            <w:top w:w="15" w:type="dxa"/>
            <w:left w:w="15" w:type="dxa"/>
            <w:bottom w:w="15" w:type="dxa"/>
            <w:right w:w="15" w:type="dxa"/>
          </w:tblCellMar>
        </w:tblPrEx>
        <w:trPr>
          <w:trHeight w:val="435" w:hRule="atLeast"/>
        </w:trPr>
        <w:tc>
          <w:tcPr>
            <w:tcW w:w="19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服务响应时限(分)</w:t>
            </w:r>
          </w:p>
        </w:tc>
        <w:tc>
          <w:tcPr>
            <w:tcW w:w="39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距离</w:t>
            </w:r>
          </w:p>
        </w:tc>
        <w:tc>
          <w:tcPr>
            <w:tcW w:w="2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Layout w:type="fixed"/>
          <w:tblCellMar>
            <w:top w:w="15" w:type="dxa"/>
            <w:left w:w="15" w:type="dxa"/>
            <w:bottom w:w="15" w:type="dxa"/>
            <w:right w:w="15" w:type="dxa"/>
          </w:tblCellMar>
        </w:tblPrEx>
        <w:trPr>
          <w:trHeight w:val="375" w:hRule="atLeast"/>
        </w:trPr>
        <w:tc>
          <w:tcPr>
            <w:tcW w:w="19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宋体" w:hAnsi="宋体" w:eastAsia="宋体" w:cs="宋体"/>
                <w:color w:val="auto"/>
                <w:kern w:val="2"/>
                <w:sz w:val="21"/>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10公里内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20公里内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30公里内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40公里内</w:t>
            </w:r>
          </w:p>
        </w:tc>
        <w:tc>
          <w:tcPr>
            <w:tcW w:w="2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宋体" w:hAnsi="宋体" w:eastAsia="宋体" w:cs="宋体"/>
                <w:color w:val="auto"/>
                <w:kern w:val="2"/>
                <w:sz w:val="21"/>
                <w:szCs w:val="21"/>
                <w:highlight w:val="none"/>
              </w:rPr>
            </w:pPr>
          </w:p>
        </w:tc>
      </w:tr>
      <w:tr>
        <w:tblPrEx>
          <w:tblLayout w:type="fixed"/>
          <w:tblCellMar>
            <w:top w:w="15" w:type="dxa"/>
            <w:left w:w="15" w:type="dxa"/>
            <w:bottom w:w="15" w:type="dxa"/>
            <w:right w:w="15" w:type="dxa"/>
          </w:tblCellMar>
        </w:tblPrEx>
        <w:trPr>
          <w:trHeight w:val="308" w:hRule="atLeast"/>
        </w:trPr>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抢修、补换胎到达时限\分钟</w:t>
            </w:r>
          </w:p>
        </w:tc>
        <w:tc>
          <w:tcPr>
            <w:tcW w:w="99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服务响应时限指投标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接到</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服务需求电话时间开始起计。</w:t>
            </w:r>
          </w:p>
        </w:tc>
      </w:tr>
      <w:tr>
        <w:tblPrEx>
          <w:tblLayout w:type="fixed"/>
          <w:tblCellMar>
            <w:top w:w="15" w:type="dxa"/>
            <w:left w:w="15" w:type="dxa"/>
            <w:bottom w:w="15" w:type="dxa"/>
            <w:right w:w="15" w:type="dxa"/>
          </w:tblCellMar>
        </w:tblPrEx>
        <w:trPr>
          <w:trHeight w:val="668" w:hRule="atLeast"/>
        </w:trPr>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拖车到达时限\分钟</w:t>
            </w:r>
          </w:p>
        </w:tc>
        <w:tc>
          <w:tcPr>
            <w:tcW w:w="99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80</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服务响应时限指投标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接到</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服务需求电话时间开始起计。</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  车辆登记交接工作要求：送修、维修过程，采购人全程监督，车辆维修保养时，中标人与采购人或指定人员办理车辆送修手续，并签名确认，在送修过程中，中标人需提醒采购人或指定人员，妥善保管车上的私人贵重物品。车辆一经移交给中标维修方，则交接后该车辆所发生起的一切质量或意外事故、遗失及由此引起的一切损失或赔偿责任均由中标人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  维修保养清洁服务要求：所有作业过程中必须按要求做好零部件的清洗清洁，必要时用清洗剂擦拭清洗。日常维修和一级维保作业完毕，维修人员必须清除多余的润滑油脂、作业过程中遗留的杂物和油污，确保车辆清洁；二级维保完毕时，必须做好维修遗留的油污灰尘，按要求做好车辆发动机和空调表面、自动润滑系统、轮殻钢圈等作业部位的油泥清除工作，必要时用高压清洗机清洗（需做好防护），车辆维修后需进行外观清洗，确保车辆内外干净整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3.8  质量保证期及返修责任确认要求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质量保证期按照国家交通部发布的《机动车维修管理规定》执行，即整车修理或总成修理质量保证期为车辆行驶20000公里或者100日；二级维护质量保证期为车辆行驶8000公里或者30日；一级维护、小修及专项修理质量保证期为车辆行驶2000公里或者10日。</w:t>
      </w:r>
      <w:r>
        <w:rPr>
          <w:rFonts w:hint="eastAsia" w:ascii="宋体" w:hAnsi="宋体" w:cs="宋体"/>
          <w:color w:val="auto"/>
          <w:kern w:val="2"/>
          <w:sz w:val="21"/>
          <w:szCs w:val="21"/>
          <w:highlight w:val="none"/>
          <w:lang w:val="en-US" w:eastAsia="zh-CN" w:bidi="ar-SA"/>
        </w:rPr>
        <w:t>（按先到达的条件执行。）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2）质量保证期内，因维修质量原因造成车辆故障无法正常使用，中标人应先行维修，不得故意拖延或者无理拒绝，如在3日内不能或者无法提供因非维修原因而造成车辆故障的相关证据的，中标人无偿返修。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3）在质量保证期内，车辆因同一故障或维修项目经两次修理仍不能正常使用的，中标人应当组织车厂或同行协助开展维修，并承担相应修理费用。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4）中标人应提供完好、合规的零配件，因使用假冒劣质零配件导致车辆返修或其他部位损坏的，维修费用由中标人承担。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5）以下维修质量问题属于中标人责任，由其承担返修工时费和材料费：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未按国家相关标准及装配工艺等要求进行清洁、调整、紧固、测量、装配等作业引起的故障或抽检不合格的项目；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因漏保、漏检或偷工减料（未按规定项目要求检修保养或欺骗伪装保养）引起的故障；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因故障诊断错误引起同一故障现象；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因中标人所供应的材料所引起故障；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E.</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中标人承担材料质量检验和监督责任，装车前，应核对材料型号规格及质量检查，因错装、未经允许改装或将明显存在质量问题和不合格材料装车引起的故障；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F.</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因未按照规定力矩紧固导致紧固件松动引起的故障现象；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G.</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车辆保养维修后，年审时制动、灯光、尾气等检验项目不合格的项目。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3.9  配件、废旧件服务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维修运钞车（轻型特殊结构货车）更换的零配件必须为江铃全顺汽车生产厂家及所需服务车辆对应的原厂原装配件，更换后质保半年，损耗件不设保修期，但质量问题必须无条件更换。车辆喷漆与沙板的保质期为两年。所有更换前必须经采购人确认签字后才可更换，旧件必须保留归还采购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2）中标人必须确保对维修废旧件（可回收废旧件、废油、废电池、废胎）进行储存，并在采购人处理维修废旧料时，免费提供装车服务；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3）中标人负责废料的保管，但不得私自变卖，一旦发生因保管遗失或被盗，由中标人承担损失。</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★3.10 中标人应具有采购人车辆投保的保险公司（目前为太平洋保险、平安保险）维修点合作资格并提供相应保险服务，如中标人不具备前述条件，必须在中标后20天内达到前述条件，否则采购人有权取消中标人的中标资格，</w:t>
      </w:r>
      <w:r>
        <w:rPr>
          <w:rFonts w:hint="eastAsia" w:ascii="宋体" w:hAnsi="宋体" w:eastAsia="宋体" w:cs="宋体"/>
          <w:b/>
          <w:bCs w:val="0"/>
          <w:color w:val="auto"/>
          <w:kern w:val="2"/>
          <w:sz w:val="21"/>
          <w:szCs w:val="21"/>
          <w:highlight w:val="none"/>
          <w:lang w:val="en-US" w:eastAsia="zh-CN" w:bidi="ar-SA"/>
        </w:rPr>
        <w:t>并没收中标人投标保证金。</w:t>
      </w:r>
      <w:r>
        <w:rPr>
          <w:rFonts w:hint="eastAsia" w:ascii="宋体" w:hAnsi="宋体" w:eastAsia="宋体" w:cs="宋体"/>
          <w:b/>
          <w:color w:val="auto"/>
          <w:kern w:val="2"/>
          <w:sz w:val="21"/>
          <w:szCs w:val="21"/>
          <w:highlight w:val="none"/>
          <w:lang w:val="en-US" w:eastAsia="zh-CN" w:bidi="ar-SA"/>
        </w:rPr>
        <w:t>服务期内采购人车辆投保的保险公司发生变化的，中标人应在收到采购人通知后20天内取得新保险公司维修点合作及提供保险相应服务资格，否则采购人有权解除合同。保险理赔的车辆维修费及第三方车辆的维修费均需由中标人预先垫付（人员受伤部分不计入垫付范围），先行完成车辆的所有维修。（须提供承诺函，详见投标文件格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3.11  车辆送修流程要求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接到车辆故障或保养送修时，对车辆故障或保养项目进行故障诊断及检查，确定维修保养项目和附加维修项目，经采购人审批通过，并建立报修单。如中标人与采购人对维修项目产生分歧时，协商解决。需要变更报修单时，经采购人审批通过，予以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根据双方确认的维修拆检项目进行过程监督，确认是否按照核定的维修项目进行维修保养。维修保养过程中，关键部件安装前，必须经采购人确认方可安装。如需增加维修项目，须经过采购人审批，更新的报修单审批通过后，予以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3）维修项目工时费统计确认每月5日前，中标人汇总上月每次实际维修结算单，编制维修结算表，经采购人复核确认签字，按照付款方式办理结算手续；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发现维修项目不在工时费标准或零配件目录内，应立即向采购人汇报，经采购人确认后，组织人员与中标人一起对新增维修项目工时或零配件核定，确认后，将新增的维修项目纳入工时标准或零配件目录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5）中标人需配合采购人建立合同实施时期所有的车辆维修电子档案。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3.12  属于骗工时行为，不予工时确认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1）将核定的保养和维修项目拆分为两个及以上项目增加核算工时的，如灯光不亮属灯泡损坏引起，但又增加检修电路工时；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2）所有包含故障诊断、性能检测及调试的维修项目而又单独计算工时的；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3）增加实际故障维修项目外的其他关联拆检项目，如拆装换刹车分泵，又增加拆装刹车气管维修项目；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将国家相关制度规定的保养范围内项目或本采购需求附件中周检、一级维护和二级维护项目技术要求内单列计算工时的（一保作业包括检查、清洁、调整、紧固；二保作业包含所有一保作业项目，二保作业不得将一保内项目单列增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5）核定维修项目未按照作业要求进行拆检或弄虚作假的，维修项目存在漏拆漏检或不检行为的，如拆检横直拉杆，但实际未拆检或通过润滑、清洁掩盖拆检行为的；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6）不按实际维修项目工时定额录入而套用类似较高工时的维修项目的或擅自更改维修项目工时定额的。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五、结算方式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5.1  本项目为固定单价，根据维修工时费的下浮率及汽车零配件费用下浮率，对应配件费标准计算后的结果作为最后结算标准，具体结算方式如下：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Σ</w:t>
      </w:r>
      <w:r>
        <w:rPr>
          <w:rFonts w:hint="eastAsia" w:ascii="宋体" w:hAnsi="宋体" w:eastAsia="宋体" w:cs="宋体"/>
          <w:color w:val="auto"/>
          <w:kern w:val="2"/>
          <w:sz w:val="21"/>
          <w:szCs w:val="21"/>
          <w:highlight w:val="none"/>
          <w:lang w:val="en-US" w:eastAsia="zh-CN" w:bidi="ar-SA"/>
        </w:rPr>
        <w:t>维修费=工时费标准×（1-中标下浮率）+配件费标准×（</w:t>
      </w:r>
      <w:r>
        <w:rPr>
          <w:rFonts w:hint="eastAsia" w:ascii="宋体" w:hAnsi="宋体" w:cs="宋体"/>
          <w:color w:val="auto"/>
          <w:kern w:val="2"/>
          <w:sz w:val="21"/>
          <w:szCs w:val="21"/>
          <w:highlight w:val="none"/>
          <w:lang w:val="en-US" w:eastAsia="zh-CN" w:bidi="ar-SA"/>
        </w:rPr>
        <w:t>1-中标下浮率</w:t>
      </w:r>
      <w:r>
        <w:rPr>
          <w:rFonts w:hint="eastAsia" w:ascii="宋体" w:hAnsi="宋体" w:eastAsia="宋体" w:cs="宋体"/>
          <w:color w:val="auto"/>
          <w:kern w:val="2"/>
          <w:sz w:val="21"/>
          <w:szCs w:val="21"/>
          <w:highlight w:val="none"/>
          <w:lang w:val="en-US" w:eastAsia="zh-CN" w:bidi="ar-SA"/>
        </w:rPr>
        <w:t>）-当月考核扣罚金额</w:t>
      </w:r>
      <w:r>
        <w:rPr>
          <w:rFonts w:hint="eastAsia" w:ascii="宋体" w:hAnsi="宋体" w:eastAsia="宋体" w:cs="宋体"/>
          <w:b/>
          <w:color w:val="auto"/>
          <w:kern w:val="2"/>
          <w:sz w:val="21"/>
          <w:szCs w:val="21"/>
          <w:highlight w:val="none"/>
          <w:lang w:val="en-US" w:eastAsia="zh-CN" w:bidi="ar-SA"/>
        </w:rPr>
        <w:t>，工时费、配件费标准详见：5.4工时费用标准，</w:t>
      </w:r>
      <w:r>
        <w:rPr>
          <w:rFonts w:hint="eastAsia" w:ascii="宋体" w:hAnsi="宋体" w:eastAsia="宋体" w:cs="宋体"/>
          <w:b/>
          <w:bCs/>
          <w:color w:val="auto"/>
          <w:kern w:val="2"/>
          <w:sz w:val="21"/>
          <w:szCs w:val="21"/>
          <w:highlight w:val="none"/>
          <w:lang w:val="en-US" w:eastAsia="zh-CN" w:bidi="ar-SA"/>
        </w:rPr>
        <w:t>5.5零配件费用标准。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5.2  维修费结算方式采取月结方式，即当月结算上一自然月的维修费用。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  付款方式：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1）每月5日前，中标人汇总上月每次实际维修结算单，编制维修结算表，经采购人复核确认签字；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2）每月10日前，维修结算表经采购人进行审核确认；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3）每月15日前，采购人审核无误后通知中标人提交合法有效的等额增值税普通发票、请款材料办理维修费结算手续，采购人收到中标人前述发票及请款材料后</w:t>
      </w:r>
      <w:r>
        <w:rPr>
          <w:rFonts w:hint="eastAsia" w:ascii="宋体" w:hAnsi="宋体" w:eastAsia="宋体" w:cs="宋体"/>
          <w:color w:val="auto"/>
          <w:kern w:val="2"/>
          <w:sz w:val="21"/>
          <w:szCs w:val="21"/>
          <w:highlight w:val="none"/>
          <w:u w:val="single"/>
          <w:lang w:val="en-US" w:eastAsia="zh-CN" w:bidi="ar-SA"/>
        </w:rPr>
        <w:t>15</w:t>
      </w:r>
      <w:r>
        <w:rPr>
          <w:rFonts w:hint="eastAsia" w:ascii="宋体" w:hAnsi="宋体" w:eastAsia="宋体" w:cs="宋体"/>
          <w:color w:val="auto"/>
          <w:kern w:val="2"/>
          <w:sz w:val="21"/>
          <w:szCs w:val="21"/>
          <w:highlight w:val="none"/>
          <w:u w:val="none"/>
          <w:lang w:val="en-US" w:eastAsia="zh-CN" w:bidi="ar-SA"/>
        </w:rPr>
        <w:t>个工作</w:t>
      </w:r>
      <w:r>
        <w:rPr>
          <w:rFonts w:hint="eastAsia" w:ascii="宋体" w:hAnsi="宋体" w:eastAsia="宋体" w:cs="宋体"/>
          <w:color w:val="auto"/>
          <w:kern w:val="2"/>
          <w:sz w:val="21"/>
          <w:szCs w:val="21"/>
          <w:highlight w:val="none"/>
          <w:lang w:val="en-US" w:eastAsia="zh-CN" w:bidi="ar-SA"/>
        </w:rPr>
        <w:t>日内支付审核确认的维修费。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5.4  工时费用标准</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Cs w:val="21"/>
          <w:highlight w:val="none"/>
        </w:rPr>
        <w:t>运钞车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轻型特殊结构货车)按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15-30万类别、</w:t>
      </w:r>
      <w:r>
        <w:rPr>
          <w:rFonts w:hint="eastAsia" w:ascii="宋体" w:hAnsi="宋体" w:eastAsia="宋体" w:cs="宋体"/>
          <w:color w:val="auto"/>
          <w:kern w:val="2"/>
          <w:sz w:val="21"/>
          <w:szCs w:val="21"/>
          <w:highlight w:val="none"/>
          <w:lang w:val="en-US" w:eastAsia="zh-CN" w:bidi="ar-SA"/>
        </w:rPr>
        <w:t>《东莞市骏安押运有限公司2024年度车辆维修保养服务汽车维修工时2024补充154项费用标准》</w:t>
      </w:r>
      <w:r>
        <w:rPr>
          <w:rFonts w:hint="eastAsia" w:ascii="宋体" w:hAnsi="宋体" w:cs="宋体"/>
          <w:color w:val="auto"/>
          <w:kern w:val="2"/>
          <w:szCs w:val="21"/>
          <w:highlight w:val="none"/>
        </w:rPr>
        <w:t>计算工时费。</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2)小型轿车</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rPr>
        <w:t>大众捷达、大众朗逸)、小型普通客车</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rPr>
        <w:t>猎豹黑金刚</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rPr>
        <w:t>，按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7-15万类别计算工时费。</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3)小型轿车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大众帕萨特)、小型越野客车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丰田汉兰达、三菱帕杰罗)，按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15-30万类别计算工时费。</w:t>
      </w:r>
    </w:p>
    <w:p>
      <w:pPr>
        <w:pStyle w:val="9"/>
        <w:rPr>
          <w:rFonts w:hint="eastAsia"/>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5.5  零配件费用标准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车辆零配件按《</w:t>
      </w:r>
      <w:r>
        <w:rPr>
          <w:rFonts w:hint="eastAsia" w:ascii="宋体" w:hAnsi="宋体" w:cs="宋体"/>
          <w:color w:val="auto"/>
          <w:kern w:val="2"/>
          <w:sz w:val="21"/>
          <w:szCs w:val="21"/>
          <w:highlight w:val="none"/>
          <w:lang w:val="en-US" w:eastAsia="zh-CN" w:bidi="ar-SA"/>
        </w:rPr>
        <w:t>东莞市骏安押运有限公司2024年度车辆维修保养服务车辆配件费核定标准</w:t>
      </w:r>
      <w:r>
        <w:rPr>
          <w:rFonts w:hint="eastAsia" w:ascii="宋体" w:hAnsi="宋体" w:eastAsia="宋体" w:cs="宋体"/>
          <w:color w:val="auto"/>
          <w:kern w:val="2"/>
          <w:sz w:val="21"/>
          <w:szCs w:val="21"/>
          <w:highlight w:val="none"/>
          <w:lang w:val="en-US" w:eastAsia="zh-CN" w:bidi="ar-SA"/>
        </w:rPr>
        <w:t>》计算。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六、服务考核要求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  超时响应的，每次扣500元。</w:t>
      </w:r>
      <w:r>
        <w:rPr>
          <w:rFonts w:hint="eastAsia" w:ascii="Times New Roman" w:hAnsi="Times New Roman" w:eastAsia="宋体" w:cs="Times New Roman"/>
          <w:color w:val="auto"/>
          <w:kern w:val="2"/>
          <w:sz w:val="21"/>
          <w:szCs w:val="21"/>
          <w:highlight w:val="none"/>
          <w:lang w:val="en-US" w:eastAsia="zh-CN" w:bidi="ar-SA"/>
        </w:rPr>
        <w:t>超时响应达到十次以上的，中标人应支付采购人</w:t>
      </w:r>
      <w:r>
        <w:rPr>
          <w:rFonts w:hint="eastAsia" w:ascii="Times New Roman" w:hAnsi="Times New Roman" w:eastAsia="宋体" w:cs="Times New Roman"/>
          <w:color w:val="auto"/>
          <w:kern w:val="2"/>
          <w:sz w:val="21"/>
          <w:szCs w:val="21"/>
          <w:highlight w:val="none"/>
          <w:u w:val="single"/>
          <w:lang w:val="en-US" w:eastAsia="zh-CN" w:bidi="ar-SA"/>
        </w:rPr>
        <w:t>10000</w:t>
      </w:r>
      <w:r>
        <w:rPr>
          <w:rFonts w:hint="eastAsia" w:ascii="Times New Roman" w:hAnsi="Times New Roman" w:eastAsia="宋体" w:cs="Times New Roman"/>
          <w:color w:val="auto"/>
          <w:kern w:val="2"/>
          <w:sz w:val="21"/>
          <w:szCs w:val="21"/>
          <w:highlight w:val="none"/>
          <w:lang w:val="en-US" w:eastAsia="zh-CN" w:bidi="ar-SA"/>
        </w:rPr>
        <w:t>元违约金及赔偿采购人损失，违约金由履约保证金中扣除，同时采购人有权单方解除本合同。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1）简单故障、一般故障修理、一保等作业，超出最高时限10分钟以上，二保、发动机大修、变速器维修等作业，超出最高时限1小时以上，视为超时响应；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2）抢修服务时，超出规定时限10分钟以上，视为超时响应。</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  拒修（月度考核项目）：凡发生拒绝抢修一次，每次扣1000元。</w:t>
      </w:r>
      <w:r>
        <w:rPr>
          <w:rFonts w:hint="eastAsia" w:ascii="Times New Roman" w:hAnsi="Times New Roman" w:eastAsia="宋体" w:cs="Times New Roman"/>
          <w:color w:val="auto"/>
          <w:kern w:val="2"/>
          <w:sz w:val="21"/>
          <w:szCs w:val="21"/>
          <w:highlight w:val="none"/>
          <w:lang w:val="en-US" w:eastAsia="zh-CN" w:bidi="ar-SA"/>
        </w:rPr>
        <w:t>拒修达到三次以上的，中标人应支付采购人</w:t>
      </w:r>
      <w:r>
        <w:rPr>
          <w:rFonts w:hint="eastAsia" w:ascii="Times New Roman" w:hAnsi="Times New Roman" w:eastAsia="宋体" w:cs="Times New Roman"/>
          <w:color w:val="auto"/>
          <w:kern w:val="2"/>
          <w:sz w:val="21"/>
          <w:szCs w:val="21"/>
          <w:highlight w:val="none"/>
          <w:u w:val="single"/>
          <w:lang w:val="en-US" w:eastAsia="zh-CN" w:bidi="ar-SA"/>
        </w:rPr>
        <w:t>20000</w:t>
      </w:r>
      <w:r>
        <w:rPr>
          <w:rFonts w:hint="eastAsia" w:ascii="Times New Roman" w:hAnsi="Times New Roman" w:eastAsia="宋体" w:cs="Times New Roman"/>
          <w:color w:val="auto"/>
          <w:kern w:val="2"/>
          <w:sz w:val="21"/>
          <w:szCs w:val="21"/>
          <w:highlight w:val="none"/>
          <w:lang w:val="en-US" w:eastAsia="zh-CN" w:bidi="ar-SA"/>
        </w:rPr>
        <w:t>元违约金及赔偿采购人损失，违约金由履约保证金中扣除，同时采购人有权单方解除本合同。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1）接到电话后，以任何理由拒绝抢修的，视为拒修；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2）车辆返修时，以任何理由推卸责任、未认真检查核实就让车出厂的或应付式处理造成故障未彻底排出的，一经查证属实的视为拒修。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6.3  发生下列现象之一的，一经查实，采购人可以按照实际经济损失的10倍金额处罚投标人，情节严重恶劣的，采购人有权单方解除合同或交由公安机关处理。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1）使用旧件代替新材料装车使用的；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2）私自变卖处理具有回收价值维修费废料的；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3）与他人串通联合，通过更换维修材料和总成获取利益的；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4）贿赂采购人有关人员串通联合，以虚开维修项目、虚开零配件等骗取维修费行为的。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6.4 维</w:t>
      </w:r>
      <w:r>
        <w:rPr>
          <w:rFonts w:hint="eastAsia" w:ascii="宋体" w:hAnsi="宋体" w:eastAsia="宋体" w:cs="宋体"/>
          <w:color w:val="auto"/>
          <w:kern w:val="2"/>
          <w:sz w:val="21"/>
          <w:szCs w:val="21"/>
          <w:highlight w:val="none"/>
          <w:lang w:val="en-US" w:eastAsia="zh-CN" w:bidi="ar-SA"/>
        </w:rPr>
        <w:t>修车间和维修点的维修人员配置必须满足采购人实际维修保养需求，确保车辆在6:00-22:00时间内，接到报修时，并建立维修单后，在20分钟内必须安排维修人员开展维修，对于简单的小故障单独作业项目，必须在30分钟内完成，一般故障修理60分钟内完成，一保30分钟内完成，二保4小时内完成，变速器维修24小时内完成，发动机大修48小时内完成</w:t>
      </w:r>
      <w:r>
        <w:rPr>
          <w:rFonts w:hint="eastAsia" w:ascii="宋体" w:hAnsi="宋体" w:eastAsia="宋体" w:cs="宋体"/>
          <w:b/>
          <w:color w:val="auto"/>
          <w:kern w:val="2"/>
          <w:sz w:val="21"/>
          <w:szCs w:val="21"/>
          <w:highlight w:val="none"/>
          <w:lang w:val="en-US" w:eastAsia="zh-CN" w:bidi="ar-SA"/>
        </w:rPr>
        <w:t>，超出响应时间的，按服务考核7.1规定执行罚款。</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七、其他要求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采购人分别与A包、B包的第一中标候选人签订服务合同，服务期间，若中标人拒绝履行合同义务，采购人可立即终止合同，并与第二中标候选人就剩余服务期限签订服务合同。</w:t>
      </w:r>
    </w:p>
    <w:p>
      <w:pPr>
        <w:widowControl w:val="0"/>
        <w:autoSpaceDE w:val="0"/>
        <w:autoSpaceDN w:val="0"/>
        <w:ind w:firstLine="420" w:firstLineChars="200"/>
        <w:rPr>
          <w:rFonts w:hint="eastAsia" w:ascii="宋体" w:hAnsi="宋体" w:cs="宋体"/>
          <w:color w:val="auto"/>
          <w:kern w:val="2"/>
          <w:sz w:val="21"/>
          <w:szCs w:val="21"/>
          <w:highlight w:val="none"/>
          <w:lang w:val="en-US" w:eastAsia="zh-CN"/>
        </w:rPr>
      </w:pPr>
      <w:r>
        <w:rPr>
          <w:rFonts w:hint="eastAsia" w:ascii="宋体" w:hAnsi="宋体" w:cs="宋体"/>
          <w:color w:val="auto"/>
          <w:kern w:val="2"/>
          <w:szCs w:val="21"/>
          <w:highlight w:val="none"/>
          <w:lang w:val="en-US" w:eastAsia="zh-CN"/>
        </w:rPr>
        <w:t>东莞市骏安押运有限公司2024年度车辆维修保养服务车辆配件</w:t>
      </w:r>
      <w:r>
        <w:rPr>
          <w:rFonts w:hint="eastAsia" w:ascii="宋体" w:hAnsi="宋体" w:cs="宋体"/>
          <w:color w:val="auto"/>
          <w:kern w:val="2"/>
          <w:sz w:val="21"/>
          <w:szCs w:val="21"/>
          <w:highlight w:val="none"/>
          <w:lang w:val="en-US" w:eastAsia="zh-CN"/>
        </w:rPr>
        <w:t>费核定标准</w:t>
      </w:r>
    </w:p>
    <w:p>
      <w:pPr>
        <w:widowControl w:val="0"/>
        <w:autoSpaceDE w:val="0"/>
        <w:autoSpaceDN w:val="0"/>
        <w:ind w:firstLine="420" w:firstLineChars="200"/>
        <w:rPr>
          <w:rFonts w:hint="eastAsia" w:ascii="宋体" w:hAnsi="宋体" w:cs="宋体"/>
          <w:color w:val="auto"/>
          <w:kern w:val="2"/>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（货币单位：人民币元）</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国四标准</w:t>
      </w:r>
    </w:p>
    <w:tbl>
      <w:tblPr>
        <w:tblStyle w:val="29"/>
        <w:tblW w:w="92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061"/>
        <w:gridCol w:w="1344"/>
        <w:gridCol w:w="1316"/>
        <w:gridCol w:w="728"/>
        <w:gridCol w:w="944"/>
        <w:gridCol w:w="1106"/>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车型</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尾灯灯泡</w:t>
            </w:r>
          </w:p>
        </w:tc>
        <w:tc>
          <w:tcPr>
            <w:tcW w:w="13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大灯插座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DDCZ</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72A</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3.28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雾灯灯泡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H1\H3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闪光器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保险丝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刹车油（1000g/瓶）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DOT4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黄油（0.8kg/桶）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齿轮油（4升桶）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80W-90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自动排档油（1升/桶）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HFC-134a</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雪种油（300ml/瓶）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NDS-0IL8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92CB1007BF</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MAXXIS UE-168n 185R15LT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铁将军防盗器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雨刮片（22）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雨刮片（24）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轮胎螺母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手喷漆（黑色）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美孚黑霸王（4L）</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8-97049708-1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159601ＡＡ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柴油格（欧三）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ＣＮ6959155ＡＡ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柴油格（欧四）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110500020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启动马达（总成）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ＪＦＺＢ1110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6ＰＫ1700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发电机皮带过渡轮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3701250ＴＡ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发电机进油管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13Ｆ2301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3510061ＴＡ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空调压缩机（总成）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4ＰＫ1000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预热塞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98ＶＢ6Ａ228ＢＡ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风扇耦合器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水温感应器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1306360ＴＡＲ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机油压力传感器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空气格进气管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ＣＮ6Ｃ159Ａ673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机油散热器（总成）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电子风扇（总成）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1005150ＴＡＲ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ＣＮ60158005ＡＡ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ＣＮ5015-6Ｂ032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ＣＮ5015-6Ｂ032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11183007ＡＲ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11183007ＡＲ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发动机线束</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欧3 820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欧4 650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 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1118160ＣＣ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涡轮增压器进油管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1118160ＣＣ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气缸床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曲轴位置传感器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电子手油泵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冷气膨胀阀/前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冷气膨胀阀/后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水泵密封圈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空调高压管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对旧样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空调低压管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对旧样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油水分离器感应器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ＬＧ9536-ＣＡＯ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正时前盖板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正时前盖板垫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气门推杆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油表感应器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欧3，盖茨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欧4，盖茨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水管（副水壶至三叉管）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ＣＮ4Ｃ158360ＢＢ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进排气门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发动机大修包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继电器（电子点火）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软管（助力泵-油壶）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喷油嘴胶管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110500010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ＣＮ6Ｃ157550ＢＡ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离合压盘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ＣＮ2Ｃ157563ＢＡ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分离轴承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导向轴承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离合拨叉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160202006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变速箱换挡杆（总成）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上部50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变速箱换挡杆（总成）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下部70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88Ｖ16068ＡＣ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变速箱轴承（一轴）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变速箱轴承（二轴）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变速箱轴承（副轴）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878Ｔ7052ＡＡ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878Ｔ7052ＡＡ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变速箱密封胶圈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变速箱倒挡轴承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878Ｔ7048ＡＡ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变速箱一轴前盖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变速箱二档齿轮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878Ｔ7048ＡＡ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变速箱副轴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ＣＮ2Ｃ157Ａ543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ＣＮ2Ｃ157Ａ564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变速箱拨叉轴衬套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变速箱拨叉轴衬套油封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变速箱壳体（前）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变速箱前盖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离合器踏板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11949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前轮轴承油封（外）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97ＶＢ1190Ａ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后轮轴承油封（外）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ＣＮ20154001ＦＡ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后轮轴承油封（内）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ＣＮ20154001ＦＡ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前避震机（左）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93ＶＢ180450Ａ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前避震机（右）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93ＶＢ180450Ａ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刹车碟（前）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95Ｖ201125ＢＡ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刹车鼓（后）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3502101ＴＡ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ＣＣ93ＶＸ2Ｋ021ＡＡ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ＣＣ94ＶＢ2200ＡＡ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刹车分配阀（后）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ＣＮ70152Ｌ358ＢＡ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ＣＮ2Ｃ152010ＢＡ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刹车分泵（左后）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92ＶＢ2261ＡＡ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ＣＮ2Ｃ152010ＢＡ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刹车分泵（右后）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92ＶＢ2261ＡＡ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刹车真空助力泵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ＣＥ114826ＡＡ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传动轴中心螺丝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离合器踏板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传动轴十字节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CC97VB-3N503-BAF</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方向机油壶进油管（高压）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尾牙（总成）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挡泥胶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98ＶＢ5Ｋ483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ＣＮＣ153395ＡＡ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前羊角（左右）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ＣＮ2Ｃ1531080Ａ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平衡杆球头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羊角螺丝垫片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方向机油管（低压）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钢板胶套（后）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92ＶＢ57ＨＡＡ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鼓风机马达（后排）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95ＶＷ18456ＣＢ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蒸发箱（前排）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前门玻璃升降器（左）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ＣＮ6Ｃ15Ｖ23200ＣＡ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前门玻璃升降器（右）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ＣＮ6Ｃ15Ｖ23200ＣＡ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前门玻璃升降开关（左）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95ＢＧ14529ＡＢ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前门玻璃升降开关（右）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95ＢＧ14529ＡＢ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前门锁机（左右各）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98630-4Ａ00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后轮眉（左右各）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中门锁机（右）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Ｖ219164ＣＦ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尾门锁把手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对图片 40   95   260，原车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98630-4Ａ00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车门外把手（右前）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ＯＣ92ＶＢＶ2240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车门外把手（左前）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ＯＣ92ＶＢＶ2240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前大灯总成（左）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ＣＮ6Ｃ1517682ＡＢ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前大灯总成（右）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ＣＮ6Ｃ1517682ＡＢ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点火开关（连线）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94ＡＧＡ3677ＡＢ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点火开关（锁芯）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94ＡＧＡ3677ＡＢ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转向灯总成（左）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转向灯总成（右）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大灯组合开关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全车线路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全车线路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油箱盖总成（锁芯加盖）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94ＡＢＡ28624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手刹拉杆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ＣＮ40152780ＡＡ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排气管后段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暖水控制阀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95ＶＢ18495ＡＢ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雨刮喷水电机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95ＶＢ17508ＢＡ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低温启动液（水箱宝）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摇臂总成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后减振器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93ＶＢ1808ＦＡ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波箱总成（国三）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波箱总成（国四）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电工胶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青稞纸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大小螺丝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压差传感器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小花线（100米捆）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喇叭线插（60条）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螺丝-分泵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水箱中冷器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柴油格进油管总成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 *3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空调蒸发器外壳 后面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空调散热网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里程表被动齿  25*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软管（暖风控制阀前面）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软管（暖风控制阀前面）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空调气门芯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变速箱拨叉（3/4档）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喉码 9-16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过江龙 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密封胶3+3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螺丝胶 (大瓶）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软管（小循环増压管）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发动机支架 R=L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发动机支架 R=L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铸铁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轴承(滚柱6157560)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轴承（滚针）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转向节螺母  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转向节锁紧螺母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软管（机油冷却器进）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软管（机油冷却器出）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开关(后鼓风机)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变速杆下托架1039337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里程表传感器插座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顶蓬卡扣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机油散热器胶圈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机油格座胶圈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后轮鼓修理包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曲轴箱通风管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软管（曾压器回油）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气门室盖胶粒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后桥调整垫片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软管（节温器-曾压出)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进气歧管垫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 *4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刹车真空硬管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空调蒸发器线速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保险丝座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尾门卡簧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继电器（风扇）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软管（大小头）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遥控电池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油性防冻液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飞轮总成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叶子板内挡板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叶子板外挡板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灯泡（中插泡）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传感器（高压油泵导轨）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空调散热网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高压油泵流量控制阀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变速箱拔叉轴衬套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暖风机水管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二轴五档齿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机头水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雨刮马达 （前挡）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车门限位器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方向机外球头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空调真空管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8292.67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油门踏板国三（胶的）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电脑板线速国三  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雨刮摇臂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气门室盖通风阀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高压油泵总成</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气门摇臂总成</w:t>
            </w:r>
            <w:r>
              <w:rPr>
                <w:rFonts w:ascii="Arial" w:hAnsi="Arial" w:eastAsia="宋体" w:cs="Arial"/>
                <w:i w:val="0"/>
                <w:iCs w:val="0"/>
                <w:color w:val="auto"/>
                <w:kern w:val="0"/>
                <w:sz w:val="20"/>
                <w:szCs w:val="20"/>
                <w:highlight w:val="none"/>
                <w:u w:val="none"/>
                <w:lang w:val="en-US" w:eastAsia="zh-CN" w:bidi="ar"/>
              </w:rPr>
              <w:t xml:space="preserve">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空调泵头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十字节卡黄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方向轴（十字节）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连接轴（后）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前平衡杆连接杆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节温器座</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欧二</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轮毂</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差速器油封（尾牙油封）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油箱盖套圈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中门外拉手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雨刮开关（大、小灯</w:t>
            </w:r>
            <w:r>
              <w:rPr>
                <w:rFonts w:ascii="Arial" w:hAnsi="Arial" w:eastAsia="宋体" w:cs="Arial"/>
                <w:i w:val="0"/>
                <w:iCs w:val="0"/>
                <w:color w:val="auto"/>
                <w:kern w:val="0"/>
                <w:sz w:val="20"/>
                <w:szCs w:val="20"/>
                <w:highlight w:val="none"/>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仪表总成（国三）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仪表总成（国四）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前冷凝器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水泵进水管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方向助力泵出油管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软管（节器回水管）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水箱中冷器软管（出）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增压器排气弯管（国三）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进油管（油滤</w:t>
            </w:r>
            <w:r>
              <w:rPr>
                <w:rFonts w:ascii="Arial" w:hAnsi="Arial" w:eastAsia="宋体" w:cs="Arial"/>
                <w:i w:val="0"/>
                <w:iCs w:val="0"/>
                <w:color w:val="auto"/>
                <w:kern w:val="0"/>
                <w:sz w:val="20"/>
                <w:szCs w:val="20"/>
                <w:highlight w:val="none"/>
                <w:u w:val="none"/>
                <w:lang w:val="en-US" w:eastAsia="zh-CN" w:bidi="ar"/>
              </w:rPr>
              <w:t>-</w:t>
            </w:r>
            <w:r>
              <w:rPr>
                <w:rStyle w:val="89"/>
                <w:color w:val="auto"/>
                <w:highlight w:val="none"/>
                <w:lang w:val="en-US" w:eastAsia="zh-CN" w:bidi="ar"/>
              </w:rPr>
              <w:t>油箱）手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押运车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空调管（</w:t>
            </w:r>
            <w:r>
              <w:rPr>
                <w:rFonts w:ascii="Arial" w:hAnsi="Arial" w:eastAsia="宋体" w:cs="Arial"/>
                <w:i w:val="0"/>
                <w:iCs w:val="0"/>
                <w:color w:val="auto"/>
                <w:kern w:val="0"/>
                <w:sz w:val="20"/>
                <w:szCs w:val="20"/>
                <w:highlight w:val="none"/>
                <w:u w:val="none"/>
                <w:lang w:val="en-US" w:eastAsia="zh-CN" w:bidi="ar"/>
              </w:rPr>
              <w:t>V</w:t>
            </w:r>
            <w:r>
              <w:rPr>
                <w:rStyle w:val="89"/>
                <w:color w:val="auto"/>
                <w:highlight w:val="none"/>
                <w:lang w:val="en-US" w:eastAsia="zh-CN" w:bidi="ar"/>
              </w:rPr>
              <w:t>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押运车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空调压力开关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传感器（进气压力）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进气温度传感器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空调管（后蒸发器进铝管）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机油（壳牌灰瓶）</w:t>
            </w:r>
            <w:r>
              <w:rPr>
                <w:rFonts w:ascii="Arial" w:hAnsi="Arial" w:eastAsia="宋体" w:cs="Arial"/>
                <w:i w:val="0"/>
                <w:iCs w:val="0"/>
                <w:color w:val="auto"/>
                <w:kern w:val="0"/>
                <w:sz w:val="20"/>
                <w:szCs w:val="20"/>
                <w:highlight w:val="none"/>
                <w:u w:val="none"/>
                <w:lang w:val="en-US" w:eastAsia="zh-CN" w:bidi="ar"/>
              </w:rPr>
              <w:t>1</w:t>
            </w:r>
            <w:r>
              <w:rPr>
                <w:rStyle w:val="89"/>
                <w:color w:val="auto"/>
                <w:highlight w:val="none"/>
                <w:lang w:val="en-US" w:eastAsia="zh-CN" w:bidi="ar"/>
              </w:rPr>
              <w:t>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壳牌灰瓶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EP-3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AB</w:t>
            </w:r>
            <w:r>
              <w:rPr>
                <w:rStyle w:val="89"/>
                <w:color w:val="auto"/>
                <w:highlight w:val="none"/>
                <w:lang w:val="en-US" w:eastAsia="zh-CN" w:bidi="ar"/>
              </w:rPr>
              <w:t>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喉码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碎布</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开口销 0.4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锁芯润滑粉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曲轴止推片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油箱胶管（真空管4厘）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活塞销卡簧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气门导管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进气门座圈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曲轴（锻钢）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涡轮增压器排气弯管 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暖风水管支架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柴油格总成（手油泵）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后排消声器（扁）正厂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刹车铜管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密封圈 偏心轴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喷水嘴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排气门座圈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空调管（V型管）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消声器（后）柴油 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变速箱支架 U型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洗涤壶总成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传动轴（长轴距）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水箱护罩（下）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空调雪种杯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水箱护罩（上）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前左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前减震器顶胶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前减震器缓冲胶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前减震器防尘套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节气门阀体总成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灰壳 4升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业务车通用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中控锁（尾门）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皮带轮（张紧轮）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曲轴前油封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水管（加热）</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水管（付水箱）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水管（暖风）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水管（水壶）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水管（水壶）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节气门阀体总成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碳罐电磁阀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油水分离器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刹车蹄片  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侧拉杆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主邦肽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机盖锁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刹车蹄片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轮古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轮胎175/70R14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175/70R14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左下悬挂（摆臂）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右下悬挂（摆臂）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 19"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 21"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 后L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中控锁-L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电池</w:t>
            </w:r>
            <w:r>
              <w:rPr>
                <w:rFonts w:ascii="Arial" w:hAnsi="Arial" w:eastAsia="宋体" w:cs="Arial"/>
                <w:i w:val="0"/>
                <w:iCs w:val="0"/>
                <w:color w:val="auto"/>
                <w:kern w:val="0"/>
                <w:sz w:val="20"/>
                <w:szCs w:val="20"/>
                <w:highlight w:val="none"/>
                <w:u w:val="none"/>
                <w:lang w:val="en-US" w:eastAsia="zh-CN" w:bidi="ar"/>
              </w:rPr>
              <w:t xml:space="preserve"> 60A</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发动机脚胶</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发动机扭务支架胶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皮带张紧轮</w:t>
            </w:r>
            <w:r>
              <w:rPr>
                <w:rFonts w:ascii="Arial" w:hAnsi="Arial" w:eastAsia="宋体" w:cs="Arial"/>
                <w:i w:val="0"/>
                <w:iCs w:val="0"/>
                <w:color w:val="auto"/>
                <w:kern w:val="0"/>
                <w:sz w:val="20"/>
                <w:szCs w:val="20"/>
                <w:highlight w:val="none"/>
                <w:u w:val="none"/>
                <w:lang w:val="en-US" w:eastAsia="zh-CN" w:bidi="ar"/>
              </w:rPr>
              <w:t xml:space="preserve">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气门饰盖废弃阀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变速箱下机脚胶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空调压缩机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助力泵皮带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真空管（带阀）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雨刮片（</w:t>
            </w:r>
            <w:r>
              <w:rPr>
                <w:rFonts w:ascii="Arial" w:hAnsi="Arial" w:eastAsia="宋体" w:cs="Arial"/>
                <w:i w:val="0"/>
                <w:iCs w:val="0"/>
                <w:color w:val="auto"/>
                <w:kern w:val="0"/>
                <w:sz w:val="20"/>
                <w:szCs w:val="20"/>
                <w:highlight w:val="none"/>
                <w:u w:val="none"/>
                <w:lang w:val="en-US" w:eastAsia="zh-CN" w:bidi="ar"/>
              </w:rPr>
              <w:t>19</w:t>
            </w:r>
            <w:r>
              <w:rPr>
                <w:rStyle w:val="89"/>
                <w:color w:val="auto"/>
                <w:highlight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雨刮片（</w:t>
            </w:r>
            <w:r>
              <w:rPr>
                <w:rFonts w:ascii="Arial" w:hAnsi="Arial" w:eastAsia="宋体" w:cs="Arial"/>
                <w:i w:val="0"/>
                <w:iCs w:val="0"/>
                <w:color w:val="auto"/>
                <w:kern w:val="0"/>
                <w:sz w:val="20"/>
                <w:szCs w:val="20"/>
                <w:highlight w:val="none"/>
                <w:u w:val="none"/>
                <w:lang w:val="en-US" w:eastAsia="zh-CN" w:bidi="ar"/>
              </w:rPr>
              <w:t>21</w:t>
            </w:r>
            <w:r>
              <w:rPr>
                <w:rStyle w:val="89"/>
                <w:color w:val="auto"/>
                <w:highlight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进气歧管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1973.00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三菱柏杰罗CFA2031H</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三菱柏杰罗CFA2031H</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方向机内球头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发动机引擎盖开起手柄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电脑板带程序（总成）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雨刮连动杆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仪表到发动机线束（总）</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副驾驶座椅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二排双人座位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1440.80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二排折叠小座椅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排气歧管垫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尾门撑杆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前门内饰板（含拉手）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282.40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前排坐椅套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221.60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后排坐椅套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262.80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车顶顶棚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302.20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716.40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widowControl w:val="0"/>
        <w:numPr>
          <w:ilvl w:val="0"/>
          <w:numId w:val="3"/>
        </w:numPr>
        <w:autoSpaceDE w:val="0"/>
        <w:autoSpaceDN w:val="0"/>
        <w:ind w:firstLine="420" w:firstLineChars="200"/>
        <w:jc w:val="both"/>
        <w:textAlignment w:val="auto"/>
        <w:rPr>
          <w:rFonts w:hint="eastAsia" w:ascii="宋体" w:hAnsi="宋体" w:cs="宋体"/>
          <w:color w:val="auto"/>
          <w:sz w:val="21"/>
          <w:szCs w:val="21"/>
          <w:highlight w:val="none"/>
          <w:u w:val="none"/>
          <w:lang w:val="en-US" w:eastAsia="zh-CN" w:bidi="ar"/>
        </w:rPr>
      </w:pPr>
      <w:r>
        <w:rPr>
          <w:rFonts w:hint="eastAsia" w:ascii="宋体" w:hAnsi="宋体" w:cs="宋体"/>
          <w:color w:val="auto"/>
          <w:sz w:val="21"/>
          <w:szCs w:val="21"/>
          <w:highlight w:val="none"/>
          <w:u w:val="none"/>
          <w:lang w:val="en-US" w:eastAsia="zh-CN" w:bidi="ar"/>
        </w:rPr>
        <w:t>国六标准</w:t>
      </w:r>
    </w:p>
    <w:tbl>
      <w:tblPr>
        <w:tblStyle w:val="29"/>
        <w:tblW w:w="86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2981"/>
        <w:gridCol w:w="1390"/>
        <w:gridCol w:w="648"/>
        <w:gridCol w:w="891"/>
        <w:gridCol w:w="122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车型</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刹车真空硬管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刹车油管（铁）（ABS总泵到分泵）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刹车油管（铁）（刹车总泵到ABS泵）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刹车踏板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前半轴总成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引擎盖锁机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汽油管（铁管）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大修包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止推片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曲轴前油封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气门导管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曲轴后油封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平衡轴油封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18.02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液压顶柱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正极线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负极线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发电机支架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方向机油壶进油管（高压）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出水口</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前冷凝器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压缩机空调管（高压）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压缩机空调管（低压）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空调管（高压）（压缩机-散热网）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空调管（高压）（散热网-干燥瓶）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空调管（高压）（干燥瓶-蒸发箱）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压力开关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膨胀阀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空调温控开关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冷暖电机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空调面板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轮辋总成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安全带（左前）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安全带（右前）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安全带扣</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消声器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558.50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点火开关（锁芯）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229.40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车门升降器开关（驾驶位）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右后内饰板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玻璃窗泥槽</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玻璃升降器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门锁马达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空调滤清器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前雾灯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尾灯（外组合灯）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侧围灯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牌照灯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自动变速箱油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变速箱滤网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汽油格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尾灯（内组合灯）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后视镜（外)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变速箱拔叉轴衬套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传感器（进气压力）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电脑板线速  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发动机清洗剂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方向轴（十字节）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方向助力泵出油管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3112.67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进油管（油滤-油箱）手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空调泵头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1106.20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空调真空管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 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喷油嘴胶管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前平衡杆连接杆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软管（节器回水管）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雨刮开关（大、小灯)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雨刮摇臂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方向机进油管（高压）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曲轴皮带过渡轮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前雨刮臂/个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减振上座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发动机引擎盖释放手轴胶套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发动机引擎盖开起手柄胶套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雨刮连动杆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挡泥胶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尾门内饰板（大）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尾门内饰板（小）</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左后包角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右后包角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中门上铰链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中门下铰链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左前门内胶条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右前门内胶条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后视镜</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驾驶座位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二排双人座位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副驾驶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二排折叠小座椅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座椅海绵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发动机机顶胶/个（鼎湖）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发动机油CI 15W-40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后桥齿轮油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机油滤清器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空气滤芯器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柴油格滤芯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前轮制定盘</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前轮外轴承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ABS传感器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前制动分泵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大力鼓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704.40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后轮内轴承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后轮外轴承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后轮内油封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后半轴总成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前羊角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下摆臂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前减震上座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前减震弹簧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前桥</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后桥壳体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尾牙</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引擎盖拉丝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油泵滤网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3495.00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预热塞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燃油加油口软管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喷油嘴铜垫片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高压共轨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轨压传感器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油量传感器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汽缸垫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正时链条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322.40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正时链板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时规盖密封圈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启动继电器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发电机螺丝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发动机线束</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线束（电脑板ECU)</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方向机油管（低压）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方向机铁管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方向机外球头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方向机管柱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散热器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水泵风扇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水温传感器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水管（进水软管）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水管（出水软管）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暖风水管（进水管）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暖风水管（出水管）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暖风阀体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前鼓风机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循环电机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后空调控制器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后冷凝器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后鼓风机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后蒸发箱芯体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后膨胀阀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空调继电器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离合压盘</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导向轴承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分离轴承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拨叉</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波箱前油封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波箱后油封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变速箱密封胶圈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变速箱倒挡轴承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变速箱一轴前盖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变速箱二档齿轮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变速箱副轴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离合总泵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离合踏板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传动轴中心螺丝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1902.83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轮辋总成16*J</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轮胎185/75R16C</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安全带（后排）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空气进气软管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中冷器进气管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中冷器出气管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涡轮增压器排气弯管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涡轮增压器垫片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压差传感器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排温传感器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尿素喷嘴总成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三元催化器（DOC总成）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7811.33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继电器（点火）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助力泵皮带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机油/蓝喜力 4L</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机油（壳牌灰瓶）1升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反光板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车头喷字模具（一次性）“押运”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车头标志模具（一次性）（双色）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左侧围喷字模具（一次性）“骏安押运”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左侧围腰线模具（一次性）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右侧围喷字模具（一次性）“骏安押运”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右侧围腰线模具（一次性）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尾门喷字模具（一次性/右）“请勿靠近”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尾门喷字模具（一次性/左）“武装押运”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尾门数字模具（一次性/中间）“数字”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尾门标志模具（一次性）（双色）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前门喷字模具（一次性/左）“总质量：4000KG"</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前门喷字模具（一次性/右）“总质量：4000KG"</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油压共轨装置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EGR冷却水管进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EGR冷却水管出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方向机内球头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方向外球头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后轮刹车修理包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缸盖国四112齿时规带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方向机转向柱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离合拉线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237.33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鼓风外壳后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三元催化前段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三元催化中段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三元催化后段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13803.17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前门左门门铰上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前门右门门铰下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中门门铰上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中门门铰下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后门合叶门铰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机油（美孚黑霸王傲超15W-40K40)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尾门芯锁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国六钢圈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auto"/>
          <w:sz w:val="21"/>
          <w:szCs w:val="21"/>
          <w:highlight w:val="none"/>
        </w:rPr>
      </w:pPr>
    </w:p>
    <w:p>
      <w:pPr>
        <w:pStyle w:val="9"/>
        <w:ind w:left="0"/>
        <w:rPr>
          <w:rFonts w:hint="default" w:eastAsia="宋体"/>
          <w:color w:val="auto"/>
          <w:sz w:val="21"/>
          <w:szCs w:val="21"/>
          <w:highlight w:val="none"/>
          <w:lang w:val="en-US" w:eastAsia="zh-CN"/>
        </w:rPr>
      </w:pPr>
    </w:p>
    <w:tbl>
      <w:tblPr>
        <w:tblStyle w:val="29"/>
        <w:tblW w:w="8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
        <w:gridCol w:w="498"/>
        <w:gridCol w:w="384"/>
        <w:gridCol w:w="1904"/>
        <w:gridCol w:w="900"/>
        <w:gridCol w:w="934"/>
        <w:gridCol w:w="774"/>
        <w:gridCol w:w="769"/>
        <w:gridCol w:w="2"/>
        <w:gridCol w:w="611"/>
        <w:gridCol w:w="2"/>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nil"/>
              <w:left w:val="nil"/>
              <w:bottom w:val="nil"/>
              <w:right w:val="nil"/>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东莞市汽车维修企业维修工时市场价格指引（2016年）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8438" w:type="dxa"/>
            <w:gridSpan w:val="12"/>
            <w:tcBorders>
              <w:top w:val="nil"/>
              <w:left w:val="nil"/>
              <w:bottom w:val="nil"/>
              <w:right w:val="nil"/>
            </w:tcBorders>
            <w:noWrap w:val="0"/>
            <w:vAlign w:val="center"/>
          </w:tcPr>
          <w:p>
            <w:pPr>
              <w:keepNext w:val="0"/>
              <w:keepLines w:val="0"/>
              <w:widowControl/>
              <w:suppressLineNumbers w:val="0"/>
              <w:adjustRightInd/>
              <w:snapToGrid/>
              <w:spacing w:line="36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（货币单位：人民币元）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4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w:t>
            </w:r>
          </w:p>
        </w:tc>
        <w:tc>
          <w:tcPr>
            <w:tcW w:w="22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w:t>
            </w:r>
          </w:p>
        </w:tc>
        <w:tc>
          <w:tcPr>
            <w:tcW w:w="399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工时费（按车辆价格分类）</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22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80万以上（含80万）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30-80万（含30万）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15-30万（含15万）</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7-15万（含7万）</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7万以下微型车</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整车保养</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一级维护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二级维护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更换机油、机油滤清器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不带机油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更换波箱油（手动）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更换波箱油（自动）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保养四轮刹车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清洗发动机机仓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发动机大修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5000~1万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发动机中修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2000~8000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吊装发动机总成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更换发动机下挡泥板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更换发动机左侧支承胶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更换发动机右侧支承胶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更换发动机后支承胶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清洗、调校喷油嘴（每个）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清洗、调校节气门（每个）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编程另计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更换汽油泵（电动泵）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拆装燃油箱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更换防冻液</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折装水箱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更换两条以内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更换上水管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更换下水管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更换冷却风扇马达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拆装油底壳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更换曲轴后油封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含吊装波箱不含吊装发动机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7"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更换曲轴前油封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不含拆装正时皮带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更换排气管吊胶（每个）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拆装、更换排气管前段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拆装、更换排气管中段（每条）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拆装、更换排气管尾段（每条）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拆装或更换空滤器总成（每个）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更换方向泵皮带（每条）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更换发电机皮带（每条）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更换空调皮带（每条）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更换发动机传动皮带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更换正时皮带，调整配气正时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更换正时链，调整配气正时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更换气缸垫（4缸）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更换气缸垫（6缸）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拆装气门室盖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检查、更换点火线圈（每个）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更换节温器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更换连接水管（水泵到节温器）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更换起动机总成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更换发电机总成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更换发动机缸盖（4缸）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含磨气门和拆装副件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更换发动机缸盖（6缸）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含磨气门和拆装副件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更换曲轴皮带轮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拆装进气岐管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拆装排气管岐管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换发动全套活塞环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换机油感应器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更换离合器液压总泵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更换正时齿轮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清洗更换燃油滤油器（外置式）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更换检查水温感应器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更换火花塞（每个）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检修更换机油格座</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检修曲轴通风装置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更换空气滤芯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更换飞轮齿（含吊装波箱）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更换三元催化器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更换燃油蒸发控制装置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检测、清洗废气再循环（EGR）系统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更换涡轮增压器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传动系统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更换离合器片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维修或保养离合器总泵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维修或保养离合器分泵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分解、修理差速器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更换差速器总成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分解、修理自动变速箱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分解、修理手动变速箱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吊装变速箱总成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拆装波箱油底壳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更换波箱吊胶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更换或润滑波箱换挡拉索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更换或润滑波箱油门拉索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更换前驱动半轴(单边)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更换半轴外球笼(单边)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更换半轴内球笼(单边)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更换半轴防尘套、保养球笼(单边)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换传动轴中间轴承或油封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换差速器油封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拆副件另计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换半轴油封(单边)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更换轮轂轴承(轮)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更换变速箱前油封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更换变速箱后油封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拆副件另计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换离合器分离轴承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检测更换波箱电磁阀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更换轮胎及动平衡(条)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检修P档锁止开关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更换差速器油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外调校手刹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更换后悬挂推杆(每条)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更换后悬挂稳定杆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更换轮胎螺丝(每轮)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更换螺旋弹簧(支)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更换前减震器(支)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更换后减震器(支)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更换前轮避震器座胶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更换前轮定位拉杆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更换前上挂臂(单边)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更换前下挂臂(单边)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更换后轮上挂臂(单边)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更换后轮下挂臂(单边)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更换平衡杆胶(单只)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更换前平衡杆小连杆(单只)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拆装平衡杆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拆装或更换转向节(单边)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拆装前轮轴承(单边)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拆装后轮轴承(单边)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换普通前避震器(支)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换普通后避震器(支)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调校前桥扭杆弹簧</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换悬挂上、下球头(单边)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检修更换转向辅助臂(个）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更换前轮油封(轮)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更换后轮油封(轮)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制动系统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检修四轮刹车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电子手刹另加100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更换前制动片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更换后制动片(碟刹)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电子手刹另加100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更换后制动蹄(鼓刹)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更换手刹片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光整制动盘(个)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更换前制动盘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镗制动鼓(个)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更换制动总泵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检修制动分泵(碟) (个)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更换制动分泵(前) (个)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更换刹车真空助力器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更换ABS执行器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更换ABS转速传感器(个)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更换车轮制动软管(条)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更换全车手刹拉线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更换刹车油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转向系统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四轮定位检测、调整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更换方向机总成(齿条)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更换方向机总成(循环球)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更换方向助力油泵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拆装转向管柱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拆装转向横拉杆(内球头)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更换方向机防尘套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更换助力泵油壶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换方向机高、低压油管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补充雪种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更换电磁离合器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含拆装副件抽真空加雪种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更换压缩机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更换冷凝器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清洁或更换蒸发器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更换暖水开关阀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更换风量调节开关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更换冷暖调节开关或拉索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更换A/C开关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更换暖风水箱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拆装装空调鼓风机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拆装空调进气滤网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空调系统大修(单蒸发器)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空调系统大修(双蒸发器)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换雪种瓶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抽真空加雪种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换高低压管(条)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更换膨胀阀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拆装仪表台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调整大灯位置及光轴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拆修雨刮连杆机构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更换雨刮喷水壶或喷水电机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更换前门音响喇叭(个)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更换后音响喇叭(个)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拆装音响主机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更换电喇叭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不含拆前保险杆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更换气囊袋线盘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更换左右气袋及电脑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含拆装仪表台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含电脑解码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更换升降器总开关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更换前门升降器或马达(单门)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更换后门升降器或马达(单门)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更换转向组合开关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更换前大灯或大灯座(只)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更换前小灯(只)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更换后小灯(只)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更换后高位制动灯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更换前保险杠灯(只)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拆装检修天窗机构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含拆装天花内饰板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更换天窗开关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检修电动后视镜及电路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更换仪表板照明灯泡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消除故障码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更换室内倒车镜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换刮雨马达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换保险盒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不含线束更换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检修电子防盗器系统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检修电子油门故障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检修车速传感器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检修巡航系统控制电路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检修电动座椅电路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更换外把手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更换四档泥板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检修电动车窗电路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检修中央门锁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拆装更换门灯感应器(个)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检修安全带感应器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拆检尾门锁灯开关总成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检修起动线路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更换电池头(正)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更换电池头(负)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发动机保养电脑归零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检修气囊控制电路故障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检修自动波箱控制电路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检修液压方向机电子控制系统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配装遥控器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检修加速防滑系统(ASR)</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检修四轮驱动系统电路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检修CD收放机外接电路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检修电子仪表板电路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852</w:t>
            </w:r>
          </w:p>
        </w:tc>
        <w:tc>
          <w:tcPr>
            <w:tcW w:w="19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检修大灯高低调整装置(内置式)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更换雨刮臂(每条)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检修倒车灯电路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检修雨刮电路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检修喇叭电路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车身部分</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拆装车身饰件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更换前中网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更换前或后档风玻璃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更换发动机仓前龙门架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更换发动机盖锁并调整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更换发动机盖拉索拉手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更换倒车镜(单边)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不含拆门板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拆装倒车雷达(每粒)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更换前翼子板(单边)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3"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更换后翼子板(单边)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含拆装后杠、后档等相关副件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更换前车门(个)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拆装前门内饰板(件)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拆装后门饰板(件)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更换车身前立柱(单边)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更换车身中立柱(单边)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更换前门锁机并调整(个)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更换后门锁机并调整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更换落水槽饰条(条)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更换前门玻璃绒槽(条)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更换后门玻璃绒槽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更换门锁驱动器(个)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更换前保险杠灯(只)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更换后保险杠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更换车标志(每个)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原厂件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更换天窗玻璃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拆装天窗支架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更换后门三角窗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更换车身下裙(单边)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更换后门玻璃外压条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更换前门玻璃外压条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修复校正大梁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因受损程度不同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更换车身地毯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拆装车内天花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更换油箱拉索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更换油箱开启盖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更换水箱.上支架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更换水箱下支架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更换车门防水胶条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更换车门外拉手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更换车门内拉手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更换车门限位器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更换后车门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拆装行李箱内饰件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更换行李箱后围板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更换行李箱撑杆(每支)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拆装前排座椅(个)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拆装后排座椅及靠背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更换前轮内衬胶(单边)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更换后轮内衬胶(单边)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更换车门防撞胶(每条)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更换前保险杠内支架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更换后保险杠内支架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更换前叶子板内骨架(左或右)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更换后叶子板内骨架(左或右)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更换后盖铰链(每个)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更换前、后门门铰(对)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更换前大灯(个)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前杠修复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前叶子板修复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引擎盖修复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后箱盖修复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换车身彩条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检修中门轴承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车项沙板修复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修复后保险杠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更换安全带(条)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不含电脑解码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调校车门(个)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调校尾门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更换后盖拉线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修复备胎架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调校门锁位(门)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换叶子板饰条(条)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钣金</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发动机盖凹位修复及校正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车顶凹位修复及校正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左下裙条凹位修复及校正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右下裙条凹位修复及校正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左前立柱凹位修复及校正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右前立柱凹位修复及校正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左中柱凹位修复及校正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右中柱凹位修复及校正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左后门凹位修复及校正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右后门凹位修复及校正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左后叶子板凹位修复及校正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右后叶子板凹位修复及校正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行李箱盖凹位修复及校正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修复前大梁(后)</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修复前、后大梁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中门沙板修复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维修项目XI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烤漆</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全车烤漆外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2500-3500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不含钣金修复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全车烤漆内外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3000-4000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不含钣金修复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发动机盖烤漆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前保险杠补漆(局部)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后保险杠补漆(局部)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前叶子板烤漆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后叶子板烤漆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前车门烤漆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后车门烤漆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前立柱烤漆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中立柱烤漆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车身下裙条烤漆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车顶烤漆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倒车镜烤漆(每个)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后箱盖烤漆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大梁修复后补漆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bl>
    <w:p>
      <w:pPr>
        <w:widowControl w:val="0"/>
        <w:adjustRightInd/>
        <w:snapToGrid/>
        <w:spacing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rPr>
        <w:t>备注</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1、本表工时费用仅用乘用车的参考价格</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2、更换项目有关联的</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rPr>
        <w:t>不能叠加计算</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rPr>
        <w:t>以最后的配件为准</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3、烤漆超过1幅以上的按累加的总额90%计算，累加总额折后超过全车外烤漆（1101项）的，按全车外烤漆</w:t>
      </w:r>
      <w:r>
        <w:rPr>
          <w:rFonts w:hint="eastAsia" w:ascii="Times New Roman" w:hAnsi="Times New Roman" w:cs="Times New Roman"/>
          <w:color w:val="auto"/>
          <w:sz w:val="21"/>
          <w:szCs w:val="21"/>
          <w:highlight w:val="none"/>
          <w:lang w:val="en-US" w:eastAsia="zh-CN"/>
        </w:rPr>
        <w:t>计</w:t>
      </w:r>
      <w:r>
        <w:rPr>
          <w:rFonts w:hint="eastAsia" w:ascii="Times New Roman" w:hAnsi="Times New Roman" w:cs="Times New Roman"/>
          <w:color w:val="auto"/>
          <w:sz w:val="21"/>
          <w:szCs w:val="21"/>
          <w:highlight w:val="none"/>
        </w:rPr>
        <w:t>。烤漆包括相关附件拆装</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rPr>
        <w:t>4、备注栏里没有备注不含拆装副件的都含拆装副件</w:t>
      </w:r>
      <w:r>
        <w:rPr>
          <w:rFonts w:hint="eastAsia"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5、使用珍珠漆要上浮20%。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cs="Times New Roman"/>
          <w:color w:val="auto"/>
          <w:sz w:val="21"/>
          <w:szCs w:val="21"/>
          <w:highlight w:val="none"/>
        </w:rPr>
      </w:pPr>
    </w:p>
    <w:p>
      <w:pPr>
        <w:widowControl w:val="0"/>
        <w:adjustRightInd/>
        <w:snapToGrid/>
        <w:spacing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东莞市骏安押运有限公司2024年度车辆维修保养服务汽车维修工时</w:t>
      </w:r>
    </w:p>
    <w:p>
      <w:pPr>
        <w:widowControl w:val="0"/>
        <w:adjustRightInd/>
        <w:snapToGrid/>
        <w:spacing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2024补充154项费用标准</w:t>
      </w:r>
    </w:p>
    <w:p>
      <w:pPr>
        <w:keepNext w:val="0"/>
        <w:keepLines w:val="0"/>
        <w:pageBreakBefore w:val="0"/>
        <w:widowControl/>
        <w:kinsoku/>
        <w:wordWrap/>
        <w:overflowPunct/>
        <w:topLinePunct w:val="0"/>
        <w:autoSpaceDE/>
        <w:autoSpaceDN/>
        <w:bidi w:val="0"/>
        <w:adjustRightInd/>
        <w:snapToGrid/>
        <w:spacing w:line="360" w:lineRule="auto"/>
        <w:ind w:firstLine="630" w:firstLineChars="300"/>
        <w:jc w:val="both"/>
        <w:textAlignment w:val="center"/>
        <w:rPr>
          <w:rFonts w:hint="default" w:ascii="宋体" w:hAnsi="宋体" w:eastAsia="宋体" w:cs="宋体"/>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（货币单位：人民币元）</w:t>
      </w:r>
    </w:p>
    <w:tbl>
      <w:tblPr>
        <w:tblStyle w:val="29"/>
        <w:tblW w:w="78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2712"/>
        <w:gridCol w:w="986"/>
        <w:gridCol w:w="986"/>
        <w:gridCol w:w="1323"/>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维修项目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拆装/清洗尿素箱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更换尿素泵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清洗DPF</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清洗EGR阀/废气阀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贴反光板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车头标志（双色）喷漆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左侧围“骏安押运”喷漆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左侧围腰线喷漆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右侧围“骏安押运”喷漆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右侧围腰线喷漆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尾门（右）“请勿靠近”喷漆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尾门（左）“武装押运”喷漆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尾门数字（中间）“数字”喷漆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尾门标志（双色）喷漆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前门（左）“总质量：4000KG"喷漆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前门（右）“总质量：4000KG"喷漆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更换压力差传感器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更换增压器弯管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更换EGR阀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更换油泵计量器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更换或清洗氧传感器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更换空气流量总计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更换喷油嘴回油管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更换鼓风机外壳后含拆副件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更换副水箱小水管每条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更换座椅海绵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更换ABS传感器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更换ABS泵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更换鼓风机外壳前不含拆仪表台</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更换尿素油嘴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更换排温传感器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发动机取螺丝供牙每粒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缸盖磨平面</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缸体镗缸</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清洗尿素油嘴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更换柴油格</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检查油路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清洗高压共轨油路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拆装高压共轨装置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校正油嘴（支）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校正柴油泵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拆装柴油泵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更换柴油泵高压油管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加装电动分油泵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更换手油泵油管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清洗发动机</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清洗空气流量计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更换空气流量计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更换或检修中冷管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更换进气温度传感器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更换曲轴位置传感器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更换偏心轴传感器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更换增压器进油管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更换发电机进油管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调整皮带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检修方向机油壶漏油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检修方向机油管漏油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检修发动机上水管漏水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检修发动机下水管漏水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清洗三元催化器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清洗水箱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更换机油散热底圈水管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更换小水管（副水壶至水泵)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更换刹车比例阀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更换离合器踏板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7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更换刹车踏板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更换空气进气管（空气格至增压器）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更换传动轴中带胶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拆装油嘴（个）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更换节温器坐垫</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更换排挡杆下轴总成</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更换离合分成泵油管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更换三叉水管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更换方向机进回油胶圈</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检修废气管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更换中冷器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更黄中冷器管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拆装电脑板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检修档位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更换挂挡杆球头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检修离合器踏板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拆装传动轴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检修刹车助力泵真空管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紧固排气管吊胶座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更换传动轴中心螺丝</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更换中吊胶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拆装后钢板（边）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更换钢板胶套（边）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焊接车厢（10CM 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焊接排气管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焊接门锁扣</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焊接前杠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焊接后杠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焊接后桥（边）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焊接车门（10CM 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焊接升降器滑槽</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焊接钢板座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检修中门扶手松动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检修前门扶手松动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车厢钣金修复(严重)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焊接变速箱支架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前轮内骨铁板加固</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调整前或后保险杠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加固右中门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更换前排风机电阻</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更换后排风机电阻</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更换尾灯总成（个）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换后（下排）冷凝电子扇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检查灯光</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更换里程表传感器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更换里程表齿轮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检修里程表线路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检修空调线路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检修尾灯线路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检修转向灯线路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检修门灯线路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检修大灯线路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拆装转向灯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更换点火锁总成（开关）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更换或检修风扇耦合器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检修防盗器主机模块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更换遥控电子</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更换雨刮片（支）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7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检修暖水管漏水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加装电源线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检修驾驶室主保险线路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清洗后排冷凝器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清洗前排冷凝器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更换油箱感应器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安装后摄像头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更换发动机线束</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补胎（条）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加工司机座椅套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加工副驾驶座椅套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加工后排座椅套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轮眉喷漆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检修天窗松动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检修天窗漏水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拆装点烟器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检修点烟器线路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检修预热线路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对调轮胎（更换旧轮胎）</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检修后排空调风槽</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更换倒车开关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更换升降器开关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更换发电机皮带轮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更换冷气皮带轮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Times New Roman" w:hAnsi="Times New Roman" w:cs="Times New Roman"/>
          <w:color w:val="auto"/>
          <w:sz w:val="21"/>
          <w:szCs w:val="21"/>
          <w:highlight w:val="none"/>
        </w:rPr>
        <w:br w:type="page"/>
      </w:r>
    </w:p>
    <w:bookmarkEnd w:id="15"/>
    <w:bookmarkEnd w:id="16"/>
    <w:bookmarkEnd w:id="17"/>
    <w:bookmarkEnd w:id="18"/>
    <w:p>
      <w:pPr>
        <w:pStyle w:val="3"/>
        <w:spacing w:before="0" w:after="0" w:line="240" w:lineRule="auto"/>
        <w:jc w:val="left"/>
        <w:outlineLvl w:val="0"/>
        <w:rPr>
          <w:rFonts w:hint="eastAsia" w:ascii="宋体" w:hAnsi="宋体" w:eastAsia="宋体" w:cs="宋体"/>
          <w:color w:val="auto"/>
          <w:sz w:val="24"/>
          <w:szCs w:val="24"/>
          <w:highlight w:val="none"/>
        </w:rPr>
      </w:pPr>
      <w:bookmarkStart w:id="21" w:name="_Toc27940"/>
      <w:r>
        <w:rPr>
          <w:rFonts w:hint="eastAsia" w:ascii="宋体" w:hAnsi="宋体" w:eastAsia="宋体" w:cs="宋体"/>
          <w:color w:val="auto"/>
          <w:sz w:val="28"/>
          <w:szCs w:val="28"/>
          <w:highlight w:val="none"/>
        </w:rPr>
        <w:t>第四部分投标人须知</w:t>
      </w:r>
      <w:bookmarkEnd w:id="21"/>
    </w:p>
    <w:p>
      <w:pPr>
        <w:pStyle w:val="4"/>
        <w:numPr>
          <w:ilvl w:val="0"/>
          <w:numId w:val="4"/>
        </w:numPr>
        <w:spacing w:before="0" w:after="0" w:line="480" w:lineRule="auto"/>
        <w:jc w:val="center"/>
        <w:outlineLvl w:val="1"/>
        <w:rPr>
          <w:rFonts w:hint="eastAsia" w:ascii="宋体" w:hAnsi="宋体" w:eastAsia="宋体" w:cs="宋体"/>
          <w:color w:val="auto"/>
          <w:highlight w:val="none"/>
        </w:rPr>
      </w:pPr>
      <w:bookmarkStart w:id="22" w:name="_Toc21984"/>
      <w:r>
        <w:rPr>
          <w:rFonts w:hint="eastAsia" w:ascii="宋体" w:hAnsi="宋体" w:eastAsia="宋体" w:cs="宋体"/>
          <w:color w:val="auto"/>
          <w:highlight w:val="none"/>
        </w:rPr>
        <w:t>说明</w:t>
      </w:r>
      <w:bookmarkEnd w:id="22"/>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23" w:name="_Toc3534"/>
      <w:bookmarkStart w:id="24" w:name="_Toc27341"/>
      <w:r>
        <w:rPr>
          <w:rFonts w:hint="eastAsia" w:ascii="宋体" w:hAnsi="宋体" w:eastAsia="宋体" w:cs="宋体"/>
          <w:color w:val="auto"/>
          <w:sz w:val="21"/>
          <w:szCs w:val="21"/>
          <w:highlight w:val="none"/>
        </w:rPr>
        <w:t>适用范围</w:t>
      </w:r>
      <w:bookmarkEnd w:id="23"/>
      <w:bookmarkEnd w:id="24"/>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采购范围：见本文件《用户需求书》</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25" w:name="_Toc382049092"/>
      <w:bookmarkStart w:id="26" w:name="_Toc303084246"/>
      <w:bookmarkStart w:id="27" w:name="_Toc20286"/>
      <w:bookmarkStart w:id="28" w:name="_Toc21398"/>
      <w:bookmarkStart w:id="29" w:name="_Toc298847174"/>
      <w:bookmarkStart w:id="30" w:name="_Toc1530"/>
      <w:r>
        <w:rPr>
          <w:rFonts w:hint="eastAsia" w:ascii="宋体" w:hAnsi="宋体" w:eastAsia="宋体" w:cs="宋体"/>
          <w:color w:val="auto"/>
          <w:sz w:val="21"/>
          <w:szCs w:val="21"/>
          <w:highlight w:val="none"/>
        </w:rPr>
        <w:t>定义</w:t>
      </w:r>
      <w:bookmarkEnd w:id="25"/>
      <w:bookmarkEnd w:id="26"/>
      <w:bookmarkEnd w:id="27"/>
      <w:bookmarkEnd w:id="28"/>
      <w:bookmarkEnd w:id="29"/>
      <w:bookmarkEnd w:id="30"/>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采购人：见投标邀请书。</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投标人：响应采购并且符合采购文件规定资格条件和参加投标竞争的法人、其他组织或者自然人。</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法人：法人是依法在国内进行注册并具有民事权利能力和民事行为能力，依法独立享有民事权利和承担民事义务的组织。</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中标人：指经评标委员会评审推荐、采购人确认的获得本项目中标资格的投标人。</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采购代理机构：见投标邀请书。</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评标委员会：评标委员会是依据相关规定组建的专门负责本次采购其评标工作的临时性机构。</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合同：指由本次采购所产生的合同或合约文件。</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时间：本文件规定按日计算期间的，开始当天不计入，从次日开始计算。期限的最后一日是国家法定节假日的，顺延到节假日后的次日为期限的最后一日。</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31" w:name="_Toc11624"/>
      <w:bookmarkStart w:id="32" w:name="_Toc9152"/>
      <w:r>
        <w:rPr>
          <w:rFonts w:hint="eastAsia" w:ascii="宋体" w:hAnsi="宋体" w:eastAsia="宋体" w:cs="宋体"/>
          <w:color w:val="auto"/>
          <w:sz w:val="21"/>
          <w:szCs w:val="21"/>
          <w:highlight w:val="none"/>
        </w:rPr>
        <w:t>货物和服务</w:t>
      </w:r>
      <w:bookmarkEnd w:id="31"/>
      <w:bookmarkEnd w:id="32"/>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货物是指各种形态和种类的物品，包括原材料、燃料、设备、产品等。</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服务是指除货物和工程以外的其他采购对象。</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33" w:name="_Toc20516"/>
      <w:bookmarkStart w:id="34" w:name="_Toc15719"/>
      <w:r>
        <w:rPr>
          <w:rFonts w:hint="eastAsia" w:ascii="宋体" w:hAnsi="宋体" w:eastAsia="宋体" w:cs="宋体"/>
          <w:color w:val="auto"/>
          <w:sz w:val="21"/>
          <w:szCs w:val="21"/>
          <w:highlight w:val="none"/>
        </w:rPr>
        <w:t>投标费用</w:t>
      </w:r>
      <w:bookmarkEnd w:id="33"/>
      <w:bookmarkEnd w:id="34"/>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jc w:val="both"/>
        <w:rPr>
          <w:rFonts w:hint="eastAsia" w:ascii="宋体" w:hAnsi="宋体" w:eastAsia="宋体" w:cs="宋体"/>
          <w:color w:val="auto"/>
          <w:szCs w:val="21"/>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35" w:name="_Toc6180"/>
      <w:bookmarkStart w:id="36" w:name="_Toc32510"/>
      <w:r>
        <w:rPr>
          <w:rFonts w:hint="eastAsia" w:ascii="宋体" w:hAnsi="宋体" w:eastAsia="宋体" w:cs="宋体"/>
          <w:color w:val="auto"/>
          <w:sz w:val="21"/>
          <w:szCs w:val="21"/>
          <w:highlight w:val="none"/>
        </w:rPr>
        <w:t>知识产权</w:t>
      </w:r>
      <w:bookmarkEnd w:id="35"/>
      <w:bookmarkEnd w:id="36"/>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采购人享有本项目实施过程中产生的知识成果及知识产权。</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采购货物为计算机办公设备时，投标人提供的产品必须是预装正版操作系统软件的计算机产品。</w:t>
      </w:r>
    </w:p>
    <w:p>
      <w:pPr>
        <w:widowControl w:val="0"/>
        <w:adjustRightInd/>
        <w:snapToGrid/>
        <w:ind w:left="567"/>
        <w:jc w:val="both"/>
        <w:rPr>
          <w:rFonts w:hint="eastAsia" w:ascii="宋体" w:hAnsi="宋体" w:eastAsia="宋体" w:cs="宋体"/>
          <w:color w:val="auto"/>
          <w:szCs w:val="21"/>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37" w:name="_Toc30283"/>
      <w:bookmarkStart w:id="38" w:name="_Toc2352"/>
      <w:r>
        <w:rPr>
          <w:rFonts w:hint="eastAsia" w:ascii="宋体" w:hAnsi="宋体" w:eastAsia="宋体" w:cs="宋体"/>
          <w:color w:val="auto"/>
          <w:sz w:val="21"/>
          <w:szCs w:val="21"/>
          <w:highlight w:val="none"/>
        </w:rPr>
        <w:t>关于联合体投标</w:t>
      </w:r>
      <w:bookmarkEnd w:id="37"/>
      <w:bookmarkEnd w:id="38"/>
    </w:p>
    <w:p>
      <w:pPr>
        <w:pStyle w:val="41"/>
        <w:widowControl w:val="0"/>
        <w:adjustRightInd/>
        <w:snapToGrid/>
        <w:ind w:left="425" w:hanging="425"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对接受联合体投标的项目：两个以上的自然人、法人或者其他组织可以组成一个联合体，以一个投标人的身份共同参加采购活动。</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以联合体形式参与项目的供应商在领购采购文件时，应提供所有联合体组成成员的营业执照复印件，并加盖各联合体组成成员的公章。</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联合体各方均应具有独立承担民事责任能力的法人或其他组织。</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供应商为联合体的，可以由联合体中的任意一方交纳保证金，其交纳的保证金对联合体各方均具有约束力。</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ind w:left="567"/>
        <w:jc w:val="both"/>
        <w:rPr>
          <w:rFonts w:hint="eastAsia" w:ascii="宋体" w:hAnsi="宋体" w:eastAsia="宋体" w:cs="宋体"/>
          <w:color w:val="auto"/>
          <w:szCs w:val="21"/>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39" w:name="_Toc3572"/>
      <w:bookmarkStart w:id="40" w:name="_Toc14948"/>
      <w:r>
        <w:rPr>
          <w:rFonts w:hint="eastAsia" w:ascii="宋体" w:hAnsi="宋体" w:eastAsia="宋体" w:cs="宋体"/>
          <w:color w:val="auto"/>
          <w:sz w:val="21"/>
          <w:szCs w:val="21"/>
          <w:highlight w:val="none"/>
        </w:rPr>
        <w:t>关于分支机构投标</w:t>
      </w:r>
      <w:bookmarkEnd w:id="39"/>
      <w:bookmarkEnd w:id="40"/>
    </w:p>
    <w:p>
      <w:pPr>
        <w:pStyle w:val="41"/>
        <w:widowControl w:val="0"/>
        <w:adjustRightInd/>
        <w:snapToGrid/>
        <w:ind w:left="425" w:hanging="425" w:firstLineChars="0"/>
        <w:jc w:val="both"/>
        <w:rPr>
          <w:rFonts w:hint="eastAsia" w:ascii="宋体" w:hAnsi="宋体" w:eastAsia="宋体" w:cs="宋体"/>
          <w:vanish/>
          <w:color w:val="auto"/>
          <w:szCs w:val="21"/>
          <w:highlight w:val="none"/>
        </w:rPr>
      </w:pPr>
      <w:bookmarkStart w:id="41" w:name="EB389f116341dd4693875bc7987e7327f3"/>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1"/>
    </w:p>
    <w:p>
      <w:pPr>
        <w:widowControl w:val="0"/>
        <w:adjustRightInd/>
        <w:snapToGrid/>
        <w:ind w:left="567"/>
        <w:jc w:val="both"/>
        <w:rPr>
          <w:rFonts w:hint="eastAsia" w:ascii="宋体" w:hAnsi="宋体" w:eastAsia="宋体" w:cs="宋体"/>
          <w:color w:val="auto"/>
          <w:szCs w:val="21"/>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42" w:name="_Toc14160"/>
      <w:r>
        <w:rPr>
          <w:rFonts w:hint="eastAsia" w:ascii="宋体" w:hAnsi="宋体" w:eastAsia="宋体" w:cs="宋体"/>
          <w:color w:val="auto"/>
          <w:sz w:val="21"/>
          <w:szCs w:val="21"/>
          <w:highlight w:val="none"/>
        </w:rPr>
        <w:t>踏勘现场</w:t>
      </w:r>
      <w:bookmarkEnd w:id="42"/>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《投标资料表》规定组织踏勘现场的，采购人按《投标资料表》规定的时间、地点组织响应人踏勘项目现场；</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响应人踏勘现场发生的费用自理；</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除采购人的原因外，响应人自行负责在踏勘现场中所发生的人员伤亡和财产损失；</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采购人在踏勘现场中介绍的实施地点和相关的周边环境情况，供响应人在编制响应文件时参考，采购人不对响应人据此作出的判断和决策负责；</w:t>
      </w:r>
    </w:p>
    <w:p>
      <w:pPr>
        <w:rPr>
          <w:rFonts w:hint="eastAsia" w:ascii="宋体" w:hAnsi="宋体" w:eastAsia="宋体" w:cs="宋体"/>
          <w:color w:val="auto"/>
          <w:highlight w:val="none"/>
        </w:rPr>
      </w:pPr>
    </w:p>
    <w:p>
      <w:pPr>
        <w:pStyle w:val="4"/>
        <w:numPr>
          <w:ilvl w:val="0"/>
          <w:numId w:val="4"/>
        </w:numPr>
        <w:spacing w:before="0" w:after="0" w:line="360" w:lineRule="auto"/>
        <w:jc w:val="center"/>
        <w:outlineLvl w:val="1"/>
        <w:rPr>
          <w:rFonts w:hint="eastAsia" w:ascii="宋体" w:hAnsi="宋体" w:eastAsia="宋体" w:cs="宋体"/>
          <w:color w:val="auto"/>
          <w:highlight w:val="none"/>
        </w:rPr>
      </w:pPr>
      <w:bookmarkStart w:id="43" w:name="_Toc25695"/>
      <w:bookmarkStart w:id="44" w:name="_Toc9444"/>
      <w:r>
        <w:rPr>
          <w:rFonts w:hint="eastAsia" w:ascii="宋体" w:hAnsi="宋体" w:eastAsia="宋体" w:cs="宋体"/>
          <w:color w:val="auto"/>
          <w:highlight w:val="none"/>
        </w:rPr>
        <w:t>采购文件</w:t>
      </w:r>
      <w:bookmarkEnd w:id="43"/>
      <w:bookmarkEnd w:id="44"/>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45" w:name="_Toc10638"/>
      <w:bookmarkStart w:id="46" w:name="_Toc24813"/>
      <w:r>
        <w:rPr>
          <w:rFonts w:hint="eastAsia" w:ascii="宋体" w:hAnsi="宋体" w:eastAsia="宋体" w:cs="宋体"/>
          <w:color w:val="auto"/>
          <w:sz w:val="21"/>
          <w:szCs w:val="21"/>
          <w:highlight w:val="none"/>
        </w:rPr>
        <w:t>采购文件的组成</w:t>
      </w:r>
      <w:bookmarkEnd w:id="45"/>
      <w:bookmarkEnd w:id="46"/>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采购文件包括：</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（1）投标邀请书；</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（2）投标资料表；</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（3）用户需求书；</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（4）投标人须知；</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（7）在采购过程中由采购代理机构发出的澄清更正文件等。</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47" w:name="_Toc21125"/>
      <w:bookmarkStart w:id="48" w:name="_Toc21392"/>
      <w:r>
        <w:rPr>
          <w:rFonts w:hint="eastAsia" w:ascii="宋体" w:hAnsi="宋体" w:eastAsia="宋体" w:cs="宋体"/>
          <w:color w:val="auto"/>
          <w:sz w:val="21"/>
          <w:szCs w:val="21"/>
          <w:highlight w:val="none"/>
        </w:rPr>
        <w:t>采购文件的澄清或修改</w:t>
      </w:r>
      <w:bookmarkEnd w:id="47"/>
      <w:bookmarkEnd w:id="48"/>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采购期间，投标人有义务上网查看，公告一经上网发布，即视为送达。因投标人未及时上网查看而造成的所有后果，由投标人自行承担。</w:t>
      </w:r>
    </w:p>
    <w:p>
      <w:pPr>
        <w:widowControl w:val="0"/>
        <w:adjustRightInd/>
        <w:snapToGrid/>
        <w:ind w:left="567"/>
        <w:jc w:val="both"/>
        <w:rPr>
          <w:rFonts w:hint="eastAsia" w:ascii="宋体" w:hAnsi="宋体" w:eastAsia="宋体" w:cs="宋体"/>
          <w:color w:val="auto"/>
          <w:szCs w:val="21"/>
          <w:highlight w:val="none"/>
        </w:rPr>
      </w:pPr>
    </w:p>
    <w:p>
      <w:pPr>
        <w:pStyle w:val="4"/>
        <w:numPr>
          <w:ilvl w:val="0"/>
          <w:numId w:val="4"/>
        </w:numPr>
        <w:spacing w:before="0" w:after="0" w:line="360" w:lineRule="auto"/>
        <w:jc w:val="center"/>
        <w:outlineLvl w:val="1"/>
        <w:rPr>
          <w:rFonts w:hint="eastAsia" w:ascii="宋体" w:hAnsi="宋体" w:eastAsia="宋体" w:cs="宋体"/>
          <w:color w:val="auto"/>
          <w:highlight w:val="none"/>
        </w:rPr>
      </w:pPr>
      <w:bookmarkStart w:id="49" w:name="_Toc12454"/>
      <w:bookmarkStart w:id="50" w:name="_Toc12343"/>
      <w:r>
        <w:rPr>
          <w:rFonts w:hint="eastAsia" w:ascii="宋体" w:hAnsi="宋体" w:eastAsia="宋体" w:cs="宋体"/>
          <w:color w:val="auto"/>
          <w:highlight w:val="none"/>
        </w:rPr>
        <w:t>投标文件的编制</w:t>
      </w:r>
      <w:bookmarkEnd w:id="49"/>
      <w:bookmarkEnd w:id="50"/>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51" w:name="_Toc16938"/>
      <w:bookmarkStart w:id="52" w:name="_Toc888"/>
      <w:r>
        <w:rPr>
          <w:rFonts w:hint="eastAsia" w:ascii="宋体" w:hAnsi="宋体" w:eastAsia="宋体" w:cs="宋体"/>
          <w:color w:val="auto"/>
          <w:sz w:val="21"/>
          <w:szCs w:val="21"/>
          <w:highlight w:val="none"/>
        </w:rPr>
        <w:t>投标文件的语言及度量衡单位</w:t>
      </w:r>
      <w:bookmarkEnd w:id="51"/>
      <w:bookmarkEnd w:id="52"/>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pPr>
        <w:widowControl w:val="0"/>
        <w:adjustRightInd/>
        <w:snapToGrid/>
        <w:ind w:left="567"/>
        <w:jc w:val="both"/>
        <w:rPr>
          <w:rFonts w:hint="eastAsia" w:ascii="宋体" w:hAnsi="宋体" w:eastAsia="宋体" w:cs="宋体"/>
          <w:color w:val="auto"/>
          <w:szCs w:val="21"/>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53" w:name="_Toc28866"/>
      <w:bookmarkStart w:id="54" w:name="_Toc382049103"/>
      <w:bookmarkStart w:id="55" w:name="_Toc11466"/>
      <w:bookmarkStart w:id="56" w:name="_Toc303084256"/>
      <w:bookmarkStart w:id="57" w:name="_Toc307934854"/>
      <w:bookmarkStart w:id="58" w:name="_Toc29073"/>
      <w:r>
        <w:rPr>
          <w:rFonts w:hint="eastAsia" w:ascii="宋体" w:hAnsi="宋体" w:eastAsia="宋体" w:cs="宋体"/>
          <w:color w:val="auto"/>
          <w:sz w:val="21"/>
          <w:szCs w:val="21"/>
          <w:highlight w:val="none"/>
        </w:rPr>
        <w:t>投标文件的组成</w:t>
      </w:r>
      <w:bookmarkEnd w:id="53"/>
      <w:bookmarkEnd w:id="54"/>
      <w:bookmarkEnd w:id="55"/>
      <w:bookmarkEnd w:id="56"/>
      <w:bookmarkEnd w:id="57"/>
      <w:bookmarkEnd w:id="58"/>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包括但不限于采购文件附件格式中要求提供的表格。</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59" w:name="_Toc10505"/>
      <w:bookmarkStart w:id="60" w:name="_Toc755"/>
      <w:r>
        <w:rPr>
          <w:rFonts w:hint="eastAsia" w:ascii="宋体" w:hAnsi="宋体" w:eastAsia="宋体" w:cs="宋体"/>
          <w:color w:val="auto"/>
          <w:sz w:val="21"/>
          <w:szCs w:val="21"/>
          <w:highlight w:val="none"/>
        </w:rPr>
        <w:t>投标文件编制</w:t>
      </w:r>
      <w:bookmarkEnd w:id="59"/>
      <w:bookmarkEnd w:id="60"/>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bookmarkStart w:id="61" w:name="_Toc303084258"/>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因投标文件编制存在歧义对投标人产生负面影响的，投标人自行承担后果。</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投标单位名称与投标人公章不一致，若投标单位名称已进行变更，应在投标文件中提供相应的证明材料并加盖公章，否则投标文件无效。</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投标文件密封、标记及内容与本项目采购信息不符，导致无法分辨所投项目为本项目的，投标文件无效。</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投标人须客观撰写投标人简介（格式自理，并提供相关证明）以及所投的产品或服务说明。</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投标文件若出现以下内容，经评标委员会认定有可能间接影响评审秩序，作废标处理。</w:t>
      </w:r>
    </w:p>
    <w:p>
      <w:pPr>
        <w:pStyle w:val="41"/>
        <w:widowControl w:val="0"/>
        <w:numPr>
          <w:ilvl w:val="0"/>
          <w:numId w:val="7"/>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投标文件内出现无官方证明文件的行业地域排名或使用“国家级”、“最高级”、“最佳”等用语字眼的。</w:t>
      </w:r>
    </w:p>
    <w:p>
      <w:pPr>
        <w:pStyle w:val="41"/>
        <w:widowControl w:val="0"/>
        <w:numPr>
          <w:ilvl w:val="0"/>
          <w:numId w:val="7"/>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投标文件内出现恶意诋毁、贬低其他生产经营者的商品或者服务的内容。</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有下列情形之一的，视为投标人串通投标，其投标无效：</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（6）不同投标人的投标保证金从同一单位或者个人的账户转出。</w:t>
      </w:r>
    </w:p>
    <w:bookmarkEnd w:id="61"/>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62" w:name="_Toc6154"/>
      <w:bookmarkStart w:id="63" w:name="_Toc7429"/>
      <w:r>
        <w:rPr>
          <w:rFonts w:hint="eastAsia" w:ascii="宋体" w:hAnsi="宋体" w:eastAsia="宋体" w:cs="宋体"/>
          <w:color w:val="auto"/>
          <w:sz w:val="21"/>
          <w:szCs w:val="21"/>
          <w:highlight w:val="none"/>
        </w:rPr>
        <w:t>投标报价说明</w:t>
      </w:r>
      <w:bookmarkEnd w:id="62"/>
      <w:bookmarkEnd w:id="63"/>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本次采购，投标人应按用户需求中的要求进行投标报价，少报无效。</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投标人所提供的货物或服务均以人民币（或相关费率）报价。</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投标报价应包含完成本次采购所有服务内容的费用，包含各种税务费及合同实施过程中的全部费用和售后服务费等。</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中标后开出的所有发票必须与中标人的名称一致。</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64" w:name="_Toc17669"/>
      <w:bookmarkStart w:id="65" w:name="_Toc21207"/>
      <w:r>
        <w:rPr>
          <w:rFonts w:hint="eastAsia" w:ascii="宋体" w:hAnsi="宋体" w:eastAsia="宋体" w:cs="宋体"/>
          <w:color w:val="auto"/>
          <w:sz w:val="21"/>
          <w:szCs w:val="21"/>
          <w:highlight w:val="none"/>
        </w:rPr>
        <w:t>投标人所提供的服务或货物的证明文件</w:t>
      </w:r>
      <w:bookmarkEnd w:id="64"/>
      <w:bookmarkEnd w:id="65"/>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bookmarkStart w:id="66" w:name="_Hlt107925638"/>
      <w:bookmarkEnd w:id="66"/>
      <w:bookmarkStart w:id="67" w:name="_Hlt107925668"/>
      <w:bookmarkEnd w:id="67"/>
      <w:r>
        <w:rPr>
          <w:rFonts w:hint="eastAsia" w:ascii="宋体" w:hAnsi="宋体" w:eastAsia="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有下列情形之一的，视为投标人弄虚作假，其投标无效：</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1、使用通过受让或者租借等方式获取的资格、资质证书投标的，属于以他人名义投标。</w:t>
      </w:r>
    </w:p>
    <w:p>
      <w:pPr>
        <w:pStyle w:val="41"/>
        <w:widowControl w:val="0"/>
        <w:adjustRightInd/>
        <w:snapToGrid/>
        <w:ind w:left="425" w:firstLine="0" w:firstLineChars="0"/>
        <w:jc w:val="both"/>
        <w:outlineLvl w:val="9"/>
        <w:rPr>
          <w:rFonts w:hint="eastAsia" w:ascii="宋体" w:hAnsi="宋体" w:eastAsia="宋体" w:cs="宋体"/>
          <w:color w:val="auto"/>
          <w:highlight w:val="none"/>
        </w:rPr>
      </w:pPr>
      <w:bookmarkStart w:id="68" w:name="_Toc6464"/>
      <w:r>
        <w:rPr>
          <w:rFonts w:hint="eastAsia" w:ascii="宋体" w:hAnsi="宋体" w:eastAsia="宋体" w:cs="宋体"/>
          <w:color w:val="auto"/>
          <w:highlight w:val="none"/>
        </w:rPr>
        <w:t>2、投标人有下列情形之一的，属于以其他方式弄虚作假的行为：</w:t>
      </w:r>
      <w:bookmarkEnd w:id="68"/>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pPr>
        <w:pStyle w:val="41"/>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（5）其他弄虚作假的行为。</w:t>
      </w: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69" w:name="_Toc8324"/>
      <w:bookmarkStart w:id="70" w:name="_Toc30425"/>
      <w:r>
        <w:rPr>
          <w:rFonts w:hint="eastAsia" w:ascii="宋体" w:hAnsi="宋体" w:eastAsia="宋体" w:cs="宋体"/>
          <w:color w:val="auto"/>
          <w:sz w:val="21"/>
          <w:szCs w:val="21"/>
          <w:highlight w:val="none"/>
        </w:rPr>
        <w:t>投标有效期</w:t>
      </w:r>
      <w:bookmarkEnd w:id="69"/>
      <w:bookmarkEnd w:id="70"/>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投标文件应根据投标人须知的规定在投标截止日后的90天内保持有效。</w:t>
      </w:r>
    </w:p>
    <w:p>
      <w:pPr>
        <w:widowControl w:val="0"/>
        <w:adjustRightInd/>
        <w:snapToGrid/>
        <w:ind w:left="567"/>
        <w:jc w:val="both"/>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71" w:name="_Toc21064"/>
      <w:bookmarkStart w:id="72" w:name="_Toc12582"/>
      <w:r>
        <w:rPr>
          <w:rFonts w:hint="eastAsia" w:ascii="宋体" w:hAnsi="宋体" w:eastAsia="宋体" w:cs="宋体"/>
          <w:color w:val="auto"/>
          <w:sz w:val="21"/>
          <w:szCs w:val="21"/>
          <w:highlight w:val="none"/>
        </w:rPr>
        <w:t>投标保证金</w:t>
      </w:r>
      <w:bookmarkEnd w:id="71"/>
      <w:bookmarkEnd w:id="72"/>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bookmarkStart w:id="73" w:name="_Ref179619405"/>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投标人应在投标文件递交截止前提交相应的投标保证金，并作为其投标的一部分。</w:t>
      </w:r>
      <w:bookmarkEnd w:id="73"/>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凡没有根据本须知（17.1和17.3）的规定随附有效的投标保证金的投标，将被视为非响应性投标予以拒绝。</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投标保证金有效期应当与投标有效期一致。采购人如果按照采购文件另外规定延长了投标文件有效期，则投标担保的有效期也相应延长。</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中标人在签订采购合同并按采购文件第（33）条规定提交履约担保</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，携带退保证金声明函、投标保证金汇款单复印件（加盖公章）和合同正本到采购人处办理投标保证金（无息）退回手续。</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下列任何情况发生时，投标保证金将不予退还：</w:t>
      </w:r>
    </w:p>
    <w:p>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（1）投标人在采购文件中规定的投标有效期内撤回其投标；</w:t>
      </w:r>
    </w:p>
    <w:p>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（2）中标人无正当理由不与采购人订立合同，在签订合同时向采购人提出附加条件，或者不按照采购文件要求提交履约保证金的；</w:t>
      </w:r>
    </w:p>
    <w:p>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（3）中标人将本项目转让给他人，或者在投标文件中未说明，且未经采购人同意，将中标项目分包给他人的；</w:t>
      </w:r>
    </w:p>
    <w:p>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（4）投标人提供虚假投标文件或虚假补充文件的。</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在中标通知书发出后，未中标投标人的投标保证金，由采购人自行返还至投标人的原转出账户。</w:t>
      </w:r>
    </w:p>
    <w:p>
      <w:pPr>
        <w:rPr>
          <w:rFonts w:hint="eastAsia" w:ascii="宋体" w:hAnsi="宋体" w:eastAsia="宋体" w:cs="宋体"/>
          <w:color w:val="auto"/>
          <w:highlight w:val="none"/>
        </w:rPr>
      </w:pPr>
    </w:p>
    <w:p>
      <w:pPr>
        <w:pStyle w:val="4"/>
        <w:numPr>
          <w:ilvl w:val="0"/>
          <w:numId w:val="4"/>
        </w:numPr>
        <w:spacing w:before="0" w:after="0" w:line="360" w:lineRule="auto"/>
        <w:jc w:val="center"/>
        <w:outlineLvl w:val="1"/>
        <w:rPr>
          <w:rFonts w:hint="eastAsia" w:ascii="宋体" w:hAnsi="宋体" w:eastAsia="宋体" w:cs="宋体"/>
          <w:color w:val="auto"/>
          <w:highlight w:val="none"/>
        </w:rPr>
      </w:pPr>
      <w:bookmarkStart w:id="74" w:name="_Toc30352"/>
      <w:bookmarkStart w:id="75" w:name="_Toc3899"/>
      <w:r>
        <w:rPr>
          <w:rFonts w:hint="eastAsia" w:ascii="宋体" w:hAnsi="宋体" w:eastAsia="宋体" w:cs="宋体"/>
          <w:color w:val="auto"/>
          <w:highlight w:val="none"/>
        </w:rPr>
        <w:t>投标文件的递交</w:t>
      </w:r>
      <w:bookmarkEnd w:id="74"/>
      <w:bookmarkEnd w:id="75"/>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76" w:name="_Toc24150"/>
      <w:bookmarkStart w:id="77" w:name="_Toc303084264"/>
      <w:bookmarkStart w:id="78" w:name="_Toc9934"/>
      <w:bookmarkStart w:id="79" w:name="_Toc382049111"/>
      <w:bookmarkStart w:id="80" w:name="_Toc24997"/>
      <w:r>
        <w:rPr>
          <w:rFonts w:hint="eastAsia" w:ascii="宋体" w:hAnsi="宋体" w:eastAsia="宋体" w:cs="宋体"/>
          <w:color w:val="auto"/>
          <w:sz w:val="21"/>
          <w:szCs w:val="21"/>
          <w:highlight w:val="none"/>
        </w:rPr>
        <w:t>投标文件的装订，签署，密封和标记</w:t>
      </w:r>
      <w:bookmarkEnd w:id="76"/>
      <w:bookmarkEnd w:id="77"/>
      <w:bookmarkEnd w:id="78"/>
      <w:bookmarkEnd w:id="79"/>
      <w:bookmarkEnd w:id="80"/>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投标人应按《投标资料表》的份数准备价格文件、商务文件、技术文件、唱标信封和电子文件（</w:t>
      </w:r>
      <w:r>
        <w:rPr>
          <w:rFonts w:hint="eastAsia" w:ascii="宋体" w:hAnsi="宋体" w:eastAsia="宋体" w:cs="宋体"/>
          <w:b/>
          <w:color w:val="auto"/>
          <w:szCs w:val="21"/>
          <w:highlight w:val="none"/>
        </w:rPr>
        <w:t>价格文件、商务文件、技术文件分别单独装订成册</w:t>
      </w:r>
      <w:r>
        <w:rPr>
          <w:rFonts w:hint="eastAsia" w:ascii="宋体" w:hAnsi="宋体" w:eastAsia="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联合体投标文件的【正本】及【副本】的封面及骑缝均须加盖所有联合体组成成员的公章。（文件每页盖章等同于盖骑缝章）</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除投标人对错误处修改外，全套投标文件应无涂改或行间插字和增删。如有修改，修改处须由法定代表人或其正式授权代表在旁边签字及盖章。</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投标人应将投标文件进行非透明的封装，以防止投标文件内容的泄露。采购代理机构将拒绝接收采用透明包装进行密封的投标文件。</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密封破损导致投标文件内容直接或间接泄露的投标文件，采购代理机构将拒绝接收。</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未单独提交唱标信封的投标人投标文件不进行唱标，投标文件作无效处理。</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所有的信封均应注明： </w:t>
      </w:r>
    </w:p>
    <w:p>
      <w:pPr>
        <w:widowControl w:val="0"/>
        <w:numPr>
          <w:ilvl w:val="0"/>
          <w:numId w:val="8"/>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收件人： </w:t>
      </w:r>
    </w:p>
    <w:p>
      <w:pPr>
        <w:widowControl w:val="0"/>
        <w:numPr>
          <w:ilvl w:val="0"/>
          <w:numId w:val="8"/>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p>
      <w:pPr>
        <w:widowControl w:val="0"/>
        <w:numPr>
          <w:ilvl w:val="0"/>
          <w:numId w:val="8"/>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pPr>
        <w:widowControl w:val="0"/>
        <w:numPr>
          <w:ilvl w:val="0"/>
          <w:numId w:val="8"/>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项目采购项目编号：</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密封信封上的项目编号错误或项目名称出现严重歧义的（包括采购内容不符），采购代理机构将拒绝接收。</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采购代理机构对所有投标文件的误投或提前启封概不负责。</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投标人同时参加几个包投标时必须按采购文件要求按包号分别制作投标文件，分别密封递交。</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传真、电传的投标文件将被拒绝。</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递交的投标文件中所提供的通讯方式应保持联络畅通，因联系不上而导致的所有后果由投标人自行承担。</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81" w:name="_Toc25895"/>
      <w:bookmarkStart w:id="82" w:name="_Toc65"/>
      <w:r>
        <w:rPr>
          <w:rFonts w:hint="eastAsia" w:ascii="宋体" w:hAnsi="宋体" w:eastAsia="宋体" w:cs="宋体"/>
          <w:color w:val="auto"/>
          <w:sz w:val="21"/>
          <w:szCs w:val="21"/>
          <w:highlight w:val="none"/>
        </w:rPr>
        <w:t>迟交的投标文件</w:t>
      </w:r>
      <w:bookmarkEnd w:id="81"/>
      <w:bookmarkEnd w:id="82"/>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投标人在投标截止时间之后提交的投标文件，采购代理机构将拒绝接收。</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有违反其他法律规定情形的，采购代理机构将拒绝接收。</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83" w:name="_Toc12565"/>
      <w:bookmarkStart w:id="84" w:name="_Toc9143"/>
      <w:r>
        <w:rPr>
          <w:rFonts w:hint="eastAsia" w:ascii="宋体" w:hAnsi="宋体" w:eastAsia="宋体" w:cs="宋体"/>
          <w:color w:val="auto"/>
          <w:sz w:val="21"/>
          <w:szCs w:val="21"/>
          <w:highlight w:val="none"/>
        </w:rPr>
        <w:t>投标样品（如需提交）</w:t>
      </w:r>
      <w:bookmarkEnd w:id="83"/>
      <w:bookmarkEnd w:id="84"/>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如有必要，采购代理机构可以要求投标人提供本服务项目涉及的部分设备或产品样品，投标人在投标时应提交《样品清单》。</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为方便评标，投标人在提供样品时，应在所提供的样品表面显著位置标注投标人的名称、包号、样品名称、采购文件规定的服务或货物编号。</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85" w:name="_Toc303084265"/>
      <w:bookmarkStart w:id="86" w:name="_Toc9777"/>
      <w:bookmarkStart w:id="87" w:name="_Toc19970"/>
      <w:bookmarkStart w:id="88" w:name="_Toc382049112"/>
      <w:bookmarkStart w:id="89" w:name="_Toc1712"/>
      <w:r>
        <w:rPr>
          <w:rFonts w:hint="eastAsia" w:ascii="宋体" w:hAnsi="宋体" w:eastAsia="宋体" w:cs="宋体"/>
          <w:color w:val="auto"/>
          <w:sz w:val="21"/>
          <w:szCs w:val="21"/>
          <w:highlight w:val="none"/>
        </w:rPr>
        <w:t>投标截止期</w:t>
      </w:r>
      <w:bookmarkEnd w:id="85"/>
      <w:bookmarkEnd w:id="86"/>
      <w:bookmarkEnd w:id="87"/>
      <w:bookmarkEnd w:id="88"/>
      <w:bookmarkEnd w:id="89"/>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投标人应在采购文件规定的截止日期和时间内，将投标文件送达到指定地点。</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90" w:name="_Toc29742"/>
      <w:bookmarkStart w:id="91" w:name="_Toc31417"/>
      <w:r>
        <w:rPr>
          <w:rFonts w:hint="eastAsia" w:ascii="宋体" w:hAnsi="宋体" w:eastAsia="宋体" w:cs="宋体"/>
          <w:color w:val="auto"/>
          <w:sz w:val="21"/>
          <w:szCs w:val="21"/>
          <w:highlight w:val="none"/>
        </w:rPr>
        <w:t>投标文件的补充、修改与撤回</w:t>
      </w:r>
      <w:bookmarkEnd w:id="90"/>
      <w:bookmarkEnd w:id="91"/>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投标文件一经递交不予退还。</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在提交投标文件截止时间至投标有效期满之前，投标人不得撤回其投标，否则其投标保证金将不予退还。</w:t>
      </w:r>
    </w:p>
    <w:p>
      <w:pPr>
        <w:pStyle w:val="9"/>
        <w:rPr>
          <w:rFonts w:hint="eastAsia" w:ascii="宋体" w:hAnsi="宋体" w:eastAsia="宋体" w:cs="宋体"/>
          <w:color w:val="auto"/>
          <w:highlight w:val="none"/>
        </w:rPr>
      </w:pPr>
    </w:p>
    <w:p>
      <w:pPr>
        <w:pStyle w:val="4"/>
        <w:numPr>
          <w:ilvl w:val="0"/>
          <w:numId w:val="4"/>
        </w:numPr>
        <w:spacing w:before="0" w:after="0" w:line="360" w:lineRule="auto"/>
        <w:jc w:val="center"/>
        <w:outlineLvl w:val="1"/>
        <w:rPr>
          <w:rFonts w:hint="eastAsia" w:ascii="宋体" w:hAnsi="宋体" w:eastAsia="宋体" w:cs="宋体"/>
          <w:color w:val="auto"/>
          <w:highlight w:val="none"/>
        </w:rPr>
      </w:pPr>
      <w:bookmarkStart w:id="92" w:name="_Toc10556"/>
      <w:bookmarkStart w:id="93" w:name="_Toc7410"/>
      <w:r>
        <w:rPr>
          <w:rFonts w:hint="eastAsia" w:ascii="宋体" w:hAnsi="宋体" w:eastAsia="宋体" w:cs="宋体"/>
          <w:color w:val="auto"/>
          <w:highlight w:val="none"/>
        </w:rPr>
        <w:t>开标与评标</w:t>
      </w:r>
      <w:bookmarkEnd w:id="92"/>
      <w:bookmarkEnd w:id="93"/>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94" w:name="_Toc30735"/>
      <w:bookmarkStart w:id="95" w:name="_Toc31671"/>
      <w:r>
        <w:rPr>
          <w:rFonts w:hint="eastAsia" w:ascii="宋体" w:hAnsi="宋体" w:eastAsia="宋体" w:cs="宋体"/>
          <w:color w:val="auto"/>
          <w:sz w:val="21"/>
          <w:szCs w:val="21"/>
          <w:highlight w:val="none"/>
        </w:rPr>
        <w:t>开标</w:t>
      </w:r>
      <w:bookmarkEnd w:id="94"/>
      <w:bookmarkEnd w:id="95"/>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采购代理机构按本采购文件所规定的时间和地点公开开标，并邀请所有投标人代表参加。</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开标会由采购代理机构主持，投标人的法定代表人或其授权代表携带有效身份证明准时参加开标会并签名报到。</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投标人未参加开标的，视同认可开标结果。</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合格投标人不足3家的，不得开标；</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开标过程应当由采购人或者采购代理机构负责记录，由参加开标的各投标人代表和相关工作人员签字确认。</w:t>
      </w:r>
    </w:p>
    <w:p>
      <w:pPr>
        <w:widowControl w:val="0"/>
        <w:adjustRightInd/>
        <w:snapToGrid/>
        <w:ind w:left="567"/>
        <w:jc w:val="both"/>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96" w:name="_Toc3528"/>
      <w:bookmarkStart w:id="97" w:name="_Toc21394"/>
      <w:r>
        <w:rPr>
          <w:rFonts w:hint="eastAsia" w:ascii="宋体" w:hAnsi="宋体" w:eastAsia="宋体" w:cs="宋体"/>
          <w:color w:val="auto"/>
          <w:sz w:val="21"/>
          <w:szCs w:val="21"/>
          <w:highlight w:val="none"/>
        </w:rPr>
        <w:t>评标委员会及评标方法</w:t>
      </w:r>
      <w:bookmarkEnd w:id="96"/>
      <w:bookmarkEnd w:id="97"/>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评审方法：本次采购的评审方法采用综合评分法。</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评标委员会和采购人在评审过程中有权核对投标文件中相关材料的原件，投标人在接到通知后应在评标委员会规定的时间内提交原件核查。</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98" w:name="_Toc29507"/>
      <w:bookmarkStart w:id="99" w:name="_Toc4198"/>
      <w:r>
        <w:rPr>
          <w:rFonts w:hint="eastAsia" w:ascii="宋体" w:hAnsi="宋体" w:eastAsia="宋体" w:cs="宋体"/>
          <w:color w:val="auto"/>
          <w:sz w:val="21"/>
          <w:szCs w:val="21"/>
          <w:highlight w:val="none"/>
        </w:rPr>
        <w:t>评审原则及评标过程的保密</w:t>
      </w:r>
      <w:bookmarkEnd w:id="98"/>
      <w:bookmarkEnd w:id="99"/>
    </w:p>
    <w:p>
      <w:pPr>
        <w:pStyle w:val="41"/>
        <w:widowControl w:val="0"/>
        <w:numPr>
          <w:ilvl w:val="0"/>
          <w:numId w:val="6"/>
        </w:numPr>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评审的基本原则：评标委员会将依据采购文件的规定，遵循“公开、公平、公正、择优、信用”的原则进行评审工作。</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从公开开标到签订合同，凡与审查、澄清、评审和投标有关的资料以及定标意见相关的事项，均不得向投标人及与评标无关的其他人透露。</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任何单位和个人不得非法干预、影响评标的过程和结果。</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00" w:name="_Toc7922"/>
      <w:r>
        <w:rPr>
          <w:rFonts w:hint="eastAsia" w:ascii="宋体" w:hAnsi="宋体" w:eastAsia="宋体" w:cs="宋体"/>
          <w:color w:val="auto"/>
          <w:sz w:val="21"/>
          <w:szCs w:val="21"/>
          <w:highlight w:val="none"/>
        </w:rPr>
        <w:t>评标程序</w:t>
      </w:r>
      <w:bookmarkEnd w:id="100"/>
    </w:p>
    <w:p>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资格性、符合性审查</w:t>
      </w:r>
    </w:p>
    <w:p>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《资格性、符合性审查表》</w:t>
      </w:r>
    </w:p>
    <w:tbl>
      <w:tblPr>
        <w:tblStyle w:val="2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restart"/>
            <w:tcBorders>
              <w:top w:val="single" w:color="auto" w:sz="4" w:space="0"/>
              <w:left w:val="single" w:color="auto" w:sz="4" w:space="0"/>
              <w:right w:val="single" w:color="auto" w:sz="4" w:space="0"/>
              <w:tl2br w:val="nil"/>
              <w:tr2bl w:val="nil"/>
            </w:tcBorders>
            <w:vAlign w:val="center"/>
          </w:tcPr>
          <w:p>
            <w:pPr>
              <w:numPr>
                <w:ilvl w:val="0"/>
                <w:numId w:val="9"/>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（1）投标人须为在中华人民共和国境内登记注册的具有独立承担民事责任能力的法人【提供《营业执照》复印件（加盖公章）】；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（3）投标人的单位负责人为同一人或者存在直接控股、管理关系的不同投标人，不得参加同一合同项下的采购活动（须提供声明</w:t>
            </w:r>
            <w:r>
              <w:rPr>
                <w:rFonts w:hint="eastAsia" w:ascii="宋体" w:hAnsi="宋体" w:eastAsia="宋体" w:cs="宋体"/>
                <w:color w:val="auto"/>
                <w:szCs w:val="21"/>
                <w:highlight w:val="none"/>
                <w:lang w:val="en-US" w:eastAsia="zh-CN"/>
              </w:rPr>
              <w:t>函</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Merge w:val="continue"/>
            <w:tcBorders>
              <w:left w:val="single" w:color="auto" w:sz="4" w:space="0"/>
              <w:bottom w:val="single" w:color="auto" w:sz="4" w:space="0"/>
              <w:right w:val="single" w:color="auto" w:sz="4" w:space="0"/>
              <w:tl2br w:val="nil"/>
              <w:tr2bl w:val="nil"/>
            </w:tcBorders>
            <w:vAlign w:val="center"/>
          </w:tcPr>
          <w:p>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）符合投标人资格要求中其他要求（如有）。（提供《附件9.相关资质证明文件》中对应证明文件。）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9"/>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投标人按照采购文件要求提交投标保证金；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9"/>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投标文件按照采购文件要求签署盖章；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9"/>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lang w:bidi="ar"/>
              </w:rPr>
            </w:pPr>
            <w:r>
              <w:rPr>
                <w:rFonts w:hint="eastAsia" w:ascii="宋体" w:hAnsi="宋体" w:cs="宋体"/>
                <w:color w:val="auto"/>
                <w:szCs w:val="21"/>
                <w:highlight w:val="none"/>
                <w:lang w:val="en-US" w:eastAsia="zh-CN" w:bidi="ar"/>
              </w:rPr>
              <w:t>供应商</w:t>
            </w:r>
            <w:r>
              <w:rPr>
                <w:rFonts w:hint="eastAsia" w:ascii="宋体" w:hAnsi="宋体" w:eastAsia="宋体" w:cs="宋体"/>
                <w:color w:val="auto"/>
                <w:szCs w:val="21"/>
                <w:highlight w:val="none"/>
                <w:lang w:bidi="ar"/>
              </w:rPr>
              <w:t>价格包括</w:t>
            </w:r>
            <w:r>
              <w:rPr>
                <w:rFonts w:hint="eastAsia" w:ascii="宋体" w:hAnsi="宋体" w:cs="宋体"/>
                <w:color w:val="auto"/>
                <w:szCs w:val="21"/>
                <w:highlight w:val="none"/>
                <w:lang w:val="en-US" w:eastAsia="zh-CN" w:bidi="ar"/>
              </w:rPr>
              <w:t>及符合下面</w:t>
            </w:r>
            <w:r>
              <w:rPr>
                <w:rFonts w:hint="eastAsia" w:ascii="宋体" w:hAnsi="宋体" w:eastAsia="宋体" w:cs="宋体"/>
                <w:color w:val="auto"/>
                <w:szCs w:val="21"/>
                <w:highlight w:val="none"/>
                <w:lang w:bidi="ar"/>
              </w:rPr>
              <w:t>内容：</w:t>
            </w:r>
          </w:p>
          <w:p>
            <w:pP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（1）投标报价未超过本项目报价区间的，分别为维修工时费用（报价区间：3%≤下浮率≤100%）及汽车</w:t>
            </w:r>
            <w:r>
              <w:rPr>
                <w:rFonts w:hint="eastAsia" w:ascii="宋体" w:hAnsi="宋体" w:cs="宋体"/>
                <w:color w:val="auto"/>
                <w:szCs w:val="21"/>
                <w:highlight w:val="none"/>
                <w:lang w:eastAsia="zh-CN" w:bidi="ar"/>
              </w:rPr>
              <w:t>零配件费用</w:t>
            </w:r>
            <w:r>
              <w:rPr>
                <w:rFonts w:hint="eastAsia" w:ascii="宋体" w:hAnsi="宋体" w:eastAsia="宋体" w:cs="宋体"/>
                <w:color w:val="auto"/>
                <w:szCs w:val="21"/>
                <w:highlight w:val="none"/>
                <w:lang w:bidi="ar"/>
              </w:rPr>
              <w:t>（报价区间：</w:t>
            </w:r>
            <w:r>
              <w:rPr>
                <w:rFonts w:hint="eastAsia" w:ascii="宋体" w:hAnsi="宋体" w:cs="宋体"/>
                <w:color w:val="auto"/>
                <w:szCs w:val="21"/>
                <w:highlight w:val="none"/>
                <w:lang w:eastAsia="zh-CN" w:bidi="ar"/>
              </w:rPr>
              <w:t>0%≤下浮率≤100%</w:t>
            </w:r>
            <w:r>
              <w:rPr>
                <w:rFonts w:hint="eastAsia" w:ascii="宋体" w:hAnsi="宋体" w:eastAsia="宋体" w:cs="宋体"/>
                <w:color w:val="auto"/>
                <w:szCs w:val="21"/>
                <w:highlight w:val="none"/>
                <w:lang w:bidi="ar"/>
              </w:rPr>
              <w:t>）</w:t>
            </w:r>
            <w:r>
              <w:rPr>
                <w:rFonts w:hint="eastAsia" w:ascii="宋体" w:hAnsi="宋体" w:cs="宋体"/>
                <w:color w:val="auto"/>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无负偏离标注“★”符号的条款。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未出现</w:t>
            </w:r>
            <w:r>
              <w:rPr>
                <w:rFonts w:hint="eastAsia" w:ascii="宋体" w:hAnsi="宋体" w:eastAsia="宋体" w:cs="宋体"/>
                <w:color w:val="auto"/>
                <w:szCs w:val="21"/>
                <w:highlight w:val="none"/>
                <w:lang w:bidi="ar"/>
              </w:rPr>
              <w:t>法律、法规和招标文件规定的其他无效情形。</w:t>
            </w:r>
          </w:p>
        </w:tc>
      </w:tr>
    </w:tbl>
    <w:p>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pPr>
        <w:widowControl w:val="0"/>
        <w:numPr>
          <w:ilvl w:val="1"/>
          <w:numId w:val="5"/>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投标文件报价出现前后不一致的，评标委员会按照下列规定修正：</w:t>
      </w:r>
    </w:p>
    <w:p>
      <w:pPr>
        <w:widowControl w:val="0"/>
        <w:numPr>
          <w:ilvl w:val="0"/>
          <w:numId w:val="10"/>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投标文件中开标一览表（报价表）内容与投标文件中相应内容不一致的，以开标一览表（报价表）为准；</w:t>
      </w:r>
    </w:p>
    <w:p>
      <w:pPr>
        <w:widowControl w:val="0"/>
        <w:numPr>
          <w:ilvl w:val="0"/>
          <w:numId w:val="10"/>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大写金额和小写金额不一致的，以大写金额为准；</w:t>
      </w:r>
    </w:p>
    <w:p>
      <w:pPr>
        <w:widowControl w:val="0"/>
        <w:numPr>
          <w:ilvl w:val="0"/>
          <w:numId w:val="10"/>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单价金额小数点或者百分比有明显错位的，以开标一览表的总价为准，并修改单价；</w:t>
      </w:r>
    </w:p>
    <w:p>
      <w:pPr>
        <w:widowControl w:val="0"/>
        <w:numPr>
          <w:ilvl w:val="0"/>
          <w:numId w:val="10"/>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pPr>
        <w:widowControl w:val="0"/>
        <w:numPr>
          <w:ilvl w:val="0"/>
          <w:numId w:val="10"/>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同时出现两种以上不一致的，按照前款规定的顺序修正。修正后的报价按照经投标人确认后产生约束力，投标人不确认的，其投标无效。</w:t>
      </w:r>
    </w:p>
    <w:p>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  对于投标文件中不构成实质性偏差的不正规、不一致或不规则，评标委员会可以接受，但这种接受不能损害或影响任何投标人的相对排序。</w:t>
      </w:r>
    </w:p>
    <w:p>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pStyle w:val="9"/>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01" w:name="_Toc4799"/>
      <w:bookmarkStart w:id="102" w:name="_Toc22349"/>
      <w:r>
        <w:rPr>
          <w:rFonts w:hint="eastAsia" w:ascii="宋体" w:hAnsi="宋体" w:eastAsia="宋体" w:cs="宋体"/>
          <w:color w:val="auto"/>
          <w:sz w:val="21"/>
          <w:szCs w:val="21"/>
          <w:highlight w:val="none"/>
        </w:rPr>
        <w:t>商务、技术、价格评审（具体评审项目详见投标资料表）</w:t>
      </w:r>
      <w:bookmarkEnd w:id="101"/>
      <w:bookmarkEnd w:id="102"/>
    </w:p>
    <w:p>
      <w:pPr>
        <w:pStyle w:val="41"/>
        <w:widowControl w:val="0"/>
        <w:numPr>
          <w:ilvl w:val="0"/>
          <w:numId w:val="6"/>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pPr>
        <w:widowControl w:val="0"/>
        <w:tabs>
          <w:tab w:val="left" w:pos="907"/>
        </w:tabs>
        <w:adjustRightInd/>
        <w:snapToGrid/>
        <w:ind w:left="567"/>
        <w:jc w:val="both"/>
        <w:rPr>
          <w:rFonts w:hint="eastAsia" w:ascii="宋体" w:hAnsi="宋体" w:eastAsia="宋体" w:cs="宋体"/>
          <w:color w:val="auto"/>
          <w:szCs w:val="21"/>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03" w:name="_Toc316375620"/>
      <w:bookmarkStart w:id="104" w:name="_Toc10487"/>
      <w:bookmarkStart w:id="105" w:name="_Toc21663"/>
      <w:bookmarkStart w:id="106" w:name="_Toc20328"/>
      <w:bookmarkStart w:id="107" w:name="_Toc382049120"/>
      <w:r>
        <w:rPr>
          <w:rFonts w:hint="eastAsia" w:ascii="宋体" w:hAnsi="宋体" w:eastAsia="宋体" w:cs="宋体"/>
          <w:color w:val="auto"/>
          <w:sz w:val="21"/>
          <w:szCs w:val="21"/>
          <w:highlight w:val="none"/>
        </w:rPr>
        <w:t>纪律和保密</w:t>
      </w:r>
      <w:bookmarkEnd w:id="103"/>
      <w:r>
        <w:rPr>
          <w:rFonts w:hint="eastAsia" w:ascii="宋体" w:hAnsi="宋体" w:eastAsia="宋体" w:cs="宋体"/>
          <w:color w:val="auto"/>
          <w:sz w:val="21"/>
          <w:szCs w:val="21"/>
          <w:highlight w:val="none"/>
        </w:rPr>
        <w:t>事项</w:t>
      </w:r>
      <w:bookmarkEnd w:id="104"/>
      <w:bookmarkEnd w:id="105"/>
      <w:bookmarkEnd w:id="106"/>
      <w:bookmarkEnd w:id="107"/>
    </w:p>
    <w:p>
      <w:pPr>
        <w:pStyle w:val="41"/>
        <w:widowControl w:val="0"/>
        <w:numPr>
          <w:ilvl w:val="0"/>
          <w:numId w:val="6"/>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投标人不得串通作弊，以不正当的手段妨碍、排挤其他投标人，扰乱采购市场，破坏公平竞争原则。否则将按相关法律规定严肃处理。</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获得本采购文件的投标人，应对文件进行保密，不得用作本次投标以外的任何用途。开标后，投标人应归还采购文件中要求保密的文件和资料。</w:t>
      </w:r>
    </w:p>
    <w:p>
      <w:pPr>
        <w:rPr>
          <w:rFonts w:hint="eastAsia" w:ascii="宋体" w:hAnsi="宋体" w:eastAsia="宋体" w:cs="宋体"/>
          <w:color w:val="auto"/>
          <w:highlight w:val="none"/>
        </w:rPr>
      </w:pPr>
    </w:p>
    <w:p>
      <w:pPr>
        <w:pStyle w:val="4"/>
        <w:numPr>
          <w:ilvl w:val="0"/>
          <w:numId w:val="4"/>
        </w:numPr>
        <w:spacing w:before="0" w:after="0" w:line="360" w:lineRule="auto"/>
        <w:jc w:val="center"/>
        <w:outlineLvl w:val="1"/>
        <w:rPr>
          <w:rFonts w:hint="eastAsia" w:ascii="宋体" w:hAnsi="宋体" w:eastAsia="宋体" w:cs="宋体"/>
          <w:color w:val="auto"/>
          <w:highlight w:val="none"/>
        </w:rPr>
      </w:pPr>
      <w:bookmarkStart w:id="108" w:name="_Toc31988"/>
      <w:bookmarkStart w:id="109" w:name="_Toc1109"/>
      <w:r>
        <w:rPr>
          <w:rFonts w:hint="eastAsia" w:ascii="宋体" w:hAnsi="宋体" w:eastAsia="宋体" w:cs="宋体"/>
          <w:color w:val="auto"/>
          <w:highlight w:val="none"/>
        </w:rPr>
        <w:t>授予合同</w:t>
      </w:r>
      <w:bookmarkEnd w:id="108"/>
      <w:bookmarkEnd w:id="109"/>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10" w:name="_Toc22623"/>
      <w:bookmarkStart w:id="111" w:name="_Toc14975"/>
      <w:bookmarkStart w:id="112" w:name="_Toc508284011"/>
      <w:r>
        <w:rPr>
          <w:rFonts w:hint="eastAsia" w:ascii="宋体" w:hAnsi="宋体" w:eastAsia="宋体" w:cs="宋体"/>
          <w:color w:val="auto"/>
          <w:sz w:val="21"/>
          <w:szCs w:val="21"/>
          <w:highlight w:val="none"/>
        </w:rPr>
        <w:t>合同授予标准</w:t>
      </w:r>
      <w:bookmarkEnd w:id="110"/>
      <w:bookmarkEnd w:id="111"/>
      <w:bookmarkEnd w:id="112"/>
    </w:p>
    <w:p>
      <w:pPr>
        <w:pStyle w:val="41"/>
        <w:widowControl w:val="0"/>
        <w:numPr>
          <w:ilvl w:val="0"/>
          <w:numId w:val="6"/>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根据评标委员会的评审结果，采购人按照评审报告推荐的中标候选人中按顺序依法确定中标人。</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13" w:name="_Toc508284013"/>
      <w:bookmarkStart w:id="114" w:name="_Toc10545"/>
      <w:bookmarkStart w:id="115" w:name="_Toc22540"/>
      <w:r>
        <w:rPr>
          <w:rFonts w:hint="eastAsia" w:ascii="宋体" w:hAnsi="宋体" w:eastAsia="宋体" w:cs="宋体"/>
          <w:color w:val="auto"/>
          <w:sz w:val="21"/>
          <w:szCs w:val="21"/>
          <w:highlight w:val="none"/>
        </w:rPr>
        <w:t>发布中标结果</w:t>
      </w:r>
      <w:bookmarkEnd w:id="113"/>
      <w:bookmarkEnd w:id="114"/>
      <w:bookmarkEnd w:id="115"/>
    </w:p>
    <w:p>
      <w:pPr>
        <w:pStyle w:val="41"/>
        <w:widowControl w:val="0"/>
        <w:numPr>
          <w:ilvl w:val="0"/>
          <w:numId w:val="6"/>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评标委员会提出评标书面报告和推荐中标意见报采购人确认后，采购代理机构将在指定的信息发布媒体上发布公告。</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中标公告期限为3个日历日。</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《中标通知书》是合同的一个组成部分，《中标通知书》对采购人和中标人均具有同等法律效力。</w:t>
      </w:r>
    </w:p>
    <w:p>
      <w:pPr>
        <w:widowControl w:val="0"/>
        <w:tabs>
          <w:tab w:val="left" w:pos="907"/>
        </w:tabs>
        <w:adjustRightInd/>
        <w:snapToGrid/>
        <w:jc w:val="both"/>
        <w:rPr>
          <w:rFonts w:hint="eastAsia" w:ascii="宋体" w:hAnsi="宋体" w:eastAsia="宋体" w:cs="宋体"/>
          <w:color w:val="auto"/>
          <w:szCs w:val="21"/>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16" w:name="_Toc13517"/>
      <w:bookmarkStart w:id="117" w:name="_Toc11420"/>
      <w:r>
        <w:rPr>
          <w:rFonts w:hint="eastAsia" w:ascii="宋体" w:hAnsi="宋体" w:eastAsia="宋体" w:cs="宋体"/>
          <w:color w:val="auto"/>
          <w:sz w:val="21"/>
          <w:szCs w:val="21"/>
          <w:highlight w:val="none"/>
        </w:rPr>
        <w:t>资格后审</w:t>
      </w:r>
      <w:bookmarkEnd w:id="116"/>
      <w:bookmarkEnd w:id="117"/>
    </w:p>
    <w:p>
      <w:pPr>
        <w:pStyle w:val="41"/>
        <w:widowControl w:val="0"/>
        <w:numPr>
          <w:ilvl w:val="0"/>
          <w:numId w:val="6"/>
        </w:numPr>
        <w:tabs>
          <w:tab w:val="left" w:pos="567"/>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采购人将有权根据本文件中的要求，对评委会推荐的中标候选人进行资格后审。</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中标候选人须无条件配合资格后审，否则采购人有权取消其中标资格，且投标保证金可不予退还。</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pPr>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18" w:name="_Toc5759"/>
      <w:bookmarkStart w:id="119" w:name="_Toc27302"/>
      <w:r>
        <w:rPr>
          <w:rFonts w:hint="eastAsia" w:ascii="宋体" w:hAnsi="宋体" w:eastAsia="宋体" w:cs="宋体"/>
          <w:color w:val="auto"/>
          <w:sz w:val="21"/>
          <w:szCs w:val="21"/>
          <w:highlight w:val="none"/>
        </w:rPr>
        <w:t>合同的签订与履行</w:t>
      </w:r>
      <w:bookmarkEnd w:id="118"/>
      <w:bookmarkEnd w:id="119"/>
    </w:p>
    <w:p>
      <w:pPr>
        <w:pStyle w:val="41"/>
        <w:widowControl w:val="0"/>
        <w:numPr>
          <w:ilvl w:val="0"/>
          <w:numId w:val="6"/>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采购人与中标人应当根据合同的约定依法履行合同义务。</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采购合同的履行、违约责任和解决争议的方法等适用《中华人民共和国民法典》。</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pPr>
        <w:widowControl w:val="0"/>
        <w:tabs>
          <w:tab w:val="left" w:pos="907"/>
        </w:tabs>
        <w:adjustRightInd/>
        <w:snapToGrid/>
        <w:jc w:val="both"/>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20" w:name="_Toc303084277"/>
      <w:bookmarkStart w:id="121" w:name="_Toc382049124"/>
      <w:bookmarkStart w:id="122" w:name="_Toc29009"/>
      <w:bookmarkStart w:id="123" w:name="_Toc6617"/>
      <w:bookmarkStart w:id="124" w:name="_Toc246"/>
      <w:r>
        <w:rPr>
          <w:rFonts w:hint="eastAsia" w:ascii="宋体" w:hAnsi="宋体" w:eastAsia="宋体" w:cs="宋体"/>
          <w:color w:val="auto"/>
          <w:sz w:val="21"/>
          <w:szCs w:val="21"/>
          <w:highlight w:val="none"/>
        </w:rPr>
        <w:t>履约</w:t>
      </w:r>
      <w:bookmarkEnd w:id="120"/>
      <w:bookmarkEnd w:id="121"/>
      <w:bookmarkEnd w:id="122"/>
      <w:r>
        <w:rPr>
          <w:rFonts w:hint="eastAsia" w:ascii="宋体" w:hAnsi="宋体" w:eastAsia="宋体" w:cs="宋体"/>
          <w:color w:val="auto"/>
          <w:sz w:val="21"/>
          <w:szCs w:val="21"/>
          <w:highlight w:val="none"/>
        </w:rPr>
        <w:t>担保</w:t>
      </w:r>
      <w:bookmarkEnd w:id="123"/>
      <w:bookmarkEnd w:id="124"/>
    </w:p>
    <w:p>
      <w:pPr>
        <w:pStyle w:val="41"/>
        <w:widowControl w:val="0"/>
        <w:numPr>
          <w:ilvl w:val="0"/>
          <w:numId w:val="6"/>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w:t>
      </w:r>
      <w:r>
        <w:rPr>
          <w:rFonts w:hint="eastAsia" w:ascii="宋体" w:hAnsi="宋体" w:cs="宋体"/>
          <w:color w:val="auto"/>
          <w:szCs w:val="21"/>
          <w:highlight w:val="none"/>
        </w:rPr>
        <w:t>在合同签署时</w:t>
      </w:r>
      <w:r>
        <w:rPr>
          <w:rFonts w:hint="eastAsia" w:ascii="宋体" w:hAnsi="宋体" w:eastAsia="宋体" w:cs="宋体"/>
          <w:color w:val="auto"/>
          <w:szCs w:val="21"/>
          <w:highlight w:val="none"/>
        </w:rPr>
        <w:t>提交履约担保，履约担保金额</w:t>
      </w:r>
      <w:r>
        <w:rPr>
          <w:rFonts w:hint="eastAsia" w:ascii="宋体" w:hAnsi="宋体" w:cs="宋体"/>
          <w:color w:val="auto"/>
          <w:szCs w:val="21"/>
          <w:highlight w:val="none"/>
          <w:lang w:val="en-US" w:eastAsia="zh-CN"/>
        </w:rPr>
        <w:t>按贰拾伍万元</w:t>
      </w:r>
      <w:r>
        <w:rPr>
          <w:rFonts w:hint="eastAsia" w:ascii="宋体" w:hAnsi="宋体" w:eastAsia="宋体" w:cs="宋体"/>
          <w:color w:val="auto"/>
          <w:szCs w:val="21"/>
          <w:highlight w:val="none"/>
        </w:rPr>
        <w:t>，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履约担保期限从合同签订之日起至项目服务期结束后，无项目纠纷后，经双方签字</w:t>
      </w:r>
      <w:r>
        <w:rPr>
          <w:rFonts w:hint="eastAsia" w:ascii="宋体" w:hAnsi="宋体" w:eastAsia="宋体" w:cs="宋体"/>
          <w:color w:val="auto"/>
          <w:szCs w:val="21"/>
          <w:highlight w:val="none"/>
          <w:u w:val="single"/>
        </w:rPr>
        <w:t>7</w:t>
      </w:r>
      <w:r>
        <w:rPr>
          <w:rFonts w:hint="eastAsia" w:ascii="宋体" w:hAnsi="宋体" w:eastAsia="宋体" w:cs="宋体"/>
          <w:color w:val="auto"/>
          <w:szCs w:val="21"/>
          <w:highlight w:val="none"/>
        </w:rPr>
        <w:t>天内保持有效。</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履约担保可以采用下列任何一种形式：</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银行转账方式提交，但不可以采用现金方式提交。履约保证金金额贰拾伍万元。中标人人必须保证履约保证金以中标人的名称在（合同约定的日期）前提交至采购人指定账户。</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为取得履约担保所需的费用，由中标人承担；若工期延误，履约担保时间延长，延长费用由中标人承担。</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下列任何情况发生时，采购人有权行使享有的担保权利：</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（1）中标人将本项目转让给他人，或者在投标文件中未说明，且未经采购人同意，将中标项目分包给他人的；</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（2）中标人在履行采购合同期间，违反有关法律法规的规定及合同约定的条款，损害了采购人的利益。</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在整个项目验收合格后，中标人向采购人提交退回履约担保的申请，采购人办理履约担保退还手续。</w:t>
      </w:r>
    </w:p>
    <w:p>
      <w:pPr>
        <w:widowControl w:val="0"/>
        <w:tabs>
          <w:tab w:val="left" w:pos="907"/>
        </w:tabs>
        <w:adjustRightInd/>
        <w:snapToGrid/>
        <w:jc w:val="both"/>
        <w:rPr>
          <w:rFonts w:hint="eastAsia" w:ascii="宋体" w:hAnsi="宋体" w:eastAsia="宋体" w:cs="宋体"/>
          <w:color w:val="auto"/>
          <w:highlight w:val="none"/>
        </w:rPr>
      </w:pPr>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25" w:name="_Toc18880"/>
      <w:bookmarkStart w:id="126" w:name="_Toc27808"/>
      <w:r>
        <w:rPr>
          <w:rFonts w:hint="eastAsia" w:ascii="宋体" w:hAnsi="宋体" w:eastAsia="宋体" w:cs="宋体"/>
          <w:color w:val="auto"/>
          <w:sz w:val="21"/>
          <w:szCs w:val="21"/>
          <w:highlight w:val="none"/>
        </w:rPr>
        <w:t>预付款保函（适用于预付款支付）</w:t>
      </w:r>
      <w:bookmarkEnd w:id="125"/>
      <w:bookmarkEnd w:id="126"/>
    </w:p>
    <w:p>
      <w:pPr>
        <w:pStyle w:val="41"/>
        <w:widowControl w:val="0"/>
        <w:numPr>
          <w:ilvl w:val="0"/>
          <w:numId w:val="6"/>
        </w:numPr>
        <w:tabs>
          <w:tab w:val="left" w:pos="567"/>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预付款保函应：</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（1）由东莞市行政区域内的银行支行及以上银行机构开具。</w:t>
      </w:r>
    </w:p>
    <w:p>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（2）必须打印，手写、涂改无效</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若中标人不能按本须知（34.1至34.2）的规定执行，采购人将不予支付预付款。</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pPr>
        <w:rPr>
          <w:rFonts w:hint="eastAsia" w:ascii="宋体" w:hAnsi="宋体" w:eastAsia="宋体" w:cs="宋体"/>
          <w:color w:val="auto"/>
          <w:highlight w:val="none"/>
        </w:rPr>
      </w:pPr>
    </w:p>
    <w:p>
      <w:pPr>
        <w:pStyle w:val="4"/>
        <w:numPr>
          <w:ilvl w:val="0"/>
          <w:numId w:val="4"/>
        </w:numPr>
        <w:spacing w:before="0" w:after="0" w:line="360" w:lineRule="auto"/>
        <w:jc w:val="center"/>
        <w:outlineLvl w:val="1"/>
        <w:rPr>
          <w:rFonts w:hint="eastAsia" w:ascii="宋体" w:hAnsi="宋体" w:eastAsia="宋体" w:cs="宋体"/>
          <w:color w:val="auto"/>
          <w:highlight w:val="none"/>
        </w:rPr>
      </w:pPr>
      <w:bookmarkStart w:id="127" w:name="_Toc21814"/>
      <w:bookmarkStart w:id="128" w:name="_Toc23393"/>
      <w:r>
        <w:rPr>
          <w:rFonts w:hint="eastAsia" w:ascii="宋体" w:hAnsi="宋体" w:eastAsia="宋体" w:cs="宋体"/>
          <w:color w:val="auto"/>
          <w:highlight w:val="none"/>
        </w:rPr>
        <w:t>异议</w:t>
      </w:r>
      <w:bookmarkEnd w:id="127"/>
      <w:bookmarkEnd w:id="128"/>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29" w:name="_Toc9791"/>
      <w:bookmarkStart w:id="130" w:name="_Toc8463"/>
      <w:r>
        <w:rPr>
          <w:rFonts w:hint="eastAsia" w:ascii="宋体" w:hAnsi="宋体" w:eastAsia="宋体" w:cs="宋体"/>
          <w:color w:val="auto"/>
          <w:sz w:val="21"/>
          <w:szCs w:val="21"/>
          <w:highlight w:val="none"/>
        </w:rPr>
        <w:t>异议</w:t>
      </w:r>
      <w:bookmarkEnd w:id="129"/>
      <w:bookmarkEnd w:id="130"/>
    </w:p>
    <w:p>
      <w:pPr>
        <w:pStyle w:val="41"/>
        <w:widowControl w:val="0"/>
        <w:numPr>
          <w:ilvl w:val="0"/>
          <w:numId w:val="6"/>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采购文件的异议</w:t>
      </w:r>
      <w:r>
        <w:rPr>
          <w:rFonts w:hint="eastAsia" w:ascii="宋体" w:hAnsi="宋体" w:eastAsia="宋体" w:cs="宋体"/>
          <w:color w:val="auto"/>
          <w:szCs w:val="21"/>
          <w:highlight w:val="none"/>
        </w:rPr>
        <w:t xml:space="preserve">  </w:t>
      </w:r>
    </w:p>
    <w:p>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bCs/>
          <w:color w:val="auto"/>
          <w:kern w:val="2"/>
          <w:szCs w:val="21"/>
          <w:highlight w:val="none"/>
          <w:lang w:val="zh-CN"/>
        </w:rPr>
        <w:t>投标人或者其他利害关系人对采购文件有异议的，应当在投标截止时间10日前</w:t>
      </w:r>
      <w:r>
        <w:rPr>
          <w:rFonts w:hint="eastAsia" w:ascii="宋体" w:hAnsi="宋体" w:eastAsia="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eastAsia="宋体" w:cs="宋体"/>
          <w:bCs/>
          <w:color w:val="auto"/>
          <w:kern w:val="2"/>
          <w:szCs w:val="21"/>
          <w:highlight w:val="none"/>
          <w:lang w:val="zh-CN"/>
        </w:rPr>
        <w:t>异议</w:t>
      </w:r>
      <w:r>
        <w:rPr>
          <w:rFonts w:hint="eastAsia" w:ascii="宋体" w:hAnsi="宋体" w:eastAsia="宋体" w:cs="宋体"/>
          <w:color w:val="auto"/>
          <w:kern w:val="2"/>
          <w:szCs w:val="21"/>
          <w:highlight w:val="none"/>
          <w:lang w:val="zh-CN"/>
        </w:rPr>
        <w:t>书面材料必须加盖投标人法人公章，并注明联系人、联系电话、联系地址。</w:t>
      </w:r>
      <w:r>
        <w:rPr>
          <w:rFonts w:hint="eastAsia" w:ascii="宋体" w:hAnsi="宋体" w:eastAsia="宋体" w:cs="宋体"/>
          <w:bCs/>
          <w:color w:val="auto"/>
          <w:kern w:val="2"/>
          <w:szCs w:val="21"/>
          <w:highlight w:val="none"/>
          <w:lang w:val="zh-CN"/>
        </w:rPr>
        <w:t>超出</w:t>
      </w:r>
      <w:r>
        <w:rPr>
          <w:rFonts w:hint="eastAsia" w:ascii="宋体" w:hAnsi="宋体" w:eastAsia="宋体" w:cs="宋体"/>
          <w:color w:val="auto"/>
          <w:kern w:val="2"/>
          <w:szCs w:val="21"/>
          <w:highlight w:val="none"/>
          <w:lang w:val="zh-CN"/>
        </w:rPr>
        <w:t>提交接收异议截止时间而</w:t>
      </w:r>
      <w:r>
        <w:rPr>
          <w:rFonts w:hint="eastAsia" w:ascii="宋体" w:hAnsi="宋体" w:eastAsia="宋体" w:cs="宋体"/>
          <w:bCs/>
          <w:color w:val="auto"/>
          <w:kern w:val="2"/>
          <w:szCs w:val="21"/>
          <w:highlight w:val="none"/>
          <w:lang w:val="zh-CN"/>
        </w:rPr>
        <w:t>提出的任何疑问，</w:t>
      </w:r>
      <w:r>
        <w:rPr>
          <w:rFonts w:hint="eastAsia" w:ascii="宋体" w:hAnsi="宋体" w:eastAsia="宋体" w:cs="宋体"/>
          <w:bCs/>
          <w:color w:val="auto"/>
          <w:kern w:val="2"/>
          <w:szCs w:val="21"/>
          <w:highlight w:val="none"/>
        </w:rPr>
        <w:t>采购人或</w:t>
      </w:r>
      <w:r>
        <w:rPr>
          <w:rFonts w:hint="eastAsia" w:ascii="宋体" w:hAnsi="宋体" w:eastAsia="宋体" w:cs="宋体"/>
          <w:bCs/>
          <w:color w:val="auto"/>
          <w:kern w:val="2"/>
          <w:szCs w:val="21"/>
          <w:highlight w:val="none"/>
          <w:lang w:val="zh-CN"/>
        </w:rPr>
        <w:t>采购代理机构可不予答复。</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评标结果异议</w:t>
      </w:r>
      <w:r>
        <w:rPr>
          <w:rFonts w:hint="eastAsia" w:ascii="宋体" w:hAnsi="宋体" w:eastAsia="宋体" w:cs="宋体"/>
          <w:color w:val="auto"/>
          <w:szCs w:val="21"/>
          <w:highlight w:val="none"/>
        </w:rPr>
        <w:t xml:space="preserve">   </w:t>
      </w:r>
    </w:p>
    <w:p>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以联合体形式参加采购活动的，其异议应当由组成联合体的所有投标人共同提出。</w:t>
      </w:r>
    </w:p>
    <w:p>
      <w:pPr>
        <w:rPr>
          <w:rFonts w:hint="eastAsia" w:ascii="宋体" w:hAnsi="宋体" w:eastAsia="宋体" w:cs="宋体"/>
          <w:color w:val="auto"/>
          <w:highlight w:val="none"/>
        </w:rPr>
      </w:pPr>
    </w:p>
    <w:p>
      <w:pPr>
        <w:pStyle w:val="4"/>
        <w:numPr>
          <w:ilvl w:val="0"/>
          <w:numId w:val="4"/>
        </w:numPr>
        <w:spacing w:before="0" w:after="0" w:line="360" w:lineRule="auto"/>
        <w:jc w:val="center"/>
        <w:outlineLvl w:val="1"/>
        <w:rPr>
          <w:rFonts w:hint="eastAsia" w:ascii="宋体" w:hAnsi="宋体" w:eastAsia="宋体" w:cs="宋体"/>
          <w:color w:val="auto"/>
          <w:highlight w:val="none"/>
        </w:rPr>
      </w:pPr>
      <w:bookmarkStart w:id="131" w:name="_Toc18965"/>
      <w:bookmarkStart w:id="132" w:name="_Toc25765"/>
      <w:r>
        <w:rPr>
          <w:rFonts w:hint="eastAsia" w:ascii="宋体" w:hAnsi="宋体" w:eastAsia="宋体" w:cs="宋体"/>
          <w:color w:val="auto"/>
          <w:highlight w:val="none"/>
        </w:rPr>
        <w:t>其他</w:t>
      </w:r>
      <w:bookmarkEnd w:id="131"/>
      <w:bookmarkEnd w:id="132"/>
    </w:p>
    <w:p>
      <w:pPr>
        <w:pStyle w:val="5"/>
        <w:widowControl w:val="0"/>
        <w:numPr>
          <w:ilvl w:val="0"/>
          <w:numId w:val="5"/>
        </w:numPr>
        <w:overflowPunct w:val="0"/>
        <w:outlineLvl w:val="2"/>
        <w:rPr>
          <w:rFonts w:hint="eastAsia" w:ascii="宋体" w:hAnsi="宋体" w:eastAsia="宋体" w:cs="宋体"/>
          <w:color w:val="auto"/>
          <w:sz w:val="21"/>
          <w:szCs w:val="21"/>
          <w:highlight w:val="none"/>
        </w:rPr>
      </w:pPr>
      <w:bookmarkStart w:id="133" w:name="_Toc1587"/>
      <w:bookmarkStart w:id="134" w:name="_Toc15537"/>
      <w:r>
        <w:rPr>
          <w:rFonts w:hint="eastAsia" w:ascii="宋体" w:hAnsi="宋体" w:eastAsia="宋体" w:cs="宋体"/>
          <w:color w:val="auto"/>
          <w:sz w:val="21"/>
          <w:szCs w:val="21"/>
          <w:highlight w:val="none"/>
        </w:rPr>
        <w:t>采购文件的解释权</w:t>
      </w:r>
      <w:bookmarkEnd w:id="133"/>
      <w:bookmarkEnd w:id="134"/>
    </w:p>
    <w:p>
      <w:pPr>
        <w:pStyle w:val="41"/>
        <w:widowControl w:val="0"/>
        <w:numPr>
          <w:ilvl w:val="0"/>
          <w:numId w:val="6"/>
        </w:numPr>
        <w:tabs>
          <w:tab w:val="left" w:pos="907"/>
        </w:tabs>
        <w:adjustRightInd/>
        <w:snapToGrid/>
        <w:ind w:firstLineChars="0"/>
        <w:jc w:val="both"/>
        <w:rPr>
          <w:rFonts w:hint="eastAsia" w:ascii="宋体" w:hAnsi="宋体" w:eastAsia="宋体" w:cs="宋体"/>
          <w:vanish/>
          <w:color w:val="auto"/>
          <w:szCs w:val="21"/>
          <w:highlight w:val="none"/>
        </w:rPr>
      </w:pPr>
    </w:p>
    <w:p>
      <w:pPr>
        <w:widowControl w:val="0"/>
        <w:numPr>
          <w:ilvl w:val="1"/>
          <w:numId w:val="5"/>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本采购文件是根据国家有关法律、法规以及采购管理有关规定和参照国际惯例编制，解释权属本采购代理机构。</w:t>
      </w:r>
    </w:p>
    <w:p>
      <w:pPr>
        <w:widowControl w:val="0"/>
        <w:numPr>
          <w:ilvl w:val="1"/>
          <w:numId w:val="11"/>
        </w:numPr>
        <w:tabs>
          <w:tab w:val="left" w:pos="907"/>
        </w:tabs>
        <w:adjustRightInd/>
        <w:snapToGrid/>
        <w:spacing w:line="3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
        <w:spacing w:before="0" w:after="0" w:line="240" w:lineRule="auto"/>
        <w:outlineLvl w:val="0"/>
        <w:rPr>
          <w:rFonts w:hint="eastAsia" w:ascii="宋体" w:hAnsi="宋体" w:eastAsia="宋体" w:cs="宋体"/>
          <w:color w:val="auto"/>
          <w:sz w:val="28"/>
          <w:szCs w:val="28"/>
          <w:highlight w:val="none"/>
        </w:rPr>
      </w:pPr>
      <w:bookmarkStart w:id="135" w:name="_Toc27155"/>
      <w:r>
        <w:rPr>
          <w:rFonts w:hint="eastAsia" w:ascii="宋体" w:hAnsi="宋体" w:eastAsia="宋体" w:cs="宋体"/>
          <w:color w:val="auto"/>
          <w:sz w:val="28"/>
          <w:szCs w:val="28"/>
          <w:highlight w:val="none"/>
        </w:rPr>
        <w:t>第五部分  合同条款格式</w:t>
      </w:r>
      <w:bookmarkEnd w:id="135"/>
      <w:bookmarkStart w:id="136" w:name="_Toc15636"/>
    </w:p>
    <w:bookmarkEnd w:id="136"/>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bookmarkStart w:id="137" w:name="_Hlt109815959"/>
      <w:bookmarkEnd w:id="137"/>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p>
    <w:p>
      <w:pPr>
        <w:widowControl w:val="0"/>
        <w:adjustRightInd/>
        <w:snapToGrid w:val="0"/>
        <w:spacing w:line="360" w:lineRule="auto"/>
        <w:jc w:val="center"/>
        <w:rPr>
          <w:rFonts w:hint="eastAsia" w:ascii="宋体" w:hAnsi="宋体" w:cs="Times New Roman"/>
          <w:color w:val="auto"/>
          <w:sz w:val="48"/>
          <w:szCs w:val="48"/>
          <w:highlight w:val="none"/>
          <w:lang w:val="en-US" w:eastAsia="zh-CN"/>
        </w:rPr>
      </w:pPr>
      <w:r>
        <w:rPr>
          <w:rFonts w:hint="eastAsia" w:ascii="宋体" w:hAnsi="宋体" w:cs="Times New Roman"/>
          <w:color w:val="auto"/>
          <w:sz w:val="48"/>
          <w:szCs w:val="48"/>
          <w:highlight w:val="none"/>
          <w:lang w:val="en-US" w:eastAsia="zh-CN"/>
        </w:rPr>
        <w:t>东莞市骏安押运有限公司2024年度</w:t>
      </w:r>
    </w:p>
    <w:p>
      <w:pPr>
        <w:widowControl w:val="0"/>
        <w:adjustRightInd/>
        <w:snapToGrid w:val="0"/>
        <w:spacing w:line="360" w:lineRule="auto"/>
        <w:jc w:val="center"/>
        <w:rPr>
          <w:rFonts w:hint="eastAsia" w:ascii="宋体" w:hAnsi="宋体" w:cs="Times New Roman"/>
          <w:color w:val="auto"/>
          <w:sz w:val="48"/>
          <w:szCs w:val="48"/>
          <w:highlight w:val="none"/>
          <w:lang w:val="en-US" w:eastAsia="zh-CN"/>
        </w:rPr>
      </w:pPr>
      <w:r>
        <w:rPr>
          <w:rFonts w:hint="eastAsia" w:ascii="宋体" w:hAnsi="宋体" w:cs="Times New Roman"/>
          <w:color w:val="auto"/>
          <w:sz w:val="48"/>
          <w:szCs w:val="48"/>
          <w:highlight w:val="none"/>
          <w:lang w:val="en-US" w:eastAsia="zh-CN"/>
        </w:rPr>
        <w:t>车辆维修保养服务整体外包项目</w:t>
      </w:r>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lang w:val="en-US" w:eastAsia="zh-CN"/>
        </w:rPr>
      </w:pPr>
    </w:p>
    <w:p>
      <w:pPr>
        <w:widowControl w:val="0"/>
        <w:adjustRightInd/>
        <w:snapToGrid w:val="0"/>
        <w:spacing w:line="360" w:lineRule="auto"/>
        <w:ind w:firstLine="640" w:firstLineChars="200"/>
        <w:jc w:val="both"/>
        <w:rPr>
          <w:rFonts w:ascii="宋体" w:hAnsi="宋体" w:cs="Times New Roman"/>
          <w:color w:val="auto"/>
          <w:sz w:val="32"/>
          <w:szCs w:val="32"/>
          <w:highlight w:val="none"/>
        </w:rPr>
      </w:pPr>
      <w:r>
        <w:rPr>
          <w:rFonts w:hint="eastAsia" w:ascii="宋体" w:hAnsi="宋体" w:cs="Times New Roman"/>
          <w:color w:val="auto"/>
          <w:sz w:val="32"/>
          <w:szCs w:val="32"/>
          <w:highlight w:val="none"/>
          <w:lang w:val="en-US" w:eastAsia="zh-CN"/>
        </w:rPr>
        <w:t>甲方</w:t>
      </w:r>
      <w:r>
        <w:rPr>
          <w:rFonts w:hint="eastAsia" w:ascii="宋体" w:hAnsi="宋体" w:cs="Times New Roman"/>
          <w:color w:val="auto"/>
          <w:sz w:val="32"/>
          <w:szCs w:val="32"/>
          <w:highlight w:val="none"/>
        </w:rPr>
        <w:t>合同编号：</w:t>
      </w:r>
      <w:r>
        <w:rPr>
          <w:rFonts w:ascii="宋体" w:hAnsi="宋体" w:cs="Times New Roman"/>
          <w:color w:val="auto"/>
          <w:sz w:val="20"/>
          <w:szCs w:val="20"/>
          <w:highlight w:val="none"/>
        </w:rPr>
        <w:t>_________________________________________________</w:t>
      </w:r>
    </w:p>
    <w:p>
      <w:pPr>
        <w:widowControl w:val="0"/>
        <w:adjustRightInd/>
        <w:snapToGrid w:val="0"/>
        <w:spacing w:line="360" w:lineRule="auto"/>
        <w:ind w:firstLine="640" w:firstLineChars="200"/>
        <w:jc w:val="both"/>
        <w:rPr>
          <w:rFonts w:hint="eastAsia" w:ascii="宋体" w:hAnsi="宋体" w:cs="Times New Roman"/>
          <w:color w:val="auto"/>
          <w:sz w:val="32"/>
          <w:szCs w:val="32"/>
          <w:highlight w:val="none"/>
        </w:rPr>
      </w:pPr>
      <w:r>
        <w:rPr>
          <w:rFonts w:hint="eastAsia" w:ascii="宋体" w:hAnsi="宋体" w:cs="Times New Roman"/>
          <w:color w:val="auto"/>
          <w:sz w:val="32"/>
          <w:szCs w:val="32"/>
          <w:highlight w:val="none"/>
          <w:lang w:val="en-US" w:eastAsia="zh-CN"/>
        </w:rPr>
        <w:t>乙方</w:t>
      </w:r>
      <w:r>
        <w:rPr>
          <w:rFonts w:hint="eastAsia" w:ascii="宋体" w:hAnsi="宋体" w:cs="Times New Roman"/>
          <w:color w:val="auto"/>
          <w:sz w:val="32"/>
          <w:szCs w:val="32"/>
          <w:highlight w:val="none"/>
        </w:rPr>
        <w:t>合同编号：</w:t>
      </w:r>
      <w:r>
        <w:rPr>
          <w:rFonts w:ascii="宋体" w:hAnsi="宋体" w:cs="Times New Roman"/>
          <w:color w:val="auto"/>
          <w:sz w:val="20"/>
          <w:szCs w:val="20"/>
          <w:highlight w:val="none"/>
        </w:rPr>
        <w:t>_________________________________________________</w:t>
      </w:r>
    </w:p>
    <w:p>
      <w:pPr>
        <w:widowControl w:val="0"/>
        <w:adjustRightInd/>
        <w:snapToGrid w:val="0"/>
        <w:spacing w:line="360" w:lineRule="auto"/>
        <w:ind w:firstLine="640" w:firstLineChars="200"/>
        <w:jc w:val="both"/>
        <w:rPr>
          <w:rFonts w:ascii="宋体" w:hAnsi="宋体" w:cs="Times New Roman"/>
          <w:color w:val="auto"/>
          <w:sz w:val="32"/>
          <w:szCs w:val="32"/>
          <w:highlight w:val="none"/>
        </w:rPr>
      </w:pPr>
      <w:r>
        <w:rPr>
          <w:rFonts w:hint="eastAsia" w:ascii="宋体" w:hAnsi="宋体" w:cs="Times New Roman"/>
          <w:color w:val="auto"/>
          <w:sz w:val="32"/>
          <w:szCs w:val="32"/>
          <w:highlight w:val="none"/>
        </w:rPr>
        <w:t>甲方（</w:t>
      </w:r>
      <w:r>
        <w:rPr>
          <w:rFonts w:hint="eastAsia" w:ascii="宋体" w:hAnsi="宋体" w:cs="Times New Roman"/>
          <w:color w:val="auto"/>
          <w:sz w:val="32"/>
          <w:szCs w:val="32"/>
          <w:highlight w:val="none"/>
          <w:lang w:eastAsia="zh-CN"/>
        </w:rPr>
        <w:t>采购人</w:t>
      </w:r>
      <w:r>
        <w:rPr>
          <w:rFonts w:hint="eastAsia" w:ascii="宋体" w:hAnsi="宋体" w:cs="Times New Roman"/>
          <w:color w:val="auto"/>
          <w:sz w:val="32"/>
          <w:szCs w:val="32"/>
          <w:highlight w:val="none"/>
        </w:rPr>
        <w:t>）：</w:t>
      </w:r>
      <w:r>
        <w:rPr>
          <w:rFonts w:ascii="宋体" w:hAnsi="宋体" w:cs="Times New Roman"/>
          <w:color w:val="auto"/>
          <w:sz w:val="20"/>
          <w:szCs w:val="20"/>
          <w:highlight w:val="none"/>
        </w:rPr>
        <w:t>________________________________________</w:t>
      </w:r>
    </w:p>
    <w:p>
      <w:pPr>
        <w:widowControl w:val="0"/>
        <w:adjustRightInd/>
        <w:snapToGrid w:val="0"/>
        <w:spacing w:line="360" w:lineRule="auto"/>
        <w:ind w:firstLine="640" w:firstLineChars="200"/>
        <w:jc w:val="both"/>
        <w:rPr>
          <w:rFonts w:ascii="宋体" w:hAnsi="宋体" w:cs="Times New Roman"/>
          <w:b/>
          <w:color w:val="auto"/>
          <w:sz w:val="32"/>
          <w:szCs w:val="32"/>
          <w:highlight w:val="none"/>
        </w:rPr>
      </w:pPr>
      <w:r>
        <w:rPr>
          <w:rFonts w:hint="eastAsia" w:ascii="宋体" w:hAnsi="宋体" w:cs="Times New Roman"/>
          <w:color w:val="auto"/>
          <w:sz w:val="32"/>
          <w:szCs w:val="32"/>
          <w:highlight w:val="none"/>
        </w:rPr>
        <w:t>乙方（中标人）：</w:t>
      </w:r>
      <w:r>
        <w:rPr>
          <w:rFonts w:ascii="宋体" w:hAnsi="宋体" w:cs="Times New Roman"/>
          <w:color w:val="auto"/>
          <w:sz w:val="20"/>
          <w:szCs w:val="20"/>
          <w:highlight w:val="none"/>
        </w:rPr>
        <w:t>________________________________________</w:t>
      </w:r>
    </w:p>
    <w:p>
      <w:pPr>
        <w:widowControl w:val="0"/>
        <w:snapToGrid w:val="0"/>
        <w:spacing w:line="360" w:lineRule="auto"/>
        <w:ind w:firstLine="420" w:firstLineChars="200"/>
        <w:jc w:val="both"/>
        <w:rPr>
          <w:rFonts w:ascii="宋体" w:hAnsi="宋体" w:eastAsia="宋体" w:cs="Times New Roman"/>
          <w:color w:val="auto"/>
          <w:kern w:val="2"/>
          <w:sz w:val="21"/>
          <w:szCs w:val="22"/>
          <w:highlight w:val="none"/>
          <w:lang w:val="en-US" w:eastAsia="zh-CN" w:bidi="ar-SA"/>
        </w:rPr>
      </w:pPr>
    </w:p>
    <w:p>
      <w:pPr>
        <w:widowControl w:val="0"/>
        <w:snapToGrid w:val="0"/>
        <w:spacing w:line="360" w:lineRule="auto"/>
        <w:ind w:firstLine="420" w:firstLineChars="200"/>
        <w:jc w:val="both"/>
        <w:rPr>
          <w:rFonts w:ascii="宋体" w:hAnsi="宋体" w:eastAsia="宋体" w:cs="Times New Roman"/>
          <w:color w:val="auto"/>
          <w:kern w:val="2"/>
          <w:sz w:val="21"/>
          <w:szCs w:val="22"/>
          <w:highlight w:val="none"/>
          <w:lang w:val="en-US" w:eastAsia="zh-CN" w:bidi="ar-SA"/>
        </w:rPr>
      </w:pPr>
    </w:p>
    <w:p>
      <w:pPr>
        <w:widowControl w:val="0"/>
        <w:snapToGrid w:val="0"/>
        <w:spacing w:line="360" w:lineRule="auto"/>
        <w:ind w:firstLine="420" w:firstLineChars="200"/>
        <w:jc w:val="both"/>
        <w:rPr>
          <w:rFonts w:ascii="宋体" w:hAnsi="宋体" w:eastAsia="宋体" w:cs="Times New Roman"/>
          <w:color w:val="auto"/>
          <w:kern w:val="2"/>
          <w:sz w:val="21"/>
          <w:szCs w:val="22"/>
          <w:highlight w:val="none"/>
          <w:lang w:val="en-US" w:eastAsia="zh-CN" w:bidi="ar-SA"/>
        </w:rPr>
      </w:pPr>
    </w:p>
    <w:p>
      <w:pPr>
        <w:widowControl w:val="0"/>
        <w:adjustRightInd/>
        <w:snapToGrid/>
        <w:spacing w:before="120" w:beforeLines="50" w:after="120" w:afterLines="50" w:line="480" w:lineRule="exact"/>
        <w:contextualSpacing/>
        <w:jc w:val="center"/>
        <w:rPr>
          <w:rFonts w:hint="eastAsia" w:ascii="Times New Roman" w:hAnsi="宋体" w:cs="Times New Roman"/>
          <w:color w:val="auto"/>
          <w:sz w:val="32"/>
          <w:szCs w:val="32"/>
          <w:highlight w:val="none"/>
        </w:rPr>
      </w:pPr>
      <w:r>
        <w:rPr>
          <w:rFonts w:hint="eastAsia" w:ascii="Times New Roman" w:hAnsi="宋体" w:cs="Times New Roman"/>
          <w:color w:val="auto"/>
          <w:sz w:val="32"/>
          <w:szCs w:val="32"/>
          <w:highlight w:val="none"/>
        </w:rPr>
        <w:t>二○二</w:t>
      </w:r>
      <w:r>
        <w:rPr>
          <w:rFonts w:hint="eastAsia" w:ascii="Times New Roman" w:hAnsi="宋体" w:cs="Times New Roman"/>
          <w:color w:val="auto"/>
          <w:sz w:val="32"/>
          <w:szCs w:val="32"/>
          <w:highlight w:val="none"/>
          <w:lang w:val="en-US" w:eastAsia="zh-CN"/>
        </w:rPr>
        <w:t>三</w:t>
      </w:r>
      <w:r>
        <w:rPr>
          <w:rFonts w:hint="eastAsia" w:ascii="Times New Roman" w:hAnsi="宋体" w:cs="Times New Roman"/>
          <w:color w:val="auto"/>
          <w:sz w:val="32"/>
          <w:szCs w:val="32"/>
          <w:highlight w:val="none"/>
        </w:rPr>
        <w:t>年  月  日</w:t>
      </w:r>
    </w:p>
    <w:p>
      <w:pPr>
        <w:rPr>
          <w:rFonts w:hint="eastAsia" w:ascii="宋体" w:hAnsi="宋体" w:eastAsia="宋体" w:cs="Times New Roman"/>
          <w:color w:val="auto"/>
          <w:kern w:val="2"/>
          <w:sz w:val="21"/>
          <w:szCs w:val="22"/>
          <w:highlight w:val="none"/>
          <w:lang w:val="en-US" w:eastAsia="zh-CN" w:bidi="ar-SA"/>
        </w:rPr>
      </w:pPr>
    </w:p>
    <w:p>
      <w:pPr>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甲方：</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统一社会信用代码：</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 xml:space="preserve">传真：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电话：</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乙方：</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统一社会信用代码：</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地址：</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 xml:space="preserve">传真：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电话：</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p>
    <w:p>
      <w:pPr>
        <w:widowControl w:val="0"/>
        <w:snapToGrid w:val="0"/>
        <w:spacing w:line="360" w:lineRule="auto"/>
        <w:jc w:val="both"/>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一、序言</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甲方通过采购，确定乙方为甲方车辆提供维修保养服务。结合各方实际情况，双方在自愿、平等的前提下签订如下车辆维修保养服务合同。</w:t>
      </w:r>
    </w:p>
    <w:p>
      <w:pPr>
        <w:widowControl w:val="0"/>
        <w:snapToGrid w:val="0"/>
        <w:spacing w:line="360" w:lineRule="auto"/>
        <w:jc w:val="both"/>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二、服务范围</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甲方车辆维修保养服务。</w:t>
      </w:r>
    </w:p>
    <w:p>
      <w:pPr>
        <w:widowControl w:val="0"/>
        <w:snapToGrid w:val="0"/>
        <w:spacing w:line="360" w:lineRule="auto"/>
        <w:jc w:val="both"/>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三、服务提供地点</w:t>
      </w:r>
    </w:p>
    <w:p>
      <w:pPr>
        <w:pStyle w:val="13"/>
        <w:adjustRightInd/>
        <w:snapToGrid w:val="0"/>
        <w:spacing w:line="360" w:lineRule="auto"/>
        <w:rPr>
          <w:rFonts w:hint="eastAsia" w:ascii="宋体" w:hAnsi="宋体"/>
          <w:b w:val="0"/>
          <w:color w:val="auto"/>
          <w:sz w:val="21"/>
          <w:szCs w:val="21"/>
          <w:highlight w:val="none"/>
          <w:lang w:val="en-US" w:eastAsia="zh-CN"/>
        </w:rPr>
      </w:pPr>
      <w:r>
        <w:rPr>
          <w:rFonts w:hint="eastAsia" w:ascii="宋体" w:hAnsi="宋体" w:eastAsia="宋体" w:cs="Times New Roman"/>
          <w:b/>
          <w:bCs/>
          <w:color w:val="auto"/>
          <w:kern w:val="2"/>
          <w:sz w:val="21"/>
          <w:szCs w:val="22"/>
          <w:highlight w:val="none"/>
          <w:lang w:val="en-US" w:eastAsia="zh-CN" w:bidi="ar-SA"/>
        </w:rPr>
        <w:t xml:space="preserve">  </w:t>
      </w:r>
      <w:r>
        <w:rPr>
          <w:rFonts w:hint="eastAsia" w:ascii="宋体" w:hAnsi="宋体"/>
          <w:b w:val="0"/>
          <w:color w:val="auto"/>
          <w:sz w:val="21"/>
          <w:szCs w:val="21"/>
          <w:highlight w:val="none"/>
          <w:lang w:val="en-US" w:eastAsia="zh-CN"/>
        </w:rPr>
        <w:t xml:space="preserve">  名称：</w:t>
      </w:r>
    </w:p>
    <w:p>
      <w:pPr>
        <w:pStyle w:val="13"/>
        <w:adjustRightInd/>
        <w:snapToGrid w:val="0"/>
        <w:spacing w:line="360" w:lineRule="auto"/>
        <w:ind w:firstLine="420" w:firstLineChars="200"/>
        <w:rPr>
          <w:rFonts w:hint="eastAsia"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地址：</w:t>
      </w:r>
    </w:p>
    <w:p>
      <w:pPr>
        <w:pStyle w:val="13"/>
        <w:adjustRightInd/>
        <w:snapToGrid w:val="0"/>
        <w:spacing w:line="360" w:lineRule="auto"/>
        <w:ind w:firstLine="420" w:firstLineChars="200"/>
        <w:rPr>
          <w:rFonts w:hint="default" w:ascii="宋体" w:hAnsi="宋体"/>
          <w:b w:val="0"/>
          <w:color w:val="auto"/>
          <w:sz w:val="21"/>
          <w:szCs w:val="21"/>
          <w:highlight w:val="none"/>
          <w:lang w:val="en-US" w:eastAsia="zh-CN"/>
        </w:rPr>
      </w:pPr>
      <w:r>
        <w:rPr>
          <w:rFonts w:hint="eastAsia" w:ascii="宋体" w:hAnsi="宋体"/>
          <w:b w:val="0"/>
          <w:color w:val="auto"/>
          <w:sz w:val="21"/>
          <w:szCs w:val="21"/>
          <w:highlight w:val="none"/>
          <w:lang w:val="en-US" w:eastAsia="zh-CN"/>
        </w:rPr>
        <w:t>电话：</w:t>
      </w:r>
    </w:p>
    <w:p>
      <w:pPr>
        <w:widowControl w:val="0"/>
        <w:snapToGrid w:val="0"/>
        <w:spacing w:line="360" w:lineRule="auto"/>
        <w:jc w:val="both"/>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四、服务期</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本合同有效期为：    年  月  日至     年  月  日</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五、服务内容及要求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（一）技术要求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1.汽车维修保养工作执行标准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必须自觉遵守国家法律、法规，合法经营，严格执行交通运输部令2021年第18号《机动车维修管理规定》等国家、行业或广东省的维修标准和规范进行维修保养，尚无标准或规范的，维修标准参照汽车生产企业提供的维修手册、使用说明书和有关技术资料进行维修。如地方标准与省、国家标准相冲突的，按照最新原则以及上一级标准优先执行。整车修理、总成修理、整车维护、小修、维修救援、专项修理及一、二级保养项目及工艺规范要求，以及车辆维修竣工出厂“合格证”及质量保证期管理制度执行标准（如新标准发布，按新标准执行）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1）机动车维修管理规定（2021年第18号）；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2）汽车维修业开业条件（GB/T 16739）；</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3）机动车运行安全技术条件(GB 7258-2017)；</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4）汽车维修术语(GB/T 5624-2019)。；</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5）汽车维护、检测、诊断技术规范（GB/T 18344-2016）；</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6）汽车用安全玻璃（GB 9656—2003）；</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7）汽车修理质量检查评定方法（GB/T 15746-2011）；</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8）专用运钞车防护技术要求（GA 164-2018）；</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9）其他与汽车维修相关国家标准和企业标准。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采购未列明的维修项目，依此按照国家/省/市/汽车企业最新发布的技术标准执行。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（二）条件保障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  固定的生产经营场地应达到二类汽车维修企业规定的规模，应设有专用的接待室及固定的维修车辆停车场所（应有与承修车型、经营规模相适应的合法停车场所）。厂房和停车场地面平整坚实，各区域界定标志明显，并符合安全、环保和消防等各项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  提供轻型特殊结构运钞车专用修车工位2个或以上。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  乙方免费提供东莞市内拖车、抢修服务，并至少有正规的施救拖车、急救服务车辆各一辆(自有、租赁、长期合作均可)。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  维修人员、技术员须经行业培训持证上岗，具备履行本合同义务所需的资质和能力。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  有健全的维修管理制度、技术规定标准和规范化操作程序。包括质量管理制度、安全生产管理制度、车辆维修档案管理制度、人员培训制度、设备管理制度及配件管理制度。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  具备环境保护措施（按照国家标准《汽车维修开业条件》相关条款规定执行）。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2.7  检测维修设备工具配置表</w:t>
      </w:r>
    </w:p>
    <w:tbl>
      <w:tblPr>
        <w:tblStyle w:val="29"/>
        <w:tblW w:w="82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1436"/>
        <w:gridCol w:w="232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设备名称</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最低配置数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四轮定位仪或转向轮定位仪</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喷烤漆房及设备</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车轮动平衡机</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制动鼓和制动盘维修设备</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总成吊装设备或变速箱等总成顶举设备</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5吨（含）以上汽车举升设备或地沟</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车身整形设备</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氮气置换装置</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自动变速器维修设备</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汽车前照灯检测设备</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2971"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制动性能检验设备</w:t>
            </w:r>
          </w:p>
        </w:tc>
        <w:tc>
          <w:tcPr>
            <w:tcW w:w="143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24"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压床</w:t>
            </w:r>
          </w:p>
        </w:tc>
        <w:tc>
          <w:tcPr>
            <w:tcW w:w="1566" w:type="dxa"/>
            <w:noWrap w:val="0"/>
            <w:vAlign w:val="center"/>
          </w:tcPr>
          <w:p>
            <w:pPr>
              <w:keepNext w:val="0"/>
              <w:keepLines w:val="0"/>
              <w:pageBreakBefore w:val="0"/>
              <w:widowControl/>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（三）服务要求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  乙方服务必须提供电话预约、上门服务、急修快修、救援、24小时服务、拖车等服务。</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  乙方必须以本公司直属人员开展维修服务，不得以任何名义转包给其它公司（需要特种维修资质或乙方无承修能力的维修项目，经甲方同意除外），否则甲方有权终止合同。</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  按需求书规定范围内的服务内容和标准执行，乙方不可变更，如甲方因内部管理需要进行小范围服务变更，需经双方协商。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3.4  维修车间和维修点的维修人员配置必须满足甲方实际维修保养需求，确保车辆在6:00-22:00时间内，接到报修时，并建立维修单后，在20分钟内必须安排维修人员开展维修，对于简单的小故障单独作业项目，必须在30分钟内完成，一般故障修理60分钟内完成，一保30分钟内完成，二保4小时内完成，变速器维修24小时内完成，发动机大修48小时内完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  抢修服务响应时限：接到抢修电话后，必须在15分钟内准备好工具及材料出发，按照距离远近在规定时间内到达现场，不得超过60分钟到达现场，具体要求见下表。</w:t>
      </w:r>
    </w:p>
    <w:tbl>
      <w:tblPr>
        <w:tblStyle w:val="29"/>
        <w:tblW w:w="8336" w:type="dxa"/>
        <w:tblInd w:w="0" w:type="dxa"/>
        <w:tblLayout w:type="fixed"/>
        <w:tblCellMar>
          <w:top w:w="15" w:type="dxa"/>
          <w:left w:w="15" w:type="dxa"/>
          <w:bottom w:w="15" w:type="dxa"/>
          <w:right w:w="15" w:type="dxa"/>
        </w:tblCellMar>
      </w:tblPr>
      <w:tblGrid>
        <w:gridCol w:w="1982"/>
        <w:gridCol w:w="990"/>
        <w:gridCol w:w="992"/>
        <w:gridCol w:w="990"/>
        <w:gridCol w:w="992"/>
        <w:gridCol w:w="2390"/>
      </w:tblGrid>
      <w:tr>
        <w:tblPrEx>
          <w:tblLayout w:type="fixed"/>
          <w:tblCellMar>
            <w:top w:w="15" w:type="dxa"/>
            <w:left w:w="15" w:type="dxa"/>
            <w:bottom w:w="15" w:type="dxa"/>
            <w:right w:w="15" w:type="dxa"/>
          </w:tblCellMar>
        </w:tblPrEx>
        <w:trPr>
          <w:trHeight w:val="435" w:hRule="atLeast"/>
        </w:trPr>
        <w:tc>
          <w:tcPr>
            <w:tcW w:w="19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服务响应时限(分)</w:t>
            </w:r>
          </w:p>
        </w:tc>
        <w:tc>
          <w:tcPr>
            <w:tcW w:w="39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距离</w:t>
            </w:r>
          </w:p>
        </w:tc>
        <w:tc>
          <w:tcPr>
            <w:tcW w:w="23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tblPrEx>
          <w:tblLayout w:type="fixed"/>
          <w:tblCellMar>
            <w:top w:w="15" w:type="dxa"/>
            <w:left w:w="15" w:type="dxa"/>
            <w:bottom w:w="15" w:type="dxa"/>
            <w:right w:w="15" w:type="dxa"/>
          </w:tblCellMar>
        </w:tblPrEx>
        <w:trPr>
          <w:trHeight w:val="375" w:hRule="atLeast"/>
        </w:trPr>
        <w:tc>
          <w:tcPr>
            <w:tcW w:w="198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宋体" w:hAnsi="宋体" w:eastAsia="宋体" w:cs="宋体"/>
                <w:color w:val="auto"/>
                <w:kern w:val="2"/>
                <w:sz w:val="21"/>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10公里内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20公里内</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30公里内</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40公里内</w:t>
            </w:r>
          </w:p>
        </w:tc>
        <w:tc>
          <w:tcPr>
            <w:tcW w:w="23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rPr>
                <w:rFonts w:hint="eastAsia" w:ascii="宋体" w:hAnsi="宋体" w:eastAsia="宋体" w:cs="宋体"/>
                <w:color w:val="auto"/>
                <w:kern w:val="2"/>
                <w:sz w:val="21"/>
                <w:szCs w:val="21"/>
                <w:highlight w:val="none"/>
              </w:rPr>
            </w:pPr>
          </w:p>
        </w:tc>
      </w:tr>
      <w:tr>
        <w:tblPrEx>
          <w:tblLayout w:type="fixed"/>
          <w:tblCellMar>
            <w:top w:w="15" w:type="dxa"/>
            <w:left w:w="15" w:type="dxa"/>
            <w:bottom w:w="15" w:type="dxa"/>
            <w:right w:w="15" w:type="dxa"/>
          </w:tblCellMar>
        </w:tblPrEx>
        <w:trPr>
          <w:trHeight w:val="763" w:hRule="atLeast"/>
        </w:trPr>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抢修、补换胎到达时限\分钟</w:t>
            </w:r>
          </w:p>
        </w:tc>
        <w:tc>
          <w:tcPr>
            <w:tcW w:w="99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服务响应时限指</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接到</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服务需求电话时间开始起计。</w:t>
            </w:r>
          </w:p>
        </w:tc>
      </w:tr>
      <w:tr>
        <w:tblPrEx>
          <w:tblLayout w:type="fixed"/>
          <w:tblCellMar>
            <w:top w:w="15" w:type="dxa"/>
            <w:left w:w="15" w:type="dxa"/>
            <w:bottom w:w="15" w:type="dxa"/>
            <w:right w:w="15" w:type="dxa"/>
          </w:tblCellMar>
        </w:tblPrEx>
        <w:trPr>
          <w:trHeight w:val="668" w:hRule="atLeast"/>
        </w:trPr>
        <w:tc>
          <w:tcPr>
            <w:tcW w:w="1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拖车到达时限\分钟</w:t>
            </w:r>
          </w:p>
        </w:tc>
        <w:tc>
          <w:tcPr>
            <w:tcW w:w="99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80</w:t>
            </w:r>
          </w:p>
        </w:tc>
        <w:tc>
          <w:tcPr>
            <w:tcW w:w="2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服务响应时限指投标</w:t>
            </w:r>
            <w:r>
              <w:rPr>
                <w:rFonts w:hint="eastAsia" w:ascii="宋体" w:hAnsi="宋体" w:eastAsia="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rPr>
              <w:t>接到</w:t>
            </w:r>
            <w:r>
              <w:rPr>
                <w:rFonts w:hint="eastAsia" w:ascii="宋体" w:hAnsi="宋体" w:eastAsia="宋体" w:cs="宋体"/>
                <w:color w:val="auto"/>
                <w:kern w:val="2"/>
                <w:sz w:val="21"/>
                <w:szCs w:val="21"/>
                <w:highlight w:val="none"/>
                <w:lang w:val="en-US" w:eastAsia="zh-CN"/>
              </w:rPr>
              <w:t>采购人</w:t>
            </w:r>
            <w:r>
              <w:rPr>
                <w:rFonts w:hint="eastAsia" w:ascii="宋体" w:hAnsi="宋体" w:eastAsia="宋体" w:cs="宋体"/>
                <w:color w:val="auto"/>
                <w:kern w:val="2"/>
                <w:sz w:val="21"/>
                <w:szCs w:val="21"/>
                <w:highlight w:val="none"/>
              </w:rPr>
              <w:t>服务需求电话时间开始起计。</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  车辆登记交接工作要求：送修、维修过程，甲方全程监督，车辆维修保养时，乙方与甲方或指定人员办理车辆送修手续，并签名确认，在送修过程中，乙方需提醒甲方或指定人员，妥善保管车上的私人贵重物品。车辆一经移交给中标维修方，则交接后该车辆所发生起的一切质量或意外事故、遗失及由此引起的一切损失或赔偿责任均由乙方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3.7  维修保养清洁服务要求：所有作业过程中必须按要求做好零部件的清洗清洁，必要时用清洗剂擦拭清洗。日常维修和一级维保作业完毕，维修人员必须清除多余的润滑油脂、作业过程中遗留的杂物和油污，确保车辆清洁；二级维保完毕时，必须做好维修遗留的油污灰尘，按要求做好车辆发动机和空调表面、自动润滑系统、轮殻钢圈等作业部位的油泥清除工作，必要时用高压清洗机清洗（需做好防护），车辆维修后需进行外观清洗，确保车辆内外干净整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3.8  质量保证期及返修责任确认要求</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质量保证期按照国家交通部发布的《机动车维修管理规定》执行，即整车修理或总成修理质量保证期为车辆行驶20000公里或者100日；二级维护质量保证期为车辆行驶8000公里或者30日；一级维护、小修及专项修理质量保证期为车辆行驶2000公里或者10日。</w:t>
      </w:r>
      <w:r>
        <w:rPr>
          <w:rFonts w:hint="eastAsia" w:ascii="宋体" w:hAnsi="宋体" w:eastAsia="宋体" w:cs="宋体"/>
          <w:color w:val="auto"/>
          <w:kern w:val="2"/>
          <w:sz w:val="21"/>
          <w:szCs w:val="21"/>
          <w:highlight w:val="none"/>
          <w:lang w:val="en-US" w:eastAsia="zh-CN" w:bidi="ar-SA"/>
        </w:rPr>
        <w:t>(按先到达的条件执行。)</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2）质量保证期内，因维修质量原因造成车辆故障无法正常使用，乙方应先行维修，不得故意拖延或者无理拒绝，如在3日内不能或者无法提供因非维修原因而造成车辆故障的相关证据的，乙方无偿返修。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3）在质量保证期内，车辆因同一故障或维修项目经两次修理仍不能正常使用的，乙方应当组织车厂或同行协助开展维修，并承担相应修理费用。</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4）乙方应提供完好、合规的零配件，因使用假冒劣质零配件导致车辆返修或其他部位损坏的，维修费用由乙方承担。</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5）以下维修质量问题属于乙方责任，由其承担返修工时费和材料费：</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A.未按国家相关标准及装配工艺等要求进行清洁、调整、紧固、测量、装配等作业引起的故障或抽检不合格的项目；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B.因漏保、漏检或偷工减料（未按规定项目要求检修保养或欺骗伪装保养）引起的故障；</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C.因故障诊断错误引起同一故障现象；</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D.因乙方所供应的材料所引起故障；</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E.乙方承担材料质量检验和监督责任，装车前，应核对材料型号规格及质量检查，因错装、未经允许改装或将明显存在质量问题和不合格材料装车引起的故障；</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F.因未按照规定力矩紧固导致紧固件松动引起的故障现象；</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G.车辆保养维修后，年审时制动、灯光、尾气等检验项目不合格的项目。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3.9  配件、废旧件服务</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乙方维修运钞车（轻型特殊结构货车）更换的零配件必须为江铃全顺汽车生产厂家及所需服务车辆对应的原厂原装配件，更换后质保半年，损耗件不设保修期，但质量问题必须无条件更换。车辆喷漆与沙板的保质期为两年。所有更换前必须经甲方确认签字后才可更换，旧件必须保留归还甲方；</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2）乙方必须确保对维修废旧件（可回收废旧件、废油、废电池、废胎）进行储存，并在甲方处理维修废旧料时，免费提供装车服务；</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3）乙方负责废料的保管，但不得私自变卖，一旦发生因保管遗失或被盗，由乙方承担损失。</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 xml:space="preserve">3.10 </w:t>
      </w:r>
      <w:r>
        <w:rPr>
          <w:rFonts w:hint="eastAsia" w:ascii="宋体" w:hAnsi="宋体" w:eastAsia="宋体" w:cs="宋体"/>
          <w:b w:val="0"/>
          <w:bCs w:val="0"/>
          <w:color w:val="auto"/>
          <w:kern w:val="2"/>
          <w:sz w:val="21"/>
          <w:szCs w:val="21"/>
          <w:highlight w:val="none"/>
          <w:lang w:val="en-US" w:eastAsia="zh-CN" w:bidi="ar-SA"/>
        </w:rPr>
        <w:t>乙方应具有甲方车辆投保的保险公司（目前为太平洋保险、平安保险）维修点合作资格并提供相应保险服务，如乙方不具备前述条件，必须在中标后20天内达到前述条件，否则甲方有权取消乙方的中标资格。服务期内甲方车辆投保的保险公司发生变化的，乙方应在收到甲方通知后20天内取得新保险公司维修点合作及提供保险相应服务资格，否则甲方有权解除合同。保险理赔的车辆维修费及第三方车辆的维修费均需由乙方预先垫付（人员受伤部分不计入垫付范围），先行完成车辆的所有维修</w:t>
      </w:r>
      <w:r>
        <w:rPr>
          <w:rFonts w:hint="eastAsia" w:ascii="宋体" w:hAnsi="宋体" w:eastAsia="宋体" w:cs="Times New Roman"/>
          <w:color w:val="auto"/>
          <w:kern w:val="2"/>
          <w:sz w:val="21"/>
          <w:szCs w:val="22"/>
          <w:highlight w:val="none"/>
          <w:lang w:val="en-US" w:eastAsia="zh-CN" w:bidi="ar-SA"/>
        </w:rPr>
        <w:t>。</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3.11  车辆送修流程要求</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乙方接到车辆故障或保养送修时，对车辆故障或保养项目进行故障诊断及检查，确定维修保养项目和附加维修项目，经甲方审批通过，并建立报修单。如乙方与甲方对维修项目产生分歧时，协商解决。需要变更报修单时，经甲方审批通过，予以实施；</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根据双方确认的维修拆检项目进行过程监督，确认是否按照核定的维修项目进行维修保养。维修保养过程中，关键部件安装前，必须经甲方确认方可安装。如需增加维修项目，须经过甲方审批，更新的报修单审批通过后，予以实施；</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3）维修项目工时费统计确认每月5日前，乙方汇总上月每次实际维修结算单，编制维修结算表，经甲方复核确认签字，按照付款方式办理结算手续；</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4）如发现维修项目不在工时费标准或零配件目录内，应立即向甲方汇报，经甲方确认后，组织人员与乙方一起对新增维修项目工时或零配件核定，确认后，将新增的维修项目纳入工时标准或零配件目录内；</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5）乙方需配合甲方建立合同实施时期所有的车辆维修电子档案。</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3.12  属于骗工时行为，不予工时确认</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1）将核定的保养和维修项目拆分为两个及以上项目增加核算工时的，如灯光不亮属灯泡损坏引起，但又增加检修电路工时；</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2）所有包含故障诊断、性能检测及调试的维修项目而又单独计算工时的；</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3）增加实际故障维修项目外的其他关联拆检项目，如拆装换刹车分泵，又增加拆装刹车气管维修项目；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4）将国家相关制度规定的保养范围内项目或本采购需求附件中周检、一级维护和二级维护项目技术要求内单列计算工时的（一保作业包括检查、清洁、调整、紧固；二保作业包含所有一保作业项目，二保作业不得将一保内项目单列增加）；</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5）核定维修项目未按照作业要求进行拆检或弄虚作假的，维修项目存在漏拆漏检或不检行为的，如拆检横直拉杆，但实际未拆检或通过润滑、清洁掩盖拆检行为的；</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6）不按实际维修项目工时定额录入而套用类似较高工时的维修项目的或擅自更改维修项目工时定额的。</w:t>
      </w:r>
    </w:p>
    <w:p>
      <w:pPr>
        <w:widowControl w:val="0"/>
        <w:autoSpaceDE w:val="0"/>
        <w:autoSpaceDN w:val="0"/>
        <w:ind w:firstLine="422" w:firstLineChars="200"/>
        <w:rPr>
          <w:rFonts w:hint="eastAsia" w:ascii="宋体" w:hAnsi="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（四）履约担保</w:t>
      </w:r>
    </w:p>
    <w:p>
      <w:pPr>
        <w:pStyle w:val="9"/>
        <w:rPr>
          <w:rFonts w:hint="eastAsia" w:cs="Times New Roman"/>
          <w:color w:val="auto"/>
          <w:kern w:val="2"/>
          <w:sz w:val="21"/>
          <w:highlight w:val="none"/>
          <w:lang w:val="en-US" w:eastAsia="zh-CN" w:bidi="ar-SA"/>
        </w:rPr>
      </w:pPr>
      <w:r>
        <w:rPr>
          <w:rFonts w:hint="eastAsia" w:cs="宋体"/>
          <w:b w:val="0"/>
          <w:bCs/>
          <w:color w:val="auto"/>
          <w:kern w:val="2"/>
          <w:sz w:val="21"/>
          <w:szCs w:val="21"/>
          <w:highlight w:val="none"/>
          <w:lang w:val="en-US" w:eastAsia="zh-CN" w:bidi="ar-SA"/>
        </w:rPr>
        <w:t xml:space="preserve">    </w:t>
      </w:r>
      <w:r>
        <w:rPr>
          <w:rFonts w:hint="eastAsia" w:cs="Times New Roman"/>
          <w:b w:val="0"/>
          <w:bCs w:val="0"/>
          <w:color w:val="auto"/>
          <w:kern w:val="2"/>
          <w:sz w:val="21"/>
          <w:szCs w:val="22"/>
          <w:highlight w:val="none"/>
          <w:lang w:val="en-US" w:eastAsia="zh-CN" w:bidi="ar-SA"/>
        </w:rPr>
        <w:t>乙方在签署本合同时提交履约担保，履约担保金额为伍万元。履约担保期限从合同签订之日起至</w:t>
      </w:r>
      <w:r>
        <w:rPr>
          <w:rFonts w:hint="eastAsia" w:ascii="宋体" w:hAnsi="宋体" w:eastAsia="宋体" w:cs="Times New Roman"/>
          <w:color w:val="auto"/>
          <w:kern w:val="2"/>
          <w:sz w:val="21"/>
          <w:szCs w:val="22"/>
          <w:highlight w:val="none"/>
          <w:lang w:val="en-US" w:bidi="ar-SA"/>
        </w:rPr>
        <w:t>履约担保期限从合同签订之日起至项目服务期结束后，无项目纠纷后，经双方签字</w:t>
      </w:r>
      <w:r>
        <w:rPr>
          <w:rFonts w:hint="eastAsia" w:ascii="宋体" w:hAnsi="宋体" w:eastAsia="宋体" w:cs="Times New Roman"/>
          <w:color w:val="auto"/>
          <w:kern w:val="2"/>
          <w:sz w:val="21"/>
          <w:szCs w:val="22"/>
          <w:highlight w:val="none"/>
          <w:u w:val="none"/>
          <w:lang w:val="en-US" w:bidi="ar-SA"/>
        </w:rPr>
        <w:t>7</w:t>
      </w:r>
      <w:r>
        <w:rPr>
          <w:rFonts w:hint="eastAsia" w:ascii="宋体" w:hAnsi="宋体" w:eastAsia="宋体" w:cs="Times New Roman"/>
          <w:color w:val="auto"/>
          <w:kern w:val="2"/>
          <w:sz w:val="21"/>
          <w:szCs w:val="22"/>
          <w:highlight w:val="none"/>
          <w:lang w:val="en-US" w:bidi="ar-SA"/>
        </w:rPr>
        <w:t>天内保持有效</w:t>
      </w:r>
      <w:r>
        <w:rPr>
          <w:rFonts w:hint="eastAsia" w:cs="Times New Roman"/>
          <w:b w:val="0"/>
          <w:bCs w:val="0"/>
          <w:color w:val="auto"/>
          <w:kern w:val="2"/>
          <w:sz w:val="21"/>
          <w:szCs w:val="22"/>
          <w:highlight w:val="none"/>
          <w:lang w:val="en-US" w:eastAsia="zh-CN" w:bidi="ar-SA"/>
        </w:rPr>
        <w:t>。如果乙方提交的履约保函担保期限早于合同要求的担保期限，乙方应在原提交的履约保函有效期满前15天，无条件办理保函延期手续。否则，视为乙方违约，甲方可在保函到期前将保函金额转为现金存入履约保证金帐户。</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六、结算方式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6.1  根据维修工时费用下浮____</w:t>
      </w:r>
      <w:r>
        <w:rPr>
          <w:rFonts w:hint="eastAsia" w:ascii="宋体" w:hAnsi="宋体" w:eastAsia="宋体" w:cs="宋体"/>
          <w:b/>
          <w:color w:val="auto"/>
          <w:kern w:val="2"/>
          <w:sz w:val="21"/>
          <w:szCs w:val="21"/>
          <w:highlight w:val="none"/>
          <w:u w:val="none"/>
          <w:lang w:val="en-US" w:eastAsia="zh-CN" w:bidi="ar-SA"/>
        </w:rPr>
        <w:t>%，汽车零配件费用下浮____%，以此作为结算标准</w:t>
      </w:r>
      <w:r>
        <w:rPr>
          <w:rFonts w:hint="eastAsia" w:ascii="宋体" w:hAnsi="宋体" w:eastAsia="宋体" w:cs="宋体"/>
          <w:b/>
          <w:color w:val="auto"/>
          <w:kern w:val="2"/>
          <w:sz w:val="21"/>
          <w:szCs w:val="21"/>
          <w:highlight w:val="none"/>
          <w:lang w:val="en-US" w:eastAsia="zh-CN" w:bidi="ar-SA"/>
        </w:rPr>
        <w:t>，具体结算方式如下：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Σ维修费=工时费标准×（1-中标下浮率）+配件费标准×（</w:t>
      </w:r>
      <w:r>
        <w:rPr>
          <w:rFonts w:hint="eastAsia" w:ascii="宋体" w:hAnsi="宋体" w:cs="宋体"/>
          <w:b/>
          <w:color w:val="auto"/>
          <w:kern w:val="2"/>
          <w:sz w:val="21"/>
          <w:szCs w:val="21"/>
          <w:highlight w:val="none"/>
          <w:lang w:val="en-US" w:eastAsia="zh-CN" w:bidi="ar-SA"/>
        </w:rPr>
        <w:t>1-中标下浮率</w:t>
      </w:r>
      <w:r>
        <w:rPr>
          <w:rFonts w:hint="eastAsia" w:ascii="宋体" w:hAnsi="宋体" w:eastAsia="宋体" w:cs="宋体"/>
          <w:b/>
          <w:color w:val="auto"/>
          <w:kern w:val="2"/>
          <w:sz w:val="21"/>
          <w:szCs w:val="21"/>
          <w:highlight w:val="none"/>
          <w:lang w:val="en-US" w:eastAsia="zh-CN" w:bidi="ar-SA"/>
        </w:rPr>
        <w:t>）-当月考核扣罚金额，工时费、配件费标准详见：</w:t>
      </w:r>
      <w:r>
        <w:rPr>
          <w:rFonts w:hint="eastAsia" w:ascii="宋体" w:hAnsi="宋体" w:eastAsia="宋体" w:cs="宋体"/>
          <w:b/>
          <w:bCs/>
          <w:color w:val="auto"/>
          <w:kern w:val="2"/>
          <w:sz w:val="21"/>
          <w:szCs w:val="21"/>
          <w:highlight w:val="none"/>
          <w:lang w:val="en-US" w:eastAsia="zh-CN" w:bidi="ar-SA"/>
        </w:rPr>
        <w:t>附件2</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附件3、附件4</w:t>
      </w:r>
      <w:r>
        <w:rPr>
          <w:rFonts w:hint="eastAsia" w:ascii="宋体" w:hAnsi="宋体" w:eastAsia="宋体" w:cs="宋体"/>
          <w:b/>
          <w:bCs/>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  维修费结算方式采取月结方式，即当月结算上一自然月的维修费用。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6.3  付款方式：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1）每月5日前，乙方汇总上月每次实际维修结算单，编制维修结算表，经甲方复核确认签字；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2）每月10日前，维修结算表经甲方进行审核确认；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3）每月15日前，甲方审核无误后通知乙方提交合法有效的等额增值税普通发票、请款材料办理维修费结算手续，甲方收到乙方前述发票及请款材料</w:t>
      </w:r>
      <w:r>
        <w:rPr>
          <w:rFonts w:hint="eastAsia" w:ascii="宋体" w:hAnsi="宋体" w:cs="宋体"/>
          <w:color w:val="auto"/>
          <w:kern w:val="2"/>
          <w:sz w:val="21"/>
          <w:szCs w:val="21"/>
          <w:highlight w:val="none"/>
          <w:lang w:val="en-US" w:eastAsia="zh-CN" w:bidi="ar-SA"/>
        </w:rPr>
        <w:t>并核对无误</w:t>
      </w:r>
      <w:r>
        <w:rPr>
          <w:rFonts w:hint="eastAsia" w:ascii="宋体" w:hAnsi="宋体" w:eastAsia="宋体" w:cs="宋体"/>
          <w:color w:val="auto"/>
          <w:kern w:val="2"/>
          <w:sz w:val="21"/>
          <w:szCs w:val="21"/>
          <w:highlight w:val="none"/>
          <w:lang w:val="en-US" w:eastAsia="zh-CN" w:bidi="ar-SA"/>
        </w:rPr>
        <w:t>后</w:t>
      </w:r>
      <w:r>
        <w:rPr>
          <w:rFonts w:hint="eastAsia" w:ascii="宋体" w:hAnsi="宋体" w:eastAsia="宋体" w:cs="宋体"/>
          <w:color w:val="auto"/>
          <w:kern w:val="2"/>
          <w:sz w:val="21"/>
          <w:szCs w:val="21"/>
          <w:highlight w:val="none"/>
          <w:u w:val="single"/>
          <w:lang w:val="en-US" w:eastAsia="zh-CN" w:bidi="ar-SA"/>
        </w:rPr>
        <w:t>15</w:t>
      </w:r>
      <w:r>
        <w:rPr>
          <w:rFonts w:hint="eastAsia" w:ascii="宋体" w:hAnsi="宋体" w:eastAsia="宋体" w:cs="宋体"/>
          <w:color w:val="auto"/>
          <w:kern w:val="2"/>
          <w:sz w:val="21"/>
          <w:szCs w:val="21"/>
          <w:highlight w:val="none"/>
          <w:u w:val="none"/>
          <w:lang w:val="en-US" w:eastAsia="zh-CN" w:bidi="ar-SA"/>
        </w:rPr>
        <w:t>个工作</w:t>
      </w:r>
      <w:r>
        <w:rPr>
          <w:rFonts w:hint="eastAsia" w:ascii="宋体" w:hAnsi="宋体" w:eastAsia="宋体" w:cs="宋体"/>
          <w:color w:val="auto"/>
          <w:kern w:val="2"/>
          <w:sz w:val="21"/>
          <w:szCs w:val="21"/>
          <w:highlight w:val="none"/>
          <w:lang w:val="en-US" w:eastAsia="zh-CN" w:bidi="ar-SA"/>
        </w:rPr>
        <w:t>日内支付审核确认的维修费。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6.4  工时费用标准</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Cs w:val="21"/>
          <w:highlight w:val="none"/>
        </w:rPr>
        <w:t>运钞车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轻型特殊结构货车)按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15-30万类别、</w:t>
      </w:r>
      <w:r>
        <w:rPr>
          <w:rFonts w:hint="eastAsia" w:ascii="宋体" w:hAnsi="宋体" w:eastAsia="宋体" w:cs="宋体"/>
          <w:color w:val="auto"/>
          <w:kern w:val="2"/>
          <w:sz w:val="21"/>
          <w:szCs w:val="21"/>
          <w:highlight w:val="none"/>
          <w:lang w:val="en-US" w:eastAsia="zh-CN" w:bidi="ar-SA"/>
        </w:rPr>
        <w:t>《东莞市骏安押运有限公司2024年度车辆维修保养服务汽车维修工时2024补充154项费用标准》</w:t>
      </w:r>
      <w:r>
        <w:rPr>
          <w:rFonts w:hint="eastAsia" w:ascii="宋体" w:hAnsi="宋体" w:cs="宋体"/>
          <w:color w:val="auto"/>
          <w:kern w:val="2"/>
          <w:szCs w:val="21"/>
          <w:highlight w:val="none"/>
        </w:rPr>
        <w:t>计算工时费。</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2)小型轿车</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rPr>
        <w:t>大众捷达、大众朗逸)、小型普通客车</w:t>
      </w:r>
      <w:r>
        <w:rPr>
          <w:rFonts w:hint="eastAsia" w:ascii="宋体" w:hAnsi="宋体" w:cs="宋体"/>
          <w:color w:val="auto"/>
          <w:kern w:val="2"/>
          <w:szCs w:val="21"/>
          <w:highlight w:val="none"/>
          <w:lang w:val="en-US" w:eastAsia="zh-CN"/>
        </w:rPr>
        <w:t>(</w:t>
      </w:r>
      <w:r>
        <w:rPr>
          <w:rFonts w:hint="eastAsia" w:ascii="宋体" w:hAnsi="宋体" w:cs="宋体"/>
          <w:color w:val="auto"/>
          <w:kern w:val="2"/>
          <w:szCs w:val="21"/>
          <w:highlight w:val="none"/>
        </w:rPr>
        <w:t>猎豹黑金刚</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rPr>
        <w:t>，按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7-15万类别计算工时费。</w:t>
      </w:r>
    </w:p>
    <w:p>
      <w:pPr>
        <w:widowControl w:val="0"/>
        <w:autoSpaceDE w:val="0"/>
        <w:autoSpaceDN w:val="0"/>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rPr>
        <w:t>3)小型轿车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大众帕萨特)、小型越野客车</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Cs w:val="21"/>
          <w:highlight w:val="none"/>
        </w:rPr>
        <w:t>丰田汉兰达、三菱帕杰罗)，按</w:t>
      </w:r>
      <w:r>
        <w:rPr>
          <w:rFonts w:hint="eastAsia" w:ascii="宋体" w:hAnsi="宋体" w:eastAsia="宋体" w:cs="宋体"/>
          <w:color w:val="auto"/>
          <w:kern w:val="2"/>
          <w:sz w:val="21"/>
          <w:szCs w:val="21"/>
          <w:highlight w:val="none"/>
          <w:lang w:val="en-US" w:eastAsia="zh-CN" w:bidi="ar-SA"/>
        </w:rPr>
        <w:t>《东莞市汽车维修企业维修工时市场价格指引》（2016年）</w:t>
      </w:r>
      <w:r>
        <w:rPr>
          <w:rFonts w:hint="eastAsia" w:ascii="宋体" w:hAnsi="宋体" w:cs="宋体"/>
          <w:color w:val="auto"/>
          <w:kern w:val="2"/>
          <w:szCs w:val="21"/>
          <w:highlight w:val="none"/>
        </w:rPr>
        <w:t>15-30万类别计算工时费。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6.5  零配件费用标准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车辆零配件按《</w:t>
      </w:r>
      <w:r>
        <w:rPr>
          <w:rFonts w:hint="eastAsia" w:ascii="宋体" w:hAnsi="宋体" w:cs="宋体"/>
          <w:color w:val="auto"/>
          <w:kern w:val="2"/>
          <w:sz w:val="21"/>
          <w:szCs w:val="21"/>
          <w:highlight w:val="none"/>
          <w:lang w:val="en-US" w:eastAsia="zh-CN" w:bidi="ar-SA"/>
        </w:rPr>
        <w:t>东莞市骏安押运有限公司2024年度车辆维修保养服务车辆配件费核定标准</w:t>
      </w:r>
      <w:r>
        <w:rPr>
          <w:rFonts w:hint="eastAsia" w:ascii="宋体" w:hAnsi="宋体" w:eastAsia="宋体" w:cs="宋体"/>
          <w:color w:val="auto"/>
          <w:kern w:val="2"/>
          <w:sz w:val="21"/>
          <w:szCs w:val="21"/>
          <w:highlight w:val="none"/>
          <w:lang w:val="en-US" w:eastAsia="zh-CN" w:bidi="ar-SA"/>
        </w:rPr>
        <w:t>》计算。</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七、服务考核要求</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 xml:space="preserve">.1 </w:t>
      </w:r>
      <w:r>
        <w:rPr>
          <w:rFonts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超时响应的，每次扣500元。超时响应达到十次以上的，乙方应支付甲方</w:t>
      </w:r>
      <w:r>
        <w:rPr>
          <w:rFonts w:hint="eastAsia" w:ascii="Times New Roman" w:hAnsi="Times New Roman" w:eastAsia="宋体" w:cs="Times New Roman"/>
          <w:color w:val="auto"/>
          <w:kern w:val="2"/>
          <w:sz w:val="21"/>
          <w:szCs w:val="24"/>
          <w:highlight w:val="none"/>
          <w:u w:val="single"/>
          <w:lang w:val="en-US" w:eastAsia="zh-CN" w:bidi="ar-SA"/>
        </w:rPr>
        <w:t>10000</w:t>
      </w:r>
      <w:r>
        <w:rPr>
          <w:rFonts w:hint="eastAsia" w:ascii="Times New Roman" w:hAnsi="Times New Roman" w:eastAsia="宋体" w:cs="Times New Roman"/>
          <w:color w:val="auto"/>
          <w:kern w:val="2"/>
          <w:sz w:val="21"/>
          <w:szCs w:val="24"/>
          <w:highlight w:val="none"/>
          <w:lang w:val="en-US" w:eastAsia="zh-CN" w:bidi="ar-SA"/>
        </w:rPr>
        <w:t>元违约金及赔偿甲方损失，违约金由履约保证金中扣除，同时甲方有权单方解除本合同。</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1）简单故障、一般故障修理、一保等作业，超出最高时限10分钟以上，二保、发动机大修、变速器维修等作业，超出最高时限1小时以上，视为超时响应；</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2）抢修服务时，超出规定时限10分钟以上，视为超时响应。</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 xml:space="preserve">.2 </w:t>
      </w:r>
      <w:r>
        <w:rPr>
          <w:rFonts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拒修（月度考核项目）：凡发生拒绝抢修一次，每次扣1000元。拒修达到三次以上的，乙方应支付甲方</w:t>
      </w:r>
      <w:r>
        <w:rPr>
          <w:rFonts w:hint="eastAsia" w:ascii="Times New Roman" w:hAnsi="Times New Roman" w:eastAsia="宋体" w:cs="Times New Roman"/>
          <w:color w:val="auto"/>
          <w:kern w:val="2"/>
          <w:sz w:val="21"/>
          <w:szCs w:val="24"/>
          <w:highlight w:val="none"/>
          <w:u w:val="single"/>
          <w:lang w:val="en-US" w:eastAsia="zh-CN" w:bidi="ar-SA"/>
        </w:rPr>
        <w:t>20000</w:t>
      </w:r>
      <w:r>
        <w:rPr>
          <w:rFonts w:hint="eastAsia" w:ascii="Times New Roman" w:hAnsi="Times New Roman" w:eastAsia="宋体" w:cs="Times New Roman"/>
          <w:color w:val="auto"/>
          <w:kern w:val="2"/>
          <w:sz w:val="21"/>
          <w:szCs w:val="24"/>
          <w:highlight w:val="none"/>
          <w:lang w:val="en-US" w:eastAsia="zh-CN" w:bidi="ar-SA"/>
        </w:rPr>
        <w:t>元违约金及赔偿甲方损失，违约金由履约保证金中扣除，同时甲方有权单方解除本合同。</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1）接到电话后，以任何理由拒绝抢修的，视为拒修；</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2）车辆返修时，以任何理由推卸责任、未认真检查核实就让车出厂的或应付式处理造成故障未彻底排出的，一经查证属实的视为拒修。</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Times New Roman"/>
          <w:color w:val="auto"/>
          <w:kern w:val="2"/>
          <w:sz w:val="21"/>
          <w:szCs w:val="24"/>
          <w:highlight w:val="none"/>
          <w:lang w:val="en-US" w:eastAsia="zh-CN" w:bidi="ar-SA"/>
        </w:rPr>
        <w:t>7</w:t>
      </w:r>
      <w:r>
        <w:rPr>
          <w:rFonts w:hint="eastAsia" w:ascii="Times New Roman" w:hAnsi="Times New Roman" w:eastAsia="宋体" w:cs="Times New Roman"/>
          <w:color w:val="auto"/>
          <w:kern w:val="2"/>
          <w:sz w:val="21"/>
          <w:szCs w:val="24"/>
          <w:highlight w:val="none"/>
          <w:lang w:val="en-US" w:eastAsia="zh-CN" w:bidi="ar-SA"/>
        </w:rPr>
        <w:t xml:space="preserve">.3 </w:t>
      </w:r>
      <w:r>
        <w:rPr>
          <w:rFonts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发生下列现象之一的，一经查实，甲方可以按照实际经济损失的10倍金额处罚乙方，情节严重恶劣的，甲方有权单方解除合同或交由公安机关处理。</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1）使用旧件代替新材料装车使用的；</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2）私自变卖处理具有回收价值维修费废料的；</w:t>
      </w:r>
    </w:p>
    <w:p>
      <w:pPr>
        <w:widowControl w:val="0"/>
        <w:autoSpaceDE w:val="0"/>
        <w:autoSpaceDN w:val="0"/>
        <w:adjustRightInd w:val="0"/>
        <w:spacing w:line="360" w:lineRule="auto"/>
        <w:ind w:firstLine="420" w:firstLineChars="20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3）与他人串通联合，通过更换维修材料和总成获取利益的；</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4）贿赂甲方有关人员或与甲方驻厂监督员和驾驶员等串通联合，以虚开维修项目、虚开零配件等骗取维修费行为的。</w:t>
      </w:r>
    </w:p>
    <w:p>
      <w:pPr>
        <w:widowControl w:val="0"/>
        <w:snapToGrid w:val="0"/>
        <w:spacing w:line="360" w:lineRule="auto"/>
        <w:ind w:firstLine="420" w:firstLineChars="200"/>
        <w:jc w:val="both"/>
        <w:rPr>
          <w:rFonts w:hint="default"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7.4维修车间和维修点的维修人员配置必须满足甲方实际维修保养需求，确保车辆在6:00-22:00时间内，接到报修时，并建立维修单后，在20分钟内必须安排维修人员开展维修，对于简单的小故障单独作业项目，必须在30分钟内完成，一般故障修理60分钟内完成，一保30分钟内完成，二保4小时内完成，变速器维修24小时内完成，发动机大修48小时内完成</w:t>
      </w:r>
      <w:r>
        <w:rPr>
          <w:rFonts w:hint="eastAsia" w:ascii="宋体" w:hAnsi="宋体" w:eastAsia="宋体" w:cs="宋体"/>
          <w:color w:val="auto"/>
          <w:kern w:val="2"/>
          <w:sz w:val="21"/>
          <w:szCs w:val="21"/>
          <w:highlight w:val="none"/>
          <w:lang w:val="en-US" w:eastAsia="zh-CN" w:bidi="ar-SA"/>
        </w:rPr>
        <w:t>，超出响应时间的，按服务考核7.1规定执行罚款。</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八、其他要求</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Courier New" w:eastAsia="宋体" w:cs="Times New Roman"/>
          <w:color w:val="auto"/>
          <w:kern w:val="2"/>
          <w:sz w:val="21"/>
          <w:highlight w:val="none"/>
          <w:lang w:val="en-US" w:eastAsia="zh-CN" w:bidi="ar-SA"/>
        </w:rPr>
        <w:t>1.</w:t>
      </w:r>
      <w:r>
        <w:rPr>
          <w:rFonts w:hint="eastAsia" w:ascii="宋体" w:hAnsi="Courier New" w:cs="Times New Roman"/>
          <w:color w:val="auto"/>
          <w:kern w:val="2"/>
          <w:sz w:val="21"/>
          <w:highlight w:val="none"/>
          <w:lang w:val="en-US" w:eastAsia="zh-CN" w:bidi="ar-SA"/>
        </w:rPr>
        <w:t>乙方为本项目</w:t>
      </w:r>
      <w:r>
        <w:rPr>
          <w:rFonts w:hint="eastAsia" w:ascii="宋体" w:hAnsi="Courier New" w:cs="Times New Roman"/>
          <w:color w:val="auto"/>
          <w:kern w:val="2"/>
          <w:sz w:val="21"/>
          <w:highlight w:val="none"/>
          <w:u w:val="single"/>
          <w:lang w:val="en-US" w:eastAsia="zh-CN" w:bidi="ar-SA"/>
        </w:rPr>
        <w:t xml:space="preserve">    </w:t>
      </w:r>
      <w:bookmarkStart w:id="215" w:name="_GoBack"/>
      <w:bookmarkEnd w:id="215"/>
      <w:r>
        <w:rPr>
          <w:rFonts w:hint="eastAsia" w:ascii="宋体" w:hAnsi="Courier New" w:cs="Times New Roman"/>
          <w:color w:val="auto"/>
          <w:kern w:val="2"/>
          <w:sz w:val="21"/>
          <w:highlight w:val="none"/>
          <w:u w:val="single"/>
          <w:lang w:val="en-US" w:eastAsia="zh-CN" w:bidi="ar-SA"/>
        </w:rPr>
        <w:t>包</w:t>
      </w:r>
      <w:r>
        <w:rPr>
          <w:rFonts w:hint="eastAsia" w:ascii="宋体" w:hAnsi="Courier New" w:eastAsia="宋体" w:cs="Times New Roman"/>
          <w:color w:val="auto"/>
          <w:kern w:val="2"/>
          <w:sz w:val="21"/>
          <w:highlight w:val="none"/>
          <w:lang w:val="en-US" w:eastAsia="zh-CN" w:bidi="ar-SA"/>
        </w:rPr>
        <w:t>的中标人，服务期间，若乙方拒绝履行合同义务，甲方可立即终止合同。</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2.乙方未经甲方同意擅自将本合同义务转包、分包给第三方的，乙方应支付甲方</w:t>
      </w:r>
      <w:r>
        <w:rPr>
          <w:rFonts w:hint="eastAsia" w:ascii="宋体" w:hAnsi="Courier New" w:eastAsia="宋体" w:cs="Times New Roman"/>
          <w:b/>
          <w:bCs/>
          <w:color w:val="auto"/>
          <w:kern w:val="2"/>
          <w:sz w:val="21"/>
          <w:highlight w:val="none"/>
          <w:u w:val="single"/>
          <w:lang w:val="en-US" w:eastAsia="zh-CN" w:bidi="ar-SA"/>
        </w:rPr>
        <w:t>10000</w:t>
      </w:r>
      <w:r>
        <w:rPr>
          <w:rFonts w:hint="eastAsia" w:ascii="宋体" w:hAnsi="Courier New" w:eastAsia="宋体" w:cs="Times New Roman"/>
          <w:color w:val="auto"/>
          <w:kern w:val="2"/>
          <w:sz w:val="21"/>
          <w:highlight w:val="none"/>
          <w:lang w:val="en-US" w:eastAsia="zh-CN" w:bidi="ar-SA"/>
        </w:rPr>
        <w:t>元违约金及赔偿甲方损失，同时甲方有权单方解除本合同。</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3.乙方人员在履行本合同义务过程中造成的一切人身、财产损失均由乙方自行承担。</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4.若乙方维修后未发现车辆维修前已存在的故障问题，或经乙方维修仍未能解决的车辆故障问题但乙方未能如实告知的，因此导致的一切责任后果及损失赔偿应由乙方承担，且乙方应向甲方支付</w:t>
      </w:r>
      <w:r>
        <w:rPr>
          <w:rFonts w:hint="eastAsia" w:ascii="宋体" w:hAnsi="Courier New" w:eastAsia="宋体" w:cs="Times New Roman"/>
          <w:b/>
          <w:bCs/>
          <w:color w:val="auto"/>
          <w:kern w:val="2"/>
          <w:sz w:val="21"/>
          <w:highlight w:val="none"/>
          <w:u w:val="single"/>
          <w:lang w:val="en-US" w:eastAsia="zh-CN" w:bidi="ar-SA"/>
        </w:rPr>
        <w:t>20000</w:t>
      </w:r>
      <w:r>
        <w:rPr>
          <w:rFonts w:hint="eastAsia" w:ascii="宋体" w:hAnsi="Courier New" w:eastAsia="宋体" w:cs="Times New Roman"/>
          <w:color w:val="auto"/>
          <w:kern w:val="2"/>
          <w:sz w:val="21"/>
          <w:highlight w:val="none"/>
          <w:lang w:val="en-US" w:eastAsia="zh-CN" w:bidi="ar-SA"/>
        </w:rPr>
        <w:t>元违约金。</w:t>
      </w:r>
    </w:p>
    <w:p>
      <w:pPr>
        <w:widowControl w:val="0"/>
        <w:snapToGrid w:val="0"/>
        <w:spacing w:line="360" w:lineRule="auto"/>
        <w:ind w:firstLine="420" w:firstLineChars="200"/>
        <w:jc w:val="both"/>
        <w:rPr>
          <w:rFonts w:hint="eastAsia" w:ascii="宋体" w:hAnsi="Courier New" w:eastAsia="宋体" w:cs="Times New Roman"/>
          <w:color w:val="auto"/>
          <w:kern w:val="2"/>
          <w:sz w:val="21"/>
          <w:highlight w:val="none"/>
          <w:lang w:val="en-US" w:eastAsia="zh-CN" w:bidi="ar-SA"/>
        </w:rPr>
      </w:pPr>
      <w:r>
        <w:rPr>
          <w:rFonts w:hint="eastAsia" w:ascii="宋体" w:hAnsi="Courier New" w:eastAsia="宋体" w:cs="Times New Roman"/>
          <w:color w:val="auto"/>
          <w:kern w:val="2"/>
          <w:sz w:val="21"/>
          <w:highlight w:val="none"/>
          <w:lang w:val="en-US" w:eastAsia="zh-CN" w:bidi="ar-SA"/>
        </w:rPr>
        <w:t>5.若乙方违反本合同约定，经甲方通知其在限定期限内仍未纠正其违约行为的，甲方有权单方解除本合同，并</w:t>
      </w:r>
      <w:r>
        <w:rPr>
          <w:rFonts w:hint="eastAsia" w:ascii="宋体" w:hAnsi="Courier New" w:cs="Times New Roman"/>
          <w:color w:val="auto"/>
          <w:kern w:val="2"/>
          <w:sz w:val="21"/>
          <w:highlight w:val="none"/>
          <w:lang w:val="en-US" w:eastAsia="zh-CN" w:bidi="ar-SA"/>
        </w:rPr>
        <w:t>没收履约担保</w:t>
      </w:r>
      <w:r>
        <w:rPr>
          <w:rFonts w:hint="eastAsia" w:ascii="宋体" w:hAnsi="Courier New" w:eastAsia="宋体" w:cs="Times New Roman"/>
          <w:color w:val="auto"/>
          <w:kern w:val="2"/>
          <w:sz w:val="21"/>
          <w:highlight w:val="none"/>
          <w:lang w:val="en-US" w:eastAsia="zh-CN" w:bidi="ar-SA"/>
        </w:rPr>
        <w:t>。关于甲方单方解除本合同的约定情形，若合同其他条款有约定的，甲方可选择适用其他条款约定。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Courier New" w:eastAsia="宋体" w:cs="Times New Roman"/>
          <w:color w:val="auto"/>
          <w:kern w:val="2"/>
          <w:sz w:val="21"/>
          <w:highlight w:val="none"/>
          <w:lang w:val="en-US" w:eastAsia="zh-CN" w:bidi="ar-SA"/>
        </w:rPr>
        <w:t>6.甲方因乙方违约主张权利而产生的包括但不限于诉讼费、保全费、保险费、担保费、律师费、差旅费等一切费用损失均由乙方承担。</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九、争议解决及终止合约</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1.甲、乙双方于合约有效期内，经双方同意后可以书面提前一个月向另一方要求终止合约，甲方需在15日内支付终止合约当日及之前的合同费用。</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2.任何一方如发生不可抗力事件或因政策性原因导致不能履行此合同时，此合同自行终止。</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3.如双方在履行合同时发生纠纷，应尽量协商解决，协商不成，任一方可向甲方住所地人民法院提起诉讼。</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十、其他事项</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1.本合同未尽事宜，可以双方协商，另行书面补充，经双方指定代表签定后生效，作本合同附件，具同等法律效力。</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2.乙方正式投标文件及有效复印件为本合同的合法附件，具同等法律效力。</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3.本合同一式柒份，甲方肆份、乙方贰份、采购代理壹份。</w:t>
      </w:r>
    </w:p>
    <w:p>
      <w:pPr>
        <w:widowControl w:val="0"/>
        <w:snapToGrid w:val="0"/>
        <w:spacing w:line="360" w:lineRule="auto"/>
        <w:ind w:firstLine="0" w:firstLineChars="0"/>
        <w:jc w:val="both"/>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十一、通知与送达</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甲方：邮寄送达地址：             ，收件人：      ，联系电话：              ；指定联系人（姓名：     ，职务：     ）的电子送达地址：微信号：          ，邮箱：          。</w:t>
      </w:r>
    </w:p>
    <w:p>
      <w:pPr>
        <w:widowControl w:val="0"/>
        <w:snapToGrid w:val="0"/>
        <w:spacing w:line="360" w:lineRule="auto"/>
        <w:ind w:firstLine="420" w:firstLineChars="200"/>
        <w:jc w:val="both"/>
        <w:rPr>
          <w:rFonts w:hint="default"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乙方：邮寄送达地址：       ，收件人：      ，联系电话：              ；指定联系人（姓名：     ，职务：     ）的电子送达地址：微信号：          ，邮箱：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Times New Roman"/>
          <w:b/>
          <w:bCs/>
          <w:color w:val="auto"/>
          <w:kern w:val="2"/>
          <w:sz w:val="21"/>
          <w:szCs w:val="22"/>
          <w:highlight w:val="none"/>
          <w:lang w:val="en-US" w:eastAsia="zh-CN" w:bidi="ar-SA"/>
        </w:rPr>
      </w:pPr>
      <w:r>
        <w:rPr>
          <w:rFonts w:hint="eastAsia" w:ascii="宋体" w:hAnsi="宋体" w:eastAsia="宋体" w:cs="Times New Roman"/>
          <w:b/>
          <w:bCs/>
          <w:color w:val="auto"/>
          <w:kern w:val="2"/>
          <w:sz w:val="21"/>
          <w:szCs w:val="22"/>
          <w:highlight w:val="none"/>
          <w:lang w:val="en-US" w:eastAsia="zh-CN" w:bidi="ar-SA"/>
        </w:rPr>
        <w:t>十二、合同附件</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附件1：阳光合作协议</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附件2：</w:t>
      </w:r>
      <w:r>
        <w:rPr>
          <w:rFonts w:hint="eastAsia" w:ascii="宋体" w:hAnsi="宋体" w:cs="宋体"/>
          <w:color w:val="auto"/>
          <w:kern w:val="2"/>
          <w:sz w:val="21"/>
          <w:szCs w:val="21"/>
          <w:highlight w:val="none"/>
          <w:lang w:val="en-US" w:eastAsia="zh-CN" w:bidi="ar-SA"/>
        </w:rPr>
        <w:t>东莞市骏安押运有限公司2024年度车辆维修保养服务车辆配件费核定标准</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附件3：</w:t>
      </w:r>
      <w:r>
        <w:rPr>
          <w:rFonts w:hint="eastAsia" w:ascii="宋体" w:hAnsi="宋体" w:cs="Times New Roman"/>
          <w:color w:val="auto"/>
          <w:kern w:val="2"/>
          <w:sz w:val="21"/>
          <w:szCs w:val="22"/>
          <w:highlight w:val="none"/>
          <w:lang w:val="en-US" w:eastAsia="zh-CN" w:bidi="ar-SA"/>
        </w:rPr>
        <w:t>《东莞市汽车维修企业维修工时市场价格指引》（2016年）</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附件4：</w:t>
      </w:r>
      <w:r>
        <w:rPr>
          <w:rFonts w:hint="eastAsia" w:ascii="宋体" w:hAnsi="Courier New" w:eastAsia="宋体" w:cs="Times New Roman"/>
          <w:color w:val="auto"/>
          <w:kern w:val="2"/>
          <w:sz w:val="21"/>
          <w:highlight w:val="none"/>
          <w:lang w:val="en-US" w:eastAsia="zh-CN" w:bidi="ar-SA"/>
        </w:rPr>
        <w:t>《东莞市骏安押运有限公司2024年度车辆维修保养服务汽车维修工时2024补充154项费用标准》</w:t>
      </w:r>
    </w:p>
    <w:p>
      <w:pPr>
        <w:widowControl w:val="0"/>
        <w:snapToGrid w:val="0"/>
        <w:spacing w:line="360" w:lineRule="auto"/>
        <w:ind w:firstLine="420" w:firstLineChars="200"/>
        <w:jc w:val="both"/>
        <w:rPr>
          <w:rFonts w:hint="eastAsia" w:ascii="宋体" w:hAnsi="宋体" w:eastAsia="宋体" w:cs="Times New Roman"/>
          <w:color w:val="auto"/>
          <w:kern w:val="2"/>
          <w:sz w:val="21"/>
          <w:szCs w:val="22"/>
          <w:highlight w:val="none"/>
          <w:lang w:val="en-US" w:eastAsia="zh-CN" w:bidi="ar-SA"/>
        </w:rPr>
      </w:pPr>
      <w:r>
        <w:rPr>
          <w:rFonts w:hint="eastAsia" w:ascii="宋体" w:hAnsi="宋体" w:eastAsia="宋体" w:cs="Times New Roman"/>
          <w:color w:val="auto"/>
          <w:kern w:val="2"/>
          <w:sz w:val="21"/>
          <w:szCs w:val="22"/>
          <w:highlight w:val="none"/>
          <w:lang w:val="en-US" w:eastAsia="zh-CN" w:bidi="ar-SA"/>
        </w:rPr>
        <w:t>（以下无正文，为签字页）</w:t>
      </w:r>
    </w:p>
    <w:p>
      <w:pPr>
        <w:widowControl w:val="0"/>
        <w:adjustRightInd/>
        <w:snapToGrid/>
        <w:spacing w:line="360" w:lineRule="auto"/>
        <w:jc w:val="both"/>
        <w:rPr>
          <w:rFonts w:ascii="宋体" w:hAnsi="宋体" w:cs="Times New Roman"/>
          <w:b/>
          <w:color w:val="auto"/>
          <w:sz w:val="21"/>
          <w:szCs w:val="21"/>
          <w:highlight w:val="none"/>
        </w:rPr>
      </w:pPr>
      <w:r>
        <w:rPr>
          <w:rFonts w:hint="eastAsia" w:ascii="宋体" w:hAnsi="宋体" w:cs="Times New Roman"/>
          <w:b/>
          <w:color w:val="auto"/>
          <w:sz w:val="21"/>
          <w:szCs w:val="21"/>
          <w:highlight w:val="none"/>
        </w:rPr>
        <w:t xml:space="preserve">甲方： </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甲方（盖章）：</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负责人或授权代理人（签字）：</w:t>
      </w:r>
      <w:r>
        <w:rPr>
          <w:rFonts w:ascii="宋体" w:hAnsi="宋体" w:cs="Times New Roman"/>
          <w:color w:val="auto"/>
          <w:sz w:val="21"/>
          <w:szCs w:val="21"/>
          <w:highlight w:val="none"/>
          <w:u w:val="single"/>
        </w:rPr>
        <w:t xml:space="preserve">             </w:t>
      </w:r>
      <w:r>
        <w:rPr>
          <w:rFonts w:ascii="宋体" w:hAnsi="宋体" w:cs="Times New Roman"/>
          <w:color w:val="auto"/>
          <w:sz w:val="21"/>
          <w:szCs w:val="21"/>
          <w:highlight w:val="none"/>
        </w:rPr>
        <w:t xml:space="preserve"> </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日期：</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年</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月</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日</w:t>
      </w:r>
    </w:p>
    <w:p>
      <w:pPr>
        <w:widowControl w:val="0"/>
        <w:adjustRightInd/>
        <w:snapToGrid/>
        <w:spacing w:line="360" w:lineRule="auto"/>
        <w:jc w:val="both"/>
        <w:rPr>
          <w:rFonts w:ascii="宋体" w:hAnsi="宋体" w:cs="Times New Roman"/>
          <w:b/>
          <w:color w:val="auto"/>
          <w:sz w:val="21"/>
          <w:szCs w:val="21"/>
          <w:highlight w:val="none"/>
        </w:rPr>
      </w:pPr>
      <w:r>
        <w:rPr>
          <w:rFonts w:hint="eastAsia" w:ascii="宋体" w:hAnsi="宋体" w:cs="Times New Roman"/>
          <w:b/>
          <w:color w:val="auto"/>
          <w:sz w:val="21"/>
          <w:szCs w:val="21"/>
          <w:highlight w:val="none"/>
        </w:rPr>
        <w:t>乙方：</w:t>
      </w:r>
      <w:r>
        <w:rPr>
          <w:rFonts w:ascii="宋体" w:hAnsi="宋体" w:cs="Times New Roman"/>
          <w:b/>
          <w:color w:val="auto"/>
          <w:sz w:val="21"/>
          <w:szCs w:val="21"/>
          <w:highlight w:val="none"/>
        </w:rPr>
        <w:t xml:space="preserve"> </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乙方（盖章）：</w:t>
      </w:r>
      <w:r>
        <w:rPr>
          <w:rFonts w:ascii="宋体" w:hAnsi="宋体" w:cs="Times New Roman"/>
          <w:color w:val="auto"/>
          <w:sz w:val="21"/>
          <w:szCs w:val="21"/>
          <w:highlight w:val="none"/>
        </w:rPr>
        <w:t xml:space="preserve">             </w:t>
      </w:r>
    </w:p>
    <w:p>
      <w:pPr>
        <w:widowControl w:val="0"/>
        <w:adjustRightInd/>
        <w:snapToGrid/>
        <w:spacing w:line="360" w:lineRule="auto"/>
        <w:jc w:val="both"/>
        <w:rPr>
          <w:rFonts w:ascii="宋体" w:hAnsi="宋体" w:cs="Times New Roman"/>
          <w:color w:val="auto"/>
          <w:sz w:val="21"/>
          <w:szCs w:val="21"/>
          <w:highlight w:val="none"/>
        </w:rPr>
      </w:pPr>
      <w:r>
        <w:rPr>
          <w:rFonts w:hint="eastAsia" w:ascii="宋体" w:hAnsi="宋体" w:cs="Times New Roman"/>
          <w:color w:val="auto"/>
          <w:sz w:val="21"/>
          <w:szCs w:val="21"/>
          <w:highlight w:val="none"/>
        </w:rPr>
        <w:t>负责人或授权代理人（签字）：</w:t>
      </w:r>
      <w:r>
        <w:rPr>
          <w:rFonts w:ascii="宋体" w:hAnsi="宋体" w:cs="Times New Roman"/>
          <w:color w:val="auto"/>
          <w:sz w:val="21"/>
          <w:szCs w:val="21"/>
          <w:highlight w:val="none"/>
          <w:u w:val="single"/>
        </w:rPr>
        <w:t xml:space="preserve">              </w:t>
      </w:r>
    </w:p>
    <w:p>
      <w:pPr>
        <w:widowControl w:val="0"/>
        <w:adjustRightInd/>
        <w:snapToGrid/>
        <w:spacing w:line="240" w:lineRule="auto"/>
        <w:jc w:val="both"/>
        <w:rPr>
          <w:rFonts w:hint="eastAsia" w:ascii="宋体" w:hAnsi="宋体" w:cs="Times New Roman"/>
          <w:color w:val="auto"/>
          <w:sz w:val="21"/>
          <w:szCs w:val="21"/>
          <w:highlight w:val="none"/>
        </w:rPr>
      </w:pPr>
      <w:r>
        <w:rPr>
          <w:rFonts w:hint="eastAsia" w:ascii="宋体" w:hAnsi="宋体" w:cs="Times New Roman"/>
          <w:color w:val="auto"/>
          <w:sz w:val="21"/>
          <w:szCs w:val="21"/>
          <w:highlight w:val="none"/>
        </w:rPr>
        <w:t>日期：</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年</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月</w:t>
      </w:r>
      <w:r>
        <w:rPr>
          <w:rFonts w:ascii="宋体" w:hAnsi="宋体" w:cs="Times New Roman"/>
          <w:color w:val="auto"/>
          <w:sz w:val="21"/>
          <w:szCs w:val="21"/>
          <w:highlight w:val="none"/>
        </w:rPr>
        <w:t xml:space="preserve">     </w:t>
      </w:r>
      <w:r>
        <w:rPr>
          <w:rFonts w:hint="eastAsia" w:ascii="宋体" w:hAnsi="宋体" w:cs="Times New Roman"/>
          <w:color w:val="auto"/>
          <w:sz w:val="21"/>
          <w:szCs w:val="21"/>
          <w:highlight w:val="none"/>
        </w:rPr>
        <w:t>日</w:t>
      </w:r>
    </w:p>
    <w:p>
      <w:pPr>
        <w:widowControl w:val="0"/>
        <w:jc w:val="center"/>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此仅为合同样本，中标人需根据实际情况和采购人签订相应的合同！</w:t>
      </w: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cs="Times New Roman"/>
          <w:color w:val="auto"/>
          <w:sz w:val="20"/>
          <w:szCs w:val="20"/>
          <w:highlight w:val="none"/>
        </w:rPr>
      </w:pPr>
    </w:p>
    <w:p>
      <w:pPr>
        <w:widowControl w:val="0"/>
        <w:adjustRightInd/>
        <w:snapToGrid/>
        <w:spacing w:before="120" w:beforeLines="50" w:after="120" w:afterLines="50" w:line="480" w:lineRule="exact"/>
        <w:contextualSpacing/>
        <w:jc w:val="both"/>
        <w:rPr>
          <w:rFonts w:hint="eastAsia" w:ascii="宋体" w:hAnsi="宋体" w:eastAsia="宋体" w:cs="Times New Roman"/>
          <w:color w:val="auto"/>
          <w:sz w:val="20"/>
          <w:szCs w:val="20"/>
          <w:highlight w:val="none"/>
          <w:lang w:val="en-US" w:eastAsia="zh-CN"/>
        </w:rPr>
      </w:pPr>
      <w:r>
        <w:rPr>
          <w:rFonts w:hint="eastAsia" w:ascii="宋体" w:hAnsi="宋体" w:cs="Times New Roman"/>
          <w:color w:val="auto"/>
          <w:sz w:val="20"/>
          <w:szCs w:val="20"/>
          <w:highlight w:val="none"/>
        </w:rPr>
        <w:t>附件</w:t>
      </w:r>
      <w:r>
        <w:rPr>
          <w:rFonts w:hint="eastAsia" w:ascii="宋体" w:hAnsi="宋体" w:cs="Times New Roman"/>
          <w:color w:val="auto"/>
          <w:sz w:val="20"/>
          <w:szCs w:val="20"/>
          <w:highlight w:val="none"/>
          <w:lang w:val="en-US" w:eastAsia="zh-CN"/>
        </w:rPr>
        <w:t>1</w:t>
      </w:r>
    </w:p>
    <w:p>
      <w:pPr>
        <w:widowControl w:val="0"/>
        <w:adjustRightInd/>
        <w:snapToGrid/>
        <w:spacing w:line="240" w:lineRule="auto"/>
        <w:ind w:firstLine="803" w:firstLineChars="200"/>
        <w:jc w:val="center"/>
        <w:rPr>
          <w:rFonts w:ascii="方正小标宋简体" w:hAnsi="黑体" w:eastAsia="方正小标宋简体" w:cs="Times New Roman"/>
          <w:b/>
          <w:bCs/>
          <w:color w:val="auto"/>
          <w:sz w:val="40"/>
          <w:szCs w:val="40"/>
          <w:highlight w:val="none"/>
        </w:rPr>
      </w:pPr>
      <w:r>
        <w:rPr>
          <w:rFonts w:hint="eastAsia" w:ascii="宋体" w:hAnsi="宋体" w:eastAsia="宋体" w:cs="宋体"/>
          <w:b/>
          <w:bCs/>
          <w:color w:val="auto"/>
          <w:sz w:val="40"/>
          <w:szCs w:val="40"/>
          <w:highlight w:val="none"/>
        </w:rPr>
        <w:t>阳光合作协议</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甲乙双方于</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日签署了《……</w:t>
      </w:r>
      <w:r>
        <w:rPr>
          <w:rFonts w:hint="eastAsia" w:ascii="宋体" w:hAnsi="宋体" w:eastAsia="宋体" w:cs="宋体"/>
          <w:color w:val="auto"/>
          <w:highlight w:val="none"/>
          <w:lang w:val="en-US" w:eastAsia="zh-CN"/>
        </w:rPr>
        <w:t>合同</w:t>
      </w:r>
      <w:r>
        <w:rPr>
          <w:rFonts w:hint="eastAsia" w:ascii="宋体" w:hAnsi="宋体" w:eastAsia="宋体" w:cs="宋体"/>
          <w:color w:val="auto"/>
          <w:highlight w:val="none"/>
        </w:rPr>
        <w:t>》（以下简称原合同），为加强双方阳光合作，保证职员职业安全，甲乙双方经协商签订本协议并作为双方共同遵守的阳光合作行为准则。</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一、</w:t>
      </w:r>
      <w:r>
        <w:rPr>
          <w:rFonts w:hint="eastAsia" w:ascii="宋体" w:hAnsi="宋体" w:eastAsia="宋体" w:cs="宋体"/>
          <w:b/>
          <w:color w:val="auto"/>
          <w:highlight w:val="none"/>
        </w:rPr>
        <w:t>甲方责任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1.甲方有责任向乙方介绍本单位有关采购管理通用原则和本协议的规定。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2.甲方有责任对本单位相关人员进行阳光合作教育。</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4.甲方人员如违反阳光合作管理制度及本协议规定，甲方视情节轻重、影响大小给予行政及经济处罚。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5．对于乙方举报甲方人员违反阳光合作规定的情况，甲方应及时进行调查，根据调查情况进行处理，并将调查结果向乙方反馈。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6.接受举报的一方应为举报方保密，不得对举报方进行报复，对举报属实和严格遵守《阳光合作协议》的合作方，在同等条件下给予后续合作的优先权。</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乙方责任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1.乙方应保证乙方人员了解甲方有关采购管理通用原则和及本协议的规定，并遵照执行。</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2.乙方不得以任何形式给予甲方人员回扣、赠送实物、现金、有价证券、礼券等有价物品或提供旅游等其他可能影响职务行为公正履行的活动（以下统称“财物”）。</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3.乙方有责任接受甲方对乙方在合作期间阳光合作管理执行情况的监督，并对甲方相关调查工作主动配合。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4.乙方有义务就甲方人员任何形式的索取或收受财物行为及时向甲方（直接联系人为东莞实业投资控股集团有限公司</w:t>
      </w:r>
      <w:r>
        <w:rPr>
          <w:rFonts w:hint="eastAsia" w:ascii="宋体" w:hAnsi="宋体" w:eastAsia="宋体" w:cs="宋体"/>
          <w:color w:val="auto"/>
          <w:highlight w:val="none"/>
          <w:lang w:val="en-US" w:eastAsia="zh-CN"/>
        </w:rPr>
        <w:t>法律合规</w:t>
      </w:r>
      <w:r>
        <w:rPr>
          <w:rFonts w:hint="eastAsia" w:ascii="宋体" w:hAnsi="宋体" w:eastAsia="宋体" w:cs="宋体"/>
          <w:color w:val="auto"/>
          <w:highlight w:val="none"/>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5．甲方接受乙方实名或匿名举报，保证为举报者的信息保密，常设举报部门及电</w:t>
      </w:r>
      <w:r>
        <w:rPr>
          <w:rFonts w:hint="eastAsia" w:ascii="宋体" w:hAnsi="宋体" w:eastAsia="宋体" w:cs="宋体"/>
          <w:color w:val="auto"/>
          <w:highlight w:val="none"/>
          <w:lang w:val="en-US" w:eastAsia="zh-CN"/>
        </w:rPr>
        <w:t>话</w:t>
      </w:r>
      <w:r>
        <w:rPr>
          <w:rFonts w:hint="eastAsia" w:ascii="宋体" w:hAnsi="宋体" w:eastAsia="宋体" w:cs="宋体"/>
          <w:color w:val="auto"/>
          <w:highlight w:val="none"/>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举报受理部门：东莞实业投资控股集团有限公司</w:t>
      </w:r>
      <w:r>
        <w:rPr>
          <w:rFonts w:hint="eastAsia" w:ascii="宋体" w:hAnsi="宋体" w:eastAsia="宋体" w:cs="宋体"/>
          <w:color w:val="auto"/>
          <w:highlight w:val="none"/>
          <w:lang w:val="en-US" w:eastAsia="zh-CN"/>
        </w:rPr>
        <w:t>法律合规</w:t>
      </w:r>
      <w:r>
        <w:rPr>
          <w:rFonts w:hint="eastAsia" w:ascii="宋体" w:hAnsi="宋体" w:eastAsia="宋体" w:cs="宋体"/>
          <w:color w:val="auto"/>
          <w:highlight w:val="none"/>
        </w:rPr>
        <w:t>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东实集团举报邮箱：dgsyxf@163.com</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东实集团举报电话：0769-28820703（周一至周五9:00-12:00和14:00-18:00）</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邮寄地址：东莞市东城区八一路1号机关二号大院9号楼，东莞实业投资控股集团有限公司</w:t>
      </w:r>
      <w:r>
        <w:rPr>
          <w:rFonts w:hint="eastAsia" w:ascii="宋体" w:hAnsi="宋体" w:eastAsia="宋体" w:cs="宋体"/>
          <w:color w:val="auto"/>
          <w:highlight w:val="none"/>
          <w:lang w:val="en-US" w:eastAsia="zh-CN"/>
        </w:rPr>
        <w:t>法律合规</w:t>
      </w:r>
      <w:r>
        <w:rPr>
          <w:rFonts w:hint="eastAsia" w:ascii="宋体" w:hAnsi="宋体" w:eastAsia="宋体" w:cs="宋体"/>
          <w:color w:val="auto"/>
          <w:highlight w:val="none"/>
        </w:rPr>
        <w:t>部收，邮编523000。</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其他</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1.本协议是原合同的补充协议，与原合同有同等法律效力。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2.本协议一式四份，甲方执贰份，乙方执贰份,具有同等法律效力。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3.本协议经双方签署后生效。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甲方（盖章）：                      乙方（盖章）：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法定代表人（授权代表）：</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法定代表人（授权代表）：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签约日期：   年   月   日</w:t>
      </w:r>
      <w:bookmarkStart w:id="138" w:name="现场签证通知单"/>
      <w:bookmarkEnd w:id="138"/>
      <w:bookmarkStart w:id="139" w:name="设计变更通知单"/>
      <w:bookmarkEnd w:id="139"/>
      <w:r>
        <w:rPr>
          <w:rFonts w:hint="eastAsia" w:ascii="宋体" w:hAnsi="宋体" w:eastAsia="宋体" w:cs="宋体"/>
          <w:color w:val="auto"/>
          <w:highlight w:val="none"/>
        </w:rPr>
        <w:tab/>
      </w:r>
      <w:r>
        <w:rPr>
          <w:rFonts w:hint="eastAsia" w:ascii="宋体" w:hAnsi="宋体" w:eastAsia="宋体" w:cs="宋体"/>
          <w:color w:val="auto"/>
          <w:highlight w:val="none"/>
        </w:rPr>
        <w:t xml:space="preserve">       签约日期：   年   月   日</w:t>
      </w:r>
    </w:p>
    <w:p>
      <w:pPr>
        <w:spacing w:before="0" w:after="0" w:line="360" w:lineRule="auto"/>
        <w:jc w:val="both"/>
        <w:outlineLvl w:val="9"/>
        <w:rPr>
          <w:rFonts w:hint="eastAsia" w:ascii="宋体" w:hAnsi="宋体" w:eastAsia="宋体" w:cs="宋体"/>
          <w:b w:val="0"/>
          <w:color w:val="auto"/>
          <w:kern w:val="2"/>
          <w:sz w:val="21"/>
          <w:szCs w:val="21"/>
          <w:highlight w:val="none"/>
        </w:rPr>
      </w:pPr>
      <w:bookmarkStart w:id="140" w:name="_Toc31823"/>
      <w:r>
        <w:rPr>
          <w:rFonts w:hint="eastAsia" w:ascii="宋体" w:hAnsi="宋体" w:eastAsia="宋体" w:cs="宋体"/>
          <w:b w:val="0"/>
          <w:color w:val="auto"/>
          <w:kern w:val="2"/>
          <w:sz w:val="21"/>
          <w:szCs w:val="21"/>
          <w:highlight w:val="none"/>
        </w:rPr>
        <w:t>附件2</w:t>
      </w:r>
    </w:p>
    <w:p>
      <w:pPr>
        <w:widowControl w:val="0"/>
        <w:autoSpaceDE w:val="0"/>
        <w:autoSpaceDN w:val="0"/>
        <w:ind w:firstLine="420" w:firstLineChars="200"/>
        <w:rPr>
          <w:rFonts w:hint="eastAsia" w:ascii="宋体" w:hAnsi="宋体" w:cs="宋体"/>
          <w:color w:val="auto"/>
          <w:kern w:val="2"/>
          <w:sz w:val="21"/>
          <w:szCs w:val="21"/>
          <w:highlight w:val="none"/>
          <w:lang w:val="en-US" w:eastAsia="zh-CN"/>
        </w:rPr>
      </w:pPr>
      <w:r>
        <w:rPr>
          <w:rFonts w:hint="eastAsia" w:ascii="宋体" w:hAnsi="宋体" w:cs="宋体"/>
          <w:color w:val="auto"/>
          <w:kern w:val="2"/>
          <w:szCs w:val="21"/>
          <w:highlight w:val="none"/>
          <w:lang w:val="en-US" w:eastAsia="zh-CN"/>
        </w:rPr>
        <w:t>东莞市骏安押运有限公司2024年度车辆维修保养服务车辆配件</w:t>
      </w:r>
      <w:r>
        <w:rPr>
          <w:rFonts w:hint="eastAsia" w:ascii="宋体" w:hAnsi="宋体" w:cs="宋体"/>
          <w:color w:val="auto"/>
          <w:kern w:val="2"/>
          <w:sz w:val="21"/>
          <w:szCs w:val="21"/>
          <w:highlight w:val="none"/>
          <w:lang w:val="en-US" w:eastAsia="zh-CN"/>
        </w:rPr>
        <w:t>费核定标准</w:t>
      </w:r>
    </w:p>
    <w:p>
      <w:pPr>
        <w:widowControl w:val="0"/>
        <w:autoSpaceDE w:val="0"/>
        <w:autoSpaceDN w:val="0"/>
        <w:ind w:firstLine="420" w:firstLineChars="200"/>
        <w:rPr>
          <w:rFonts w:hint="eastAsia" w:ascii="宋体" w:hAnsi="宋体" w:cs="宋体"/>
          <w:color w:val="auto"/>
          <w:kern w:val="2"/>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（货币单位：人民币元）</w:t>
      </w:r>
    </w:p>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国四标准</w:t>
      </w:r>
    </w:p>
    <w:tbl>
      <w:tblPr>
        <w:tblStyle w:val="29"/>
        <w:tblW w:w="92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061"/>
        <w:gridCol w:w="1344"/>
        <w:gridCol w:w="1316"/>
        <w:gridCol w:w="728"/>
        <w:gridCol w:w="944"/>
        <w:gridCol w:w="1106"/>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车型</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7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06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尾灯灯泡</w:t>
            </w:r>
          </w:p>
        </w:tc>
        <w:tc>
          <w:tcPr>
            <w:tcW w:w="134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大灯插座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DDCZ</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72A</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LB</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3.28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雾灯灯泡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H1\H3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10.62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小灯灯泡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闪光器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保险丝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刹车油（1000g/瓶）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DOT4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黄油（0.8kg/桶）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HP</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齿轮油（4升桶）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80W-90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自动排档油（1升/桶）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HFC-134a</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雪种油（300ml/瓶）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NDS-0IL8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92CB1007BF</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MAXXIS UE-168n 185R15LT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铁将军防盗器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雨刮片（22）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雨刮片（24）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轮胎螺母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手喷漆（黑色）</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美孚黑霸王（4L）</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8-97049708-1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159601ＡＡ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柴油格（欧三）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ＣＮ6959155ＡＡ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柴油格（欧四）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110500020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启动马达（总成）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ＪＦＺＢ1110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6ＰＫ1700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发电机皮带过渡轮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3701250ＴＡ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发电机进油管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13Ｆ2301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3510061ＴＡ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空调压缩机（总成）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4ＰＫ1000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预热塞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98ＶＢ6Ａ228ＢＡ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风扇耦合器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水温感应器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1306360ＴＡＲ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机油压力传感器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空气格进气管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ＣＮ6Ｃ159Ａ673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机油散热器（总成）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电子风扇（总成）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1005150ＴＡＲ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ＣＮ60158005ＡＡ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ＣＮ5015-6Ｂ032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ＣＮ5015-6Ｂ032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11183007ＡＲ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11183007ＡＲ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发动机线束</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欧3 820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欧4 650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喷油咀回油管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 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1118160ＣＣ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涡轮增压器进油管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1118160ＣＣ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气缸床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曲轴位置传感器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ＪＸ493ＺＬＱ3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电子手油泵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冷气膨胀阀/前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冷气膨胀阀/后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水泵密封圈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空调高压管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对旧样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空调低压管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对旧样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油水分离器感应器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ＬＧ9536-ＣＡＯ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正时前盖板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塑料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正时前盖板垫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气门推杆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4ＪＢ1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油表感应器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欧3，盖茨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欧4，盖茨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水管（副水壶至三叉管）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ＣＮ4Ｃ158360ＢＢ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进排气门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发动机大修包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继电器（电子点火）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软管（助力泵-油壶）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喷油嘴胶管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110500010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ＣＮ6Ｃ157550ＢＡ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离合压盘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ＣＮ2Ｃ157563ＢＡ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分离轴承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导向轴承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离合拨叉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160202006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变速箱换挡杆（总成）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上部50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变速箱换挡杆（总成）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下部70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88Ｖ16068ＡＣ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变速箱轴承（一轴）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变速箱轴承（二轴）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变速箱轴承（副轴）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878Ｔ7052ＡＡ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878Ｔ7052ＡＡ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变速箱密封胶圈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变速箱倒挡轴承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878Ｔ7048ＡＡ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变速箱一轴前盖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变速箱二档齿轮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878Ｔ7048ＡＡ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变速箱副轴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ＣＮ2Ｃ157Ａ543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ＣＮ2Ｃ157Ａ564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变速箱拨叉轴衬套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变速箱拨叉轴衬套油封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变速箱壳体（前）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变速箱前盖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离合器踏板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前轮轴承（小）</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11949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前轮轴承油封（外）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97ＶＢ1190Ａ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后轮轴承油封（外）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ＣＮ20154001ＦＡ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后轮轴承油封（内）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ＣＮ20154001ＦＡ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前避震机（左）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93ＶＢ180450Ａ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前避震机（右）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93ＶＢ180450Ａ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刹车碟（前）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95Ｖ201125ＢＡ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刹车鼓（后）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3502101ＴＡ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ＣＣ93ＶＸ2Ｋ021ＡＡ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ＣＣ94ＶＢ2200ＡＡ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刹车分配阀（后）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ＣＮ70152Ｌ358ＢＡ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ＣＮ2Ｃ152010ＢＡ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刹车分泵（左后）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92ＶＢ2261ＡＡ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ＣＮ2Ｃ152010ＢＡ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刹车分泵（右后）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92ＶＢ2261ＡＡ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刹车真空助力泵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ＣＥ114826ＡＡ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传动轴中心螺丝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离合器踏板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传动轴十字节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CC97VB-3N503-BAF</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方向机油壶进油管（高压）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尾牙（总成）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方向机回油管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挡泥胶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98ＶＢ5Ｋ483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ＣＮＣ153395ＡＡ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前羊角（左右）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ＣＮ2Ｃ1531080Ａ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平衡杆球头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羊角螺丝垫片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方向机油管（低压）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钢板胶套（后）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92ＶＢ57ＨＡＡ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鼓风机马达（后排）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95ＶＷ18456ＣＢ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蒸发箱（前排）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蒸发箱（后排）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前门玻璃升降器（左）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ＣＮ6Ｃ15Ｖ23200ＣＡ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前门玻璃升降器（右）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ＣＮ6Ｃ15Ｖ23200ＣＡ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前门玻璃升降开关（左）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95ＢＧ14529ＡＢ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前门玻璃升降开关（右）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95ＢＧ14529ＡＢ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前门锁机（左右各）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98630-4Ａ00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后轮眉（左右各）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中门锁机（右）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Ｖ219164ＣＦ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尾门锁把手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中网</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对图片 40   95   260，原车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98630-4Ａ00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车门外把手（右前）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ＯＣ92ＶＢＶ2240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车门外把手（左前）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ＯＣ92ＶＢＶ2240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前大灯总成（左）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ＣＮ6Ｃ1517682ＡＢ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前大灯总成（右）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ＣＮ6Ｃ1517682ＡＢ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点火开关（连线）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94ＡＧＡ3677ＡＢ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点火开关（锁芯）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94ＡＧＡ3677ＡＢ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转向灯总成（左）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转向灯总成（右）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大灯组合开关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全车线路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欧3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全车线路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欧4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油箱盖总成（锁芯加盖）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94ＡＢＡ28624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手刹拉杆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ＣＮ40152780ＡＡ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排气管后段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机油盖</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暖水控制阀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95ＶＢ18495ＡＢ</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雨刮喷水电机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95ＶＢ17508ＢＡ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低温启动液（水箱宝）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车门锁机（右前）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离合分泵软管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摇臂总成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后减振器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93ＶＢ1808ＦＡ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波箱总成（国三）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波箱总成（国四）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电工胶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青稞纸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大小螺丝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压差传感器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小花线（100米捆）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喇叭线插（60条）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螺丝-分泵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水箱中冷器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柴油格进油管总成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 *3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空调蒸发器外壳 后面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手刹线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空调散热网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里程表被动齿  25*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软管（暖风控制阀前面）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软管（暖风控制阀前面）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空调气门芯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变速箱拨叉（3/4档）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喉码 9-16</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过江龙 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密封胶3+3</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螺丝胶 (大瓶）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软管（小循环増压管）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发动机支架 R=L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发动机支架 R=L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铸铁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电瓶线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轴承(滚柱6157560)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轴承（滚针）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转向节螺母  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转向节锁紧螺母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软管（机油冷却器进）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软管（机油冷却器出）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开关(后鼓风机)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变速杆下托架1039337</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改装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里程表传感器插座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顶蓬卡扣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沙纸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1.95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机油散热器胶圈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机油格座胶圈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后轮鼓修理包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曲轴箱通风管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软管（曾压器回油）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气门室盖胶粒</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高压油泵胶圈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后桥调整垫片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软管（节温器-曾压出)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进气歧管垫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 *4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刹车真空硬管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空调蒸发器线速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保险丝座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尾门卡簧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继电器（风扇）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软管（大小头）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遥控电池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油性防冻液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飞轮总成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叶子板内挡板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叶子板外挡板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灯泡（中插泡）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传感器（高压油泵导轨）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空调散热网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高压油泵流量控制阀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变速箱拔叉轴衬套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暖风机水管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二轴五档齿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机头水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雨刮马达 （前挡）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车门限位器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方向机外球头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空调真空管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安全带扣</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8292.67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油门踏板国三（胶的）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电脑板线速国三  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雨刮摇臂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气门室盖通风阀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高压油泵总成</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气门摇臂总成</w:t>
            </w:r>
            <w:r>
              <w:rPr>
                <w:rFonts w:ascii="Arial" w:hAnsi="Arial" w:eastAsia="宋体" w:cs="Arial"/>
                <w:i w:val="0"/>
                <w:iCs w:val="0"/>
                <w:color w:val="auto"/>
                <w:kern w:val="0"/>
                <w:sz w:val="20"/>
                <w:szCs w:val="20"/>
                <w:highlight w:val="none"/>
                <w:u w:val="none"/>
                <w:lang w:val="en-US" w:eastAsia="zh-CN" w:bidi="ar"/>
              </w:rPr>
              <w:t xml:space="preserve">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空调泵头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十字节卡黄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方向轴（十字节）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连接轴（后）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前平衡杆连接杆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节温器座</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欧二</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轮毂</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差速器油封（尾牙油封）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油箱盖套圈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中门外拉手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雨刮开关（大、小灯</w:t>
            </w:r>
            <w:r>
              <w:rPr>
                <w:rFonts w:ascii="Arial" w:hAnsi="Arial" w:eastAsia="宋体" w:cs="Arial"/>
                <w:i w:val="0"/>
                <w:iCs w:val="0"/>
                <w:color w:val="auto"/>
                <w:kern w:val="0"/>
                <w:sz w:val="20"/>
                <w:szCs w:val="20"/>
                <w:highlight w:val="none"/>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仪表总成（国三）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仪表总成（国四）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前冷凝器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水泵进水管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方向助力泵出油管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软管（节器回水管）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水箱中冷器软管（出）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增压器排气弯管（国三）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进油管（油滤</w:t>
            </w:r>
            <w:r>
              <w:rPr>
                <w:rFonts w:ascii="Arial" w:hAnsi="Arial" w:eastAsia="宋体" w:cs="Arial"/>
                <w:i w:val="0"/>
                <w:iCs w:val="0"/>
                <w:color w:val="auto"/>
                <w:kern w:val="0"/>
                <w:sz w:val="20"/>
                <w:szCs w:val="20"/>
                <w:highlight w:val="none"/>
                <w:u w:val="none"/>
                <w:lang w:val="en-US" w:eastAsia="zh-CN" w:bidi="ar"/>
              </w:rPr>
              <w:t>-</w:t>
            </w:r>
            <w:r>
              <w:rPr>
                <w:rStyle w:val="89"/>
                <w:color w:val="auto"/>
                <w:highlight w:val="none"/>
                <w:lang w:val="en-US" w:eastAsia="zh-CN" w:bidi="ar"/>
              </w:rPr>
              <w:t>油箱）手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押运车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空调管（</w:t>
            </w:r>
            <w:r>
              <w:rPr>
                <w:rFonts w:ascii="Arial" w:hAnsi="Arial" w:eastAsia="宋体" w:cs="Arial"/>
                <w:i w:val="0"/>
                <w:iCs w:val="0"/>
                <w:color w:val="auto"/>
                <w:kern w:val="0"/>
                <w:sz w:val="20"/>
                <w:szCs w:val="20"/>
                <w:highlight w:val="none"/>
                <w:u w:val="none"/>
                <w:lang w:val="en-US" w:eastAsia="zh-CN" w:bidi="ar"/>
              </w:rPr>
              <w:t>V</w:t>
            </w:r>
            <w:r>
              <w:rPr>
                <w:rStyle w:val="89"/>
                <w:color w:val="auto"/>
                <w:highlight w:val="none"/>
                <w:lang w:val="en-US" w:eastAsia="zh-CN" w:bidi="ar"/>
              </w:rPr>
              <w:t>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押运车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空调压力开关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传感器（进气压力）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进气温度传感器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偏心轴（国三）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空调管（后蒸发器进铝管）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机油（壳牌灰瓶）</w:t>
            </w:r>
            <w:r>
              <w:rPr>
                <w:rFonts w:ascii="Arial" w:hAnsi="Arial" w:eastAsia="宋体" w:cs="Arial"/>
                <w:i w:val="0"/>
                <w:iCs w:val="0"/>
                <w:color w:val="auto"/>
                <w:kern w:val="0"/>
                <w:sz w:val="20"/>
                <w:szCs w:val="20"/>
                <w:highlight w:val="none"/>
                <w:u w:val="none"/>
                <w:lang w:val="en-US" w:eastAsia="zh-CN" w:bidi="ar"/>
              </w:rPr>
              <w:t>1</w:t>
            </w:r>
            <w:r>
              <w:rPr>
                <w:rStyle w:val="89"/>
                <w:color w:val="auto"/>
                <w:highlight w:val="none"/>
                <w:lang w:val="en-US" w:eastAsia="zh-CN" w:bidi="ar"/>
              </w:rPr>
              <w:t>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壳牌灰瓶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EP-3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草酸</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灯泡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黄色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AB</w:t>
            </w:r>
            <w:r>
              <w:rPr>
                <w:rStyle w:val="89"/>
                <w:color w:val="auto"/>
                <w:highlight w:val="none"/>
                <w:lang w:val="en-US" w:eastAsia="zh-CN" w:bidi="ar"/>
              </w:rPr>
              <w:t>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喉码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碎布</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空调清洗剂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开口销 0.4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锁芯润滑粉</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曲轴止推片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油箱胶管（真空管4厘）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活塞销卡簧</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气门导管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进气门座圈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曲轴（锻钢）</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涡轮增压器排气弯管 国四</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暖风水管支架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柴油格总成（手油泵）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后排消声器（扁）正厂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刹车铜管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密封圈 偏心轴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喷水嘴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排气门座圈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空调管（V型管）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刹车灯开关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消声器（后）柴油 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变速箱支架 U型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洗涤壶总成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传动轴（长轴距）</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水箱护罩（下）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空调雪种杯</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水箱护罩（上）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1563.83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前左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前减震器顶胶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前减震器缓冲胶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前减震器防尘套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前减震器轴承</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节气门阀体总成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帕萨特1.8T/11款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灰壳 4升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业务车通用</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中控锁（尾门）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530.33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皮带轮（张紧轮）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曲轴前油封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水管（加热）</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水管（付水箱）</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水管（暖风）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水管（水壶）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水管（水壶）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节气门阀体总成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碳罐电磁阀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油水分离器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前刹车分泵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刹车蹄片  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刹车盘</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机油感应器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尾门锁机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连接轴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侧拉杆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主邦肽</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机盖锁</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刹车蹄片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鼓风电机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268.17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轮古  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轮胎175/70R14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175/70R14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269.33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左下悬挂（摆臂）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右下悬挂（摆臂）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右下球头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 19"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 21"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 后L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中控锁-L</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电池</w:t>
            </w:r>
            <w:r>
              <w:rPr>
                <w:rFonts w:ascii="Arial" w:hAnsi="Arial" w:eastAsia="宋体" w:cs="Arial"/>
                <w:i w:val="0"/>
                <w:iCs w:val="0"/>
                <w:color w:val="auto"/>
                <w:kern w:val="0"/>
                <w:sz w:val="20"/>
                <w:szCs w:val="20"/>
                <w:highlight w:val="none"/>
                <w:u w:val="none"/>
                <w:lang w:val="en-US" w:eastAsia="zh-CN" w:bidi="ar"/>
              </w:rPr>
              <w:t xml:space="preserve"> 60A</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发动机脚胶</w:t>
            </w:r>
            <w:r>
              <w:rPr>
                <w:rFonts w:ascii="Arial" w:hAnsi="Arial" w:eastAsia="宋体" w:cs="Arial"/>
                <w:i w:val="0"/>
                <w:iCs w:val="0"/>
                <w:color w:val="auto"/>
                <w:kern w:val="0"/>
                <w:sz w:val="20"/>
                <w:szCs w:val="20"/>
                <w:highlight w:val="none"/>
                <w:u w:val="none"/>
                <w:lang w:val="en-US" w:eastAsia="zh-CN" w:bidi="ar"/>
              </w:rPr>
              <w:t xml:space="preserve">  </w:t>
            </w:r>
            <w:r>
              <w:rPr>
                <w:rStyle w:val="89"/>
                <w:color w:val="auto"/>
                <w:highlight w:val="none"/>
                <w:lang w:val="en-US" w:eastAsia="zh-CN" w:bidi="ar"/>
              </w:rPr>
              <w:t>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发动机扭务支架胶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161.50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皮带张紧轮</w:t>
            </w:r>
            <w:r>
              <w:rPr>
                <w:rFonts w:ascii="Arial" w:hAnsi="Arial" w:eastAsia="宋体" w:cs="Arial"/>
                <w:i w:val="0"/>
                <w:iCs w:val="0"/>
                <w:color w:val="auto"/>
                <w:kern w:val="0"/>
                <w:sz w:val="20"/>
                <w:szCs w:val="20"/>
                <w:highlight w:val="none"/>
                <w:u w:val="none"/>
                <w:lang w:val="en-US" w:eastAsia="zh-CN" w:bidi="ar"/>
              </w:rPr>
              <w:t xml:space="preserve"> </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气门饰盖废弃阀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255.50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变速箱下机脚胶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空调压缩机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大众钢圈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469.67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助力泵皮带</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真空管（带阀）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雨刮片（</w:t>
            </w:r>
            <w:r>
              <w:rPr>
                <w:rFonts w:ascii="Arial" w:hAnsi="Arial" w:eastAsia="宋体" w:cs="Arial"/>
                <w:i w:val="0"/>
                <w:iCs w:val="0"/>
                <w:color w:val="auto"/>
                <w:kern w:val="0"/>
                <w:sz w:val="20"/>
                <w:szCs w:val="20"/>
                <w:highlight w:val="none"/>
                <w:u w:val="none"/>
                <w:lang w:val="en-US" w:eastAsia="zh-CN" w:bidi="ar"/>
              </w:rPr>
              <w:t>19</w:t>
            </w:r>
            <w:r>
              <w:rPr>
                <w:rStyle w:val="89"/>
                <w:color w:val="auto"/>
                <w:highlight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highlight w:val="none"/>
                <w:lang w:val="en-US" w:eastAsia="zh-CN" w:bidi="ar"/>
              </w:rPr>
              <w:t>雨刮片（</w:t>
            </w:r>
            <w:r>
              <w:rPr>
                <w:rFonts w:ascii="Arial" w:hAnsi="Arial" w:eastAsia="宋体" w:cs="Arial"/>
                <w:i w:val="0"/>
                <w:iCs w:val="0"/>
                <w:color w:val="auto"/>
                <w:kern w:val="0"/>
                <w:sz w:val="20"/>
                <w:szCs w:val="20"/>
                <w:highlight w:val="none"/>
                <w:u w:val="none"/>
                <w:lang w:val="en-US" w:eastAsia="zh-CN" w:bidi="ar"/>
              </w:rPr>
              <w:t>21</w:t>
            </w:r>
            <w:r>
              <w:rPr>
                <w:rStyle w:val="89"/>
                <w:color w:val="auto"/>
                <w:highlight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进气歧管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氧传感器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1973.00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196.83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大众朗逸/1.6/10款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206.50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429.50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丰田汉兰达JTEES42A982</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三菱柏杰罗CFA2031H</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三菱柏杰罗CFA2031H</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雨刮臂</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方向机内球头</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91.33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排气管吊胶</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24.83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73.50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发动机引擎盖开起手柄</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电脑板带程序（总成）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1759.00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雨刮连动杆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仪表到发动机线束（总）</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463.17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节温器座垫片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31.60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副驾驶座椅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二排双人座位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1440.80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二排折叠小座椅</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403.00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553</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排气歧管垫</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42.67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尾门撑杆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江铃全顺</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82.00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555</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三菱猎豹轮胎</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三菱猎豹CFA6470M3</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556</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前门内饰板（含拉手）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282.40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557</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前排坐椅套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221.60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558</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后排坐椅套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262.80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559</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车顶顶棚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302.20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560</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发电机（总成）</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大众捷达/1.5/17款</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716.40 </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widowControl w:val="0"/>
        <w:numPr>
          <w:ilvl w:val="0"/>
          <w:numId w:val="12"/>
        </w:numPr>
        <w:autoSpaceDE w:val="0"/>
        <w:autoSpaceDN w:val="0"/>
        <w:ind w:firstLine="420" w:firstLineChars="200"/>
        <w:jc w:val="both"/>
        <w:textAlignment w:val="auto"/>
        <w:rPr>
          <w:rFonts w:hint="eastAsia" w:ascii="宋体" w:hAnsi="宋体" w:cs="宋体"/>
          <w:color w:val="auto"/>
          <w:sz w:val="21"/>
          <w:szCs w:val="21"/>
          <w:highlight w:val="none"/>
          <w:u w:val="none"/>
          <w:lang w:val="en-US" w:eastAsia="zh-CN" w:bidi="ar"/>
        </w:rPr>
      </w:pPr>
      <w:r>
        <w:rPr>
          <w:rFonts w:hint="eastAsia" w:ascii="宋体" w:hAnsi="宋体" w:cs="宋体"/>
          <w:color w:val="auto"/>
          <w:sz w:val="21"/>
          <w:szCs w:val="21"/>
          <w:highlight w:val="none"/>
          <w:u w:val="none"/>
          <w:lang w:val="en-US" w:eastAsia="zh-CN" w:bidi="ar"/>
        </w:rPr>
        <w:t>国六标准</w:t>
      </w:r>
    </w:p>
    <w:tbl>
      <w:tblPr>
        <w:tblStyle w:val="29"/>
        <w:tblW w:w="86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2981"/>
        <w:gridCol w:w="1390"/>
        <w:gridCol w:w="648"/>
        <w:gridCol w:w="891"/>
        <w:gridCol w:w="1229"/>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车型</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倒车灯开关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刹车真空硬管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刹车油管（铁）（ABS总泵到分泵）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刹车油管（铁）（刹车总泵到ABS泵）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刹车踏板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170.40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前半轴总成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室内组合灯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引擎盖锁机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汽油管（铁管）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大修包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止推片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气门室盖垫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曲轴前油封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进气门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摇臂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气门导管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曲轴后油封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平衡轴油封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活塞销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18.02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凸轮轴油封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1026.83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液压顶柱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起动机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正极线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负极线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发电机支架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方向机油壶进油管（高压）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出水口</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前冷凝器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蒸发箱芯体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压缩机空调管（高压）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压缩机空调管（低压）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空调管（高压）（压缩机-散热网）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空调管（高压）（散热网-干燥瓶）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空调管（高压）（干燥瓶-蒸发箱）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压力开关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膨胀阀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空调温控开关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冷暖电机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空调面板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轮辋总成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安全带（左前）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安全带（右前）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安全带扣</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消声器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558.50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点火开关（锁芯）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点火线圈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229.40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点火开关座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车门升降器开关（驾驶位）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右后内饰板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玻璃窗泥槽</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玻璃升降器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门锁马达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空调滤清器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前雾灯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尾灯（外组合灯）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侧围灯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牌照灯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自动变速箱油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变速箱滤网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汽油格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尾灯（内组合灯）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后视镜（外)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变速箱拔叉轴衬套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排气管吊胶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传感器（进气压力）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电脑板线速  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720.00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发动机（凸机）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发动机盖拉线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发动机清洗剂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方向轴（十字节）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方向助力泵出油管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3112.67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进油管（油滤-油箱）手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空调泵头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1106.20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空调真空管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轮毂 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喷油嘴胶管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偏心轴感应器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前平衡杆连接杆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软管（节器回水管）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润滑脂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油底壳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油门踏板国四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雨刮开关（大、小灯)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雨刮摇臂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方向机进油管（高压）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发动机引擎盖锁扣（上）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曲轴皮带过渡轮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前雨刮臂/个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减振上座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发动机引擎盖释放手轴胶套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发动机引擎盖开起手柄胶套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雨刮连动杆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挡泥胶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中门内饰板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尾门内饰板（大）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尾门内饰板（小）</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左后包角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右后包角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中门上铰链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中门下铰链</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左前门内胶条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右前门内胶条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尾门内胶条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后视镜</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驾驶座位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二排双人座位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836.00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副驾驶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二排折叠小座椅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座椅海绵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发动机机顶胶/个（鼎湖）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发动机油CI 15W-40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后桥齿轮油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机油滤清器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空气滤芯器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柴油格滤芯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刹车灯开关</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前轮制定盘</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202.67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前轮外轴承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ABS传感器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前制动分泵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刹车总泵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大力鼓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704.40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刹车油壶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后刹车鼓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后轮内轴承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后轮外轴承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后轮内油封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半轴油封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后半轴总成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前羊角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522.50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下摆臂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399.33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前减震上座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前减震弹簧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前桥</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817.17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后桥壳体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2830.17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尾牙</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雨刮片/个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前门内拉手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引擎盖拉丝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油箱盖拉手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中门框胶条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油泵滤网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3495.00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预热塞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燃油加油口软管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燃油进油管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喷油嘴铜垫片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高压共轨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轨压传感器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油量传感器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油水传感器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连杆瓦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汽缸垫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气门油封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正时链条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322.40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正时链板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286.80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时规盖密封圈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空调皮带轮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184.83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发动机机脚胶（后）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186.67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启动继电器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发电机螺丝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发动机线束</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线束（电脑板ECU)</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2819.33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喇叭</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方向机助力泵轮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1735.17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方向机油管（低压）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方向机铁管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204.17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方向机外球头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方向机管柱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副水箱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散热器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444.33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506.00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水泵风扇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水泵垫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节温器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水温传感器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水箱上水管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水箱下水管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水管（进水软管）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31.50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水管（出水软管）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暖风水管（进水管）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暖风水管（出水管）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暖风阀体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干燥瓶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157.33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前鼓风机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鼓风机电阻</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循环电机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后空调控制器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后冷凝器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后鼓风机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169.33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后蒸发箱芯体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432.00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后膨胀阀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空调继电器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离合压盘</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导向轴承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分离轴承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拨叉</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防尘套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飞轮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508.83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波箱前油封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波箱后油封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变速箱油封（后）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变速箱密封胶圈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变速箱倒挡轴承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489.50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变速箱三、四档同步环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211.83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变速箱一轴前盖</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变速箱二档齿轮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369.00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变速箱一、二档同步环</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变速箱一轴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变速箱副轴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627.50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挂档杆球头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离合总泵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284.67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离合踏板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离合分泵软管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传动轴中吊胶</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160.33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传动轴中心螺丝</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传动轴十字节</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传动轴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1902.83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轮辋总成16*J</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轮胎185/75R16C</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安全带（后排）</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节气门体</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空气流量计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空气进气软管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210.17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中冷器进气管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中冷器出气管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225.33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中冷器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473.50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涡轮增压器回油管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涡轮增压器进油管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涡轮增压器排气弯管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涡轮增压器垫片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压差传感器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172.50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排温传感器</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尿素喷嘴总成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333.83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三元催化器（DOC总成）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7811.33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尿素箱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3672.33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全车琐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继电器（点火）</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车门锁机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车门升降器开关 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刹车片（前）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火花塞</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45.67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85.20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前刹车皮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207.67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压缩机皮带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91.17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助力泵皮带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机油/蓝喜力 4L</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382.17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机油（壳牌灰瓶）1升</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反光板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车头喷字模具（一次性）“押运”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车头标志模具（一次性）（双色）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左侧围喷字模具（一次性）“骏安押运”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55.83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左侧围腰线模具（一次性）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112.33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右侧围喷字模具（一次性）“骏安押运”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右侧围腰线模具（一次性）</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尾门喷字模具（一次性/右）“请勿靠近”</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尾门喷字模具（一次性/左）“武装押运”</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尾门数字模具（一次性/中间）“数字”</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尾门标志模具（一次性）（双色）</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88.83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前门喷字模具（一次性/左）“总质量：4000KG"</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前门喷字模具（一次性/右）“总质量：4000KG"</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EGR阀</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油压共轨装置</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965.00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EGR冷却水管进</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EGR冷却水管出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方向机内球头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方向外球头</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86.33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后轮刹车修理包</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后平衡杆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135.33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缸盖国四112齿时规带</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2158.33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方向机转向柱</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497.50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438.67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离合拉线</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鼓风机外壳前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237.33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鼓风外壳后</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238.00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三元催化前段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1177.17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三元催化中段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8250.00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366</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三元催化后段</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13803.17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367</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前门左门门铰上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368</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前门右门门铰下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123.33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369</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中门门铰上</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123.67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中门门铰下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371</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后门合叶门铰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123.17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372</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机油（美孚黑霸王傲超15W-40K40)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373</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尾门芯锁</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138.17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374</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尾门拉手</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37.83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国六钢圈</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江铃特顺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289.17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highlight w:val="none"/>
                <w:u w:val="none"/>
              </w:rPr>
            </w:pPr>
          </w:p>
        </w:tc>
      </w:tr>
    </w:tbl>
    <w:p>
      <w:pPr>
        <w:pStyle w:val="9"/>
        <w:rPr>
          <w:rFonts w:hint="default" w:eastAsia="宋体"/>
          <w:color w:val="auto"/>
          <w:sz w:val="21"/>
          <w:szCs w:val="21"/>
          <w:highlight w:val="none"/>
          <w:lang w:val="en-US" w:eastAsia="zh-CN"/>
        </w:rPr>
      </w:pPr>
      <w:r>
        <w:rPr>
          <w:rFonts w:hint="eastAsia"/>
          <w:color w:val="auto"/>
          <w:sz w:val="21"/>
          <w:szCs w:val="21"/>
          <w:highlight w:val="none"/>
          <w:lang w:val="en-US" w:eastAsia="zh-CN"/>
        </w:rPr>
        <w:t>附件3</w:t>
      </w:r>
    </w:p>
    <w:tbl>
      <w:tblPr>
        <w:tblStyle w:val="29"/>
        <w:tblW w:w="84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
        <w:gridCol w:w="498"/>
        <w:gridCol w:w="384"/>
        <w:gridCol w:w="1904"/>
        <w:gridCol w:w="900"/>
        <w:gridCol w:w="934"/>
        <w:gridCol w:w="774"/>
        <w:gridCol w:w="769"/>
        <w:gridCol w:w="2"/>
        <w:gridCol w:w="611"/>
        <w:gridCol w:w="2"/>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nil"/>
              <w:left w:val="nil"/>
              <w:bottom w:val="nil"/>
              <w:right w:val="nil"/>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东莞市汽车维修企业维修工时市场价格指引（2016年）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 w:hRule="atLeast"/>
        </w:trPr>
        <w:tc>
          <w:tcPr>
            <w:tcW w:w="8438" w:type="dxa"/>
            <w:gridSpan w:val="12"/>
            <w:tcBorders>
              <w:top w:val="nil"/>
              <w:left w:val="nil"/>
              <w:bottom w:val="nil"/>
              <w:right w:val="nil"/>
            </w:tcBorders>
            <w:noWrap w:val="0"/>
            <w:vAlign w:val="center"/>
          </w:tcPr>
          <w:p>
            <w:pPr>
              <w:keepNext w:val="0"/>
              <w:keepLines w:val="0"/>
              <w:widowControl/>
              <w:suppressLineNumbers w:val="0"/>
              <w:adjustRightInd/>
              <w:snapToGrid/>
              <w:spacing w:line="360" w:lineRule="auto"/>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（货币单位：人民币元）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类型</w:t>
            </w:r>
          </w:p>
        </w:tc>
        <w:tc>
          <w:tcPr>
            <w:tcW w:w="4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w:t>
            </w:r>
          </w:p>
        </w:tc>
        <w:tc>
          <w:tcPr>
            <w:tcW w:w="22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w:t>
            </w:r>
          </w:p>
        </w:tc>
        <w:tc>
          <w:tcPr>
            <w:tcW w:w="399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工时费（按车辆价格分类）</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49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22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80万以上（含80万）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30-80万（含30万）</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15-30万（含15万）</w:t>
            </w:r>
          </w:p>
        </w:tc>
        <w:tc>
          <w:tcPr>
            <w:tcW w:w="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7-15万（含7万）</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7万以下微型车</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整车保养</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一级维护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二级维护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更换机油、机油滤清器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不带机油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更换波箱油（手动）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更换波箱油（自动）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保养四轮刹车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清洗发动机机仓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发动机大修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5000~1万</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发动机中修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2000~8000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吊装发动机总成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更换发动机下挡泥板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更换发动机左侧支承胶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更换发动机右侧支承胶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更换发动机后支承胶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清洗、调校喷油嘴（每个）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清洗、调校节气门（每个）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编程另计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更换汽油泵（电动泵）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拆装燃油箱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更换防冻液</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折装水箱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更换两条以内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更换上水管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更换下水管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更换冷却风扇马达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拆装油底壳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更换曲轴后油封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含吊装波箱不含吊装发动机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7"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更换曲轴前油封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不含拆装正时皮带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更换排气管吊胶（每个）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拆装、更换排气管前段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拆装、更换排气管中段（每条）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拆装、更换排气管尾段（每条）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拆装或更换空滤器总成（每个）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更换方向泵皮带（每条）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更换发电机皮带（每条）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更换空调皮带（每条）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更换发动机传动皮带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更换正时皮带，调整配气正时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更换正时链，调整配气正时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更换气缸垫（4缸）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更换气缸垫（6缸）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拆装气门室盖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检查、更换点火线圈（每个）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更换节温器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更换连接水管（水泵到节温器）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更换起动机总成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更换发电机总成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更换发动机缸盖（4缸）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含磨气门和拆装副件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更换发动机缸盖（6缸）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含磨气门和拆装副件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更换曲轴皮带轮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拆装进气岐管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拆装排气管岐管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换发动全套活塞环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换机油感应器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更换离合器液压总泵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更换正时齿轮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清洗更换燃油滤油器（外置式）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更换检查水温感应器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更换火花塞（每个）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检修更换机油格座</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检修曲轴通风装置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更换空气滤芯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更换飞轮齿（含吊装波箱）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更换三元催化器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不含吊装发动机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更换燃油蒸发控制装置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检测、清洗废气再循环（EGR）系统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更换涡轮增压器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传动系统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更换离合器片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维修或保养离合器总泵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维修或保养离合器分泵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分解、修理差速器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更换差速器总成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分解、修理自动变速箱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分解、修理手动变速箱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吊装变速箱总成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拆装波箱油底壳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更换波箱吊胶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更换或润滑波箱换挡拉索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更换或润滑波箱油门拉索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更换前驱动半轴(单边)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更换半轴外球笼(单边)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更换半轴内球笼(单边)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更换半轴防尘套、保养球笼(单边)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换传动轴中间轴承或油封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换差速器油封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拆副件另计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换半轴油封(单边)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更换轮轂轴承(轮)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更换变速箱前油封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更换变速箱后油封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拆副件另计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换离合器分离轴承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检测更换波箱电磁阀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更换轮胎及动平衡(条)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检修P档锁止开关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更换差速器油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外调校手刹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更换后悬挂推杆(每条)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更换后悬挂稳定杆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更换轮胎螺丝(每轮)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更换螺旋弹簧(支)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更换前减震器(支)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更换后减震器(支)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更换前轮避震器座胶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更换前轮定位拉杆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更换前上挂臂(单边)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更换前下挂臂(单边)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更换后轮上挂臂(单边)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更换后轮下挂臂(单边)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更换平衡杆胶(单只)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更换前平衡杆小连杆(单只)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拆装平衡杆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拆装或更换转向节(单边)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拆装前轮轴承(单边)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拆装后轮轴承(单边)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换普通前避震器(支)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换普通后避震器(支)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调校前桥扭杆弹簧</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换悬挂上、下球头(单边)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更换后桥</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检修更换转向辅助臂(个）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更换前轮油封(轮)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更换后轮油封(轮)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制动系统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检修四轮刹车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电子手刹另加100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更换前制动片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更换后制动片(碟刹)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电子手刹另加100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更换后制动蹄(鼓刹)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更换手刹片</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光整制动盘(个)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更换前制动盘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更换后制动盘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镗制动鼓(个)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更换制动总泵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检修制动分泵(碟) (个)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更换制动分泵(前) (个)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更换刹车真空助力器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更换ABS执行器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更换ABS转速传感器(个)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不含检测费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更换车轮制动软管(条)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更换全车手刹拉线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更换刹车油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转向系统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四轮定位检测、调整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更换方向机总成(齿条)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更换方向机总成(循环球)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更换方向助力油泵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拆装转向管柱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拆装转向横拉杆(内球头)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更换方向机防尘套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不含四轮定位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更换助力泵油壶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换方向机高、低压油管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补充雪种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更换电磁离合器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含拆装副件抽真空加雪种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更换压缩机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更换冷凝器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清洁或更换蒸发器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更换暖水开关阀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更换风量调节开关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更换冷暖调节开关或拉索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更换A/C开关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更换暖风水箱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拆装装空调鼓风机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拆装空调进气滤网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空调系统大修(单蒸发器)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空调系统大修(双蒸发器)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换雪种瓶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抽真空加雪种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换高低压管(条)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更换膨胀阀</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拆装仪表台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维修项目VIII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调整大灯位置及光轴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拆修雨刮连杆机构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更换雨刮喷水壶或喷水电机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更换前门音响喇叭(个)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更换后音响喇叭(个)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拆装音响主机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更换电喇叭</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不含拆前保险杆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更换气囊袋线盘</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5"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更换左右气袋及电脑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含拆装仪表台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含电脑解码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更换升降器总开关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更换前门升降器或马达(单门)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更换后门升降器或马达(单门)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更换转向组合开关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更换前大灯或大灯座(只)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更换前小灯(只)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更换后小灯(只)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更换后高位制动灯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更换前保险杠灯(只)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拆装检修天窗机构</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含拆装天花内饰板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更换天窗开关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检修电动后视镜及电路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更换仪表板照明灯泡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消除故障码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更换室内倒车镜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换刮雨马达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不含拆装仪表台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换保险盒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另议</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不含线束更换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检修电子防盗器系统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检修电子油门故障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检修车速传感器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检修巡航系统控制电路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检修电动座椅电路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更换外把手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更换四档泥板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检修电动车窗电路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检修中央门锁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拆装更换门灯感应器(个)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检修安全带感应器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拆检尾门锁灯开关总成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检修起动线路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更换电池头(正)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更换电池头(负)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发动机保养电脑归零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检修气囊控制电路故障</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检修自动波箱控制电路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检修液压方向机电子控制系统</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配装遥控器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检修加速防滑系统(ASR)</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检修四轮驱动系统电路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检修CD收放机外接电路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检修电子仪表板电路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852</w:t>
            </w:r>
          </w:p>
        </w:tc>
        <w:tc>
          <w:tcPr>
            <w:tcW w:w="19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检修大灯高低调整装置(内置式)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更换雨刮臂(每条)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检修倒车灯电路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检修雨刮电路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检修喇叭电路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维修项目IX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车身部分</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拆装车身饰件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更换前中网</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更换前或后档风玻璃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更换发动机仓前龙门架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更换发动机盖锁并调整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更换发动机盖拉索拉手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更换倒车镜(单边)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不含拆门板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拆装倒车雷达(每粒)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不含拆装保险杠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更换前翼子板(单边)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3"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更换后翼子板(单边)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含拆装后杠、后档等相关副件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更换前车门(个)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拆装前门内饰板(件)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拆装后门饰板(件)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更换车身前立柱(单边)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更换车身中立柱(单边)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更换前门锁机并调整(个)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更换后门锁机并调整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更换落水槽饰条(条)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更换前门玻璃绒槽(条)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更换后门玻璃绒槽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更换门锁驱动器(个)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更换前保险杠灯(只)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更换后保险杠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更换车标志(每个)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原厂件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更换天窗玻璃</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拆装天窗支架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更换后门三角窗</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更换车身下裙(单边)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更换后门玻璃外压条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更换前门玻璃外压条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修复校正大梁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因受损程度不同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更换车身地毯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拆装车内天花</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更换油箱拉索</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更换油箱开启盖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更换水箱.上支架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更换水箱下支架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更换车门防水胶条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更换车门外拉手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更换车门内拉手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更换车门限位器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更换后车门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拆装行李箱内饰件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更换行李箱后围板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更换行李箱撑杆(每支)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拆装前排座椅(个)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拆装后排座椅及靠背</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更换前轮内衬胶(单边)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更换后轮内衬胶(单边)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更换车门防撞胶(每条)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更换前保险杠内支架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更换后保险杠内支架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更换前叶子板内骨架(左或右)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更换后叶子板内骨架(左或右)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更换后盖铰链(每个)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更换前、后门门铰(对)</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更换前大灯(个)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不含拆装副件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单门修复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前杠修复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前叶子板修复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引擎盖修复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后箱盖修复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换车身彩条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检修中门轴承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车项沙板修复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修复后保险杠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更换安全带(条)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不含电脑解码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调校车门(个)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调校尾门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更换后盖拉线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修复备胎架</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调校门锁位(门)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换叶子板饰条(条)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钣金</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发动机盖凹位修复及校正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车顶凹位修复及校正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左下裙条凹位修复及校正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右下裙条凹位修复及校正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左前立柱凹位修复及校正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右前立柱凹位修复及校正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左中柱凹位修复及校正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右中柱凹位修复及校正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左后门凹位修复及校正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右后门凹位修复及校正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左后叶子板凹位修复及校正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右后叶子板凹位修复及校正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行李箱盖凹位修复及校正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后保险杠凹位修复及校正.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修复前大梁(后)</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修复前、后大梁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中门沙板修复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议价</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视乎受损程度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38"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维修项目XI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烤漆</w:t>
            </w: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全车烤漆外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2500-3500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不含钣金修复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全车烤漆内外</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3000-4000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不含钣金修复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发动机盖烤漆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前保险杠补漆(局部)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后保险杠补漆(局部)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前叶子板烤漆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1109</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后叶子板烤漆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1110</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前车门烤漆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1111</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后车门烤漆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1112</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前立柱烤漆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1113</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中立柱烤漆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1114</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车身下裙条烤漆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1115</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车顶烤漆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1116</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倒车镜烤漆(每个)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1117</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后箱盖烤漆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3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c>
          <w:tcPr>
            <w:tcW w:w="88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1118</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大梁修复后补漆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val="0"/>
              <w:adjustRightInd/>
              <w:snapToGrid/>
              <w:spacing w:line="360" w:lineRule="auto"/>
              <w:jc w:val="center"/>
              <w:rPr>
                <w:rFonts w:hint="eastAsia" w:ascii="宋体" w:hAnsi="宋体" w:eastAsia="宋体" w:cs="宋体"/>
                <w:i w:val="0"/>
                <w:iCs w:val="0"/>
                <w:color w:val="auto"/>
                <w:sz w:val="21"/>
                <w:szCs w:val="21"/>
                <w:highlight w:val="none"/>
                <w:u w:val="none"/>
              </w:rPr>
            </w:pPr>
          </w:p>
        </w:tc>
      </w:tr>
    </w:tbl>
    <w:p>
      <w:pPr>
        <w:keepNext w:val="0"/>
        <w:keepLines w:val="0"/>
        <w:pageBreakBefore w:val="0"/>
        <w:widowControl/>
        <w:kinsoku/>
        <w:wordWrap/>
        <w:overflowPunct/>
        <w:topLinePunct w:val="0"/>
        <w:autoSpaceDE/>
        <w:autoSpaceDN/>
        <w:bidi w:val="0"/>
        <w:adjustRightInd/>
        <w:snapToGrid/>
        <w:spacing w:line="360" w:lineRule="auto"/>
        <w:ind w:firstLine="630" w:firstLineChars="300"/>
        <w:jc w:val="both"/>
        <w:textAlignment w:val="center"/>
        <w:rPr>
          <w:rFonts w:hint="default" w:ascii="宋体" w:hAnsi="宋体" w:eastAsia="宋体" w:cs="宋体"/>
          <w:color w:val="auto"/>
          <w:kern w:val="0"/>
          <w:sz w:val="21"/>
          <w:szCs w:val="21"/>
          <w:highlight w:val="none"/>
          <w:u w:val="none"/>
          <w:lang w:val="en-US" w:eastAsia="zh-CN" w:bidi="ar"/>
        </w:rPr>
      </w:pPr>
    </w:p>
    <w:p>
      <w:pPr>
        <w:bidi w:val="0"/>
        <w:rPr>
          <w:rFonts w:hint="eastAsia"/>
          <w:color w:val="auto"/>
          <w:highlight w:val="none"/>
        </w:rPr>
      </w:pPr>
      <w:r>
        <w:rPr>
          <w:rFonts w:hint="eastAsia"/>
          <w:color w:val="auto"/>
          <w:highlight w:val="none"/>
        </w:rPr>
        <w:br w:type="page"/>
      </w:r>
    </w:p>
    <w:p>
      <w:pPr>
        <w:spacing w:before="0" w:after="0" w:line="360" w:lineRule="auto"/>
        <w:jc w:val="both"/>
        <w:outlineLvl w:val="9"/>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附件</w:t>
      </w:r>
      <w:r>
        <w:rPr>
          <w:rFonts w:hint="eastAsia" w:ascii="宋体" w:hAnsi="宋体" w:cs="宋体"/>
          <w:b w:val="0"/>
          <w:color w:val="auto"/>
          <w:kern w:val="2"/>
          <w:sz w:val="21"/>
          <w:szCs w:val="21"/>
          <w:highlight w:val="none"/>
          <w:lang w:val="en-US" w:eastAsia="zh-CN"/>
        </w:rPr>
        <w:t>4</w:t>
      </w:r>
      <w:bookmarkEnd w:id="140"/>
    </w:p>
    <w:p>
      <w:pPr>
        <w:jc w:val="center"/>
        <w:rPr>
          <w:rFonts w:hint="eastAsia" w:ascii="宋体" w:hAnsi="宋体" w:cs="宋体"/>
          <w:color w:val="auto"/>
          <w:sz w:val="21"/>
          <w:szCs w:val="21"/>
          <w:highlight w:val="none"/>
          <w:lang w:eastAsia="zh-CN"/>
        </w:rPr>
      </w:pPr>
      <w:bookmarkStart w:id="141" w:name="_Toc15372"/>
      <w:r>
        <w:rPr>
          <w:rFonts w:hint="eastAsia" w:ascii="宋体" w:hAnsi="宋体" w:cs="宋体"/>
          <w:color w:val="auto"/>
          <w:sz w:val="21"/>
          <w:szCs w:val="21"/>
          <w:highlight w:val="none"/>
          <w:lang w:eastAsia="zh-CN"/>
        </w:rPr>
        <w:t>东莞市骏安押运有限公司2024年度车辆维修保养服务汽车维修工时</w:t>
      </w:r>
    </w:p>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2024补充154项费用标准</w:t>
      </w:r>
    </w:p>
    <w:tbl>
      <w:tblPr>
        <w:tblStyle w:val="29"/>
        <w:tblW w:w="78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2712"/>
        <w:gridCol w:w="986"/>
        <w:gridCol w:w="986"/>
        <w:gridCol w:w="1323"/>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维修项目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拆装/清洗尿素箱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更换尿素泵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清洗DPF</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412.00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清洗EGR阀/废气阀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179.00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贴反光板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车头标志（双色）喷漆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左侧围“骏安押运”喷漆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左侧围腰线喷漆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右侧围“骏安押运”喷漆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右侧围腰线喷漆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尾门（右）“请勿靠近”喷漆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尾门（左）“武装押运”喷漆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尾门数字（中间）“数字”喷漆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尾门标志（双色）喷漆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前门（左）“总质量：4000KG"喷漆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前门（右）“总质量：4000KG"喷漆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更换压力差传感器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94.00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更换增压器弯管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更换EGR阀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164.00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更换油泵计量器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更换或清洗氧传感器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更换空气流量总计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更换喷油嘴回油管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更换鼓风机外壳后含拆副件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更换副水箱小水管每条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更换座椅海绵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更换ABS传感器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更换ABS泵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更换鼓风机外壳前不含拆仪表台</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239.00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更换尿素油嘴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更换排温传感器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发动机取螺丝供牙每粒</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缸盖磨平面</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257.00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缸体镗缸</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清洗氧传感器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清洗尿素油嘴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242.00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更换柴油格</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检查油路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清洗高压共轨油路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拆装高压共轨装置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校正油嘴（支）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548.00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校正柴油泵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1115.00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拆装柴油泵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491.00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更换柴油泵高压油管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加装电动分油泵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更换手油泵油管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清洗发动机</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清洗空气流量计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更换空气流量计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更换或检修中冷管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更换进气温度传感器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更换曲轴位置传感器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更换偏心轴传感器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更换增压器进油管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更换增压器回油管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更换发电机进油管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更换发电机回油管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调整皮带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检修方向机油壶漏油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检修方向机油管漏油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检修发动机上水管漏水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检修发动机下水管漏水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44.00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清洗三元催化器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清洗水箱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193.00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更换副水箱</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更换机油散热底圈水管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更换小水管（副水壶至水泵)</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47.00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更换刹车比例阀</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89.00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更换离合器踏板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126.00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27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更换刹车踏板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130.00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更换空气进气管（空气格至增压器）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更换传动轴中带胶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拆装油嘴（个）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更换节温器坐垫</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更换排挡杆下轴总成</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145.00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更换离合分成泵油管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更换三叉水管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更换方向机进回油胶圈</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检修废气管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更换中冷器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更黄中冷器管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拆装电脑板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检修档位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更换挂挡杆球头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检修离合器踏板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拆装传动轴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125.00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检修刹车助力泵真空管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紧固排气管吊胶座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更换传动轴中心螺丝</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更换中吊胶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260.00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拆装后钢板（边）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85.00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更换钢板胶套（边）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焊接车厢（10CM 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78.00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焊接排气管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焊接门锁扣</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焊接前杠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焊接后杠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焊接后桥（边）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焊接车门（10CM 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焊接升降器滑槽</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焊接钢板座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检修中门扶手松动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检修前门扶手松动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车厢钣金修复(严重)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焊接变速箱支架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前轮内骨铁板加固</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调整前或后保险杠</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加固右中门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更换前排风机电阻</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更换后排风机电阻</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更换尾灯总成（个）</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换后（下排）冷凝电子扇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检查灯光</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更换里程表传感器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更换里程表齿轮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检修里程表线路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检修空调线路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检修尾灯线路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检修转向灯线路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检修门灯线路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检修大灯线路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拆装转向灯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更换点火锁总成（开关）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更换或检修风扇耦合器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检修防盗器主机模块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更换遥控电子</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更换雨刮片（支）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w:t>
            </w:r>
          </w:p>
        </w:tc>
        <w:tc>
          <w:tcPr>
            <w:tcW w:w="27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检修暖水管漏水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加装电源线</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检修驾驶室主保险线路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清洗后排冷凝器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清洗前排冷凝器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更换油箱感应器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129.00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安装后摄像头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更换发动机线束</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补胎（条）</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加工司机座椅套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加工副驾驶座椅套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加工后排座椅套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轮眉喷漆</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检修天窗松动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145</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检修天窗漏水</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298.00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146</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拆装点烟器</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147</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检修点烟器线路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148</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检修预热线路</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149</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对调轮胎（更换旧轮胎）</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检修后排空调风槽</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更换倒车开关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152</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更换升降器开关</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153</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更换发电机皮带轮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154</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更换冷气皮带轮</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bl>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3"/>
        <w:spacing w:before="0" w:after="0" w:line="240" w:lineRule="auto"/>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第六部分附件－投标文件格式</w:t>
      </w:r>
      <w:bookmarkEnd w:id="141"/>
    </w:p>
    <w:p>
      <w:pPr>
        <w:rPr>
          <w:rFonts w:hint="eastAsia" w:ascii="宋体" w:hAnsi="宋体" w:eastAsia="宋体" w:cs="宋体"/>
          <w:color w:val="auto"/>
          <w:highlight w:val="none"/>
        </w:rPr>
      </w:pPr>
    </w:p>
    <w:p>
      <w:pPr>
        <w:pStyle w:val="5"/>
        <w:widowControl w:val="0"/>
        <w:overflowPunct w:val="0"/>
        <w:spacing w:line="240" w:lineRule="auto"/>
        <w:outlineLvl w:val="1"/>
        <w:rPr>
          <w:rFonts w:hint="eastAsia" w:ascii="宋体" w:hAnsi="宋体" w:eastAsia="宋体" w:cs="宋体"/>
          <w:color w:val="auto"/>
          <w:sz w:val="21"/>
          <w:szCs w:val="21"/>
          <w:highlight w:val="none"/>
        </w:rPr>
      </w:pPr>
      <w:bookmarkStart w:id="142" w:name="_Toc23110"/>
      <w:r>
        <w:rPr>
          <w:rFonts w:hint="eastAsia" w:ascii="宋体" w:hAnsi="宋体" w:eastAsia="宋体" w:cs="宋体"/>
          <w:color w:val="auto"/>
          <w:sz w:val="21"/>
          <w:szCs w:val="21"/>
          <w:highlight w:val="none"/>
        </w:rPr>
        <w:t>投标文件目录</w:t>
      </w:r>
      <w:bookmarkEnd w:id="142"/>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格式自理。</w:t>
      </w: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adjustRightInd/>
        <w:snapToGrid/>
        <w:spacing w:line="276"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1、投标人制作的投标文件应当具备目录。</w:t>
      </w:r>
      <w:r>
        <w:rPr>
          <w:rFonts w:hint="eastAsia" w:ascii="宋体" w:hAnsi="宋体" w:eastAsia="宋体" w:cs="宋体"/>
          <w:color w:val="auto"/>
          <w:szCs w:val="21"/>
          <w:highlight w:val="none"/>
        </w:rPr>
        <w:br w:type="page"/>
      </w:r>
    </w:p>
    <w:p>
      <w:pPr>
        <w:pStyle w:val="5"/>
        <w:widowControl w:val="0"/>
        <w:overflowPunct w:val="0"/>
        <w:spacing w:line="240" w:lineRule="auto"/>
        <w:outlineLvl w:val="3"/>
        <w:rPr>
          <w:rFonts w:hint="eastAsia" w:ascii="宋体" w:hAnsi="宋体" w:eastAsia="宋体" w:cs="宋体"/>
          <w:color w:val="auto"/>
          <w:sz w:val="21"/>
          <w:szCs w:val="21"/>
          <w:highlight w:val="none"/>
        </w:rPr>
      </w:pPr>
      <w:bookmarkStart w:id="143" w:name="_Toc15940"/>
      <w:r>
        <w:rPr>
          <w:rFonts w:hint="eastAsia" w:ascii="宋体" w:hAnsi="宋体" w:eastAsia="宋体" w:cs="宋体"/>
          <w:color w:val="auto"/>
          <w:sz w:val="21"/>
          <w:szCs w:val="21"/>
          <w:highlight w:val="none"/>
        </w:rPr>
        <w:t>附件1.评分标准索引表</w:t>
      </w:r>
      <w:bookmarkEnd w:id="143"/>
    </w:p>
    <w:p>
      <w:pPr>
        <w:adjustRightInd/>
        <w:snapToGrid/>
        <w:spacing w:line="276" w:lineRule="auto"/>
        <w:rPr>
          <w:rFonts w:hint="eastAsia" w:ascii="宋体" w:hAnsi="宋体" w:eastAsia="宋体" w:cs="宋体"/>
          <w:color w:val="auto"/>
          <w:szCs w:val="21"/>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评分标准索引表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70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评审细则</w:t>
            </w:r>
          </w:p>
        </w:tc>
        <w:tc>
          <w:tcPr>
            <w:tcW w:w="170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522" w:type="dxa"/>
            <w:gridSpan w:val="5"/>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8522" w:type="dxa"/>
            <w:gridSpan w:val="5"/>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4"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c>
          <w:tcPr>
            <w:tcW w:w="1705" w:type="dxa"/>
            <w:vAlign w:val="center"/>
          </w:tcPr>
          <w:p>
            <w:pPr>
              <w:jc w:val="center"/>
              <w:rPr>
                <w:rFonts w:hint="eastAsia" w:ascii="宋体" w:hAnsi="宋体" w:eastAsia="宋体" w:cs="宋体"/>
                <w:color w:val="auto"/>
                <w:highlight w:val="none"/>
              </w:rPr>
            </w:pP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numPr>
          <w:ilvl w:val="0"/>
          <w:numId w:val="13"/>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该表格为参考格式，投标人可按实际情况自行制订评分标准索引表。</w:t>
      </w:r>
    </w:p>
    <w:p>
      <w:pPr>
        <w:pStyle w:val="9"/>
        <w:spacing w:before="0"/>
        <w:ind w:left="0"/>
        <w:rPr>
          <w:rFonts w:hint="eastAsia" w:ascii="宋体" w:hAnsi="宋体" w:eastAsia="宋体" w:cs="宋体"/>
          <w:color w:val="auto"/>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p>
    <w:p>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jc w:val="center"/>
        <w:rPr>
          <w:rFonts w:hint="eastAsia" w:ascii="宋体" w:hAnsi="宋体" w:eastAsia="宋体" w:cs="宋体"/>
          <w:color w:val="auto"/>
          <w:sz w:val="52"/>
          <w:szCs w:val="52"/>
          <w:highlight w:val="none"/>
        </w:rPr>
      </w:pPr>
      <w:bookmarkStart w:id="144" w:name="_Toc30918"/>
      <w:bookmarkStart w:id="145" w:name="_Toc18450"/>
      <w:bookmarkStart w:id="146" w:name="_Toc21746"/>
      <w:bookmarkStart w:id="147" w:name="_Toc20335"/>
      <w:bookmarkStart w:id="148" w:name="_Toc28154"/>
    </w:p>
    <w:p>
      <w:pPr>
        <w:pStyle w:val="3"/>
        <w:spacing w:before="0" w:after="0" w:line="360" w:lineRule="auto"/>
        <w:jc w:val="center"/>
        <w:rPr>
          <w:rFonts w:hint="eastAsia" w:ascii="宋体" w:hAnsi="宋体" w:eastAsia="宋体" w:cs="宋体"/>
          <w:color w:val="auto"/>
          <w:sz w:val="72"/>
          <w:szCs w:val="72"/>
          <w:highlight w:val="none"/>
        </w:rPr>
      </w:pPr>
      <w:bookmarkStart w:id="149" w:name="_Toc6967"/>
      <w:r>
        <w:rPr>
          <w:rFonts w:hint="eastAsia" w:ascii="宋体" w:hAnsi="宋体" w:eastAsia="宋体" w:cs="宋体"/>
          <w:color w:val="auto"/>
          <w:sz w:val="72"/>
          <w:szCs w:val="72"/>
          <w:highlight w:val="none"/>
        </w:rPr>
        <w:t>价格文件</w:t>
      </w:r>
      <w:bookmarkEnd w:id="144"/>
      <w:bookmarkEnd w:id="145"/>
      <w:bookmarkEnd w:id="149"/>
      <w:bookmarkStart w:id="150" w:name="_Hlt10519799"/>
      <w:bookmarkEnd w:id="150"/>
      <w:bookmarkStart w:id="151" w:name="_Hlt10456397"/>
      <w:bookmarkEnd w:id="151"/>
    </w:p>
    <w:p>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bookmarkEnd w:id="146"/>
      <w:bookmarkEnd w:id="147"/>
      <w:bookmarkEnd w:id="148"/>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keepNext w:val="0"/>
        <w:keepLines w:val="0"/>
        <w:pageBreakBefore w:val="0"/>
        <w:widowControl/>
        <w:kinsoku/>
        <w:wordWrap/>
        <w:overflowPunct/>
        <w:topLinePunct w:val="0"/>
        <w:autoSpaceDE/>
        <w:autoSpaceDN/>
        <w:bidi w:val="0"/>
        <w:adjustRightInd w:val="0"/>
        <w:snapToGrid w:val="0"/>
        <w:spacing w:before="0" w:after="0" w:afterAutospacing="0" w:line="360" w:lineRule="auto"/>
        <w:ind w:left="0" w:firstLine="240"/>
        <w:textAlignment w:val="auto"/>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val="0"/>
        <w:snapToGrid w:val="0"/>
        <w:spacing w:afterAutospacing="0" w:line="360" w:lineRule="auto"/>
        <w:ind w:left="0"/>
        <w:textAlignment w:val="auto"/>
        <w:rPr>
          <w:rFonts w:hint="eastAsia" w:ascii="宋体" w:hAnsi="宋体" w:eastAsia="宋体" w:cs="宋体"/>
          <w:b/>
          <w:bCs/>
          <w:color w:val="auto"/>
          <w:spacing w:val="0"/>
          <w:kern w:val="0"/>
          <w:sz w:val="32"/>
          <w:szCs w:val="32"/>
          <w:highlight w:val="none"/>
          <w:fitText w:val="1600" w:id="0"/>
        </w:rPr>
      </w:pPr>
      <w:r>
        <w:rPr>
          <w:rFonts w:hint="eastAsia" w:ascii="宋体" w:hAnsi="宋体" w:eastAsia="宋体" w:cs="宋体"/>
          <w:b/>
          <w:bCs/>
          <w:color w:val="auto"/>
          <w:spacing w:val="640"/>
          <w:kern w:val="0"/>
          <w:sz w:val="32"/>
          <w:szCs w:val="32"/>
          <w:highlight w:val="none"/>
          <w:fitText w:val="1600" w:id="0"/>
        </w:rPr>
        <w:t>项</w:t>
      </w:r>
      <w:r>
        <w:rPr>
          <w:rFonts w:hint="eastAsia" w:ascii="宋体" w:hAnsi="宋体" w:eastAsia="宋体" w:cs="宋体"/>
          <w:b/>
          <w:bCs/>
          <w:color w:val="auto"/>
          <w:spacing w:val="53"/>
          <w:kern w:val="0"/>
          <w:sz w:val="32"/>
          <w:szCs w:val="32"/>
          <w:highlight w:val="none"/>
          <w:fitText w:val="1600" w:id="0"/>
        </w:rPr>
        <w:t>目名称</w:t>
      </w:r>
      <w:r>
        <w:rPr>
          <w:rFonts w:hint="eastAsia" w:ascii="宋体" w:hAnsi="宋体" w:eastAsia="宋体" w:cs="宋体"/>
          <w:b/>
          <w:bCs/>
          <w:color w:val="auto"/>
          <w:spacing w:val="1"/>
          <w:kern w:val="0"/>
          <w:sz w:val="32"/>
          <w:szCs w:val="32"/>
          <w:highlight w:val="none"/>
          <w:fitText w:val="1600" w:id="0"/>
        </w:rPr>
        <w:t>：</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0"/>
        <w:textAlignment w:val="auto"/>
        <w:rPr>
          <w:rFonts w:hint="eastAsia" w:ascii="宋体" w:hAnsi="宋体" w:eastAsia="宋体" w:cs="宋体"/>
          <w:b/>
          <w:bCs/>
          <w:color w:val="auto"/>
          <w:spacing w:val="0"/>
          <w:kern w:val="0"/>
          <w:sz w:val="32"/>
          <w:szCs w:val="32"/>
          <w:highlight w:val="none"/>
          <w:fitText w:val="1600" w:id="1"/>
        </w:rPr>
      </w:pPr>
      <w:r>
        <w:rPr>
          <w:rFonts w:hint="eastAsia" w:ascii="宋体" w:hAnsi="宋体" w:eastAsia="宋体" w:cs="宋体"/>
          <w:b/>
          <w:bCs/>
          <w:color w:val="auto"/>
          <w:spacing w:val="0"/>
          <w:kern w:val="0"/>
          <w:sz w:val="32"/>
          <w:szCs w:val="32"/>
          <w:highlight w:val="none"/>
          <w:fitText w:val="1600" w:id="1"/>
        </w:rPr>
        <w:t>项目编号：</w:t>
      </w:r>
    </w:p>
    <w:p>
      <w:pPr>
        <w:rPr>
          <w:rFonts w:hint="eastAsia" w:ascii="宋体" w:hAnsi="宋体" w:eastAsia="宋体" w:cs="宋体"/>
          <w:b/>
          <w:bCs/>
          <w:color w:val="auto"/>
          <w:spacing w:val="-2"/>
          <w:w w:val="62"/>
          <w:kern w:val="0"/>
          <w:sz w:val="32"/>
          <w:szCs w:val="32"/>
          <w:highlight w:val="none"/>
          <w:fitText w:val="1600" w:id="2"/>
        </w:rPr>
      </w:pPr>
      <w:r>
        <w:rPr>
          <w:rFonts w:hint="eastAsia" w:ascii="宋体" w:hAnsi="宋体" w:eastAsia="宋体" w:cs="宋体"/>
          <w:b/>
          <w:bCs/>
          <w:color w:val="auto"/>
          <w:spacing w:val="1"/>
          <w:w w:val="62"/>
          <w:kern w:val="0"/>
          <w:sz w:val="32"/>
          <w:szCs w:val="32"/>
          <w:highlight w:val="none"/>
          <w:fitText w:val="1600" w:id="2"/>
          <w:lang w:bidi="ar"/>
        </w:rPr>
        <w:t>包组号（如有）</w:t>
      </w:r>
      <w:r>
        <w:rPr>
          <w:rFonts w:hint="eastAsia" w:ascii="宋体" w:hAnsi="宋体" w:eastAsia="宋体" w:cs="宋体"/>
          <w:b/>
          <w:bCs/>
          <w:color w:val="auto"/>
          <w:spacing w:val="0"/>
          <w:w w:val="62"/>
          <w:kern w:val="0"/>
          <w:sz w:val="32"/>
          <w:szCs w:val="32"/>
          <w:highlight w:val="none"/>
          <w:fitText w:val="1600" w:id="2"/>
          <w:lang w:bidi="ar"/>
        </w:rPr>
        <w:t>：</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0"/>
        <w:textAlignment w:val="auto"/>
        <w:rPr>
          <w:rFonts w:hint="eastAsia" w:ascii="宋体" w:hAnsi="宋体" w:eastAsia="宋体" w:cs="宋体"/>
          <w:b/>
          <w:bCs/>
          <w:color w:val="auto"/>
          <w:spacing w:val="1"/>
          <w:w w:val="83"/>
          <w:kern w:val="0"/>
          <w:sz w:val="32"/>
          <w:szCs w:val="32"/>
          <w:highlight w:val="none"/>
          <w:fitText w:val="1600" w:id="3"/>
        </w:rPr>
      </w:pPr>
      <w:r>
        <w:rPr>
          <w:rFonts w:hint="eastAsia" w:ascii="宋体" w:hAnsi="宋体" w:eastAsia="宋体" w:cs="宋体"/>
          <w:b/>
          <w:bCs/>
          <w:color w:val="auto"/>
          <w:spacing w:val="0"/>
          <w:w w:val="83"/>
          <w:kern w:val="0"/>
          <w:sz w:val="32"/>
          <w:szCs w:val="32"/>
          <w:highlight w:val="none"/>
          <w:fitText w:val="1600" w:id="3"/>
        </w:rPr>
        <w:t>投标人名称：</w:t>
      </w:r>
    </w:p>
    <w:p>
      <w:pPr>
        <w:keepNext w:val="0"/>
        <w:keepLines w:val="0"/>
        <w:pageBreakBefore w:val="0"/>
        <w:widowControl/>
        <w:kinsoku/>
        <w:wordWrap/>
        <w:overflowPunct/>
        <w:topLinePunct w:val="0"/>
        <w:autoSpaceDE/>
        <w:autoSpaceDN/>
        <w:bidi w:val="0"/>
        <w:adjustRightInd w:val="0"/>
        <w:snapToGrid w:val="0"/>
        <w:spacing w:afterAutospacing="0" w:line="360" w:lineRule="auto"/>
        <w:ind w:left="0"/>
        <w:textAlignment w:val="auto"/>
        <w:rPr>
          <w:rFonts w:hint="eastAsia" w:ascii="宋体" w:hAnsi="宋体" w:eastAsia="宋体" w:cs="宋体"/>
          <w:b/>
          <w:bCs/>
          <w:color w:val="auto"/>
          <w:spacing w:val="0"/>
          <w:kern w:val="0"/>
          <w:sz w:val="32"/>
          <w:szCs w:val="32"/>
          <w:highlight w:val="none"/>
          <w:fitText w:val="1600" w:id="4"/>
        </w:rPr>
      </w:pPr>
      <w:r>
        <w:rPr>
          <w:rFonts w:hint="eastAsia" w:ascii="宋体" w:hAnsi="宋体" w:eastAsia="宋体" w:cs="宋体"/>
          <w:b/>
          <w:bCs/>
          <w:color w:val="auto"/>
          <w:spacing w:val="0"/>
          <w:kern w:val="0"/>
          <w:sz w:val="32"/>
          <w:szCs w:val="32"/>
          <w:highlight w:val="none"/>
          <w:fitText w:val="1600" w:id="4"/>
        </w:rPr>
        <w:t>日    期：</w:t>
      </w:r>
    </w:p>
    <w:p>
      <w:pPr>
        <w:rPr>
          <w:rFonts w:hint="eastAsia" w:ascii="宋体" w:hAnsi="宋体" w:eastAsia="宋体" w:cs="宋体"/>
          <w:color w:val="auto"/>
          <w:spacing w:val="3"/>
          <w:kern w:val="0"/>
          <w:highlight w:val="none"/>
          <w:fitText w:val="1600" w:id="5"/>
        </w:rPr>
      </w:pPr>
    </w:p>
    <w:p>
      <w:pPr>
        <w:pStyle w:val="9"/>
        <w:rPr>
          <w:rFonts w:hint="eastAsia" w:ascii="宋体" w:hAnsi="宋体" w:eastAsia="宋体" w:cs="宋体"/>
          <w:color w:val="auto"/>
          <w:spacing w:val="6"/>
          <w:kern w:val="0"/>
          <w:highlight w:val="none"/>
          <w:fitText w:val="1600" w:id="6"/>
        </w:rPr>
      </w:pPr>
    </w:p>
    <w:p>
      <w:pPr>
        <w:pStyle w:val="27"/>
        <w:ind w:firstLine="240"/>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ind w:left="0"/>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52" w:name="_Toc23247"/>
      <w:bookmarkStart w:id="153" w:name="_Toc1317"/>
      <w:r>
        <w:rPr>
          <w:rFonts w:hint="eastAsia" w:ascii="宋体" w:hAnsi="宋体" w:eastAsia="宋体" w:cs="宋体"/>
          <w:color w:val="auto"/>
          <w:sz w:val="21"/>
          <w:szCs w:val="21"/>
          <w:highlight w:val="none"/>
        </w:rPr>
        <w:t>附件2.开标一览表格式</w:t>
      </w:r>
      <w:bookmarkEnd w:id="152"/>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开标一览表</w:t>
      </w: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采购项目编号：</w:t>
      </w:r>
    </w:p>
    <w:tbl>
      <w:tblPr>
        <w:tblStyle w:val="29"/>
        <w:tblW w:w="8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73"/>
        <w:gridCol w:w="2260"/>
        <w:gridCol w:w="2250"/>
        <w:gridCol w:w="1282"/>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755" w:type="dxa"/>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1573" w:type="dxa"/>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lang w:eastAsia="zh-CN"/>
              </w:rPr>
              <w:t>项目</w:t>
            </w:r>
            <w:r>
              <w:rPr>
                <w:rFonts w:hint="eastAsia" w:ascii="宋体" w:hAnsi="宋体" w:cs="宋体"/>
                <w:bCs/>
                <w:color w:val="auto"/>
                <w:sz w:val="21"/>
                <w:szCs w:val="21"/>
                <w:highlight w:val="none"/>
              </w:rPr>
              <w:t>名称</w:t>
            </w:r>
          </w:p>
        </w:tc>
        <w:tc>
          <w:tcPr>
            <w:tcW w:w="4510" w:type="dxa"/>
            <w:gridSpan w:val="2"/>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项目</w:t>
            </w:r>
            <w:r>
              <w:rPr>
                <w:rFonts w:hint="eastAsia" w:ascii="宋体" w:hAnsi="宋体" w:cs="宋体"/>
                <w:bCs/>
                <w:color w:val="auto"/>
                <w:sz w:val="21"/>
                <w:szCs w:val="21"/>
                <w:highlight w:val="none"/>
                <w:lang w:eastAsia="zh-CN"/>
              </w:rPr>
              <w:t>报价</w:t>
            </w:r>
          </w:p>
        </w:tc>
        <w:tc>
          <w:tcPr>
            <w:tcW w:w="1282" w:type="dxa"/>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服务期</w:t>
            </w:r>
          </w:p>
        </w:tc>
        <w:tc>
          <w:tcPr>
            <w:tcW w:w="817" w:type="dxa"/>
            <w:tcBorders>
              <w:bottom w:val="double" w:color="auto" w:sz="4" w:space="0"/>
            </w:tcBorders>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jc w:val="center"/>
        </w:trPr>
        <w:tc>
          <w:tcPr>
            <w:tcW w:w="755" w:type="dxa"/>
            <w:vMerge w:val="restart"/>
            <w:noWrap w:val="0"/>
            <w:vAlign w:val="center"/>
          </w:tcPr>
          <w:p>
            <w:pPr>
              <w:widowControl w:val="0"/>
              <w:autoSpaceDE w:val="0"/>
              <w:autoSpaceDN w:val="0"/>
              <w:adjustRightIn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573" w:type="dxa"/>
            <w:vMerge w:val="restart"/>
            <w:noWrap w:val="0"/>
            <w:vAlign w:val="center"/>
          </w:tcPr>
          <w:p>
            <w:pPr>
              <w:widowControl w:val="0"/>
              <w:autoSpaceDE w:val="0"/>
              <w:autoSpaceDN w:val="0"/>
              <w:adjustRightInd w:val="0"/>
              <w:spacing w:line="360" w:lineRule="auto"/>
              <w:jc w:val="center"/>
              <w:rPr>
                <w:rFonts w:ascii="宋体" w:hAnsi="宋体" w:eastAsia="宋体" w:cs="宋体"/>
                <w:color w:val="auto"/>
                <w:kern w:val="2"/>
                <w:sz w:val="21"/>
                <w:szCs w:val="21"/>
                <w:highlight w:val="none"/>
                <w:lang w:val="en-US" w:eastAsia="zh-CN" w:bidi="ar-SA"/>
              </w:rPr>
            </w:pPr>
          </w:p>
        </w:tc>
        <w:tc>
          <w:tcPr>
            <w:tcW w:w="2260" w:type="dxa"/>
            <w:noWrap w:val="0"/>
            <w:vAlign w:val="center"/>
          </w:tcPr>
          <w:p>
            <w:pPr>
              <w:widowControl/>
              <w:adjustRightInd/>
              <w:snapToGrid/>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工时费用（下浮率）</w:t>
            </w:r>
          </w:p>
        </w:tc>
        <w:tc>
          <w:tcPr>
            <w:tcW w:w="2250" w:type="dxa"/>
            <w:noWrap w:val="0"/>
            <w:vAlign w:val="center"/>
          </w:tcPr>
          <w:p>
            <w:pPr>
              <w:widowControl/>
              <w:adjustRightInd/>
              <w:snapToGrid/>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零配件费用</w:t>
            </w:r>
            <w:r>
              <w:rPr>
                <w:rFonts w:hint="eastAsia" w:ascii="宋体" w:hAnsi="宋体" w:eastAsia="宋体" w:cs="宋体"/>
                <w:bCs/>
                <w:color w:val="auto"/>
                <w:sz w:val="21"/>
                <w:szCs w:val="21"/>
                <w:highlight w:val="none"/>
                <w:lang w:val="en-US" w:eastAsia="zh-CN"/>
              </w:rPr>
              <w:t>（下浮率）</w:t>
            </w:r>
          </w:p>
        </w:tc>
        <w:tc>
          <w:tcPr>
            <w:tcW w:w="1282" w:type="dxa"/>
            <w:vMerge w:val="restart"/>
            <w:noWrap w:val="0"/>
            <w:vAlign w:val="center"/>
          </w:tcPr>
          <w:p>
            <w:pPr>
              <w:widowControl/>
              <w:adjustRightInd/>
              <w:snapToGrid/>
              <w:spacing w:line="360" w:lineRule="auto"/>
              <w:jc w:val="center"/>
              <w:rPr>
                <w:rFonts w:ascii="宋体" w:hAnsi="宋体" w:cs="宋体"/>
                <w:bCs/>
                <w:color w:val="auto"/>
                <w:sz w:val="21"/>
                <w:szCs w:val="21"/>
                <w:highlight w:val="none"/>
              </w:rPr>
            </w:pPr>
          </w:p>
        </w:tc>
        <w:tc>
          <w:tcPr>
            <w:tcW w:w="817" w:type="dxa"/>
            <w:vMerge w:val="restart"/>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jc w:val="center"/>
        </w:trPr>
        <w:tc>
          <w:tcPr>
            <w:tcW w:w="755" w:type="dxa"/>
            <w:vMerge w:val="continue"/>
            <w:noWrap w:val="0"/>
            <w:vAlign w:val="center"/>
          </w:tcPr>
          <w:p>
            <w:pPr>
              <w:widowControl w:val="0"/>
              <w:autoSpaceDE w:val="0"/>
              <w:autoSpaceDN w:val="0"/>
              <w:adjustRightInd w:val="0"/>
              <w:spacing w:line="360" w:lineRule="auto"/>
              <w:jc w:val="center"/>
              <w:rPr>
                <w:rFonts w:hint="default" w:ascii="宋体" w:hAnsi="宋体" w:eastAsia="宋体" w:cs="宋体"/>
                <w:color w:val="auto"/>
                <w:kern w:val="2"/>
                <w:sz w:val="21"/>
                <w:szCs w:val="21"/>
                <w:highlight w:val="none"/>
                <w:lang w:val="en-US" w:eastAsia="zh-CN" w:bidi="ar-SA"/>
              </w:rPr>
            </w:pPr>
          </w:p>
        </w:tc>
        <w:tc>
          <w:tcPr>
            <w:tcW w:w="1573" w:type="dxa"/>
            <w:vMerge w:val="continue"/>
            <w:noWrap w:val="0"/>
            <w:vAlign w:val="center"/>
          </w:tcPr>
          <w:p>
            <w:pPr>
              <w:widowControl w:val="0"/>
              <w:autoSpaceDE w:val="0"/>
              <w:autoSpaceDN w:val="0"/>
              <w:adjustRightInd w:val="0"/>
              <w:spacing w:line="360" w:lineRule="auto"/>
              <w:jc w:val="center"/>
              <w:rPr>
                <w:rFonts w:ascii="宋体" w:hAnsi="宋体" w:eastAsia="宋体" w:cs="宋体"/>
                <w:color w:val="auto"/>
                <w:kern w:val="2"/>
                <w:sz w:val="21"/>
                <w:szCs w:val="21"/>
                <w:highlight w:val="none"/>
                <w:lang w:val="en-US" w:eastAsia="zh-CN" w:bidi="ar-SA"/>
              </w:rPr>
            </w:pPr>
          </w:p>
        </w:tc>
        <w:tc>
          <w:tcPr>
            <w:tcW w:w="2260" w:type="dxa"/>
            <w:noWrap w:val="0"/>
            <w:vAlign w:val="center"/>
          </w:tcPr>
          <w:p>
            <w:pPr>
              <w:widowControl/>
              <w:adjustRightInd/>
              <w:snapToGrid/>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下浮率：百分之</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w:t>
            </w:r>
          </w:p>
          <w:p>
            <w:pPr>
              <w:widowControl/>
              <w:adjustRightInd/>
              <w:snapToGrid/>
              <w:spacing w:line="360" w:lineRule="auto"/>
              <w:jc w:val="center"/>
              <w:rPr>
                <w:rFonts w:hint="default"/>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下浮率：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w:t>
            </w:r>
          </w:p>
        </w:tc>
        <w:tc>
          <w:tcPr>
            <w:tcW w:w="2250" w:type="dxa"/>
            <w:noWrap w:val="0"/>
            <w:vAlign w:val="center"/>
          </w:tcPr>
          <w:p>
            <w:pPr>
              <w:widowControl/>
              <w:adjustRightInd/>
              <w:snapToGrid/>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下浮率：百分之</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w:t>
            </w:r>
          </w:p>
          <w:p>
            <w:pPr>
              <w:widowControl/>
              <w:adjustRightInd/>
              <w:snapToGrid/>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下浮率：</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 xml:space="preserve"> %</w:t>
            </w:r>
          </w:p>
        </w:tc>
        <w:tc>
          <w:tcPr>
            <w:tcW w:w="1282" w:type="dxa"/>
            <w:vMerge w:val="continue"/>
            <w:noWrap w:val="0"/>
            <w:vAlign w:val="center"/>
          </w:tcPr>
          <w:p>
            <w:pPr>
              <w:widowControl/>
              <w:adjustRightInd/>
              <w:snapToGrid/>
              <w:spacing w:line="360" w:lineRule="auto"/>
              <w:jc w:val="center"/>
              <w:rPr>
                <w:rFonts w:ascii="宋体" w:hAnsi="宋体" w:cs="宋体"/>
                <w:bCs/>
                <w:color w:val="auto"/>
                <w:sz w:val="21"/>
                <w:szCs w:val="21"/>
                <w:highlight w:val="none"/>
              </w:rPr>
            </w:pPr>
          </w:p>
        </w:tc>
        <w:tc>
          <w:tcPr>
            <w:tcW w:w="817" w:type="dxa"/>
            <w:vMerge w:val="continue"/>
            <w:noWrap w:val="0"/>
            <w:vAlign w:val="center"/>
          </w:tcPr>
          <w:p>
            <w:pPr>
              <w:widowControl w:val="0"/>
              <w:tabs>
                <w:tab w:val="left" w:pos="654"/>
                <w:tab w:val="left" w:pos="1734"/>
                <w:tab w:val="left" w:pos="2814"/>
                <w:tab w:val="left" w:pos="3894"/>
                <w:tab w:val="left" w:pos="5334"/>
                <w:tab w:val="left" w:pos="6414"/>
                <w:tab w:val="left" w:pos="7254"/>
                <w:tab w:val="left" w:pos="8574"/>
                <w:tab w:val="left" w:pos="9654"/>
              </w:tabs>
              <w:adjustRightInd/>
              <w:snapToGrid/>
              <w:spacing w:line="360" w:lineRule="auto"/>
              <w:jc w:val="center"/>
              <w:rPr>
                <w:rFonts w:ascii="宋体" w:hAnsi="宋体" w:cs="宋体"/>
                <w:bCs/>
                <w:color w:val="auto"/>
                <w:sz w:val="21"/>
                <w:szCs w:val="21"/>
                <w:highlight w:val="none"/>
              </w:rPr>
            </w:pPr>
          </w:p>
        </w:tc>
      </w:tr>
    </w:tbl>
    <w:p>
      <w:pPr>
        <w:ind w:firstLine="359" w:firstLineChars="171"/>
        <w:rPr>
          <w:rFonts w:hint="eastAsia" w:ascii="宋体" w:hAnsi="宋体" w:eastAsia="宋体" w:cs="宋体"/>
          <w:color w:val="auto"/>
          <w:szCs w:val="21"/>
          <w:highlight w:val="none"/>
        </w:rPr>
      </w:pPr>
    </w:p>
    <w:p>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ind w:firstLine="359" w:firstLineChars="171"/>
        <w:rPr>
          <w:rFonts w:hint="eastAsia" w:ascii="宋体" w:hAnsi="宋体" w:eastAsia="宋体" w:cs="宋体"/>
          <w:color w:val="auto"/>
          <w:szCs w:val="21"/>
          <w:highlight w:val="none"/>
        </w:rPr>
      </w:pPr>
    </w:p>
    <w:p>
      <w:pPr>
        <w:ind w:left="391" w:hanging="390" w:hangingChars="186"/>
        <w:rPr>
          <w:rFonts w:hint="eastAsia"/>
          <w:color w:val="auto"/>
          <w:highlight w:val="none"/>
        </w:rPr>
      </w:pPr>
      <w:r>
        <w:rPr>
          <w:rFonts w:hint="eastAsia" w:ascii="宋体" w:hAnsi="宋体" w:eastAsia="宋体" w:cs="宋体"/>
          <w:color w:val="auto"/>
          <w:szCs w:val="21"/>
          <w:highlight w:val="none"/>
        </w:rPr>
        <w:t xml:space="preserve">    注：</w:t>
      </w:r>
    </w:p>
    <w:p>
      <w:pPr>
        <w:numPr>
          <w:ilvl w:val="0"/>
          <w:numId w:val="14"/>
        </w:numPr>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投标总价栏须用大写金额和小写金额两种方式表示的投标总价，报价保留小数点后两位。投标总价大小写不一致，以大写为准。投标总价必须准确唯一且应包含采购文件要求的所有费用。</w:t>
      </w:r>
    </w:p>
    <w:p>
      <w:pPr>
        <w:numPr>
          <w:ilvl w:val="0"/>
          <w:numId w:val="14"/>
        </w:numPr>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本项目投标报价为维修工时费用下浮率（报价区间：3%≤下浮率≤100%）及</w:t>
      </w:r>
      <w:r>
        <w:rPr>
          <w:rFonts w:hint="eastAsia" w:ascii="宋体" w:hAnsi="宋体" w:cs="宋体"/>
          <w:b w:val="0"/>
          <w:bCs w:val="0"/>
          <w:color w:val="auto"/>
          <w:szCs w:val="21"/>
          <w:highlight w:val="none"/>
          <w:lang w:eastAsia="zh-CN"/>
        </w:rPr>
        <w:t>汽车零配件费用下浮率</w:t>
      </w:r>
      <w:r>
        <w:rPr>
          <w:rFonts w:hint="eastAsia" w:ascii="宋体" w:hAnsi="宋体" w:eastAsia="宋体" w:cs="宋体"/>
          <w:b w:val="0"/>
          <w:bCs w:val="0"/>
          <w:color w:val="auto"/>
          <w:szCs w:val="21"/>
          <w:highlight w:val="none"/>
        </w:rPr>
        <w:t>（报价区间：</w:t>
      </w:r>
      <w:r>
        <w:rPr>
          <w:rFonts w:hint="eastAsia" w:ascii="宋体" w:hAnsi="宋体" w:cs="宋体"/>
          <w:b w:val="0"/>
          <w:bCs w:val="0"/>
          <w:color w:val="auto"/>
          <w:szCs w:val="21"/>
          <w:highlight w:val="none"/>
          <w:lang w:eastAsia="zh-CN"/>
        </w:rPr>
        <w:t>0%≤下浮率≤100%</w:t>
      </w:r>
      <w:r>
        <w:rPr>
          <w:rFonts w:hint="eastAsia" w:ascii="宋体" w:hAnsi="宋体" w:eastAsia="宋体" w:cs="宋体"/>
          <w:b w:val="0"/>
          <w:bCs w:val="0"/>
          <w:color w:val="auto"/>
          <w:szCs w:val="21"/>
          <w:highlight w:val="none"/>
        </w:rPr>
        <w:t>）分别进行报价。</w:t>
      </w:r>
    </w:p>
    <w:p>
      <w:pPr>
        <w:ind w:firstLine="420" w:firstLineChars="200"/>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、温馨提示：未按采购文件要求报价、填写开标一览表是导致投标人废标的常见问题，请投标人仔细填写，认真核对。</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w:t>
      </w:r>
      <w:bookmarkEnd w:id="153"/>
      <w:r>
        <w:rPr>
          <w:rFonts w:hint="eastAsia" w:ascii="宋体" w:hAnsi="宋体" w:eastAsia="宋体" w:cs="宋体"/>
          <w:color w:val="auto"/>
          <w:sz w:val="21"/>
          <w:szCs w:val="21"/>
          <w:highlight w:val="none"/>
        </w:rPr>
        <w:t>服务费构成明细报价</w:t>
      </w:r>
    </w:p>
    <w:p>
      <w:pPr>
        <w:jc w:val="cente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 xml:space="preserve">        </w:t>
      </w:r>
    </w:p>
    <w:p>
      <w:pPr>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服务费构成明细报价</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21"/>
          <w:szCs w:val="21"/>
          <w:highlight w:val="none"/>
          <w:lang w:val="en-US" w:eastAsia="zh-CN"/>
        </w:rPr>
        <w:t>单位：元</w:t>
      </w: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104"/>
        <w:gridCol w:w="2683"/>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104"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服务名称</w:t>
            </w:r>
          </w:p>
        </w:tc>
        <w:tc>
          <w:tcPr>
            <w:tcW w:w="2683"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服务要求</w:t>
            </w:r>
          </w:p>
        </w:tc>
        <w:tc>
          <w:tcPr>
            <w:tcW w:w="3126" w:type="dxa"/>
            <w:noWrap w:val="0"/>
            <w:vAlign w:val="center"/>
          </w:tcPr>
          <w:p>
            <w:pPr>
              <w:widowControl w:val="0"/>
              <w:adjustRightInd w:val="0"/>
              <w:snapToGrid w:val="0"/>
              <w:spacing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609" w:type="dxa"/>
            <w:vMerge w:val="restart"/>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104" w:type="dxa"/>
            <w:vMerge w:val="restart"/>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p>
        </w:tc>
        <w:tc>
          <w:tcPr>
            <w:tcW w:w="2683"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eastAsia="zh-CN"/>
              </w:rPr>
              <w:t>东莞市骏安押运有限公司2024年度车辆维修保养服务车辆配件费核定标准</w:t>
            </w:r>
          </w:p>
        </w:tc>
        <w:tc>
          <w:tcPr>
            <w:tcW w:w="3126"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609"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p>
        </w:tc>
        <w:tc>
          <w:tcPr>
            <w:tcW w:w="2104"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p>
        </w:tc>
        <w:tc>
          <w:tcPr>
            <w:tcW w:w="2683"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eastAsia="zh-CN"/>
              </w:rPr>
              <w:t>《东莞市汽车维修企业维修工时市场价格指引》（2016年）</w:t>
            </w:r>
          </w:p>
        </w:tc>
        <w:tc>
          <w:tcPr>
            <w:tcW w:w="3126" w:type="dxa"/>
            <w:vMerge w:val="restart"/>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609"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p>
        </w:tc>
        <w:tc>
          <w:tcPr>
            <w:tcW w:w="2104"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p>
        </w:tc>
        <w:tc>
          <w:tcPr>
            <w:tcW w:w="2683" w:type="dxa"/>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rPr>
            </w:pPr>
            <w:r>
              <w:rPr>
                <w:rFonts w:hint="eastAsia"/>
                <w:color w:val="auto"/>
                <w:highlight w:val="none"/>
                <w:lang w:eastAsia="zh-CN"/>
              </w:rPr>
              <w:t>《</w:t>
            </w:r>
            <w:r>
              <w:rPr>
                <w:rFonts w:hint="eastAsia" w:ascii="宋体" w:hAnsi="宋体" w:cs="宋体"/>
                <w:color w:val="auto"/>
                <w:sz w:val="21"/>
                <w:szCs w:val="21"/>
                <w:highlight w:val="none"/>
                <w:vertAlign w:val="baseline"/>
                <w:lang w:eastAsia="zh-CN"/>
              </w:rPr>
              <w:t>东莞市骏安押运有限公司2024年度车辆维修保养服务汽车维修工时2024补充154项费用标准</w:t>
            </w:r>
            <w:r>
              <w:rPr>
                <w:rFonts w:hint="eastAsia"/>
                <w:color w:val="auto"/>
                <w:highlight w:val="none"/>
                <w:lang w:eastAsia="zh-CN"/>
              </w:rPr>
              <w:t>》</w:t>
            </w:r>
          </w:p>
        </w:tc>
        <w:tc>
          <w:tcPr>
            <w:tcW w:w="3126" w:type="dxa"/>
            <w:vMerge w:val="continue"/>
            <w:noWrap w:val="0"/>
            <w:vAlign w:val="center"/>
          </w:tcPr>
          <w:p>
            <w:pPr>
              <w:widowControl w:val="0"/>
              <w:adjustRightInd w:val="0"/>
              <w:snapToGrid w:val="0"/>
              <w:spacing w:line="360" w:lineRule="auto"/>
              <w:jc w:val="center"/>
              <w:rPr>
                <w:rFonts w:hint="eastAsia" w:ascii="宋体" w:hAnsi="宋体" w:eastAsia="宋体" w:cs="宋体"/>
                <w:color w:val="auto"/>
                <w:sz w:val="21"/>
                <w:szCs w:val="21"/>
                <w:highlight w:val="none"/>
                <w:vertAlign w:val="baseline"/>
                <w:lang w:val="en-US" w:eastAsia="zh-CN"/>
              </w:rPr>
            </w:pPr>
          </w:p>
        </w:tc>
      </w:tr>
    </w:tbl>
    <w:p>
      <w:pPr>
        <w:rPr>
          <w:rFonts w:hint="eastAsia" w:ascii="宋体" w:hAnsi="宋体" w:eastAsia="宋体" w:cs="宋体"/>
          <w:b/>
          <w:color w:val="auto"/>
          <w:szCs w:val="21"/>
          <w:highlight w:val="none"/>
        </w:rPr>
      </w:pP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bookmarkStart w:id="154" w:name="_Toc12412"/>
      <w:r>
        <w:rPr>
          <w:rFonts w:hint="eastAsia" w:ascii="宋体" w:hAnsi="宋体" w:eastAsia="宋体" w:cs="宋体"/>
          <w:color w:val="auto"/>
          <w:szCs w:val="21"/>
          <w:highlight w:val="none"/>
        </w:rPr>
        <w:br w:type="page"/>
      </w:r>
    </w:p>
    <w:bookmarkEnd w:id="154"/>
    <w:p>
      <w:pPr>
        <w:rPr>
          <w:rFonts w:hint="eastAsia" w:ascii="宋体" w:hAnsi="宋体" w:eastAsia="宋体" w:cs="宋体"/>
          <w:color w:val="auto"/>
          <w:sz w:val="52"/>
          <w:szCs w:val="52"/>
          <w:highlight w:val="none"/>
        </w:rPr>
      </w:pPr>
    </w:p>
    <w:p>
      <w:pPr>
        <w:pStyle w:val="3"/>
        <w:spacing w:before="0" w:after="0" w:line="360" w:lineRule="auto"/>
        <w:jc w:val="center"/>
        <w:rPr>
          <w:rFonts w:hint="eastAsia" w:ascii="宋体" w:hAnsi="宋体" w:eastAsia="宋体" w:cs="宋体"/>
          <w:color w:val="auto"/>
          <w:sz w:val="72"/>
          <w:szCs w:val="72"/>
          <w:highlight w:val="none"/>
        </w:rPr>
      </w:pPr>
      <w:bookmarkStart w:id="155" w:name="_Toc17780"/>
      <w:r>
        <w:rPr>
          <w:rFonts w:hint="eastAsia" w:ascii="宋体" w:hAnsi="宋体" w:eastAsia="宋体" w:cs="宋体"/>
          <w:color w:val="auto"/>
          <w:sz w:val="72"/>
          <w:szCs w:val="72"/>
          <w:highlight w:val="none"/>
        </w:rPr>
        <w:t>商务文件</w:t>
      </w:r>
      <w:bookmarkEnd w:id="155"/>
    </w:p>
    <w:p>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rPr>
          <w:rFonts w:hint="eastAsia" w:ascii="宋体" w:hAnsi="宋体" w:eastAsia="宋体" w:cs="宋体"/>
          <w:b/>
          <w:bCs/>
          <w:color w:val="auto"/>
          <w:spacing w:val="0"/>
          <w:kern w:val="0"/>
          <w:sz w:val="32"/>
          <w:szCs w:val="32"/>
          <w:highlight w:val="none"/>
          <w:fitText w:val="1600" w:id="7"/>
        </w:rPr>
      </w:pPr>
      <w:r>
        <w:rPr>
          <w:rFonts w:hint="eastAsia" w:ascii="宋体" w:hAnsi="宋体" w:eastAsia="宋体" w:cs="宋体"/>
          <w:b/>
          <w:bCs/>
          <w:color w:val="auto"/>
          <w:spacing w:val="0"/>
          <w:kern w:val="0"/>
          <w:sz w:val="32"/>
          <w:szCs w:val="32"/>
          <w:highlight w:val="none"/>
          <w:fitText w:val="1600" w:id="7"/>
        </w:rPr>
        <w:t>项目名称：</w:t>
      </w:r>
    </w:p>
    <w:p>
      <w:pPr>
        <w:rPr>
          <w:rFonts w:hint="eastAsia" w:ascii="宋体" w:hAnsi="宋体" w:eastAsia="宋体" w:cs="宋体"/>
          <w:b/>
          <w:bCs/>
          <w:color w:val="auto"/>
          <w:spacing w:val="0"/>
          <w:kern w:val="0"/>
          <w:sz w:val="32"/>
          <w:szCs w:val="32"/>
          <w:highlight w:val="none"/>
          <w:fitText w:val="1600" w:id="8"/>
        </w:rPr>
      </w:pPr>
      <w:r>
        <w:rPr>
          <w:rFonts w:hint="eastAsia" w:ascii="宋体" w:hAnsi="宋体" w:eastAsia="宋体" w:cs="宋体"/>
          <w:b/>
          <w:bCs/>
          <w:color w:val="auto"/>
          <w:spacing w:val="0"/>
          <w:kern w:val="0"/>
          <w:sz w:val="32"/>
          <w:szCs w:val="32"/>
          <w:highlight w:val="none"/>
          <w:fitText w:val="1600" w:id="8"/>
        </w:rPr>
        <w:t>项目编号：</w:t>
      </w:r>
    </w:p>
    <w:p>
      <w:pPr>
        <w:rPr>
          <w:rFonts w:hint="eastAsia" w:ascii="宋体" w:hAnsi="宋体" w:eastAsia="宋体" w:cs="宋体"/>
          <w:b/>
          <w:bCs/>
          <w:color w:val="auto"/>
          <w:spacing w:val="-2"/>
          <w:w w:val="62"/>
          <w:kern w:val="0"/>
          <w:sz w:val="32"/>
          <w:szCs w:val="32"/>
          <w:highlight w:val="none"/>
          <w:fitText w:val="1600" w:id="9"/>
        </w:rPr>
      </w:pPr>
      <w:r>
        <w:rPr>
          <w:rFonts w:hint="eastAsia" w:ascii="宋体" w:hAnsi="宋体" w:eastAsia="宋体" w:cs="宋体"/>
          <w:b/>
          <w:bCs/>
          <w:color w:val="auto"/>
          <w:spacing w:val="1"/>
          <w:w w:val="62"/>
          <w:kern w:val="0"/>
          <w:sz w:val="32"/>
          <w:szCs w:val="32"/>
          <w:highlight w:val="none"/>
          <w:fitText w:val="1600" w:id="9"/>
          <w:lang w:val="en-US" w:bidi="ar-SA"/>
        </w:rPr>
        <w:t>包组号（如有）</w:t>
      </w:r>
      <w:r>
        <w:rPr>
          <w:rFonts w:hint="eastAsia" w:ascii="宋体" w:hAnsi="宋体" w:eastAsia="宋体" w:cs="宋体"/>
          <w:b/>
          <w:bCs/>
          <w:color w:val="auto"/>
          <w:spacing w:val="0"/>
          <w:w w:val="62"/>
          <w:kern w:val="0"/>
          <w:sz w:val="32"/>
          <w:szCs w:val="32"/>
          <w:highlight w:val="none"/>
          <w:fitText w:val="1600" w:id="9"/>
          <w:lang w:val="en-US" w:bidi="ar-SA"/>
        </w:rPr>
        <w:t>：</w:t>
      </w:r>
    </w:p>
    <w:p>
      <w:pPr>
        <w:rPr>
          <w:rFonts w:hint="eastAsia" w:ascii="宋体" w:hAnsi="宋体" w:eastAsia="宋体" w:cs="宋体"/>
          <w:b/>
          <w:bCs/>
          <w:color w:val="auto"/>
          <w:spacing w:val="1"/>
          <w:w w:val="83"/>
          <w:kern w:val="0"/>
          <w:sz w:val="32"/>
          <w:szCs w:val="32"/>
          <w:highlight w:val="none"/>
          <w:fitText w:val="1600" w:id="10"/>
        </w:rPr>
      </w:pPr>
      <w:r>
        <w:rPr>
          <w:rFonts w:hint="eastAsia" w:ascii="宋体" w:hAnsi="宋体" w:eastAsia="宋体" w:cs="宋体"/>
          <w:b/>
          <w:bCs/>
          <w:color w:val="auto"/>
          <w:spacing w:val="0"/>
          <w:w w:val="83"/>
          <w:kern w:val="0"/>
          <w:sz w:val="32"/>
          <w:szCs w:val="32"/>
          <w:highlight w:val="none"/>
          <w:fitText w:val="1600" w:id="10"/>
        </w:rPr>
        <w:t>投标人名称：</w:t>
      </w:r>
    </w:p>
    <w:p>
      <w:pPr>
        <w:rPr>
          <w:rFonts w:hint="eastAsia" w:ascii="宋体" w:hAnsi="宋体" w:eastAsia="宋体" w:cs="宋体"/>
          <w:b/>
          <w:bCs/>
          <w:color w:val="auto"/>
          <w:spacing w:val="0"/>
          <w:w w:val="100"/>
          <w:kern w:val="0"/>
          <w:sz w:val="32"/>
          <w:szCs w:val="32"/>
          <w:highlight w:val="none"/>
          <w:fitText w:val="1600" w:id="11"/>
        </w:rPr>
      </w:pPr>
      <w:r>
        <w:rPr>
          <w:rFonts w:hint="eastAsia" w:ascii="宋体" w:hAnsi="宋体" w:eastAsia="宋体" w:cs="宋体"/>
          <w:b/>
          <w:bCs/>
          <w:color w:val="auto"/>
          <w:spacing w:val="0"/>
          <w:kern w:val="0"/>
          <w:sz w:val="32"/>
          <w:szCs w:val="32"/>
          <w:highlight w:val="none"/>
          <w:fitText w:val="1600" w:id="11"/>
        </w:rPr>
        <w:t xml:space="preserve">日   </w:t>
      </w:r>
      <w:r>
        <w:rPr>
          <w:rFonts w:hint="eastAsia" w:ascii="宋体" w:hAnsi="宋体" w:eastAsia="宋体" w:cs="宋体"/>
          <w:b/>
          <w:bCs/>
          <w:color w:val="auto"/>
          <w:spacing w:val="0"/>
          <w:w w:val="100"/>
          <w:kern w:val="0"/>
          <w:sz w:val="32"/>
          <w:szCs w:val="32"/>
          <w:highlight w:val="none"/>
          <w:fitText w:val="1600" w:id="11"/>
        </w:rPr>
        <w:t xml:space="preserve"> 期：</w:t>
      </w:r>
    </w:p>
    <w:p>
      <w:pPr>
        <w:pStyle w:val="9"/>
        <w:rPr>
          <w:rFonts w:hint="eastAsia" w:ascii="宋体" w:hAnsi="宋体" w:eastAsia="宋体" w:cs="宋体"/>
          <w:b/>
          <w:color w:val="auto"/>
          <w:spacing w:val="1"/>
          <w:w w:val="90"/>
          <w:kern w:val="0"/>
          <w:sz w:val="32"/>
          <w:szCs w:val="32"/>
          <w:highlight w:val="none"/>
          <w:fitText w:val="1600" w:id="12"/>
        </w:rPr>
      </w:pPr>
    </w:p>
    <w:p>
      <w:pPr>
        <w:pStyle w:val="27"/>
        <w:ind w:firstLine="321"/>
        <w:rPr>
          <w:rFonts w:hint="eastAsia" w:ascii="宋体" w:hAnsi="宋体" w:eastAsia="宋体" w:cs="宋体"/>
          <w:b/>
          <w:color w:val="auto"/>
          <w:spacing w:val="5"/>
          <w:w w:val="90"/>
          <w:kern w:val="0"/>
          <w:sz w:val="32"/>
          <w:szCs w:val="32"/>
          <w:highlight w:val="none"/>
          <w:fitText w:val="1600" w:id="13"/>
        </w:rPr>
      </w:pPr>
    </w:p>
    <w:p>
      <w:pPr>
        <w:pStyle w:val="22"/>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9"/>
        <w:rPr>
          <w:rFonts w:hint="eastAsia" w:ascii="宋体" w:hAnsi="宋体" w:eastAsia="宋体" w:cs="宋体"/>
          <w:b/>
          <w:color w:val="auto"/>
          <w:sz w:val="32"/>
          <w:szCs w:val="32"/>
          <w:highlight w:val="none"/>
        </w:rPr>
      </w:pP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rPr>
          <w:rFonts w:hint="eastAsia" w:ascii="宋体" w:hAnsi="宋体" w:eastAsia="宋体" w:cs="宋体"/>
          <w:color w:val="auto"/>
          <w:highlight w:val="none"/>
        </w:rPr>
      </w:pPr>
      <w:bookmarkStart w:id="156" w:name="_Toc15788"/>
      <w:r>
        <w:rPr>
          <w:rFonts w:hint="eastAsia" w:ascii="宋体" w:hAnsi="宋体" w:eastAsia="宋体" w:cs="宋体"/>
          <w:color w:val="auto"/>
          <w:sz w:val="21"/>
          <w:szCs w:val="21"/>
          <w:highlight w:val="none"/>
        </w:rPr>
        <w:t>附件4.投标书格式</w:t>
      </w:r>
      <w:bookmarkEnd w:id="156"/>
    </w:p>
    <w:p>
      <w:pPr>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投标书</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致：xxx公司：</w:t>
      </w: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（项目名称）（采购项目编号）</w:t>
      </w:r>
      <w:r>
        <w:rPr>
          <w:rFonts w:hint="eastAsia" w:ascii="宋体" w:hAnsi="宋体" w:eastAsia="宋体" w:cs="宋体"/>
          <w:color w:val="auto"/>
          <w:szCs w:val="21"/>
          <w:highlight w:val="none"/>
        </w:rPr>
        <w:t>项目采购公告/采购邀请，签字代表</w:t>
      </w:r>
      <w:r>
        <w:rPr>
          <w:rFonts w:hint="eastAsia" w:ascii="宋体" w:hAnsi="宋体" w:eastAsia="宋体" w:cs="宋体"/>
          <w:color w:val="auto"/>
          <w:szCs w:val="21"/>
          <w:highlight w:val="none"/>
          <w:u w:val="single"/>
        </w:rPr>
        <w:t>（姓名、职务）</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提交投标文件及“唱标信封”：</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在此，签字代表宣布同意如下： </w:t>
      </w:r>
    </w:p>
    <w:p>
      <w:pPr>
        <w:widowControl w:val="0"/>
        <w:numPr>
          <w:ilvl w:val="0"/>
          <w:numId w:val="15"/>
        </w:numPr>
        <w:adjustRightInd/>
        <w:snapToGrid/>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我方将按采购文件的规定履行合同责任和义务。 </w:t>
      </w:r>
    </w:p>
    <w:p>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本投标有效期为自开标日起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 xml:space="preserve">个日历日。 </w:t>
      </w:r>
    </w:p>
    <w:p>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我方保证遵守投标人须知中关于没收投标保证金的规定。</w:t>
      </w:r>
    </w:p>
    <w:p>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我方承诺，与买方聘请的为此项目提供咨询服务的公司及任何附属机构均无关联，我方不是买方的附属机构。 </w:t>
      </w:r>
    </w:p>
    <w:p>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我方同意提供按照贵方可能要求的与其投标有关的一切数据或资料。</w:t>
      </w:r>
    </w:p>
    <w:p>
      <w:pPr>
        <w:widowControl w:val="0"/>
        <w:numPr>
          <w:ilvl w:val="0"/>
          <w:numId w:val="15"/>
        </w:numPr>
        <w:adjustRightInd/>
        <w:snapToGrid/>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与本投标有关的一切正式信函请寄：</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电子邮箱：</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电话/移动电话：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投标人法定代表人（或其授权代表）签字：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投标人名称（全称）：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投标人盖章： </w:t>
      </w:r>
    </w:p>
    <w:p>
      <w:pPr>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highlight w:val="none"/>
        </w:rPr>
        <w:br w:type="page"/>
      </w:r>
    </w:p>
    <w:p>
      <w:pPr>
        <w:pStyle w:val="5"/>
        <w:widowControl w:val="0"/>
        <w:overflowPunct w:val="0"/>
        <w:spacing w:line="240" w:lineRule="auto"/>
        <w:outlineLvl w:val="3"/>
        <w:rPr>
          <w:rFonts w:hint="eastAsia" w:ascii="宋体" w:hAnsi="宋体" w:eastAsia="宋体" w:cs="宋体"/>
          <w:color w:val="auto"/>
          <w:sz w:val="21"/>
          <w:szCs w:val="21"/>
          <w:highlight w:val="none"/>
        </w:rPr>
      </w:pPr>
      <w:bookmarkStart w:id="157" w:name="_Toc18605"/>
      <w:r>
        <w:rPr>
          <w:rFonts w:hint="eastAsia" w:ascii="宋体" w:hAnsi="宋体" w:eastAsia="宋体" w:cs="宋体"/>
          <w:color w:val="auto"/>
          <w:sz w:val="21"/>
          <w:szCs w:val="21"/>
          <w:highlight w:val="none"/>
        </w:rPr>
        <w:t>附件5. 法定代表人证明书格式</w:t>
      </w:r>
      <w:bookmarkEnd w:id="157"/>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w:t>
      </w:r>
    </w:p>
    <w:p>
      <w:pPr>
        <w:pStyle w:val="4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致：xxx公司</w:t>
      </w:r>
    </w:p>
    <w:p>
      <w:pPr>
        <w:pStyle w:val="44"/>
        <w:spacing w:line="420" w:lineRule="atLeast"/>
        <w:ind w:firstLine="433"/>
        <w:rPr>
          <w:rFonts w:hint="eastAsia" w:ascii="宋体" w:hAnsi="宋体" w:eastAsia="宋体" w:cs="宋体"/>
          <w:color w:val="auto"/>
          <w:sz w:val="21"/>
          <w:szCs w:val="21"/>
          <w:highlight w:val="none"/>
        </w:rPr>
      </w:pPr>
    </w:p>
    <w:p>
      <w:pPr>
        <w:pStyle w:val="44"/>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p>
    <w:p>
      <w:pPr>
        <w:pStyle w:val="44"/>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 位 性质：</w:t>
      </w:r>
    </w:p>
    <w:p>
      <w:pPr>
        <w:pStyle w:val="44"/>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p>
    <w:p>
      <w:pPr>
        <w:pStyle w:val="4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 立 时间：年月日</w:t>
      </w:r>
    </w:p>
    <w:p>
      <w:pPr>
        <w:pStyle w:val="4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 营 期限：</w:t>
      </w:r>
    </w:p>
    <w:p>
      <w:pPr>
        <w:pStyle w:val="4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姓名：性别：年龄：职务：</w:t>
      </w:r>
    </w:p>
    <w:p>
      <w:pPr>
        <w:pStyle w:val="44"/>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系（投标人名称）的法定代表人。</w:t>
      </w:r>
    </w:p>
    <w:p>
      <w:pPr>
        <w:spacing w:line="4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pStyle w:val="44"/>
        <w:spacing w:line="500" w:lineRule="atLeast"/>
        <w:ind w:firstLine="3517" w:firstLineChars="1675"/>
        <w:rPr>
          <w:rFonts w:hint="eastAsia" w:ascii="宋体" w:hAnsi="宋体" w:eastAsia="宋体" w:cs="宋体"/>
          <w:color w:val="auto"/>
          <w:sz w:val="21"/>
          <w:szCs w:val="21"/>
          <w:highlight w:val="none"/>
        </w:rPr>
      </w:pP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法定代表人联系方式：</w:t>
      </w:r>
    </w:p>
    <w:p>
      <w:pPr>
        <w:pStyle w:val="44"/>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p>
    <w:p>
      <w:pPr>
        <w:pStyle w:val="44"/>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注：法定代表人身份证明书需附法人代表身份证复印件。</w:t>
      </w:r>
    </w:p>
    <w:tbl>
      <w:tblPr>
        <w:tblStyle w:val="29"/>
        <w:tblW w:w="836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517" w:hRule="atLeast"/>
          <w:jc w:val="center"/>
        </w:trPr>
        <w:tc>
          <w:tcPr>
            <w:tcW w:w="4182" w:type="dxa"/>
            <w:vAlign w:val="center"/>
          </w:tcPr>
          <w:p>
            <w:pPr>
              <w:pStyle w:val="4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182" w:type="dxa"/>
            <w:vAlign w:val="center"/>
          </w:tcPr>
          <w:p>
            <w:pPr>
              <w:pStyle w:val="4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pPr>
        <w:rPr>
          <w:rFonts w:hint="eastAsia" w:ascii="宋体" w:hAnsi="宋体" w:eastAsia="宋体" w:cs="宋体"/>
          <w:color w:val="auto"/>
          <w:highlight w:val="none"/>
        </w:rPr>
      </w:pPr>
    </w:p>
    <w:p>
      <w:pPr>
        <w:adjustRightInd/>
        <w:snapToGrid/>
        <w:spacing w:line="276" w:lineRule="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br w:type="page"/>
      </w:r>
    </w:p>
    <w:p>
      <w:pPr>
        <w:pStyle w:val="5"/>
        <w:widowControl w:val="0"/>
        <w:overflowPunct w:val="0"/>
        <w:spacing w:line="240" w:lineRule="auto"/>
        <w:rPr>
          <w:rFonts w:hint="eastAsia" w:ascii="宋体" w:hAnsi="宋体" w:eastAsia="宋体" w:cs="宋体"/>
          <w:color w:val="auto"/>
          <w:highlight w:val="none"/>
        </w:rPr>
      </w:pPr>
      <w:bookmarkStart w:id="158" w:name="_Toc30656"/>
      <w:r>
        <w:rPr>
          <w:rFonts w:hint="eastAsia" w:ascii="宋体" w:hAnsi="宋体" w:eastAsia="宋体" w:cs="宋体"/>
          <w:color w:val="auto"/>
          <w:sz w:val="21"/>
          <w:szCs w:val="21"/>
          <w:highlight w:val="none"/>
        </w:rPr>
        <w:t>附件6.法定代表人授权书格式</w:t>
      </w:r>
      <w:bookmarkEnd w:id="158"/>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法定代表人授权书</w:t>
      </w:r>
    </w:p>
    <w:p>
      <w:pPr>
        <w:pStyle w:val="4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致：xxx公司</w:t>
      </w:r>
    </w:p>
    <w:p>
      <w:pPr>
        <w:pStyle w:val="44"/>
        <w:spacing w:line="420" w:lineRule="atLeast"/>
        <w:ind w:firstLine="433"/>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本授权书声明：注册于</w:t>
      </w:r>
      <w:r>
        <w:rPr>
          <w:rFonts w:hint="eastAsia" w:ascii="宋体" w:hAnsi="宋体" w:eastAsia="宋体" w:cs="宋体"/>
          <w:color w:val="auto"/>
          <w:szCs w:val="21"/>
          <w:highlight w:val="none"/>
          <w:u w:val="single"/>
        </w:rPr>
        <w:t>（国家或地区的名称）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（法定代表人姓名、职务）</w:t>
      </w:r>
      <w:r>
        <w:rPr>
          <w:rFonts w:hint="eastAsia" w:ascii="宋体" w:hAnsi="宋体" w:eastAsia="宋体" w:cs="宋体"/>
          <w:color w:val="auto"/>
          <w:szCs w:val="21"/>
          <w:highlight w:val="none"/>
        </w:rPr>
        <w:t>代表本单位授权</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（被授权人的姓名、职务）</w:t>
      </w:r>
      <w:r>
        <w:rPr>
          <w:rFonts w:hint="eastAsia" w:ascii="宋体" w:hAnsi="宋体" w:eastAsia="宋体" w:cs="宋体"/>
          <w:color w:val="auto"/>
          <w:szCs w:val="21"/>
          <w:highlight w:val="none"/>
        </w:rPr>
        <w:t>为本单位的合法代理人，就</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投标及参加项目谈判，以本单位名义处理一切与之有关的事务。</w:t>
      </w:r>
    </w:p>
    <w:p>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日签字生效，特此声明。</w:t>
      </w:r>
    </w:p>
    <w:p>
      <w:pPr>
        <w:pStyle w:val="44"/>
        <w:spacing w:line="500" w:lineRule="atLeast"/>
        <w:ind w:firstLine="3517" w:firstLineChars="1675"/>
        <w:rPr>
          <w:rFonts w:hint="eastAsia" w:ascii="宋体" w:hAnsi="宋体" w:eastAsia="宋体" w:cs="宋体"/>
          <w:color w:val="auto"/>
          <w:sz w:val="21"/>
          <w:szCs w:val="21"/>
          <w:highlight w:val="none"/>
        </w:rPr>
      </w:pP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pStyle w:val="44"/>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法定代表人签字（签名或盖私章）：</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pPr>
        <w:pStyle w:val="44"/>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职务：</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移动电话： </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pPr>
        <w:pStyle w:val="44"/>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邮箱：                          </w:t>
      </w:r>
    </w:p>
    <w:p>
      <w:pPr>
        <w:pStyle w:val="44"/>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pStyle w:val="44"/>
        <w:spacing w:line="460" w:lineRule="exact"/>
        <w:ind w:firstLine="433"/>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须附：被授权人身份证复印件。</w:t>
      </w:r>
    </w:p>
    <w:tbl>
      <w:tblPr>
        <w:tblStyle w:val="29"/>
        <w:tblW w:w="846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PrEx>
        <w:trPr>
          <w:trHeight w:val="2661" w:hRule="atLeast"/>
          <w:jc w:val="center"/>
        </w:trPr>
        <w:tc>
          <w:tcPr>
            <w:tcW w:w="4232" w:type="dxa"/>
            <w:vAlign w:val="center"/>
          </w:tcPr>
          <w:p>
            <w:pPr>
              <w:pStyle w:val="4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232" w:type="dxa"/>
            <w:vAlign w:val="center"/>
          </w:tcPr>
          <w:p>
            <w:pPr>
              <w:pStyle w:val="44"/>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pPr>
        <w:adjustRightInd/>
        <w:snapToGrid/>
        <w:spacing w:line="276" w:lineRule="auto"/>
        <w:rPr>
          <w:rFonts w:hint="eastAsia" w:ascii="宋体" w:hAnsi="宋体" w:eastAsia="宋体" w:cs="宋体"/>
          <w:color w:val="auto"/>
          <w:highlight w:val="none"/>
        </w:rPr>
      </w:pPr>
      <w:bookmarkStart w:id="159" w:name="_Toc22486"/>
      <w:r>
        <w:rPr>
          <w:rFonts w:hint="eastAsia" w:ascii="宋体" w:hAnsi="宋体" w:eastAsia="宋体" w:cs="宋体"/>
          <w:color w:val="auto"/>
          <w:szCs w:val="21"/>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60" w:name="_Toc17715"/>
      <w:r>
        <w:rPr>
          <w:rFonts w:hint="eastAsia" w:ascii="宋体" w:hAnsi="宋体" w:eastAsia="宋体" w:cs="宋体"/>
          <w:color w:val="auto"/>
          <w:sz w:val="21"/>
          <w:szCs w:val="21"/>
          <w:highlight w:val="none"/>
        </w:rPr>
        <w:t>附件7.资格申明</w:t>
      </w:r>
      <w:bookmarkEnd w:id="160"/>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资格申明</w:t>
      </w:r>
    </w:p>
    <w:p>
      <w:pPr>
        <w:pStyle w:val="4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xxx   </w:t>
      </w:r>
      <w:r>
        <w:rPr>
          <w:rFonts w:hint="eastAsia" w:ascii="宋体" w:hAnsi="宋体" w:eastAsia="宋体" w:cs="宋体"/>
          <w:color w:val="auto"/>
          <w:sz w:val="21"/>
          <w:szCs w:val="21"/>
          <w:highlight w:val="none"/>
        </w:rPr>
        <w:t>公司：</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我方愿响应贵方关于（项目名称：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）的投标邀请，参与投标，提供用户需求书中规定的货物及相关服务，并按采购文件要求提交所附资格文件且声明和保证如下：</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二、我方依法注册，在法律上、财务上和运作上完全独立于</w:t>
      </w:r>
      <w:r>
        <w:rPr>
          <w:rFonts w:hint="eastAsia" w:ascii="宋体" w:hAnsi="宋体" w:eastAsia="宋体" w:cs="宋体"/>
          <w:color w:val="auto"/>
          <w:szCs w:val="21"/>
          <w:highlight w:val="none"/>
          <w:u w:val="single"/>
        </w:rPr>
        <w:t xml:space="preserve">  xxxx   </w:t>
      </w:r>
      <w:r>
        <w:rPr>
          <w:rFonts w:hint="eastAsia" w:ascii="宋体" w:hAnsi="宋体" w:eastAsia="宋体" w:cs="宋体"/>
          <w:color w:val="auto"/>
          <w:szCs w:val="21"/>
          <w:highlight w:val="none"/>
        </w:rPr>
        <w:t>公司（采购人）及</w:t>
      </w:r>
      <w:r>
        <w:rPr>
          <w:rFonts w:hint="eastAsia" w:ascii="宋体" w:hAnsi="宋体" w:eastAsia="宋体" w:cs="宋体"/>
          <w:color w:val="auto"/>
          <w:szCs w:val="21"/>
          <w:highlight w:val="none"/>
          <w:u w:val="single"/>
        </w:rPr>
        <w:t xml:space="preserve">    xxx   </w:t>
      </w:r>
      <w:r>
        <w:rPr>
          <w:rFonts w:hint="eastAsia" w:ascii="宋体" w:hAnsi="宋体" w:eastAsia="宋体" w:cs="宋体"/>
          <w:color w:val="auto"/>
          <w:szCs w:val="21"/>
          <w:highlight w:val="none"/>
        </w:rPr>
        <w:t>公司（采购代理机构）。</w:t>
      </w:r>
    </w:p>
    <w:p>
      <w:pPr>
        <w:pStyle w:val="44"/>
        <w:spacing w:line="500" w:lineRule="atLeast"/>
        <w:ind w:firstLine="3517" w:firstLineChars="1675"/>
        <w:rPr>
          <w:rFonts w:hint="eastAsia" w:ascii="宋体" w:hAnsi="宋体" w:eastAsia="宋体" w:cs="宋体"/>
          <w:color w:val="auto"/>
          <w:sz w:val="21"/>
          <w:szCs w:val="21"/>
          <w:highlight w:val="none"/>
        </w:rPr>
      </w:pPr>
    </w:p>
    <w:p>
      <w:pPr>
        <w:pStyle w:val="44"/>
        <w:spacing w:line="500" w:lineRule="atLeast"/>
        <w:ind w:firstLine="3517" w:firstLineChars="1675"/>
        <w:rPr>
          <w:rFonts w:hint="eastAsia" w:ascii="宋体" w:hAnsi="宋体" w:eastAsia="宋体" w:cs="宋体"/>
          <w:color w:val="auto"/>
          <w:sz w:val="21"/>
          <w:szCs w:val="21"/>
          <w:highlight w:val="none"/>
        </w:rPr>
      </w:pPr>
    </w:p>
    <w:p>
      <w:pPr>
        <w:pStyle w:val="4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pPr>
        <w:pStyle w:val="4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法定代表人签字（签名或盖私章）：</w:t>
      </w:r>
    </w:p>
    <w:p>
      <w:pPr>
        <w:pStyle w:val="4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期：年月日</w:t>
      </w:r>
    </w:p>
    <w:p>
      <w:pPr>
        <w:pStyle w:val="44"/>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61" w:name="_Toc11265"/>
      <w:r>
        <w:rPr>
          <w:rFonts w:hint="eastAsia" w:ascii="宋体" w:hAnsi="宋体" w:eastAsia="宋体" w:cs="宋体"/>
          <w:color w:val="auto"/>
          <w:sz w:val="21"/>
          <w:szCs w:val="21"/>
          <w:highlight w:val="none"/>
        </w:rPr>
        <w:t>附件8.营业执照</w:t>
      </w:r>
      <w:bookmarkEnd w:id="161"/>
    </w:p>
    <w:p>
      <w:pPr>
        <w:jc w:val="center"/>
        <w:rPr>
          <w:rFonts w:hint="eastAsia" w:ascii="宋体" w:hAnsi="宋体" w:eastAsia="宋体" w:cs="宋体"/>
          <w:color w:val="auto"/>
          <w:sz w:val="28"/>
          <w:szCs w:val="28"/>
          <w:highlight w:val="none"/>
        </w:rPr>
      </w:pPr>
      <w:bookmarkStart w:id="162" w:name="_Toc17470"/>
      <w:bookmarkStart w:id="163" w:name="_Toc1511"/>
      <w:bookmarkStart w:id="164" w:name="_Toc4926"/>
      <w:bookmarkStart w:id="165" w:name="_Toc24210"/>
      <w:bookmarkStart w:id="166" w:name="_Toc5919"/>
      <w:r>
        <w:rPr>
          <w:rFonts w:hint="eastAsia" w:ascii="宋体" w:hAnsi="宋体" w:eastAsia="宋体" w:cs="宋体"/>
          <w:color w:val="auto"/>
          <w:sz w:val="28"/>
          <w:szCs w:val="28"/>
          <w:highlight w:val="none"/>
        </w:rPr>
        <w:t>营业执照</w:t>
      </w:r>
      <w:bookmarkEnd w:id="162"/>
      <w:bookmarkEnd w:id="163"/>
      <w:bookmarkEnd w:id="164"/>
      <w:bookmarkEnd w:id="165"/>
      <w:bookmarkEnd w:id="166"/>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67" w:name="_Toc11412"/>
      <w:r>
        <w:rPr>
          <w:rFonts w:hint="eastAsia" w:ascii="宋体" w:hAnsi="宋体" w:eastAsia="宋体" w:cs="宋体"/>
          <w:color w:val="auto"/>
          <w:sz w:val="21"/>
          <w:szCs w:val="21"/>
          <w:highlight w:val="none"/>
        </w:rPr>
        <w:t>附件9.相关资质证明文件</w:t>
      </w:r>
      <w:bookmarkEnd w:id="167"/>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bookmarkStart w:id="168" w:name="_Toc16233"/>
      <w:bookmarkStart w:id="169" w:name="_Toc13458"/>
      <w:bookmarkStart w:id="170" w:name="_Toc9592"/>
      <w:bookmarkStart w:id="171" w:name="_Toc16698"/>
      <w:bookmarkStart w:id="172" w:name="_Toc30307"/>
      <w:r>
        <w:rPr>
          <w:rFonts w:hint="eastAsia" w:ascii="宋体" w:hAnsi="宋体" w:eastAsia="宋体" w:cs="宋体"/>
          <w:color w:val="auto"/>
          <w:sz w:val="28"/>
          <w:szCs w:val="28"/>
          <w:highlight w:val="none"/>
        </w:rPr>
        <w:t>相关资质证明文件</w:t>
      </w:r>
      <w:bookmarkEnd w:id="159"/>
      <w:bookmarkEnd w:id="168"/>
      <w:bookmarkEnd w:id="169"/>
      <w:bookmarkEnd w:id="170"/>
      <w:bookmarkEnd w:id="171"/>
      <w:bookmarkEnd w:id="172"/>
    </w:p>
    <w:p>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符合投标邀请书“投标人资格要求”其他要求对应的证明文件；</w:t>
      </w:r>
    </w:p>
    <w:p>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投标人认为必要的文件。</w:t>
      </w:r>
      <w:r>
        <w:rPr>
          <w:rFonts w:hint="eastAsia" w:ascii="宋体" w:hAnsi="宋体" w:eastAsia="宋体" w:cs="宋体"/>
          <w:b/>
          <w:bCs/>
          <w:color w:val="auto"/>
          <w:szCs w:val="21"/>
          <w:highlight w:val="none"/>
        </w:rPr>
        <w:br w:type="page"/>
      </w:r>
    </w:p>
    <w:p>
      <w:pPr>
        <w:pStyle w:val="5"/>
        <w:widowControl w:val="0"/>
        <w:overflowPunct w:val="0"/>
        <w:spacing w:line="240" w:lineRule="auto"/>
        <w:rPr>
          <w:rFonts w:hint="eastAsia" w:ascii="宋体" w:hAnsi="宋体" w:eastAsia="宋体" w:cs="宋体"/>
          <w:color w:val="auto"/>
          <w:highlight w:val="none"/>
        </w:rPr>
      </w:pPr>
      <w:bookmarkStart w:id="173" w:name="_Toc25744"/>
      <w:r>
        <w:rPr>
          <w:rFonts w:hint="eastAsia" w:ascii="宋体" w:hAnsi="宋体" w:eastAsia="宋体" w:cs="宋体"/>
          <w:color w:val="auto"/>
          <w:sz w:val="21"/>
          <w:szCs w:val="21"/>
          <w:highlight w:val="none"/>
        </w:rPr>
        <w:t>附件10.在经营活动中没有重大违法记录的书面声明格式</w:t>
      </w:r>
      <w:bookmarkEnd w:id="173"/>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投标人在经营活动中前三年内未有重大违法记录、没有不良信用记录的声明函</w:t>
      </w:r>
    </w:p>
    <w:p>
      <w:pPr>
        <w:ind w:firstLine="420" w:firstLineChars="200"/>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xxxxxx公司：</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我公司郑重承诺：在参加“</w:t>
      </w:r>
      <w:r>
        <w:rPr>
          <w:rFonts w:hint="eastAsia" w:ascii="宋体" w:hAnsi="宋体" w:eastAsia="宋体" w:cs="宋体"/>
          <w:color w:val="auto"/>
          <w:szCs w:val="21"/>
          <w:highlight w:val="none"/>
          <w:u w:val="single"/>
        </w:rPr>
        <w:t>（采购项目名称）</w:t>
      </w:r>
      <w:r>
        <w:rPr>
          <w:rFonts w:hint="eastAsia" w:ascii="宋体" w:hAnsi="宋体" w:eastAsia="宋体" w:cs="宋体"/>
          <w:color w:val="auto"/>
          <w:szCs w:val="21"/>
          <w:highlight w:val="none"/>
        </w:rPr>
        <w:t>” （项目编号:</w:t>
      </w:r>
      <w:r>
        <w:rPr>
          <w:rFonts w:hint="eastAsia" w:ascii="宋体" w:hAnsi="宋体" w:eastAsia="宋体" w:cs="宋体"/>
          <w:color w:val="auto"/>
          <w:szCs w:val="21"/>
          <w:highlight w:val="none"/>
          <w:lang w:val="en-US" w:eastAsia="zh-CN"/>
        </w:rPr>
        <w:t>XX</w:t>
      </w:r>
      <w:r>
        <w:rPr>
          <w:rFonts w:hint="eastAsia" w:ascii="宋体" w:hAnsi="宋体" w:eastAsia="宋体" w:cs="宋体"/>
          <w:color w:val="auto"/>
          <w:szCs w:val="21"/>
          <w:highlight w:val="none"/>
        </w:rPr>
        <w:t>）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我公司以上承诺均为真实有效，绝无任何虚假、伪造的成份，否则，愿承担相应的后果和法律责任。</w:t>
      </w:r>
    </w:p>
    <w:p>
      <w:pPr>
        <w:ind w:firstLine="420" w:firstLineChars="200"/>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highlight w:val="none"/>
        </w:rPr>
      </w:pPr>
    </w:p>
    <w:p>
      <w:pPr>
        <w:pStyle w:val="5"/>
        <w:widowControl w:val="0"/>
        <w:overflowPunct w:val="0"/>
        <w:spacing w:line="240" w:lineRule="auto"/>
        <w:rPr>
          <w:rFonts w:hint="eastAsia" w:ascii="宋体" w:hAnsi="宋体" w:eastAsia="宋体" w:cs="宋体"/>
          <w:color w:val="auto"/>
          <w:highlight w:val="none"/>
        </w:rPr>
      </w:pPr>
      <w:bookmarkStart w:id="174" w:name="_Toc17775"/>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.书面声明格式</w:t>
      </w:r>
      <w:bookmarkEnd w:id="174"/>
    </w:p>
    <w:p>
      <w:pPr>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声明函</w:t>
      </w:r>
    </w:p>
    <w:p>
      <w:pPr>
        <w:ind w:firstLine="420" w:firstLineChars="200"/>
        <w:rPr>
          <w:rFonts w:hint="eastAsia" w:ascii="宋体" w:hAnsi="宋体" w:eastAsia="宋体" w:cs="宋体"/>
          <w:color w:val="auto"/>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xxxxxx公司：</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我公司郑重承诺：在参加“</w:t>
      </w:r>
      <w:r>
        <w:rPr>
          <w:rFonts w:hint="eastAsia" w:ascii="宋体" w:hAnsi="宋体" w:eastAsia="宋体" w:cs="宋体"/>
          <w:color w:val="auto"/>
          <w:szCs w:val="21"/>
          <w:highlight w:val="none"/>
          <w:u w:val="single"/>
        </w:rPr>
        <w:t>（采购项目名称）</w:t>
      </w:r>
      <w:r>
        <w:rPr>
          <w:rFonts w:hint="eastAsia" w:ascii="宋体" w:hAnsi="宋体" w:eastAsia="宋体" w:cs="宋体"/>
          <w:color w:val="auto"/>
          <w:szCs w:val="21"/>
          <w:highlight w:val="none"/>
        </w:rPr>
        <w:t>” （项目编号:</w:t>
      </w:r>
      <w:r>
        <w:rPr>
          <w:rFonts w:hint="eastAsia" w:ascii="宋体" w:hAnsi="宋体" w:eastAsia="宋体" w:cs="宋体"/>
          <w:color w:val="auto"/>
          <w:szCs w:val="21"/>
          <w:highlight w:val="none"/>
          <w:lang w:val="en-US" w:eastAsia="zh-CN"/>
        </w:rPr>
        <w:t>XX</w:t>
      </w:r>
      <w:r>
        <w:rPr>
          <w:rFonts w:hint="eastAsia" w:ascii="宋体" w:hAnsi="宋体" w:eastAsia="宋体" w:cs="宋体"/>
          <w:color w:val="auto"/>
          <w:szCs w:val="21"/>
          <w:highlight w:val="none"/>
        </w:rPr>
        <w:t>）采购活动</w:t>
      </w: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rPr>
        <w:t>投标人的单位负责人为同一人或者存在直接控股、管理关系的不同投标人，不得参加同一合同项下的采购活动。</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我公司以上承诺均为真实有效，绝无任何虚假、伪造的成份，否则，愿承担相应的后果和法律责任。</w:t>
      </w:r>
    </w:p>
    <w:p>
      <w:pPr>
        <w:ind w:firstLine="420" w:firstLineChars="200"/>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pPr>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rPr>
          <w:rFonts w:hint="eastAsia" w:ascii="宋体" w:hAnsi="宋体" w:eastAsia="宋体" w:cs="宋体"/>
          <w:color w:val="auto"/>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widowControl w:val="0"/>
        <w:overflowPunct w:val="0"/>
        <w:spacing w:line="240" w:lineRule="auto"/>
        <w:outlineLvl w:val="9"/>
        <w:rPr>
          <w:rFonts w:hint="eastAsia" w:ascii="宋体" w:hAnsi="宋体" w:eastAsia="宋体" w:cs="宋体"/>
          <w:color w:val="auto"/>
          <w:sz w:val="21"/>
          <w:szCs w:val="21"/>
          <w:highlight w:val="none"/>
        </w:rPr>
      </w:pPr>
    </w:p>
    <w:p>
      <w:pPr>
        <w:outlineLvl w:val="9"/>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37"/>
        <w:rPr>
          <w:rFonts w:hint="eastAsia" w:ascii="宋体" w:hAnsi="宋体" w:eastAsia="宋体" w:cs="宋体"/>
          <w:color w:val="auto"/>
          <w:highlight w:val="none"/>
        </w:rPr>
      </w:pPr>
    </w:p>
    <w:p>
      <w:pPr>
        <w:pStyle w:val="5"/>
        <w:widowControl w:val="0"/>
        <w:overflowPunct w:val="0"/>
        <w:spacing w:line="240" w:lineRule="auto"/>
        <w:rPr>
          <w:rFonts w:hint="eastAsia" w:ascii="宋体" w:hAnsi="宋体" w:eastAsia="宋体" w:cs="宋体"/>
          <w:color w:val="auto"/>
          <w:highlight w:val="none"/>
        </w:rPr>
      </w:pPr>
      <w:bookmarkStart w:id="175" w:name="_Toc9868"/>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.承诺书格式</w:t>
      </w:r>
      <w:bookmarkEnd w:id="175"/>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pPr>
        <w:pStyle w:val="44"/>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致xxx公司：</w:t>
      </w:r>
    </w:p>
    <w:p>
      <w:pPr>
        <w:jc w:val="center"/>
        <w:rPr>
          <w:rFonts w:hint="eastAsia" w:ascii="宋体" w:hAnsi="宋体" w:eastAsia="宋体" w:cs="宋体"/>
          <w:color w:val="auto"/>
          <w:szCs w:val="21"/>
          <w:highlight w:val="none"/>
        </w:rPr>
      </w:pPr>
    </w:p>
    <w:p>
      <w:pPr>
        <w:pStyle w:val="44"/>
        <w:spacing w:line="42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我方已完整阅读了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hAnsi="宋体" w:eastAsia="宋体" w:cs="宋体"/>
          <w:color w:val="auto"/>
          <w:sz w:val="21"/>
          <w:szCs w:val="21"/>
          <w:highlight w:val="none"/>
        </w:rPr>
        <w:cr/>
      </w:r>
    </w:p>
    <w:p>
      <w:pPr>
        <w:pStyle w:val="44"/>
        <w:spacing w:line="420" w:lineRule="exact"/>
        <w:ind w:firstLine="433"/>
        <w:rPr>
          <w:rFonts w:hint="eastAsia" w:ascii="宋体" w:hAnsi="宋体" w:eastAsia="宋体" w:cs="宋体"/>
          <w:color w:val="auto"/>
          <w:sz w:val="21"/>
          <w:szCs w:val="21"/>
          <w:highlight w:val="none"/>
        </w:rPr>
      </w:pPr>
    </w:p>
    <w:p>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投标人名称（加盖公章）：</w:t>
      </w:r>
    </w:p>
    <w:p>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法定代表人或被授权人（签名或盖私章）：</w:t>
      </w:r>
    </w:p>
    <w:p>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rPr>
          <w:rFonts w:hint="eastAsia" w:ascii="宋体" w:hAnsi="宋体" w:eastAsia="宋体" w:cs="宋体"/>
          <w:color w:val="auto"/>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9"/>
        <w:rPr>
          <w:rFonts w:hint="eastAsia"/>
          <w:color w:val="auto"/>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星号响应承诺函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color w:val="auto"/>
          <w:highlight w:val="none"/>
        </w:rPr>
        <w:t>东莞市骏安押运有限公司</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我方承诺</w:t>
      </w:r>
      <w:r>
        <w:rPr>
          <w:rFonts w:hint="eastAsia"/>
          <w:color w:val="auto"/>
          <w:highlight w:val="none"/>
        </w:rPr>
        <w:t>免费提供东莞市内拖车、抢修服务，并至少有正规的施救拖车</w:t>
      </w:r>
      <w:r>
        <w:rPr>
          <w:rFonts w:hint="eastAsia"/>
          <w:color w:val="auto"/>
          <w:highlight w:val="none"/>
          <w:lang w:eastAsia="zh-CN"/>
        </w:rPr>
        <w:t>、</w:t>
      </w:r>
      <w:r>
        <w:rPr>
          <w:rFonts w:hint="eastAsia"/>
          <w:color w:val="auto"/>
          <w:highlight w:val="none"/>
          <w:lang w:val="en-US" w:eastAsia="zh-CN"/>
        </w:rPr>
        <w:t>急救服务车辆各</w:t>
      </w:r>
      <w:r>
        <w:rPr>
          <w:rFonts w:hint="eastAsia"/>
          <w:color w:val="auto"/>
          <w:highlight w:val="none"/>
        </w:rPr>
        <w:t>一辆(自有、租赁、长期合作均可)。</w:t>
      </w:r>
      <w:r>
        <w:rPr>
          <w:rFonts w:hint="eastAsia"/>
          <w:color w:val="auto"/>
          <w:highlight w:val="none"/>
          <w:lang w:val="en-US" w:eastAsia="zh-CN"/>
        </w:rPr>
        <w:t>如我方不具备前述条件</w:t>
      </w:r>
      <w:r>
        <w:rPr>
          <w:rFonts w:hint="eastAsia"/>
          <w:color w:val="auto"/>
          <w:sz w:val="21"/>
          <w:szCs w:val="21"/>
          <w:highlight w:val="none"/>
          <w:lang w:val="en-US" w:eastAsia="zh-CN"/>
        </w:rPr>
        <w:t>，</w:t>
      </w:r>
      <w:r>
        <w:rPr>
          <w:rFonts w:hint="eastAsia"/>
          <w:color w:val="auto"/>
          <w:highlight w:val="none"/>
          <w:lang w:val="en-US" w:eastAsia="zh-CN"/>
        </w:rPr>
        <w:t>我方承诺将在中标后10天内办理救援拖车相关车辆手续并具备救援服务条件，</w:t>
      </w:r>
      <w:r>
        <w:rPr>
          <w:rFonts w:hint="eastAsia"/>
          <w:color w:val="auto"/>
          <w:sz w:val="21"/>
          <w:szCs w:val="21"/>
          <w:highlight w:val="none"/>
          <w:lang w:val="en-US" w:eastAsia="zh-CN"/>
        </w:rPr>
        <w:t>否则采购人有权取消我方的中标资格，</w:t>
      </w:r>
      <w:r>
        <w:rPr>
          <w:rFonts w:hint="eastAsia" w:ascii="宋体" w:hAnsi="宋体" w:eastAsia="宋体" w:cs="宋体"/>
          <w:b w:val="0"/>
          <w:bCs/>
          <w:color w:val="auto"/>
          <w:kern w:val="2"/>
          <w:sz w:val="21"/>
          <w:szCs w:val="21"/>
          <w:highlight w:val="none"/>
          <w:lang w:val="en-US" w:eastAsia="zh-CN"/>
        </w:rPr>
        <w:t>并没收我方投标保证金</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投标人名称（加盖公章）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投标人地址：</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投标人法定代表人或受委托人（签名或盖私章）：</w:t>
      </w:r>
    </w:p>
    <w:p>
      <w:pPr>
        <w:spacing w:line="360" w:lineRule="auto"/>
        <w:ind w:right="560"/>
        <w:rPr>
          <w:rFonts w:hint="eastAsia" w:ascii="宋体" w:hAnsi="宋体"/>
          <w:color w:val="auto"/>
          <w:sz w:val="21"/>
          <w:szCs w:val="22"/>
          <w:highlight w:val="none"/>
        </w:rPr>
      </w:pPr>
      <w:r>
        <w:rPr>
          <w:rFonts w:hint="eastAsia" w:ascii="宋体" w:hAnsi="宋体"/>
          <w:color w:val="auto"/>
          <w:sz w:val="21"/>
          <w:szCs w:val="22"/>
          <w:highlight w:val="none"/>
        </w:rPr>
        <w:t>日   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color w:val="auto"/>
          <w:highlight w:val="none"/>
          <w:lang w:val="en-US" w:eastAsia="zh-CN"/>
        </w:rPr>
      </w:pPr>
      <w:r>
        <w:rPr>
          <w:rFonts w:hint="eastAsia" w:ascii="Times New Roman" w:hAnsi="Times New Roman" w:eastAsia="宋体" w:cs="Times New Roman"/>
          <w:color w:val="auto"/>
          <w:highlight w:val="none"/>
        </w:rPr>
        <w:br w:type="pag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星号响应承诺函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color w:val="auto"/>
          <w:highlight w:val="none"/>
        </w:rPr>
        <w:t>东莞市骏安押运有限公司</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pStyle w:val="9"/>
        <w:keepNext w:val="0"/>
        <w:keepLines w:val="0"/>
        <w:pageBreakBefore w:val="0"/>
        <w:kinsoku/>
        <w:wordWrap/>
        <w:overflowPunct/>
        <w:topLinePunct w:val="0"/>
        <w:bidi w:val="0"/>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我方承诺《</w:t>
      </w:r>
      <w:r>
        <w:rPr>
          <w:rFonts w:hint="eastAsia" w:ascii="宋体" w:hAnsi="宋体" w:eastAsia="宋体" w:cs="宋体"/>
          <w:color w:val="auto"/>
          <w:kern w:val="2"/>
          <w:sz w:val="21"/>
          <w:szCs w:val="21"/>
          <w:highlight w:val="none"/>
          <w:lang w:eastAsia="zh-CN"/>
        </w:rPr>
        <w:t>检测维修设备工具配置表》</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lang w:eastAsia="zh-CN"/>
        </w:rPr>
        <w:t>设备</w:t>
      </w:r>
      <w:r>
        <w:rPr>
          <w:rFonts w:hint="eastAsia" w:ascii="宋体" w:hAnsi="宋体" w:eastAsia="宋体" w:cs="宋体"/>
          <w:color w:val="auto"/>
          <w:kern w:val="2"/>
          <w:sz w:val="21"/>
          <w:szCs w:val="21"/>
          <w:highlight w:val="none"/>
          <w:lang w:val="en-US" w:eastAsia="zh-CN"/>
        </w:rPr>
        <w:t>具备</w:t>
      </w:r>
      <w:r>
        <w:rPr>
          <w:rFonts w:hint="eastAsia" w:ascii="宋体" w:hAnsi="宋体" w:eastAsia="宋体" w:cs="宋体"/>
          <w:color w:val="auto"/>
          <w:kern w:val="2"/>
          <w:sz w:val="21"/>
          <w:szCs w:val="21"/>
          <w:highlight w:val="none"/>
          <w:lang w:eastAsia="zh-CN"/>
        </w:rPr>
        <w:t>自有设备发票（发票抬头为</w:t>
      </w:r>
      <w:r>
        <w:rPr>
          <w:rFonts w:hint="eastAsia" w:ascii="宋体" w:hAnsi="宋体" w:eastAsia="宋体" w:cs="宋体"/>
          <w:color w:val="auto"/>
          <w:kern w:val="2"/>
          <w:sz w:val="21"/>
          <w:szCs w:val="21"/>
          <w:highlight w:val="none"/>
          <w:lang w:val="en-US" w:eastAsia="zh-CN"/>
        </w:rPr>
        <w:t>我方</w:t>
      </w:r>
      <w:r>
        <w:rPr>
          <w:rFonts w:hint="eastAsia" w:ascii="宋体" w:hAnsi="宋体" w:eastAsia="宋体" w:cs="宋体"/>
          <w:color w:val="auto"/>
          <w:kern w:val="2"/>
          <w:sz w:val="21"/>
          <w:szCs w:val="21"/>
          <w:highlight w:val="none"/>
          <w:lang w:eastAsia="zh-CN"/>
        </w:rPr>
        <w:t>名称）或设备租赁（协议/合同），</w:t>
      </w:r>
      <w:r>
        <w:rPr>
          <w:rFonts w:hint="eastAsia"/>
          <w:color w:val="auto"/>
          <w:highlight w:val="none"/>
          <w:lang w:val="en-US" w:eastAsia="zh-CN"/>
        </w:rPr>
        <w:t>如我方不具备前述条件，</w:t>
      </w:r>
      <w:r>
        <w:rPr>
          <w:rFonts w:hint="eastAsia" w:ascii="宋体" w:hAnsi="宋体" w:eastAsia="宋体" w:cs="宋体"/>
          <w:color w:val="auto"/>
          <w:kern w:val="2"/>
          <w:sz w:val="21"/>
          <w:szCs w:val="21"/>
          <w:highlight w:val="none"/>
          <w:lang w:val="en-US" w:eastAsia="zh-CN"/>
        </w:rPr>
        <w:t>我方</w:t>
      </w:r>
      <w:r>
        <w:rPr>
          <w:rFonts w:hint="eastAsia" w:ascii="宋体" w:hAnsi="宋体" w:eastAsia="宋体" w:cs="宋体"/>
          <w:color w:val="auto"/>
          <w:kern w:val="2"/>
          <w:sz w:val="21"/>
          <w:szCs w:val="21"/>
          <w:highlight w:val="none"/>
          <w:lang w:eastAsia="zh-CN"/>
        </w:rPr>
        <w:t>承诺中标后</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eastAsia="zh-CN"/>
        </w:rPr>
        <w:t>天内补齐相关</w:t>
      </w:r>
      <w:r>
        <w:rPr>
          <w:rFonts w:hint="eastAsia" w:ascii="宋体" w:hAnsi="宋体" w:eastAsia="宋体" w:cs="宋体"/>
          <w:color w:val="auto"/>
          <w:kern w:val="2"/>
          <w:sz w:val="21"/>
          <w:szCs w:val="21"/>
          <w:highlight w:val="none"/>
          <w:lang w:val="en-US" w:eastAsia="zh-CN"/>
        </w:rPr>
        <w:t>设备及</w:t>
      </w:r>
      <w:r>
        <w:rPr>
          <w:rFonts w:hint="eastAsia" w:ascii="宋体" w:hAnsi="宋体" w:eastAsia="宋体" w:cs="宋体"/>
          <w:color w:val="auto"/>
          <w:kern w:val="2"/>
          <w:sz w:val="21"/>
          <w:szCs w:val="21"/>
          <w:highlight w:val="none"/>
          <w:lang w:eastAsia="zh-CN"/>
        </w:rPr>
        <w:t>证明材料，</w:t>
      </w:r>
      <w:r>
        <w:rPr>
          <w:rFonts w:hint="eastAsia" w:ascii="宋体" w:hAnsi="宋体" w:eastAsia="宋体" w:cs="宋体"/>
          <w:color w:val="auto"/>
          <w:kern w:val="2"/>
          <w:sz w:val="21"/>
          <w:szCs w:val="21"/>
          <w:highlight w:val="none"/>
          <w:lang w:val="en-US" w:eastAsia="zh-CN"/>
        </w:rPr>
        <w:t>否则采购人有权取消我方的中标资格，</w:t>
      </w:r>
      <w:r>
        <w:rPr>
          <w:rFonts w:hint="eastAsia" w:ascii="宋体" w:hAnsi="宋体" w:eastAsia="宋体" w:cs="宋体"/>
          <w:b w:val="0"/>
          <w:bCs/>
          <w:color w:val="auto"/>
          <w:kern w:val="2"/>
          <w:sz w:val="21"/>
          <w:szCs w:val="21"/>
          <w:highlight w:val="none"/>
          <w:lang w:val="en-US" w:eastAsia="zh-CN"/>
        </w:rPr>
        <w:t>并没收我方投标保证金</w:t>
      </w:r>
      <w:r>
        <w:rPr>
          <w:rFonts w:hint="eastAsia" w:ascii="宋体" w:hAnsi="宋体" w:eastAsia="宋体" w:cs="宋体"/>
          <w:b w:val="0"/>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投标人名称（加盖公章）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投标人地址：</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投标人法定代表人或受委托人（签名或盖私章）：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日   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color w:val="auto"/>
          <w:highlight w:val="none"/>
          <w:lang w:val="en-US" w:eastAsia="zh-CN"/>
        </w:rPr>
      </w:pPr>
      <w:r>
        <w:rPr>
          <w:rFonts w:ascii="Times New Roman" w:hAnsi="Times New Roman" w:eastAsia="宋体" w:cs="Times New Roman"/>
          <w:color w:val="auto"/>
          <w:highlight w:val="none"/>
        </w:rPr>
        <w:br w:type="page"/>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星号响应承诺函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color w:val="auto"/>
          <w:highlight w:val="none"/>
        </w:rPr>
        <w:t>东莞市骏安押运有限公司</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lang w:val="en-US" w:eastAsia="zh-CN"/>
        </w:rPr>
        <w:t>如有幸中标，我方承诺具有采购人车辆投保的保险公司（目前为中国人民保险、太平洋保险、平安保险）维修点合作资格并提供相应保险服务，如我方不具备前述条件，将在中标后20天内达到前述条件，否则采购人有权取消我方的中标资格，</w:t>
      </w:r>
      <w:r>
        <w:rPr>
          <w:rFonts w:hint="eastAsia" w:ascii="宋体" w:hAnsi="宋体" w:eastAsia="宋体" w:cs="宋体"/>
          <w:b w:val="0"/>
          <w:bCs/>
          <w:color w:val="auto"/>
          <w:kern w:val="2"/>
          <w:sz w:val="21"/>
          <w:szCs w:val="21"/>
          <w:highlight w:val="none"/>
          <w:lang w:val="en-US" w:eastAsia="zh-CN"/>
        </w:rPr>
        <w:t>并没收我方投标保证金</w:t>
      </w:r>
      <w:r>
        <w:rPr>
          <w:rFonts w:hint="eastAsia" w:ascii="宋体" w:hAnsi="宋体" w:eastAsia="宋体" w:cs="宋体"/>
          <w:b w:val="0"/>
          <w:bCs/>
          <w:color w:val="auto"/>
          <w:kern w:val="2"/>
          <w:sz w:val="21"/>
          <w:szCs w:val="21"/>
          <w:highlight w:val="none"/>
          <w:lang w:eastAsia="zh-CN"/>
        </w:rPr>
        <w:t>。</w:t>
      </w:r>
      <w:r>
        <w:rPr>
          <w:rFonts w:hint="eastAsia"/>
          <w:color w:val="auto"/>
          <w:highlight w:val="none"/>
          <w:lang w:val="en-US" w:eastAsia="zh-CN"/>
        </w:rPr>
        <w:t>服务期内采购人车辆投保的保险公司发生变化的，我方应在收到采购人通知后20天内取得新保险公司维修点合作及提供保险相应服务资格，否则采购人有权解除合同。保险理赔的车辆维修费及第三方车辆的维修费均需由我方预先垫付（人员受伤部分不计入垫付范围），先行完成车辆的所有维修</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投标人名称（加盖公章）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投标人地址：</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投标人法定代表人或受委托人（签名或盖私章）：</w:t>
      </w:r>
    </w:p>
    <w:p>
      <w:pPr>
        <w:spacing w:line="360" w:lineRule="auto"/>
        <w:ind w:right="560"/>
        <w:rPr>
          <w:rFonts w:ascii="宋体" w:hAnsi="宋体"/>
          <w:color w:val="auto"/>
          <w:sz w:val="21"/>
          <w:szCs w:val="22"/>
          <w:highlight w:val="none"/>
        </w:rPr>
      </w:pPr>
      <w:r>
        <w:rPr>
          <w:rFonts w:hint="eastAsia" w:ascii="宋体" w:hAnsi="宋体"/>
          <w:color w:val="auto"/>
          <w:sz w:val="21"/>
          <w:szCs w:val="22"/>
          <w:highlight w:val="none"/>
        </w:rPr>
        <w:t>日   期：</w:t>
      </w: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p>
    <w:p>
      <w:pPr>
        <w:rPr>
          <w:rFonts w:hint="eastAsia" w:ascii="宋体" w:hAnsi="宋体" w:eastAsia="宋体" w:cs="宋体"/>
          <w:color w:val="auto"/>
          <w:szCs w:val="21"/>
          <w:highlight w:val="none"/>
        </w:rPr>
      </w:pPr>
    </w:p>
    <w:p>
      <w:pPr>
        <w:pStyle w:val="5"/>
        <w:widowControl w:val="0"/>
        <w:overflowPunct w:val="0"/>
        <w:spacing w:line="240" w:lineRule="auto"/>
        <w:rPr>
          <w:rFonts w:hint="eastAsia" w:ascii="宋体" w:hAnsi="宋体" w:eastAsia="宋体" w:cs="宋体"/>
          <w:color w:val="auto"/>
          <w:sz w:val="21"/>
          <w:szCs w:val="21"/>
          <w:highlight w:val="none"/>
        </w:rPr>
      </w:pPr>
      <w:bookmarkStart w:id="176" w:name="_Toc23925"/>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.商务需求条款偏离表格式</w:t>
      </w:r>
      <w:bookmarkEnd w:id="176"/>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商务需求条款偏离表</w:t>
      </w:r>
    </w:p>
    <w:tbl>
      <w:tblPr>
        <w:tblStyle w:val="2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00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6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587"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13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73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jc w:val="center"/>
              <w:rPr>
                <w:rFonts w:hint="eastAsia" w:ascii="宋体" w:hAnsi="宋体" w:eastAsia="宋体" w:cs="宋体"/>
                <w:color w:val="auto"/>
                <w:szCs w:val="21"/>
                <w:highlight w:val="none"/>
              </w:rPr>
            </w:pPr>
          </w:p>
        </w:tc>
        <w:tc>
          <w:tcPr>
            <w:tcW w:w="1620" w:type="dxa"/>
            <w:vAlign w:val="center"/>
          </w:tcPr>
          <w:p>
            <w:pPr>
              <w:jc w:val="center"/>
              <w:rPr>
                <w:rFonts w:hint="eastAsia" w:ascii="宋体" w:hAnsi="宋体" w:eastAsia="宋体" w:cs="宋体"/>
                <w:color w:val="auto"/>
                <w:szCs w:val="21"/>
                <w:highlight w:val="none"/>
              </w:rPr>
            </w:pPr>
          </w:p>
        </w:tc>
        <w:tc>
          <w:tcPr>
            <w:tcW w:w="1360" w:type="dxa"/>
            <w:vAlign w:val="center"/>
          </w:tcPr>
          <w:p>
            <w:pPr>
              <w:jc w:val="center"/>
              <w:rPr>
                <w:rFonts w:hint="eastAsia" w:ascii="宋体" w:hAnsi="宋体" w:eastAsia="宋体" w:cs="宋体"/>
                <w:color w:val="auto"/>
                <w:szCs w:val="21"/>
                <w:highlight w:val="none"/>
              </w:rPr>
            </w:pPr>
          </w:p>
        </w:tc>
        <w:tc>
          <w:tcPr>
            <w:tcW w:w="1587" w:type="dxa"/>
            <w:vAlign w:val="center"/>
          </w:tcPr>
          <w:p>
            <w:pPr>
              <w:jc w:val="center"/>
              <w:rPr>
                <w:rFonts w:hint="eastAsia" w:ascii="宋体" w:hAnsi="宋体" w:eastAsia="宋体" w:cs="宋体"/>
                <w:color w:val="auto"/>
                <w:szCs w:val="21"/>
                <w:highlight w:val="none"/>
              </w:rPr>
            </w:pPr>
          </w:p>
        </w:tc>
        <w:tc>
          <w:tcPr>
            <w:tcW w:w="1133" w:type="dxa"/>
            <w:vAlign w:val="center"/>
          </w:tcPr>
          <w:p>
            <w:pPr>
              <w:jc w:val="center"/>
              <w:rPr>
                <w:rFonts w:hint="eastAsia" w:ascii="宋体" w:hAnsi="宋体" w:eastAsia="宋体" w:cs="宋体"/>
                <w:color w:val="auto"/>
                <w:szCs w:val="21"/>
                <w:highlight w:val="none"/>
              </w:rPr>
            </w:pPr>
          </w:p>
        </w:tc>
        <w:tc>
          <w:tcPr>
            <w:tcW w:w="1730" w:type="dxa"/>
            <w:vAlign w:val="center"/>
          </w:tcPr>
          <w:p>
            <w:pPr>
              <w:jc w:val="center"/>
              <w:rPr>
                <w:rFonts w:hint="eastAsia" w:ascii="宋体" w:hAnsi="宋体" w:eastAsia="宋体" w:cs="宋体"/>
                <w:color w:val="auto"/>
                <w:szCs w:val="21"/>
                <w:highlight w:val="none"/>
              </w:rPr>
            </w:pP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rPr>
          <w:rFonts w:hint="eastAsia" w:ascii="宋体" w:hAnsi="宋体" w:eastAsia="宋体" w:cs="宋体"/>
          <w:color w:val="auto"/>
          <w:szCs w:val="21"/>
          <w:highlight w:val="none"/>
        </w:rPr>
      </w:pPr>
    </w:p>
    <w:p>
      <w:pPr>
        <w:ind w:left="718" w:hanging="718" w:hanging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1、投标人应对照采购文件商务需求书中商务要求，说明已对采购文件的商务内容做出了实质性的响应。</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outlineLvl w:val="2"/>
        <w:rPr>
          <w:rFonts w:hint="eastAsia" w:ascii="宋体" w:hAnsi="宋体" w:eastAsia="宋体" w:cs="宋体"/>
          <w:color w:val="auto"/>
          <w:sz w:val="30"/>
          <w:szCs w:val="30"/>
          <w:highlight w:val="none"/>
        </w:rPr>
      </w:pPr>
      <w:bookmarkStart w:id="177" w:name="_Toc14764"/>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.业绩表</w:t>
      </w:r>
      <w:bookmarkEnd w:id="177"/>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业绩表</w:t>
      </w:r>
    </w:p>
    <w:tbl>
      <w:tblPr>
        <w:tblStyle w:val="3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5"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06"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项目金额</w:t>
            </w:r>
          </w:p>
        </w:tc>
        <w:tc>
          <w:tcPr>
            <w:tcW w:w="1705"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项目合同签订时间</w:t>
            </w:r>
          </w:p>
        </w:tc>
        <w:tc>
          <w:tcPr>
            <w:tcW w:w="1697" w:type="dxa"/>
            <w:vAlign w:val="center"/>
          </w:tcPr>
          <w:p>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hint="eastAsia" w:ascii="宋体" w:hAnsi="宋体" w:eastAsia="宋体" w:cs="宋体"/>
                <w:color w:val="auto"/>
                <w:szCs w:val="21"/>
                <w:highlight w:val="none"/>
              </w:rPr>
            </w:pPr>
          </w:p>
        </w:tc>
        <w:tc>
          <w:tcPr>
            <w:tcW w:w="1705" w:type="dxa"/>
            <w:vAlign w:val="center"/>
          </w:tcPr>
          <w:p>
            <w:pPr>
              <w:adjustRightInd/>
              <w:snapToGrid/>
              <w:jc w:val="center"/>
              <w:rPr>
                <w:rFonts w:hint="eastAsia" w:ascii="宋体" w:hAnsi="宋体" w:eastAsia="宋体" w:cs="宋体"/>
                <w:color w:val="auto"/>
                <w:szCs w:val="21"/>
                <w:highlight w:val="none"/>
              </w:rPr>
            </w:pPr>
          </w:p>
        </w:tc>
        <w:tc>
          <w:tcPr>
            <w:tcW w:w="1706" w:type="dxa"/>
            <w:vAlign w:val="center"/>
          </w:tcPr>
          <w:p>
            <w:pPr>
              <w:adjustRightInd/>
              <w:snapToGrid/>
              <w:jc w:val="center"/>
              <w:rPr>
                <w:rFonts w:hint="eastAsia" w:ascii="宋体" w:hAnsi="宋体" w:eastAsia="宋体" w:cs="宋体"/>
                <w:color w:val="auto"/>
                <w:szCs w:val="21"/>
                <w:highlight w:val="none"/>
              </w:rPr>
            </w:pPr>
          </w:p>
        </w:tc>
        <w:tc>
          <w:tcPr>
            <w:tcW w:w="1705" w:type="dxa"/>
            <w:vAlign w:val="center"/>
          </w:tcPr>
          <w:p>
            <w:pPr>
              <w:adjustRightInd/>
              <w:snapToGrid/>
              <w:jc w:val="center"/>
              <w:rPr>
                <w:rFonts w:hint="eastAsia" w:ascii="宋体" w:hAnsi="宋体" w:eastAsia="宋体" w:cs="宋体"/>
                <w:color w:val="auto"/>
                <w:szCs w:val="21"/>
                <w:highlight w:val="none"/>
              </w:rPr>
            </w:pPr>
          </w:p>
        </w:tc>
        <w:tc>
          <w:tcPr>
            <w:tcW w:w="1697" w:type="dxa"/>
            <w:vAlign w:val="center"/>
          </w:tcPr>
          <w:p>
            <w:pPr>
              <w:adjustRightInd/>
              <w:snapToGrid/>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705"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706" w:type="dxa"/>
          </w:tcPr>
          <w:p>
            <w:pPr>
              <w:adjustRightInd/>
              <w:snapToGrid/>
              <w:rPr>
                <w:rFonts w:hint="eastAsia" w:ascii="宋体" w:hAnsi="宋体" w:eastAsia="宋体" w:cs="宋体"/>
                <w:color w:val="auto"/>
                <w:szCs w:val="21"/>
                <w:highlight w:val="none"/>
              </w:rPr>
            </w:pPr>
          </w:p>
        </w:tc>
        <w:tc>
          <w:tcPr>
            <w:tcW w:w="1705" w:type="dxa"/>
          </w:tcPr>
          <w:p>
            <w:pPr>
              <w:adjustRightInd/>
              <w:snapToGrid/>
              <w:rPr>
                <w:rFonts w:hint="eastAsia" w:ascii="宋体" w:hAnsi="宋体" w:eastAsia="宋体" w:cs="宋体"/>
                <w:color w:val="auto"/>
                <w:szCs w:val="21"/>
                <w:highlight w:val="none"/>
              </w:rPr>
            </w:pPr>
          </w:p>
        </w:tc>
        <w:tc>
          <w:tcPr>
            <w:tcW w:w="1697" w:type="dxa"/>
          </w:tcPr>
          <w:p>
            <w:pPr>
              <w:adjustRightInd/>
              <w:snapToGrid/>
              <w:rPr>
                <w:rFonts w:hint="eastAsia" w:ascii="宋体" w:hAnsi="宋体" w:eastAsia="宋体" w:cs="宋体"/>
                <w:color w:val="auto"/>
                <w:szCs w:val="21"/>
                <w:highlight w:val="none"/>
              </w:rPr>
            </w:pPr>
          </w:p>
        </w:tc>
      </w:tr>
    </w:tbl>
    <w:p>
      <w:pPr>
        <w:pStyle w:val="41"/>
        <w:rPr>
          <w:rFonts w:hint="eastAsia" w:ascii="宋体" w:hAnsi="宋体" w:eastAsia="宋体" w:cs="宋体"/>
          <w:color w:val="auto"/>
          <w:szCs w:val="21"/>
          <w:highlight w:val="none"/>
        </w:rPr>
      </w:pPr>
    </w:p>
    <w:p>
      <w:pPr>
        <w:pStyle w:val="4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pStyle w:val="41"/>
        <w:numPr>
          <w:ilvl w:val="0"/>
          <w:numId w:val="17"/>
        </w:num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pPr>
        <w:pStyle w:val="41"/>
        <w:numPr>
          <w:ilvl w:val="0"/>
          <w:numId w:val="17"/>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业绩表所列出的材料应为真实准确的，并应提供相关证明材料复印件加盖公章。请勿提供虚假、过期材料，否则将依据相关规定严肃处理。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9"/>
        <w:rPr>
          <w:rFonts w:hint="eastAsia" w:ascii="宋体" w:hAnsi="宋体" w:eastAsia="宋体" w:cs="宋体"/>
          <w:color w:val="auto"/>
          <w:szCs w:val="21"/>
          <w:highlight w:val="none"/>
        </w:rPr>
        <w:sectPr>
          <w:headerReference r:id="rId9" w:type="first"/>
          <w:footerReference r:id="rId11" w:type="first"/>
          <w:headerReference r:id="rId7" w:type="default"/>
          <w:footerReference r:id="rId10" w:type="default"/>
          <w:headerReference r:id="rId8" w:type="even"/>
          <w:pgSz w:w="11906" w:h="16838"/>
          <w:pgMar w:top="1440" w:right="1800" w:bottom="1440" w:left="1800" w:header="708" w:footer="708" w:gutter="0"/>
          <w:cols w:space="708" w:num="1"/>
          <w:titlePg/>
          <w:docGrid w:type="lines" w:linePitch="360" w:charSpace="0"/>
        </w:sectPr>
      </w:pPr>
    </w:p>
    <w:p>
      <w:pPr>
        <w:pStyle w:val="5"/>
        <w:widowControl w:val="0"/>
        <w:overflowPunct w:val="0"/>
        <w:spacing w:line="240" w:lineRule="auto"/>
        <w:outlineLvl w:val="2"/>
        <w:rPr>
          <w:rFonts w:hint="eastAsia" w:ascii="宋体" w:hAnsi="宋体" w:eastAsia="宋体" w:cs="宋体"/>
          <w:color w:val="auto"/>
          <w:highlight w:val="none"/>
        </w:rPr>
      </w:pPr>
      <w:bookmarkStart w:id="178" w:name="_Toc13096"/>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.联合体协议书</w:t>
      </w:r>
      <w:r>
        <w:rPr>
          <w:rFonts w:hint="eastAsia" w:ascii="宋体" w:hAnsi="宋体" w:eastAsia="宋体" w:cs="宋体"/>
          <w:color w:val="auto"/>
          <w:highlight w:val="none"/>
        </w:rPr>
        <w:t>（如有）</w:t>
      </w:r>
      <w:bookmarkEnd w:id="178"/>
    </w:p>
    <w:p>
      <w:pPr>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宋体" w:hAnsi="宋体" w:eastAsia="宋体" w:cs="宋体"/>
          <w:b/>
          <w:bCs/>
          <w:color w:val="auto"/>
          <w:highlight w:val="none"/>
        </w:rPr>
        <w:t>联合体共同投标协议书</w:t>
      </w:r>
    </w:p>
    <w:p>
      <w:pPr>
        <w:jc w:val="center"/>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立约方：（甲公司全称）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（乙公司全称）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（……公司全称）</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自愿组成联合体，以一个投标人的身份共同参加</w:t>
      </w:r>
      <w:r>
        <w:rPr>
          <w:rFonts w:hint="eastAsia" w:ascii="宋体" w:hAnsi="宋体" w:eastAsia="宋体" w:cs="宋体"/>
          <w:color w:val="auto"/>
          <w:szCs w:val="21"/>
          <w:highlight w:val="none"/>
          <w:u w:val="single"/>
        </w:rPr>
        <w:t>（xxxx项目） （项目编号：xxxx）</w:t>
      </w:r>
      <w:r>
        <w:rPr>
          <w:rFonts w:hint="eastAsia" w:ascii="宋体" w:hAnsi="宋体" w:eastAsia="宋体" w:cs="宋体"/>
          <w:color w:val="auto"/>
          <w:szCs w:val="21"/>
          <w:highlight w:val="none"/>
        </w:rPr>
        <w:t>的招标活动。经各方充分协商一致，就项目的投标和合同实施阶段的有关事务协商一致订立协议如下：</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一、联合体各方关系</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1.（甲公司全称）、（乙公司全称）、（……公司全称）</w:t>
      </w:r>
      <w:r>
        <w:rPr>
          <w:rFonts w:hint="eastAsia" w:ascii="宋体" w:hAnsi="宋体" w:eastAsia="宋体" w:cs="宋体"/>
          <w:color w:val="auto"/>
          <w:szCs w:val="21"/>
          <w:highlight w:val="none"/>
        </w:rPr>
        <w:t>共同组成一个联合体，以一个投标人的身份共同参加本项目的投标。</w:t>
      </w: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作为联合体成员，若中标，联合体各方共同与</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签订合同。</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2.本次投标中，以</w:t>
      </w:r>
      <w:r>
        <w:rPr>
          <w:rFonts w:hint="eastAsia" w:ascii="宋体" w:hAnsi="宋体" w:eastAsia="宋体" w:cs="宋体"/>
          <w:color w:val="auto"/>
          <w:szCs w:val="21"/>
          <w:highlight w:val="none"/>
          <w:u w:val="single"/>
        </w:rPr>
        <w:t>（公司全称）</w:t>
      </w:r>
      <w:r>
        <w:rPr>
          <w:rFonts w:hint="eastAsia" w:ascii="宋体" w:hAnsi="宋体" w:eastAsia="宋体" w:cs="宋体"/>
          <w:color w:val="auto"/>
          <w:szCs w:val="21"/>
          <w:highlight w:val="none"/>
        </w:rPr>
        <w:t>为联合体牵头人。</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二、联合体内部有关事项约定如下：</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3.如中标，联合体各方共同与（采购人）签订合同书，并就中标项目向采购人负有连带的和各自的法律责任；</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pPr>
        <w:rPr>
          <w:rFonts w:hint="eastAsia" w:ascii="宋体" w:hAnsi="宋体" w:eastAsia="宋体" w:cs="宋体"/>
          <w:color w:val="auto"/>
          <w:highlight w:val="none"/>
        </w:rPr>
      </w:pPr>
      <w:r>
        <w:rPr>
          <w:rFonts w:hint="eastAsia" w:ascii="宋体" w:hAnsi="宋体" w:eastAsia="宋体" w:cs="宋体"/>
          <w:color w:val="auto"/>
          <w:szCs w:val="21"/>
          <w:highlight w:val="none"/>
        </w:rPr>
        <w:t>（2）</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四、联合体如因违约过失责任而导致采购人经济损失或被索赔时，本联合体任何一方均同意无条件优先清偿采购人的一切债务和经济赔偿。</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五、联合体中标后，本联合体协议是合同的附件，对联合体各成员单位有合同约束力。</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六、本协议在自签署之日起生效，投标有效期内有效，如获中标资格，本协议有效期延续至合同履行完毕之日。</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七、本协议书一式____份，联合体成员和采购人各执一份。 </w:t>
      </w:r>
    </w:p>
    <w:p>
      <w:pPr>
        <w:rPr>
          <w:rFonts w:hint="eastAsia" w:ascii="宋体" w:hAnsi="宋体" w:eastAsia="宋体" w:cs="宋体"/>
          <w:color w:val="auto"/>
          <w:szCs w:val="21"/>
          <w:highlight w:val="none"/>
        </w:rPr>
      </w:pP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注：本协议书由委托人签字的，应附法定代表人签字的授权委托书。</w:t>
      </w: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牵头人名称：_______________________（盖单位公章）</w:t>
      </w: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pPr>
        <w:pStyle w:val="9"/>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成员一名称：_______________________（盖单位公章）</w:t>
      </w: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pPr>
        <w:pStyle w:val="9"/>
        <w:rPr>
          <w:rFonts w:hint="eastAsia" w:ascii="宋体" w:hAnsi="宋体" w:eastAsia="宋体" w:cs="宋体"/>
          <w:color w:val="auto"/>
          <w:sz w:val="21"/>
          <w:szCs w:val="21"/>
          <w:highlight w:val="none"/>
        </w:rPr>
      </w:pP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成员二名称：_______________________（盖单位公章）</w:t>
      </w:r>
    </w:p>
    <w:p>
      <w:pPr>
        <w:pStyle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pPr>
        <w:pStyle w:val="9"/>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9"/>
        <w:rPr>
          <w:rFonts w:hint="eastAsia" w:ascii="宋体" w:hAnsi="宋体" w:eastAsia="宋体" w:cs="宋体"/>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ascii="宋体" w:hAnsi="宋体" w:eastAsia="宋体" w:cs="宋体"/>
          <w:color w:val="auto"/>
          <w:sz w:val="21"/>
          <w:szCs w:val="21"/>
          <w:highlight w:val="none"/>
        </w:rPr>
        <w:t xml:space="preserve">        年     月     日</w:t>
      </w:r>
    </w:p>
    <w:p>
      <w:pPr>
        <w:pStyle w:val="9"/>
        <w:rPr>
          <w:rFonts w:hint="eastAsia" w:ascii="宋体" w:hAnsi="宋体" w:eastAsia="宋体" w:cs="宋体"/>
          <w:color w:val="auto"/>
          <w:highlight w:val="none"/>
        </w:rPr>
      </w:pPr>
    </w:p>
    <w:p>
      <w:pPr>
        <w:pStyle w:val="3"/>
        <w:spacing w:before="0" w:after="0" w:line="360" w:lineRule="auto"/>
        <w:jc w:val="center"/>
        <w:rPr>
          <w:rFonts w:hint="eastAsia" w:ascii="宋体" w:hAnsi="宋体" w:eastAsia="宋体" w:cs="宋体"/>
          <w:color w:val="auto"/>
          <w:sz w:val="72"/>
          <w:szCs w:val="72"/>
          <w:highlight w:val="none"/>
        </w:rPr>
      </w:pPr>
      <w:bookmarkStart w:id="179" w:name="_Toc10623"/>
      <w:r>
        <w:rPr>
          <w:rFonts w:hint="eastAsia" w:ascii="宋体" w:hAnsi="宋体" w:eastAsia="宋体" w:cs="宋体"/>
          <w:color w:val="auto"/>
          <w:sz w:val="72"/>
          <w:szCs w:val="72"/>
          <w:highlight w:val="none"/>
        </w:rPr>
        <w:t>技术文件</w:t>
      </w:r>
      <w:bookmarkEnd w:id="179"/>
    </w:p>
    <w:p>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jc w:val="both"/>
        <w:rPr>
          <w:rFonts w:hint="eastAsia" w:ascii="宋体" w:hAnsi="宋体" w:eastAsia="宋体" w:cs="宋体"/>
          <w:b/>
          <w:bCs/>
          <w:color w:val="auto"/>
          <w:spacing w:val="0"/>
          <w:kern w:val="0"/>
          <w:sz w:val="32"/>
          <w:szCs w:val="32"/>
          <w:highlight w:val="none"/>
          <w:fitText w:val="1600" w:id="14"/>
        </w:rPr>
      </w:pPr>
      <w:r>
        <w:rPr>
          <w:rFonts w:hint="eastAsia" w:ascii="宋体" w:hAnsi="宋体" w:eastAsia="宋体" w:cs="宋体"/>
          <w:b/>
          <w:bCs/>
          <w:color w:val="auto"/>
          <w:spacing w:val="0"/>
          <w:kern w:val="0"/>
          <w:sz w:val="32"/>
          <w:szCs w:val="32"/>
          <w:highlight w:val="none"/>
          <w:fitText w:val="1600" w:id="14"/>
        </w:rPr>
        <w:t>项目名称：</w:t>
      </w:r>
    </w:p>
    <w:p>
      <w:pPr>
        <w:jc w:val="both"/>
        <w:rPr>
          <w:rFonts w:hint="eastAsia" w:ascii="宋体" w:hAnsi="宋体" w:eastAsia="宋体" w:cs="宋体"/>
          <w:b/>
          <w:bCs/>
          <w:color w:val="auto"/>
          <w:spacing w:val="0"/>
          <w:kern w:val="0"/>
          <w:sz w:val="32"/>
          <w:szCs w:val="32"/>
          <w:highlight w:val="none"/>
          <w:fitText w:val="1600" w:id="15"/>
        </w:rPr>
      </w:pPr>
      <w:r>
        <w:rPr>
          <w:rFonts w:hint="eastAsia" w:ascii="宋体" w:hAnsi="宋体" w:eastAsia="宋体" w:cs="宋体"/>
          <w:b/>
          <w:bCs/>
          <w:color w:val="auto"/>
          <w:spacing w:val="0"/>
          <w:kern w:val="0"/>
          <w:sz w:val="32"/>
          <w:szCs w:val="32"/>
          <w:highlight w:val="none"/>
          <w:fitText w:val="1600" w:id="15"/>
        </w:rPr>
        <w:t>项目编号：</w:t>
      </w:r>
    </w:p>
    <w:p>
      <w:pPr>
        <w:rPr>
          <w:rFonts w:hint="eastAsia" w:ascii="宋体" w:hAnsi="宋体" w:eastAsia="宋体" w:cs="宋体"/>
          <w:b/>
          <w:bCs/>
          <w:color w:val="auto"/>
          <w:spacing w:val="-2"/>
          <w:w w:val="62"/>
          <w:kern w:val="0"/>
          <w:sz w:val="32"/>
          <w:szCs w:val="32"/>
          <w:highlight w:val="none"/>
          <w:fitText w:val="1600" w:id="16"/>
        </w:rPr>
      </w:pPr>
      <w:r>
        <w:rPr>
          <w:rFonts w:hint="eastAsia" w:ascii="宋体" w:hAnsi="宋体" w:eastAsia="宋体" w:cs="宋体"/>
          <w:b/>
          <w:bCs/>
          <w:color w:val="auto"/>
          <w:spacing w:val="1"/>
          <w:w w:val="62"/>
          <w:kern w:val="0"/>
          <w:sz w:val="32"/>
          <w:szCs w:val="32"/>
          <w:highlight w:val="none"/>
          <w:fitText w:val="1600" w:id="16"/>
          <w:lang w:val="en-US" w:bidi="ar-SA"/>
        </w:rPr>
        <w:t>包组号（如有）</w:t>
      </w:r>
      <w:r>
        <w:rPr>
          <w:rFonts w:hint="eastAsia" w:ascii="宋体" w:hAnsi="宋体" w:eastAsia="宋体" w:cs="宋体"/>
          <w:b/>
          <w:bCs/>
          <w:color w:val="auto"/>
          <w:spacing w:val="0"/>
          <w:w w:val="62"/>
          <w:kern w:val="0"/>
          <w:sz w:val="32"/>
          <w:szCs w:val="32"/>
          <w:highlight w:val="none"/>
          <w:fitText w:val="1600" w:id="16"/>
          <w:lang w:val="en-US" w:bidi="ar-SA"/>
        </w:rPr>
        <w:t>：</w:t>
      </w:r>
    </w:p>
    <w:p>
      <w:pPr>
        <w:jc w:val="both"/>
        <w:rPr>
          <w:rFonts w:hint="eastAsia" w:ascii="宋体" w:hAnsi="宋体" w:eastAsia="宋体" w:cs="宋体"/>
          <w:b/>
          <w:bCs/>
          <w:color w:val="auto"/>
          <w:spacing w:val="1"/>
          <w:w w:val="83"/>
          <w:kern w:val="0"/>
          <w:sz w:val="32"/>
          <w:szCs w:val="32"/>
          <w:highlight w:val="none"/>
          <w:fitText w:val="1600" w:id="17"/>
        </w:rPr>
      </w:pPr>
      <w:r>
        <w:rPr>
          <w:rFonts w:hint="eastAsia" w:ascii="宋体" w:hAnsi="宋体" w:eastAsia="宋体" w:cs="宋体"/>
          <w:b/>
          <w:bCs/>
          <w:color w:val="auto"/>
          <w:spacing w:val="0"/>
          <w:w w:val="83"/>
          <w:kern w:val="0"/>
          <w:sz w:val="32"/>
          <w:szCs w:val="32"/>
          <w:highlight w:val="none"/>
          <w:fitText w:val="1600" w:id="17"/>
        </w:rPr>
        <w:t>投标人名称：</w:t>
      </w:r>
    </w:p>
    <w:p>
      <w:pPr>
        <w:jc w:val="both"/>
        <w:rPr>
          <w:rFonts w:hint="eastAsia" w:ascii="宋体" w:hAnsi="宋体" w:eastAsia="宋体" w:cs="宋体"/>
          <w:b/>
          <w:bCs/>
          <w:color w:val="auto"/>
          <w:spacing w:val="0"/>
          <w:kern w:val="0"/>
          <w:sz w:val="32"/>
          <w:szCs w:val="32"/>
          <w:highlight w:val="none"/>
          <w:fitText w:val="1600" w:id="18"/>
        </w:rPr>
      </w:pPr>
      <w:r>
        <w:rPr>
          <w:rFonts w:hint="eastAsia" w:ascii="宋体" w:hAnsi="宋体" w:eastAsia="宋体" w:cs="宋体"/>
          <w:b/>
          <w:bCs/>
          <w:color w:val="auto"/>
          <w:spacing w:val="0"/>
          <w:kern w:val="0"/>
          <w:sz w:val="32"/>
          <w:szCs w:val="32"/>
          <w:highlight w:val="none"/>
          <w:fitText w:val="1600" w:id="18"/>
        </w:rPr>
        <w:t>日    期：</w:t>
      </w:r>
    </w:p>
    <w:p>
      <w:pPr>
        <w:jc w:val="both"/>
        <w:rPr>
          <w:rFonts w:hint="eastAsia" w:ascii="宋体" w:hAnsi="宋体" w:eastAsia="宋体" w:cs="宋体"/>
          <w:color w:val="auto"/>
          <w:spacing w:val="4"/>
          <w:kern w:val="0"/>
          <w:szCs w:val="21"/>
          <w:highlight w:val="none"/>
          <w:fitText w:val="1600" w:id="19"/>
        </w:rPr>
      </w:pPr>
      <w:r>
        <w:rPr>
          <w:rFonts w:hint="eastAsia" w:ascii="宋体" w:hAnsi="宋体" w:eastAsia="宋体" w:cs="宋体"/>
          <w:color w:val="auto"/>
          <w:spacing w:val="7"/>
          <w:kern w:val="0"/>
          <w:szCs w:val="21"/>
          <w:highlight w:val="none"/>
          <w:fitText w:val="1600" w:id="19"/>
        </w:rPr>
        <w:br w:type="page"/>
      </w:r>
    </w:p>
    <w:p>
      <w:pPr>
        <w:pStyle w:val="5"/>
        <w:widowControl w:val="0"/>
        <w:overflowPunct w:val="0"/>
        <w:spacing w:line="240" w:lineRule="auto"/>
        <w:rPr>
          <w:rFonts w:hint="eastAsia" w:ascii="宋体" w:hAnsi="宋体" w:eastAsia="宋体" w:cs="宋体"/>
          <w:color w:val="auto"/>
          <w:sz w:val="21"/>
          <w:szCs w:val="21"/>
          <w:highlight w:val="none"/>
        </w:rPr>
      </w:pPr>
      <w:bookmarkStart w:id="180" w:name="_Toc13960"/>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技术规格偏离表格式</w:t>
      </w:r>
      <w:bookmarkEnd w:id="180"/>
    </w:p>
    <w:p>
      <w:pPr>
        <w:jc w:val="center"/>
        <w:rPr>
          <w:rFonts w:hint="eastAsia" w:ascii="宋体" w:hAnsi="宋体" w:eastAsia="宋体" w:cs="宋体"/>
          <w:color w:val="auto"/>
          <w:sz w:val="28"/>
          <w:szCs w:val="28"/>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技术规格偏离表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83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7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62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239"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54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8" w:type="dxa"/>
            <w:vAlign w:val="center"/>
          </w:tcPr>
          <w:p>
            <w:pPr>
              <w:jc w:val="center"/>
              <w:rPr>
                <w:rFonts w:hint="eastAsia" w:ascii="宋体" w:hAnsi="宋体" w:eastAsia="宋体" w:cs="宋体"/>
                <w:color w:val="auto"/>
                <w:szCs w:val="21"/>
                <w:highlight w:val="none"/>
              </w:rPr>
            </w:pPr>
          </w:p>
        </w:tc>
        <w:tc>
          <w:tcPr>
            <w:tcW w:w="1902" w:type="dxa"/>
            <w:vAlign w:val="center"/>
          </w:tcPr>
          <w:p>
            <w:pPr>
              <w:jc w:val="center"/>
              <w:rPr>
                <w:rFonts w:hint="eastAsia" w:ascii="宋体" w:hAnsi="宋体" w:eastAsia="宋体" w:cs="宋体"/>
                <w:color w:val="auto"/>
                <w:szCs w:val="21"/>
                <w:highlight w:val="none"/>
              </w:rPr>
            </w:pPr>
          </w:p>
        </w:tc>
        <w:tc>
          <w:tcPr>
            <w:tcW w:w="1370" w:type="dxa"/>
            <w:vAlign w:val="center"/>
          </w:tcPr>
          <w:p>
            <w:pPr>
              <w:jc w:val="center"/>
              <w:rPr>
                <w:rFonts w:hint="eastAsia" w:ascii="宋体" w:hAnsi="宋体" w:eastAsia="宋体" w:cs="宋体"/>
                <w:color w:val="auto"/>
                <w:szCs w:val="21"/>
                <w:highlight w:val="none"/>
              </w:rPr>
            </w:pPr>
          </w:p>
        </w:tc>
        <w:tc>
          <w:tcPr>
            <w:tcW w:w="1629" w:type="dxa"/>
            <w:vAlign w:val="center"/>
          </w:tcPr>
          <w:p>
            <w:pPr>
              <w:jc w:val="center"/>
              <w:rPr>
                <w:rFonts w:hint="eastAsia" w:ascii="宋体" w:hAnsi="宋体" w:eastAsia="宋体" w:cs="宋体"/>
                <w:color w:val="auto"/>
                <w:szCs w:val="21"/>
                <w:highlight w:val="none"/>
              </w:rPr>
            </w:pPr>
          </w:p>
        </w:tc>
        <w:tc>
          <w:tcPr>
            <w:tcW w:w="1239" w:type="dxa"/>
            <w:vAlign w:val="center"/>
          </w:tcPr>
          <w:p>
            <w:pPr>
              <w:jc w:val="center"/>
              <w:rPr>
                <w:rFonts w:hint="eastAsia" w:ascii="宋体" w:hAnsi="宋体" w:eastAsia="宋体" w:cs="宋体"/>
                <w:color w:val="auto"/>
                <w:szCs w:val="21"/>
                <w:highlight w:val="none"/>
              </w:rPr>
            </w:pPr>
          </w:p>
        </w:tc>
        <w:tc>
          <w:tcPr>
            <w:tcW w:w="1544" w:type="dxa"/>
            <w:vAlign w:val="center"/>
          </w:tcPr>
          <w:p>
            <w:pPr>
              <w:jc w:val="center"/>
              <w:rPr>
                <w:rFonts w:hint="eastAsia" w:ascii="宋体" w:hAnsi="宋体" w:eastAsia="宋体" w:cs="宋体"/>
                <w:color w:val="auto"/>
                <w:szCs w:val="21"/>
                <w:highlight w:val="none"/>
              </w:rPr>
            </w:pP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ind w:firstLine="178" w:firstLineChars="85"/>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pP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pPr>
        <w:adjustRightInd/>
        <w:snapToGrid/>
        <w:spacing w:line="276" w:lineRule="auto"/>
        <w:rPr>
          <w:rFonts w:hint="eastAsia" w:ascii="宋体" w:hAnsi="宋体" w:eastAsia="宋体" w:cs="宋体"/>
          <w:color w:val="auto"/>
          <w:highlight w:val="none"/>
        </w:rPr>
      </w:pPr>
    </w:p>
    <w:p>
      <w:pPr>
        <w:adjustRightInd/>
        <w:snapToGrid/>
        <w:spacing w:line="276" w:lineRule="auto"/>
        <w:rPr>
          <w:rFonts w:hint="eastAsia" w:ascii="宋体" w:hAnsi="宋体" w:eastAsia="宋体" w:cs="宋体"/>
          <w:color w:val="auto"/>
          <w:highlight w:val="none"/>
        </w:rPr>
      </w:pPr>
    </w:p>
    <w:p>
      <w:pPr>
        <w:rPr>
          <w:rFonts w:hint="eastAsia" w:ascii="宋体" w:hAnsi="宋体" w:eastAsia="宋体" w:cs="宋体"/>
          <w:color w:val="auto"/>
          <w:szCs w:val="21"/>
          <w:highlight w:val="none"/>
        </w:rPr>
      </w:pPr>
      <w:bookmarkStart w:id="181" w:name="_Toc17691"/>
      <w:r>
        <w:rPr>
          <w:rFonts w:hint="eastAsia" w:ascii="宋体" w:hAnsi="宋体" w:eastAsia="宋体" w:cs="宋体"/>
          <w:color w:val="auto"/>
          <w:szCs w:val="21"/>
          <w:highlight w:val="none"/>
        </w:rPr>
        <w:br w:type="page"/>
      </w:r>
    </w:p>
    <w:bookmarkEnd w:id="181"/>
    <w:p>
      <w:pPr>
        <w:pStyle w:val="5"/>
        <w:widowControl w:val="0"/>
        <w:overflowPunct w:val="0"/>
        <w:spacing w:line="240" w:lineRule="auto"/>
        <w:outlineLvl w:val="3"/>
        <w:rPr>
          <w:rFonts w:hint="eastAsia" w:ascii="宋体" w:hAnsi="宋体" w:eastAsia="宋体" w:cs="宋体"/>
          <w:color w:val="auto"/>
          <w:sz w:val="21"/>
          <w:szCs w:val="21"/>
          <w:highlight w:val="none"/>
        </w:rPr>
      </w:pPr>
      <w:bookmarkStart w:id="182" w:name="_Toc13811"/>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.项目实施方案格式</w:t>
      </w:r>
      <w:bookmarkEnd w:id="182"/>
    </w:p>
    <w:p>
      <w:pPr>
        <w:jc w:val="center"/>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项目实施方案</w:t>
      </w:r>
    </w:p>
    <w:p>
      <w:pPr>
        <w:jc w:val="center"/>
        <w:rPr>
          <w:rFonts w:hint="eastAsia" w:ascii="宋体" w:hAnsi="宋体" w:eastAsia="宋体" w:cs="宋体"/>
          <w:color w:val="auto"/>
          <w:sz w:val="32"/>
          <w:szCs w:val="32"/>
          <w:highlight w:val="none"/>
        </w:rPr>
      </w:pP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1、为完成本项目投标人临时投入的设备</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2、为完成本项目投标人投入的人员以及具体工作安排</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3、投标人为本项目制定的具体项目实施方案与项目实施流程</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4、服务方案</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自行编写。</w:t>
      </w:r>
    </w:p>
    <w:p>
      <w:pPr>
        <w:ind w:left="718" w:leftChars="200" w:hanging="298" w:hangingChars="142"/>
        <w:rPr>
          <w:rFonts w:hint="eastAsia" w:ascii="宋体" w:hAnsi="宋体" w:eastAsia="宋体" w:cs="宋体"/>
          <w:color w:val="auto"/>
          <w:szCs w:val="21"/>
          <w:highlight w:val="none"/>
        </w:rPr>
      </w:pPr>
    </w:p>
    <w:p>
      <w:pPr>
        <w:ind w:left="718" w:leftChars="200" w:hanging="298" w:hangingChars="142"/>
        <w:rPr>
          <w:rFonts w:hint="eastAsia" w:ascii="宋体" w:hAnsi="宋体" w:eastAsia="宋体" w:cs="宋体"/>
          <w:color w:val="auto"/>
          <w:szCs w:val="21"/>
          <w:highlight w:val="none"/>
        </w:rPr>
      </w:pPr>
    </w:p>
    <w:p>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outlineLvl w:val="3"/>
        <w:rPr>
          <w:rFonts w:hint="eastAsia" w:ascii="宋体" w:hAnsi="宋体" w:eastAsia="宋体" w:cs="宋体"/>
          <w:color w:val="auto"/>
          <w:sz w:val="21"/>
          <w:szCs w:val="21"/>
          <w:highlight w:val="none"/>
        </w:rPr>
      </w:pPr>
      <w:bookmarkStart w:id="183" w:name="_Toc8207"/>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.实施本项目的有关人员资料表格式</w:t>
      </w:r>
      <w:bookmarkEnd w:id="183"/>
    </w:p>
    <w:p>
      <w:pPr>
        <w:jc w:val="center"/>
        <w:rPr>
          <w:rFonts w:hint="eastAsia" w:ascii="宋体" w:hAnsi="宋体" w:eastAsia="宋体" w:cs="宋体"/>
          <w:color w:val="auto"/>
          <w:szCs w:val="21"/>
          <w:highlight w:val="none"/>
        </w:rPr>
      </w:pPr>
    </w:p>
    <w:p>
      <w:pPr>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实施本项目的有关人员资料表</w:t>
      </w:r>
    </w:p>
    <w:tbl>
      <w:tblPr>
        <w:tblStyle w:val="29"/>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6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本项目拟任岗位</w:t>
            </w:r>
          </w:p>
        </w:tc>
        <w:tc>
          <w:tcPr>
            <w:tcW w:w="7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6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81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165"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703" w:type="dxa"/>
            <w:tcBorders>
              <w:right w:val="single" w:color="auto" w:sz="6"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861"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702" w:type="dxa"/>
            <w:vAlign w:val="center"/>
          </w:tcPr>
          <w:p>
            <w:pPr>
              <w:spacing w:line="288" w:lineRule="auto"/>
              <w:jc w:val="center"/>
              <w:rPr>
                <w:rFonts w:hint="eastAsia" w:ascii="宋体" w:hAnsi="宋体" w:eastAsia="宋体" w:cs="宋体"/>
                <w:color w:val="auto"/>
                <w:szCs w:val="21"/>
                <w:highlight w:val="none"/>
              </w:rPr>
            </w:pPr>
          </w:p>
        </w:tc>
        <w:tc>
          <w:tcPr>
            <w:tcW w:w="1164" w:type="dxa"/>
            <w:vAlign w:val="center"/>
          </w:tcPr>
          <w:p>
            <w:pPr>
              <w:spacing w:line="288" w:lineRule="auto"/>
              <w:jc w:val="center"/>
              <w:rPr>
                <w:rFonts w:hint="eastAsia" w:ascii="宋体" w:hAnsi="宋体" w:eastAsia="宋体" w:cs="宋体"/>
                <w:color w:val="auto"/>
                <w:szCs w:val="21"/>
                <w:highlight w:val="none"/>
              </w:rPr>
            </w:pPr>
          </w:p>
        </w:tc>
        <w:tc>
          <w:tcPr>
            <w:tcW w:w="818" w:type="dxa"/>
            <w:vAlign w:val="center"/>
          </w:tcPr>
          <w:p>
            <w:pPr>
              <w:spacing w:line="288" w:lineRule="auto"/>
              <w:jc w:val="center"/>
              <w:rPr>
                <w:rFonts w:hint="eastAsia" w:ascii="宋体" w:hAnsi="宋体" w:eastAsia="宋体" w:cs="宋体"/>
                <w:color w:val="auto"/>
                <w:szCs w:val="21"/>
                <w:highlight w:val="none"/>
              </w:rPr>
            </w:pPr>
          </w:p>
        </w:tc>
        <w:tc>
          <w:tcPr>
            <w:tcW w:w="1165" w:type="dxa"/>
            <w:vAlign w:val="center"/>
          </w:tcPr>
          <w:p>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pPr>
              <w:spacing w:line="288" w:lineRule="auto"/>
              <w:jc w:val="center"/>
              <w:rPr>
                <w:rFonts w:hint="eastAsia" w:ascii="宋体" w:hAnsi="宋体" w:eastAsia="宋体" w:cs="宋体"/>
                <w:color w:val="auto"/>
                <w:szCs w:val="21"/>
                <w:highlight w:val="none"/>
              </w:rPr>
            </w:pPr>
          </w:p>
        </w:tc>
      </w:tr>
    </w:tbl>
    <w:p>
      <w:pPr>
        <w:ind w:firstLine="178" w:firstLineChars="85"/>
        <w:rPr>
          <w:rFonts w:hint="eastAsia" w:ascii="宋体" w:hAnsi="宋体" w:eastAsia="宋体" w:cs="宋体"/>
          <w:color w:val="auto"/>
          <w:szCs w:val="21"/>
          <w:highlight w:val="none"/>
        </w:rPr>
      </w:pPr>
    </w:p>
    <w:p>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附有关证明文件（复印件加盖公章）</w:t>
      </w:r>
    </w:p>
    <w:p>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pStyle w:val="41"/>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投标人可按项目的实际需要提供本表格。</w:t>
      </w:r>
    </w:p>
    <w:p>
      <w:pPr>
        <w:pStyle w:val="41"/>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3、投标人若未提供或未填写完整则视为完全响应采购文件的人员要求，因此对投标人投标产生负面影响的，投标人自行承担后果。</w:t>
      </w:r>
    </w:p>
    <w:p>
      <w:pPr>
        <w:pStyle w:val="41"/>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widowControl w:val="0"/>
        <w:overflowPunct w:val="0"/>
        <w:spacing w:line="240" w:lineRule="auto"/>
        <w:outlineLvl w:val="3"/>
        <w:rPr>
          <w:rFonts w:hint="eastAsia" w:ascii="宋体" w:hAnsi="宋体" w:eastAsia="宋体" w:cs="宋体"/>
          <w:color w:val="auto"/>
          <w:highlight w:val="none"/>
        </w:rPr>
      </w:pPr>
      <w:bookmarkStart w:id="184" w:name="_Toc21714"/>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.投标保证金汇入情况说明格式</w:t>
      </w:r>
      <w:bookmarkEnd w:id="184"/>
    </w:p>
    <w:p>
      <w:pPr>
        <w:rPr>
          <w:rFonts w:hint="eastAsia" w:ascii="宋体" w:hAnsi="宋体" w:eastAsia="宋体" w:cs="宋体"/>
          <w:color w:val="auto"/>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投标保证金汇入情况说明</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致：xxxxxx公司：</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项目（采购项目编号：）的采购文件要求，于年月日前以</w:t>
      </w:r>
      <w:r>
        <w:rPr>
          <w:rFonts w:hint="eastAsia" w:ascii="宋体" w:hAnsi="宋体" w:eastAsia="宋体" w:cs="宋体"/>
          <w:color w:val="auto"/>
          <w:szCs w:val="21"/>
          <w:highlight w:val="none"/>
          <w:u w:val="single"/>
        </w:rPr>
        <w:t xml:space="preserve">           （付款形式）</w:t>
      </w:r>
      <w:r>
        <w:rPr>
          <w:rFonts w:hint="eastAsia" w:ascii="宋体" w:hAnsi="宋体" w:eastAsia="宋体" w:cs="宋体"/>
          <w:color w:val="auto"/>
          <w:szCs w:val="21"/>
          <w:highlight w:val="none"/>
        </w:rPr>
        <w:t>方式汇入指定帐户（帐户名称：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本单位投标保证金的汇款情况：（详见附件－投标保证金进帐单）</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汇款金额：（大写）人民币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汇款帐户名称：</w:t>
      </w:r>
      <w:r>
        <w:rPr>
          <w:rFonts w:hint="eastAsia" w:ascii="宋体" w:hAnsi="宋体" w:eastAsia="宋体" w:cs="宋体"/>
          <w:color w:val="auto"/>
          <w:szCs w:val="21"/>
          <w:highlight w:val="none"/>
          <w:u w:val="single"/>
        </w:rPr>
        <w:t xml:space="preserve">  （必须是投标时使用的帐户名）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（必须是投标时使用的帐号）        </w:t>
      </w:r>
    </w:p>
    <w:p>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 户  银 行：</w:t>
      </w:r>
      <w:r>
        <w:rPr>
          <w:rFonts w:hint="eastAsia" w:ascii="宋体" w:hAnsi="宋体" w:eastAsia="宋体" w:cs="宋体"/>
          <w:color w:val="auto"/>
          <w:szCs w:val="21"/>
          <w:highlight w:val="none"/>
          <w:u w:val="single"/>
        </w:rPr>
        <w:t xml:space="preserve">  （  XX 银行 XX 分行 XX 支行   ）</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pPr>
        <w:spacing w:line="480" w:lineRule="auto"/>
        <w:ind w:right="844" w:rightChars="4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（单位公章）</w:t>
      </w:r>
    </w:p>
    <w:p>
      <w:pPr>
        <w:spacing w:line="480" w:lineRule="auto"/>
        <w:ind w:right="628" w:rightChars="29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单位电话： 联系人手机：</w:t>
      </w:r>
    </w:p>
    <w:p>
      <w:pPr>
        <w:rPr>
          <w:rFonts w:hint="eastAsia" w:ascii="宋体" w:hAnsi="宋体" w:eastAsia="宋体" w:cs="宋体"/>
          <w:color w:val="auto"/>
          <w:szCs w:val="21"/>
          <w:highlight w:val="none"/>
        </w:rPr>
      </w:pP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附：我方投标保证金汇款凭证</w:t>
      </w:r>
    </w:p>
    <w:tbl>
      <w:tblPr>
        <w:tblStyle w:val="2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9" w:hRule="atLeast"/>
        </w:trPr>
        <w:tc>
          <w:tcPr>
            <w:tcW w:w="8953" w:type="dxa"/>
            <w:vAlign w:val="center"/>
          </w:tcPr>
          <w:p>
            <w:pPr>
              <w:tabs>
                <w:tab w:val="left" w:pos="3885"/>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（粘贴汇款单或转账凭证复印件，并在骑缝上加盖投标人公章，或是直接把转账凭证复印到此张纸上）</w:t>
            </w:r>
          </w:p>
        </w:tc>
      </w:tr>
    </w:tbl>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5"/>
        <w:numPr>
          <w:ilvl w:val="255"/>
          <w:numId w:val="0"/>
        </w:numPr>
        <w:tabs>
          <w:tab w:val="left" w:pos="720"/>
          <w:tab w:val="left" w:pos="3840"/>
        </w:tabs>
        <w:ind w:left="283"/>
        <w:jc w:val="both"/>
        <w:outlineLvl w:val="3"/>
        <w:rPr>
          <w:rFonts w:hint="eastAsia" w:ascii="宋体" w:hAnsi="宋体" w:eastAsia="宋体" w:cs="宋体"/>
          <w:color w:val="auto"/>
          <w:sz w:val="21"/>
          <w:szCs w:val="21"/>
          <w:highlight w:val="none"/>
        </w:rPr>
      </w:pPr>
      <w:bookmarkStart w:id="185" w:name="_Toc425348209"/>
      <w:bookmarkStart w:id="186" w:name="_Toc2700"/>
      <w:bookmarkStart w:id="187" w:name="_Toc486922812"/>
      <w:bookmarkStart w:id="188" w:name="_Toc17028"/>
      <w:bookmarkStart w:id="189" w:name="_Toc28623"/>
      <w:bookmarkStart w:id="190" w:name="_Toc18296"/>
      <w:bookmarkStart w:id="191" w:name="_Toc6320"/>
      <w:bookmarkStart w:id="192" w:name="_Toc2144"/>
      <w:bookmarkStart w:id="193" w:name="_Toc29855"/>
      <w:bookmarkStart w:id="194" w:name="_Toc4866"/>
      <w:bookmarkStart w:id="195" w:name="_Toc19947"/>
      <w:bookmarkStart w:id="196" w:name="_Toc14605"/>
      <w:bookmarkStart w:id="197" w:name="_Toc1562"/>
      <w:bookmarkStart w:id="198" w:name="_Toc25861"/>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.中标服务费承诺书</w:t>
      </w:r>
    </w:p>
    <w:p>
      <w:pPr>
        <w:rPr>
          <w:color w:val="auto"/>
          <w:highlight w:val="none"/>
        </w:rPr>
      </w:pPr>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中标服务费承诺书</w:t>
      </w:r>
      <w:bookmarkEnd w:id="185"/>
      <w:bookmarkEnd w:id="186"/>
      <w:r>
        <w:rPr>
          <w:rFonts w:hint="eastAsia" w:ascii="宋体" w:hAnsi="宋体" w:cs="宋体"/>
          <w:b/>
          <w:bCs/>
          <w:color w:val="auto"/>
          <w:sz w:val="28"/>
          <w:szCs w:val="28"/>
          <w:highlight w:val="none"/>
        </w:rPr>
        <w:t xml:space="preserve">  </w:t>
      </w:r>
      <w:bookmarkEnd w:id="187"/>
    </w:p>
    <w:p>
      <w:pPr>
        <w:spacing w:line="360" w:lineRule="auto"/>
        <w:ind w:right="781" w:rightChars="372" w:firstLine="420"/>
        <w:rPr>
          <w:rFonts w:hAnsi="宋体"/>
          <w:color w:val="auto"/>
          <w:szCs w:val="21"/>
          <w:highlight w:val="none"/>
          <w:lang w:val="zh-CN"/>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color w:val="auto"/>
          <w:sz w:val="21"/>
          <w:szCs w:val="21"/>
          <w:highlight w:val="none"/>
          <w:lang w:eastAsia="zh-CN"/>
        </w:rPr>
        <w:t>广东志正招标有限公司东莞分公司</w:t>
      </w:r>
      <w:r>
        <w:rPr>
          <w:rFonts w:hint="eastAsia" w:ascii="宋体" w:hAnsi="宋体" w:eastAsia="宋体" w:cs="宋体"/>
          <w:b/>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如果我方在贵公司组织的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）招标中获中标，我方保证在收取《中标通知书》后，按招标文件规定向贵公司交纳招标代理服务费。我方已清楚本项目服务费为按整个项目中标价金额数为准，按《采购代理服务收费标准》执行收费。</w:t>
      </w: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如违约，愿凭贵公司开出的违约通知，同意按招标代理服务费的200％接受处罚，从我方提交的投标保证金中支付；以银行保函（或《政府采购投标担保函》）方式提交投标保证金时，同意和要求投标保函开立银行（或开立《政府采购投标担保函》的担保机构）应</w:t>
      </w:r>
      <w:r>
        <w:rPr>
          <w:rFonts w:hint="eastAsia" w:ascii="宋体" w:hAnsi="宋体" w:eastAsia="宋体" w:cs="宋体"/>
          <w:color w:val="auto"/>
          <w:sz w:val="21"/>
          <w:szCs w:val="21"/>
          <w:highlight w:val="none"/>
          <w:lang w:eastAsia="zh-CN"/>
        </w:rPr>
        <w:t>广东志正招标有限公司东莞分公司</w:t>
      </w:r>
      <w:r>
        <w:rPr>
          <w:rFonts w:hint="eastAsia" w:ascii="宋体" w:hAnsi="宋体" w:eastAsia="宋体" w:cs="宋体"/>
          <w:color w:val="auto"/>
          <w:sz w:val="21"/>
          <w:szCs w:val="21"/>
          <w:highlight w:val="none"/>
        </w:rPr>
        <w:t>的要求办理支付手续；不足部分由甲方在支付我方的中标合同款中代为扣付，并愿承担全部由此引起的法律责任。</w:t>
      </w:r>
    </w:p>
    <w:p>
      <w:pPr>
        <w:spacing w:line="360" w:lineRule="auto"/>
        <w:ind w:firstLine="4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360" w:lineRule="auto"/>
        <w:ind w:firstLine="405"/>
        <w:rPr>
          <w:rFonts w:hint="eastAsia" w:ascii="宋体" w:hAnsi="宋体" w:eastAsia="宋体" w:cs="宋体"/>
          <w:color w:val="auto"/>
          <w:sz w:val="21"/>
          <w:szCs w:val="21"/>
          <w:highlight w:val="none"/>
        </w:rPr>
      </w:pPr>
    </w:p>
    <w:p>
      <w:pPr>
        <w:spacing w:line="360" w:lineRule="auto"/>
        <w:ind w:firstLine="405"/>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投标人法定名称（公章）：</w:t>
      </w:r>
    </w:p>
    <w:p>
      <w:pPr>
        <w:spacing w:line="360" w:lineRule="auto"/>
        <w:ind w:left="4712" w:leftChars="2244"/>
        <w:jc w:val="left"/>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投标人法定地址：</w:t>
      </w:r>
    </w:p>
    <w:p>
      <w:pPr>
        <w:spacing w:line="360" w:lineRule="auto"/>
        <w:ind w:left="4712" w:leftChars="2244" w:right="420"/>
        <w:jc w:val="left"/>
        <w:rPr>
          <w:rFonts w:hint="eastAsia" w:ascii="宋体" w:hAnsi="宋体" w:eastAsia="宋体" w:cs="宋体"/>
          <w:color w:val="auto"/>
          <w:sz w:val="21"/>
          <w:szCs w:val="21"/>
          <w:highlight w:val="none"/>
        </w:rPr>
      </w:pPr>
    </w:p>
    <w:p>
      <w:pPr>
        <w:spacing w:line="360" w:lineRule="auto"/>
        <w:ind w:left="4712" w:leftChars="2244" w:righ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投标人授权代表（签名或印鉴）：</w:t>
      </w:r>
    </w:p>
    <w:p>
      <w:pPr>
        <w:spacing w:line="360" w:lineRule="auto"/>
        <w:ind w:left="4712" w:leftChars="2244"/>
        <w:jc w:val="left"/>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p>
      <w:pPr>
        <w:spacing w:line="360" w:lineRule="auto"/>
        <w:ind w:left="4712" w:leftChars="2244"/>
        <w:jc w:val="left"/>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pPr>
        <w:spacing w:line="360" w:lineRule="auto"/>
        <w:ind w:left="4712" w:leftChars="2244"/>
        <w:jc w:val="left"/>
        <w:rPr>
          <w:rFonts w:hint="eastAsia" w:ascii="宋体" w:hAnsi="宋体" w:eastAsia="宋体" w:cs="宋体"/>
          <w:color w:val="auto"/>
          <w:sz w:val="21"/>
          <w:szCs w:val="21"/>
          <w:highlight w:val="none"/>
        </w:rPr>
      </w:pPr>
    </w:p>
    <w:p>
      <w:pPr>
        <w:spacing w:line="360" w:lineRule="auto"/>
        <w:ind w:left="4712" w:leftChars="224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承诺日期：</w:t>
      </w:r>
    </w:p>
    <w:p>
      <w:pPr>
        <w:pStyle w:val="9"/>
        <w:rPr>
          <w:rFonts w:hint="eastAsia" w:ascii="宋体" w:hAnsi="宋体" w:eastAsia="宋体" w:cs="宋体"/>
          <w:color w:val="auto"/>
          <w:sz w:val="21"/>
          <w:szCs w:val="21"/>
          <w:highlight w:val="none"/>
        </w:rPr>
      </w:pPr>
    </w:p>
    <w:p>
      <w:pPr>
        <w:pStyle w:val="27"/>
        <w:rPr>
          <w:rFonts w:hint="eastAsia" w:ascii="宋体" w:hAnsi="宋体" w:eastAsia="宋体" w:cs="宋体"/>
          <w:color w:val="auto"/>
          <w:sz w:val="21"/>
          <w:szCs w:val="21"/>
          <w:highlight w:val="none"/>
        </w:rPr>
      </w:pPr>
    </w:p>
    <w:p>
      <w:pPr>
        <w:rPr>
          <w:rFonts w:hint="eastAsia" w:ascii="Tahoma" w:hAnsi="Tahoma"/>
          <w:color w:val="auto"/>
          <w:sz w:val="21"/>
          <w:highlight w:val="none"/>
        </w:rPr>
      </w:pPr>
    </w:p>
    <w:p>
      <w:pPr>
        <w:spacing w:line="360" w:lineRule="auto"/>
        <w:rPr>
          <w:rFonts w:hAnsi="宋体"/>
          <w:color w:val="auto"/>
          <w:highlight w:val="none"/>
        </w:rPr>
      </w:pPr>
    </w:p>
    <w:p>
      <w:pPr>
        <w:pStyle w:val="5"/>
        <w:numPr>
          <w:ilvl w:val="255"/>
          <w:numId w:val="0"/>
        </w:numPr>
        <w:tabs>
          <w:tab w:val="left" w:pos="720"/>
          <w:tab w:val="left" w:pos="3840"/>
        </w:tabs>
        <w:ind w:left="283"/>
        <w:jc w:val="both"/>
        <w:outlineLvl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.不可撤销履约保函</w:t>
      </w:r>
      <w:bookmarkEnd w:id="188"/>
      <w:bookmarkEnd w:id="189"/>
      <w:bookmarkEnd w:id="190"/>
      <w:bookmarkEnd w:id="191"/>
      <w:bookmarkEnd w:id="192"/>
      <w:bookmarkEnd w:id="193"/>
      <w:bookmarkEnd w:id="194"/>
      <w:bookmarkEnd w:id="195"/>
      <w:bookmarkEnd w:id="196"/>
      <w:bookmarkEnd w:id="197"/>
      <w:bookmarkEnd w:id="198"/>
    </w:p>
    <w:p>
      <w:pPr>
        <w:jc w:val="center"/>
        <w:rPr>
          <w:rFonts w:hint="eastAsia" w:ascii="宋体" w:hAnsi="宋体" w:eastAsia="宋体" w:cs="宋体"/>
          <w:color w:val="auto"/>
          <w:highlight w:val="none"/>
        </w:rPr>
      </w:pPr>
      <w:r>
        <w:rPr>
          <w:rFonts w:hint="eastAsia" w:ascii="宋体" w:hAnsi="宋体" w:eastAsia="宋体" w:cs="宋体"/>
          <w:color w:val="auto"/>
          <w:highlight w:val="none"/>
        </w:rPr>
        <w:t>银行编号：</w:t>
      </w:r>
    </w:p>
    <w:p>
      <w:pPr>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（地址：          ，下称 “乙方” ）</w:t>
      </w:r>
      <w:r>
        <w:rPr>
          <w:rFonts w:hint="eastAsia" w:ascii="宋体" w:hAnsi="宋体" w:eastAsia="宋体" w:cs="宋体"/>
          <w:color w:val="auto"/>
          <w:highlight w:val="none"/>
        </w:rPr>
        <w:t>已保证按</w:t>
      </w:r>
      <w:r>
        <w:rPr>
          <w:rFonts w:hint="eastAsia" w:ascii="宋体" w:hAnsi="宋体" w:eastAsia="宋体" w:cs="宋体"/>
          <w:color w:val="auto"/>
          <w:highlight w:val="none"/>
          <w:u w:val="single"/>
        </w:rPr>
        <w:t xml:space="preserve">        承包合同书（合同编号：    ）</w:t>
      </w:r>
      <w:r>
        <w:rPr>
          <w:rFonts w:hint="eastAsia" w:ascii="宋体" w:hAnsi="宋体" w:eastAsia="宋体" w:cs="宋体"/>
          <w:color w:val="auto"/>
          <w:highlight w:val="none"/>
        </w:rPr>
        <w:t>中规定的义务履行合同。</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根据上述合同约定，乙方应向甲方提供一份金额为贰拾伍万元的</w:t>
      </w:r>
      <w:r>
        <w:rPr>
          <w:rFonts w:hint="eastAsia" w:ascii="宋体" w:hAnsi="宋体" w:eastAsia="宋体" w:cs="宋体"/>
          <w:bCs/>
          <w:color w:val="auto"/>
          <w:highlight w:val="none"/>
        </w:rPr>
        <w:t>不可撤销</w:t>
      </w:r>
      <w:r>
        <w:rPr>
          <w:rFonts w:hint="eastAsia" w:ascii="宋体" w:hAnsi="宋体" w:eastAsia="宋体" w:cs="宋体"/>
          <w:color w:val="auto"/>
          <w:highlight w:val="none"/>
        </w:rPr>
        <w:t>银行履约保函，作为乙方履行上述合同的担保。</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（银行名称）</w:t>
      </w:r>
      <w:r>
        <w:rPr>
          <w:rFonts w:hint="eastAsia" w:ascii="宋体" w:hAnsi="宋体" w:eastAsia="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的保证金。</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本保函从上述合同签订之日起至项目服务期结束验收合格并完成结算后，双方签字之日起7天内保持有效。</w:t>
      </w:r>
    </w:p>
    <w:p>
      <w:pPr>
        <w:ind w:firstLine="2824" w:firstLineChars="1345"/>
        <w:rPr>
          <w:rFonts w:hint="eastAsia" w:ascii="宋体" w:hAnsi="宋体" w:eastAsia="宋体" w:cs="宋体"/>
          <w:color w:val="auto"/>
          <w:highlight w:val="none"/>
        </w:rPr>
      </w:pP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保证人：（盖章）</w:t>
      </w:r>
      <w:r>
        <w:rPr>
          <w:rFonts w:hint="eastAsia" w:ascii="宋体" w:hAnsi="宋体" w:eastAsia="宋体" w:cs="宋体"/>
          <w:color w:val="auto"/>
          <w:highlight w:val="none"/>
          <w:u w:val="single"/>
        </w:rPr>
        <w:t xml:space="preserve">                        </w:t>
      </w: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负责人：（签字）</w:t>
      </w:r>
      <w:r>
        <w:rPr>
          <w:rFonts w:hint="eastAsia" w:ascii="宋体" w:hAnsi="宋体" w:eastAsia="宋体" w:cs="宋体"/>
          <w:color w:val="auto"/>
          <w:highlight w:val="none"/>
          <w:u w:val="single"/>
        </w:rPr>
        <w:t xml:space="preserve">                        </w:t>
      </w: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pStyle w:val="10"/>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说明：投标人在投标时不需提交正式保函，在投标文件中盖投标人公章确认保函格式即可，乙方</w:t>
      </w:r>
      <w:r>
        <w:rPr>
          <w:rFonts w:hint="eastAsia" w:ascii="宋体" w:hAnsi="宋体" w:eastAsia="宋体" w:cs="宋体"/>
          <w:color w:val="auto"/>
          <w:highlight w:val="none"/>
        </w:rPr>
        <w:t>在签订合同时</w:t>
      </w:r>
      <w:r>
        <w:rPr>
          <w:rFonts w:hint="eastAsia" w:ascii="宋体" w:hAnsi="宋体" w:eastAsia="宋体" w:cs="宋体"/>
          <w:color w:val="auto"/>
          <w:szCs w:val="24"/>
          <w:highlight w:val="none"/>
        </w:rPr>
        <w:t>提交正式保函。</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pPr>
        <w:pStyle w:val="5"/>
        <w:numPr>
          <w:ilvl w:val="255"/>
          <w:numId w:val="0"/>
        </w:numPr>
        <w:tabs>
          <w:tab w:val="left" w:pos="720"/>
          <w:tab w:val="left" w:pos="3840"/>
        </w:tabs>
        <w:ind w:left="283"/>
        <w:jc w:val="both"/>
        <w:outlineLvl w:val="3"/>
        <w:rPr>
          <w:rFonts w:hint="eastAsia" w:ascii="宋体" w:hAnsi="宋体" w:eastAsia="宋体" w:cs="宋体"/>
          <w:color w:val="auto"/>
          <w:sz w:val="21"/>
          <w:szCs w:val="21"/>
          <w:highlight w:val="none"/>
        </w:rPr>
      </w:pPr>
      <w:bookmarkStart w:id="199" w:name="_Toc13391"/>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.预付款保函（适用于预付款支付）</w:t>
      </w:r>
      <w:bookmarkEnd w:id="199"/>
    </w:p>
    <w:p>
      <w:pPr>
        <w:pStyle w:val="10"/>
        <w:rPr>
          <w:rFonts w:hint="eastAsia" w:ascii="宋体" w:hAnsi="宋体" w:eastAsia="宋体" w:cs="宋体"/>
          <w:color w:val="auto"/>
          <w:szCs w:val="24"/>
          <w:highlight w:val="none"/>
        </w:rPr>
      </w:pPr>
    </w:p>
    <w:p>
      <w:pPr>
        <w:jc w:val="center"/>
        <w:rPr>
          <w:rFonts w:hint="eastAsia" w:ascii="宋体" w:hAnsi="宋体" w:eastAsia="宋体" w:cs="宋体"/>
          <w:color w:val="auto"/>
          <w:sz w:val="28"/>
          <w:szCs w:val="28"/>
          <w:highlight w:val="none"/>
        </w:rPr>
      </w:pPr>
      <w:bookmarkStart w:id="200" w:name="_Toc10315"/>
      <w:bookmarkStart w:id="201" w:name="_Toc27545"/>
      <w:bookmarkStart w:id="202" w:name="_Toc7374"/>
      <w:bookmarkStart w:id="203" w:name="_Toc3295"/>
      <w:bookmarkStart w:id="204" w:name="_Toc5034"/>
      <w:bookmarkStart w:id="205" w:name="_Toc29054"/>
      <w:bookmarkStart w:id="206" w:name="_Toc20669"/>
      <w:bookmarkStart w:id="207" w:name="_Toc31418"/>
      <w:bookmarkStart w:id="208" w:name="_Toc29728"/>
      <w:bookmarkStart w:id="209" w:name="_Toc1039"/>
      <w:bookmarkStart w:id="210" w:name="_Toc25494"/>
      <w:bookmarkStart w:id="211" w:name="_Toc6877"/>
      <w:r>
        <w:rPr>
          <w:rFonts w:hint="eastAsia" w:ascii="宋体" w:hAnsi="宋体" w:eastAsia="宋体" w:cs="宋体"/>
          <w:color w:val="auto"/>
          <w:sz w:val="28"/>
          <w:szCs w:val="28"/>
          <w:highlight w:val="none"/>
        </w:rPr>
        <w:t>不可撤销预付款保函</w:t>
      </w:r>
      <w:bookmarkEnd w:id="200"/>
      <w:bookmarkEnd w:id="201"/>
      <w:bookmarkEnd w:id="202"/>
      <w:bookmarkEnd w:id="203"/>
      <w:bookmarkEnd w:id="204"/>
      <w:bookmarkEnd w:id="205"/>
      <w:bookmarkEnd w:id="206"/>
      <w:bookmarkEnd w:id="207"/>
      <w:bookmarkEnd w:id="208"/>
      <w:bookmarkEnd w:id="209"/>
      <w:bookmarkEnd w:id="210"/>
      <w:bookmarkEnd w:id="211"/>
    </w:p>
    <w:p>
      <w:pPr>
        <w:ind w:firstLine="6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银行编号：</w:t>
      </w:r>
      <w:r>
        <w:rPr>
          <w:rFonts w:hint="eastAsia" w:ascii="宋体" w:hAnsi="宋体" w:eastAsia="宋体" w:cs="宋体"/>
          <w:color w:val="auto"/>
          <w:szCs w:val="21"/>
          <w:highlight w:val="none"/>
          <w:u w:val="single"/>
        </w:rPr>
        <w:t xml:space="preserve">             </w:t>
      </w:r>
    </w:p>
    <w:p>
      <w:pPr>
        <w:ind w:firstLine="6300"/>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（下称“采购人”）</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4"/>
          <w:highlight w:val="none"/>
          <w:u w:val="single"/>
        </w:rPr>
        <w:t>（地址：          ，下称 “中标人” ）</w:t>
      </w:r>
      <w:r>
        <w:rPr>
          <w:rFonts w:hint="eastAsia" w:ascii="宋体" w:hAnsi="宋体" w:eastAsia="宋体" w:cs="宋体"/>
          <w:color w:val="auto"/>
          <w:szCs w:val="21"/>
          <w:highlight w:val="none"/>
        </w:rPr>
        <w:t>，已保证按</w:t>
      </w:r>
      <w:r>
        <w:rPr>
          <w:rFonts w:hint="eastAsia" w:ascii="宋体" w:hAnsi="宋体" w:eastAsia="宋体" w:cs="宋体"/>
          <w:color w:val="auto"/>
          <w:szCs w:val="21"/>
          <w:highlight w:val="none"/>
          <w:u w:val="single"/>
        </w:rPr>
        <w:t xml:space="preserve">          承包合同书（合同编号：    ）</w:t>
      </w:r>
      <w:r>
        <w:rPr>
          <w:rFonts w:hint="eastAsia" w:ascii="宋体" w:hAnsi="宋体" w:eastAsia="宋体" w:cs="宋体"/>
          <w:color w:val="auto"/>
          <w:szCs w:val="21"/>
          <w:highlight w:val="none"/>
        </w:rPr>
        <w:t>中规定的义务履行合同。</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4"/>
          <w:highlight w:val="none"/>
        </w:rPr>
        <w:t>根据上述合同（招标文件）规定，中标人应向采购人提供一份金额为合同总价的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即人民币</w:t>
      </w:r>
      <w:r>
        <w:rPr>
          <w:rFonts w:hint="eastAsia" w:ascii="宋体" w:hAnsi="宋体" w:eastAsia="宋体" w:cs="宋体"/>
          <w:color w:val="auto"/>
          <w:szCs w:val="21"/>
          <w:highlight w:val="none"/>
          <w:u w:val="single"/>
        </w:rPr>
        <w:t xml:space="preserve">      （RMB      元）</w:t>
      </w:r>
      <w:r>
        <w:rPr>
          <w:rFonts w:hint="eastAsia" w:ascii="宋体" w:hAnsi="宋体" w:eastAsia="宋体" w:cs="宋体"/>
          <w:color w:val="auto"/>
          <w:szCs w:val="21"/>
          <w:highlight w:val="none"/>
        </w:rPr>
        <w:t>的不可撤销银行预付款保函，以保证中标人履行合同的相关条款。</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（银行名称）  </w:t>
      </w:r>
      <w:r>
        <w:rPr>
          <w:rFonts w:hint="eastAsia" w:ascii="宋体" w:hAnsi="宋体" w:eastAsia="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本保函有效期从保函开立之日起至采购人向中标人抵扣完所有预付款之日止。</w:t>
      </w:r>
    </w:p>
    <w:p>
      <w:pPr>
        <w:rPr>
          <w:rFonts w:hint="eastAsia" w:ascii="宋体" w:hAnsi="宋体" w:eastAsia="宋体" w:cs="宋体"/>
          <w:color w:val="auto"/>
          <w:szCs w:val="21"/>
          <w:highlight w:val="none"/>
        </w:rPr>
      </w:pPr>
    </w:p>
    <w:p>
      <w:pPr>
        <w:ind w:firstLine="437"/>
        <w:rPr>
          <w:rFonts w:hint="eastAsia" w:ascii="宋体" w:hAnsi="宋体" w:eastAsia="宋体" w:cs="宋体"/>
          <w:color w:val="auto"/>
          <w:szCs w:val="21"/>
          <w:highlight w:val="none"/>
        </w:rPr>
      </w:pPr>
    </w:p>
    <w:p>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r>
        <w:rPr>
          <w:rFonts w:hint="eastAsia" w:ascii="宋体" w:hAnsi="宋体" w:eastAsia="宋体" w:cs="宋体"/>
          <w:color w:val="auto"/>
          <w:szCs w:val="21"/>
          <w:highlight w:val="none"/>
          <w:u w:val="single"/>
        </w:rPr>
        <w:t xml:space="preserve">                     </w:t>
      </w:r>
    </w:p>
    <w:p>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w:t>
      </w:r>
      <w:r>
        <w:rPr>
          <w:rFonts w:hint="eastAsia" w:ascii="宋体" w:hAnsi="宋体" w:eastAsia="宋体" w:cs="宋体"/>
          <w:color w:val="auto"/>
          <w:szCs w:val="21"/>
          <w:highlight w:val="none"/>
          <w:u w:val="single"/>
        </w:rPr>
        <w:t xml:space="preserve">                     </w:t>
      </w:r>
    </w:p>
    <w:p>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pPr>
        <w:pStyle w:val="10"/>
        <w:rPr>
          <w:rFonts w:hint="eastAsia" w:ascii="宋体" w:hAnsi="宋体" w:eastAsia="宋体" w:cs="宋体"/>
          <w:color w:val="auto"/>
          <w:szCs w:val="21"/>
          <w:highlight w:val="none"/>
        </w:rPr>
      </w:pPr>
    </w:p>
    <w:p>
      <w:pPr>
        <w:pStyle w:val="10"/>
        <w:rPr>
          <w:rFonts w:hint="eastAsia" w:ascii="宋体" w:hAnsi="宋体" w:eastAsia="宋体" w:cs="宋体"/>
          <w:color w:val="auto"/>
          <w:szCs w:val="21"/>
          <w:highlight w:val="none"/>
        </w:rPr>
      </w:pPr>
    </w:p>
    <w:p>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说明：投标人在投标文件中盖投标人公章确认保函内容即可，如中标再由银行出具保函。</w:t>
      </w:r>
    </w:p>
    <w:p>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pPr>
        <w:pStyle w:val="9"/>
        <w:rPr>
          <w:rFonts w:hint="eastAsia" w:ascii="宋体" w:hAnsi="宋体" w:eastAsia="宋体" w:cs="宋体"/>
          <w:color w:val="auto"/>
          <w:highlight w:val="none"/>
        </w:rPr>
      </w:pPr>
      <w:bookmarkStart w:id="212" w:name="_Toc1968"/>
    </w:p>
    <w:p>
      <w:pPr>
        <w:jc w:val="center"/>
        <w:outlineLvl w:val="0"/>
        <w:rPr>
          <w:rFonts w:hint="eastAsia" w:ascii="宋体" w:hAnsi="宋体" w:eastAsia="宋体" w:cs="宋体"/>
          <w:color w:val="auto"/>
          <w:sz w:val="72"/>
          <w:szCs w:val="72"/>
          <w:highlight w:val="none"/>
        </w:rPr>
      </w:pPr>
      <w:bookmarkStart w:id="213" w:name="_Toc17080"/>
      <w:r>
        <w:rPr>
          <w:rFonts w:hint="eastAsia" w:ascii="宋体" w:hAnsi="宋体" w:eastAsia="宋体" w:cs="宋体"/>
          <w:color w:val="auto"/>
          <w:sz w:val="72"/>
          <w:szCs w:val="72"/>
          <w:highlight w:val="none"/>
        </w:rPr>
        <w:t>唱标信封</w:t>
      </w:r>
      <w:bookmarkEnd w:id="213"/>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（单独装订成册，单独封装）</w:t>
      </w:r>
    </w:p>
    <w:p>
      <w:pPr>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pStyle w:val="27"/>
        <w:ind w:firstLine="240"/>
        <w:rPr>
          <w:rFonts w:hint="eastAsia" w:ascii="宋体" w:hAnsi="宋体" w:eastAsia="宋体" w:cs="宋体"/>
          <w:color w:val="auto"/>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106"/>
          <w:sz w:val="32"/>
          <w:szCs w:val="32"/>
          <w:highlight w:val="none"/>
        </w:rPr>
        <w:t>项目名</w:t>
      </w:r>
      <w:r>
        <w:rPr>
          <w:rFonts w:hint="eastAsia" w:ascii="宋体" w:hAnsi="宋体" w:eastAsia="宋体" w:cs="宋体"/>
          <w:b/>
          <w:color w:val="auto"/>
          <w:spacing w:val="2"/>
          <w:sz w:val="32"/>
          <w:szCs w:val="32"/>
          <w:highlight w:val="none"/>
        </w:rPr>
        <w:t>称</w:t>
      </w:r>
      <w:r>
        <w:rPr>
          <w:rFonts w:hint="eastAsia" w:ascii="宋体" w:hAnsi="宋体" w:eastAsia="宋体" w:cs="宋体"/>
          <w:b/>
          <w:color w:val="auto"/>
          <w:spacing w:val="-6"/>
          <w:sz w:val="32"/>
          <w:szCs w:val="32"/>
          <w:highlight w:val="none"/>
        </w:rPr>
        <w:t>：</w:t>
      </w:r>
    </w:p>
    <w:p>
      <w:pPr>
        <w:rPr>
          <w:rFonts w:hint="eastAsia" w:ascii="宋体" w:hAnsi="宋体" w:eastAsia="宋体" w:cs="宋体"/>
          <w:b/>
          <w:color w:val="auto"/>
          <w:sz w:val="32"/>
          <w:szCs w:val="32"/>
          <w:highlight w:val="none"/>
        </w:rPr>
      </w:pPr>
      <w:r>
        <w:rPr>
          <w:rFonts w:hint="eastAsia" w:ascii="宋体" w:hAnsi="宋体" w:eastAsia="宋体" w:cs="宋体"/>
          <w:b/>
          <w:color w:val="auto"/>
          <w:spacing w:val="106"/>
          <w:sz w:val="32"/>
          <w:szCs w:val="32"/>
          <w:highlight w:val="none"/>
        </w:rPr>
        <w:t>项目编</w:t>
      </w:r>
      <w:r>
        <w:rPr>
          <w:rFonts w:hint="eastAsia" w:ascii="宋体" w:hAnsi="宋体" w:eastAsia="宋体" w:cs="宋体"/>
          <w:b/>
          <w:color w:val="auto"/>
          <w:spacing w:val="2"/>
          <w:sz w:val="32"/>
          <w:szCs w:val="32"/>
          <w:highlight w:val="none"/>
        </w:rPr>
        <w:t>号</w:t>
      </w:r>
      <w:r>
        <w:rPr>
          <w:rFonts w:hint="eastAsia" w:ascii="宋体" w:hAnsi="宋体" w:eastAsia="宋体" w:cs="宋体"/>
          <w:b/>
          <w:color w:val="auto"/>
          <w:sz w:val="32"/>
          <w:szCs w:val="32"/>
          <w:highlight w:val="none"/>
        </w:rPr>
        <w:t>：</w:t>
      </w:r>
    </w:p>
    <w:p>
      <w:pPr>
        <w:pStyle w:val="9"/>
        <w:ind w:left="0"/>
        <w:rPr>
          <w:rFonts w:hint="eastAsia" w:ascii="宋体" w:hAnsi="宋体" w:eastAsia="宋体" w:cs="宋体"/>
          <w:b/>
          <w:color w:val="auto"/>
          <w:spacing w:val="106"/>
          <w:sz w:val="32"/>
          <w:szCs w:val="32"/>
          <w:highlight w:val="none"/>
          <w:lang w:val="en-US" w:bidi="ar-SA"/>
        </w:rPr>
      </w:pPr>
      <w:r>
        <w:rPr>
          <w:rFonts w:hint="eastAsia" w:ascii="宋体" w:hAnsi="宋体" w:eastAsia="宋体" w:cs="宋体"/>
          <w:b/>
          <w:color w:val="auto"/>
          <w:spacing w:val="106"/>
          <w:sz w:val="32"/>
          <w:szCs w:val="32"/>
          <w:highlight w:val="none"/>
          <w:lang w:val="en-US" w:bidi="ar-SA"/>
        </w:rPr>
        <w:t>包组号（如有）：</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w:t>
      </w:r>
    </w:p>
    <w:p>
      <w:pPr>
        <w:rPr>
          <w:rFonts w:hint="eastAsia" w:ascii="宋体" w:hAnsi="宋体" w:eastAsia="宋体" w:cs="宋体"/>
          <w:b/>
          <w:color w:val="auto"/>
          <w:sz w:val="32"/>
          <w:szCs w:val="32"/>
          <w:highlight w:val="none"/>
        </w:rPr>
      </w:pPr>
      <w:r>
        <w:rPr>
          <w:rFonts w:hint="eastAsia" w:ascii="宋体" w:hAnsi="宋体" w:eastAsia="宋体" w:cs="宋体"/>
          <w:b/>
          <w:color w:val="auto"/>
          <w:spacing w:val="64"/>
          <w:sz w:val="32"/>
          <w:szCs w:val="32"/>
          <w:highlight w:val="none"/>
        </w:rPr>
        <w:t xml:space="preserve">日   </w:t>
      </w:r>
      <w:r>
        <w:rPr>
          <w:rFonts w:hint="eastAsia" w:ascii="宋体" w:hAnsi="宋体" w:eastAsia="宋体" w:cs="宋体"/>
          <w:b/>
          <w:color w:val="auto"/>
          <w:sz w:val="32"/>
          <w:szCs w:val="32"/>
          <w:highlight w:val="none"/>
        </w:rPr>
        <w:t>期：</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outlineLvl w:val="9"/>
        <w:rPr>
          <w:rFonts w:hint="eastAsia" w:ascii="宋体" w:hAnsi="宋体" w:eastAsia="宋体" w:cs="宋体"/>
          <w:color w:val="auto"/>
          <w:sz w:val="72"/>
          <w:szCs w:val="72"/>
          <w:highlight w:val="none"/>
        </w:rPr>
        <w:sectPr>
          <w:pgSz w:w="11906" w:h="16838"/>
          <w:pgMar w:top="1440" w:right="1800" w:bottom="1440" w:left="1800" w:header="708" w:footer="708" w:gutter="0"/>
          <w:cols w:space="708" w:num="1"/>
          <w:titlePg/>
          <w:docGrid w:type="lines" w:linePitch="360" w:charSpace="0"/>
        </w:sectPr>
      </w:pPr>
    </w:p>
    <w:bookmarkEnd w:id="212"/>
    <w:p>
      <w:pPr>
        <w:pStyle w:val="5"/>
        <w:numPr>
          <w:ilvl w:val="255"/>
          <w:numId w:val="0"/>
        </w:numPr>
        <w:tabs>
          <w:tab w:val="left" w:pos="720"/>
          <w:tab w:val="left" w:pos="3840"/>
        </w:tabs>
        <w:ind w:left="283"/>
        <w:jc w:val="both"/>
        <w:outlineLvl w:val="3"/>
        <w:rPr>
          <w:rFonts w:hint="eastAsia" w:ascii="宋体" w:hAnsi="宋体" w:eastAsia="宋体" w:cs="宋体"/>
          <w:color w:val="auto"/>
          <w:sz w:val="21"/>
          <w:szCs w:val="21"/>
          <w:highlight w:val="none"/>
        </w:rPr>
      </w:pPr>
      <w:bookmarkStart w:id="214" w:name="_Toc28381"/>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.唱标信封内装（内容务必与投标文件正本一致）</w:t>
      </w:r>
      <w:bookmarkEnd w:id="214"/>
    </w:p>
    <w:p>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开标一览表加盖公章；</w:t>
      </w:r>
    </w:p>
    <w:p>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法定代表人证明书加盖公章；</w:t>
      </w:r>
    </w:p>
    <w:p>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法定代表人授权委托书加盖公章（法定代表人投标的除外）；</w:t>
      </w:r>
    </w:p>
    <w:p>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投标保证金汇入情况说明（含银行汇款凭证）或投标保函加盖公章；</w:t>
      </w:r>
    </w:p>
    <w:p>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投标文件电子文件（U盘，须含盖章版PDF投标文件和WORD版投标文件各一版，文字采用WORD文档，计算表格采用 EXCEL文档。）</w:t>
      </w:r>
    </w:p>
    <w:p>
      <w:pPr>
        <w:rPr>
          <w:rFonts w:hint="eastAsia" w:ascii="宋体" w:hAnsi="宋体" w:eastAsia="宋体" w:cs="宋体"/>
          <w:color w:val="auto"/>
          <w:szCs w:val="21"/>
          <w:highlight w:val="none"/>
        </w:rPr>
      </w:pPr>
    </w:p>
    <w:p>
      <w:pPr>
        <w:pStyle w:val="9"/>
        <w:rPr>
          <w:rFonts w:hint="eastAsia" w:ascii="宋体" w:hAnsi="宋体" w:eastAsia="宋体" w:cs="宋体"/>
          <w:color w:val="auto"/>
          <w:highlight w:val="none"/>
        </w:rPr>
      </w:pPr>
    </w:p>
    <w:sectPr>
      <w:pgSz w:w="11906" w:h="16838"/>
      <w:pgMar w:top="1440" w:right="1800" w:bottom="1440" w:left="1800" w:header="708" w:footer="708" w:gutter="0"/>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64005" cy="30607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564005" cy="306070"/>
                      </a:xfrm>
                      <a:prstGeom prst="rect">
                        <a:avLst/>
                      </a:prstGeom>
                      <a:noFill/>
                      <a:ln>
                        <a:noFill/>
                      </a:ln>
                    </wps:spPr>
                    <wps:txbx>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wrap="square" lIns="0" tIns="0" rIns="0" bIns="0" upright="1">
                      <a:noAutofit/>
                    </wps:bodyPr>
                  </wps:wsp>
                </a:graphicData>
              </a:graphic>
            </wp:anchor>
          </w:drawing>
        </mc:Choice>
        <mc:Fallback>
          <w:pict>
            <v:shape id="文本框 1026" o:spid="_x0000_s1026" o:spt="202" type="#_x0000_t202" style="position:absolute;left:0pt;margin-top:0pt;height:24.1pt;width:123.15pt;mso-position-horizontal:center;mso-position-horizontal-relative:margin;z-index:251659264;mso-width-relative:page;mso-height-relative:page;" filled="f" stroked="f" coordsize="21600,21600" o:gfxdata="UEsDBAoAAAAAAIdO4kAAAAAAAAAAAAAAAAAEAAAAZHJzL1BLAwQUAAAACACHTuJAmbgHCNUAAAAE&#10;AQAADwAAAGRycy9kb3ducmV2LnhtbE2PzU7DMBCE70i8g7VI3KjdUEUlxKkQghMSIg0Hjpt4m1iN&#10;1yF2f3h7DBe4rDSa0cy35ebsRnGkOVjPGpYLBYK488Zyr+G9eb5ZgwgR2eDomTR8UYBNdXlRYmH8&#10;iWs6bmMvUgmHAjUMMU6FlKEbyGFY+Ik4eTs/O4xJzr00M55SuRtlplQuHVpOCwNO9DhQt98enIaH&#10;D66f7Odr+1bvats0d4pf8r3W11dLdQ8i0jn+heEHP6FDlZhaf2ATxKghPRJ/b/KyVX4LotWwWmcg&#10;q1L+h6++AVBLAwQUAAAACACHTuJAIQDqu7gBAABPAwAADgAAAGRycy9lMm9Eb2MueG1srVNLjhMx&#10;EN0jcQfLe2InwwTUSmcEGg1CQoA0cADHbact2S5jO+nOBeAGrNiw51w5B2UnneGzQ2yqy1XlV+9V&#10;uVc3o7Nkr2Iy4Fs6n3FKlJfQGb9t6ccPd0+eU5Ky8J2w4FVLDyrRm/XjR6shNGoBPdhORYIgPjVD&#10;aGmfc2gYS7JXTqQZBOUxqSE6kfEYt6yLYkB0Z9mC8yUbIHYhglQpYfT2lKTriq+1kvmd1kllYluK&#10;3HK1sdpNsWy9Es02itAbeaYh/oGFE8Zj0wvUrciC7KL5C8oZGSGBzjMJjoHWRqqqAdXM+R9q7nsR&#10;VNWCw0nhMqb0/2Dl2/37SEzX0itKvHC4ouPXL8dvP47fP5M5XyzLhIaQGiy8D1iax5cw4qaneMJg&#10;ET7q6MoXJRHM46wPl/mqMRNZLl0vn3J+TYnE3BVf8md1Aezhdogpv1LgSHFaGnF/daxi/yZlZIKl&#10;U0lp5uHOWFt3aP1vASwsEVaonygWL4+b8axnA90B5Qy4+pamTzsRFSX2tcfZlncyOXFyNpOzC9Fs&#10;eyQ3r8w8vNhl0KayKz1OwOfWuLVK+vzCyrP49VyrHv6D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uAcI1QAAAAQBAAAPAAAAAAAAAAEAIAAAACIAAABkcnMvZG93bnJldi54bWxQSwECFAAUAAAA&#10;CACHTuJAIQDqu7gBAABPAwAADgAAAAAAAAABACAAAAAkAQAAZHJzL2Uyb0RvYy54bWxQSwUGAAAA&#10;AAYABgBZAQAATgUAAAAA&#10;">
              <v:fill on="f" focussize="0,0"/>
              <v:stroke on="f"/>
              <v:imagedata o:title=""/>
              <o:lock v:ext="edit" aspectratio="f"/>
              <v:textbox inset="0mm,0mm,0mm,0mm">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MX9ja0BAABCAwAADgAAAGRycy9lMm9Eb2MueG1srVJLjhMxEN0j&#10;cQfLe+LuFjOKWumMQKNBSAiQhjmA47bTlvxT2Ul3LgA3YMWGPefKOSg76QwwuxEbu1xVfvVeVa1u&#10;JmvIXkLU3nW0XlSUSCd8r922ow9f7l4tKYmJu54b72RHDzLSm/XLF6sxtLLxgze9BIIgLrZj6OiQ&#10;UmgZi2KQlseFD9JhUHmwPOETtqwHPiK6Naypqms2eugDeCFjRO/tKUjXBV8pKdInpaJMxHQUuaVy&#10;Qjk3+WTrFW+3wMOgxZkGfwYLy7XDoheoW5442YF+AmW1AB+9SgvhLfNKaSGLBlRTV/+ouR94kEUL&#10;NieGS5vi/4MVH/efgei+o68pcdziiI7fvx1//Dr+/ErqqrnKHRpDbDHxPmBqmt76CSc9+yM6s/BJ&#10;gc03SiIYx14fLv2VUyIif6qvqusGQwJj9bJZLqsyAfb4PUBM76S3JBsdBRxg6Svff4gJqWDqnJKr&#10;OX+njSlDNO4vByZmD8vcTxyzlabNdBa08f0B9Zj3DtuZV2M2YDY2s7ELoLcD0qkLlxje7BIWLnwy&#10;6gnqXAwHVWielypvwp/vkvW4+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ggSLNIAAAAFAQAA&#10;DwAAAAAAAAABACAAAAAiAAAAZHJzL2Rvd25yZXYueG1sUEsBAhQAFAAAAAgAh07iQPzF/Y2tAQAA&#10;QgMAAA4AAAAAAAAAAQAgAAAAIQEAAGRycy9lMm9Eb2MueG1sUEsFBgAAAAAGAAYAWQEAAEAFAAAA&#10;AA==&#10;">
              <v:fill on="f" focussize="0,0"/>
              <v:stroke on="f"/>
              <v:imagedata o:title=""/>
              <o:lock v:ext="edit" aspectratio="f"/>
              <v:textbox inset="0mm,0mm,0mm,0mm" style="mso-fit-shape-to-text:t;">
                <w:txbxContent>
                  <w:p>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B09DC"/>
    <w:multiLevelType w:val="singleLevel"/>
    <w:tmpl w:val="B67B09DC"/>
    <w:lvl w:ilvl="0" w:tentative="0">
      <w:start w:val="1"/>
      <w:numFmt w:val="decimal"/>
      <w:suff w:val="nothing"/>
      <w:lvlText w:val="%1、"/>
      <w:lvlJc w:val="left"/>
    </w:lvl>
  </w:abstractNum>
  <w:abstractNum w:abstractNumId="1">
    <w:nsid w:val="C9555E15"/>
    <w:multiLevelType w:val="singleLevel"/>
    <w:tmpl w:val="C9555E15"/>
    <w:lvl w:ilvl="0" w:tentative="0">
      <w:start w:val="1"/>
      <w:numFmt w:val="decimal"/>
      <w:lvlText w:val="(%1)"/>
      <w:lvlJc w:val="left"/>
      <w:pPr>
        <w:ind w:left="425" w:hanging="425"/>
      </w:pPr>
      <w:rPr>
        <w:rFonts w:hint="default"/>
      </w:rPr>
    </w:lvl>
  </w:abstractNum>
  <w:abstractNum w:abstractNumId="2">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CFF174A5"/>
    <w:multiLevelType w:val="singleLevel"/>
    <w:tmpl w:val="CFF174A5"/>
    <w:lvl w:ilvl="0" w:tentative="0">
      <w:start w:val="1"/>
      <w:numFmt w:val="decimal"/>
      <w:suff w:val="nothing"/>
      <w:lvlText w:val="%1、"/>
      <w:lvlJc w:val="left"/>
    </w:lvl>
  </w:abstractNum>
  <w:abstractNum w:abstractNumId="4">
    <w:nsid w:val="D0047B7E"/>
    <w:multiLevelType w:val="singleLevel"/>
    <w:tmpl w:val="D0047B7E"/>
    <w:lvl w:ilvl="0" w:tentative="0">
      <w:start w:val="1"/>
      <w:numFmt w:val="decimal"/>
      <w:suff w:val="nothing"/>
      <w:lvlText w:val="%1、"/>
      <w:lvlJc w:val="left"/>
    </w:lvl>
  </w:abstractNum>
  <w:abstractNum w:abstractNumId="5">
    <w:nsid w:val="F3EA1ACD"/>
    <w:multiLevelType w:val="singleLevel"/>
    <w:tmpl w:val="F3EA1ACD"/>
    <w:lvl w:ilvl="0" w:tentative="0">
      <w:start w:val="1"/>
      <w:numFmt w:val="decimal"/>
      <w:suff w:val="nothing"/>
      <w:lvlText w:val="%1、"/>
      <w:lvlJc w:val="left"/>
    </w:lvl>
  </w:abstractNum>
  <w:abstractNum w:abstractNumId="6">
    <w:nsid w:val="FD4C9B6E"/>
    <w:multiLevelType w:val="singleLevel"/>
    <w:tmpl w:val="FD4C9B6E"/>
    <w:lvl w:ilvl="0" w:tentative="0">
      <w:start w:val="1"/>
      <w:numFmt w:val="decimal"/>
      <w:lvlText w:val="%1."/>
      <w:lvlJc w:val="left"/>
      <w:pPr>
        <w:tabs>
          <w:tab w:val="left" w:pos="312"/>
        </w:tabs>
      </w:pPr>
    </w:lvl>
  </w:abstractNum>
  <w:abstractNum w:abstractNumId="7">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9">
    <w:nsid w:val="067FA574"/>
    <w:multiLevelType w:val="singleLevel"/>
    <w:tmpl w:val="067FA574"/>
    <w:lvl w:ilvl="0" w:tentative="0">
      <w:start w:val="1"/>
      <w:numFmt w:val="decimal"/>
      <w:suff w:val="nothing"/>
      <w:lvlText w:val="%1、"/>
      <w:lvlJc w:val="left"/>
    </w:lvl>
  </w:abstractNum>
  <w:abstractNum w:abstractNumId="10">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20D2348B"/>
    <w:multiLevelType w:val="singleLevel"/>
    <w:tmpl w:val="20D2348B"/>
    <w:lvl w:ilvl="0" w:tentative="0">
      <w:start w:val="1"/>
      <w:numFmt w:val="chineseCounting"/>
      <w:suff w:val="nothing"/>
      <w:lvlText w:val="（%1）"/>
      <w:lvlJc w:val="left"/>
      <w:rPr>
        <w:rFonts w:hint="eastAsia"/>
      </w:rPr>
    </w:lvl>
  </w:abstractNum>
  <w:abstractNum w:abstractNumId="12">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F88662E"/>
    <w:multiLevelType w:val="singleLevel"/>
    <w:tmpl w:val="3F88662E"/>
    <w:lvl w:ilvl="0" w:tentative="0">
      <w:start w:val="1"/>
      <w:numFmt w:val="decimal"/>
      <w:suff w:val="space"/>
      <w:lvlText w:val="%1)"/>
      <w:lvlJc w:val="left"/>
    </w:lvl>
  </w:abstractNum>
  <w:abstractNum w:abstractNumId="14">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475170"/>
    <w:multiLevelType w:val="singleLevel"/>
    <w:tmpl w:val="59475170"/>
    <w:lvl w:ilvl="0" w:tentative="0">
      <w:start w:val="1"/>
      <w:numFmt w:val="decimal"/>
      <w:suff w:val="space"/>
      <w:lvlText w:val="（%1）"/>
      <w:lvlJc w:val="left"/>
    </w:lvl>
  </w:abstractNum>
  <w:abstractNum w:abstractNumId="16">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7">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5"/>
  </w:num>
  <w:num w:numId="2">
    <w:abstractNumId w:val="6"/>
  </w:num>
  <w:num w:numId="3">
    <w:abstractNumId w:val="0"/>
  </w:num>
  <w:num w:numId="4">
    <w:abstractNumId w:val="14"/>
  </w:num>
  <w:num w:numId="5">
    <w:abstractNumId w:val="12"/>
  </w:num>
  <w:num w:numId="6">
    <w:abstractNumId w:val="2"/>
  </w:num>
  <w:num w:numId="7">
    <w:abstractNumId w:val="18"/>
  </w:num>
  <w:num w:numId="8">
    <w:abstractNumId w:val="13"/>
  </w:num>
  <w:num w:numId="9">
    <w:abstractNumId w:val="8"/>
  </w:num>
  <w:num w:numId="10">
    <w:abstractNumId w:val="1"/>
  </w:num>
  <w:num w:numId="11">
    <w:abstractNumId w:val="10"/>
  </w:num>
  <w:num w:numId="12">
    <w:abstractNumId w:val="5"/>
  </w:num>
  <w:num w:numId="13">
    <w:abstractNumId w:val="3"/>
  </w:num>
  <w:num w:numId="14">
    <w:abstractNumId w:val="9"/>
  </w:num>
  <w:num w:numId="15">
    <w:abstractNumId w:val="7"/>
  </w:num>
  <w:num w:numId="16">
    <w:abstractNumId w:val="11"/>
  </w:num>
  <w:num w:numId="17">
    <w:abstractNumId w:val="4"/>
  </w:num>
  <w:num w:numId="18">
    <w:abstractNumId w:val="17"/>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
    <w15:presenceInfo w15:providerId="WPS Office" w15:userId="2552738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72A27"/>
    <w:rsid w:val="00005A66"/>
    <w:rsid w:val="00006462"/>
    <w:rsid w:val="000300E4"/>
    <w:rsid w:val="0003307E"/>
    <w:rsid w:val="000336BA"/>
    <w:rsid w:val="000359A1"/>
    <w:rsid w:val="0005185D"/>
    <w:rsid w:val="0007500F"/>
    <w:rsid w:val="0008282E"/>
    <w:rsid w:val="00084F6D"/>
    <w:rsid w:val="00093A13"/>
    <w:rsid w:val="000A363F"/>
    <w:rsid w:val="000A42A8"/>
    <w:rsid w:val="000A5063"/>
    <w:rsid w:val="000A5DBD"/>
    <w:rsid w:val="000C4524"/>
    <w:rsid w:val="000D44A6"/>
    <w:rsid w:val="000E2CB7"/>
    <w:rsid w:val="000F0E98"/>
    <w:rsid w:val="000F1444"/>
    <w:rsid w:val="001049A5"/>
    <w:rsid w:val="001120E0"/>
    <w:rsid w:val="00121ADA"/>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65A7"/>
    <w:rsid w:val="0021149E"/>
    <w:rsid w:val="00213021"/>
    <w:rsid w:val="00216BE9"/>
    <w:rsid w:val="00221E7A"/>
    <w:rsid w:val="0022503E"/>
    <w:rsid w:val="00225BB4"/>
    <w:rsid w:val="00226313"/>
    <w:rsid w:val="002373BB"/>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3B43"/>
    <w:rsid w:val="00326831"/>
    <w:rsid w:val="003274CE"/>
    <w:rsid w:val="003361E9"/>
    <w:rsid w:val="003430F6"/>
    <w:rsid w:val="00353842"/>
    <w:rsid w:val="0035595E"/>
    <w:rsid w:val="00381C26"/>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51EB4"/>
    <w:rsid w:val="00460B31"/>
    <w:rsid w:val="00462105"/>
    <w:rsid w:val="00475A80"/>
    <w:rsid w:val="00475BB4"/>
    <w:rsid w:val="00490B9E"/>
    <w:rsid w:val="00497577"/>
    <w:rsid w:val="004A05D7"/>
    <w:rsid w:val="004A2B28"/>
    <w:rsid w:val="004A69F1"/>
    <w:rsid w:val="004B3550"/>
    <w:rsid w:val="004B3F06"/>
    <w:rsid w:val="004C7FD6"/>
    <w:rsid w:val="004D08C0"/>
    <w:rsid w:val="004D1669"/>
    <w:rsid w:val="004D1736"/>
    <w:rsid w:val="004D51A2"/>
    <w:rsid w:val="004D5AFB"/>
    <w:rsid w:val="004E04FD"/>
    <w:rsid w:val="004F1BB7"/>
    <w:rsid w:val="0050759C"/>
    <w:rsid w:val="00510827"/>
    <w:rsid w:val="005267F1"/>
    <w:rsid w:val="005269A9"/>
    <w:rsid w:val="00532034"/>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2D85"/>
    <w:rsid w:val="005D52E7"/>
    <w:rsid w:val="005F021D"/>
    <w:rsid w:val="005F2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47A6"/>
    <w:rsid w:val="006378D4"/>
    <w:rsid w:val="00641E8C"/>
    <w:rsid w:val="0064416A"/>
    <w:rsid w:val="006476E3"/>
    <w:rsid w:val="00650DDC"/>
    <w:rsid w:val="00652983"/>
    <w:rsid w:val="0065365D"/>
    <w:rsid w:val="006546D0"/>
    <w:rsid w:val="006576FD"/>
    <w:rsid w:val="00664F6B"/>
    <w:rsid w:val="006731D2"/>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37823"/>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A26"/>
    <w:rsid w:val="007E7A17"/>
    <w:rsid w:val="007F01B0"/>
    <w:rsid w:val="007F259D"/>
    <w:rsid w:val="007F2CD8"/>
    <w:rsid w:val="007F4DC5"/>
    <w:rsid w:val="00806380"/>
    <w:rsid w:val="0081104F"/>
    <w:rsid w:val="0081319A"/>
    <w:rsid w:val="00822299"/>
    <w:rsid w:val="0083486A"/>
    <w:rsid w:val="00837E35"/>
    <w:rsid w:val="00841378"/>
    <w:rsid w:val="00842B87"/>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E98"/>
    <w:rsid w:val="00960F22"/>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4012F"/>
    <w:rsid w:val="00A4190E"/>
    <w:rsid w:val="00A42E91"/>
    <w:rsid w:val="00A50383"/>
    <w:rsid w:val="00A61230"/>
    <w:rsid w:val="00A668C8"/>
    <w:rsid w:val="00A74ED3"/>
    <w:rsid w:val="00A813C5"/>
    <w:rsid w:val="00A824E6"/>
    <w:rsid w:val="00A832CD"/>
    <w:rsid w:val="00A858DC"/>
    <w:rsid w:val="00A94D14"/>
    <w:rsid w:val="00AA0EAD"/>
    <w:rsid w:val="00AB19CE"/>
    <w:rsid w:val="00AB2133"/>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5AFB"/>
    <w:rsid w:val="00C16734"/>
    <w:rsid w:val="00C17B47"/>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3BF5"/>
    <w:rsid w:val="00E97CC0"/>
    <w:rsid w:val="00EA22B8"/>
    <w:rsid w:val="00EA2524"/>
    <w:rsid w:val="00EA33E7"/>
    <w:rsid w:val="00EC092D"/>
    <w:rsid w:val="00EC0DF8"/>
    <w:rsid w:val="00EC7F91"/>
    <w:rsid w:val="00ED378B"/>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54B2"/>
    <w:rsid w:val="00FC0FCB"/>
    <w:rsid w:val="00FC529F"/>
    <w:rsid w:val="00FC66E1"/>
    <w:rsid w:val="00FC7B53"/>
    <w:rsid w:val="00FD48CC"/>
    <w:rsid w:val="00FE62D1"/>
    <w:rsid w:val="00FE7B94"/>
    <w:rsid w:val="00FF0736"/>
    <w:rsid w:val="00FF2515"/>
    <w:rsid w:val="00FF26BF"/>
    <w:rsid w:val="013C51B0"/>
    <w:rsid w:val="01651C23"/>
    <w:rsid w:val="018023CE"/>
    <w:rsid w:val="01881AD6"/>
    <w:rsid w:val="019127B6"/>
    <w:rsid w:val="01B71A01"/>
    <w:rsid w:val="01DC03CE"/>
    <w:rsid w:val="01E36F4E"/>
    <w:rsid w:val="0208150E"/>
    <w:rsid w:val="02287D63"/>
    <w:rsid w:val="024179E7"/>
    <w:rsid w:val="0246437B"/>
    <w:rsid w:val="02985CD5"/>
    <w:rsid w:val="02A741FD"/>
    <w:rsid w:val="02C16E5D"/>
    <w:rsid w:val="02D964CF"/>
    <w:rsid w:val="02DE5ECF"/>
    <w:rsid w:val="032E6AB8"/>
    <w:rsid w:val="03707410"/>
    <w:rsid w:val="039170C0"/>
    <w:rsid w:val="039240A3"/>
    <w:rsid w:val="03A0770F"/>
    <w:rsid w:val="03A27726"/>
    <w:rsid w:val="03A448B8"/>
    <w:rsid w:val="03B34A78"/>
    <w:rsid w:val="03C01631"/>
    <w:rsid w:val="03C656A9"/>
    <w:rsid w:val="03D35138"/>
    <w:rsid w:val="03F33148"/>
    <w:rsid w:val="042F3419"/>
    <w:rsid w:val="04491596"/>
    <w:rsid w:val="047B4012"/>
    <w:rsid w:val="04822497"/>
    <w:rsid w:val="04974587"/>
    <w:rsid w:val="049A0C65"/>
    <w:rsid w:val="04A07C4B"/>
    <w:rsid w:val="04DF1036"/>
    <w:rsid w:val="04E24985"/>
    <w:rsid w:val="050C01DF"/>
    <w:rsid w:val="05316537"/>
    <w:rsid w:val="053A5A77"/>
    <w:rsid w:val="0599183C"/>
    <w:rsid w:val="05A97DEC"/>
    <w:rsid w:val="05B23978"/>
    <w:rsid w:val="05C81981"/>
    <w:rsid w:val="05FC20B9"/>
    <w:rsid w:val="060043AE"/>
    <w:rsid w:val="060C3203"/>
    <w:rsid w:val="06281344"/>
    <w:rsid w:val="062D4EC8"/>
    <w:rsid w:val="069B4E4A"/>
    <w:rsid w:val="06A26008"/>
    <w:rsid w:val="06BC41F2"/>
    <w:rsid w:val="06F415CC"/>
    <w:rsid w:val="070E26CD"/>
    <w:rsid w:val="07197D08"/>
    <w:rsid w:val="071E5C55"/>
    <w:rsid w:val="074E0CC2"/>
    <w:rsid w:val="075C1FE5"/>
    <w:rsid w:val="077005AB"/>
    <w:rsid w:val="078F4581"/>
    <w:rsid w:val="07A715F3"/>
    <w:rsid w:val="07BF027F"/>
    <w:rsid w:val="07F06C60"/>
    <w:rsid w:val="08031A31"/>
    <w:rsid w:val="080E2872"/>
    <w:rsid w:val="08420CAE"/>
    <w:rsid w:val="089A5AE8"/>
    <w:rsid w:val="08A76701"/>
    <w:rsid w:val="08DD5BA8"/>
    <w:rsid w:val="09061A75"/>
    <w:rsid w:val="09182241"/>
    <w:rsid w:val="09325D4D"/>
    <w:rsid w:val="095F1030"/>
    <w:rsid w:val="09855177"/>
    <w:rsid w:val="09A17D47"/>
    <w:rsid w:val="09BD01D8"/>
    <w:rsid w:val="09EE5125"/>
    <w:rsid w:val="0A3D7585"/>
    <w:rsid w:val="0A462748"/>
    <w:rsid w:val="0A4D0C81"/>
    <w:rsid w:val="0A723E95"/>
    <w:rsid w:val="0A733243"/>
    <w:rsid w:val="0AA534D5"/>
    <w:rsid w:val="0AA650EB"/>
    <w:rsid w:val="0AA7129C"/>
    <w:rsid w:val="0AF47339"/>
    <w:rsid w:val="0B121934"/>
    <w:rsid w:val="0B1F4D52"/>
    <w:rsid w:val="0B22594B"/>
    <w:rsid w:val="0B27506F"/>
    <w:rsid w:val="0B3061AD"/>
    <w:rsid w:val="0B9610F4"/>
    <w:rsid w:val="0BBF77A4"/>
    <w:rsid w:val="0BD16C8D"/>
    <w:rsid w:val="0BDF26F7"/>
    <w:rsid w:val="0C027DB2"/>
    <w:rsid w:val="0C2B4952"/>
    <w:rsid w:val="0C516C55"/>
    <w:rsid w:val="0C5D161C"/>
    <w:rsid w:val="0C7B2220"/>
    <w:rsid w:val="0CB67D83"/>
    <w:rsid w:val="0CCF79BE"/>
    <w:rsid w:val="0CD20599"/>
    <w:rsid w:val="0CE53018"/>
    <w:rsid w:val="0D0B5B12"/>
    <w:rsid w:val="0D133046"/>
    <w:rsid w:val="0D153F28"/>
    <w:rsid w:val="0D305390"/>
    <w:rsid w:val="0D3A0F98"/>
    <w:rsid w:val="0D5D37FD"/>
    <w:rsid w:val="0D6A4502"/>
    <w:rsid w:val="0D7415CA"/>
    <w:rsid w:val="0D84650C"/>
    <w:rsid w:val="0D890E47"/>
    <w:rsid w:val="0DC64A00"/>
    <w:rsid w:val="0DCF786E"/>
    <w:rsid w:val="0DEB5FFA"/>
    <w:rsid w:val="0DF75C46"/>
    <w:rsid w:val="0DFC60BA"/>
    <w:rsid w:val="0E045D30"/>
    <w:rsid w:val="0E1C06B2"/>
    <w:rsid w:val="0E35000C"/>
    <w:rsid w:val="0E69691B"/>
    <w:rsid w:val="0E7900C2"/>
    <w:rsid w:val="0EBB5484"/>
    <w:rsid w:val="0EBD5AA3"/>
    <w:rsid w:val="0F085784"/>
    <w:rsid w:val="0F5723EF"/>
    <w:rsid w:val="0F7C5FF6"/>
    <w:rsid w:val="0FC63FBD"/>
    <w:rsid w:val="0FDD003F"/>
    <w:rsid w:val="0FF63282"/>
    <w:rsid w:val="0FF87EA4"/>
    <w:rsid w:val="0FFF7484"/>
    <w:rsid w:val="10007DD4"/>
    <w:rsid w:val="100B77ED"/>
    <w:rsid w:val="10305890"/>
    <w:rsid w:val="103D5A1A"/>
    <w:rsid w:val="106C564D"/>
    <w:rsid w:val="10767478"/>
    <w:rsid w:val="107B7B8F"/>
    <w:rsid w:val="107C67CE"/>
    <w:rsid w:val="10912D03"/>
    <w:rsid w:val="109D68CB"/>
    <w:rsid w:val="10A949B8"/>
    <w:rsid w:val="10CB4D26"/>
    <w:rsid w:val="11144AFE"/>
    <w:rsid w:val="11170B4A"/>
    <w:rsid w:val="11200D07"/>
    <w:rsid w:val="114143B5"/>
    <w:rsid w:val="116A3F32"/>
    <w:rsid w:val="11786AB5"/>
    <w:rsid w:val="118049D4"/>
    <w:rsid w:val="118561F8"/>
    <w:rsid w:val="11914FAF"/>
    <w:rsid w:val="11A8021A"/>
    <w:rsid w:val="11B21219"/>
    <w:rsid w:val="11B4024C"/>
    <w:rsid w:val="11DA73AF"/>
    <w:rsid w:val="11FC1ECD"/>
    <w:rsid w:val="12392A54"/>
    <w:rsid w:val="12457C5E"/>
    <w:rsid w:val="124D097B"/>
    <w:rsid w:val="12511265"/>
    <w:rsid w:val="126561B4"/>
    <w:rsid w:val="127A3FFC"/>
    <w:rsid w:val="127D0E25"/>
    <w:rsid w:val="127E0B34"/>
    <w:rsid w:val="1283614B"/>
    <w:rsid w:val="12856FF3"/>
    <w:rsid w:val="129671FB"/>
    <w:rsid w:val="12A576FF"/>
    <w:rsid w:val="12C60D80"/>
    <w:rsid w:val="12E276C0"/>
    <w:rsid w:val="130523B3"/>
    <w:rsid w:val="13097496"/>
    <w:rsid w:val="13154AD2"/>
    <w:rsid w:val="131F7A3A"/>
    <w:rsid w:val="1325428F"/>
    <w:rsid w:val="132645D0"/>
    <w:rsid w:val="134312FF"/>
    <w:rsid w:val="13455ABC"/>
    <w:rsid w:val="1370322B"/>
    <w:rsid w:val="13BA0460"/>
    <w:rsid w:val="13BB41AE"/>
    <w:rsid w:val="13C24F9B"/>
    <w:rsid w:val="13C45A18"/>
    <w:rsid w:val="13C9247B"/>
    <w:rsid w:val="13C92A4D"/>
    <w:rsid w:val="13DE55D1"/>
    <w:rsid w:val="13E0285C"/>
    <w:rsid w:val="143B2E0B"/>
    <w:rsid w:val="147C1943"/>
    <w:rsid w:val="148054E9"/>
    <w:rsid w:val="14892735"/>
    <w:rsid w:val="14906D6C"/>
    <w:rsid w:val="14CC769D"/>
    <w:rsid w:val="14D764D5"/>
    <w:rsid w:val="14F43330"/>
    <w:rsid w:val="152509D7"/>
    <w:rsid w:val="15436F05"/>
    <w:rsid w:val="155541C5"/>
    <w:rsid w:val="15574892"/>
    <w:rsid w:val="15691FE3"/>
    <w:rsid w:val="158B5DDD"/>
    <w:rsid w:val="15A41986"/>
    <w:rsid w:val="15B11221"/>
    <w:rsid w:val="15C16EB3"/>
    <w:rsid w:val="15CB76C9"/>
    <w:rsid w:val="15D359D7"/>
    <w:rsid w:val="160E7A2C"/>
    <w:rsid w:val="16111028"/>
    <w:rsid w:val="161F7731"/>
    <w:rsid w:val="163C77BE"/>
    <w:rsid w:val="16573587"/>
    <w:rsid w:val="1679588C"/>
    <w:rsid w:val="168C2855"/>
    <w:rsid w:val="16903443"/>
    <w:rsid w:val="16994962"/>
    <w:rsid w:val="16A233CF"/>
    <w:rsid w:val="16A71041"/>
    <w:rsid w:val="16AA24BF"/>
    <w:rsid w:val="171D3FE1"/>
    <w:rsid w:val="1742794A"/>
    <w:rsid w:val="17680CAB"/>
    <w:rsid w:val="176E4128"/>
    <w:rsid w:val="1783371F"/>
    <w:rsid w:val="178D7563"/>
    <w:rsid w:val="17B61794"/>
    <w:rsid w:val="17C52CBF"/>
    <w:rsid w:val="17C93012"/>
    <w:rsid w:val="17E62B67"/>
    <w:rsid w:val="180F4499"/>
    <w:rsid w:val="182201B4"/>
    <w:rsid w:val="18221ECE"/>
    <w:rsid w:val="18303840"/>
    <w:rsid w:val="183C3D90"/>
    <w:rsid w:val="1850329E"/>
    <w:rsid w:val="18504A07"/>
    <w:rsid w:val="1859036F"/>
    <w:rsid w:val="18681814"/>
    <w:rsid w:val="18B0649B"/>
    <w:rsid w:val="18C8297B"/>
    <w:rsid w:val="18D418FC"/>
    <w:rsid w:val="18FC7745"/>
    <w:rsid w:val="19027053"/>
    <w:rsid w:val="191677A6"/>
    <w:rsid w:val="19353F17"/>
    <w:rsid w:val="19DB7B6F"/>
    <w:rsid w:val="19DD405E"/>
    <w:rsid w:val="1A460CF5"/>
    <w:rsid w:val="1A7A6BB4"/>
    <w:rsid w:val="1A7F297D"/>
    <w:rsid w:val="1A9B268C"/>
    <w:rsid w:val="1A9D6244"/>
    <w:rsid w:val="1AAF6004"/>
    <w:rsid w:val="1AB16AC1"/>
    <w:rsid w:val="1ABF1CEA"/>
    <w:rsid w:val="1AD97D3F"/>
    <w:rsid w:val="1B014DDE"/>
    <w:rsid w:val="1B0320FB"/>
    <w:rsid w:val="1B034A52"/>
    <w:rsid w:val="1B45344E"/>
    <w:rsid w:val="1B591D2B"/>
    <w:rsid w:val="1B5D76FB"/>
    <w:rsid w:val="1B683578"/>
    <w:rsid w:val="1B8C0040"/>
    <w:rsid w:val="1BBA4E52"/>
    <w:rsid w:val="1BD9519A"/>
    <w:rsid w:val="1BDE2F66"/>
    <w:rsid w:val="1C2A22B3"/>
    <w:rsid w:val="1C750ECE"/>
    <w:rsid w:val="1CA56AF4"/>
    <w:rsid w:val="1CE1575A"/>
    <w:rsid w:val="1D196139"/>
    <w:rsid w:val="1D2E2708"/>
    <w:rsid w:val="1D5E02D1"/>
    <w:rsid w:val="1D7B74A7"/>
    <w:rsid w:val="1D7F0ED0"/>
    <w:rsid w:val="1DA31EB7"/>
    <w:rsid w:val="1DA55D97"/>
    <w:rsid w:val="1DBB6100"/>
    <w:rsid w:val="1DBE6816"/>
    <w:rsid w:val="1DC67725"/>
    <w:rsid w:val="1DCB4FF1"/>
    <w:rsid w:val="1DDC11E4"/>
    <w:rsid w:val="1DF5452A"/>
    <w:rsid w:val="1E010AF7"/>
    <w:rsid w:val="1E1C405A"/>
    <w:rsid w:val="1E2E29E0"/>
    <w:rsid w:val="1E301173"/>
    <w:rsid w:val="1E884D18"/>
    <w:rsid w:val="1ED8781E"/>
    <w:rsid w:val="1EDD3235"/>
    <w:rsid w:val="1EE7283A"/>
    <w:rsid w:val="1F1102B0"/>
    <w:rsid w:val="1F2F1047"/>
    <w:rsid w:val="1F43381C"/>
    <w:rsid w:val="1F7D6A3D"/>
    <w:rsid w:val="1F8A219B"/>
    <w:rsid w:val="1FA4148D"/>
    <w:rsid w:val="1FC10FAB"/>
    <w:rsid w:val="1FC65577"/>
    <w:rsid w:val="1FD82385"/>
    <w:rsid w:val="20121621"/>
    <w:rsid w:val="201636E2"/>
    <w:rsid w:val="202E3F6D"/>
    <w:rsid w:val="2032134B"/>
    <w:rsid w:val="20325F7E"/>
    <w:rsid w:val="204778E7"/>
    <w:rsid w:val="204E554F"/>
    <w:rsid w:val="20546774"/>
    <w:rsid w:val="20590035"/>
    <w:rsid w:val="20851B47"/>
    <w:rsid w:val="209A2C3D"/>
    <w:rsid w:val="20CA3C0D"/>
    <w:rsid w:val="20E5011E"/>
    <w:rsid w:val="20FC799E"/>
    <w:rsid w:val="210B6E37"/>
    <w:rsid w:val="21286DA7"/>
    <w:rsid w:val="2134683B"/>
    <w:rsid w:val="21C82E72"/>
    <w:rsid w:val="21DE0801"/>
    <w:rsid w:val="21DE339D"/>
    <w:rsid w:val="22154DDD"/>
    <w:rsid w:val="221D4DB5"/>
    <w:rsid w:val="22336873"/>
    <w:rsid w:val="22396826"/>
    <w:rsid w:val="225471A3"/>
    <w:rsid w:val="225E34DC"/>
    <w:rsid w:val="227D1295"/>
    <w:rsid w:val="229B678A"/>
    <w:rsid w:val="22AB3B7D"/>
    <w:rsid w:val="22AF3A08"/>
    <w:rsid w:val="22F92F75"/>
    <w:rsid w:val="239634D6"/>
    <w:rsid w:val="23BB4E7D"/>
    <w:rsid w:val="23C172D6"/>
    <w:rsid w:val="23CB1286"/>
    <w:rsid w:val="23D77537"/>
    <w:rsid w:val="23E6195D"/>
    <w:rsid w:val="23F04F64"/>
    <w:rsid w:val="242654AA"/>
    <w:rsid w:val="24814CBE"/>
    <w:rsid w:val="24AC168B"/>
    <w:rsid w:val="24BB6664"/>
    <w:rsid w:val="24EC64CB"/>
    <w:rsid w:val="250E1318"/>
    <w:rsid w:val="25103738"/>
    <w:rsid w:val="253F46D8"/>
    <w:rsid w:val="2541317C"/>
    <w:rsid w:val="254D0389"/>
    <w:rsid w:val="25884C5D"/>
    <w:rsid w:val="258C3BEC"/>
    <w:rsid w:val="25A03144"/>
    <w:rsid w:val="25B2479F"/>
    <w:rsid w:val="25C15C5D"/>
    <w:rsid w:val="25D329B9"/>
    <w:rsid w:val="25E5427A"/>
    <w:rsid w:val="26276A31"/>
    <w:rsid w:val="26366F9D"/>
    <w:rsid w:val="263B1230"/>
    <w:rsid w:val="2642752B"/>
    <w:rsid w:val="26485508"/>
    <w:rsid w:val="26554808"/>
    <w:rsid w:val="265E685B"/>
    <w:rsid w:val="26607D95"/>
    <w:rsid w:val="26700955"/>
    <w:rsid w:val="26A16AE9"/>
    <w:rsid w:val="26A605D9"/>
    <w:rsid w:val="26AD0500"/>
    <w:rsid w:val="26B121A3"/>
    <w:rsid w:val="26E464C3"/>
    <w:rsid w:val="272E3097"/>
    <w:rsid w:val="272E6F74"/>
    <w:rsid w:val="273B7A3B"/>
    <w:rsid w:val="277E6655"/>
    <w:rsid w:val="2780046C"/>
    <w:rsid w:val="27933DEA"/>
    <w:rsid w:val="27B36A67"/>
    <w:rsid w:val="27BA3ACB"/>
    <w:rsid w:val="27D9633F"/>
    <w:rsid w:val="280B2E27"/>
    <w:rsid w:val="281E404F"/>
    <w:rsid w:val="28302479"/>
    <w:rsid w:val="283F1A26"/>
    <w:rsid w:val="2846581F"/>
    <w:rsid w:val="284A5CA4"/>
    <w:rsid w:val="286550ED"/>
    <w:rsid w:val="286602C8"/>
    <w:rsid w:val="28665C95"/>
    <w:rsid w:val="28736F5F"/>
    <w:rsid w:val="28B01D1E"/>
    <w:rsid w:val="28C2628C"/>
    <w:rsid w:val="28CC3373"/>
    <w:rsid w:val="28F47F99"/>
    <w:rsid w:val="28F579BA"/>
    <w:rsid w:val="290B3EB9"/>
    <w:rsid w:val="292728C1"/>
    <w:rsid w:val="294E392A"/>
    <w:rsid w:val="2950768C"/>
    <w:rsid w:val="297A5FC4"/>
    <w:rsid w:val="29B51252"/>
    <w:rsid w:val="29E14657"/>
    <w:rsid w:val="29E474B8"/>
    <w:rsid w:val="29ED574B"/>
    <w:rsid w:val="29FA2D3E"/>
    <w:rsid w:val="29FE5CE6"/>
    <w:rsid w:val="2A743AE8"/>
    <w:rsid w:val="2A8D4F8F"/>
    <w:rsid w:val="2A917B34"/>
    <w:rsid w:val="2A9308A8"/>
    <w:rsid w:val="2A9F5AB8"/>
    <w:rsid w:val="2AB10C99"/>
    <w:rsid w:val="2AD74E8C"/>
    <w:rsid w:val="2AE3766F"/>
    <w:rsid w:val="2AEC612E"/>
    <w:rsid w:val="2B0268A7"/>
    <w:rsid w:val="2B060F9E"/>
    <w:rsid w:val="2B0E56AB"/>
    <w:rsid w:val="2B51141C"/>
    <w:rsid w:val="2B590601"/>
    <w:rsid w:val="2B710DB7"/>
    <w:rsid w:val="2B7408CF"/>
    <w:rsid w:val="2B7E4054"/>
    <w:rsid w:val="2BBA6A76"/>
    <w:rsid w:val="2BCC03D1"/>
    <w:rsid w:val="2BDF1FBA"/>
    <w:rsid w:val="2BEA0C73"/>
    <w:rsid w:val="2BF51991"/>
    <w:rsid w:val="2C0C6D59"/>
    <w:rsid w:val="2C251ADF"/>
    <w:rsid w:val="2C5B0D4B"/>
    <w:rsid w:val="2C8903AA"/>
    <w:rsid w:val="2C987C56"/>
    <w:rsid w:val="2C995591"/>
    <w:rsid w:val="2CA156F3"/>
    <w:rsid w:val="2CC11460"/>
    <w:rsid w:val="2CC15BAA"/>
    <w:rsid w:val="2CC72A61"/>
    <w:rsid w:val="2CDC3153"/>
    <w:rsid w:val="2CDF621C"/>
    <w:rsid w:val="2CE136D7"/>
    <w:rsid w:val="2CFE7A11"/>
    <w:rsid w:val="2CFF149A"/>
    <w:rsid w:val="2D201865"/>
    <w:rsid w:val="2D2B6EDE"/>
    <w:rsid w:val="2D4B5CEA"/>
    <w:rsid w:val="2D4C5B4C"/>
    <w:rsid w:val="2D542188"/>
    <w:rsid w:val="2D652658"/>
    <w:rsid w:val="2D964A56"/>
    <w:rsid w:val="2DC16E0A"/>
    <w:rsid w:val="2DC17476"/>
    <w:rsid w:val="2DC80C49"/>
    <w:rsid w:val="2DCA6355"/>
    <w:rsid w:val="2DFE657B"/>
    <w:rsid w:val="2E030E17"/>
    <w:rsid w:val="2E166748"/>
    <w:rsid w:val="2E2054A0"/>
    <w:rsid w:val="2E482374"/>
    <w:rsid w:val="2E491580"/>
    <w:rsid w:val="2E556F01"/>
    <w:rsid w:val="2E8345A7"/>
    <w:rsid w:val="2E8E20B4"/>
    <w:rsid w:val="2EAA7BAE"/>
    <w:rsid w:val="2EC1207D"/>
    <w:rsid w:val="2ED06066"/>
    <w:rsid w:val="2ED1223D"/>
    <w:rsid w:val="2F000139"/>
    <w:rsid w:val="2F1B303D"/>
    <w:rsid w:val="2F3F11F4"/>
    <w:rsid w:val="2F5E0754"/>
    <w:rsid w:val="2F9F42DC"/>
    <w:rsid w:val="2FA16083"/>
    <w:rsid w:val="2FBB4121"/>
    <w:rsid w:val="2FBC2844"/>
    <w:rsid w:val="2FBE3786"/>
    <w:rsid w:val="2FC32F68"/>
    <w:rsid w:val="2FCA3ECB"/>
    <w:rsid w:val="2FD6418B"/>
    <w:rsid w:val="2FF37AB3"/>
    <w:rsid w:val="30210B8A"/>
    <w:rsid w:val="30224DC7"/>
    <w:rsid w:val="303B4C3F"/>
    <w:rsid w:val="3073310C"/>
    <w:rsid w:val="309D6BE6"/>
    <w:rsid w:val="30AA1790"/>
    <w:rsid w:val="30EE385E"/>
    <w:rsid w:val="30F85AFE"/>
    <w:rsid w:val="31031402"/>
    <w:rsid w:val="31170995"/>
    <w:rsid w:val="31264A30"/>
    <w:rsid w:val="312651F8"/>
    <w:rsid w:val="31862EE3"/>
    <w:rsid w:val="31884E67"/>
    <w:rsid w:val="31A0275E"/>
    <w:rsid w:val="31A67308"/>
    <w:rsid w:val="31B91526"/>
    <w:rsid w:val="31BA7402"/>
    <w:rsid w:val="31EF0041"/>
    <w:rsid w:val="31FA04CE"/>
    <w:rsid w:val="31FB0952"/>
    <w:rsid w:val="320107F5"/>
    <w:rsid w:val="320609F4"/>
    <w:rsid w:val="324175CB"/>
    <w:rsid w:val="32484DE7"/>
    <w:rsid w:val="326A0524"/>
    <w:rsid w:val="327B7EDF"/>
    <w:rsid w:val="32AB70C5"/>
    <w:rsid w:val="32EF2122"/>
    <w:rsid w:val="32F17F41"/>
    <w:rsid w:val="332038B4"/>
    <w:rsid w:val="33247607"/>
    <w:rsid w:val="333014B0"/>
    <w:rsid w:val="335D0AF5"/>
    <w:rsid w:val="336917EF"/>
    <w:rsid w:val="336B2EA4"/>
    <w:rsid w:val="336B3E67"/>
    <w:rsid w:val="3370088C"/>
    <w:rsid w:val="33872039"/>
    <w:rsid w:val="339A687B"/>
    <w:rsid w:val="33DC2F78"/>
    <w:rsid w:val="3428227C"/>
    <w:rsid w:val="3431496E"/>
    <w:rsid w:val="343230D5"/>
    <w:rsid w:val="3439428E"/>
    <w:rsid w:val="34571EF7"/>
    <w:rsid w:val="347918A5"/>
    <w:rsid w:val="347C4294"/>
    <w:rsid w:val="34802E4C"/>
    <w:rsid w:val="349D37D5"/>
    <w:rsid w:val="34A61BDE"/>
    <w:rsid w:val="34BB7B5F"/>
    <w:rsid w:val="3522586C"/>
    <w:rsid w:val="35572473"/>
    <w:rsid w:val="35602226"/>
    <w:rsid w:val="356B72E7"/>
    <w:rsid w:val="356D2AC8"/>
    <w:rsid w:val="3572424F"/>
    <w:rsid w:val="35734CF3"/>
    <w:rsid w:val="35866014"/>
    <w:rsid w:val="359E5CE0"/>
    <w:rsid w:val="35D275C3"/>
    <w:rsid w:val="35E50FBB"/>
    <w:rsid w:val="362B215D"/>
    <w:rsid w:val="365C3775"/>
    <w:rsid w:val="366666CA"/>
    <w:rsid w:val="367070F4"/>
    <w:rsid w:val="367801A9"/>
    <w:rsid w:val="36807FCC"/>
    <w:rsid w:val="36AD519D"/>
    <w:rsid w:val="36B57705"/>
    <w:rsid w:val="36B93E53"/>
    <w:rsid w:val="36DC1DD3"/>
    <w:rsid w:val="36F3711D"/>
    <w:rsid w:val="36FC25DD"/>
    <w:rsid w:val="37090CD6"/>
    <w:rsid w:val="37122320"/>
    <w:rsid w:val="3754697A"/>
    <w:rsid w:val="37636A21"/>
    <w:rsid w:val="377C03A4"/>
    <w:rsid w:val="37A103ED"/>
    <w:rsid w:val="37A367C3"/>
    <w:rsid w:val="37BD33EE"/>
    <w:rsid w:val="37CC3B24"/>
    <w:rsid w:val="37E02B23"/>
    <w:rsid w:val="37E345A6"/>
    <w:rsid w:val="37EA5E6E"/>
    <w:rsid w:val="37EC6A58"/>
    <w:rsid w:val="37FB2268"/>
    <w:rsid w:val="37FF016F"/>
    <w:rsid w:val="382A6E2D"/>
    <w:rsid w:val="38647A08"/>
    <w:rsid w:val="386E4145"/>
    <w:rsid w:val="387C5ABE"/>
    <w:rsid w:val="38B66D0C"/>
    <w:rsid w:val="38D41643"/>
    <w:rsid w:val="38EB6119"/>
    <w:rsid w:val="39044996"/>
    <w:rsid w:val="392C6D9B"/>
    <w:rsid w:val="393B020C"/>
    <w:rsid w:val="39506E15"/>
    <w:rsid w:val="396678D9"/>
    <w:rsid w:val="39790BE6"/>
    <w:rsid w:val="397A0ADB"/>
    <w:rsid w:val="39844799"/>
    <w:rsid w:val="39954B2B"/>
    <w:rsid w:val="39DA2245"/>
    <w:rsid w:val="39E66E3B"/>
    <w:rsid w:val="39FD4CC2"/>
    <w:rsid w:val="3A51228C"/>
    <w:rsid w:val="3A545E48"/>
    <w:rsid w:val="3A552E60"/>
    <w:rsid w:val="3A5D642F"/>
    <w:rsid w:val="3A744447"/>
    <w:rsid w:val="3A78219D"/>
    <w:rsid w:val="3A786E6C"/>
    <w:rsid w:val="3A995C5C"/>
    <w:rsid w:val="3AB210FC"/>
    <w:rsid w:val="3ADB7381"/>
    <w:rsid w:val="3AF04A37"/>
    <w:rsid w:val="3B043A1D"/>
    <w:rsid w:val="3B1E01C3"/>
    <w:rsid w:val="3B3E5B8A"/>
    <w:rsid w:val="3B793A48"/>
    <w:rsid w:val="3B7E3699"/>
    <w:rsid w:val="3B85393E"/>
    <w:rsid w:val="3BCA4B8A"/>
    <w:rsid w:val="3BCD72F7"/>
    <w:rsid w:val="3BFC2F5F"/>
    <w:rsid w:val="3C37146A"/>
    <w:rsid w:val="3C3D3625"/>
    <w:rsid w:val="3C414142"/>
    <w:rsid w:val="3C5B725E"/>
    <w:rsid w:val="3C84047F"/>
    <w:rsid w:val="3C88055A"/>
    <w:rsid w:val="3C9E57AB"/>
    <w:rsid w:val="3CAF79B9"/>
    <w:rsid w:val="3CB35097"/>
    <w:rsid w:val="3CF737A2"/>
    <w:rsid w:val="3D10295A"/>
    <w:rsid w:val="3D184041"/>
    <w:rsid w:val="3D370C2A"/>
    <w:rsid w:val="3D414FC0"/>
    <w:rsid w:val="3D4F12A7"/>
    <w:rsid w:val="3D7B5F78"/>
    <w:rsid w:val="3D7D049C"/>
    <w:rsid w:val="3DE20EAE"/>
    <w:rsid w:val="3DEF3701"/>
    <w:rsid w:val="3E0572FD"/>
    <w:rsid w:val="3E0720FE"/>
    <w:rsid w:val="3E2616EC"/>
    <w:rsid w:val="3E2819F6"/>
    <w:rsid w:val="3E287A22"/>
    <w:rsid w:val="3E5A7FE7"/>
    <w:rsid w:val="3E7D40EF"/>
    <w:rsid w:val="3E955A6A"/>
    <w:rsid w:val="3E964D81"/>
    <w:rsid w:val="3EB15A22"/>
    <w:rsid w:val="3EF66B2E"/>
    <w:rsid w:val="3F217914"/>
    <w:rsid w:val="3FD10810"/>
    <w:rsid w:val="3FD70BB0"/>
    <w:rsid w:val="3FFB55AC"/>
    <w:rsid w:val="40017152"/>
    <w:rsid w:val="401C5F9D"/>
    <w:rsid w:val="401C690C"/>
    <w:rsid w:val="401D7195"/>
    <w:rsid w:val="405C1C05"/>
    <w:rsid w:val="407A652F"/>
    <w:rsid w:val="40825D97"/>
    <w:rsid w:val="40836C36"/>
    <w:rsid w:val="40870EA3"/>
    <w:rsid w:val="409928E7"/>
    <w:rsid w:val="40997CFE"/>
    <w:rsid w:val="40C34607"/>
    <w:rsid w:val="40CE3DC0"/>
    <w:rsid w:val="40D7455A"/>
    <w:rsid w:val="40E743E5"/>
    <w:rsid w:val="40EB4012"/>
    <w:rsid w:val="41075C9E"/>
    <w:rsid w:val="410A1661"/>
    <w:rsid w:val="412D5EA0"/>
    <w:rsid w:val="4139423D"/>
    <w:rsid w:val="415A62F5"/>
    <w:rsid w:val="416D78C7"/>
    <w:rsid w:val="41734CBA"/>
    <w:rsid w:val="417F4E1A"/>
    <w:rsid w:val="418B0C8A"/>
    <w:rsid w:val="41A82190"/>
    <w:rsid w:val="41DE5999"/>
    <w:rsid w:val="41E1181A"/>
    <w:rsid w:val="41E32A20"/>
    <w:rsid w:val="41FA3241"/>
    <w:rsid w:val="420F7A65"/>
    <w:rsid w:val="4216611A"/>
    <w:rsid w:val="42321B6A"/>
    <w:rsid w:val="423E300F"/>
    <w:rsid w:val="425656C8"/>
    <w:rsid w:val="4257273C"/>
    <w:rsid w:val="42687ACE"/>
    <w:rsid w:val="4270145E"/>
    <w:rsid w:val="429E6041"/>
    <w:rsid w:val="42BF4B02"/>
    <w:rsid w:val="42FD694D"/>
    <w:rsid w:val="43034DFA"/>
    <w:rsid w:val="437D6687"/>
    <w:rsid w:val="438351F5"/>
    <w:rsid w:val="438D35EA"/>
    <w:rsid w:val="43BC1E57"/>
    <w:rsid w:val="43D23F8D"/>
    <w:rsid w:val="43D43F1D"/>
    <w:rsid w:val="43FA5777"/>
    <w:rsid w:val="44023422"/>
    <w:rsid w:val="44184A2D"/>
    <w:rsid w:val="441C1611"/>
    <w:rsid w:val="443C440B"/>
    <w:rsid w:val="44514F52"/>
    <w:rsid w:val="44761C8F"/>
    <w:rsid w:val="44955E02"/>
    <w:rsid w:val="449722E3"/>
    <w:rsid w:val="449D7B09"/>
    <w:rsid w:val="44AE3FD4"/>
    <w:rsid w:val="44D0586F"/>
    <w:rsid w:val="44FA2D53"/>
    <w:rsid w:val="453C4912"/>
    <w:rsid w:val="45632D6F"/>
    <w:rsid w:val="45687813"/>
    <w:rsid w:val="4571374F"/>
    <w:rsid w:val="458B1BB0"/>
    <w:rsid w:val="45A41560"/>
    <w:rsid w:val="45AD31D6"/>
    <w:rsid w:val="45B93426"/>
    <w:rsid w:val="45CF1361"/>
    <w:rsid w:val="464C6420"/>
    <w:rsid w:val="46552F9B"/>
    <w:rsid w:val="467A0297"/>
    <w:rsid w:val="46815809"/>
    <w:rsid w:val="468B7125"/>
    <w:rsid w:val="46B506EF"/>
    <w:rsid w:val="46C4691F"/>
    <w:rsid w:val="46CB53EF"/>
    <w:rsid w:val="46D700D9"/>
    <w:rsid w:val="46EE513F"/>
    <w:rsid w:val="470F5A71"/>
    <w:rsid w:val="473154FF"/>
    <w:rsid w:val="47685427"/>
    <w:rsid w:val="476C4065"/>
    <w:rsid w:val="4779499C"/>
    <w:rsid w:val="477B6530"/>
    <w:rsid w:val="47801172"/>
    <w:rsid w:val="479D1D34"/>
    <w:rsid w:val="47B609C0"/>
    <w:rsid w:val="47EC3B04"/>
    <w:rsid w:val="47EC6277"/>
    <w:rsid w:val="48021483"/>
    <w:rsid w:val="481A219B"/>
    <w:rsid w:val="482D31EA"/>
    <w:rsid w:val="48447D02"/>
    <w:rsid w:val="485970A0"/>
    <w:rsid w:val="486A6E89"/>
    <w:rsid w:val="48823516"/>
    <w:rsid w:val="48877686"/>
    <w:rsid w:val="488B498B"/>
    <w:rsid w:val="48B176C2"/>
    <w:rsid w:val="48B65C71"/>
    <w:rsid w:val="48C453C8"/>
    <w:rsid w:val="48D550F0"/>
    <w:rsid w:val="48FB1909"/>
    <w:rsid w:val="491F266E"/>
    <w:rsid w:val="492E6A57"/>
    <w:rsid w:val="495839AA"/>
    <w:rsid w:val="49700A6F"/>
    <w:rsid w:val="49771AFE"/>
    <w:rsid w:val="49802948"/>
    <w:rsid w:val="4986089F"/>
    <w:rsid w:val="498B5309"/>
    <w:rsid w:val="499F0AAB"/>
    <w:rsid w:val="49C154CE"/>
    <w:rsid w:val="49C33FF5"/>
    <w:rsid w:val="49DB11EC"/>
    <w:rsid w:val="49E31DD1"/>
    <w:rsid w:val="4A0030EE"/>
    <w:rsid w:val="4A0568D6"/>
    <w:rsid w:val="4A0C4F3C"/>
    <w:rsid w:val="4A162478"/>
    <w:rsid w:val="4A171EC9"/>
    <w:rsid w:val="4A1A1689"/>
    <w:rsid w:val="4A484D41"/>
    <w:rsid w:val="4A6D15F8"/>
    <w:rsid w:val="4A7617B6"/>
    <w:rsid w:val="4A8C4FB8"/>
    <w:rsid w:val="4A9A25BD"/>
    <w:rsid w:val="4A9E0551"/>
    <w:rsid w:val="4AB542AE"/>
    <w:rsid w:val="4AF72FEA"/>
    <w:rsid w:val="4B1477B3"/>
    <w:rsid w:val="4B1F062C"/>
    <w:rsid w:val="4B243D9D"/>
    <w:rsid w:val="4B281425"/>
    <w:rsid w:val="4B6F66A1"/>
    <w:rsid w:val="4B85213F"/>
    <w:rsid w:val="4B8C2DEB"/>
    <w:rsid w:val="4BFA3C9F"/>
    <w:rsid w:val="4BFA7F6C"/>
    <w:rsid w:val="4C107F48"/>
    <w:rsid w:val="4C3117D0"/>
    <w:rsid w:val="4C313A81"/>
    <w:rsid w:val="4C3277BC"/>
    <w:rsid w:val="4C5C442D"/>
    <w:rsid w:val="4C6D42A9"/>
    <w:rsid w:val="4C716A38"/>
    <w:rsid w:val="4CC0351C"/>
    <w:rsid w:val="4CC353EB"/>
    <w:rsid w:val="4CE64E14"/>
    <w:rsid w:val="4CE95EE5"/>
    <w:rsid w:val="4CF36F3C"/>
    <w:rsid w:val="4D007BC8"/>
    <w:rsid w:val="4D0602E5"/>
    <w:rsid w:val="4D1470BD"/>
    <w:rsid w:val="4D154882"/>
    <w:rsid w:val="4D1C3C50"/>
    <w:rsid w:val="4D29313A"/>
    <w:rsid w:val="4D603399"/>
    <w:rsid w:val="4D6A7284"/>
    <w:rsid w:val="4D6E30E1"/>
    <w:rsid w:val="4D867EE1"/>
    <w:rsid w:val="4DBC4C65"/>
    <w:rsid w:val="4DC9105D"/>
    <w:rsid w:val="4DE2009B"/>
    <w:rsid w:val="4DF86974"/>
    <w:rsid w:val="4E0F235E"/>
    <w:rsid w:val="4E157689"/>
    <w:rsid w:val="4E471216"/>
    <w:rsid w:val="4E533FA5"/>
    <w:rsid w:val="4E550010"/>
    <w:rsid w:val="4E5F14CB"/>
    <w:rsid w:val="4E6808B0"/>
    <w:rsid w:val="4E752A0A"/>
    <w:rsid w:val="4E780BC4"/>
    <w:rsid w:val="4EBA42F2"/>
    <w:rsid w:val="4EC00DDD"/>
    <w:rsid w:val="4ED908C5"/>
    <w:rsid w:val="4EF265BE"/>
    <w:rsid w:val="4EFB1C45"/>
    <w:rsid w:val="4F0C2A48"/>
    <w:rsid w:val="4F26273B"/>
    <w:rsid w:val="4F2D3A8A"/>
    <w:rsid w:val="4F32478A"/>
    <w:rsid w:val="4F3705F8"/>
    <w:rsid w:val="4F913A9A"/>
    <w:rsid w:val="4F9714A0"/>
    <w:rsid w:val="4FAA3F91"/>
    <w:rsid w:val="4FAC3540"/>
    <w:rsid w:val="4FCF1583"/>
    <w:rsid w:val="4FD23E66"/>
    <w:rsid w:val="4FD44D1B"/>
    <w:rsid w:val="4FDC066D"/>
    <w:rsid w:val="4FFA7625"/>
    <w:rsid w:val="50453E7E"/>
    <w:rsid w:val="50594CF7"/>
    <w:rsid w:val="507D2599"/>
    <w:rsid w:val="5096229D"/>
    <w:rsid w:val="509E157D"/>
    <w:rsid w:val="50A6165E"/>
    <w:rsid w:val="50DC4184"/>
    <w:rsid w:val="50FB6146"/>
    <w:rsid w:val="512F4CA0"/>
    <w:rsid w:val="51361FFF"/>
    <w:rsid w:val="513D4C38"/>
    <w:rsid w:val="514C3EA7"/>
    <w:rsid w:val="51AC4D00"/>
    <w:rsid w:val="51FF3C99"/>
    <w:rsid w:val="522A20E4"/>
    <w:rsid w:val="52363D4D"/>
    <w:rsid w:val="524A2AC9"/>
    <w:rsid w:val="52521A20"/>
    <w:rsid w:val="528604EC"/>
    <w:rsid w:val="529E2C3A"/>
    <w:rsid w:val="52AC4ABC"/>
    <w:rsid w:val="52C201B9"/>
    <w:rsid w:val="52E57A12"/>
    <w:rsid w:val="52F20B62"/>
    <w:rsid w:val="531C4FCC"/>
    <w:rsid w:val="53827E49"/>
    <w:rsid w:val="538A6BB9"/>
    <w:rsid w:val="539964FD"/>
    <w:rsid w:val="539C1B81"/>
    <w:rsid w:val="539D7755"/>
    <w:rsid w:val="53A447B1"/>
    <w:rsid w:val="53AE750F"/>
    <w:rsid w:val="53D224B3"/>
    <w:rsid w:val="53F81D96"/>
    <w:rsid w:val="541D5DE8"/>
    <w:rsid w:val="541F57C4"/>
    <w:rsid w:val="544B5214"/>
    <w:rsid w:val="546F523C"/>
    <w:rsid w:val="54782FBD"/>
    <w:rsid w:val="5483138F"/>
    <w:rsid w:val="5488523A"/>
    <w:rsid w:val="549A6BFA"/>
    <w:rsid w:val="54C341E7"/>
    <w:rsid w:val="54D933CD"/>
    <w:rsid w:val="551751CF"/>
    <w:rsid w:val="5522558F"/>
    <w:rsid w:val="55244D7F"/>
    <w:rsid w:val="55305397"/>
    <w:rsid w:val="55362287"/>
    <w:rsid w:val="55432F3C"/>
    <w:rsid w:val="55A37FFD"/>
    <w:rsid w:val="55AE22F1"/>
    <w:rsid w:val="55C3227E"/>
    <w:rsid w:val="55CE1AA9"/>
    <w:rsid w:val="55F6381F"/>
    <w:rsid w:val="55FA2961"/>
    <w:rsid w:val="5602250F"/>
    <w:rsid w:val="564220BA"/>
    <w:rsid w:val="565E7F4F"/>
    <w:rsid w:val="565F3DA6"/>
    <w:rsid w:val="56914056"/>
    <w:rsid w:val="56B61E36"/>
    <w:rsid w:val="56C36589"/>
    <w:rsid w:val="570D55B0"/>
    <w:rsid w:val="57293C95"/>
    <w:rsid w:val="572A6381"/>
    <w:rsid w:val="572B41B4"/>
    <w:rsid w:val="57365868"/>
    <w:rsid w:val="573C1959"/>
    <w:rsid w:val="5747618B"/>
    <w:rsid w:val="57554571"/>
    <w:rsid w:val="57F65317"/>
    <w:rsid w:val="57FC2169"/>
    <w:rsid w:val="58024015"/>
    <w:rsid w:val="58096275"/>
    <w:rsid w:val="5819544F"/>
    <w:rsid w:val="582D6D32"/>
    <w:rsid w:val="582E6EF7"/>
    <w:rsid w:val="584E30E6"/>
    <w:rsid w:val="58546EFD"/>
    <w:rsid w:val="5881703E"/>
    <w:rsid w:val="588467C2"/>
    <w:rsid w:val="58E26731"/>
    <w:rsid w:val="58EB1371"/>
    <w:rsid w:val="59091D98"/>
    <w:rsid w:val="590E4A97"/>
    <w:rsid w:val="591250FF"/>
    <w:rsid w:val="5920012C"/>
    <w:rsid w:val="593700E7"/>
    <w:rsid w:val="595578DE"/>
    <w:rsid w:val="597B384D"/>
    <w:rsid w:val="59996DA8"/>
    <w:rsid w:val="59C30F1B"/>
    <w:rsid w:val="59CE4759"/>
    <w:rsid w:val="59D90B78"/>
    <w:rsid w:val="5A814766"/>
    <w:rsid w:val="5A8C20D0"/>
    <w:rsid w:val="5ABC29E4"/>
    <w:rsid w:val="5AC7121C"/>
    <w:rsid w:val="5AD90B8D"/>
    <w:rsid w:val="5AE12927"/>
    <w:rsid w:val="5AE35472"/>
    <w:rsid w:val="5AF41CF3"/>
    <w:rsid w:val="5AF87CC9"/>
    <w:rsid w:val="5B07329F"/>
    <w:rsid w:val="5B4E1A44"/>
    <w:rsid w:val="5B873201"/>
    <w:rsid w:val="5B967767"/>
    <w:rsid w:val="5B9D1624"/>
    <w:rsid w:val="5BBF73E2"/>
    <w:rsid w:val="5BEE5378"/>
    <w:rsid w:val="5C0C2FF6"/>
    <w:rsid w:val="5C1241CC"/>
    <w:rsid w:val="5C286807"/>
    <w:rsid w:val="5C34339E"/>
    <w:rsid w:val="5C355656"/>
    <w:rsid w:val="5C370E72"/>
    <w:rsid w:val="5C446BC8"/>
    <w:rsid w:val="5C4B56E1"/>
    <w:rsid w:val="5C5C51C2"/>
    <w:rsid w:val="5C7146B1"/>
    <w:rsid w:val="5C7C2768"/>
    <w:rsid w:val="5CAD3BC1"/>
    <w:rsid w:val="5CAE62DC"/>
    <w:rsid w:val="5CB23AE6"/>
    <w:rsid w:val="5CB412C7"/>
    <w:rsid w:val="5CED5863"/>
    <w:rsid w:val="5D0D6DF5"/>
    <w:rsid w:val="5D4A5E05"/>
    <w:rsid w:val="5D580A8A"/>
    <w:rsid w:val="5D7E6D71"/>
    <w:rsid w:val="5D893B14"/>
    <w:rsid w:val="5DB42C29"/>
    <w:rsid w:val="5E1219F7"/>
    <w:rsid w:val="5E18541D"/>
    <w:rsid w:val="5E291636"/>
    <w:rsid w:val="5E48511F"/>
    <w:rsid w:val="5E655B72"/>
    <w:rsid w:val="5E8B0770"/>
    <w:rsid w:val="5EA06921"/>
    <w:rsid w:val="5EBA259F"/>
    <w:rsid w:val="5EE1082B"/>
    <w:rsid w:val="5EE97BB4"/>
    <w:rsid w:val="5EF55BC9"/>
    <w:rsid w:val="5F085DDA"/>
    <w:rsid w:val="5F2E2D52"/>
    <w:rsid w:val="5F54198B"/>
    <w:rsid w:val="5F6C74C2"/>
    <w:rsid w:val="5F9D1350"/>
    <w:rsid w:val="5FA44AD1"/>
    <w:rsid w:val="5FBE370A"/>
    <w:rsid w:val="5FC61F2E"/>
    <w:rsid w:val="5FC83407"/>
    <w:rsid w:val="5FD56E87"/>
    <w:rsid w:val="5FF0558C"/>
    <w:rsid w:val="60015A45"/>
    <w:rsid w:val="601A27F4"/>
    <w:rsid w:val="60292845"/>
    <w:rsid w:val="60485461"/>
    <w:rsid w:val="606F2632"/>
    <w:rsid w:val="6071543B"/>
    <w:rsid w:val="607921FE"/>
    <w:rsid w:val="607E12CC"/>
    <w:rsid w:val="608F62AE"/>
    <w:rsid w:val="60B9251B"/>
    <w:rsid w:val="60E236C1"/>
    <w:rsid w:val="60E37983"/>
    <w:rsid w:val="61260B6B"/>
    <w:rsid w:val="612B3ABB"/>
    <w:rsid w:val="612E1A5D"/>
    <w:rsid w:val="614E5D7E"/>
    <w:rsid w:val="61816046"/>
    <w:rsid w:val="61BD04E4"/>
    <w:rsid w:val="61C81AB1"/>
    <w:rsid w:val="620B0059"/>
    <w:rsid w:val="62370EC6"/>
    <w:rsid w:val="62391564"/>
    <w:rsid w:val="624A22BE"/>
    <w:rsid w:val="6263230B"/>
    <w:rsid w:val="626E235A"/>
    <w:rsid w:val="626F60D5"/>
    <w:rsid w:val="62816669"/>
    <w:rsid w:val="6282086D"/>
    <w:rsid w:val="629007F7"/>
    <w:rsid w:val="62AB4D99"/>
    <w:rsid w:val="62B36CD7"/>
    <w:rsid w:val="62BA0953"/>
    <w:rsid w:val="62D03A7C"/>
    <w:rsid w:val="62F42FAE"/>
    <w:rsid w:val="62F648FE"/>
    <w:rsid w:val="63167A4F"/>
    <w:rsid w:val="631D2BD6"/>
    <w:rsid w:val="635356F3"/>
    <w:rsid w:val="637D5B70"/>
    <w:rsid w:val="63825E77"/>
    <w:rsid w:val="63A10995"/>
    <w:rsid w:val="63C23EFA"/>
    <w:rsid w:val="63D255DA"/>
    <w:rsid w:val="63EB2168"/>
    <w:rsid w:val="63F854C1"/>
    <w:rsid w:val="63FB5857"/>
    <w:rsid w:val="64076B79"/>
    <w:rsid w:val="640B7654"/>
    <w:rsid w:val="64116D46"/>
    <w:rsid w:val="643A070A"/>
    <w:rsid w:val="64410A96"/>
    <w:rsid w:val="644C573D"/>
    <w:rsid w:val="64507EFB"/>
    <w:rsid w:val="64F15CBB"/>
    <w:rsid w:val="65032F85"/>
    <w:rsid w:val="651304A7"/>
    <w:rsid w:val="65136B50"/>
    <w:rsid w:val="6531690D"/>
    <w:rsid w:val="65320485"/>
    <w:rsid w:val="655A12F3"/>
    <w:rsid w:val="657E2A35"/>
    <w:rsid w:val="65A94E9D"/>
    <w:rsid w:val="65B96B3F"/>
    <w:rsid w:val="65BE1071"/>
    <w:rsid w:val="65C60A92"/>
    <w:rsid w:val="65DB19DF"/>
    <w:rsid w:val="660451CE"/>
    <w:rsid w:val="664B3BEB"/>
    <w:rsid w:val="665346B7"/>
    <w:rsid w:val="667C7CCE"/>
    <w:rsid w:val="66A12460"/>
    <w:rsid w:val="66BE2423"/>
    <w:rsid w:val="66DD6702"/>
    <w:rsid w:val="66E856F1"/>
    <w:rsid w:val="66FB0BAD"/>
    <w:rsid w:val="671B1623"/>
    <w:rsid w:val="671E6EBA"/>
    <w:rsid w:val="6731269C"/>
    <w:rsid w:val="675352AA"/>
    <w:rsid w:val="6759400B"/>
    <w:rsid w:val="675E528D"/>
    <w:rsid w:val="676C598C"/>
    <w:rsid w:val="67966EFB"/>
    <w:rsid w:val="679E7FA1"/>
    <w:rsid w:val="67A32389"/>
    <w:rsid w:val="67B768D0"/>
    <w:rsid w:val="67C779FD"/>
    <w:rsid w:val="67C85DAF"/>
    <w:rsid w:val="68281CFE"/>
    <w:rsid w:val="682A2352"/>
    <w:rsid w:val="682A2630"/>
    <w:rsid w:val="682E4A5B"/>
    <w:rsid w:val="682E7AFD"/>
    <w:rsid w:val="68707071"/>
    <w:rsid w:val="687A4379"/>
    <w:rsid w:val="687B015C"/>
    <w:rsid w:val="687E3889"/>
    <w:rsid w:val="6884222C"/>
    <w:rsid w:val="68A957C8"/>
    <w:rsid w:val="68AD17BB"/>
    <w:rsid w:val="68D6620B"/>
    <w:rsid w:val="68D94D22"/>
    <w:rsid w:val="68F06F2B"/>
    <w:rsid w:val="69011241"/>
    <w:rsid w:val="692B2E4A"/>
    <w:rsid w:val="696A0B34"/>
    <w:rsid w:val="69821807"/>
    <w:rsid w:val="698D6A17"/>
    <w:rsid w:val="699026E3"/>
    <w:rsid w:val="699E0BED"/>
    <w:rsid w:val="699F0522"/>
    <w:rsid w:val="69D37590"/>
    <w:rsid w:val="69F954C1"/>
    <w:rsid w:val="6A1E1E73"/>
    <w:rsid w:val="6A2031B6"/>
    <w:rsid w:val="6A2F57D7"/>
    <w:rsid w:val="6A3924BB"/>
    <w:rsid w:val="6A3C1D40"/>
    <w:rsid w:val="6A6432E1"/>
    <w:rsid w:val="6AA23DFF"/>
    <w:rsid w:val="6AAA6F38"/>
    <w:rsid w:val="6AC61F6F"/>
    <w:rsid w:val="6AD34E53"/>
    <w:rsid w:val="6AD83EA1"/>
    <w:rsid w:val="6ADE74F0"/>
    <w:rsid w:val="6B1D62E8"/>
    <w:rsid w:val="6B723594"/>
    <w:rsid w:val="6B805156"/>
    <w:rsid w:val="6B945E48"/>
    <w:rsid w:val="6B974A7B"/>
    <w:rsid w:val="6BD50977"/>
    <w:rsid w:val="6BE147F5"/>
    <w:rsid w:val="6BE450D3"/>
    <w:rsid w:val="6BE60C84"/>
    <w:rsid w:val="6C437022"/>
    <w:rsid w:val="6C4F0900"/>
    <w:rsid w:val="6C686C5B"/>
    <w:rsid w:val="6C6C32E1"/>
    <w:rsid w:val="6C6E3E15"/>
    <w:rsid w:val="6C8B1F5D"/>
    <w:rsid w:val="6CA85D3A"/>
    <w:rsid w:val="6CAA3931"/>
    <w:rsid w:val="6CE2512E"/>
    <w:rsid w:val="6CEA06D7"/>
    <w:rsid w:val="6CF47434"/>
    <w:rsid w:val="6CF70607"/>
    <w:rsid w:val="6D325918"/>
    <w:rsid w:val="6D3933CA"/>
    <w:rsid w:val="6D401810"/>
    <w:rsid w:val="6D6261FE"/>
    <w:rsid w:val="6D7B222A"/>
    <w:rsid w:val="6D7B61EC"/>
    <w:rsid w:val="6D8E03AA"/>
    <w:rsid w:val="6DBB089F"/>
    <w:rsid w:val="6DC63038"/>
    <w:rsid w:val="6DDC5608"/>
    <w:rsid w:val="6DE30DE0"/>
    <w:rsid w:val="6DE6130A"/>
    <w:rsid w:val="6E09491E"/>
    <w:rsid w:val="6E0D3655"/>
    <w:rsid w:val="6E1A437E"/>
    <w:rsid w:val="6E3A144E"/>
    <w:rsid w:val="6E5606D3"/>
    <w:rsid w:val="6E5F4465"/>
    <w:rsid w:val="6E8B1663"/>
    <w:rsid w:val="6E8C54DA"/>
    <w:rsid w:val="6EB15202"/>
    <w:rsid w:val="6EB752BD"/>
    <w:rsid w:val="6EF11E03"/>
    <w:rsid w:val="6EF1241D"/>
    <w:rsid w:val="6EF82916"/>
    <w:rsid w:val="6F0B2DE7"/>
    <w:rsid w:val="6F111C62"/>
    <w:rsid w:val="6F2176E5"/>
    <w:rsid w:val="6F3A2A5F"/>
    <w:rsid w:val="6F4F7F03"/>
    <w:rsid w:val="6F5523A2"/>
    <w:rsid w:val="6F592303"/>
    <w:rsid w:val="6F5F5B74"/>
    <w:rsid w:val="6F682400"/>
    <w:rsid w:val="6F9600A4"/>
    <w:rsid w:val="6F98032D"/>
    <w:rsid w:val="6F9B1C65"/>
    <w:rsid w:val="6FA44937"/>
    <w:rsid w:val="6FAD3FB9"/>
    <w:rsid w:val="6FE82C9C"/>
    <w:rsid w:val="6FFB146E"/>
    <w:rsid w:val="70160742"/>
    <w:rsid w:val="7030610F"/>
    <w:rsid w:val="70612DB4"/>
    <w:rsid w:val="706516C3"/>
    <w:rsid w:val="70660714"/>
    <w:rsid w:val="70896E68"/>
    <w:rsid w:val="708A4844"/>
    <w:rsid w:val="70C94DCA"/>
    <w:rsid w:val="70E05E9D"/>
    <w:rsid w:val="71073061"/>
    <w:rsid w:val="711A201F"/>
    <w:rsid w:val="71215AE9"/>
    <w:rsid w:val="712864E5"/>
    <w:rsid w:val="71396ACC"/>
    <w:rsid w:val="715B60E9"/>
    <w:rsid w:val="716F0EE9"/>
    <w:rsid w:val="7196674D"/>
    <w:rsid w:val="719E245E"/>
    <w:rsid w:val="71BA3FE5"/>
    <w:rsid w:val="71DB1B63"/>
    <w:rsid w:val="71EA1FED"/>
    <w:rsid w:val="72165C6B"/>
    <w:rsid w:val="722021E3"/>
    <w:rsid w:val="72290340"/>
    <w:rsid w:val="722C6DDA"/>
    <w:rsid w:val="72515945"/>
    <w:rsid w:val="727434B8"/>
    <w:rsid w:val="729243CB"/>
    <w:rsid w:val="72987FAB"/>
    <w:rsid w:val="72E661B1"/>
    <w:rsid w:val="730313F6"/>
    <w:rsid w:val="730E4732"/>
    <w:rsid w:val="73370D24"/>
    <w:rsid w:val="73397FB3"/>
    <w:rsid w:val="7347046E"/>
    <w:rsid w:val="73472C84"/>
    <w:rsid w:val="7359268C"/>
    <w:rsid w:val="735F327A"/>
    <w:rsid w:val="7366631C"/>
    <w:rsid w:val="736C263C"/>
    <w:rsid w:val="73723640"/>
    <w:rsid w:val="737311F5"/>
    <w:rsid w:val="739503EB"/>
    <w:rsid w:val="73A05B28"/>
    <w:rsid w:val="73C07D69"/>
    <w:rsid w:val="73C979D4"/>
    <w:rsid w:val="73DC335B"/>
    <w:rsid w:val="740B60EC"/>
    <w:rsid w:val="745E7D35"/>
    <w:rsid w:val="7465362D"/>
    <w:rsid w:val="7475188D"/>
    <w:rsid w:val="749E16A8"/>
    <w:rsid w:val="74B42AE4"/>
    <w:rsid w:val="74C54993"/>
    <w:rsid w:val="74EB68F6"/>
    <w:rsid w:val="750A429D"/>
    <w:rsid w:val="752739E7"/>
    <w:rsid w:val="75474B47"/>
    <w:rsid w:val="75533AB0"/>
    <w:rsid w:val="75614792"/>
    <w:rsid w:val="75761866"/>
    <w:rsid w:val="75784473"/>
    <w:rsid w:val="75B10995"/>
    <w:rsid w:val="75B161B3"/>
    <w:rsid w:val="75DC6C44"/>
    <w:rsid w:val="75F05CC0"/>
    <w:rsid w:val="762F6A19"/>
    <w:rsid w:val="76341B33"/>
    <w:rsid w:val="76736B32"/>
    <w:rsid w:val="76807C04"/>
    <w:rsid w:val="76AF35EE"/>
    <w:rsid w:val="76C27A74"/>
    <w:rsid w:val="76C726A5"/>
    <w:rsid w:val="76E3765E"/>
    <w:rsid w:val="76FC2AFA"/>
    <w:rsid w:val="77527424"/>
    <w:rsid w:val="77653671"/>
    <w:rsid w:val="77707007"/>
    <w:rsid w:val="778546CC"/>
    <w:rsid w:val="778B6B46"/>
    <w:rsid w:val="77A337B9"/>
    <w:rsid w:val="77B551B3"/>
    <w:rsid w:val="77B56730"/>
    <w:rsid w:val="77B92EBE"/>
    <w:rsid w:val="77C04A8B"/>
    <w:rsid w:val="77D85DB3"/>
    <w:rsid w:val="77EB1B74"/>
    <w:rsid w:val="7800326E"/>
    <w:rsid w:val="782A3EA3"/>
    <w:rsid w:val="78490703"/>
    <w:rsid w:val="78A50513"/>
    <w:rsid w:val="78C43087"/>
    <w:rsid w:val="78D37FAF"/>
    <w:rsid w:val="78EF7AB5"/>
    <w:rsid w:val="790D6849"/>
    <w:rsid w:val="79335925"/>
    <w:rsid w:val="795767E3"/>
    <w:rsid w:val="79586707"/>
    <w:rsid w:val="796518DD"/>
    <w:rsid w:val="79724BEF"/>
    <w:rsid w:val="797264AC"/>
    <w:rsid w:val="79AA0532"/>
    <w:rsid w:val="79FA22BC"/>
    <w:rsid w:val="79FE1DDD"/>
    <w:rsid w:val="7A075767"/>
    <w:rsid w:val="7A0C15B3"/>
    <w:rsid w:val="7A212062"/>
    <w:rsid w:val="7A2522C9"/>
    <w:rsid w:val="7A282A11"/>
    <w:rsid w:val="7A361A9D"/>
    <w:rsid w:val="7A3A59B8"/>
    <w:rsid w:val="7A5D0F75"/>
    <w:rsid w:val="7A715CD2"/>
    <w:rsid w:val="7A921E9A"/>
    <w:rsid w:val="7A9E53BF"/>
    <w:rsid w:val="7AA914B9"/>
    <w:rsid w:val="7ABF2475"/>
    <w:rsid w:val="7AC21562"/>
    <w:rsid w:val="7AD474A4"/>
    <w:rsid w:val="7AFC38DE"/>
    <w:rsid w:val="7B303E8C"/>
    <w:rsid w:val="7B7D6B6D"/>
    <w:rsid w:val="7B865D50"/>
    <w:rsid w:val="7B8D34C3"/>
    <w:rsid w:val="7B927DCC"/>
    <w:rsid w:val="7B971D84"/>
    <w:rsid w:val="7BAB0CB7"/>
    <w:rsid w:val="7BB4028F"/>
    <w:rsid w:val="7BC1107E"/>
    <w:rsid w:val="7BEC1E11"/>
    <w:rsid w:val="7BF32F03"/>
    <w:rsid w:val="7BF50D2C"/>
    <w:rsid w:val="7C066F4E"/>
    <w:rsid w:val="7C0B0C1C"/>
    <w:rsid w:val="7C1724A5"/>
    <w:rsid w:val="7C8561DF"/>
    <w:rsid w:val="7C930571"/>
    <w:rsid w:val="7CA54112"/>
    <w:rsid w:val="7CA553D9"/>
    <w:rsid w:val="7CAB27F5"/>
    <w:rsid w:val="7CAF438A"/>
    <w:rsid w:val="7CCE726D"/>
    <w:rsid w:val="7CD71EA3"/>
    <w:rsid w:val="7CE50CE4"/>
    <w:rsid w:val="7CE94EE1"/>
    <w:rsid w:val="7CF877E9"/>
    <w:rsid w:val="7D134762"/>
    <w:rsid w:val="7D244CB3"/>
    <w:rsid w:val="7D2E5ABF"/>
    <w:rsid w:val="7D4A45B8"/>
    <w:rsid w:val="7D535AC7"/>
    <w:rsid w:val="7D964A74"/>
    <w:rsid w:val="7DFB43EA"/>
    <w:rsid w:val="7E007625"/>
    <w:rsid w:val="7E0737C8"/>
    <w:rsid w:val="7E131C51"/>
    <w:rsid w:val="7E176B90"/>
    <w:rsid w:val="7E2142A2"/>
    <w:rsid w:val="7E240411"/>
    <w:rsid w:val="7E48335A"/>
    <w:rsid w:val="7E797DE5"/>
    <w:rsid w:val="7E7B0BF2"/>
    <w:rsid w:val="7E8D75B6"/>
    <w:rsid w:val="7E8E672B"/>
    <w:rsid w:val="7EA27DDF"/>
    <w:rsid w:val="7EC67BB0"/>
    <w:rsid w:val="7ED809AD"/>
    <w:rsid w:val="7EF760EE"/>
    <w:rsid w:val="7F2536B5"/>
    <w:rsid w:val="7F2C3CE7"/>
    <w:rsid w:val="7F5A01CA"/>
    <w:rsid w:val="7F636B2B"/>
    <w:rsid w:val="7F75661B"/>
    <w:rsid w:val="7FB17429"/>
    <w:rsid w:val="7FC237CA"/>
    <w:rsid w:val="7FF12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link w:val="73"/>
    <w:qFormat/>
    <w:uiPriority w:val="9"/>
    <w:pPr>
      <w:keepNext/>
      <w:keepLines/>
      <w:spacing w:before="340" w:after="330" w:line="576" w:lineRule="auto"/>
      <w:outlineLvl w:val="0"/>
    </w:pPr>
    <w:rPr>
      <w:b/>
      <w:kern w:val="44"/>
      <w:sz w:val="44"/>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link w:val="72"/>
    <w:semiHidden/>
    <w:unhideWhenUsed/>
    <w:qFormat/>
    <w:uiPriority w:val="9"/>
    <w:pPr>
      <w:keepNext/>
      <w:keepLines/>
      <w:spacing w:before="280" w:after="290" w:line="372" w:lineRule="auto"/>
      <w:outlineLvl w:val="4"/>
    </w:pPr>
    <w:rPr>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8">
    <w:name w:val="annotation text"/>
    <w:basedOn w:val="1"/>
    <w:link w:val="61"/>
    <w:unhideWhenUsed/>
    <w:qFormat/>
    <w:uiPriority w:val="99"/>
  </w:style>
  <w:style w:type="paragraph" w:styleId="9">
    <w:name w:val="Body Text"/>
    <w:basedOn w:val="1"/>
    <w:next w:val="1"/>
    <w:link w:val="64"/>
    <w:qFormat/>
    <w:uiPriority w:val="1"/>
    <w:pPr>
      <w:spacing w:before="161"/>
      <w:ind w:left="120"/>
    </w:pPr>
    <w:rPr>
      <w:rFonts w:ascii="宋体" w:hAnsi="宋体" w:cs="宋体"/>
      <w:sz w:val="24"/>
      <w:lang w:val="zh-CN" w:bidi="zh-CN"/>
    </w:rPr>
  </w:style>
  <w:style w:type="paragraph" w:styleId="10">
    <w:name w:val="Body Text Indent"/>
    <w:basedOn w:val="1"/>
    <w:qFormat/>
    <w:uiPriority w:val="0"/>
    <w:pPr>
      <w:ind w:left="359" w:leftChars="171" w:firstLine="179" w:firstLineChars="85"/>
    </w:pPr>
    <w:rPr>
      <w:rFonts w:ascii="宋体" w:hAnsi="宋体"/>
      <w:b/>
      <w:bCs/>
      <w:szCs w:val="26"/>
    </w:rPr>
  </w:style>
  <w:style w:type="paragraph" w:styleId="11">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2">
    <w:name w:val="toc 3"/>
    <w:basedOn w:val="1"/>
    <w:next w:val="1"/>
    <w:unhideWhenUsed/>
    <w:qFormat/>
    <w:uiPriority w:val="39"/>
    <w:pPr>
      <w:tabs>
        <w:tab w:val="right" w:leader="dot" w:pos="8296"/>
      </w:tabs>
      <w:ind w:left="838" w:leftChars="381"/>
    </w:pPr>
    <w:rPr>
      <w:szCs w:val="21"/>
    </w:rPr>
  </w:style>
  <w:style w:type="paragraph" w:styleId="13">
    <w:name w:val="Plain Text"/>
    <w:basedOn w:val="1"/>
    <w:link w:val="53"/>
    <w:qFormat/>
    <w:uiPriority w:val="0"/>
    <w:pPr>
      <w:widowControl w:val="0"/>
      <w:adjustRightInd/>
      <w:snapToGrid/>
      <w:jc w:val="both"/>
    </w:pPr>
    <w:rPr>
      <w:rFonts w:ascii="宋体" w:hAnsi="Courier New" w:cs="Times New Roman"/>
      <w:b/>
      <w:kern w:val="2"/>
      <w:szCs w:val="20"/>
    </w:rPr>
  </w:style>
  <w:style w:type="paragraph" w:styleId="14">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5">
    <w:name w:val="Balloon Text"/>
    <w:basedOn w:val="1"/>
    <w:link w:val="56"/>
    <w:semiHidden/>
    <w:unhideWhenUsed/>
    <w:qFormat/>
    <w:uiPriority w:val="99"/>
    <w:rPr>
      <w:sz w:val="18"/>
      <w:szCs w:val="18"/>
    </w:rPr>
  </w:style>
  <w:style w:type="paragraph" w:styleId="16">
    <w:name w:val="footer"/>
    <w:basedOn w:val="1"/>
    <w:link w:val="55"/>
    <w:unhideWhenUsed/>
    <w:qFormat/>
    <w:uiPriority w:val="99"/>
    <w:pPr>
      <w:tabs>
        <w:tab w:val="center" w:pos="4153"/>
        <w:tab w:val="right" w:pos="8306"/>
      </w:tabs>
    </w:pPr>
    <w:rPr>
      <w:sz w:val="18"/>
      <w:szCs w:val="18"/>
    </w:rPr>
  </w:style>
  <w:style w:type="paragraph" w:styleId="17">
    <w:name w:val="envelope return"/>
    <w:basedOn w:val="1"/>
    <w:qFormat/>
    <w:uiPriority w:val="0"/>
    <w:pPr>
      <w:widowControl w:val="0"/>
      <w:jc w:val="both"/>
    </w:pPr>
    <w:rPr>
      <w:rFonts w:ascii="Calibri" w:hAnsi="Calibri" w:cs="Times New Roman"/>
      <w:kern w:val="2"/>
      <w:szCs w:val="24"/>
    </w:rPr>
  </w:style>
  <w:style w:type="paragraph" w:styleId="18">
    <w:name w:val="header"/>
    <w:basedOn w:val="1"/>
    <w:link w:val="54"/>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8296"/>
      </w:tabs>
      <w:spacing w:after="120"/>
      <w:ind w:left="1320" w:leftChars="600"/>
    </w:pPr>
  </w:style>
  <w:style w:type="paragraph" w:styleId="21">
    <w:name w:val="footnote text"/>
    <w:basedOn w:val="1"/>
    <w:semiHidden/>
    <w:unhideWhenUsed/>
    <w:qFormat/>
    <w:uiPriority w:val="99"/>
    <w:rPr>
      <w:sz w:val="18"/>
    </w:rPr>
  </w:style>
  <w:style w:type="paragraph" w:styleId="22">
    <w:name w:val="toc 6"/>
    <w:basedOn w:val="1"/>
    <w:next w:val="1"/>
    <w:qFormat/>
    <w:uiPriority w:val="39"/>
    <w:pPr>
      <w:ind w:left="1200"/>
    </w:pPr>
    <w:rPr>
      <w:rFonts w:ascii="Calibri" w:cs="Calibri"/>
      <w:sz w:val="18"/>
      <w:szCs w:val="18"/>
    </w:rPr>
  </w:style>
  <w:style w:type="paragraph" w:styleId="23">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4">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5">
    <w:name w:val="Normal (Web)"/>
    <w:basedOn w:val="1"/>
    <w:link w:val="58"/>
    <w:qFormat/>
    <w:uiPriority w:val="0"/>
    <w:pPr>
      <w:widowControl w:val="0"/>
      <w:adjustRightInd/>
      <w:snapToGrid/>
      <w:jc w:val="both"/>
    </w:pPr>
    <w:rPr>
      <w:rFonts w:asciiTheme="minorHAnsi" w:hAnsiTheme="minorHAnsi"/>
      <w:kern w:val="2"/>
      <w:sz w:val="24"/>
      <w:szCs w:val="24"/>
    </w:rPr>
  </w:style>
  <w:style w:type="paragraph" w:styleId="26">
    <w:name w:val="annotation subject"/>
    <w:basedOn w:val="8"/>
    <w:next w:val="8"/>
    <w:link w:val="62"/>
    <w:semiHidden/>
    <w:unhideWhenUsed/>
    <w:qFormat/>
    <w:uiPriority w:val="99"/>
    <w:rPr>
      <w:b/>
      <w:bCs/>
    </w:rPr>
  </w:style>
  <w:style w:type="paragraph" w:styleId="27">
    <w:name w:val="Body Text First Indent"/>
    <w:basedOn w:val="9"/>
    <w:next w:val="28"/>
    <w:qFormat/>
    <w:uiPriority w:val="0"/>
    <w:pPr>
      <w:spacing w:after="120"/>
      <w:ind w:firstLine="420" w:firstLineChars="100"/>
    </w:pPr>
    <w:rPr>
      <w:bCs/>
      <w:szCs w:val="21"/>
    </w:rPr>
  </w:style>
  <w:style w:type="paragraph" w:customStyle="1" w:styleId="28">
    <w:name w:val="样式 正文首行缩进 + 首行缩进:  1 字符"/>
    <w:basedOn w:val="1"/>
    <w:next w:val="1"/>
    <w:qFormat/>
    <w:uiPriority w:val="0"/>
    <w:pPr>
      <w:ind w:firstLine="200" w:firstLineChars="200"/>
    </w:pPr>
    <w:rPr>
      <w:rFonts w:cs="宋体"/>
      <w:szCs w:val="20"/>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page number"/>
    <w:basedOn w:val="31"/>
    <w:qFormat/>
    <w:uiPriority w:val="0"/>
  </w:style>
  <w:style w:type="character" w:styleId="33">
    <w:name w:val="Emphasis"/>
    <w:basedOn w:val="31"/>
    <w:qFormat/>
    <w:uiPriority w:val="20"/>
    <w:rPr>
      <w:i/>
      <w:iCs/>
    </w:rPr>
  </w:style>
  <w:style w:type="character" w:styleId="34">
    <w:name w:val="Hyperlink"/>
    <w:qFormat/>
    <w:uiPriority w:val="99"/>
    <w:rPr>
      <w:rFonts w:hint="eastAsia" w:ascii="宋体" w:hAnsi="宋体" w:eastAsia="宋体" w:cs="宋体"/>
      <w:b/>
      <w:color w:val="0031C1"/>
      <w:kern w:val="0"/>
      <w:sz w:val="18"/>
      <w:szCs w:val="18"/>
      <w:u w:val="none"/>
      <w:lang w:eastAsia="en-US"/>
    </w:rPr>
  </w:style>
  <w:style w:type="character" w:styleId="35">
    <w:name w:val="annotation reference"/>
    <w:basedOn w:val="31"/>
    <w:semiHidden/>
    <w:unhideWhenUsed/>
    <w:qFormat/>
    <w:uiPriority w:val="99"/>
    <w:rPr>
      <w:sz w:val="21"/>
      <w:szCs w:val="21"/>
    </w:rPr>
  </w:style>
  <w:style w:type="character" w:styleId="36">
    <w:name w:val="footnote reference"/>
    <w:basedOn w:val="31"/>
    <w:semiHidden/>
    <w:unhideWhenUsed/>
    <w:qFormat/>
    <w:uiPriority w:val="99"/>
    <w:rPr>
      <w:vertAlign w:val="superscript"/>
    </w:rPr>
  </w:style>
  <w:style w:type="paragraph" w:customStyle="1" w:styleId="37">
    <w:name w:val="表格文字"/>
    <w:basedOn w:val="1"/>
    <w:qFormat/>
    <w:uiPriority w:val="0"/>
    <w:pPr>
      <w:adjustRightInd/>
      <w:spacing w:before="25" w:after="25"/>
    </w:pPr>
    <w:rPr>
      <w:rFonts w:ascii="Times New Roman"/>
      <w:bCs/>
      <w:spacing w:val="10"/>
      <w:szCs w:val="20"/>
    </w:rPr>
  </w:style>
  <w:style w:type="paragraph" w:customStyle="1" w:styleId="38">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9">
    <w:name w:val="标题 2 字符"/>
    <w:basedOn w:val="31"/>
    <w:link w:val="3"/>
    <w:qFormat/>
    <w:uiPriority w:val="9"/>
    <w:rPr>
      <w:rFonts w:asciiTheme="majorHAnsi" w:hAnsiTheme="majorHAnsi" w:eastAsiaTheme="majorEastAsia" w:cstheme="majorBidi"/>
      <w:b/>
      <w:bCs/>
      <w:sz w:val="32"/>
      <w:szCs w:val="32"/>
    </w:rPr>
  </w:style>
  <w:style w:type="character" w:customStyle="1" w:styleId="40">
    <w:name w:val="标题 3 字符"/>
    <w:basedOn w:val="31"/>
    <w:link w:val="4"/>
    <w:qFormat/>
    <w:uiPriority w:val="9"/>
    <w:rPr>
      <w:rFonts w:ascii="Tahoma" w:hAnsi="Tahoma"/>
      <w:b/>
      <w:bCs/>
      <w:sz w:val="32"/>
      <w:szCs w:val="32"/>
    </w:rPr>
  </w:style>
  <w:style w:type="paragraph" w:styleId="41">
    <w:name w:val="List Paragraph"/>
    <w:basedOn w:val="1"/>
    <w:link w:val="63"/>
    <w:qFormat/>
    <w:uiPriority w:val="0"/>
    <w:pPr>
      <w:ind w:firstLine="420" w:firstLineChars="200"/>
    </w:pPr>
  </w:style>
  <w:style w:type="character" w:customStyle="1" w:styleId="42">
    <w:name w:val="标题 4 字符"/>
    <w:basedOn w:val="31"/>
    <w:link w:val="5"/>
    <w:qFormat/>
    <w:uiPriority w:val="9"/>
    <w:rPr>
      <w:rFonts w:eastAsia="宋体" w:asciiTheme="majorHAnsi" w:hAnsiTheme="majorHAnsi" w:cstheme="majorBidi"/>
      <w:b/>
      <w:bCs/>
      <w:sz w:val="24"/>
      <w:szCs w:val="28"/>
    </w:rPr>
  </w:style>
  <w:style w:type="character" w:customStyle="1" w:styleId="43">
    <w:name w:val="正文缩进2格 Char"/>
    <w:link w:val="44"/>
    <w:qFormat/>
    <w:uiPriority w:val="0"/>
    <w:rPr>
      <w:rFonts w:ascii="仿宋_GB2312" w:hAnsi="宋体" w:eastAsia="仿宋_GB2312"/>
      <w:kern w:val="2"/>
      <w:sz w:val="31"/>
    </w:rPr>
  </w:style>
  <w:style w:type="paragraph" w:customStyle="1" w:styleId="44">
    <w:name w:val="正文缩进2格"/>
    <w:basedOn w:val="1"/>
    <w:next w:val="1"/>
    <w:link w:val="43"/>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5">
    <w:name w:val="正文缩进4格"/>
    <w:basedOn w:val="44"/>
    <w:qFormat/>
    <w:uiPriority w:val="0"/>
    <w:pPr>
      <w:ind w:left="2" w:firstLine="538" w:firstLineChars="192"/>
    </w:pPr>
    <w:rPr>
      <w:color w:val="0000FF"/>
      <w:sz w:val="28"/>
    </w:rPr>
  </w:style>
  <w:style w:type="character" w:customStyle="1" w:styleId="46">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7">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8">
    <w:name w:val="标题1"/>
    <w:qFormat/>
    <w:uiPriority w:val="0"/>
    <w:rPr>
      <w:rFonts w:ascii="Times New Roman" w:hAnsi="Times New Roman" w:eastAsia="宋体" w:cs="Times New Roman"/>
      <w:b/>
      <w:kern w:val="0"/>
      <w:sz w:val="24"/>
      <w:szCs w:val="20"/>
      <w:lang w:eastAsia="en-US"/>
    </w:rPr>
  </w:style>
  <w:style w:type="character" w:customStyle="1" w:styleId="49">
    <w:name w:val="标题 3.1 Char"/>
    <w:link w:val="50"/>
    <w:qFormat/>
    <w:uiPriority w:val="0"/>
    <w:rPr>
      <w:rFonts w:ascii="宋体" w:hAnsi="宋体" w:eastAsia="宋体"/>
      <w:b/>
      <w:color w:val="FF0000"/>
      <w:kern w:val="2"/>
      <w:sz w:val="32"/>
    </w:rPr>
  </w:style>
  <w:style w:type="paragraph" w:customStyle="1" w:styleId="50">
    <w:name w:val="标题 3.1"/>
    <w:basedOn w:val="4"/>
    <w:link w:val="49"/>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1">
    <w:name w:val="样式 楷体_GB2312 小四"/>
    <w:qFormat/>
    <w:uiPriority w:val="0"/>
    <w:rPr>
      <w:rFonts w:ascii="楷体_GB2312" w:hAnsi="楷体_GB2312" w:eastAsia="仿宋_GB2312"/>
      <w:sz w:val="24"/>
    </w:rPr>
  </w:style>
  <w:style w:type="character" w:customStyle="1" w:styleId="52">
    <w:name w:val="纯文本 Char"/>
    <w:qFormat/>
    <w:uiPriority w:val="0"/>
    <w:rPr>
      <w:rFonts w:ascii="宋体" w:hAnsi="Courier New" w:eastAsia="宋体" w:cs="Times New Roman"/>
      <w:b/>
      <w:kern w:val="2"/>
      <w:sz w:val="21"/>
      <w:szCs w:val="20"/>
    </w:rPr>
  </w:style>
  <w:style w:type="character" w:customStyle="1" w:styleId="53">
    <w:name w:val="纯文本 字符"/>
    <w:basedOn w:val="31"/>
    <w:link w:val="13"/>
    <w:semiHidden/>
    <w:qFormat/>
    <w:uiPriority w:val="99"/>
    <w:rPr>
      <w:rFonts w:ascii="宋体" w:hAnsi="Courier New" w:eastAsia="宋体" w:cs="Courier New"/>
      <w:sz w:val="21"/>
      <w:szCs w:val="21"/>
    </w:rPr>
  </w:style>
  <w:style w:type="character" w:customStyle="1" w:styleId="54">
    <w:name w:val="页眉 字符"/>
    <w:basedOn w:val="31"/>
    <w:link w:val="18"/>
    <w:qFormat/>
    <w:uiPriority w:val="99"/>
    <w:rPr>
      <w:rFonts w:ascii="Tahoma" w:hAnsi="Tahoma"/>
      <w:sz w:val="18"/>
      <w:szCs w:val="18"/>
    </w:rPr>
  </w:style>
  <w:style w:type="character" w:customStyle="1" w:styleId="55">
    <w:name w:val="页脚 字符"/>
    <w:basedOn w:val="31"/>
    <w:link w:val="16"/>
    <w:qFormat/>
    <w:uiPriority w:val="99"/>
    <w:rPr>
      <w:rFonts w:ascii="Tahoma" w:hAnsi="Tahoma"/>
      <w:sz w:val="18"/>
      <w:szCs w:val="18"/>
    </w:rPr>
  </w:style>
  <w:style w:type="character" w:customStyle="1" w:styleId="56">
    <w:name w:val="批注框文本 字符"/>
    <w:basedOn w:val="31"/>
    <w:link w:val="15"/>
    <w:semiHidden/>
    <w:qFormat/>
    <w:uiPriority w:val="99"/>
    <w:rPr>
      <w:rFonts w:ascii="Tahoma" w:hAnsi="Tahoma"/>
      <w:sz w:val="18"/>
      <w:szCs w:val="18"/>
    </w:rPr>
  </w:style>
  <w:style w:type="paragraph" w:customStyle="1" w:styleId="57">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8">
    <w:name w:val="普通(网站) 字符"/>
    <w:link w:val="25"/>
    <w:qFormat/>
    <w:uiPriority w:val="0"/>
    <w:rPr>
      <w:rFonts w:eastAsia="宋体"/>
      <w:kern w:val="2"/>
      <w:sz w:val="24"/>
      <w:szCs w:val="24"/>
    </w:rPr>
  </w:style>
  <w:style w:type="paragraph" w:customStyle="1" w:styleId="59">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0">
    <w:name w:val="p141"/>
    <w:qFormat/>
    <w:uiPriority w:val="0"/>
    <w:rPr>
      <w:sz w:val="21"/>
      <w:szCs w:val="21"/>
    </w:rPr>
  </w:style>
  <w:style w:type="character" w:customStyle="1" w:styleId="61">
    <w:name w:val="批注文字 字符"/>
    <w:basedOn w:val="31"/>
    <w:link w:val="8"/>
    <w:qFormat/>
    <w:uiPriority w:val="99"/>
    <w:rPr>
      <w:rFonts w:ascii="Tahoma" w:hAnsi="Tahoma" w:eastAsia="微软雅黑" w:cstheme="minorBidi"/>
      <w:sz w:val="22"/>
      <w:szCs w:val="22"/>
    </w:rPr>
  </w:style>
  <w:style w:type="character" w:customStyle="1" w:styleId="62">
    <w:name w:val="批注主题 字符"/>
    <w:basedOn w:val="61"/>
    <w:link w:val="26"/>
    <w:semiHidden/>
    <w:qFormat/>
    <w:uiPriority w:val="99"/>
    <w:rPr>
      <w:rFonts w:ascii="Tahoma" w:hAnsi="Tahoma" w:eastAsia="微软雅黑" w:cstheme="minorBidi"/>
      <w:b/>
      <w:bCs/>
      <w:sz w:val="22"/>
      <w:szCs w:val="22"/>
    </w:rPr>
  </w:style>
  <w:style w:type="character" w:customStyle="1" w:styleId="63">
    <w:name w:val="列表段落 字符"/>
    <w:link w:val="41"/>
    <w:qFormat/>
    <w:uiPriority w:val="0"/>
    <w:rPr>
      <w:rFonts w:ascii="Tahoma" w:hAnsi="Tahoma" w:eastAsia="微软雅黑" w:cstheme="minorBidi"/>
      <w:sz w:val="22"/>
      <w:szCs w:val="22"/>
    </w:rPr>
  </w:style>
  <w:style w:type="character" w:customStyle="1" w:styleId="64">
    <w:name w:val="正文文本 字符"/>
    <w:basedOn w:val="31"/>
    <w:link w:val="9"/>
    <w:qFormat/>
    <w:uiPriority w:val="1"/>
    <w:rPr>
      <w:rFonts w:ascii="宋体" w:hAnsi="宋体" w:cs="宋体"/>
      <w:sz w:val="24"/>
      <w:szCs w:val="22"/>
      <w:lang w:val="zh-CN" w:bidi="zh-CN"/>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_Style 1"/>
    <w:basedOn w:val="1"/>
    <w:qFormat/>
    <w:uiPriority w:val="0"/>
    <w:pPr>
      <w:ind w:firstLine="420" w:firstLineChars="200"/>
    </w:pPr>
  </w:style>
  <w:style w:type="paragraph" w:customStyle="1" w:styleId="67">
    <w:name w:val="列出段落2"/>
    <w:basedOn w:val="1"/>
    <w:qFormat/>
    <w:uiPriority w:val="0"/>
    <w:pPr>
      <w:ind w:firstLine="420" w:firstLineChars="200"/>
    </w:pPr>
  </w:style>
  <w:style w:type="paragraph" w:customStyle="1" w:styleId="68">
    <w:name w:val="p0"/>
    <w:basedOn w:val="1"/>
    <w:qFormat/>
    <w:uiPriority w:val="0"/>
    <w:rPr>
      <w:szCs w:val="21"/>
    </w:rPr>
  </w:style>
  <w:style w:type="paragraph" w:customStyle="1" w:styleId="69">
    <w:name w:val="正文文本缩进 21"/>
    <w:basedOn w:val="1"/>
    <w:qFormat/>
    <w:uiPriority w:val="0"/>
    <w:pPr>
      <w:spacing w:line="480" w:lineRule="auto"/>
      <w:ind w:firstLine="540"/>
    </w:pPr>
    <w:rPr>
      <w:rFonts w:ascii="Calibri" w:hAnsi="Calibri"/>
      <w:sz w:val="20"/>
      <w:szCs w:val="20"/>
    </w:rPr>
  </w:style>
  <w:style w:type="paragraph" w:customStyle="1" w:styleId="70">
    <w:name w:val="_Style 2"/>
    <w:basedOn w:val="1"/>
    <w:qFormat/>
    <w:uiPriority w:val="0"/>
    <w:pPr>
      <w:ind w:firstLine="420" w:firstLineChars="200"/>
    </w:pPr>
  </w:style>
  <w:style w:type="paragraph" w:customStyle="1" w:styleId="71">
    <w:name w:val="msolistparagraph"/>
    <w:basedOn w:val="1"/>
    <w:qFormat/>
    <w:uiPriority w:val="0"/>
    <w:pPr>
      <w:ind w:firstLine="420" w:firstLineChars="200"/>
    </w:pPr>
    <w:rPr>
      <w:rFonts w:hint="eastAsia" w:hAnsi="宋体"/>
    </w:rPr>
  </w:style>
  <w:style w:type="character" w:customStyle="1" w:styleId="72">
    <w:name w:val="标题 5 字符"/>
    <w:link w:val="6"/>
    <w:qFormat/>
    <w:uiPriority w:val="0"/>
    <w:rPr>
      <w:b/>
      <w:sz w:val="28"/>
    </w:rPr>
  </w:style>
  <w:style w:type="character" w:customStyle="1" w:styleId="73">
    <w:name w:val="标题 1 字符"/>
    <w:link w:val="2"/>
    <w:qFormat/>
    <w:uiPriority w:val="9"/>
    <w:rPr>
      <w:b/>
      <w:kern w:val="44"/>
      <w:sz w:val="44"/>
    </w:rPr>
  </w:style>
  <w:style w:type="paragraph" w:customStyle="1" w:styleId="74">
    <w:name w:val="修订1"/>
    <w:hidden/>
    <w:semiHidden/>
    <w:qFormat/>
    <w:uiPriority w:val="99"/>
    <w:rPr>
      <w:rFonts w:ascii="Tahoma" w:hAnsi="Tahoma" w:eastAsia="宋体" w:cstheme="minorBidi"/>
      <w:sz w:val="21"/>
      <w:szCs w:val="22"/>
      <w:lang w:val="en-US" w:eastAsia="zh-CN" w:bidi="ar-SA"/>
    </w:rPr>
  </w:style>
  <w:style w:type="paragraph" w:customStyle="1" w:styleId="75">
    <w:name w:val="纯文本1"/>
    <w:basedOn w:val="76"/>
    <w:qFormat/>
    <w:uiPriority w:val="0"/>
    <w:rPr>
      <w:rFonts w:ascii="宋体" w:hAnsi="Courier New"/>
      <w:szCs w:val="20"/>
    </w:rPr>
  </w:style>
  <w:style w:type="paragraph" w:customStyle="1" w:styleId="76">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7">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8">
    <w:name w:val="Table Normal"/>
    <w:semiHidden/>
    <w:unhideWhenUsed/>
    <w:qFormat/>
    <w:uiPriority w:val="2"/>
    <w:tblPr>
      <w:tblLayout w:type="fixed"/>
      <w:tblCellMar>
        <w:top w:w="0" w:type="dxa"/>
        <w:left w:w="0" w:type="dxa"/>
        <w:bottom w:w="0" w:type="dxa"/>
        <w:right w:w="0" w:type="dxa"/>
      </w:tblCellMar>
    </w:tblPr>
  </w:style>
  <w:style w:type="paragraph" w:customStyle="1" w:styleId="79">
    <w:name w:val="Table Paragraph"/>
    <w:basedOn w:val="1"/>
    <w:qFormat/>
    <w:uiPriority w:val="1"/>
  </w:style>
  <w:style w:type="paragraph" w:customStyle="1" w:styleId="80">
    <w:name w:val="正文文本缩进1"/>
    <w:basedOn w:val="76"/>
    <w:qFormat/>
    <w:uiPriority w:val="0"/>
    <w:pPr>
      <w:spacing w:after="120"/>
      <w:ind w:left="420" w:leftChars="200"/>
    </w:pPr>
  </w:style>
  <w:style w:type="paragraph" w:customStyle="1" w:styleId="81">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2">
    <w:name w:val="纯文本2"/>
    <w:basedOn w:val="76"/>
    <w:qFormat/>
    <w:uiPriority w:val="0"/>
    <w:rPr>
      <w:rFonts w:ascii="宋体" w:hAnsi="Courier New"/>
      <w:szCs w:val="20"/>
    </w:rPr>
  </w:style>
  <w:style w:type="character" w:customStyle="1" w:styleId="83">
    <w:name w:val="font141"/>
    <w:qFormat/>
    <w:uiPriority w:val="0"/>
    <w:rPr>
      <w:rFonts w:hint="default" w:ascii="Times New Roman" w:hAnsi="Times New Roman" w:cs="Times New Roman"/>
      <w:color w:val="000000"/>
      <w:sz w:val="18"/>
      <w:szCs w:val="18"/>
      <w:u w:val="none"/>
    </w:rPr>
  </w:style>
  <w:style w:type="character" w:customStyle="1" w:styleId="84">
    <w:name w:val="font71"/>
    <w:qFormat/>
    <w:uiPriority w:val="0"/>
    <w:rPr>
      <w:rFonts w:hint="eastAsia" w:ascii="宋体" w:hAnsi="宋体" w:eastAsia="宋体" w:cs="宋体"/>
      <w:color w:val="000000"/>
      <w:sz w:val="18"/>
      <w:szCs w:val="18"/>
      <w:u w:val="none"/>
    </w:rPr>
  </w:style>
  <w:style w:type="character" w:customStyle="1" w:styleId="85">
    <w:name w:val="font21"/>
    <w:basedOn w:val="31"/>
    <w:qFormat/>
    <w:uiPriority w:val="0"/>
    <w:rPr>
      <w:rFonts w:hint="eastAsia" w:ascii="宋体" w:hAnsi="宋体" w:eastAsia="宋体" w:cs="宋体"/>
      <w:color w:val="000000"/>
      <w:sz w:val="20"/>
      <w:szCs w:val="20"/>
      <w:u w:val="none"/>
    </w:rPr>
  </w:style>
  <w:style w:type="character" w:customStyle="1" w:styleId="86">
    <w:name w:val="font01"/>
    <w:basedOn w:val="31"/>
    <w:qFormat/>
    <w:uiPriority w:val="0"/>
    <w:rPr>
      <w:rFonts w:ascii="Arial" w:hAnsi="Arial" w:cs="Arial"/>
      <w:color w:val="000000"/>
      <w:sz w:val="20"/>
      <w:szCs w:val="20"/>
      <w:u w:val="none"/>
    </w:rPr>
  </w:style>
  <w:style w:type="character" w:customStyle="1" w:styleId="87">
    <w:name w:val="font61"/>
    <w:basedOn w:val="31"/>
    <w:qFormat/>
    <w:uiPriority w:val="0"/>
    <w:rPr>
      <w:rFonts w:hint="eastAsia" w:ascii="宋体" w:hAnsi="宋体" w:eastAsia="宋体" w:cs="宋体"/>
      <w:color w:val="000000"/>
      <w:sz w:val="20"/>
      <w:szCs w:val="20"/>
      <w:u w:val="none"/>
    </w:rPr>
  </w:style>
  <w:style w:type="character" w:customStyle="1" w:styleId="88">
    <w:name w:val="font51"/>
    <w:basedOn w:val="31"/>
    <w:qFormat/>
    <w:uiPriority w:val="0"/>
    <w:rPr>
      <w:rFonts w:hint="eastAsia" w:ascii="宋体" w:hAnsi="宋体" w:eastAsia="宋体" w:cs="宋体"/>
      <w:color w:val="000000"/>
      <w:sz w:val="20"/>
      <w:szCs w:val="20"/>
      <w:u w:val="none"/>
    </w:rPr>
  </w:style>
  <w:style w:type="character" w:customStyle="1" w:styleId="89">
    <w:name w:val="font11"/>
    <w:basedOn w:val="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FDE4B-77BC-4B7C-94B1-DC883D1266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31448</Words>
  <Characters>32907</Characters>
  <Lines>66</Lines>
  <Paragraphs>65</Paragraphs>
  <TotalTime>1</TotalTime>
  <ScaleCrop>false</ScaleCrop>
  <LinksUpToDate>false</LinksUpToDate>
  <CharactersWithSpaces>34506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2022-10-28T09:19:00Z</dcterms:created>
  <dc:creator>MyPC</dc:creator>
  <cp:lastModifiedBy>代理</cp:lastModifiedBy>
  <cp:lastPrinted>2022-12-01T06:09:00Z</cp:lastPrinted>
  <dcterms:modified xsi:type="dcterms:W3CDTF">2023-11-29T10:18:18Z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CC3AF15139A54A70A50D04F59C23F441_13</vt:lpwstr>
  </property>
</Properties>
</file>