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right"/>
        <w:rPr>
          <w:rFonts w:ascii="宋体" w:hAnsi="宋体" w:cs="宋体"/>
          <w:color w:val="auto"/>
          <w:szCs w:val="21"/>
          <w:highlight w:val="none"/>
        </w:rPr>
      </w:pPr>
    </w:p>
    <w:p>
      <w:pPr>
        <w:pStyle w:val="38"/>
        <w:shd w:val="clear"/>
        <w:ind w:firstLine="400"/>
        <w:rPr>
          <w:rFonts w:ascii="宋体" w:hAnsi="宋体" w:eastAsia="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bookmarkStart w:id="216" w:name="_GoBack"/>
      <w:bookmarkEnd w:id="216"/>
    </w:p>
    <w:p>
      <w:pPr>
        <w:shd w:val="clear"/>
        <w:ind w:right="-28"/>
        <w:jc w:val="center"/>
        <w:textAlignment w:val="bottom"/>
        <w:rPr>
          <w:rFonts w:ascii="宋体" w:hAnsi="宋体" w:cs="宋体"/>
          <w:bCs/>
          <w:color w:val="auto"/>
          <w:spacing w:val="57"/>
          <w:sz w:val="96"/>
          <w:szCs w:val="96"/>
          <w:highlight w:val="none"/>
        </w:rPr>
      </w:pPr>
      <w:r>
        <w:rPr>
          <w:rFonts w:hint="eastAsia" w:ascii="宋体" w:hAnsi="宋体" w:cs="宋体"/>
          <w:bCs/>
          <w:color w:val="auto"/>
          <w:spacing w:val="57"/>
          <w:sz w:val="96"/>
          <w:szCs w:val="96"/>
          <w:highlight w:val="none"/>
        </w:rPr>
        <w:t>公开采购文件</w:t>
      </w:r>
    </w:p>
    <w:p>
      <w:pPr>
        <w:shd w:val="clear"/>
        <w:tabs>
          <w:tab w:val="left" w:pos="6561"/>
        </w:tabs>
        <w:rPr>
          <w:rFonts w:hint="eastAsia" w:ascii="宋体" w:hAnsi="宋体" w:eastAsia="宋体" w:cs="宋体"/>
          <w:color w:val="auto"/>
          <w:highlight w:val="none"/>
          <w:lang w:eastAsia="zh-CN"/>
        </w:rPr>
      </w:pPr>
      <w:r>
        <w:rPr>
          <w:rFonts w:hint="eastAsia" w:ascii="宋体" w:hAnsi="宋体" w:cs="宋体"/>
          <w:color w:val="auto"/>
          <w:highlight w:val="none"/>
          <w:lang w:eastAsia="zh-CN"/>
        </w:rPr>
        <w:tab/>
      </w:r>
    </w:p>
    <w:p>
      <w:pPr>
        <w:pStyle w:val="2"/>
        <w:shd w:val="clear"/>
        <w:rPr>
          <w:color w:val="auto"/>
          <w:highlight w:val="none"/>
        </w:rPr>
      </w:pPr>
    </w:p>
    <w:tbl>
      <w:tblPr>
        <w:tblStyle w:val="31"/>
        <w:tblW w:w="8816"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13" w:type="dxa"/>
            <w:noWrap/>
            <w:vAlign w:val="center"/>
          </w:tcPr>
          <w:p>
            <w:pPr>
              <w:shd w:val="clear"/>
              <w:spacing w:before="200"/>
              <w:jc w:val="both"/>
              <w:rPr>
                <w:rFonts w:ascii="宋体" w:hAnsi="宋体" w:cs="宋体"/>
                <w:bCs/>
                <w:color w:val="auto"/>
                <w:sz w:val="32"/>
                <w:szCs w:val="24"/>
                <w:highlight w:val="none"/>
              </w:rPr>
            </w:pPr>
            <w:r>
              <w:rPr>
                <w:rFonts w:hint="eastAsia" w:ascii="宋体" w:hAnsi="宋体" w:cs="宋体"/>
                <w:bCs/>
                <w:color w:val="auto"/>
                <w:sz w:val="32"/>
                <w:szCs w:val="24"/>
                <w:highlight w:val="none"/>
              </w:rPr>
              <w:t>项目名称：</w:t>
            </w:r>
          </w:p>
        </w:tc>
        <w:tc>
          <w:tcPr>
            <w:tcW w:w="6203" w:type="dxa"/>
            <w:noWrap/>
            <w:vAlign w:val="center"/>
          </w:tcPr>
          <w:p>
            <w:pPr>
              <w:shd w:val="clear"/>
              <w:spacing w:before="200"/>
              <w:jc w:val="both"/>
              <w:rPr>
                <w:rFonts w:ascii="宋体" w:hAnsi="宋体" w:cs="宋体"/>
                <w:bCs/>
                <w:color w:val="auto"/>
                <w:sz w:val="32"/>
                <w:szCs w:val="24"/>
                <w:highlight w:val="none"/>
              </w:rPr>
            </w:pPr>
            <w:r>
              <w:rPr>
                <w:rFonts w:hint="eastAsia" w:ascii="宋体" w:hAnsi="宋体" w:cs="宋体"/>
                <w:bCs/>
                <w:color w:val="auto"/>
                <w:sz w:val="32"/>
                <w:szCs w:val="24"/>
                <w:highlight w:val="none"/>
              </w:rPr>
              <w:t>东莞市海心沙资源循环利用基地环境监测项目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noWrap/>
            <w:vAlign w:val="center"/>
          </w:tcPr>
          <w:p>
            <w:pPr>
              <w:shd w:val="clear"/>
              <w:spacing w:before="200"/>
              <w:jc w:val="both"/>
              <w:rPr>
                <w:rFonts w:ascii="宋体" w:hAnsi="宋体" w:cs="宋体"/>
                <w:bCs/>
                <w:color w:val="auto"/>
                <w:sz w:val="32"/>
                <w:szCs w:val="24"/>
                <w:highlight w:val="none"/>
              </w:rPr>
            </w:pPr>
            <w:r>
              <w:rPr>
                <w:rFonts w:hint="eastAsia" w:ascii="宋体" w:hAnsi="宋体" w:cs="宋体"/>
                <w:bCs/>
                <w:color w:val="auto"/>
                <w:sz w:val="32"/>
                <w:szCs w:val="24"/>
                <w:highlight w:val="none"/>
              </w:rPr>
              <w:t>项目采购编号：</w:t>
            </w:r>
          </w:p>
        </w:tc>
        <w:tc>
          <w:tcPr>
            <w:tcW w:w="6203" w:type="dxa"/>
            <w:noWrap/>
            <w:vAlign w:val="center"/>
          </w:tcPr>
          <w:p>
            <w:pPr>
              <w:shd w:val="clear"/>
              <w:spacing w:before="200"/>
              <w:jc w:val="both"/>
              <w:rPr>
                <w:rFonts w:ascii="宋体" w:hAnsi="宋体" w:cs="宋体"/>
                <w:bCs/>
                <w:color w:val="auto"/>
                <w:sz w:val="32"/>
                <w:szCs w:val="24"/>
                <w:highlight w:val="none"/>
              </w:rPr>
            </w:pPr>
            <w:r>
              <w:rPr>
                <w:rFonts w:hint="eastAsia" w:ascii="宋体" w:hAnsi="宋体" w:cs="宋体"/>
                <w:bCs/>
                <w:color w:val="auto"/>
                <w:sz w:val="32"/>
                <w:szCs w:val="24"/>
                <w:highlight w:val="none"/>
              </w:rPr>
              <w:t>XNY-GK-2023-004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pPr>
              <w:shd w:val="clear"/>
              <w:spacing w:before="200"/>
              <w:jc w:val="both"/>
              <w:rPr>
                <w:rFonts w:ascii="宋体" w:hAnsi="宋体" w:cs="宋体"/>
                <w:bCs/>
                <w:color w:val="auto"/>
                <w:sz w:val="32"/>
                <w:szCs w:val="24"/>
                <w:highlight w:val="none"/>
              </w:rPr>
            </w:pPr>
            <w:r>
              <w:rPr>
                <w:rFonts w:hint="eastAsia" w:ascii="宋体" w:hAnsi="宋体" w:cs="宋体"/>
                <w:bCs/>
                <w:color w:val="auto"/>
                <w:sz w:val="32"/>
                <w:szCs w:val="24"/>
                <w:highlight w:val="none"/>
              </w:rPr>
              <w:t>采购人：</w:t>
            </w:r>
          </w:p>
        </w:tc>
        <w:tc>
          <w:tcPr>
            <w:tcW w:w="6203" w:type="dxa"/>
            <w:noWrap/>
            <w:vAlign w:val="center"/>
          </w:tcPr>
          <w:p>
            <w:pPr>
              <w:shd w:val="clear"/>
              <w:spacing w:before="200"/>
              <w:jc w:val="both"/>
              <w:rPr>
                <w:rFonts w:ascii="宋体" w:hAnsi="宋体" w:cs="宋体"/>
                <w:bCs/>
                <w:color w:val="auto"/>
                <w:sz w:val="32"/>
                <w:szCs w:val="24"/>
                <w:highlight w:val="none"/>
              </w:rPr>
            </w:pPr>
            <w:r>
              <w:rPr>
                <w:rFonts w:hint="eastAsia" w:ascii="宋体" w:hAnsi="宋体" w:cs="宋体"/>
                <w:bCs/>
                <w:color w:val="auto"/>
                <w:sz w:val="32"/>
                <w:szCs w:val="24"/>
                <w:highlight w:val="none"/>
              </w:rPr>
              <w:t>广东东实环境股份有限公司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pPr>
              <w:shd w:val="clear"/>
              <w:spacing w:before="200"/>
              <w:jc w:val="both"/>
              <w:rPr>
                <w:rFonts w:ascii="宋体" w:hAnsi="宋体" w:cs="宋体"/>
                <w:bCs/>
                <w:color w:val="auto"/>
                <w:sz w:val="32"/>
                <w:szCs w:val="24"/>
                <w:highlight w:val="none"/>
              </w:rPr>
            </w:pPr>
            <w:r>
              <w:rPr>
                <w:rFonts w:hint="eastAsia" w:ascii="宋体" w:hAnsi="宋体" w:cs="宋体"/>
                <w:bCs/>
                <w:color w:val="auto"/>
                <w:sz w:val="32"/>
                <w:szCs w:val="24"/>
                <w:highlight w:val="none"/>
              </w:rPr>
              <w:t>采购代理：</w:t>
            </w:r>
          </w:p>
        </w:tc>
        <w:tc>
          <w:tcPr>
            <w:tcW w:w="6203" w:type="dxa"/>
            <w:noWrap/>
            <w:vAlign w:val="center"/>
          </w:tcPr>
          <w:p>
            <w:pPr>
              <w:shd w:val="clear"/>
              <w:spacing w:before="200"/>
              <w:jc w:val="both"/>
              <w:rPr>
                <w:rFonts w:ascii="宋体" w:hAnsi="宋体" w:cs="宋体"/>
                <w:bCs/>
                <w:color w:val="auto"/>
                <w:sz w:val="32"/>
                <w:szCs w:val="24"/>
                <w:highlight w:val="none"/>
              </w:rPr>
            </w:pPr>
            <w:r>
              <w:rPr>
                <w:rFonts w:hint="eastAsia" w:ascii="宋体" w:hAnsi="宋体" w:cs="宋体"/>
                <w:bCs/>
                <w:color w:val="auto"/>
                <w:sz w:val="32"/>
                <w:szCs w:val="24"/>
                <w:highlight w:val="none"/>
              </w:rPr>
              <w:t>广东志正招标有限公司东莞分公司</w:t>
            </w:r>
          </w:p>
        </w:tc>
      </w:tr>
    </w:tbl>
    <w:p>
      <w:pPr>
        <w:shd w:val="clear"/>
        <w:jc w:val="center"/>
        <w:rPr>
          <w:rFonts w:ascii="宋体" w:hAnsi="宋体" w:cs="宋体"/>
          <w:color w:val="auto"/>
          <w:szCs w:val="21"/>
          <w:highlight w:val="none"/>
        </w:rPr>
      </w:pPr>
    </w:p>
    <w:p>
      <w:pPr>
        <w:shd w:val="clear"/>
        <w:jc w:val="center"/>
        <w:rPr>
          <w:rFonts w:ascii="宋体" w:hAnsi="宋体" w:cs="宋体"/>
          <w:color w:val="auto"/>
          <w:szCs w:val="21"/>
          <w:highlight w:val="none"/>
        </w:rPr>
      </w:pPr>
    </w:p>
    <w:p>
      <w:pPr>
        <w:shd w:val="clear"/>
        <w:jc w:val="center"/>
        <w:rPr>
          <w:rFonts w:ascii="宋体" w:hAnsi="宋体" w:cs="宋体"/>
          <w:color w:val="auto"/>
          <w:szCs w:val="21"/>
          <w:highlight w:val="none"/>
        </w:rPr>
      </w:pPr>
    </w:p>
    <w:p>
      <w:pPr>
        <w:pStyle w:val="38"/>
        <w:shd w:val="clear"/>
        <w:ind w:firstLine="400"/>
        <w:rPr>
          <w:rFonts w:ascii="宋体" w:hAnsi="宋体" w:eastAsia="宋体" w:cs="宋体"/>
          <w:color w:val="auto"/>
          <w:highlight w:val="none"/>
        </w:rPr>
      </w:pPr>
    </w:p>
    <w:p>
      <w:pPr>
        <w:shd w:val="clear"/>
        <w:jc w:val="center"/>
        <w:rPr>
          <w:rFonts w:ascii="宋体" w:hAnsi="宋体" w:cs="宋体"/>
          <w:color w:val="auto"/>
          <w:szCs w:val="21"/>
          <w:highlight w:val="none"/>
        </w:rPr>
      </w:pPr>
    </w:p>
    <w:p>
      <w:pPr>
        <w:shd w:val="clear"/>
        <w:jc w:val="center"/>
        <w:rPr>
          <w:rFonts w:ascii="宋体" w:hAnsi="宋体" w:cs="宋体"/>
          <w:color w:val="auto"/>
          <w:szCs w:val="21"/>
          <w:highlight w:val="none"/>
        </w:rPr>
      </w:pPr>
    </w:p>
    <w:p>
      <w:pPr>
        <w:shd w:val="clear"/>
        <w:spacing w:before="200"/>
        <w:jc w:val="center"/>
        <w:rPr>
          <w:rFonts w:ascii="宋体" w:hAnsi="宋体" w:cs="宋体"/>
          <w:bCs/>
          <w:color w:val="auto"/>
          <w:sz w:val="32"/>
          <w:szCs w:val="24"/>
          <w:highlight w:val="none"/>
        </w:rPr>
      </w:pPr>
      <w:r>
        <w:rPr>
          <w:rFonts w:hint="eastAsia" w:ascii="宋体" w:hAnsi="宋体" w:cs="宋体"/>
          <w:bCs/>
          <w:color w:val="auto"/>
          <w:sz w:val="32"/>
          <w:szCs w:val="24"/>
          <w:highlight w:val="none"/>
        </w:rPr>
        <w:t>2023年09月</w:t>
      </w:r>
    </w:p>
    <w:p>
      <w:pPr>
        <w:shd w:val="clear"/>
        <w:rPr>
          <w:rFonts w:ascii="宋体" w:hAnsi="宋体" w:cs="宋体"/>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8" w:footer="708" w:gutter="0"/>
          <w:pgNumType w:start="1"/>
          <w:cols w:space="708" w:num="1"/>
          <w:titlePg/>
          <w:docGrid w:type="lines" w:linePitch="360" w:charSpace="0"/>
        </w:sectPr>
      </w:pPr>
    </w:p>
    <w:p>
      <w:pPr>
        <w:pStyle w:val="23"/>
        <w:shd w:val="clear"/>
        <w:ind w:left="0" w:leftChars="0"/>
        <w:rPr>
          <w:rFonts w:cs="宋体"/>
          <w:color w:val="auto"/>
          <w:sz w:val="40"/>
          <w:szCs w:val="40"/>
          <w:highlight w:val="none"/>
        </w:rPr>
      </w:pPr>
      <w:r>
        <w:rPr>
          <w:rFonts w:hint="eastAsia" w:cs="宋体"/>
          <w:color w:val="auto"/>
          <w:sz w:val="40"/>
          <w:szCs w:val="40"/>
          <w:highlight w:val="none"/>
        </w:rPr>
        <w:t>目录</w:t>
      </w:r>
    </w:p>
    <w:p>
      <w:pPr>
        <w:pStyle w:val="23"/>
        <w:shd w:val="clear"/>
        <w:tabs>
          <w:tab w:val="right" w:leader="dot" w:pos="8306"/>
          <w:tab w:val="clear" w:pos="8296"/>
        </w:tabs>
        <w:ind w:left="0" w:leftChars="0"/>
        <w:rPr>
          <w:rFonts w:cs="宋体"/>
          <w:color w:val="auto"/>
          <w:sz w:val="21"/>
          <w:szCs w:val="21"/>
          <w:highlight w:val="none"/>
        </w:rPr>
      </w:pPr>
      <w:r>
        <w:rPr>
          <w:rFonts w:hint="eastAsia" w:cs="宋体"/>
          <w:color w:val="auto"/>
          <w:sz w:val="21"/>
          <w:szCs w:val="21"/>
          <w:highlight w:val="none"/>
        </w:rPr>
        <w:fldChar w:fldCharType="begin"/>
      </w:r>
      <w:r>
        <w:rPr>
          <w:rFonts w:hint="eastAsia" w:cs="宋体"/>
          <w:color w:val="auto"/>
          <w:sz w:val="21"/>
          <w:szCs w:val="21"/>
          <w:highlight w:val="none"/>
        </w:rPr>
        <w:instrText xml:space="preserve"> TOC \o "1-4" \h \z \u </w:instrText>
      </w:r>
      <w:r>
        <w:rPr>
          <w:rFonts w:hint="eastAsia" w:cs="宋体"/>
          <w:color w:val="auto"/>
          <w:sz w:val="21"/>
          <w:szCs w:val="21"/>
          <w:highlight w:val="none"/>
        </w:rPr>
        <w:fldChar w:fldCharType="separate"/>
      </w:r>
      <w:r>
        <w:rPr>
          <w:color w:val="auto"/>
          <w:highlight w:val="none"/>
        </w:rPr>
        <w:fldChar w:fldCharType="begin"/>
      </w:r>
      <w:r>
        <w:rPr>
          <w:color w:val="auto"/>
          <w:highlight w:val="none"/>
        </w:rPr>
        <w:instrText xml:space="preserve"> HYPERLINK \l "_Toc21044" </w:instrText>
      </w:r>
      <w:r>
        <w:rPr>
          <w:color w:val="auto"/>
          <w:highlight w:val="none"/>
        </w:rPr>
        <w:fldChar w:fldCharType="separate"/>
      </w:r>
      <w:r>
        <w:rPr>
          <w:rFonts w:hint="eastAsia" w:cs="宋体"/>
          <w:color w:val="auto"/>
          <w:sz w:val="21"/>
          <w:szCs w:val="21"/>
          <w:highlight w:val="none"/>
        </w:rPr>
        <w:t>第一部分投标邀请</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_Toc21044 \h </w:instrText>
      </w:r>
      <w:r>
        <w:rPr>
          <w:rFonts w:hint="eastAsia" w:cs="宋体"/>
          <w:color w:val="auto"/>
          <w:sz w:val="21"/>
          <w:szCs w:val="21"/>
          <w:highlight w:val="none"/>
        </w:rPr>
        <w:fldChar w:fldCharType="separate"/>
      </w:r>
      <w:r>
        <w:rPr>
          <w:rFonts w:hint="eastAsia" w:cs="宋体"/>
          <w:color w:val="auto"/>
          <w:sz w:val="21"/>
          <w:szCs w:val="21"/>
          <w:highlight w:val="none"/>
        </w:rPr>
        <w:t>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"_Toc8950" </w:instrText>
      </w:r>
      <w:r>
        <w:rPr>
          <w:color w:val="auto"/>
          <w:highlight w:val="none"/>
        </w:rPr>
        <w:fldChar w:fldCharType="separate"/>
      </w:r>
      <w:r>
        <w:rPr>
          <w:rFonts w:hint="eastAsia" w:cs="宋体"/>
          <w:color w:val="auto"/>
          <w:sz w:val="21"/>
          <w:szCs w:val="21"/>
          <w:highlight w:val="none"/>
        </w:rPr>
        <w:t>投标邀请书</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_Toc8950 \h </w:instrText>
      </w:r>
      <w:r>
        <w:rPr>
          <w:rFonts w:hint="eastAsia" w:cs="宋体"/>
          <w:color w:val="auto"/>
          <w:sz w:val="21"/>
          <w:szCs w:val="21"/>
          <w:highlight w:val="none"/>
        </w:rPr>
        <w:fldChar w:fldCharType="separate"/>
      </w:r>
      <w:r>
        <w:rPr>
          <w:rFonts w:hint="eastAsia" w:cs="宋体"/>
          <w:color w:val="auto"/>
          <w:sz w:val="21"/>
          <w:szCs w:val="21"/>
          <w:highlight w:val="none"/>
        </w:rPr>
        <w:t>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"_Toc20564" </w:instrText>
      </w:r>
      <w:r>
        <w:rPr>
          <w:color w:val="auto"/>
          <w:highlight w:val="none"/>
        </w:rPr>
        <w:fldChar w:fldCharType="separate"/>
      </w:r>
      <w:r>
        <w:rPr>
          <w:rFonts w:hint="eastAsia" w:cs="宋体"/>
          <w:color w:val="auto"/>
          <w:sz w:val="21"/>
          <w:szCs w:val="21"/>
          <w:highlight w:val="none"/>
        </w:rPr>
        <w:t>第二部分相关资料表格</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_Toc20564 \h </w:instrText>
      </w:r>
      <w:r>
        <w:rPr>
          <w:rFonts w:hint="eastAsia" w:cs="宋体"/>
          <w:color w:val="auto"/>
          <w:sz w:val="21"/>
          <w:szCs w:val="21"/>
          <w:highlight w:val="none"/>
        </w:rPr>
        <w:fldChar w:fldCharType="separate"/>
      </w:r>
      <w:r>
        <w:rPr>
          <w:rFonts w:hint="eastAsia" w:cs="宋体"/>
          <w:color w:val="auto"/>
          <w:sz w:val="21"/>
          <w:szCs w:val="21"/>
          <w:highlight w:val="none"/>
        </w:rPr>
        <w:t>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"_Toc14333" </w:instrText>
      </w:r>
      <w:r>
        <w:rPr>
          <w:color w:val="auto"/>
          <w:highlight w:val="none"/>
        </w:rPr>
        <w:fldChar w:fldCharType="separate"/>
      </w:r>
      <w:r>
        <w:rPr>
          <w:rFonts w:hint="eastAsia" w:cs="宋体"/>
          <w:color w:val="auto"/>
          <w:sz w:val="21"/>
          <w:szCs w:val="21"/>
          <w:highlight w:val="none"/>
        </w:rPr>
        <w:t>附表一：投标资料表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_Toc14333 \h </w:instrText>
      </w:r>
      <w:r>
        <w:rPr>
          <w:rFonts w:hint="eastAsia" w:cs="宋体"/>
          <w:color w:val="auto"/>
          <w:sz w:val="21"/>
          <w:szCs w:val="21"/>
          <w:highlight w:val="none"/>
        </w:rPr>
        <w:fldChar w:fldCharType="separate"/>
      </w:r>
      <w:r>
        <w:rPr>
          <w:rFonts w:hint="eastAsia" w:cs="宋体"/>
          <w:color w:val="auto"/>
          <w:sz w:val="21"/>
          <w:szCs w:val="21"/>
          <w:highlight w:val="none"/>
        </w:rPr>
        <w:t>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"_Toc21237" </w:instrText>
      </w:r>
      <w:r>
        <w:rPr>
          <w:color w:val="auto"/>
          <w:highlight w:val="none"/>
        </w:rPr>
        <w:fldChar w:fldCharType="separate"/>
      </w:r>
      <w:r>
        <w:rPr>
          <w:rFonts w:hint="eastAsia" w:cs="宋体"/>
          <w:color w:val="auto"/>
          <w:sz w:val="21"/>
          <w:szCs w:val="21"/>
          <w:highlight w:val="none"/>
        </w:rPr>
        <w:t>第三部分用户需求书</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_Toc21237 \h </w:instrText>
      </w:r>
      <w:r>
        <w:rPr>
          <w:rFonts w:hint="eastAsia" w:cs="宋体"/>
          <w:color w:val="auto"/>
          <w:sz w:val="21"/>
          <w:szCs w:val="21"/>
          <w:highlight w:val="none"/>
        </w:rPr>
        <w:fldChar w:fldCharType="separate"/>
      </w:r>
      <w:r>
        <w:rPr>
          <w:rFonts w:hint="eastAsia" w:cs="宋体"/>
          <w:color w:val="auto"/>
          <w:sz w:val="21"/>
          <w:szCs w:val="21"/>
          <w:highlight w:val="none"/>
        </w:rPr>
        <w:t>12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"_Toc15266" </w:instrText>
      </w:r>
      <w:r>
        <w:rPr>
          <w:color w:val="auto"/>
          <w:highlight w:val="none"/>
        </w:rPr>
        <w:fldChar w:fldCharType="separate"/>
      </w:r>
      <w:r>
        <w:rPr>
          <w:rFonts w:hint="eastAsia" w:cs="宋体"/>
          <w:color w:val="auto"/>
          <w:sz w:val="21"/>
          <w:szCs w:val="21"/>
          <w:highlight w:val="none"/>
        </w:rPr>
        <w:t>第一章 商务需求书</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_Toc15266 \h </w:instrText>
      </w:r>
      <w:r>
        <w:rPr>
          <w:rFonts w:hint="eastAsia" w:cs="宋体"/>
          <w:color w:val="auto"/>
          <w:sz w:val="21"/>
          <w:szCs w:val="21"/>
          <w:highlight w:val="none"/>
        </w:rPr>
        <w:fldChar w:fldCharType="separate"/>
      </w:r>
      <w:r>
        <w:rPr>
          <w:rFonts w:hint="eastAsia" w:cs="宋体"/>
          <w:color w:val="auto"/>
          <w:sz w:val="21"/>
          <w:szCs w:val="21"/>
          <w:highlight w:val="none"/>
        </w:rPr>
        <w:t>12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"_Toc30066" </w:instrText>
      </w:r>
      <w:r>
        <w:rPr>
          <w:color w:val="auto"/>
          <w:highlight w:val="none"/>
        </w:rPr>
        <w:fldChar w:fldCharType="separate"/>
      </w:r>
      <w:r>
        <w:rPr>
          <w:rFonts w:hint="eastAsia" w:cs="宋体"/>
          <w:color w:val="auto"/>
          <w:sz w:val="21"/>
          <w:szCs w:val="21"/>
          <w:highlight w:val="none"/>
        </w:rPr>
        <w:t>第二章 技术需求书</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_Toc30066 \h </w:instrText>
      </w:r>
      <w:r>
        <w:rPr>
          <w:rFonts w:hint="eastAsia" w:cs="宋体"/>
          <w:color w:val="auto"/>
          <w:sz w:val="21"/>
          <w:szCs w:val="21"/>
          <w:highlight w:val="none"/>
        </w:rPr>
        <w:fldChar w:fldCharType="separate"/>
      </w:r>
      <w:r>
        <w:rPr>
          <w:rFonts w:hint="eastAsia" w:cs="宋体"/>
          <w:color w:val="auto"/>
          <w:sz w:val="21"/>
          <w:szCs w:val="21"/>
          <w:highlight w:val="none"/>
        </w:rPr>
        <w:t>21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"_Toc31595" </w:instrText>
      </w:r>
      <w:r>
        <w:rPr>
          <w:color w:val="auto"/>
          <w:highlight w:val="none"/>
        </w:rPr>
        <w:fldChar w:fldCharType="separate"/>
      </w:r>
      <w:r>
        <w:rPr>
          <w:rFonts w:hint="eastAsia" w:cs="宋体"/>
          <w:color w:val="auto"/>
          <w:sz w:val="21"/>
          <w:szCs w:val="21"/>
          <w:highlight w:val="none"/>
        </w:rPr>
        <w:t>第四部分投标人须知</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_Toc31595 \h </w:instrText>
      </w:r>
      <w:r>
        <w:rPr>
          <w:rFonts w:hint="eastAsia" w:cs="宋体"/>
          <w:color w:val="auto"/>
          <w:sz w:val="21"/>
          <w:szCs w:val="21"/>
          <w:highlight w:val="none"/>
        </w:rPr>
        <w:fldChar w:fldCharType="separate"/>
      </w:r>
      <w:r>
        <w:rPr>
          <w:rFonts w:hint="eastAsia" w:cs="宋体"/>
          <w:color w:val="auto"/>
          <w:sz w:val="21"/>
          <w:szCs w:val="21"/>
          <w:highlight w:val="none"/>
        </w:rPr>
        <w:t>47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"_Toc25201" </w:instrText>
      </w:r>
      <w:r>
        <w:rPr>
          <w:color w:val="auto"/>
          <w:highlight w:val="none"/>
        </w:rPr>
        <w:fldChar w:fldCharType="separate"/>
      </w:r>
      <w:r>
        <w:rPr>
          <w:rFonts w:hint="eastAsia" w:cs="宋体"/>
          <w:color w:val="auto"/>
          <w:sz w:val="21"/>
          <w:szCs w:val="21"/>
          <w:highlight w:val="none"/>
        </w:rPr>
        <w:t>一、 说明</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_Toc25201 \h </w:instrText>
      </w:r>
      <w:r>
        <w:rPr>
          <w:rFonts w:hint="eastAsia" w:cs="宋体"/>
          <w:color w:val="auto"/>
          <w:sz w:val="21"/>
          <w:szCs w:val="21"/>
          <w:highlight w:val="none"/>
        </w:rPr>
        <w:fldChar w:fldCharType="separate"/>
      </w:r>
      <w:r>
        <w:rPr>
          <w:rFonts w:hint="eastAsia" w:cs="宋体"/>
          <w:color w:val="auto"/>
          <w:sz w:val="21"/>
          <w:szCs w:val="21"/>
          <w:highlight w:val="none"/>
        </w:rPr>
        <w:t>47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"_Toc18690" </w:instrText>
      </w:r>
      <w:r>
        <w:rPr>
          <w:color w:val="auto"/>
          <w:highlight w:val="none"/>
        </w:rPr>
        <w:fldChar w:fldCharType="separate"/>
      </w:r>
      <w:r>
        <w:rPr>
          <w:rFonts w:hint="eastAsia" w:cs="宋体"/>
          <w:color w:val="auto"/>
          <w:sz w:val="21"/>
          <w:szCs w:val="21"/>
          <w:highlight w:val="none"/>
        </w:rPr>
        <w:t>1. 适用范围</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_Toc18690 \h </w:instrText>
      </w:r>
      <w:r>
        <w:rPr>
          <w:rFonts w:hint="eastAsia" w:cs="宋体"/>
          <w:color w:val="auto"/>
          <w:sz w:val="21"/>
          <w:szCs w:val="21"/>
          <w:highlight w:val="none"/>
        </w:rPr>
        <w:fldChar w:fldCharType="separate"/>
      </w:r>
      <w:r>
        <w:rPr>
          <w:rFonts w:hint="eastAsia" w:cs="宋体"/>
          <w:color w:val="auto"/>
          <w:sz w:val="21"/>
          <w:szCs w:val="21"/>
          <w:highlight w:val="none"/>
        </w:rPr>
        <w:t>47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"_Toc28435" </w:instrText>
      </w:r>
      <w:r>
        <w:rPr>
          <w:color w:val="auto"/>
          <w:highlight w:val="none"/>
        </w:rPr>
        <w:fldChar w:fldCharType="separate"/>
      </w:r>
      <w:r>
        <w:rPr>
          <w:rFonts w:hint="eastAsia" w:cs="宋体"/>
          <w:color w:val="auto"/>
          <w:sz w:val="21"/>
          <w:szCs w:val="21"/>
          <w:highlight w:val="none"/>
        </w:rPr>
        <w:t>2. 定义</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_Toc28435 \h </w:instrText>
      </w:r>
      <w:r>
        <w:rPr>
          <w:rFonts w:hint="eastAsia" w:cs="宋体"/>
          <w:color w:val="auto"/>
          <w:sz w:val="21"/>
          <w:szCs w:val="21"/>
          <w:highlight w:val="none"/>
        </w:rPr>
        <w:fldChar w:fldCharType="separate"/>
      </w:r>
      <w:r>
        <w:rPr>
          <w:rFonts w:hint="eastAsia" w:cs="宋体"/>
          <w:color w:val="auto"/>
          <w:sz w:val="21"/>
          <w:szCs w:val="21"/>
          <w:highlight w:val="none"/>
        </w:rPr>
        <w:t>47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"_Toc10625" </w:instrText>
      </w:r>
      <w:r>
        <w:rPr>
          <w:color w:val="auto"/>
          <w:highlight w:val="none"/>
        </w:rPr>
        <w:fldChar w:fldCharType="separate"/>
      </w:r>
      <w:r>
        <w:rPr>
          <w:rFonts w:hint="eastAsia" w:cs="宋体"/>
          <w:color w:val="auto"/>
          <w:sz w:val="21"/>
          <w:szCs w:val="21"/>
          <w:highlight w:val="none"/>
        </w:rPr>
        <w:t>3. 货物和服务</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_Toc10625 \h </w:instrText>
      </w:r>
      <w:r>
        <w:rPr>
          <w:rFonts w:hint="eastAsia" w:cs="宋体"/>
          <w:color w:val="auto"/>
          <w:sz w:val="21"/>
          <w:szCs w:val="21"/>
          <w:highlight w:val="none"/>
        </w:rPr>
        <w:fldChar w:fldCharType="separate"/>
      </w:r>
      <w:r>
        <w:rPr>
          <w:rFonts w:hint="eastAsia" w:cs="宋体"/>
          <w:color w:val="auto"/>
          <w:sz w:val="21"/>
          <w:szCs w:val="21"/>
          <w:highlight w:val="none"/>
        </w:rPr>
        <w:t>47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"_Toc1673" </w:instrText>
      </w:r>
      <w:r>
        <w:rPr>
          <w:color w:val="auto"/>
          <w:highlight w:val="none"/>
        </w:rPr>
        <w:fldChar w:fldCharType="separate"/>
      </w:r>
      <w:r>
        <w:rPr>
          <w:rFonts w:hint="eastAsia" w:cs="宋体"/>
          <w:color w:val="auto"/>
          <w:sz w:val="21"/>
          <w:szCs w:val="21"/>
          <w:highlight w:val="none"/>
        </w:rPr>
        <w:t>4. 投标费用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_Toc1673 \h </w:instrText>
      </w:r>
      <w:r>
        <w:rPr>
          <w:rFonts w:hint="eastAsia" w:cs="宋体"/>
          <w:color w:val="auto"/>
          <w:sz w:val="21"/>
          <w:szCs w:val="21"/>
          <w:highlight w:val="none"/>
        </w:rPr>
        <w:fldChar w:fldCharType="separate"/>
      </w:r>
      <w:r>
        <w:rPr>
          <w:rFonts w:hint="eastAsia" w:cs="宋体"/>
          <w:color w:val="auto"/>
          <w:sz w:val="21"/>
          <w:szCs w:val="21"/>
          <w:highlight w:val="none"/>
        </w:rPr>
        <w:t>47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"_Toc21477" </w:instrText>
      </w:r>
      <w:r>
        <w:rPr>
          <w:color w:val="auto"/>
          <w:highlight w:val="none"/>
        </w:rPr>
        <w:fldChar w:fldCharType="separate"/>
      </w:r>
      <w:r>
        <w:rPr>
          <w:rFonts w:hint="eastAsia" w:cs="宋体"/>
          <w:color w:val="auto"/>
          <w:sz w:val="21"/>
          <w:szCs w:val="21"/>
          <w:highlight w:val="none"/>
        </w:rPr>
        <w:t>5. 知识产权</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_Toc21477 \h </w:instrText>
      </w:r>
      <w:r>
        <w:rPr>
          <w:rFonts w:hint="eastAsia" w:cs="宋体"/>
          <w:color w:val="auto"/>
          <w:sz w:val="21"/>
          <w:szCs w:val="21"/>
          <w:highlight w:val="none"/>
        </w:rPr>
        <w:fldChar w:fldCharType="separate"/>
      </w:r>
      <w:r>
        <w:rPr>
          <w:rFonts w:hint="eastAsia" w:cs="宋体"/>
          <w:color w:val="auto"/>
          <w:sz w:val="21"/>
          <w:szCs w:val="21"/>
          <w:highlight w:val="none"/>
        </w:rPr>
        <w:t>48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"_Toc25122" </w:instrText>
      </w:r>
      <w:r>
        <w:rPr>
          <w:color w:val="auto"/>
          <w:highlight w:val="none"/>
        </w:rPr>
        <w:fldChar w:fldCharType="separate"/>
      </w:r>
      <w:r>
        <w:rPr>
          <w:rFonts w:hint="eastAsia" w:cs="宋体"/>
          <w:color w:val="auto"/>
          <w:sz w:val="21"/>
          <w:szCs w:val="21"/>
          <w:highlight w:val="none"/>
        </w:rPr>
        <w:t>6. 关于联合体投标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_Toc25122 \h </w:instrText>
      </w:r>
      <w:r>
        <w:rPr>
          <w:rFonts w:hint="eastAsia" w:cs="宋体"/>
          <w:color w:val="auto"/>
          <w:sz w:val="21"/>
          <w:szCs w:val="21"/>
          <w:highlight w:val="none"/>
        </w:rPr>
        <w:fldChar w:fldCharType="separate"/>
      </w:r>
      <w:r>
        <w:rPr>
          <w:rFonts w:hint="eastAsia" w:cs="宋体"/>
          <w:color w:val="auto"/>
          <w:sz w:val="21"/>
          <w:szCs w:val="21"/>
          <w:highlight w:val="none"/>
        </w:rPr>
        <w:t>48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"_Toc10603" </w:instrText>
      </w:r>
      <w:r>
        <w:rPr>
          <w:color w:val="auto"/>
          <w:highlight w:val="none"/>
        </w:rPr>
        <w:fldChar w:fldCharType="separate"/>
      </w:r>
      <w:r>
        <w:rPr>
          <w:rFonts w:hint="eastAsia" w:cs="宋体"/>
          <w:color w:val="auto"/>
          <w:sz w:val="21"/>
          <w:szCs w:val="21"/>
          <w:highlight w:val="none"/>
        </w:rPr>
        <w:t>7. 关于分支机构投标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_Toc10603 \h </w:instrText>
      </w:r>
      <w:r>
        <w:rPr>
          <w:rFonts w:hint="eastAsia" w:cs="宋体"/>
          <w:color w:val="auto"/>
          <w:sz w:val="21"/>
          <w:szCs w:val="21"/>
          <w:highlight w:val="none"/>
        </w:rPr>
        <w:fldChar w:fldCharType="separate"/>
      </w:r>
      <w:r>
        <w:rPr>
          <w:rFonts w:hint="eastAsia" w:cs="宋体"/>
          <w:color w:val="auto"/>
          <w:sz w:val="21"/>
          <w:szCs w:val="21"/>
          <w:highlight w:val="none"/>
        </w:rPr>
        <w:t>49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"_Toc16068" </w:instrText>
      </w:r>
      <w:r>
        <w:rPr>
          <w:color w:val="auto"/>
          <w:highlight w:val="none"/>
        </w:rPr>
        <w:fldChar w:fldCharType="separate"/>
      </w:r>
      <w:r>
        <w:rPr>
          <w:rFonts w:hint="eastAsia" w:cs="宋体"/>
          <w:color w:val="auto"/>
          <w:sz w:val="21"/>
          <w:szCs w:val="21"/>
          <w:highlight w:val="none"/>
        </w:rPr>
        <w:t>8. 踏勘现场</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_Toc16068 \h </w:instrText>
      </w:r>
      <w:r>
        <w:rPr>
          <w:rFonts w:hint="eastAsia" w:cs="宋体"/>
          <w:color w:val="auto"/>
          <w:sz w:val="21"/>
          <w:szCs w:val="21"/>
          <w:highlight w:val="none"/>
        </w:rPr>
        <w:fldChar w:fldCharType="separate"/>
      </w:r>
      <w:r>
        <w:rPr>
          <w:rFonts w:hint="eastAsia" w:cs="宋体"/>
          <w:color w:val="auto"/>
          <w:sz w:val="21"/>
          <w:szCs w:val="21"/>
          <w:highlight w:val="none"/>
        </w:rPr>
        <w:t>49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"_Toc14732" </w:instrText>
      </w:r>
      <w:r>
        <w:rPr>
          <w:color w:val="auto"/>
          <w:highlight w:val="none"/>
        </w:rPr>
        <w:fldChar w:fldCharType="separate"/>
      </w:r>
      <w:r>
        <w:rPr>
          <w:rFonts w:hint="eastAsia" w:cs="宋体"/>
          <w:color w:val="auto"/>
          <w:sz w:val="21"/>
          <w:szCs w:val="21"/>
          <w:highlight w:val="none"/>
        </w:rPr>
        <w:t>二、 采购文件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_Toc14732 \h </w:instrText>
      </w:r>
      <w:r>
        <w:rPr>
          <w:rFonts w:hint="eastAsia" w:cs="宋体"/>
          <w:color w:val="auto"/>
          <w:sz w:val="21"/>
          <w:szCs w:val="21"/>
          <w:highlight w:val="none"/>
        </w:rPr>
        <w:fldChar w:fldCharType="separate"/>
      </w:r>
      <w:r>
        <w:rPr>
          <w:rFonts w:hint="eastAsia" w:cs="宋体"/>
          <w:color w:val="auto"/>
          <w:sz w:val="21"/>
          <w:szCs w:val="21"/>
          <w:highlight w:val="none"/>
        </w:rPr>
        <w:t>49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"_Toc25451" </w:instrText>
      </w:r>
      <w:r>
        <w:rPr>
          <w:color w:val="auto"/>
          <w:highlight w:val="none"/>
        </w:rPr>
        <w:fldChar w:fldCharType="separate"/>
      </w:r>
      <w:r>
        <w:rPr>
          <w:rFonts w:hint="eastAsia" w:cs="宋体"/>
          <w:color w:val="auto"/>
          <w:sz w:val="21"/>
          <w:szCs w:val="21"/>
          <w:highlight w:val="none"/>
        </w:rPr>
        <w:t>9. 采购文件的组成</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_Toc25451 \h </w:instrText>
      </w:r>
      <w:r>
        <w:rPr>
          <w:rFonts w:hint="eastAsia" w:cs="宋体"/>
          <w:color w:val="auto"/>
          <w:sz w:val="21"/>
          <w:szCs w:val="21"/>
          <w:highlight w:val="none"/>
        </w:rPr>
        <w:fldChar w:fldCharType="separate"/>
      </w:r>
      <w:r>
        <w:rPr>
          <w:rFonts w:hint="eastAsia" w:cs="宋体"/>
          <w:color w:val="auto"/>
          <w:sz w:val="21"/>
          <w:szCs w:val="21"/>
          <w:highlight w:val="none"/>
        </w:rPr>
        <w:t>49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"_Toc30490" </w:instrText>
      </w:r>
      <w:r>
        <w:rPr>
          <w:color w:val="auto"/>
          <w:highlight w:val="none"/>
        </w:rPr>
        <w:fldChar w:fldCharType="separate"/>
      </w:r>
      <w:r>
        <w:rPr>
          <w:rFonts w:hint="eastAsia" w:cs="宋体"/>
          <w:color w:val="auto"/>
          <w:sz w:val="21"/>
          <w:szCs w:val="21"/>
          <w:highlight w:val="none"/>
        </w:rPr>
        <w:t>10. 采购文件的澄清或修改</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_Toc30490 \h </w:instrText>
      </w:r>
      <w:r>
        <w:rPr>
          <w:rFonts w:hint="eastAsia" w:cs="宋体"/>
          <w:color w:val="auto"/>
          <w:sz w:val="21"/>
          <w:szCs w:val="21"/>
          <w:highlight w:val="none"/>
        </w:rPr>
        <w:fldChar w:fldCharType="separate"/>
      </w:r>
      <w:r>
        <w:rPr>
          <w:rFonts w:hint="eastAsia" w:cs="宋体"/>
          <w:color w:val="auto"/>
          <w:sz w:val="21"/>
          <w:szCs w:val="21"/>
          <w:highlight w:val="none"/>
        </w:rPr>
        <w:t>49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"_Toc10333" </w:instrText>
      </w:r>
      <w:r>
        <w:rPr>
          <w:color w:val="auto"/>
          <w:highlight w:val="none"/>
        </w:rPr>
        <w:fldChar w:fldCharType="separate"/>
      </w:r>
      <w:r>
        <w:rPr>
          <w:rFonts w:hint="eastAsia" w:cs="宋体"/>
          <w:color w:val="auto"/>
          <w:sz w:val="21"/>
          <w:szCs w:val="21"/>
          <w:highlight w:val="none"/>
        </w:rPr>
        <w:t>三、 投标文件的编制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_Toc10333 \h </w:instrText>
      </w:r>
      <w:r>
        <w:rPr>
          <w:rFonts w:hint="eastAsia" w:cs="宋体"/>
          <w:color w:val="auto"/>
          <w:sz w:val="21"/>
          <w:szCs w:val="21"/>
          <w:highlight w:val="none"/>
        </w:rPr>
        <w:fldChar w:fldCharType="separate"/>
      </w:r>
      <w:r>
        <w:rPr>
          <w:rFonts w:hint="eastAsia" w:cs="宋体"/>
          <w:color w:val="auto"/>
          <w:sz w:val="21"/>
          <w:szCs w:val="21"/>
          <w:highlight w:val="none"/>
        </w:rPr>
        <w:t>50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"_Toc12048" </w:instrText>
      </w:r>
      <w:r>
        <w:rPr>
          <w:color w:val="auto"/>
          <w:highlight w:val="none"/>
        </w:rPr>
        <w:fldChar w:fldCharType="separate"/>
      </w:r>
      <w:r>
        <w:rPr>
          <w:rFonts w:hint="eastAsia" w:cs="宋体"/>
          <w:color w:val="auto"/>
          <w:sz w:val="21"/>
          <w:szCs w:val="21"/>
          <w:highlight w:val="none"/>
        </w:rPr>
        <w:t>11. 投标文件的语言及度量衡单位</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_Toc12048 \h </w:instrText>
      </w:r>
      <w:r>
        <w:rPr>
          <w:rFonts w:hint="eastAsia" w:cs="宋体"/>
          <w:color w:val="auto"/>
          <w:sz w:val="21"/>
          <w:szCs w:val="21"/>
          <w:highlight w:val="none"/>
        </w:rPr>
        <w:fldChar w:fldCharType="separate"/>
      </w:r>
      <w:r>
        <w:rPr>
          <w:rFonts w:hint="eastAsia" w:cs="宋体"/>
          <w:color w:val="auto"/>
          <w:sz w:val="21"/>
          <w:szCs w:val="21"/>
          <w:highlight w:val="none"/>
        </w:rPr>
        <w:t>50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"_Toc27953" </w:instrText>
      </w:r>
      <w:r>
        <w:rPr>
          <w:color w:val="auto"/>
          <w:highlight w:val="none"/>
        </w:rPr>
        <w:fldChar w:fldCharType="separate"/>
      </w:r>
      <w:r>
        <w:rPr>
          <w:rFonts w:hint="eastAsia" w:cs="宋体"/>
          <w:color w:val="auto"/>
          <w:sz w:val="21"/>
          <w:szCs w:val="21"/>
          <w:highlight w:val="none"/>
        </w:rPr>
        <w:t>12. 投标文件的组成</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_Toc27953 \h </w:instrText>
      </w:r>
      <w:r>
        <w:rPr>
          <w:rFonts w:hint="eastAsia" w:cs="宋体"/>
          <w:color w:val="auto"/>
          <w:sz w:val="21"/>
          <w:szCs w:val="21"/>
          <w:highlight w:val="none"/>
        </w:rPr>
        <w:fldChar w:fldCharType="separate"/>
      </w:r>
      <w:r>
        <w:rPr>
          <w:rFonts w:hint="eastAsia" w:cs="宋体"/>
          <w:color w:val="auto"/>
          <w:sz w:val="21"/>
          <w:szCs w:val="21"/>
          <w:highlight w:val="none"/>
        </w:rPr>
        <w:t>50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"_Toc5904" </w:instrText>
      </w:r>
      <w:r>
        <w:rPr>
          <w:color w:val="auto"/>
          <w:highlight w:val="none"/>
        </w:rPr>
        <w:fldChar w:fldCharType="separate"/>
      </w:r>
      <w:r>
        <w:rPr>
          <w:rFonts w:hint="eastAsia" w:cs="宋体"/>
          <w:color w:val="auto"/>
          <w:sz w:val="21"/>
          <w:szCs w:val="21"/>
          <w:highlight w:val="none"/>
        </w:rPr>
        <w:t>13. 投标文件编制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_Toc5904 \h </w:instrText>
      </w:r>
      <w:r>
        <w:rPr>
          <w:rFonts w:hint="eastAsia" w:cs="宋体"/>
          <w:color w:val="auto"/>
          <w:sz w:val="21"/>
          <w:szCs w:val="21"/>
          <w:highlight w:val="none"/>
        </w:rPr>
        <w:fldChar w:fldCharType="separate"/>
      </w:r>
      <w:r>
        <w:rPr>
          <w:rFonts w:hint="eastAsia" w:cs="宋体"/>
          <w:color w:val="auto"/>
          <w:sz w:val="21"/>
          <w:szCs w:val="21"/>
          <w:highlight w:val="none"/>
        </w:rPr>
        <w:t>50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"_Toc7134" </w:instrText>
      </w:r>
      <w:r>
        <w:rPr>
          <w:color w:val="auto"/>
          <w:highlight w:val="none"/>
        </w:rPr>
        <w:fldChar w:fldCharType="separate"/>
      </w:r>
      <w:r>
        <w:rPr>
          <w:rFonts w:hint="eastAsia" w:cs="宋体"/>
          <w:color w:val="auto"/>
          <w:sz w:val="21"/>
          <w:szCs w:val="21"/>
          <w:highlight w:val="none"/>
        </w:rPr>
        <w:t>14. 投标报价说明</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_Toc7134 \h </w:instrText>
      </w:r>
      <w:r>
        <w:rPr>
          <w:rFonts w:hint="eastAsia" w:cs="宋体"/>
          <w:color w:val="auto"/>
          <w:sz w:val="21"/>
          <w:szCs w:val="21"/>
          <w:highlight w:val="none"/>
        </w:rPr>
        <w:fldChar w:fldCharType="separate"/>
      </w:r>
      <w:r>
        <w:rPr>
          <w:rFonts w:hint="eastAsia" w:cs="宋体"/>
          <w:color w:val="auto"/>
          <w:sz w:val="21"/>
          <w:szCs w:val="21"/>
          <w:highlight w:val="none"/>
        </w:rPr>
        <w:t>51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"_Toc14501" </w:instrText>
      </w:r>
      <w:r>
        <w:rPr>
          <w:color w:val="auto"/>
          <w:highlight w:val="none"/>
        </w:rPr>
        <w:fldChar w:fldCharType="separate"/>
      </w:r>
      <w:r>
        <w:rPr>
          <w:rFonts w:hint="eastAsia" w:cs="宋体"/>
          <w:color w:val="auto"/>
          <w:sz w:val="21"/>
          <w:szCs w:val="21"/>
          <w:highlight w:val="none"/>
        </w:rPr>
        <w:t>15. 投标人所提供的服务或货物的证明文件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_Toc14501 \h </w:instrText>
      </w:r>
      <w:r>
        <w:rPr>
          <w:rFonts w:hint="eastAsia" w:cs="宋体"/>
          <w:color w:val="auto"/>
          <w:sz w:val="21"/>
          <w:szCs w:val="21"/>
          <w:highlight w:val="none"/>
        </w:rPr>
        <w:fldChar w:fldCharType="separate"/>
      </w:r>
      <w:r>
        <w:rPr>
          <w:rFonts w:hint="eastAsia" w:cs="宋体"/>
          <w:color w:val="auto"/>
          <w:sz w:val="21"/>
          <w:szCs w:val="21"/>
          <w:highlight w:val="none"/>
        </w:rPr>
        <w:t>51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"_Toc2409" </w:instrText>
      </w:r>
      <w:r>
        <w:rPr>
          <w:color w:val="auto"/>
          <w:highlight w:val="none"/>
        </w:rPr>
        <w:fldChar w:fldCharType="separate"/>
      </w:r>
      <w:r>
        <w:rPr>
          <w:rFonts w:hint="eastAsia" w:cs="宋体"/>
          <w:color w:val="auto"/>
          <w:sz w:val="21"/>
          <w:szCs w:val="21"/>
          <w:highlight w:val="none"/>
        </w:rPr>
        <w:t>16. 投标有效期</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_Toc2409 \h </w:instrText>
      </w:r>
      <w:r>
        <w:rPr>
          <w:rFonts w:hint="eastAsia" w:cs="宋体"/>
          <w:color w:val="auto"/>
          <w:sz w:val="21"/>
          <w:szCs w:val="21"/>
          <w:highlight w:val="none"/>
        </w:rPr>
        <w:fldChar w:fldCharType="separate"/>
      </w:r>
      <w:r>
        <w:rPr>
          <w:rFonts w:hint="eastAsia" w:cs="宋体"/>
          <w:color w:val="auto"/>
          <w:sz w:val="21"/>
          <w:szCs w:val="21"/>
          <w:highlight w:val="none"/>
        </w:rPr>
        <w:t>52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"_Toc26564" </w:instrText>
      </w:r>
      <w:r>
        <w:rPr>
          <w:color w:val="auto"/>
          <w:highlight w:val="none"/>
        </w:rPr>
        <w:fldChar w:fldCharType="separate"/>
      </w:r>
      <w:r>
        <w:rPr>
          <w:rFonts w:hint="eastAsia" w:cs="宋体"/>
          <w:color w:val="auto"/>
          <w:sz w:val="21"/>
          <w:szCs w:val="21"/>
          <w:highlight w:val="none"/>
        </w:rPr>
        <w:t>17. 投标保证金</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_Toc26564 \h </w:instrText>
      </w:r>
      <w:r>
        <w:rPr>
          <w:rFonts w:hint="eastAsia" w:cs="宋体"/>
          <w:color w:val="auto"/>
          <w:sz w:val="21"/>
          <w:szCs w:val="21"/>
          <w:highlight w:val="none"/>
        </w:rPr>
        <w:fldChar w:fldCharType="separate"/>
      </w:r>
      <w:r>
        <w:rPr>
          <w:rFonts w:hint="eastAsia" w:cs="宋体"/>
          <w:color w:val="auto"/>
          <w:sz w:val="21"/>
          <w:szCs w:val="21"/>
          <w:highlight w:val="none"/>
        </w:rPr>
        <w:t>52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"_Toc18672" </w:instrText>
      </w:r>
      <w:r>
        <w:rPr>
          <w:color w:val="auto"/>
          <w:highlight w:val="none"/>
        </w:rPr>
        <w:fldChar w:fldCharType="separate"/>
      </w:r>
      <w:r>
        <w:rPr>
          <w:rFonts w:hint="eastAsia" w:cs="宋体"/>
          <w:color w:val="auto"/>
          <w:sz w:val="21"/>
          <w:szCs w:val="21"/>
          <w:highlight w:val="none"/>
        </w:rPr>
        <w:t>四、 投标文件的递交</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_Toc18672 \h </w:instrText>
      </w:r>
      <w:r>
        <w:rPr>
          <w:rFonts w:hint="eastAsia" w:cs="宋体"/>
          <w:color w:val="auto"/>
          <w:sz w:val="21"/>
          <w:szCs w:val="21"/>
          <w:highlight w:val="none"/>
        </w:rPr>
        <w:fldChar w:fldCharType="separate"/>
      </w:r>
      <w:r>
        <w:rPr>
          <w:rFonts w:hint="eastAsia" w:cs="宋体"/>
          <w:color w:val="auto"/>
          <w:sz w:val="21"/>
          <w:szCs w:val="21"/>
          <w:highlight w:val="none"/>
        </w:rPr>
        <w:t>53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"_Toc9759" </w:instrText>
      </w:r>
      <w:r>
        <w:rPr>
          <w:color w:val="auto"/>
          <w:highlight w:val="none"/>
        </w:rPr>
        <w:fldChar w:fldCharType="separate"/>
      </w:r>
      <w:r>
        <w:rPr>
          <w:rFonts w:hint="eastAsia" w:cs="宋体"/>
          <w:color w:val="auto"/>
          <w:sz w:val="21"/>
          <w:szCs w:val="21"/>
          <w:highlight w:val="none"/>
        </w:rPr>
        <w:t>18. 投标文件的装订，签署，密封和标记</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_Toc9759 \h </w:instrText>
      </w:r>
      <w:r>
        <w:rPr>
          <w:rFonts w:hint="eastAsia" w:cs="宋体"/>
          <w:color w:val="auto"/>
          <w:sz w:val="21"/>
          <w:szCs w:val="21"/>
          <w:highlight w:val="none"/>
        </w:rPr>
        <w:fldChar w:fldCharType="separate"/>
      </w:r>
      <w:r>
        <w:rPr>
          <w:rFonts w:hint="eastAsia" w:cs="宋体"/>
          <w:color w:val="auto"/>
          <w:sz w:val="21"/>
          <w:szCs w:val="21"/>
          <w:highlight w:val="none"/>
        </w:rPr>
        <w:t>53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"_Toc27686" </w:instrText>
      </w:r>
      <w:r>
        <w:rPr>
          <w:color w:val="auto"/>
          <w:highlight w:val="none"/>
        </w:rPr>
        <w:fldChar w:fldCharType="separate"/>
      </w:r>
      <w:r>
        <w:rPr>
          <w:rFonts w:hint="eastAsia" w:cs="宋体"/>
          <w:color w:val="auto"/>
          <w:sz w:val="21"/>
          <w:szCs w:val="21"/>
          <w:highlight w:val="none"/>
        </w:rPr>
        <w:t>19. 迟交的投标文件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_Toc27686 \h </w:instrText>
      </w:r>
      <w:r>
        <w:rPr>
          <w:rFonts w:hint="eastAsia" w:cs="宋体"/>
          <w:color w:val="auto"/>
          <w:sz w:val="21"/>
          <w:szCs w:val="21"/>
          <w:highlight w:val="none"/>
        </w:rPr>
        <w:fldChar w:fldCharType="separate"/>
      </w:r>
      <w:r>
        <w:rPr>
          <w:rFonts w:hint="eastAsia" w:cs="宋体"/>
          <w:color w:val="auto"/>
          <w:sz w:val="21"/>
          <w:szCs w:val="21"/>
          <w:highlight w:val="none"/>
        </w:rPr>
        <w:t>54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"_Toc8776" </w:instrText>
      </w:r>
      <w:r>
        <w:rPr>
          <w:color w:val="auto"/>
          <w:highlight w:val="none"/>
        </w:rPr>
        <w:fldChar w:fldCharType="separate"/>
      </w:r>
      <w:r>
        <w:rPr>
          <w:rFonts w:hint="eastAsia" w:cs="宋体"/>
          <w:color w:val="auto"/>
          <w:sz w:val="21"/>
          <w:szCs w:val="21"/>
          <w:highlight w:val="none"/>
        </w:rPr>
        <w:t>20. 投标样品（如需提交）</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_Toc8776 \h </w:instrText>
      </w:r>
      <w:r>
        <w:rPr>
          <w:rFonts w:hint="eastAsia" w:cs="宋体"/>
          <w:color w:val="auto"/>
          <w:sz w:val="21"/>
          <w:szCs w:val="21"/>
          <w:highlight w:val="none"/>
        </w:rPr>
        <w:fldChar w:fldCharType="separate"/>
      </w:r>
      <w:r>
        <w:rPr>
          <w:rFonts w:hint="eastAsia" w:cs="宋体"/>
          <w:color w:val="auto"/>
          <w:sz w:val="21"/>
          <w:szCs w:val="21"/>
          <w:highlight w:val="none"/>
        </w:rPr>
        <w:t>54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"_Toc17522" </w:instrText>
      </w:r>
      <w:r>
        <w:rPr>
          <w:color w:val="auto"/>
          <w:highlight w:val="none"/>
        </w:rPr>
        <w:fldChar w:fldCharType="separate"/>
      </w:r>
      <w:r>
        <w:rPr>
          <w:rFonts w:hint="eastAsia" w:cs="宋体"/>
          <w:color w:val="auto"/>
          <w:sz w:val="21"/>
          <w:szCs w:val="21"/>
          <w:highlight w:val="none"/>
        </w:rPr>
        <w:t>21. 投标截止期</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_Toc17522 \h </w:instrText>
      </w:r>
      <w:r>
        <w:rPr>
          <w:rFonts w:hint="eastAsia" w:cs="宋体"/>
          <w:color w:val="auto"/>
          <w:sz w:val="21"/>
          <w:szCs w:val="21"/>
          <w:highlight w:val="none"/>
        </w:rPr>
        <w:fldChar w:fldCharType="separate"/>
      </w:r>
      <w:r>
        <w:rPr>
          <w:rFonts w:hint="eastAsia" w:cs="宋体"/>
          <w:color w:val="auto"/>
          <w:sz w:val="21"/>
          <w:szCs w:val="21"/>
          <w:highlight w:val="none"/>
        </w:rPr>
        <w:t>54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"_Toc14518" </w:instrText>
      </w:r>
      <w:r>
        <w:rPr>
          <w:color w:val="auto"/>
          <w:highlight w:val="none"/>
        </w:rPr>
        <w:fldChar w:fldCharType="separate"/>
      </w:r>
      <w:r>
        <w:rPr>
          <w:rFonts w:hint="eastAsia" w:cs="宋体"/>
          <w:color w:val="auto"/>
          <w:sz w:val="21"/>
          <w:szCs w:val="21"/>
          <w:highlight w:val="none"/>
        </w:rPr>
        <w:t>22. 投标文件的补充、修改与撤回</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_Toc14518 \h </w:instrText>
      </w:r>
      <w:r>
        <w:rPr>
          <w:rFonts w:hint="eastAsia" w:cs="宋体"/>
          <w:color w:val="auto"/>
          <w:sz w:val="21"/>
          <w:szCs w:val="21"/>
          <w:highlight w:val="none"/>
        </w:rPr>
        <w:fldChar w:fldCharType="separate"/>
      </w:r>
      <w:r>
        <w:rPr>
          <w:rFonts w:hint="eastAsia" w:cs="宋体"/>
          <w:color w:val="auto"/>
          <w:sz w:val="21"/>
          <w:szCs w:val="21"/>
          <w:highlight w:val="none"/>
        </w:rPr>
        <w:t>54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"_Toc4693" </w:instrText>
      </w:r>
      <w:r>
        <w:rPr>
          <w:color w:val="auto"/>
          <w:highlight w:val="none"/>
        </w:rPr>
        <w:fldChar w:fldCharType="separate"/>
      </w:r>
      <w:r>
        <w:rPr>
          <w:rFonts w:hint="eastAsia" w:cs="宋体"/>
          <w:color w:val="auto"/>
          <w:sz w:val="21"/>
          <w:szCs w:val="21"/>
          <w:highlight w:val="none"/>
        </w:rPr>
        <w:t>五、 开标与评标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_Toc4693 \h </w:instrText>
      </w:r>
      <w:r>
        <w:rPr>
          <w:rFonts w:hint="eastAsia" w:cs="宋体"/>
          <w:color w:val="auto"/>
          <w:sz w:val="21"/>
          <w:szCs w:val="21"/>
          <w:highlight w:val="none"/>
        </w:rPr>
        <w:fldChar w:fldCharType="separate"/>
      </w:r>
      <w:r>
        <w:rPr>
          <w:rFonts w:hint="eastAsia" w:cs="宋体"/>
          <w:color w:val="auto"/>
          <w:sz w:val="21"/>
          <w:szCs w:val="21"/>
          <w:highlight w:val="none"/>
        </w:rPr>
        <w:t>55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"_Toc20009" </w:instrText>
      </w:r>
      <w:r>
        <w:rPr>
          <w:color w:val="auto"/>
          <w:highlight w:val="none"/>
        </w:rPr>
        <w:fldChar w:fldCharType="separate"/>
      </w:r>
      <w:r>
        <w:rPr>
          <w:rFonts w:hint="eastAsia" w:cs="宋体"/>
          <w:color w:val="auto"/>
          <w:sz w:val="21"/>
          <w:szCs w:val="21"/>
          <w:highlight w:val="none"/>
        </w:rPr>
        <w:t>23. 开标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_Toc20009 \h </w:instrText>
      </w:r>
      <w:r>
        <w:rPr>
          <w:rFonts w:hint="eastAsia" w:cs="宋体"/>
          <w:color w:val="auto"/>
          <w:sz w:val="21"/>
          <w:szCs w:val="21"/>
          <w:highlight w:val="none"/>
        </w:rPr>
        <w:fldChar w:fldCharType="separate"/>
      </w:r>
      <w:r>
        <w:rPr>
          <w:rFonts w:hint="eastAsia" w:cs="宋体"/>
          <w:color w:val="auto"/>
          <w:sz w:val="21"/>
          <w:szCs w:val="21"/>
          <w:highlight w:val="none"/>
        </w:rPr>
        <w:t>55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"_Toc15560" </w:instrText>
      </w:r>
      <w:r>
        <w:rPr>
          <w:color w:val="auto"/>
          <w:highlight w:val="none"/>
        </w:rPr>
        <w:fldChar w:fldCharType="separate"/>
      </w:r>
      <w:r>
        <w:rPr>
          <w:rFonts w:hint="eastAsia" w:cs="宋体"/>
          <w:color w:val="auto"/>
          <w:sz w:val="21"/>
          <w:szCs w:val="21"/>
          <w:highlight w:val="none"/>
        </w:rPr>
        <w:t>24. 评标委员会及评标方法</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_Toc15560 \h </w:instrText>
      </w:r>
      <w:r>
        <w:rPr>
          <w:rFonts w:hint="eastAsia" w:cs="宋体"/>
          <w:color w:val="auto"/>
          <w:sz w:val="21"/>
          <w:szCs w:val="21"/>
          <w:highlight w:val="none"/>
        </w:rPr>
        <w:fldChar w:fldCharType="separate"/>
      </w:r>
      <w:r>
        <w:rPr>
          <w:rFonts w:hint="eastAsia" w:cs="宋体"/>
          <w:color w:val="auto"/>
          <w:sz w:val="21"/>
          <w:szCs w:val="21"/>
          <w:highlight w:val="none"/>
        </w:rPr>
        <w:t>55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"_Toc22022" </w:instrText>
      </w:r>
      <w:r>
        <w:rPr>
          <w:color w:val="auto"/>
          <w:highlight w:val="none"/>
        </w:rPr>
        <w:fldChar w:fldCharType="separate"/>
      </w:r>
      <w:r>
        <w:rPr>
          <w:rFonts w:hint="eastAsia" w:cs="宋体"/>
          <w:color w:val="auto"/>
          <w:sz w:val="21"/>
          <w:szCs w:val="21"/>
          <w:highlight w:val="none"/>
        </w:rPr>
        <w:t>25. 评审原则及评标过程的保密</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_Toc22022 \h </w:instrText>
      </w:r>
      <w:r>
        <w:rPr>
          <w:rFonts w:hint="eastAsia" w:cs="宋体"/>
          <w:color w:val="auto"/>
          <w:sz w:val="21"/>
          <w:szCs w:val="21"/>
          <w:highlight w:val="none"/>
        </w:rPr>
        <w:fldChar w:fldCharType="separate"/>
      </w:r>
      <w:r>
        <w:rPr>
          <w:rFonts w:hint="eastAsia" w:cs="宋体"/>
          <w:color w:val="auto"/>
          <w:sz w:val="21"/>
          <w:szCs w:val="21"/>
          <w:highlight w:val="none"/>
        </w:rPr>
        <w:t>56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"_Toc14506" </w:instrText>
      </w:r>
      <w:r>
        <w:rPr>
          <w:color w:val="auto"/>
          <w:highlight w:val="none"/>
        </w:rPr>
        <w:fldChar w:fldCharType="separate"/>
      </w:r>
      <w:r>
        <w:rPr>
          <w:rFonts w:hint="eastAsia" w:cs="宋体"/>
          <w:color w:val="auto"/>
          <w:sz w:val="21"/>
          <w:szCs w:val="21"/>
          <w:highlight w:val="none"/>
        </w:rPr>
        <w:t>26. 评标程序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_Toc14506 \h </w:instrText>
      </w:r>
      <w:r>
        <w:rPr>
          <w:rFonts w:hint="eastAsia" w:cs="宋体"/>
          <w:color w:val="auto"/>
          <w:sz w:val="21"/>
          <w:szCs w:val="21"/>
          <w:highlight w:val="none"/>
        </w:rPr>
        <w:fldChar w:fldCharType="separate"/>
      </w:r>
      <w:r>
        <w:rPr>
          <w:rFonts w:hint="eastAsia" w:cs="宋体"/>
          <w:color w:val="auto"/>
          <w:sz w:val="21"/>
          <w:szCs w:val="21"/>
          <w:highlight w:val="none"/>
        </w:rPr>
        <w:t>56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"_Toc11415" </w:instrText>
      </w:r>
      <w:r>
        <w:rPr>
          <w:color w:val="auto"/>
          <w:highlight w:val="none"/>
        </w:rPr>
        <w:fldChar w:fldCharType="separate"/>
      </w:r>
      <w:r>
        <w:rPr>
          <w:rFonts w:hint="eastAsia" w:cs="宋体"/>
          <w:color w:val="auto"/>
          <w:sz w:val="21"/>
          <w:szCs w:val="21"/>
          <w:highlight w:val="none"/>
        </w:rPr>
        <w:t>27. 商务、技术、价格评审（具体评审项目详见投标资料表）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_Toc11415 \h </w:instrText>
      </w:r>
      <w:r>
        <w:rPr>
          <w:rFonts w:hint="eastAsia" w:cs="宋体"/>
          <w:color w:val="auto"/>
          <w:sz w:val="21"/>
          <w:szCs w:val="21"/>
          <w:highlight w:val="none"/>
        </w:rPr>
        <w:fldChar w:fldCharType="separate"/>
      </w:r>
      <w:r>
        <w:rPr>
          <w:rFonts w:hint="eastAsia" w:cs="宋体"/>
          <w:color w:val="auto"/>
          <w:sz w:val="21"/>
          <w:szCs w:val="21"/>
          <w:highlight w:val="none"/>
        </w:rPr>
        <w:t>58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"_Toc18550" </w:instrText>
      </w:r>
      <w:r>
        <w:rPr>
          <w:color w:val="auto"/>
          <w:highlight w:val="none"/>
        </w:rPr>
        <w:fldChar w:fldCharType="separate"/>
      </w:r>
      <w:r>
        <w:rPr>
          <w:rFonts w:hint="eastAsia" w:cs="宋体"/>
          <w:color w:val="auto"/>
          <w:sz w:val="21"/>
          <w:szCs w:val="21"/>
          <w:highlight w:val="none"/>
        </w:rPr>
        <w:t>28. 纪律和保密事项</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_Toc18550 \h </w:instrText>
      </w:r>
      <w:r>
        <w:rPr>
          <w:rFonts w:hint="eastAsia" w:cs="宋体"/>
          <w:color w:val="auto"/>
          <w:sz w:val="21"/>
          <w:szCs w:val="21"/>
          <w:highlight w:val="none"/>
        </w:rPr>
        <w:fldChar w:fldCharType="separate"/>
      </w:r>
      <w:r>
        <w:rPr>
          <w:rFonts w:hint="eastAsia" w:cs="宋体"/>
          <w:color w:val="auto"/>
          <w:sz w:val="21"/>
          <w:szCs w:val="21"/>
          <w:highlight w:val="none"/>
        </w:rPr>
        <w:t>59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"_Toc27738" </w:instrText>
      </w:r>
      <w:r>
        <w:rPr>
          <w:color w:val="auto"/>
          <w:highlight w:val="none"/>
        </w:rPr>
        <w:fldChar w:fldCharType="separate"/>
      </w:r>
      <w:r>
        <w:rPr>
          <w:rFonts w:hint="eastAsia" w:cs="宋体"/>
          <w:color w:val="auto"/>
          <w:sz w:val="21"/>
          <w:szCs w:val="21"/>
          <w:highlight w:val="none"/>
        </w:rPr>
        <w:t>六、 授予合同</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_Toc27738 \h </w:instrText>
      </w:r>
      <w:r>
        <w:rPr>
          <w:rFonts w:hint="eastAsia" w:cs="宋体"/>
          <w:color w:val="auto"/>
          <w:sz w:val="21"/>
          <w:szCs w:val="21"/>
          <w:highlight w:val="none"/>
        </w:rPr>
        <w:fldChar w:fldCharType="separate"/>
      </w:r>
      <w:r>
        <w:rPr>
          <w:rFonts w:hint="eastAsia" w:cs="宋体"/>
          <w:color w:val="auto"/>
          <w:sz w:val="21"/>
          <w:szCs w:val="21"/>
          <w:highlight w:val="none"/>
        </w:rPr>
        <w:t>59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"_Toc16090" </w:instrText>
      </w:r>
      <w:r>
        <w:rPr>
          <w:color w:val="auto"/>
          <w:highlight w:val="none"/>
        </w:rPr>
        <w:fldChar w:fldCharType="separate"/>
      </w:r>
      <w:r>
        <w:rPr>
          <w:rFonts w:hint="eastAsia" w:cs="宋体"/>
          <w:color w:val="auto"/>
          <w:sz w:val="21"/>
          <w:szCs w:val="21"/>
          <w:highlight w:val="none"/>
        </w:rPr>
        <w:t>29. 合同授予标准</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_Toc16090 \h </w:instrText>
      </w:r>
      <w:r>
        <w:rPr>
          <w:rFonts w:hint="eastAsia" w:cs="宋体"/>
          <w:color w:val="auto"/>
          <w:sz w:val="21"/>
          <w:szCs w:val="21"/>
          <w:highlight w:val="none"/>
        </w:rPr>
        <w:fldChar w:fldCharType="separate"/>
      </w:r>
      <w:r>
        <w:rPr>
          <w:rFonts w:hint="eastAsia" w:cs="宋体"/>
          <w:color w:val="auto"/>
          <w:sz w:val="21"/>
          <w:szCs w:val="21"/>
          <w:highlight w:val="none"/>
        </w:rPr>
        <w:t>59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"_Toc24261" </w:instrText>
      </w:r>
      <w:r>
        <w:rPr>
          <w:color w:val="auto"/>
          <w:highlight w:val="none"/>
        </w:rPr>
        <w:fldChar w:fldCharType="separate"/>
      </w:r>
      <w:r>
        <w:rPr>
          <w:rFonts w:hint="eastAsia" w:cs="宋体"/>
          <w:color w:val="auto"/>
          <w:sz w:val="21"/>
          <w:szCs w:val="21"/>
          <w:highlight w:val="none"/>
        </w:rPr>
        <w:t>30. 发布中标结果</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_Toc24261 \h </w:instrText>
      </w:r>
      <w:r>
        <w:rPr>
          <w:rFonts w:hint="eastAsia" w:cs="宋体"/>
          <w:color w:val="auto"/>
          <w:sz w:val="21"/>
          <w:szCs w:val="21"/>
          <w:highlight w:val="none"/>
        </w:rPr>
        <w:fldChar w:fldCharType="separate"/>
      </w:r>
      <w:r>
        <w:rPr>
          <w:rFonts w:hint="eastAsia" w:cs="宋体"/>
          <w:color w:val="auto"/>
          <w:sz w:val="21"/>
          <w:szCs w:val="21"/>
          <w:highlight w:val="none"/>
        </w:rPr>
        <w:t>59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"_Toc749" </w:instrText>
      </w:r>
      <w:r>
        <w:rPr>
          <w:color w:val="auto"/>
          <w:highlight w:val="none"/>
        </w:rPr>
        <w:fldChar w:fldCharType="separate"/>
      </w:r>
      <w:r>
        <w:rPr>
          <w:rFonts w:hint="eastAsia" w:cs="宋体"/>
          <w:color w:val="auto"/>
          <w:sz w:val="21"/>
          <w:szCs w:val="21"/>
          <w:highlight w:val="none"/>
        </w:rPr>
        <w:t>31. 资格后审</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_Toc749 \h </w:instrText>
      </w:r>
      <w:r>
        <w:rPr>
          <w:rFonts w:hint="eastAsia" w:cs="宋体"/>
          <w:color w:val="auto"/>
          <w:sz w:val="21"/>
          <w:szCs w:val="21"/>
          <w:highlight w:val="none"/>
        </w:rPr>
        <w:fldChar w:fldCharType="separate"/>
      </w:r>
      <w:r>
        <w:rPr>
          <w:rFonts w:hint="eastAsia" w:cs="宋体"/>
          <w:color w:val="auto"/>
          <w:sz w:val="21"/>
          <w:szCs w:val="21"/>
          <w:highlight w:val="none"/>
        </w:rPr>
        <w:t>59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"_Toc27689" </w:instrText>
      </w:r>
      <w:r>
        <w:rPr>
          <w:color w:val="auto"/>
          <w:highlight w:val="none"/>
        </w:rPr>
        <w:fldChar w:fldCharType="separate"/>
      </w:r>
      <w:r>
        <w:rPr>
          <w:rFonts w:hint="eastAsia" w:cs="宋体"/>
          <w:color w:val="auto"/>
          <w:sz w:val="21"/>
          <w:szCs w:val="21"/>
          <w:highlight w:val="none"/>
        </w:rPr>
        <w:t>32. 合同的签订与履行</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_Toc27689 \h </w:instrText>
      </w:r>
      <w:r>
        <w:rPr>
          <w:rFonts w:hint="eastAsia" w:cs="宋体"/>
          <w:color w:val="auto"/>
          <w:sz w:val="21"/>
          <w:szCs w:val="21"/>
          <w:highlight w:val="none"/>
        </w:rPr>
        <w:fldChar w:fldCharType="separate"/>
      </w:r>
      <w:r>
        <w:rPr>
          <w:rFonts w:hint="eastAsia" w:cs="宋体"/>
          <w:color w:val="auto"/>
          <w:sz w:val="21"/>
          <w:szCs w:val="21"/>
          <w:highlight w:val="none"/>
        </w:rPr>
        <w:t>60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"_Toc19211" </w:instrText>
      </w:r>
      <w:r>
        <w:rPr>
          <w:color w:val="auto"/>
          <w:highlight w:val="none"/>
        </w:rPr>
        <w:fldChar w:fldCharType="separate"/>
      </w:r>
      <w:r>
        <w:rPr>
          <w:rFonts w:hint="eastAsia" w:cs="宋体"/>
          <w:color w:val="auto"/>
          <w:sz w:val="21"/>
          <w:szCs w:val="21"/>
          <w:highlight w:val="none"/>
        </w:rPr>
        <w:t>33. 履约担保</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_Toc19211 \h </w:instrText>
      </w:r>
      <w:r>
        <w:rPr>
          <w:rFonts w:hint="eastAsia" w:cs="宋体"/>
          <w:color w:val="auto"/>
          <w:sz w:val="21"/>
          <w:szCs w:val="21"/>
          <w:highlight w:val="none"/>
        </w:rPr>
        <w:fldChar w:fldCharType="separate"/>
      </w:r>
      <w:r>
        <w:rPr>
          <w:rFonts w:hint="eastAsia" w:cs="宋体"/>
          <w:color w:val="auto"/>
          <w:sz w:val="21"/>
          <w:szCs w:val="21"/>
          <w:highlight w:val="none"/>
        </w:rPr>
        <w:t>60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"_Toc19347" </w:instrText>
      </w:r>
      <w:r>
        <w:rPr>
          <w:color w:val="auto"/>
          <w:highlight w:val="none"/>
        </w:rPr>
        <w:fldChar w:fldCharType="separate"/>
      </w:r>
      <w:r>
        <w:rPr>
          <w:rFonts w:hint="eastAsia" w:cs="宋体"/>
          <w:color w:val="auto"/>
          <w:sz w:val="21"/>
          <w:szCs w:val="21"/>
          <w:highlight w:val="none"/>
        </w:rPr>
        <w:t>34. 预付款保函（适用于预付款支付）</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_Toc19347 \h </w:instrText>
      </w:r>
      <w:r>
        <w:rPr>
          <w:rFonts w:hint="eastAsia" w:cs="宋体"/>
          <w:color w:val="auto"/>
          <w:sz w:val="21"/>
          <w:szCs w:val="21"/>
          <w:highlight w:val="none"/>
        </w:rPr>
        <w:fldChar w:fldCharType="separate"/>
      </w:r>
      <w:r>
        <w:rPr>
          <w:rFonts w:hint="eastAsia" w:cs="宋体"/>
          <w:color w:val="auto"/>
          <w:sz w:val="21"/>
          <w:szCs w:val="21"/>
          <w:highlight w:val="none"/>
        </w:rPr>
        <w:t>61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"_Toc27556" </w:instrText>
      </w:r>
      <w:r>
        <w:rPr>
          <w:color w:val="auto"/>
          <w:highlight w:val="none"/>
        </w:rPr>
        <w:fldChar w:fldCharType="separate"/>
      </w:r>
      <w:r>
        <w:rPr>
          <w:rFonts w:hint="eastAsia" w:cs="宋体"/>
          <w:color w:val="auto"/>
          <w:sz w:val="21"/>
          <w:szCs w:val="21"/>
          <w:highlight w:val="none"/>
        </w:rPr>
        <w:t>七、 异议</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_Toc27556 \h </w:instrText>
      </w:r>
      <w:r>
        <w:rPr>
          <w:rFonts w:hint="eastAsia" w:cs="宋体"/>
          <w:color w:val="auto"/>
          <w:sz w:val="21"/>
          <w:szCs w:val="21"/>
          <w:highlight w:val="none"/>
        </w:rPr>
        <w:fldChar w:fldCharType="separate"/>
      </w:r>
      <w:r>
        <w:rPr>
          <w:rFonts w:hint="eastAsia" w:cs="宋体"/>
          <w:color w:val="auto"/>
          <w:sz w:val="21"/>
          <w:szCs w:val="21"/>
          <w:highlight w:val="none"/>
        </w:rPr>
        <w:t>62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"_Toc31457" </w:instrText>
      </w:r>
      <w:r>
        <w:rPr>
          <w:color w:val="auto"/>
          <w:highlight w:val="none"/>
        </w:rPr>
        <w:fldChar w:fldCharType="separate"/>
      </w:r>
      <w:r>
        <w:rPr>
          <w:rFonts w:hint="eastAsia" w:cs="宋体"/>
          <w:color w:val="auto"/>
          <w:sz w:val="21"/>
          <w:szCs w:val="21"/>
          <w:highlight w:val="none"/>
        </w:rPr>
        <w:t>35. 异议</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_Toc31457 \h </w:instrText>
      </w:r>
      <w:r>
        <w:rPr>
          <w:rFonts w:hint="eastAsia" w:cs="宋体"/>
          <w:color w:val="auto"/>
          <w:sz w:val="21"/>
          <w:szCs w:val="21"/>
          <w:highlight w:val="none"/>
        </w:rPr>
        <w:fldChar w:fldCharType="separate"/>
      </w:r>
      <w:r>
        <w:rPr>
          <w:rFonts w:hint="eastAsia" w:cs="宋体"/>
          <w:color w:val="auto"/>
          <w:sz w:val="21"/>
          <w:szCs w:val="21"/>
          <w:highlight w:val="none"/>
        </w:rPr>
        <w:t>62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"_Toc16776" </w:instrText>
      </w:r>
      <w:r>
        <w:rPr>
          <w:color w:val="auto"/>
          <w:highlight w:val="none"/>
        </w:rPr>
        <w:fldChar w:fldCharType="separate"/>
      </w:r>
      <w:r>
        <w:rPr>
          <w:rFonts w:hint="eastAsia" w:cs="宋体"/>
          <w:color w:val="auto"/>
          <w:sz w:val="21"/>
          <w:szCs w:val="21"/>
          <w:highlight w:val="none"/>
        </w:rPr>
        <w:t>八、 其他</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_Toc16776 \h </w:instrText>
      </w:r>
      <w:r>
        <w:rPr>
          <w:rFonts w:hint="eastAsia" w:cs="宋体"/>
          <w:color w:val="auto"/>
          <w:sz w:val="21"/>
          <w:szCs w:val="21"/>
          <w:highlight w:val="none"/>
        </w:rPr>
        <w:fldChar w:fldCharType="separate"/>
      </w:r>
      <w:r>
        <w:rPr>
          <w:rFonts w:hint="eastAsia" w:cs="宋体"/>
          <w:color w:val="auto"/>
          <w:sz w:val="21"/>
          <w:szCs w:val="21"/>
          <w:highlight w:val="none"/>
        </w:rPr>
        <w:t>62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"_Toc2155" </w:instrText>
      </w:r>
      <w:r>
        <w:rPr>
          <w:color w:val="auto"/>
          <w:highlight w:val="none"/>
        </w:rPr>
        <w:fldChar w:fldCharType="separate"/>
      </w:r>
      <w:r>
        <w:rPr>
          <w:rFonts w:hint="eastAsia" w:cs="宋体"/>
          <w:color w:val="auto"/>
          <w:sz w:val="21"/>
          <w:szCs w:val="21"/>
          <w:highlight w:val="none"/>
        </w:rPr>
        <w:t>36. 采购文件的解释权</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_Toc2155 \h </w:instrText>
      </w:r>
      <w:r>
        <w:rPr>
          <w:rFonts w:hint="eastAsia" w:cs="宋体"/>
          <w:color w:val="auto"/>
          <w:sz w:val="21"/>
          <w:szCs w:val="21"/>
          <w:highlight w:val="none"/>
        </w:rPr>
        <w:fldChar w:fldCharType="separate"/>
      </w:r>
      <w:r>
        <w:rPr>
          <w:rFonts w:hint="eastAsia" w:cs="宋体"/>
          <w:color w:val="auto"/>
          <w:sz w:val="21"/>
          <w:szCs w:val="21"/>
          <w:highlight w:val="none"/>
        </w:rPr>
        <w:t>62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"_Toc15211" </w:instrText>
      </w:r>
      <w:r>
        <w:rPr>
          <w:color w:val="auto"/>
          <w:highlight w:val="none"/>
        </w:rPr>
        <w:fldChar w:fldCharType="separate"/>
      </w:r>
      <w:r>
        <w:rPr>
          <w:rFonts w:hint="eastAsia" w:cs="宋体"/>
          <w:color w:val="auto"/>
          <w:sz w:val="21"/>
          <w:szCs w:val="21"/>
          <w:highlight w:val="none"/>
        </w:rPr>
        <w:t>第五部分  合同条款格式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_Toc15211 \h </w:instrText>
      </w:r>
      <w:r>
        <w:rPr>
          <w:rFonts w:hint="eastAsia" w:cs="宋体"/>
          <w:color w:val="auto"/>
          <w:sz w:val="21"/>
          <w:szCs w:val="21"/>
          <w:highlight w:val="none"/>
        </w:rPr>
        <w:fldChar w:fldCharType="separate"/>
      </w:r>
      <w:r>
        <w:rPr>
          <w:rFonts w:hint="eastAsia" w:cs="宋体"/>
          <w:color w:val="auto"/>
          <w:sz w:val="21"/>
          <w:szCs w:val="21"/>
          <w:highlight w:val="none"/>
        </w:rPr>
        <w:t>63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"_Toc17124" </w:instrText>
      </w:r>
      <w:r>
        <w:rPr>
          <w:color w:val="auto"/>
          <w:highlight w:val="none"/>
        </w:rPr>
        <w:fldChar w:fldCharType="separate"/>
      </w:r>
      <w:r>
        <w:rPr>
          <w:rFonts w:hint="eastAsia" w:cs="宋体"/>
          <w:color w:val="auto"/>
          <w:sz w:val="21"/>
          <w:szCs w:val="21"/>
          <w:highlight w:val="none"/>
        </w:rPr>
        <w:t>第六部分附件－投标文件格式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_Toc17124 \h </w:instrText>
      </w:r>
      <w:r>
        <w:rPr>
          <w:rFonts w:hint="eastAsia" w:cs="宋体"/>
          <w:color w:val="auto"/>
          <w:sz w:val="21"/>
          <w:szCs w:val="21"/>
          <w:highlight w:val="none"/>
        </w:rPr>
        <w:fldChar w:fldCharType="separate"/>
      </w:r>
      <w:r>
        <w:rPr>
          <w:rFonts w:hint="eastAsia" w:cs="宋体"/>
          <w:color w:val="auto"/>
          <w:sz w:val="21"/>
          <w:szCs w:val="21"/>
          <w:highlight w:val="none"/>
        </w:rPr>
        <w:t>63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"_Toc25786" </w:instrText>
      </w:r>
      <w:r>
        <w:rPr>
          <w:color w:val="auto"/>
          <w:highlight w:val="none"/>
        </w:rPr>
        <w:fldChar w:fldCharType="separate"/>
      </w:r>
      <w:r>
        <w:rPr>
          <w:rFonts w:hint="eastAsia" w:cs="宋体"/>
          <w:color w:val="auto"/>
          <w:sz w:val="21"/>
          <w:szCs w:val="21"/>
          <w:highlight w:val="none"/>
        </w:rPr>
        <w:t>投标文件目录</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_Toc25786 \h </w:instrText>
      </w:r>
      <w:r>
        <w:rPr>
          <w:rFonts w:hint="eastAsia" w:cs="宋体"/>
          <w:color w:val="auto"/>
          <w:sz w:val="21"/>
          <w:szCs w:val="21"/>
          <w:highlight w:val="none"/>
        </w:rPr>
        <w:fldChar w:fldCharType="separate"/>
      </w:r>
      <w:r>
        <w:rPr>
          <w:rFonts w:hint="eastAsia" w:cs="宋体"/>
          <w:color w:val="auto"/>
          <w:sz w:val="21"/>
          <w:szCs w:val="21"/>
          <w:highlight w:val="none"/>
        </w:rPr>
        <w:t>101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"_Toc9213" </w:instrText>
      </w:r>
      <w:r>
        <w:rPr>
          <w:color w:val="auto"/>
          <w:highlight w:val="none"/>
        </w:rPr>
        <w:fldChar w:fldCharType="separate"/>
      </w:r>
      <w:r>
        <w:rPr>
          <w:rFonts w:hint="eastAsia" w:cs="宋体"/>
          <w:color w:val="auto"/>
          <w:sz w:val="21"/>
          <w:szCs w:val="21"/>
          <w:highlight w:val="none"/>
        </w:rPr>
        <w:t>价格文件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_Toc9213 \h </w:instrText>
      </w:r>
      <w:r>
        <w:rPr>
          <w:rFonts w:hint="eastAsia" w:cs="宋体"/>
          <w:color w:val="auto"/>
          <w:sz w:val="21"/>
          <w:szCs w:val="21"/>
          <w:highlight w:val="none"/>
        </w:rPr>
        <w:fldChar w:fldCharType="separate"/>
      </w:r>
      <w:r>
        <w:rPr>
          <w:rFonts w:hint="eastAsia" w:cs="宋体"/>
          <w:color w:val="auto"/>
          <w:sz w:val="21"/>
          <w:szCs w:val="21"/>
          <w:highlight w:val="none"/>
        </w:rPr>
        <w:t>102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"_Toc1232" </w:instrText>
      </w:r>
      <w:r>
        <w:rPr>
          <w:color w:val="auto"/>
          <w:highlight w:val="none"/>
        </w:rPr>
        <w:fldChar w:fldCharType="separate"/>
      </w:r>
      <w:r>
        <w:rPr>
          <w:rFonts w:hint="eastAsia" w:cs="宋体"/>
          <w:color w:val="auto"/>
          <w:sz w:val="21"/>
          <w:szCs w:val="21"/>
          <w:highlight w:val="none"/>
        </w:rPr>
        <w:t>附件2.开标一览表格式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_Toc1232 \h </w:instrText>
      </w:r>
      <w:r>
        <w:rPr>
          <w:rFonts w:hint="eastAsia" w:cs="宋体"/>
          <w:color w:val="auto"/>
          <w:sz w:val="21"/>
          <w:szCs w:val="21"/>
          <w:highlight w:val="none"/>
        </w:rPr>
        <w:fldChar w:fldCharType="separate"/>
      </w:r>
      <w:r>
        <w:rPr>
          <w:rFonts w:hint="eastAsia" w:cs="宋体"/>
          <w:color w:val="auto"/>
          <w:sz w:val="21"/>
          <w:szCs w:val="21"/>
          <w:highlight w:val="none"/>
        </w:rPr>
        <w:t>103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"_Toc12628" </w:instrText>
      </w:r>
      <w:r>
        <w:rPr>
          <w:color w:val="auto"/>
          <w:highlight w:val="none"/>
        </w:rPr>
        <w:fldChar w:fldCharType="separate"/>
      </w:r>
      <w:r>
        <w:rPr>
          <w:rFonts w:hint="eastAsia" w:cs="宋体"/>
          <w:color w:val="auto"/>
          <w:sz w:val="21"/>
          <w:szCs w:val="21"/>
          <w:highlight w:val="none"/>
        </w:rPr>
        <w:t>附件3.报价明细表格式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_Toc12628 \h </w:instrText>
      </w:r>
      <w:r>
        <w:rPr>
          <w:rFonts w:hint="eastAsia" w:cs="宋体"/>
          <w:color w:val="auto"/>
          <w:sz w:val="21"/>
          <w:szCs w:val="21"/>
          <w:highlight w:val="none"/>
        </w:rPr>
        <w:fldChar w:fldCharType="separate"/>
      </w:r>
      <w:r>
        <w:rPr>
          <w:rFonts w:hint="eastAsia" w:cs="宋体"/>
          <w:color w:val="auto"/>
          <w:sz w:val="21"/>
          <w:szCs w:val="21"/>
          <w:highlight w:val="none"/>
        </w:rPr>
        <w:t>104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"_Toc7358" </w:instrText>
      </w:r>
      <w:r>
        <w:rPr>
          <w:color w:val="auto"/>
          <w:highlight w:val="none"/>
        </w:rPr>
        <w:fldChar w:fldCharType="separate"/>
      </w:r>
      <w:r>
        <w:rPr>
          <w:rFonts w:hint="eastAsia" w:cs="宋体"/>
          <w:color w:val="auto"/>
          <w:sz w:val="21"/>
          <w:szCs w:val="21"/>
          <w:highlight w:val="none"/>
        </w:rPr>
        <w:t>商务文件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_Toc7358 \h </w:instrText>
      </w:r>
      <w:r>
        <w:rPr>
          <w:rFonts w:hint="eastAsia" w:cs="宋体"/>
          <w:color w:val="auto"/>
          <w:sz w:val="21"/>
          <w:szCs w:val="21"/>
          <w:highlight w:val="none"/>
        </w:rPr>
        <w:fldChar w:fldCharType="separate"/>
      </w:r>
      <w:r>
        <w:rPr>
          <w:rFonts w:hint="eastAsia" w:cs="宋体"/>
          <w:color w:val="auto"/>
          <w:sz w:val="21"/>
          <w:szCs w:val="21"/>
          <w:highlight w:val="none"/>
        </w:rPr>
        <w:t>135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"_Toc11732" </w:instrText>
      </w:r>
      <w:r>
        <w:rPr>
          <w:color w:val="auto"/>
          <w:highlight w:val="none"/>
        </w:rPr>
        <w:fldChar w:fldCharType="separate"/>
      </w:r>
      <w:r>
        <w:rPr>
          <w:rFonts w:hint="eastAsia" w:cs="宋体"/>
          <w:color w:val="auto"/>
          <w:sz w:val="21"/>
          <w:szCs w:val="21"/>
          <w:highlight w:val="none"/>
        </w:rPr>
        <w:t>附件4.投标书格式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_Toc11732 \h </w:instrText>
      </w:r>
      <w:r>
        <w:rPr>
          <w:rFonts w:hint="eastAsia" w:cs="宋体"/>
          <w:color w:val="auto"/>
          <w:sz w:val="21"/>
          <w:szCs w:val="21"/>
          <w:highlight w:val="none"/>
        </w:rPr>
        <w:fldChar w:fldCharType="separate"/>
      </w:r>
      <w:r>
        <w:rPr>
          <w:rFonts w:hint="eastAsia" w:cs="宋体"/>
          <w:color w:val="auto"/>
          <w:sz w:val="21"/>
          <w:szCs w:val="21"/>
          <w:highlight w:val="none"/>
        </w:rPr>
        <w:t>136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"_Toc19972" </w:instrText>
      </w:r>
      <w:r>
        <w:rPr>
          <w:color w:val="auto"/>
          <w:highlight w:val="none"/>
        </w:rPr>
        <w:fldChar w:fldCharType="separate"/>
      </w:r>
      <w:r>
        <w:rPr>
          <w:rFonts w:hint="eastAsia" w:cs="宋体"/>
          <w:color w:val="auto"/>
          <w:sz w:val="21"/>
          <w:szCs w:val="21"/>
          <w:highlight w:val="none"/>
        </w:rPr>
        <w:t>附件5. 法定代表人证明书格式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_Toc19972 \h </w:instrText>
      </w:r>
      <w:r>
        <w:rPr>
          <w:rFonts w:hint="eastAsia" w:cs="宋体"/>
          <w:color w:val="auto"/>
          <w:sz w:val="21"/>
          <w:szCs w:val="21"/>
          <w:highlight w:val="none"/>
        </w:rPr>
        <w:fldChar w:fldCharType="separate"/>
      </w:r>
      <w:r>
        <w:rPr>
          <w:rFonts w:hint="eastAsia" w:cs="宋体"/>
          <w:color w:val="auto"/>
          <w:sz w:val="21"/>
          <w:szCs w:val="21"/>
          <w:highlight w:val="none"/>
        </w:rPr>
        <w:t>137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"_Toc19149" </w:instrText>
      </w:r>
      <w:r>
        <w:rPr>
          <w:color w:val="auto"/>
          <w:highlight w:val="none"/>
        </w:rPr>
        <w:fldChar w:fldCharType="separate"/>
      </w:r>
      <w:r>
        <w:rPr>
          <w:rFonts w:hint="eastAsia" w:cs="宋体"/>
          <w:color w:val="auto"/>
          <w:sz w:val="21"/>
          <w:szCs w:val="21"/>
          <w:highlight w:val="none"/>
        </w:rPr>
        <w:t>附件6.法定代表人授权书格式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_Toc19149 \h </w:instrText>
      </w:r>
      <w:r>
        <w:rPr>
          <w:rFonts w:hint="eastAsia" w:cs="宋体"/>
          <w:color w:val="auto"/>
          <w:sz w:val="21"/>
          <w:szCs w:val="21"/>
          <w:highlight w:val="none"/>
        </w:rPr>
        <w:fldChar w:fldCharType="separate"/>
      </w:r>
      <w:r>
        <w:rPr>
          <w:rFonts w:hint="eastAsia" w:cs="宋体"/>
          <w:color w:val="auto"/>
          <w:sz w:val="21"/>
          <w:szCs w:val="21"/>
          <w:highlight w:val="none"/>
        </w:rPr>
        <w:t>138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"_Toc30038" </w:instrText>
      </w:r>
      <w:r>
        <w:rPr>
          <w:color w:val="auto"/>
          <w:highlight w:val="none"/>
        </w:rPr>
        <w:fldChar w:fldCharType="separate"/>
      </w:r>
      <w:r>
        <w:rPr>
          <w:rFonts w:hint="eastAsia" w:cs="宋体"/>
          <w:color w:val="auto"/>
          <w:sz w:val="21"/>
          <w:szCs w:val="21"/>
          <w:highlight w:val="none"/>
        </w:rPr>
        <w:t>附件7.资格申明</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_Toc30038 \h </w:instrText>
      </w:r>
      <w:r>
        <w:rPr>
          <w:rFonts w:hint="eastAsia" w:cs="宋体"/>
          <w:color w:val="auto"/>
          <w:sz w:val="21"/>
          <w:szCs w:val="21"/>
          <w:highlight w:val="none"/>
        </w:rPr>
        <w:fldChar w:fldCharType="separate"/>
      </w:r>
      <w:r>
        <w:rPr>
          <w:rFonts w:hint="eastAsia" w:cs="宋体"/>
          <w:color w:val="auto"/>
          <w:sz w:val="21"/>
          <w:szCs w:val="21"/>
          <w:highlight w:val="none"/>
        </w:rPr>
        <w:t>139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"_Toc10305" </w:instrText>
      </w:r>
      <w:r>
        <w:rPr>
          <w:color w:val="auto"/>
          <w:highlight w:val="none"/>
        </w:rPr>
        <w:fldChar w:fldCharType="separate"/>
      </w:r>
      <w:r>
        <w:rPr>
          <w:rFonts w:hint="eastAsia" w:cs="宋体"/>
          <w:color w:val="auto"/>
          <w:sz w:val="21"/>
          <w:szCs w:val="21"/>
          <w:highlight w:val="none"/>
        </w:rPr>
        <w:t>附件8.营业执照</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_Toc10305 \h </w:instrText>
      </w:r>
      <w:r>
        <w:rPr>
          <w:rFonts w:hint="eastAsia" w:cs="宋体"/>
          <w:color w:val="auto"/>
          <w:sz w:val="21"/>
          <w:szCs w:val="21"/>
          <w:highlight w:val="none"/>
        </w:rPr>
        <w:fldChar w:fldCharType="separate"/>
      </w:r>
      <w:r>
        <w:rPr>
          <w:rFonts w:hint="eastAsia" w:cs="宋体"/>
          <w:color w:val="auto"/>
          <w:sz w:val="21"/>
          <w:szCs w:val="21"/>
          <w:highlight w:val="none"/>
        </w:rPr>
        <w:t>140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"_Toc30816" </w:instrText>
      </w:r>
      <w:r>
        <w:rPr>
          <w:color w:val="auto"/>
          <w:highlight w:val="none"/>
        </w:rPr>
        <w:fldChar w:fldCharType="separate"/>
      </w:r>
      <w:r>
        <w:rPr>
          <w:rFonts w:hint="eastAsia" w:cs="宋体"/>
          <w:color w:val="auto"/>
          <w:sz w:val="21"/>
          <w:szCs w:val="21"/>
          <w:highlight w:val="none"/>
        </w:rPr>
        <w:t>附件9.相关资质证明文件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_Toc30816 \h </w:instrText>
      </w:r>
      <w:r>
        <w:rPr>
          <w:rFonts w:hint="eastAsia" w:cs="宋体"/>
          <w:color w:val="auto"/>
          <w:sz w:val="21"/>
          <w:szCs w:val="21"/>
          <w:highlight w:val="none"/>
        </w:rPr>
        <w:fldChar w:fldCharType="separate"/>
      </w:r>
      <w:r>
        <w:rPr>
          <w:rFonts w:hint="eastAsia" w:cs="宋体"/>
          <w:color w:val="auto"/>
          <w:sz w:val="21"/>
          <w:szCs w:val="21"/>
          <w:highlight w:val="none"/>
        </w:rPr>
        <w:t>141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"_Toc3091" </w:instrText>
      </w:r>
      <w:r>
        <w:rPr>
          <w:color w:val="auto"/>
          <w:highlight w:val="none"/>
        </w:rPr>
        <w:fldChar w:fldCharType="separate"/>
      </w:r>
      <w:r>
        <w:rPr>
          <w:rFonts w:hint="eastAsia" w:cs="宋体"/>
          <w:color w:val="auto"/>
          <w:sz w:val="21"/>
          <w:szCs w:val="21"/>
          <w:highlight w:val="none"/>
        </w:rPr>
        <w:t>附件10.在经营活动中没有重大违法记录的书面声明格式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_Toc3091 \h </w:instrText>
      </w:r>
      <w:r>
        <w:rPr>
          <w:rFonts w:hint="eastAsia" w:cs="宋体"/>
          <w:color w:val="auto"/>
          <w:sz w:val="21"/>
          <w:szCs w:val="21"/>
          <w:highlight w:val="none"/>
        </w:rPr>
        <w:fldChar w:fldCharType="separate"/>
      </w:r>
      <w:r>
        <w:rPr>
          <w:rFonts w:hint="eastAsia" w:cs="宋体"/>
          <w:color w:val="auto"/>
          <w:sz w:val="21"/>
          <w:szCs w:val="21"/>
          <w:highlight w:val="none"/>
        </w:rPr>
        <w:t>142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"_Toc18616" </w:instrText>
      </w:r>
      <w:r>
        <w:rPr>
          <w:color w:val="auto"/>
          <w:highlight w:val="none"/>
        </w:rPr>
        <w:fldChar w:fldCharType="separate"/>
      </w:r>
      <w:r>
        <w:rPr>
          <w:rFonts w:hint="eastAsia" w:cs="宋体"/>
          <w:color w:val="auto"/>
          <w:sz w:val="21"/>
          <w:szCs w:val="21"/>
          <w:highlight w:val="none"/>
        </w:rPr>
        <w:t>附件11.承诺书格式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_Toc18616 \h </w:instrText>
      </w:r>
      <w:r>
        <w:rPr>
          <w:rFonts w:hint="eastAsia" w:cs="宋体"/>
          <w:color w:val="auto"/>
          <w:sz w:val="21"/>
          <w:szCs w:val="21"/>
          <w:highlight w:val="none"/>
        </w:rPr>
        <w:fldChar w:fldCharType="separate"/>
      </w:r>
      <w:r>
        <w:rPr>
          <w:rFonts w:hint="eastAsia" w:cs="宋体"/>
          <w:color w:val="auto"/>
          <w:sz w:val="21"/>
          <w:szCs w:val="21"/>
          <w:highlight w:val="none"/>
        </w:rPr>
        <w:t>143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"_Toc24507" </w:instrText>
      </w:r>
      <w:r>
        <w:rPr>
          <w:color w:val="auto"/>
          <w:highlight w:val="none"/>
        </w:rPr>
        <w:fldChar w:fldCharType="separate"/>
      </w:r>
      <w:r>
        <w:rPr>
          <w:rFonts w:hint="eastAsia" w:cs="宋体"/>
          <w:color w:val="auto"/>
          <w:sz w:val="21"/>
          <w:szCs w:val="21"/>
          <w:highlight w:val="none"/>
        </w:rPr>
        <w:t>附件12.商务需求条款偏离表格式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_Toc24507 \h </w:instrText>
      </w:r>
      <w:r>
        <w:rPr>
          <w:rFonts w:hint="eastAsia" w:cs="宋体"/>
          <w:color w:val="auto"/>
          <w:sz w:val="21"/>
          <w:szCs w:val="21"/>
          <w:highlight w:val="none"/>
        </w:rPr>
        <w:fldChar w:fldCharType="separate"/>
      </w:r>
      <w:r>
        <w:rPr>
          <w:rFonts w:hint="eastAsia" w:cs="宋体"/>
          <w:color w:val="auto"/>
          <w:sz w:val="21"/>
          <w:szCs w:val="21"/>
          <w:highlight w:val="none"/>
        </w:rPr>
        <w:t>144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"_Toc22347" </w:instrText>
      </w:r>
      <w:r>
        <w:rPr>
          <w:color w:val="auto"/>
          <w:highlight w:val="none"/>
        </w:rPr>
        <w:fldChar w:fldCharType="separate"/>
      </w:r>
      <w:r>
        <w:rPr>
          <w:rFonts w:hint="eastAsia" w:cs="宋体"/>
          <w:color w:val="auto"/>
          <w:sz w:val="21"/>
          <w:szCs w:val="21"/>
          <w:highlight w:val="none"/>
        </w:rPr>
        <w:t>附件13.业绩表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_Toc22347 \h </w:instrText>
      </w:r>
      <w:r>
        <w:rPr>
          <w:rFonts w:hint="eastAsia" w:cs="宋体"/>
          <w:color w:val="auto"/>
          <w:sz w:val="21"/>
          <w:szCs w:val="21"/>
          <w:highlight w:val="none"/>
        </w:rPr>
        <w:fldChar w:fldCharType="separate"/>
      </w:r>
      <w:r>
        <w:rPr>
          <w:rFonts w:hint="eastAsia" w:cs="宋体"/>
          <w:color w:val="auto"/>
          <w:sz w:val="21"/>
          <w:szCs w:val="21"/>
          <w:highlight w:val="none"/>
        </w:rPr>
        <w:t>145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"_Toc4222" </w:instrText>
      </w:r>
      <w:r>
        <w:rPr>
          <w:color w:val="auto"/>
          <w:highlight w:val="none"/>
        </w:rPr>
        <w:fldChar w:fldCharType="separate"/>
      </w:r>
      <w:r>
        <w:rPr>
          <w:rFonts w:hint="eastAsia" w:cs="宋体"/>
          <w:color w:val="auto"/>
          <w:sz w:val="21"/>
          <w:szCs w:val="21"/>
          <w:highlight w:val="none"/>
        </w:rPr>
        <w:t>附件14.联合体协议书（如有）</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_Toc4222 \h </w:instrText>
      </w:r>
      <w:r>
        <w:rPr>
          <w:rFonts w:hint="eastAsia" w:cs="宋体"/>
          <w:color w:val="auto"/>
          <w:sz w:val="21"/>
          <w:szCs w:val="21"/>
          <w:highlight w:val="none"/>
        </w:rPr>
        <w:fldChar w:fldCharType="separate"/>
      </w:r>
      <w:r>
        <w:rPr>
          <w:rFonts w:hint="eastAsia" w:cs="宋体"/>
          <w:color w:val="auto"/>
          <w:sz w:val="21"/>
          <w:szCs w:val="21"/>
          <w:highlight w:val="none"/>
        </w:rPr>
        <w:t>147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"_Toc17454" </w:instrText>
      </w:r>
      <w:r>
        <w:rPr>
          <w:color w:val="auto"/>
          <w:highlight w:val="none"/>
        </w:rPr>
        <w:fldChar w:fldCharType="separate"/>
      </w:r>
      <w:r>
        <w:rPr>
          <w:rFonts w:hint="eastAsia" w:cs="宋体"/>
          <w:color w:val="auto"/>
          <w:sz w:val="21"/>
          <w:szCs w:val="21"/>
          <w:highlight w:val="none"/>
        </w:rPr>
        <w:t>技术文件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_Toc17454 \h </w:instrText>
      </w:r>
      <w:r>
        <w:rPr>
          <w:rFonts w:hint="eastAsia" w:cs="宋体"/>
          <w:color w:val="auto"/>
          <w:sz w:val="21"/>
          <w:szCs w:val="21"/>
          <w:highlight w:val="none"/>
        </w:rPr>
        <w:fldChar w:fldCharType="separate"/>
      </w:r>
      <w:r>
        <w:rPr>
          <w:rFonts w:hint="eastAsia" w:cs="宋体"/>
          <w:color w:val="auto"/>
          <w:sz w:val="21"/>
          <w:szCs w:val="21"/>
          <w:highlight w:val="none"/>
        </w:rPr>
        <w:t>149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"_Toc3704" </w:instrText>
      </w:r>
      <w:r>
        <w:rPr>
          <w:color w:val="auto"/>
          <w:highlight w:val="none"/>
        </w:rPr>
        <w:fldChar w:fldCharType="separate"/>
      </w:r>
      <w:r>
        <w:rPr>
          <w:rFonts w:hint="eastAsia" w:cs="宋体"/>
          <w:color w:val="auto"/>
          <w:sz w:val="21"/>
          <w:szCs w:val="21"/>
          <w:highlight w:val="none"/>
        </w:rPr>
        <w:t>附件15. 技术规格偏离表格式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_Toc3704 \h </w:instrText>
      </w:r>
      <w:r>
        <w:rPr>
          <w:rFonts w:hint="eastAsia" w:cs="宋体"/>
          <w:color w:val="auto"/>
          <w:sz w:val="21"/>
          <w:szCs w:val="21"/>
          <w:highlight w:val="none"/>
        </w:rPr>
        <w:fldChar w:fldCharType="separate"/>
      </w:r>
      <w:r>
        <w:rPr>
          <w:rFonts w:hint="eastAsia" w:cs="宋体"/>
          <w:color w:val="auto"/>
          <w:sz w:val="21"/>
          <w:szCs w:val="21"/>
          <w:highlight w:val="none"/>
        </w:rPr>
        <w:t>150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"_Toc13819" </w:instrText>
      </w:r>
      <w:r>
        <w:rPr>
          <w:color w:val="auto"/>
          <w:highlight w:val="none"/>
        </w:rPr>
        <w:fldChar w:fldCharType="separate"/>
      </w:r>
      <w:r>
        <w:rPr>
          <w:rFonts w:hint="eastAsia" w:cs="宋体"/>
          <w:color w:val="auto"/>
          <w:sz w:val="21"/>
          <w:szCs w:val="21"/>
          <w:highlight w:val="none"/>
        </w:rPr>
        <w:t>附件16.项目实施方案格式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_Toc13819 \h </w:instrText>
      </w:r>
      <w:r>
        <w:rPr>
          <w:rFonts w:hint="eastAsia" w:cs="宋体"/>
          <w:color w:val="auto"/>
          <w:sz w:val="21"/>
          <w:szCs w:val="21"/>
          <w:highlight w:val="none"/>
        </w:rPr>
        <w:fldChar w:fldCharType="separate"/>
      </w:r>
      <w:r>
        <w:rPr>
          <w:rFonts w:hint="eastAsia" w:cs="宋体"/>
          <w:color w:val="auto"/>
          <w:sz w:val="21"/>
          <w:szCs w:val="21"/>
          <w:highlight w:val="none"/>
        </w:rPr>
        <w:t>151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cs="宋体"/>
          <w:color w:val="auto"/>
          <w:sz w:val="21"/>
          <w:szCs w:val="21"/>
          <w:highlight w:val="none"/>
        </w:rPr>
        <w:t>附件17.实施本项目的有关人员资料表格式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_Toc23846 \h </w:instrText>
      </w:r>
      <w:r>
        <w:rPr>
          <w:rFonts w:hint="eastAsia" w:cs="宋体"/>
          <w:color w:val="auto"/>
          <w:sz w:val="21"/>
          <w:szCs w:val="21"/>
          <w:highlight w:val="none"/>
        </w:rPr>
        <w:fldChar w:fldCharType="separate"/>
      </w:r>
      <w:r>
        <w:rPr>
          <w:rFonts w:hint="eastAsia" w:cs="宋体"/>
          <w:color w:val="auto"/>
          <w:sz w:val="21"/>
          <w:szCs w:val="21"/>
          <w:highlight w:val="none"/>
        </w:rPr>
        <w:t>152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"_Toc15162" </w:instrText>
      </w:r>
      <w:r>
        <w:rPr>
          <w:color w:val="auto"/>
          <w:highlight w:val="none"/>
        </w:rPr>
        <w:fldChar w:fldCharType="separate"/>
      </w:r>
      <w:r>
        <w:rPr>
          <w:rFonts w:hint="eastAsia" w:cs="宋体"/>
          <w:color w:val="auto"/>
          <w:sz w:val="21"/>
          <w:szCs w:val="21"/>
          <w:highlight w:val="none"/>
        </w:rPr>
        <w:t>附件18.投标保证金汇入情况说明格式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_Toc15162 \h </w:instrText>
      </w:r>
      <w:r>
        <w:rPr>
          <w:rFonts w:hint="eastAsia" w:cs="宋体"/>
          <w:color w:val="auto"/>
          <w:sz w:val="21"/>
          <w:szCs w:val="21"/>
          <w:highlight w:val="none"/>
        </w:rPr>
        <w:fldChar w:fldCharType="separate"/>
      </w:r>
      <w:r>
        <w:rPr>
          <w:rFonts w:hint="eastAsia" w:cs="宋体"/>
          <w:color w:val="auto"/>
          <w:sz w:val="21"/>
          <w:szCs w:val="21"/>
          <w:highlight w:val="none"/>
        </w:rPr>
        <w:t>153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"_Toc2801" </w:instrText>
      </w:r>
      <w:r>
        <w:rPr>
          <w:color w:val="auto"/>
          <w:highlight w:val="none"/>
        </w:rPr>
        <w:fldChar w:fldCharType="separate"/>
      </w:r>
      <w:r>
        <w:rPr>
          <w:rFonts w:hint="eastAsia" w:cs="宋体"/>
          <w:color w:val="auto"/>
          <w:sz w:val="21"/>
          <w:szCs w:val="21"/>
          <w:highlight w:val="none"/>
        </w:rPr>
        <w:t>附件19.不可撤销履约保函</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_Toc2801 \h </w:instrText>
      </w:r>
      <w:r>
        <w:rPr>
          <w:rFonts w:hint="eastAsia" w:cs="宋体"/>
          <w:color w:val="auto"/>
          <w:sz w:val="21"/>
          <w:szCs w:val="21"/>
          <w:highlight w:val="none"/>
        </w:rPr>
        <w:fldChar w:fldCharType="separate"/>
      </w:r>
      <w:r>
        <w:rPr>
          <w:rFonts w:hint="eastAsia" w:cs="宋体"/>
          <w:color w:val="auto"/>
          <w:sz w:val="21"/>
          <w:szCs w:val="21"/>
          <w:highlight w:val="none"/>
        </w:rPr>
        <w:t>155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"_Toc29098" </w:instrText>
      </w:r>
      <w:r>
        <w:rPr>
          <w:color w:val="auto"/>
          <w:highlight w:val="none"/>
        </w:rPr>
        <w:fldChar w:fldCharType="separate"/>
      </w:r>
      <w:r>
        <w:rPr>
          <w:rFonts w:hint="eastAsia" w:cs="宋体"/>
          <w:color w:val="auto"/>
          <w:sz w:val="21"/>
          <w:szCs w:val="21"/>
          <w:highlight w:val="none"/>
        </w:rPr>
        <w:t>附件20.预付款保函（适用于预付款支付）</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_Toc29098 \h </w:instrText>
      </w:r>
      <w:r>
        <w:rPr>
          <w:rFonts w:hint="eastAsia" w:cs="宋体"/>
          <w:color w:val="auto"/>
          <w:sz w:val="21"/>
          <w:szCs w:val="21"/>
          <w:highlight w:val="none"/>
        </w:rPr>
        <w:fldChar w:fldCharType="separate"/>
      </w:r>
      <w:r>
        <w:rPr>
          <w:rFonts w:hint="eastAsia" w:cs="宋体"/>
          <w:color w:val="auto"/>
          <w:sz w:val="21"/>
          <w:szCs w:val="21"/>
          <w:highlight w:val="none"/>
        </w:rPr>
        <w:t>156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"_Toc16601" </w:instrText>
      </w:r>
      <w:r>
        <w:rPr>
          <w:color w:val="auto"/>
          <w:highlight w:val="none"/>
        </w:rPr>
        <w:fldChar w:fldCharType="separate"/>
      </w:r>
      <w:r>
        <w:rPr>
          <w:rFonts w:hint="eastAsia" w:cs="宋体"/>
          <w:color w:val="auto"/>
          <w:sz w:val="21"/>
          <w:szCs w:val="21"/>
          <w:highlight w:val="none"/>
        </w:rPr>
        <w:t>唱标信封</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_Toc16601 \h </w:instrText>
      </w:r>
      <w:r>
        <w:rPr>
          <w:rFonts w:hint="eastAsia" w:cs="宋体"/>
          <w:color w:val="auto"/>
          <w:sz w:val="21"/>
          <w:szCs w:val="21"/>
          <w:highlight w:val="none"/>
        </w:rPr>
        <w:fldChar w:fldCharType="separate"/>
      </w:r>
      <w:r>
        <w:rPr>
          <w:rFonts w:hint="eastAsia" w:cs="宋体"/>
          <w:color w:val="auto"/>
          <w:sz w:val="21"/>
          <w:szCs w:val="21"/>
          <w:highlight w:val="none"/>
        </w:rPr>
        <w:t>157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"_Toc31340" </w:instrText>
      </w:r>
      <w:r>
        <w:rPr>
          <w:color w:val="auto"/>
          <w:highlight w:val="none"/>
        </w:rPr>
        <w:fldChar w:fldCharType="separate"/>
      </w:r>
      <w:r>
        <w:rPr>
          <w:rFonts w:hint="eastAsia" w:cs="宋体"/>
          <w:color w:val="auto"/>
          <w:sz w:val="21"/>
          <w:szCs w:val="21"/>
          <w:highlight w:val="none"/>
        </w:rPr>
        <w:t>附件21.唱标信封内装（内容务必与投标文件正本一致）</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_Toc31340 \h </w:instrText>
      </w:r>
      <w:r>
        <w:rPr>
          <w:rFonts w:hint="eastAsia" w:cs="宋体"/>
          <w:color w:val="auto"/>
          <w:sz w:val="21"/>
          <w:szCs w:val="21"/>
          <w:highlight w:val="none"/>
        </w:rPr>
        <w:fldChar w:fldCharType="separate"/>
      </w:r>
      <w:r>
        <w:rPr>
          <w:rFonts w:hint="eastAsia" w:cs="宋体"/>
          <w:color w:val="auto"/>
          <w:sz w:val="21"/>
          <w:szCs w:val="21"/>
          <w:highlight w:val="none"/>
        </w:rPr>
        <w:t>159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3"/>
        <w:shd w:val="clear"/>
        <w:tabs>
          <w:tab w:val="right" w:leader="dot" w:pos="8306"/>
          <w:tab w:val="clear" w:pos="8296"/>
        </w:tabs>
        <w:ind w:left="0" w:leftChars="0"/>
        <w:rPr>
          <w:rFonts w:cs="宋体"/>
          <w:color w:val="auto"/>
          <w:sz w:val="21"/>
          <w:szCs w:val="21"/>
          <w:highlight w:val="none"/>
        </w:rPr>
      </w:pPr>
      <w:r>
        <w:rPr>
          <w:rFonts w:hint="eastAsia" w:cs="宋体"/>
          <w:color w:val="auto"/>
          <w:sz w:val="21"/>
          <w:szCs w:val="21"/>
          <w:highlight w:val="none"/>
        </w:rPr>
        <w:fldChar w:fldCharType="end"/>
      </w:r>
    </w:p>
    <w:p>
      <w:pPr>
        <w:shd w:val="clear"/>
        <w:rPr>
          <w:rFonts w:ascii="宋体" w:hAnsi="宋体" w:cs="宋体"/>
          <w:color w:val="auto"/>
          <w:szCs w:val="21"/>
          <w:highlight w:val="none"/>
        </w:rPr>
      </w:pPr>
      <w:r>
        <w:rPr>
          <w:rFonts w:hint="eastAsia" w:ascii="宋体" w:hAnsi="宋体" w:cs="宋体"/>
          <w:color w:val="auto"/>
          <w:szCs w:val="21"/>
          <w:highlight w:val="none"/>
        </w:rPr>
        <w:br w:type="page"/>
      </w:r>
    </w:p>
    <w:p>
      <w:pPr>
        <w:pStyle w:val="4"/>
        <w:shd w:val="clear"/>
        <w:spacing w:before="0" w:after="0" w:line="240" w:lineRule="auto"/>
        <w:rPr>
          <w:rFonts w:ascii="宋体" w:hAnsi="宋体" w:eastAsia="宋体" w:cs="宋体"/>
          <w:color w:val="auto"/>
          <w:sz w:val="28"/>
          <w:szCs w:val="28"/>
          <w:highlight w:val="none"/>
        </w:rPr>
      </w:pPr>
      <w:bookmarkStart w:id="0" w:name="_Toc21044"/>
      <w:r>
        <w:rPr>
          <w:rFonts w:hint="eastAsia" w:ascii="宋体" w:hAnsi="宋体" w:eastAsia="宋体" w:cs="宋体"/>
          <w:color w:val="auto"/>
          <w:sz w:val="28"/>
          <w:szCs w:val="28"/>
          <w:highlight w:val="none"/>
        </w:rPr>
        <w:t>第一部分投标邀请</w:t>
      </w:r>
      <w:bookmarkEnd w:id="0"/>
    </w:p>
    <w:p>
      <w:pPr>
        <w:pStyle w:val="5"/>
        <w:shd w:val="clear"/>
        <w:spacing w:before="0" w:after="0" w:line="360" w:lineRule="auto"/>
        <w:jc w:val="center"/>
        <w:rPr>
          <w:rFonts w:ascii="宋体" w:hAnsi="宋体" w:cs="宋体"/>
          <w:color w:val="auto"/>
          <w:highlight w:val="none"/>
        </w:rPr>
      </w:pPr>
      <w:bookmarkStart w:id="1" w:name="_Toc8950"/>
      <w:r>
        <w:rPr>
          <w:rFonts w:hint="eastAsia" w:ascii="宋体" w:hAnsi="宋体" w:cs="宋体"/>
          <w:color w:val="auto"/>
          <w:highlight w:val="none"/>
        </w:rPr>
        <w:t>投标邀请书</w:t>
      </w:r>
      <w:bookmarkEnd w:id="1"/>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广东志正招标有限公司东莞分公司（以下简称“采购代理机构”）受广东东实环境股份有限公司（以下简称“采购人”）委托，现就东莞市海心沙资源循环利用基地环境监测项目（项目编号：XNY-GK-2023-004）进行国内公开采购，欢迎符合采购文件要求的国内投标人参加投标。有关事项如下：</w:t>
      </w:r>
    </w:p>
    <w:p>
      <w:pPr>
        <w:shd w:val="clear"/>
        <w:ind w:firstLine="413" w:firstLineChars="196"/>
        <w:rPr>
          <w:rFonts w:ascii="宋体" w:hAnsi="宋体" w:cs="宋体"/>
          <w:b/>
          <w:color w:val="auto"/>
          <w:szCs w:val="21"/>
          <w:highlight w:val="none"/>
        </w:rPr>
      </w:pPr>
    </w:p>
    <w:p>
      <w:pPr>
        <w:shd w:val="clear"/>
        <w:ind w:firstLine="413"/>
        <w:rPr>
          <w:rFonts w:ascii="宋体" w:hAnsi="宋体" w:cs="宋体"/>
          <w:b/>
          <w:color w:val="auto"/>
          <w:szCs w:val="21"/>
          <w:highlight w:val="none"/>
        </w:rPr>
      </w:pPr>
      <w:r>
        <w:rPr>
          <w:rFonts w:hint="eastAsia" w:ascii="宋体" w:hAnsi="宋体" w:cs="宋体"/>
          <w:b/>
          <w:color w:val="auto"/>
          <w:szCs w:val="21"/>
          <w:highlight w:val="none"/>
        </w:rPr>
        <w:t>一、采购项目概况</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1、采购项目名称： 东莞市海心沙资源循环利用基地环境监测项目</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2、预算金额（元）：人民币壹佰伍拾陆万元整  （¥1,560,000.00）</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3、最高限价（元）：</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广东东实环境股份有限公司餐厨项目环境监测：¥29.6万</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东莞市新东欣环保投资有限公司绿色工业服务项目环境监测：¥81.6万</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东莞市新东元环保投资有限公司海心沙环保热电厂项目环境监测服务：¥44.8万</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4、项目内容</w:t>
      </w:r>
    </w:p>
    <w:tbl>
      <w:tblPr>
        <w:tblStyle w:val="30"/>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3589"/>
        <w:gridCol w:w="1529"/>
        <w:gridCol w:w="2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193" w:type="dxa"/>
            <w:vAlign w:val="center"/>
          </w:tcPr>
          <w:p>
            <w:pPr>
              <w:shd w:val="clea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采购包号</w:t>
            </w:r>
          </w:p>
        </w:tc>
        <w:tc>
          <w:tcPr>
            <w:tcW w:w="3589" w:type="dxa"/>
            <w:vAlign w:val="center"/>
          </w:tcPr>
          <w:p>
            <w:pPr>
              <w:shd w:val="clea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项目内容</w:t>
            </w:r>
          </w:p>
        </w:tc>
        <w:tc>
          <w:tcPr>
            <w:tcW w:w="1529" w:type="dxa"/>
            <w:vAlign w:val="center"/>
          </w:tcPr>
          <w:p>
            <w:pPr>
              <w:shd w:val="clea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采购服务单位数量</w:t>
            </w:r>
          </w:p>
        </w:tc>
        <w:tc>
          <w:tcPr>
            <w:tcW w:w="2208" w:type="dxa"/>
            <w:vAlign w:val="center"/>
          </w:tcPr>
          <w:p>
            <w:pPr>
              <w:shd w:val="clea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93" w:type="dxa"/>
            <w:vAlign w:val="center"/>
          </w:tcPr>
          <w:p>
            <w:pPr>
              <w:shd w:val="clear"/>
              <w:spacing w:line="240" w:lineRule="auto"/>
              <w:jc w:val="center"/>
              <w:rPr>
                <w:rFonts w:ascii="宋体" w:hAnsi="宋体" w:cs="宋体"/>
                <w:color w:val="auto"/>
                <w:szCs w:val="21"/>
                <w:highlight w:val="none"/>
              </w:rPr>
            </w:pPr>
            <w:r>
              <w:rPr>
                <w:rFonts w:hint="eastAsia" w:ascii="宋体" w:hAnsi="宋体" w:cs="宋体"/>
                <w:color w:val="auto"/>
                <w:szCs w:val="21"/>
                <w:highlight w:val="none"/>
              </w:rPr>
              <w:t>A</w:t>
            </w:r>
          </w:p>
        </w:tc>
        <w:tc>
          <w:tcPr>
            <w:tcW w:w="3589" w:type="dxa"/>
            <w:vAlign w:val="center"/>
          </w:tcPr>
          <w:p>
            <w:pPr>
              <w:shd w:val="clear"/>
              <w:spacing w:line="240" w:lineRule="auto"/>
              <w:rPr>
                <w:rFonts w:ascii="宋体" w:hAnsi="宋体" w:cs="宋体"/>
                <w:color w:val="auto"/>
                <w:szCs w:val="21"/>
                <w:highlight w:val="none"/>
              </w:rPr>
            </w:pPr>
            <w:r>
              <w:rPr>
                <w:rFonts w:hint="eastAsia" w:ascii="宋体" w:hAnsi="宋体" w:cs="宋体"/>
                <w:color w:val="auto"/>
                <w:szCs w:val="21"/>
                <w:highlight w:val="none"/>
              </w:rPr>
              <w:t>广东东实环境股份有限公司餐厨项目环境监测服务单位、东莞市新东欣环保投资有限公司绿色工业服务项目环境监测服务单位、东莞市新东元环保投资海心沙环保热电厂项目环境监测服务单位</w:t>
            </w:r>
          </w:p>
        </w:tc>
        <w:tc>
          <w:tcPr>
            <w:tcW w:w="1529" w:type="dxa"/>
            <w:vAlign w:val="center"/>
          </w:tcPr>
          <w:p>
            <w:pPr>
              <w:shd w:val="clear"/>
              <w:spacing w:line="240" w:lineRule="auto"/>
              <w:jc w:val="center"/>
              <w:rPr>
                <w:rFonts w:ascii="宋体" w:hAnsi="宋体" w:cs="宋体"/>
                <w:color w:val="auto"/>
                <w:szCs w:val="21"/>
                <w:highlight w:val="none"/>
              </w:rPr>
            </w:pPr>
            <w:r>
              <w:rPr>
                <w:rFonts w:hint="eastAsia" w:ascii="宋体" w:hAnsi="宋体" w:cs="宋体"/>
                <w:color w:val="auto"/>
                <w:szCs w:val="21"/>
                <w:highlight w:val="none"/>
              </w:rPr>
              <w:t>1家</w:t>
            </w:r>
          </w:p>
        </w:tc>
        <w:tc>
          <w:tcPr>
            <w:tcW w:w="2208" w:type="dxa"/>
            <w:vAlign w:val="center"/>
          </w:tcPr>
          <w:p>
            <w:pPr>
              <w:shd w:val="clear"/>
              <w:spacing w:line="240" w:lineRule="auto"/>
              <w:rPr>
                <w:rFonts w:ascii="宋体" w:hAnsi="宋体" w:cs="宋体"/>
                <w:color w:val="auto"/>
                <w:szCs w:val="21"/>
                <w:highlight w:val="none"/>
              </w:rPr>
            </w:pPr>
            <w:r>
              <w:rPr>
                <w:rFonts w:hint="eastAsia" w:ascii="宋体" w:hAnsi="宋体" w:cs="宋体"/>
                <w:color w:val="auto"/>
                <w:szCs w:val="21"/>
                <w:highlight w:val="none"/>
              </w:rPr>
              <w:t>服务时间为期一年。实际服务时间为自中标人实际进场开始检测之日起一年</w:t>
            </w:r>
          </w:p>
        </w:tc>
      </w:tr>
    </w:tbl>
    <w:p>
      <w:pPr>
        <w:shd w:val="clear"/>
        <w:ind w:firstLine="420" w:firstLineChars="200"/>
        <w:rPr>
          <w:rFonts w:ascii="宋体" w:hAnsi="宋体" w:cs="宋体"/>
          <w:color w:val="auto"/>
          <w:szCs w:val="21"/>
          <w:highlight w:val="none"/>
        </w:rPr>
      </w:pP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5、项目需求</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详细内容请参阅采购文件第三部分《用户需求书》。</w:t>
      </w:r>
    </w:p>
    <w:p>
      <w:pPr>
        <w:shd w:val="clear"/>
        <w:ind w:firstLine="413" w:firstLineChars="196"/>
        <w:rPr>
          <w:rFonts w:ascii="宋体" w:hAnsi="宋体" w:cs="宋体"/>
          <w:b/>
          <w:color w:val="auto"/>
          <w:szCs w:val="21"/>
          <w:highlight w:val="none"/>
        </w:rPr>
      </w:pPr>
    </w:p>
    <w:p>
      <w:pPr>
        <w:shd w:val="clear"/>
        <w:ind w:firstLine="413" w:firstLineChars="196"/>
        <w:rPr>
          <w:rFonts w:ascii="宋体" w:hAnsi="宋体" w:cs="宋体"/>
          <w:b/>
          <w:color w:val="auto"/>
          <w:szCs w:val="21"/>
          <w:highlight w:val="none"/>
        </w:rPr>
      </w:pPr>
      <w:r>
        <w:rPr>
          <w:rFonts w:hint="eastAsia" w:ascii="宋体" w:hAnsi="宋体" w:cs="宋体"/>
          <w:b/>
          <w:color w:val="auto"/>
          <w:szCs w:val="21"/>
          <w:highlight w:val="none"/>
        </w:rPr>
        <w:t>二、投标人资格要求</w:t>
      </w:r>
    </w:p>
    <w:p>
      <w:pPr>
        <w:shd w:val="clear"/>
        <w:rPr>
          <w:rFonts w:ascii="宋体" w:hAnsi="宋体" w:cs="宋体"/>
          <w:color w:val="auto"/>
          <w:szCs w:val="21"/>
          <w:highlight w:val="none"/>
        </w:rPr>
      </w:pPr>
      <w:r>
        <w:rPr>
          <w:rFonts w:hint="eastAsia" w:ascii="宋体" w:hAnsi="宋体" w:cs="宋体"/>
          <w:color w:val="auto"/>
          <w:szCs w:val="21"/>
          <w:highlight w:val="none"/>
        </w:rPr>
        <w:t>1、一般要求：</w:t>
      </w:r>
    </w:p>
    <w:p>
      <w:pPr>
        <w:shd w:val="clear"/>
        <w:ind w:firstLine="435"/>
        <w:rPr>
          <w:rFonts w:ascii="宋体" w:hAnsi="宋体" w:cs="宋体"/>
          <w:color w:val="auto"/>
          <w:highlight w:val="none"/>
        </w:rPr>
      </w:pPr>
      <w:r>
        <w:rPr>
          <w:rFonts w:hint="eastAsia" w:ascii="宋体" w:hAnsi="宋体" w:cs="宋体"/>
          <w:color w:val="auto"/>
          <w:highlight w:val="none"/>
        </w:rPr>
        <w:t>1.1、投标人应是在法律上和财务上独立，合法运作并独立于招标人的；投标人没有直接或间接地与招标人雇用或曾经雇用过的，为本次招标编制技术规范和其他文件或提供咨询服务的公司包括其附属机构有关联；否则作废标处理；</w:t>
      </w:r>
    </w:p>
    <w:p>
      <w:pPr>
        <w:shd w:val="clear"/>
        <w:ind w:firstLine="435"/>
        <w:rPr>
          <w:rFonts w:ascii="宋体" w:hAnsi="宋体" w:cs="宋体"/>
          <w:color w:val="auto"/>
          <w:highlight w:val="none"/>
        </w:rPr>
      </w:pPr>
      <w:r>
        <w:rPr>
          <w:rFonts w:hint="eastAsia" w:ascii="宋体" w:hAnsi="宋体" w:cs="宋体"/>
          <w:color w:val="auto"/>
          <w:highlight w:val="none"/>
        </w:rPr>
        <w:t>1.2、投标人必须具有独立承担民事责任能力的企业或事业单位法人或其它组织（提供营业执照复印件并加盖公章）；</w:t>
      </w:r>
    </w:p>
    <w:p>
      <w:pPr>
        <w:shd w:val="clear"/>
        <w:ind w:firstLine="420" w:firstLineChars="200"/>
        <w:rPr>
          <w:rFonts w:ascii="宋体" w:hAnsi="宋体" w:cs="宋体"/>
          <w:bCs/>
          <w:color w:val="auto"/>
          <w:highlight w:val="none"/>
        </w:rPr>
      </w:pPr>
      <w:r>
        <w:rPr>
          <w:rFonts w:hint="eastAsia" w:ascii="宋体" w:hAnsi="宋体" w:cs="宋体"/>
          <w:color w:val="auto"/>
          <w:highlight w:val="none"/>
        </w:rPr>
        <w:t>1.3、投标人的单位负责人为同一人或者存在直接控股、管理关系的不同投标人，不得参加同一合同项下的采购活动</w:t>
      </w:r>
      <w:r>
        <w:rPr>
          <w:rFonts w:hint="eastAsia" w:ascii="宋体" w:hAnsi="宋体" w:cs="宋体"/>
          <w:bCs/>
          <w:color w:val="auto"/>
          <w:highlight w:val="none"/>
        </w:rPr>
        <w:t>（投标人资格声明书）</w:t>
      </w:r>
      <w:r>
        <w:rPr>
          <w:rFonts w:hint="eastAsia" w:ascii="宋体" w:hAnsi="宋体" w:cs="宋体"/>
          <w:color w:val="auto"/>
          <w:highlight w:val="none"/>
        </w:rPr>
        <w:t>；</w:t>
      </w:r>
    </w:p>
    <w:p>
      <w:pPr>
        <w:shd w:val="clear"/>
        <w:ind w:firstLine="420" w:firstLineChars="200"/>
        <w:rPr>
          <w:rFonts w:ascii="宋体" w:hAnsi="宋体" w:cs="宋体"/>
          <w:bCs/>
          <w:color w:val="auto"/>
          <w:highlight w:val="none"/>
        </w:rPr>
      </w:pPr>
      <w:r>
        <w:rPr>
          <w:rFonts w:hint="eastAsia" w:ascii="宋体" w:hAnsi="宋体" w:cs="宋体"/>
          <w:bCs/>
          <w:color w:val="auto"/>
          <w:highlight w:val="none"/>
        </w:rPr>
        <w:t>1.4、投标人参加采购活动前三年内，在经营活动中没有重大违法记录（投标人资格声明书）；</w:t>
      </w:r>
    </w:p>
    <w:p>
      <w:pPr>
        <w:shd w:val="clear"/>
        <w:ind w:firstLine="420" w:firstLineChars="200"/>
        <w:rPr>
          <w:rFonts w:ascii="宋体" w:hAnsi="宋体" w:cs="宋体"/>
          <w:color w:val="auto"/>
          <w:highlight w:val="none"/>
        </w:rPr>
      </w:pPr>
      <w:r>
        <w:rPr>
          <w:rFonts w:hint="eastAsia" w:ascii="宋体" w:hAnsi="宋体" w:cs="宋体"/>
          <w:color w:val="auto"/>
          <w:highlight w:val="none"/>
        </w:rPr>
        <w:t>1.5、投标人未被列入“信用中国”网站(www.creditchina.gov.cn)“记录失信被执行人或重大税收违法案件当事人名单或严重违法失信行为”记录名单（以采购代理机构投标截止日当天在“信用中国”网站（www.creditchina.gov.cn）查询结果为准，如相关失信记录已失效，供应商需提供相关证明资料）。</w:t>
      </w:r>
    </w:p>
    <w:p>
      <w:pPr>
        <w:shd w:val="clear"/>
        <w:ind w:firstLine="420" w:firstLineChars="200"/>
        <w:rPr>
          <w:rFonts w:ascii="宋体" w:hAnsi="宋体" w:cs="宋体"/>
          <w:color w:val="auto"/>
          <w:highlight w:val="none"/>
        </w:rPr>
      </w:pPr>
      <w:r>
        <w:rPr>
          <w:rFonts w:hint="eastAsia" w:ascii="宋体" w:hAnsi="宋体" w:cs="宋体"/>
          <w:color w:val="auto"/>
          <w:highlight w:val="none"/>
        </w:rPr>
        <w:t>1.6、未被列入东实环境及下属企业相关领域黑名单。【以广东东实环境股份有限公司发文（东实环境通〔2023〕286号）为准，如有最新发文通知，按最新文件执行】</w:t>
      </w:r>
    </w:p>
    <w:p>
      <w:pPr>
        <w:shd w:val="clear"/>
        <w:ind w:firstLine="420" w:firstLineChars="200"/>
        <w:rPr>
          <w:rFonts w:ascii="宋体" w:hAnsi="宋体" w:cs="宋体"/>
          <w:color w:val="auto"/>
          <w:highlight w:val="none"/>
        </w:rPr>
      </w:pPr>
      <w:r>
        <w:rPr>
          <w:rFonts w:hint="eastAsia" w:ascii="宋体" w:hAnsi="宋体" w:cs="宋体"/>
          <w:color w:val="auto"/>
          <w:highlight w:val="none"/>
        </w:rPr>
        <w:t>1.7、本次招标不接受联合体形式投标。</w:t>
      </w:r>
    </w:p>
    <w:p>
      <w:pPr>
        <w:shd w:val="clear"/>
        <w:rPr>
          <w:rFonts w:ascii="宋体" w:hAnsi="宋体" w:cs="宋体"/>
          <w:color w:val="auto"/>
          <w:szCs w:val="21"/>
          <w:highlight w:val="none"/>
        </w:rPr>
      </w:pPr>
      <w:r>
        <w:rPr>
          <w:rFonts w:hint="eastAsia" w:ascii="宋体" w:hAnsi="宋体" w:cs="宋体"/>
          <w:color w:val="auto"/>
          <w:szCs w:val="21"/>
          <w:highlight w:val="none"/>
        </w:rPr>
        <w:t>2、其他要求</w:t>
      </w:r>
    </w:p>
    <w:p>
      <w:pPr>
        <w:shd w:val="clear"/>
        <w:ind w:firstLine="420" w:firstLineChars="200"/>
        <w:rPr>
          <w:rFonts w:ascii="宋体" w:hAnsi="宋体" w:cs="宋体"/>
          <w:color w:val="auto"/>
          <w:highlight w:val="none"/>
        </w:rPr>
      </w:pPr>
      <w:r>
        <w:rPr>
          <w:rFonts w:hint="eastAsia" w:ascii="宋体" w:hAnsi="宋体" w:cs="宋体"/>
          <w:color w:val="auto"/>
          <w:highlight w:val="none"/>
        </w:rPr>
        <w:t>2.1、投标人须具备检验检测机构资质认定证书（许可使用标志CMA）且在有效期内。投标人检测证书必须具有本项目资质响应清单90%以上的资质（即108项或以上）。【详见 用户需求书中的附表1，提供资质认定证书及其证书附表复印件（加盖公章）】。</w:t>
      </w:r>
    </w:p>
    <w:p>
      <w:pPr>
        <w:shd w:val="clear"/>
        <w:ind w:firstLine="420" w:firstLineChars="200"/>
        <w:rPr>
          <w:rFonts w:ascii="宋体" w:hAnsi="宋体" w:cs="宋体"/>
          <w:color w:val="auto"/>
          <w:highlight w:val="none"/>
        </w:rPr>
      </w:pPr>
      <w:r>
        <w:rPr>
          <w:rFonts w:hint="eastAsia" w:ascii="宋体" w:hAnsi="宋体" w:cs="宋体"/>
          <w:color w:val="auto"/>
          <w:highlight w:val="none"/>
        </w:rPr>
        <w:t>2.2、业绩要求：投标人须具备自2020年1月1日起至今不少于2个的同类项目经验【①须提供合同关键页复印件（包含但不限于合同首页、合同服务内容页、合同签字页等）；②须提供对应合同任意一期发票复印件】</w:t>
      </w:r>
    </w:p>
    <w:p>
      <w:pPr>
        <w:shd w:val="clear"/>
        <w:ind w:firstLine="420" w:firstLineChars="200"/>
        <w:rPr>
          <w:rFonts w:ascii="宋体" w:hAnsi="宋体" w:cs="宋体"/>
          <w:color w:val="auto"/>
          <w:highlight w:val="none"/>
        </w:rPr>
      </w:pPr>
      <w:r>
        <w:rPr>
          <w:rFonts w:hint="eastAsia" w:ascii="宋体" w:hAnsi="宋体" w:cs="宋体"/>
          <w:color w:val="auto"/>
          <w:highlight w:val="none"/>
        </w:rPr>
        <w:t>2.3、人员要求：投标人拟派项目负责人须具备环境类中级（或以上）工程师职称。【①须提供环境类中级（或以上）工程师职称证书复印件（加盖公章）；②须提供投标人公司与拟派项目负责人的劳动合同复印件及最近半年内连续三个月以上的社保证明复印件（加盖公章）】</w:t>
      </w:r>
    </w:p>
    <w:p>
      <w:pPr>
        <w:shd w:val="clear"/>
        <w:ind w:firstLine="413" w:firstLineChars="196"/>
        <w:rPr>
          <w:rFonts w:ascii="宋体" w:hAnsi="宋体" w:cs="宋体"/>
          <w:b/>
          <w:color w:val="auto"/>
          <w:szCs w:val="21"/>
          <w:highlight w:val="none"/>
        </w:rPr>
      </w:pPr>
      <w:r>
        <w:rPr>
          <w:rFonts w:hint="eastAsia" w:ascii="宋体" w:hAnsi="宋体" w:cs="宋体"/>
          <w:b/>
          <w:color w:val="auto"/>
          <w:szCs w:val="21"/>
          <w:highlight w:val="none"/>
        </w:rPr>
        <w:t>三、获取采购文件方式及要求：</w:t>
      </w:r>
    </w:p>
    <w:p>
      <w:pPr>
        <w:shd w:val="clear"/>
        <w:wordWrap w:val="0"/>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本项目不进行实名登记报名，拟参加投标的投标人可于投标截止时间前自行网上下载采购文件。采购文件下载地址：东莞实业投资控股集团有限公司网站（http://www.dgsy.com.cn/）、</w:t>
      </w:r>
      <w:r>
        <w:rPr>
          <w:rFonts w:hint="eastAsia" w:ascii="宋体" w:hAnsi="宋体" w:cs="宋体"/>
          <w:color w:val="auto"/>
          <w:szCs w:val="21"/>
          <w:highlight w:val="none"/>
          <w:u w:val="single"/>
          <w:lang w:eastAsia="zh-CN"/>
        </w:rPr>
        <w:t>广东省公共资源交易平台</w:t>
      </w:r>
      <w:r>
        <w:rPr>
          <w:rFonts w:hint="eastAsia" w:ascii="宋体" w:hAnsi="宋体" w:cs="宋体"/>
          <w:color w:val="auto"/>
          <w:szCs w:val="21"/>
          <w:highlight w:val="none"/>
          <w:u w:val="single"/>
        </w:rPr>
        <w:t>网（http://</w:t>
      </w:r>
      <w:r>
        <w:rPr>
          <w:rFonts w:hint="eastAsia" w:ascii="宋体" w:hAnsi="宋体" w:cs="宋体"/>
          <w:color w:val="auto"/>
          <w:szCs w:val="21"/>
          <w:highlight w:val="none"/>
          <w:u w:val="single"/>
          <w:lang w:eastAsia="zh-CN"/>
        </w:rPr>
        <w:t>ygp.gdzwfw.gov.cn</w:t>
      </w:r>
      <w:r>
        <w:rPr>
          <w:rFonts w:hint="eastAsia" w:ascii="宋体" w:hAnsi="宋体" w:cs="宋体"/>
          <w:color w:val="auto"/>
          <w:szCs w:val="21"/>
          <w:highlight w:val="none"/>
          <w:u w:val="single"/>
        </w:rPr>
        <w:t>/）、</w:t>
      </w:r>
      <w:r>
        <w:rPr>
          <w:rFonts w:hint="eastAsia" w:ascii="宋体" w:hAnsi="宋体" w:cs="宋体"/>
          <w:color w:val="auto"/>
          <w:szCs w:val="21"/>
          <w:highlight w:val="none"/>
        </w:rPr>
        <w:t>广东东实环境股份有限公司网站（http://www.dshuanbao.com.cn/）、广东志正招标有限公司东莞分公司网站（https://www.zztender.com/）、中国招标投标公共服务平台（http：//www.cebpubservice.com/）得到进一步的信息和查阅采购文件。</w:t>
      </w:r>
    </w:p>
    <w:p>
      <w:pPr>
        <w:shd w:val="clear"/>
        <w:rPr>
          <w:rFonts w:ascii="宋体" w:hAnsi="宋体" w:cs="宋体"/>
          <w:color w:val="auto"/>
          <w:highlight w:val="none"/>
        </w:rPr>
      </w:pPr>
    </w:p>
    <w:p>
      <w:pPr>
        <w:shd w:val="clear"/>
        <w:ind w:firstLine="413" w:firstLineChars="196"/>
        <w:rPr>
          <w:rFonts w:ascii="宋体" w:hAnsi="宋体" w:cs="宋体"/>
          <w:b/>
          <w:color w:val="auto"/>
          <w:szCs w:val="21"/>
          <w:highlight w:val="none"/>
        </w:rPr>
      </w:pPr>
      <w:r>
        <w:rPr>
          <w:rFonts w:hint="eastAsia" w:ascii="宋体" w:hAnsi="宋体" w:cs="宋体"/>
          <w:b/>
          <w:color w:val="auto"/>
          <w:szCs w:val="21"/>
          <w:highlight w:val="none"/>
        </w:rPr>
        <w:t>四、投标文件的递交</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1、递交投标文件时间：2023年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17</w:t>
      </w:r>
      <w:r>
        <w:rPr>
          <w:rFonts w:hint="eastAsia" w:ascii="宋体" w:hAnsi="宋体" w:cs="宋体"/>
          <w:color w:val="auto"/>
          <w:szCs w:val="21"/>
          <w:highlight w:val="none"/>
        </w:rPr>
        <w:t>日（北京时间）</w:t>
      </w:r>
      <w:r>
        <w:rPr>
          <w:rFonts w:hint="eastAsia" w:ascii="宋体" w:hAnsi="宋体" w:cs="宋体"/>
          <w:color w:val="auto"/>
          <w:szCs w:val="21"/>
          <w:highlight w:val="none"/>
          <w:u w:val="single"/>
        </w:rPr>
        <w:t>09</w:t>
      </w:r>
      <w:r>
        <w:rPr>
          <w:rFonts w:hint="eastAsia" w:ascii="宋体" w:hAnsi="宋体" w:cs="宋体"/>
          <w:color w:val="auto"/>
          <w:szCs w:val="21"/>
          <w:highlight w:val="none"/>
        </w:rPr>
        <w:t>:</w:t>
      </w:r>
      <w:r>
        <w:rPr>
          <w:rFonts w:hint="eastAsia" w:ascii="宋体" w:hAnsi="宋体" w:cs="宋体"/>
          <w:color w:val="auto"/>
          <w:szCs w:val="21"/>
          <w:highlight w:val="none"/>
          <w:u w:val="single"/>
        </w:rPr>
        <w:t>00</w:t>
      </w:r>
      <w:r>
        <w:rPr>
          <w:rFonts w:hint="eastAsia" w:ascii="宋体" w:hAnsi="宋体" w:cs="宋体"/>
          <w:color w:val="auto"/>
          <w:szCs w:val="21"/>
          <w:highlight w:val="none"/>
        </w:rPr>
        <w:t>-</w:t>
      </w:r>
      <w:r>
        <w:rPr>
          <w:rFonts w:hint="eastAsia" w:ascii="宋体" w:hAnsi="宋体" w:cs="宋体"/>
          <w:color w:val="auto"/>
          <w:szCs w:val="21"/>
          <w:highlight w:val="none"/>
          <w:u w:val="single"/>
        </w:rPr>
        <w:t>09</w:t>
      </w:r>
      <w:r>
        <w:rPr>
          <w:rFonts w:hint="eastAsia" w:ascii="宋体" w:hAnsi="宋体" w:cs="宋体"/>
          <w:color w:val="auto"/>
          <w:szCs w:val="21"/>
          <w:highlight w:val="none"/>
        </w:rPr>
        <w:t>:</w:t>
      </w:r>
      <w:r>
        <w:rPr>
          <w:rFonts w:hint="eastAsia" w:ascii="宋体" w:hAnsi="宋体" w:cs="宋体"/>
          <w:color w:val="auto"/>
          <w:szCs w:val="21"/>
          <w:highlight w:val="none"/>
          <w:u w:val="single"/>
        </w:rPr>
        <w:t>30</w:t>
      </w:r>
      <w:r>
        <w:rPr>
          <w:rFonts w:hint="eastAsia" w:ascii="宋体" w:hAnsi="宋体" w:cs="宋体"/>
          <w:color w:val="auto"/>
          <w:szCs w:val="21"/>
          <w:highlight w:val="none"/>
        </w:rPr>
        <w:t>。</w:t>
      </w:r>
    </w:p>
    <w:p>
      <w:pPr>
        <w:shd w:val="clear"/>
        <w:ind w:firstLine="420" w:firstLineChars="200"/>
        <w:rPr>
          <w:rFonts w:ascii="宋体" w:hAnsi="宋体" w:cs="宋体"/>
          <w:b/>
          <w:color w:val="auto"/>
          <w:szCs w:val="21"/>
          <w:highlight w:val="none"/>
        </w:rPr>
      </w:pPr>
      <w:r>
        <w:rPr>
          <w:rFonts w:hint="eastAsia" w:ascii="宋体" w:hAnsi="宋体" w:cs="宋体"/>
          <w:color w:val="auto"/>
          <w:szCs w:val="21"/>
          <w:highlight w:val="none"/>
        </w:rPr>
        <w:t>2、递交投标文件截止及开标时间：2023年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17</w:t>
      </w:r>
      <w:r>
        <w:rPr>
          <w:rFonts w:hint="eastAsia" w:ascii="宋体" w:hAnsi="宋体" w:cs="宋体"/>
          <w:color w:val="auto"/>
          <w:szCs w:val="21"/>
          <w:highlight w:val="none"/>
        </w:rPr>
        <w:t>日</w:t>
      </w:r>
      <w:r>
        <w:rPr>
          <w:rFonts w:hint="eastAsia" w:ascii="宋体" w:hAnsi="宋体" w:cs="宋体"/>
          <w:color w:val="auto"/>
          <w:szCs w:val="21"/>
          <w:highlight w:val="none"/>
          <w:u w:val="single"/>
        </w:rPr>
        <w:t>09</w:t>
      </w:r>
      <w:r>
        <w:rPr>
          <w:rFonts w:hint="eastAsia" w:ascii="宋体" w:hAnsi="宋体" w:cs="宋体"/>
          <w:color w:val="auto"/>
          <w:szCs w:val="21"/>
          <w:highlight w:val="none"/>
        </w:rPr>
        <w:t>:</w:t>
      </w:r>
      <w:r>
        <w:rPr>
          <w:rFonts w:hint="eastAsia" w:ascii="宋体" w:hAnsi="宋体" w:cs="宋体"/>
          <w:color w:val="auto"/>
          <w:szCs w:val="21"/>
          <w:highlight w:val="none"/>
          <w:u w:val="single"/>
        </w:rPr>
        <w:t>30</w:t>
      </w:r>
      <w:r>
        <w:rPr>
          <w:rFonts w:hint="eastAsia" w:ascii="宋体" w:hAnsi="宋体" w:cs="宋体"/>
          <w:color w:val="auto"/>
          <w:szCs w:val="21"/>
          <w:highlight w:val="none"/>
        </w:rPr>
        <w:t>（北京时间），所有投标文件应于截止时间之前递交，迟交或以电报、传真形式的投标文件将拒绝接收。</w:t>
      </w:r>
    </w:p>
    <w:p>
      <w:pPr>
        <w:shd w:val="clear"/>
        <w:ind w:firstLine="411" w:firstLineChars="196"/>
        <w:rPr>
          <w:rFonts w:ascii="宋体" w:hAnsi="宋体" w:cs="宋体"/>
          <w:color w:val="auto"/>
          <w:szCs w:val="21"/>
          <w:highlight w:val="none"/>
        </w:rPr>
      </w:pPr>
      <w:r>
        <w:rPr>
          <w:rFonts w:hint="eastAsia" w:ascii="宋体" w:hAnsi="宋体" w:cs="宋体"/>
          <w:color w:val="auto"/>
          <w:szCs w:val="21"/>
          <w:highlight w:val="none"/>
        </w:rPr>
        <w:t>3、开标地点：广东省东莞市南城区西平社区宏伟三路45号东莞市公共资源交易中心开标（</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）室</w:t>
      </w:r>
    </w:p>
    <w:p>
      <w:pPr>
        <w:shd w:val="clear"/>
        <w:ind w:firstLine="411" w:firstLineChars="196"/>
        <w:rPr>
          <w:rFonts w:ascii="宋体" w:hAnsi="宋体" w:cs="宋体"/>
          <w:bCs/>
          <w:color w:val="auto"/>
          <w:szCs w:val="21"/>
          <w:highlight w:val="none"/>
        </w:rPr>
      </w:pPr>
      <w:r>
        <w:rPr>
          <w:rFonts w:hint="eastAsia" w:ascii="宋体" w:hAnsi="宋体" w:cs="宋体"/>
          <w:bCs/>
          <w:color w:val="auto"/>
          <w:szCs w:val="21"/>
          <w:highlight w:val="none"/>
        </w:rPr>
        <w:t>4、开标事宜：</w:t>
      </w:r>
      <w:r>
        <w:rPr>
          <w:rFonts w:hint="eastAsia" w:ascii="宋体" w:hAnsi="宋体" w:cs="宋体"/>
          <w:b/>
          <w:bCs/>
          <w:color w:val="auto"/>
          <w:szCs w:val="21"/>
          <w:highlight w:val="none"/>
        </w:rPr>
        <w:t>届时请投标人的法定代表人或其授权代表务必携带有效身份证明出席开标会</w:t>
      </w:r>
      <w:r>
        <w:rPr>
          <w:rFonts w:hint="eastAsia" w:ascii="宋体" w:hAnsi="宋体" w:cs="宋体"/>
          <w:bCs/>
          <w:color w:val="auto"/>
          <w:szCs w:val="21"/>
          <w:highlight w:val="none"/>
        </w:rPr>
        <w:t>。</w:t>
      </w:r>
    </w:p>
    <w:p>
      <w:pPr>
        <w:pStyle w:val="38"/>
        <w:shd w:val="clea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5、出现以下情形时，采购代理机构不予接收投标（响应）文件：</w:t>
      </w:r>
    </w:p>
    <w:p>
      <w:pPr>
        <w:pStyle w:val="38"/>
        <w:shd w:val="clea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（1）逾期送达或者未送达指定地点的；</w:t>
      </w:r>
    </w:p>
    <w:p>
      <w:pPr>
        <w:pStyle w:val="38"/>
        <w:shd w:val="clea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（2）未按采购文件要求密封的。</w:t>
      </w:r>
    </w:p>
    <w:p>
      <w:pPr>
        <w:pStyle w:val="38"/>
        <w:shd w:val="clear"/>
        <w:ind w:firstLine="400"/>
        <w:rPr>
          <w:rFonts w:ascii="宋体" w:hAnsi="宋体" w:eastAsia="宋体" w:cs="宋体"/>
          <w:color w:val="auto"/>
          <w:highlight w:val="none"/>
        </w:rPr>
      </w:pPr>
    </w:p>
    <w:p>
      <w:pPr>
        <w:pStyle w:val="38"/>
        <w:shd w:val="clear"/>
        <w:ind w:firstLine="422"/>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五、发布公告的媒介</w:t>
      </w:r>
    </w:p>
    <w:p>
      <w:pPr>
        <w:pStyle w:val="38"/>
        <w:shd w:val="clea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1、采购公告发布媒介：</w:t>
      </w:r>
    </w:p>
    <w:p>
      <w:pPr>
        <w:pStyle w:val="38"/>
        <w:shd w:val="clea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本次采购公告在东莞实业投资控股集团有限公司网站（http://www.dgsy.com.cn/）、</w:t>
      </w:r>
      <w:r>
        <w:rPr>
          <w:rFonts w:hint="eastAsia" w:ascii="宋体" w:hAnsi="宋体" w:eastAsia="宋体" w:cs="宋体"/>
          <w:color w:val="auto"/>
          <w:sz w:val="21"/>
          <w:szCs w:val="21"/>
          <w:highlight w:val="none"/>
          <w:lang w:eastAsia="zh-CN"/>
        </w:rPr>
        <w:t>广东省公共资源交易平台</w:t>
      </w:r>
      <w:r>
        <w:rPr>
          <w:rFonts w:hint="eastAsia" w:ascii="宋体" w:hAnsi="宋体" w:eastAsia="宋体" w:cs="宋体"/>
          <w:color w:val="auto"/>
          <w:sz w:val="21"/>
          <w:szCs w:val="21"/>
          <w:highlight w:val="none"/>
        </w:rPr>
        <w:t>网（http://</w:t>
      </w:r>
      <w:r>
        <w:rPr>
          <w:rFonts w:hint="eastAsia" w:ascii="宋体" w:hAnsi="宋体" w:eastAsia="宋体" w:cs="宋体"/>
          <w:color w:val="auto"/>
          <w:sz w:val="21"/>
          <w:szCs w:val="21"/>
          <w:highlight w:val="none"/>
          <w:lang w:eastAsia="zh-CN"/>
        </w:rPr>
        <w:t>ygp.gdzwfw.gov.cn</w:t>
      </w:r>
      <w:r>
        <w:rPr>
          <w:rFonts w:hint="eastAsia" w:ascii="宋体" w:hAnsi="宋体" w:eastAsia="宋体" w:cs="宋体"/>
          <w:color w:val="auto"/>
          <w:sz w:val="21"/>
          <w:szCs w:val="21"/>
          <w:highlight w:val="none"/>
        </w:rPr>
        <w:t>/）、广东东实环境股份有限公司网站（http://www.dshuanbao.com.cn/）、广东志正招标有限公司东莞分公司网站（https://www.zztender.com/）、中国招标投标公共服务平台（http：//www.cebpubservice.com/）。</w:t>
      </w:r>
    </w:p>
    <w:p>
      <w:pPr>
        <w:pStyle w:val="38"/>
        <w:shd w:val="clear"/>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2、结果公告发布媒介：</w:t>
      </w:r>
    </w:p>
    <w:p>
      <w:pPr>
        <w:pStyle w:val="38"/>
        <w:shd w:val="clear"/>
        <w:spacing w:line="360" w:lineRule="auto"/>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东莞实业投资控股集团有限公司网站（http://www.dgsy.com.cn/）。</w:t>
      </w:r>
    </w:p>
    <w:p>
      <w:pPr>
        <w:shd w:val="clear"/>
        <w:ind w:firstLine="413" w:firstLineChars="196"/>
        <w:rPr>
          <w:rFonts w:ascii="宋体" w:hAnsi="宋体" w:cs="宋体"/>
          <w:bCs/>
          <w:color w:val="auto"/>
          <w:szCs w:val="21"/>
          <w:highlight w:val="none"/>
        </w:rPr>
      </w:pPr>
      <w:r>
        <w:rPr>
          <w:rFonts w:hint="eastAsia" w:ascii="宋体" w:hAnsi="宋体" w:cs="宋体"/>
          <w:b/>
          <w:color w:val="auto"/>
          <w:szCs w:val="21"/>
          <w:highlight w:val="none"/>
        </w:rPr>
        <w:t>六、采购人及采购代理机构的名称、地址和联系方法：</w:t>
      </w:r>
    </w:p>
    <w:p>
      <w:pPr>
        <w:shd w:val="clea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采购人名称：</w:t>
      </w:r>
      <w:r>
        <w:rPr>
          <w:rFonts w:hint="eastAsia" w:ascii="宋体" w:hAnsi="宋体" w:cs="宋体"/>
          <w:color w:val="auto"/>
          <w:szCs w:val="21"/>
          <w:highlight w:val="none"/>
        </w:rPr>
        <w:t>广东东实环境股份有限公司</w:t>
      </w:r>
    </w:p>
    <w:p>
      <w:pPr>
        <w:shd w:val="clea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采购人联系人：罗工</w:t>
      </w:r>
    </w:p>
    <w:p>
      <w:pPr>
        <w:shd w:val="clea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采购人地址：广东省东莞市麻涌镇海心沙路1号</w:t>
      </w:r>
    </w:p>
    <w:p>
      <w:pPr>
        <w:shd w:val="clea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采购人联系电话：0769-39028727 </w:t>
      </w:r>
      <w:r>
        <w:rPr>
          <w:rFonts w:hint="eastAsia" w:ascii="宋体" w:hAnsi="宋体" w:cs="宋体"/>
          <w:color w:val="auto"/>
          <w:sz w:val="22"/>
          <w:highlight w:val="none"/>
        </w:rPr>
        <w:t xml:space="preserve"> </w:t>
      </w:r>
    </w:p>
    <w:p>
      <w:pPr>
        <w:shd w:val="clear"/>
        <w:ind w:firstLine="420" w:firstLineChars="200"/>
        <w:rPr>
          <w:rFonts w:ascii="宋体" w:hAnsi="宋体" w:cs="宋体"/>
          <w:color w:val="auto"/>
          <w:szCs w:val="21"/>
          <w:highlight w:val="none"/>
        </w:rPr>
      </w:pP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采购代理机构名称：广东志正招标有限公司东莞分公司</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采购代理机构地址： 广东省东莞市旗峰路190号城市花园商贸中心903室</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采购代理机构联系人：黄小姐</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采购代理机构联系电话： 0769-22306832，22306833</w:t>
      </w:r>
    </w:p>
    <w:p>
      <w:pPr>
        <w:shd w:val="clear"/>
        <w:ind w:firstLine="420" w:firstLineChars="200"/>
        <w:rPr>
          <w:rFonts w:ascii="宋体" w:hAnsi="宋体" w:cs="宋体"/>
          <w:color w:val="auto"/>
          <w:highlight w:val="none"/>
        </w:rPr>
      </w:pPr>
      <w:r>
        <w:rPr>
          <w:rFonts w:hint="eastAsia" w:ascii="宋体" w:hAnsi="宋体" w:cs="宋体"/>
          <w:color w:val="auto"/>
          <w:szCs w:val="21"/>
          <w:highlight w:val="none"/>
        </w:rPr>
        <w:t xml:space="preserve">采购代理机构邮箱：546797358@qq.com </w:t>
      </w:r>
    </w:p>
    <w:p>
      <w:pPr>
        <w:shd w:val="clear"/>
        <w:ind w:firstLine="420" w:firstLineChars="200"/>
        <w:rPr>
          <w:rFonts w:ascii="宋体" w:hAnsi="宋体" w:cs="宋体"/>
          <w:color w:val="auto"/>
          <w:highlight w:val="none"/>
        </w:rPr>
      </w:pPr>
    </w:p>
    <w:p>
      <w:pPr>
        <w:shd w:val="clear"/>
        <w:ind w:right="752" w:rightChars="358"/>
        <w:jc w:val="right"/>
        <w:rPr>
          <w:rFonts w:ascii="宋体" w:hAnsi="宋体" w:cs="宋体"/>
          <w:color w:val="auto"/>
          <w:highlight w:val="none"/>
        </w:rPr>
      </w:pPr>
    </w:p>
    <w:p>
      <w:pPr>
        <w:shd w:val="clear"/>
        <w:ind w:right="752" w:rightChars="358"/>
        <w:jc w:val="right"/>
        <w:rPr>
          <w:rFonts w:ascii="宋体" w:hAnsi="宋体" w:cs="宋体"/>
          <w:color w:val="auto"/>
          <w:szCs w:val="21"/>
          <w:highlight w:val="none"/>
        </w:rPr>
      </w:pPr>
      <w:r>
        <w:rPr>
          <w:rFonts w:hint="eastAsia" w:ascii="宋体" w:hAnsi="宋体" w:cs="宋体"/>
          <w:color w:val="auto"/>
          <w:szCs w:val="21"/>
          <w:highlight w:val="none"/>
        </w:rPr>
        <w:t>广东志正招标有限公司东莞分公司</w:t>
      </w:r>
    </w:p>
    <w:p>
      <w:pPr>
        <w:shd w:val="clear"/>
        <w:ind w:right="752" w:rightChars="358"/>
        <w:jc w:val="right"/>
        <w:rPr>
          <w:rFonts w:ascii="宋体" w:hAnsi="宋体" w:cs="宋体"/>
          <w:color w:val="auto"/>
          <w:szCs w:val="21"/>
          <w:highlight w:val="none"/>
        </w:rPr>
      </w:pPr>
      <w:r>
        <w:rPr>
          <w:rFonts w:hint="eastAsia" w:ascii="宋体" w:hAnsi="宋体" w:cs="宋体"/>
          <w:color w:val="auto"/>
          <w:szCs w:val="21"/>
          <w:highlight w:val="none"/>
        </w:rPr>
        <w:t xml:space="preserve">2023年09月 </w:t>
      </w:r>
    </w:p>
    <w:p>
      <w:pPr>
        <w:shd w:val="clear"/>
        <w:ind w:left="6205" w:leftChars="2755" w:hanging="420" w:hangingChars="200"/>
        <w:rPr>
          <w:rFonts w:ascii="宋体" w:hAnsi="宋体" w:cs="宋体"/>
          <w:color w:val="auto"/>
          <w:highlight w:val="none"/>
        </w:rPr>
      </w:pPr>
      <w:r>
        <w:rPr>
          <w:rFonts w:hint="eastAsia" w:ascii="宋体" w:hAnsi="宋体" w:cs="宋体"/>
          <w:color w:val="auto"/>
          <w:szCs w:val="21"/>
          <w:highlight w:val="none"/>
        </w:rPr>
        <w:br w:type="page"/>
      </w:r>
    </w:p>
    <w:p>
      <w:pPr>
        <w:pStyle w:val="4"/>
        <w:shd w:val="clear"/>
        <w:spacing w:before="0" w:after="0" w:line="240" w:lineRule="auto"/>
        <w:rPr>
          <w:rFonts w:ascii="宋体" w:hAnsi="宋体" w:eastAsia="宋体" w:cs="宋体"/>
          <w:color w:val="auto"/>
          <w:sz w:val="28"/>
          <w:szCs w:val="28"/>
          <w:highlight w:val="none"/>
        </w:rPr>
      </w:pPr>
      <w:bookmarkStart w:id="2" w:name="_Toc20564"/>
      <w:r>
        <w:rPr>
          <w:rFonts w:hint="eastAsia" w:ascii="宋体" w:hAnsi="宋体" w:eastAsia="宋体" w:cs="宋体"/>
          <w:color w:val="auto"/>
          <w:sz w:val="28"/>
          <w:szCs w:val="28"/>
          <w:highlight w:val="none"/>
        </w:rPr>
        <w:t>第二部分相关资料表格</w:t>
      </w:r>
      <w:bookmarkEnd w:id="2"/>
    </w:p>
    <w:p>
      <w:pPr>
        <w:pStyle w:val="5"/>
        <w:shd w:val="clear"/>
        <w:spacing w:before="0" w:after="0" w:line="240" w:lineRule="auto"/>
        <w:jc w:val="center"/>
        <w:rPr>
          <w:rFonts w:ascii="宋体" w:hAnsi="宋体" w:cs="宋体"/>
          <w:color w:val="auto"/>
          <w:sz w:val="24"/>
          <w:szCs w:val="24"/>
          <w:highlight w:val="none"/>
        </w:rPr>
      </w:pPr>
      <w:bookmarkStart w:id="3" w:name="_Toc14333"/>
      <w:r>
        <w:rPr>
          <w:rFonts w:hint="eastAsia" w:ascii="宋体" w:hAnsi="宋体" w:cs="宋体"/>
          <w:color w:val="auto"/>
          <w:sz w:val="24"/>
          <w:szCs w:val="24"/>
          <w:highlight w:val="none"/>
        </w:rPr>
        <w:t>附表一：投标资料表</w:t>
      </w:r>
      <w:bookmarkEnd w:id="3"/>
    </w:p>
    <w:tbl>
      <w:tblPr>
        <w:tblStyle w:val="30"/>
        <w:tblW w:w="8410" w:type="dxa"/>
        <w:tblInd w:w="-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492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78" w:type="dxa"/>
            <w:tcBorders>
              <w:tl2br w:val="nil"/>
              <w:tr2bl w:val="nil"/>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7532" w:type="dxa"/>
            <w:gridSpan w:val="2"/>
            <w:tcBorders>
              <w:tl2br w:val="nil"/>
              <w:tr2bl w:val="nil"/>
            </w:tcBorders>
            <w:vAlign w:val="center"/>
          </w:tcPr>
          <w:p>
            <w:pPr>
              <w:shd w:val="clear"/>
              <w:jc w:val="center"/>
              <w:rPr>
                <w:rFonts w:ascii="宋体" w:hAnsi="宋体" w:cs="宋体"/>
                <w:b/>
                <w:color w:val="auto"/>
                <w:szCs w:val="21"/>
                <w:highlight w:val="none"/>
              </w:rPr>
            </w:pPr>
            <w:r>
              <w:rPr>
                <w:rFonts w:hint="eastAsia" w:ascii="宋体" w:hAnsi="宋体" w:cs="宋体"/>
                <w:b/>
                <w:color w:val="auto"/>
                <w:szCs w:val="21"/>
                <w:highlight w:val="none"/>
              </w:rPr>
              <w:t>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3"/>
            <w:tcBorders>
              <w:tl2br w:val="nil"/>
              <w:tr2bl w:val="nil"/>
            </w:tcBorders>
            <w:vAlign w:val="center"/>
          </w:tcPr>
          <w:p>
            <w:pPr>
              <w:shd w:val="clear"/>
              <w:jc w:val="center"/>
              <w:rPr>
                <w:rFonts w:ascii="宋体" w:hAnsi="宋体" w:cs="宋体"/>
                <w:b/>
                <w:color w:val="auto"/>
                <w:szCs w:val="21"/>
                <w:highlight w:val="none"/>
              </w:rPr>
            </w:pPr>
            <w:r>
              <w:rPr>
                <w:rFonts w:hint="eastAsia" w:ascii="宋体" w:hAnsi="宋体" w:cs="宋体"/>
                <w:b/>
                <w:color w:val="auto"/>
                <w:szCs w:val="21"/>
                <w:highlight w:val="none"/>
              </w:rPr>
              <w:t>一、说明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c>
          <w:tcPr>
            <w:tcW w:w="7532" w:type="dxa"/>
            <w:gridSpan w:val="2"/>
            <w:tcBorders>
              <w:tl2br w:val="nil"/>
              <w:tr2bl w:val="nil"/>
            </w:tcBorders>
            <w:vAlign w:val="center"/>
          </w:tcPr>
          <w:p>
            <w:pPr>
              <w:shd w:val="clear"/>
              <w:rPr>
                <w:rFonts w:ascii="宋体" w:hAnsi="宋体" w:cs="宋体"/>
                <w:b/>
                <w:bCs/>
                <w:color w:val="auto"/>
                <w:szCs w:val="21"/>
                <w:highlight w:val="none"/>
              </w:rPr>
            </w:pPr>
            <w:r>
              <w:rPr>
                <w:rFonts w:hint="eastAsia" w:ascii="宋体" w:hAnsi="宋体" w:cs="宋体"/>
                <w:b/>
                <w:bCs/>
                <w:color w:val="auto"/>
                <w:szCs w:val="21"/>
                <w:highlight w:val="none"/>
              </w:rPr>
              <w:t>项目最高限价（人民币 壹佰伍拾陆万元整  （¥1,560,000.00））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shd w:val="clear"/>
              <w:jc w:val="center"/>
              <w:rPr>
                <w:rFonts w:ascii="宋体" w:hAnsi="宋体" w:cs="宋体"/>
                <w:color w:val="auto"/>
                <w:szCs w:val="21"/>
                <w:highlight w:val="none"/>
              </w:rPr>
            </w:pPr>
          </w:p>
        </w:tc>
        <w:tc>
          <w:tcPr>
            <w:tcW w:w="7532" w:type="dxa"/>
            <w:gridSpan w:val="2"/>
            <w:tcBorders>
              <w:tl2br w:val="nil"/>
              <w:tr2bl w:val="nil"/>
            </w:tcBorders>
            <w:vAlign w:val="center"/>
          </w:tcPr>
          <w:p>
            <w:pPr>
              <w:shd w:val="clear"/>
              <w:rPr>
                <w:rFonts w:ascii="宋体" w:hAnsi="宋体" w:cs="宋体"/>
                <w:b/>
                <w:bCs/>
                <w:color w:val="auto"/>
                <w:szCs w:val="21"/>
                <w:highlight w:val="none"/>
              </w:rPr>
            </w:pPr>
            <w:r>
              <w:rPr>
                <w:rFonts w:hint="eastAsia" w:ascii="宋体" w:hAnsi="宋体" w:cs="宋体"/>
                <w:b/>
                <w:bCs/>
                <w:color w:val="auto"/>
                <w:szCs w:val="21"/>
                <w:highlight w:val="none"/>
              </w:rPr>
              <w:t>广东省东实环境股份有限公司餐厨项目环境监测服务：¥29.6万</w:t>
            </w:r>
          </w:p>
          <w:p>
            <w:pPr>
              <w:shd w:val="clear"/>
              <w:rPr>
                <w:rFonts w:ascii="宋体" w:hAnsi="宋体" w:cs="宋体"/>
                <w:b/>
                <w:bCs/>
                <w:color w:val="auto"/>
                <w:szCs w:val="21"/>
                <w:highlight w:val="none"/>
              </w:rPr>
            </w:pPr>
            <w:r>
              <w:rPr>
                <w:rFonts w:hint="eastAsia" w:ascii="宋体" w:hAnsi="宋体" w:cs="宋体"/>
                <w:b/>
                <w:bCs/>
                <w:color w:val="auto"/>
                <w:szCs w:val="21"/>
                <w:highlight w:val="none"/>
              </w:rPr>
              <w:t>东莞市新东欣环保投资有限公司绿色工业服务项目环境监测服务：¥81.6万</w:t>
            </w:r>
          </w:p>
          <w:p>
            <w:pPr>
              <w:shd w:val="clear"/>
              <w:rPr>
                <w:rFonts w:ascii="宋体" w:hAnsi="宋体" w:cs="宋体"/>
                <w:b/>
                <w:bCs/>
                <w:color w:val="auto"/>
                <w:szCs w:val="21"/>
                <w:highlight w:val="none"/>
              </w:rPr>
            </w:pPr>
            <w:r>
              <w:rPr>
                <w:rFonts w:hint="eastAsia" w:ascii="宋体" w:hAnsi="宋体" w:cs="宋体"/>
                <w:b/>
                <w:bCs/>
                <w:color w:val="auto"/>
                <w:szCs w:val="21"/>
                <w:highlight w:val="none"/>
              </w:rPr>
              <w:t>东实环境股份有限公司海心沙环保热电厂项目环境监测服务：¥44.8万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w:t>
            </w:r>
          </w:p>
        </w:tc>
        <w:tc>
          <w:tcPr>
            <w:tcW w:w="7532" w:type="dxa"/>
            <w:gridSpan w:val="2"/>
            <w:tcBorders>
              <w:tl2br w:val="nil"/>
              <w:tr2bl w:val="nil"/>
            </w:tcBorders>
            <w:vAlign w:val="center"/>
          </w:tcPr>
          <w:p>
            <w:pPr>
              <w:shd w:val="clear"/>
              <w:rPr>
                <w:rFonts w:ascii="宋体" w:hAnsi="宋体" w:cs="宋体"/>
                <w:b/>
                <w:bCs/>
                <w:color w:val="auto"/>
                <w:szCs w:val="21"/>
                <w:highlight w:val="none"/>
              </w:rPr>
            </w:pPr>
            <w:r>
              <w:rPr>
                <w:rFonts w:hint="eastAsia" w:ascii="宋体" w:hAnsi="宋体" w:cs="宋体"/>
                <w:b/>
                <w:bCs/>
                <w:color w:val="auto"/>
                <w:szCs w:val="21"/>
                <w:highlight w:val="none"/>
              </w:rPr>
              <w:t>发包方式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shd w:val="clear"/>
              <w:jc w:val="center"/>
              <w:rPr>
                <w:rFonts w:ascii="宋体" w:hAnsi="宋体" w:cs="宋体"/>
                <w:color w:val="auto"/>
                <w:szCs w:val="21"/>
                <w:highlight w:val="none"/>
              </w:rPr>
            </w:pPr>
          </w:p>
        </w:tc>
        <w:tc>
          <w:tcPr>
            <w:tcW w:w="7532" w:type="dxa"/>
            <w:gridSpan w:val="2"/>
            <w:tcBorders>
              <w:tl2br w:val="nil"/>
              <w:tr2bl w:val="nil"/>
            </w:tcBorders>
            <w:vAlign w:val="center"/>
          </w:tcPr>
          <w:p>
            <w:pPr>
              <w:shd w:val="clear"/>
              <w:rPr>
                <w:rFonts w:ascii="宋体" w:hAnsi="宋体" w:cs="宋体"/>
                <w:b/>
                <w:bCs/>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b/>
                <w:bCs/>
                <w:color w:val="auto"/>
                <w:szCs w:val="21"/>
                <w:highlight w:val="none"/>
              </w:rPr>
              <w:t>固定总价包干；</w:t>
            </w:r>
          </w:p>
          <w:p>
            <w:pPr>
              <w:shd w:val="clear"/>
              <w:rPr>
                <w:rFonts w:ascii="宋体" w:hAnsi="宋体" w:cs="宋体"/>
                <w:b/>
                <w:bCs/>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b/>
                <w:bCs/>
                <w:color w:val="auto"/>
                <w:szCs w:val="21"/>
                <w:highlight w:val="none"/>
              </w:rPr>
              <w:t>固定单价暂定总价包干；</w:t>
            </w:r>
          </w:p>
          <w:p>
            <w:pPr>
              <w:shd w:val="clear"/>
              <w:rPr>
                <w:rFonts w:ascii="宋体" w:hAnsi="宋体" w:cs="宋体"/>
                <w:b/>
                <w:bCs/>
                <w:color w:val="auto"/>
                <w:szCs w:val="21"/>
                <w:highlight w:val="none"/>
                <w:u w:val="single"/>
              </w:rPr>
            </w:pPr>
            <w:r>
              <w:rPr>
                <w:rFonts w:hint="eastAsia" w:ascii="宋体" w:hAnsi="宋体" w:cs="宋体"/>
                <w:color w:val="auto"/>
                <w:szCs w:val="21"/>
                <w:highlight w:val="none"/>
              </w:rPr>
              <w:sym w:font="Wingdings 2" w:char="00A3"/>
            </w:r>
            <w:r>
              <w:rPr>
                <w:rFonts w:hint="eastAsia" w:ascii="宋体" w:hAnsi="宋体" w:cs="宋体"/>
                <w:b/>
                <w:bCs/>
                <w:color w:val="auto"/>
                <w:szCs w:val="21"/>
                <w:highlight w:val="none"/>
              </w:rPr>
              <w:t>费率</w:t>
            </w:r>
            <w:r>
              <w:rPr>
                <w:rFonts w:hint="eastAsia" w:ascii="宋体" w:hAnsi="宋体" w:cs="宋体"/>
                <w:b/>
                <w:bCs/>
                <w:color w:val="auto"/>
                <w:szCs w:val="21"/>
                <w:highlight w:val="none"/>
                <w:u w:val="single"/>
              </w:rPr>
              <w:t xml:space="preserve">         ；</w:t>
            </w:r>
          </w:p>
          <w:p>
            <w:pPr>
              <w:shd w:val="clear"/>
              <w:rPr>
                <w:rFonts w:ascii="宋体" w:hAnsi="宋体" w:cs="宋体"/>
                <w:b/>
                <w:bCs/>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b/>
                <w:bCs/>
                <w:color w:val="auto"/>
                <w:szCs w:val="21"/>
                <w:highlight w:val="none"/>
              </w:rPr>
              <w:t>其他</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c>
          <w:tcPr>
            <w:tcW w:w="7532" w:type="dxa"/>
            <w:gridSpan w:val="2"/>
            <w:tcBorders>
              <w:tl2br w:val="nil"/>
              <w:tr2bl w:val="nil"/>
            </w:tcBorders>
            <w:vAlign w:val="center"/>
          </w:tcPr>
          <w:p>
            <w:pPr>
              <w:shd w:val="clear"/>
              <w:rPr>
                <w:rFonts w:ascii="宋体" w:hAnsi="宋体" w:cs="宋体"/>
                <w:b/>
                <w:bCs/>
                <w:color w:val="auto"/>
                <w:szCs w:val="21"/>
                <w:highlight w:val="none"/>
              </w:rPr>
            </w:pPr>
            <w:r>
              <w:rPr>
                <w:rFonts w:hint="eastAsia" w:ascii="宋体" w:hAnsi="宋体" w:cs="宋体"/>
                <w:b/>
                <w:bCs/>
                <w:color w:val="auto"/>
                <w:szCs w:val="21"/>
                <w:highlight w:val="none"/>
              </w:rPr>
              <w:t>是否接受联合体投标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shd w:val="clear"/>
              <w:jc w:val="center"/>
              <w:rPr>
                <w:rFonts w:ascii="宋体" w:hAnsi="宋体" w:cs="宋体"/>
                <w:color w:val="auto"/>
                <w:szCs w:val="21"/>
                <w:highlight w:val="none"/>
              </w:rPr>
            </w:pPr>
          </w:p>
        </w:tc>
        <w:tc>
          <w:tcPr>
            <w:tcW w:w="7532" w:type="dxa"/>
            <w:gridSpan w:val="2"/>
            <w:tcBorders>
              <w:tl2br w:val="nil"/>
              <w:tr2bl w:val="nil"/>
            </w:tcBorders>
            <w:vAlign w:val="center"/>
          </w:tcPr>
          <w:p>
            <w:pPr>
              <w:pStyle w:val="41"/>
              <w:shd w:val="clear"/>
              <w:ind w:firstLine="0" w:firstLineChars="0"/>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是，联合体投标的，应满足下列要求：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hd w:val="clear"/>
              <w:rPr>
                <w:rFonts w:ascii="宋体" w:hAnsi="宋体" w:cs="宋体"/>
                <w:b/>
                <w:bCs/>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c>
          <w:tcPr>
            <w:tcW w:w="7532" w:type="dxa"/>
            <w:gridSpan w:val="2"/>
            <w:tcBorders>
              <w:tl2br w:val="nil"/>
              <w:tr2bl w:val="nil"/>
            </w:tcBorders>
            <w:vAlign w:val="center"/>
          </w:tcPr>
          <w:p>
            <w:pPr>
              <w:shd w:val="clear"/>
              <w:rPr>
                <w:rFonts w:ascii="宋体" w:hAnsi="宋体" w:cs="宋体"/>
                <w:b/>
                <w:bCs/>
                <w:color w:val="auto"/>
                <w:szCs w:val="21"/>
                <w:highlight w:val="none"/>
              </w:rPr>
            </w:pPr>
            <w:r>
              <w:rPr>
                <w:rFonts w:hint="eastAsia" w:ascii="宋体" w:hAnsi="宋体" w:cs="宋体"/>
                <w:b/>
                <w:bCs/>
                <w:color w:val="auto"/>
                <w:szCs w:val="21"/>
                <w:highlight w:val="none"/>
              </w:rPr>
              <w:t>资金来源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shd w:val="clear"/>
              <w:jc w:val="center"/>
              <w:rPr>
                <w:rFonts w:ascii="宋体" w:hAnsi="宋体" w:cs="宋体"/>
                <w:color w:val="auto"/>
                <w:szCs w:val="21"/>
                <w:highlight w:val="none"/>
              </w:rPr>
            </w:pPr>
          </w:p>
        </w:tc>
        <w:tc>
          <w:tcPr>
            <w:tcW w:w="7532" w:type="dxa"/>
            <w:gridSpan w:val="2"/>
            <w:tcBorders>
              <w:tl2br w:val="nil"/>
              <w:tr2bl w:val="nil"/>
            </w:tcBorders>
            <w:vAlign w:val="center"/>
          </w:tcPr>
          <w:p>
            <w:pPr>
              <w:shd w:val="clear"/>
              <w:rPr>
                <w:rFonts w:ascii="宋体" w:hAnsi="宋体" w:cs="宋体"/>
                <w:b/>
                <w:bCs/>
                <w:color w:val="auto"/>
                <w:szCs w:val="21"/>
                <w:highlight w:val="none"/>
              </w:rPr>
            </w:pPr>
            <w:r>
              <w:rPr>
                <w:rFonts w:hint="eastAsia" w:ascii="宋体" w:hAnsi="宋体" w:cs="宋体"/>
                <w:color w:val="auto"/>
                <w:szCs w:val="21"/>
                <w:highlight w:val="none"/>
                <w:u w:val="single"/>
              </w:rPr>
              <w:t>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5</w:t>
            </w:r>
          </w:p>
        </w:tc>
        <w:tc>
          <w:tcPr>
            <w:tcW w:w="7532" w:type="dxa"/>
            <w:gridSpan w:val="2"/>
            <w:tcBorders>
              <w:tl2br w:val="nil"/>
              <w:tr2bl w:val="nil"/>
            </w:tcBorders>
            <w:vAlign w:val="center"/>
          </w:tcPr>
          <w:p>
            <w:pPr>
              <w:shd w:val="clear"/>
              <w:rPr>
                <w:rFonts w:ascii="宋体" w:hAnsi="宋体" w:cs="宋体"/>
                <w:b/>
                <w:color w:val="auto"/>
                <w:szCs w:val="21"/>
                <w:highlight w:val="none"/>
              </w:rPr>
            </w:pPr>
            <w:r>
              <w:rPr>
                <w:rFonts w:hint="eastAsia" w:ascii="宋体" w:hAnsi="宋体" w:cs="宋体"/>
                <w:b/>
                <w:color w:val="auto"/>
                <w:szCs w:val="21"/>
                <w:highlight w:val="none"/>
              </w:rPr>
              <w:t>踏勘现场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shd w:val="clear"/>
              <w:jc w:val="center"/>
              <w:rPr>
                <w:rFonts w:ascii="宋体" w:hAnsi="宋体" w:cs="宋体"/>
                <w:color w:val="auto"/>
                <w:szCs w:val="21"/>
                <w:highlight w:val="none"/>
              </w:rPr>
            </w:pPr>
          </w:p>
        </w:tc>
        <w:tc>
          <w:tcPr>
            <w:tcW w:w="7532" w:type="dxa"/>
            <w:gridSpan w:val="2"/>
            <w:tcBorders>
              <w:tl2br w:val="nil"/>
              <w:tr2bl w:val="nil"/>
            </w:tcBorders>
            <w:vAlign w:val="center"/>
          </w:tcPr>
          <w:p>
            <w:pPr>
              <w:shd w:val="clear"/>
              <w:rPr>
                <w:rFonts w:ascii="宋体" w:hAnsi="宋体" w:cs="宋体"/>
                <w:bCs/>
                <w:color w:val="auto"/>
                <w:szCs w:val="21"/>
                <w:highlight w:val="none"/>
              </w:rPr>
            </w:pPr>
            <w:r>
              <w:rPr>
                <w:rFonts w:hint="eastAsia" w:ascii="宋体" w:hAnsi="宋体" w:cs="宋体"/>
                <w:bCs/>
                <w:color w:val="auto"/>
                <w:szCs w:val="21"/>
                <w:highlight w:val="none"/>
              </w:rPr>
              <w:t>☑不组织 。</w:t>
            </w:r>
          </w:p>
          <w:p>
            <w:pPr>
              <w:shd w:val="clear"/>
              <w:rPr>
                <w:rFonts w:ascii="宋体" w:hAnsi="宋体" w:cs="宋体"/>
                <w:bCs/>
                <w:color w:val="auto"/>
                <w:szCs w:val="21"/>
                <w:highlight w:val="none"/>
              </w:rPr>
            </w:pPr>
            <w:r>
              <w:rPr>
                <w:rFonts w:hint="eastAsia" w:ascii="宋体" w:hAnsi="宋体" w:cs="宋体"/>
                <w:bCs/>
                <w:color w:val="auto"/>
                <w:szCs w:val="21"/>
                <w:highlight w:val="none"/>
              </w:rPr>
              <w:t>□组织，踏勘现场时间、地点：</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29" w:hRule="atLeast"/>
        </w:trPr>
        <w:tc>
          <w:tcPr>
            <w:tcW w:w="8410" w:type="dxa"/>
            <w:gridSpan w:val="3"/>
            <w:tcBorders>
              <w:tl2br w:val="nil"/>
              <w:tr2bl w:val="nil"/>
            </w:tcBorders>
            <w:vAlign w:val="center"/>
          </w:tcPr>
          <w:p>
            <w:pPr>
              <w:shd w:val="clear"/>
              <w:jc w:val="center"/>
              <w:rPr>
                <w:rFonts w:ascii="宋体" w:hAnsi="宋体" w:cs="宋体"/>
                <w:b/>
                <w:color w:val="auto"/>
                <w:szCs w:val="21"/>
                <w:highlight w:val="none"/>
              </w:rPr>
            </w:pPr>
            <w:r>
              <w:rPr>
                <w:rFonts w:hint="eastAsia" w:ascii="宋体" w:hAnsi="宋体" w:cs="宋体"/>
                <w:b/>
                <w:color w:val="auto"/>
                <w:szCs w:val="21"/>
                <w:highlight w:val="none"/>
              </w:rPr>
              <w:t>二、投标文件的编制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w:t>
            </w:r>
          </w:p>
        </w:tc>
        <w:tc>
          <w:tcPr>
            <w:tcW w:w="7532" w:type="dxa"/>
            <w:gridSpan w:val="2"/>
            <w:tcBorders>
              <w:tl2br w:val="nil"/>
              <w:tr2bl w:val="nil"/>
            </w:tcBorders>
            <w:vAlign w:val="center"/>
          </w:tcPr>
          <w:p>
            <w:pPr>
              <w:shd w:val="clear"/>
              <w:rPr>
                <w:rFonts w:ascii="宋体" w:hAnsi="宋体" w:cs="宋体"/>
                <w:b/>
                <w:color w:val="auto"/>
                <w:szCs w:val="21"/>
                <w:highlight w:val="none"/>
              </w:rPr>
            </w:pPr>
            <w:r>
              <w:rPr>
                <w:rFonts w:hint="eastAsia" w:ascii="宋体" w:hAnsi="宋体" w:cs="宋体"/>
                <w:b/>
                <w:color w:val="auto"/>
                <w:szCs w:val="21"/>
                <w:highlight w:val="none"/>
              </w:rPr>
              <w:t>投标语言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shd w:val="clear"/>
              <w:jc w:val="center"/>
              <w:rPr>
                <w:rFonts w:ascii="宋体" w:hAnsi="宋体" w:cs="宋体"/>
                <w:color w:val="auto"/>
                <w:szCs w:val="21"/>
                <w:highlight w:val="none"/>
              </w:rPr>
            </w:pPr>
          </w:p>
        </w:tc>
        <w:tc>
          <w:tcPr>
            <w:tcW w:w="7532" w:type="dxa"/>
            <w:gridSpan w:val="2"/>
            <w:tcBorders>
              <w:tl2br w:val="nil"/>
              <w:tr2bl w:val="nil"/>
            </w:tcBorders>
            <w:vAlign w:val="center"/>
          </w:tcPr>
          <w:p>
            <w:pPr>
              <w:shd w:val="clear"/>
              <w:rPr>
                <w:rFonts w:ascii="宋体" w:hAnsi="宋体" w:cs="宋体"/>
                <w:b/>
                <w:color w:val="auto"/>
                <w:szCs w:val="21"/>
                <w:highlight w:val="none"/>
              </w:rPr>
            </w:pPr>
            <w:r>
              <w:rPr>
                <w:rFonts w:hint="eastAsia" w:ascii="宋体" w:hAnsi="宋体" w:cs="宋体"/>
                <w:color w:val="auto"/>
                <w:szCs w:val="21"/>
                <w:highlight w:val="none"/>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7</w:t>
            </w:r>
          </w:p>
        </w:tc>
        <w:tc>
          <w:tcPr>
            <w:tcW w:w="7532" w:type="dxa"/>
            <w:gridSpan w:val="2"/>
            <w:tcBorders>
              <w:tl2br w:val="nil"/>
              <w:tr2bl w:val="nil"/>
            </w:tcBorders>
            <w:vAlign w:val="center"/>
          </w:tcPr>
          <w:p>
            <w:pPr>
              <w:shd w:val="clear"/>
              <w:jc w:val="both"/>
              <w:rPr>
                <w:rFonts w:ascii="宋体" w:hAnsi="宋体" w:cs="宋体"/>
                <w:b/>
                <w:color w:val="auto"/>
                <w:szCs w:val="21"/>
                <w:highlight w:val="none"/>
              </w:rPr>
            </w:pPr>
            <w:r>
              <w:rPr>
                <w:rFonts w:hint="eastAsia" w:ascii="宋体" w:hAnsi="宋体" w:cs="宋体"/>
                <w:b/>
                <w:color w:val="auto"/>
                <w:szCs w:val="21"/>
                <w:highlight w:val="none"/>
              </w:rPr>
              <w:t>投标报价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shd w:val="clear"/>
              <w:jc w:val="center"/>
              <w:rPr>
                <w:rFonts w:ascii="宋体" w:hAnsi="宋体" w:cs="宋体"/>
                <w:color w:val="auto"/>
                <w:szCs w:val="21"/>
                <w:highlight w:val="none"/>
              </w:rPr>
            </w:pPr>
          </w:p>
        </w:tc>
        <w:tc>
          <w:tcPr>
            <w:tcW w:w="7532" w:type="dxa"/>
            <w:gridSpan w:val="2"/>
            <w:tcBorders>
              <w:tl2br w:val="nil"/>
              <w:tr2bl w:val="nil"/>
            </w:tcBorders>
            <w:vAlign w:val="center"/>
          </w:tcPr>
          <w:p>
            <w:pPr>
              <w:shd w:val="clear"/>
              <w:jc w:val="both"/>
              <w:rPr>
                <w:rFonts w:ascii="宋体" w:hAnsi="宋体" w:cs="宋体"/>
                <w:color w:val="auto"/>
                <w:szCs w:val="21"/>
                <w:highlight w:val="none"/>
              </w:rPr>
            </w:pPr>
            <w:r>
              <w:rPr>
                <w:rFonts w:hint="eastAsia" w:ascii="宋体" w:hAnsi="宋体" w:cs="宋体"/>
                <w:color w:val="auto"/>
                <w:szCs w:val="21"/>
                <w:highlight w:val="none"/>
              </w:rPr>
              <w:t>详见投标人须知。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restart"/>
            <w:tcBorders>
              <w:tl2br w:val="nil"/>
              <w:tr2bl w:val="nil"/>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8</w:t>
            </w:r>
          </w:p>
        </w:tc>
        <w:tc>
          <w:tcPr>
            <w:tcW w:w="7532" w:type="dxa"/>
            <w:gridSpan w:val="2"/>
            <w:tcBorders>
              <w:tl2br w:val="nil"/>
              <w:tr2bl w:val="nil"/>
            </w:tcBorders>
            <w:vAlign w:val="center"/>
          </w:tcPr>
          <w:p>
            <w:pPr>
              <w:shd w:val="clear"/>
              <w:jc w:val="both"/>
              <w:rPr>
                <w:rFonts w:ascii="宋体" w:hAnsi="宋体" w:cs="宋体"/>
                <w:b/>
                <w:color w:val="auto"/>
                <w:szCs w:val="21"/>
                <w:highlight w:val="none"/>
              </w:rPr>
            </w:pPr>
            <w:r>
              <w:rPr>
                <w:rFonts w:hint="eastAsia" w:ascii="宋体" w:hAnsi="宋体" w:cs="宋体"/>
                <w:b/>
                <w:color w:val="auto"/>
                <w:szCs w:val="21"/>
                <w:highlight w:val="none"/>
              </w:rPr>
              <w:t>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tcBorders>
              <w:tl2br w:val="nil"/>
              <w:tr2bl w:val="nil"/>
            </w:tcBorders>
            <w:vAlign w:val="center"/>
          </w:tcPr>
          <w:p>
            <w:pPr>
              <w:shd w:val="clear"/>
              <w:jc w:val="center"/>
              <w:rPr>
                <w:rFonts w:ascii="宋体" w:hAnsi="宋体" w:cs="宋体"/>
                <w:color w:val="auto"/>
                <w:szCs w:val="21"/>
                <w:highlight w:val="none"/>
              </w:rPr>
            </w:pPr>
          </w:p>
        </w:tc>
        <w:tc>
          <w:tcPr>
            <w:tcW w:w="7532" w:type="dxa"/>
            <w:gridSpan w:val="2"/>
            <w:tcBorders>
              <w:tl2br w:val="nil"/>
              <w:tr2bl w:val="nil"/>
            </w:tcBorders>
            <w:vAlign w:val="center"/>
          </w:tcPr>
          <w:p>
            <w:pPr>
              <w:shd w:val="clear"/>
              <w:jc w:val="both"/>
              <w:rPr>
                <w:rFonts w:ascii="宋体" w:hAnsi="宋体" w:cs="宋体"/>
                <w:color w:val="auto"/>
                <w:szCs w:val="21"/>
                <w:highlight w:val="none"/>
              </w:rPr>
            </w:pPr>
            <w:r>
              <w:rPr>
                <w:rFonts w:hint="eastAsia" w:ascii="宋体" w:hAnsi="宋体" w:cs="宋体"/>
                <w:color w:val="auto"/>
                <w:szCs w:val="21"/>
                <w:highlight w:val="none"/>
              </w:rPr>
              <w:t>（1）投标保证金金额：人民币</w:t>
            </w:r>
            <w:r>
              <w:rPr>
                <w:rFonts w:hint="eastAsia" w:ascii="宋体" w:hAnsi="宋体" w:cs="宋体"/>
                <w:b/>
                <w:color w:val="auto"/>
                <w:szCs w:val="21"/>
                <w:highlight w:val="none"/>
              </w:rPr>
              <w:t>（大写）叁万</w:t>
            </w:r>
            <w:r>
              <w:rPr>
                <w:rFonts w:hint="eastAsia" w:ascii="宋体" w:hAnsi="宋体" w:cs="宋体"/>
                <w:color w:val="auto"/>
                <w:szCs w:val="21"/>
                <w:highlight w:val="none"/>
              </w:rPr>
              <w:t>元（</w:t>
            </w:r>
            <w:r>
              <w:rPr>
                <w:rFonts w:hint="eastAsia" w:ascii="宋体" w:hAnsi="宋体" w:cs="宋体"/>
                <w:b/>
                <w:bCs/>
                <w:color w:val="auto"/>
                <w:szCs w:val="21"/>
                <w:highlight w:val="none"/>
              </w:rPr>
              <w:t>￥</w:t>
            </w:r>
            <w:r>
              <w:rPr>
                <w:rFonts w:hint="eastAsia" w:ascii="宋体" w:hAnsi="宋体" w:cs="宋体"/>
                <w:b/>
                <w:color w:val="auto"/>
                <w:szCs w:val="21"/>
                <w:highlight w:val="none"/>
                <w:u w:val="single"/>
              </w:rPr>
              <w:t>30000元</w:t>
            </w:r>
            <w:r>
              <w:rPr>
                <w:rFonts w:hint="eastAsia" w:ascii="宋体" w:hAnsi="宋体"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73" w:hRule="atLeast"/>
        </w:trPr>
        <w:tc>
          <w:tcPr>
            <w:tcW w:w="878" w:type="dxa"/>
            <w:vMerge w:val="continue"/>
            <w:tcBorders>
              <w:tl2br w:val="nil"/>
              <w:tr2bl w:val="nil"/>
            </w:tcBorders>
            <w:vAlign w:val="center"/>
          </w:tcPr>
          <w:p>
            <w:pPr>
              <w:shd w:val="clear"/>
              <w:jc w:val="center"/>
              <w:rPr>
                <w:rFonts w:ascii="宋体" w:hAnsi="宋体" w:cs="宋体"/>
                <w:color w:val="auto"/>
                <w:szCs w:val="21"/>
                <w:highlight w:val="none"/>
              </w:rPr>
            </w:pPr>
          </w:p>
        </w:tc>
        <w:tc>
          <w:tcPr>
            <w:tcW w:w="7532" w:type="dxa"/>
            <w:gridSpan w:val="2"/>
            <w:tcBorders>
              <w:tl2br w:val="nil"/>
              <w:tr2bl w:val="nil"/>
            </w:tcBorders>
            <w:vAlign w:val="center"/>
          </w:tcPr>
          <w:p>
            <w:pPr>
              <w:shd w:val="clear"/>
              <w:tabs>
                <w:tab w:val="left" w:pos="567"/>
              </w:tabs>
              <w:jc w:val="both"/>
              <w:rPr>
                <w:rFonts w:ascii="宋体" w:hAnsi="宋体" w:cs="宋体"/>
                <w:color w:val="auto"/>
                <w:kern w:val="2"/>
                <w:szCs w:val="21"/>
                <w:highlight w:val="none"/>
                <w:lang w:val="zh-CN"/>
              </w:rPr>
            </w:pPr>
            <w:r>
              <w:rPr>
                <w:rFonts w:hint="eastAsia" w:ascii="宋体" w:hAnsi="宋体" w:cs="宋体"/>
                <w:color w:val="auto"/>
                <w:szCs w:val="21"/>
                <w:highlight w:val="none"/>
              </w:rPr>
              <w:t>（2）</w:t>
            </w:r>
            <w:r>
              <w:rPr>
                <w:rFonts w:hint="eastAsia" w:ascii="宋体" w:hAnsi="宋体" w:cs="宋体"/>
                <w:color w:val="auto"/>
                <w:kern w:val="2"/>
                <w:szCs w:val="21"/>
                <w:highlight w:val="none"/>
                <w:lang w:val="zh-CN"/>
              </w:rPr>
              <w:t>投标保证金采用转帐、电汇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w:t>
            </w:r>
          </w:p>
          <w:p>
            <w:pPr>
              <w:shd w:val="clear"/>
              <w:tabs>
                <w:tab w:val="left" w:pos="567"/>
              </w:tabs>
              <w:ind w:left="567" w:hanging="567"/>
              <w:jc w:val="both"/>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投标保证金专用账户如下：</w:t>
            </w:r>
          </w:p>
          <w:p>
            <w:pPr>
              <w:shd w:val="clear"/>
              <w:tabs>
                <w:tab w:val="left" w:pos="567"/>
              </w:tabs>
              <w:ind w:firstLine="422" w:firstLineChars="200"/>
              <w:jc w:val="both"/>
              <w:rPr>
                <w:rFonts w:ascii="宋体" w:hAnsi="宋体" w:cs="宋体"/>
                <w:b/>
                <w:color w:val="auto"/>
                <w:szCs w:val="21"/>
                <w:highlight w:val="none"/>
              </w:rPr>
            </w:pPr>
            <w:r>
              <w:rPr>
                <w:rFonts w:hint="eastAsia" w:ascii="宋体" w:hAnsi="宋体" w:cs="宋体"/>
                <w:b/>
                <w:color w:val="auto"/>
                <w:szCs w:val="21"/>
                <w:highlight w:val="none"/>
              </w:rPr>
              <w:t>账户名称：</w:t>
            </w:r>
            <w:r>
              <w:rPr>
                <w:rFonts w:hint="eastAsia" w:ascii="宋体" w:hAnsi="宋体" w:cs="宋体"/>
                <w:b/>
                <w:color w:val="auto"/>
                <w:szCs w:val="21"/>
                <w:highlight w:val="none"/>
                <w:u w:val="single"/>
              </w:rPr>
              <w:t>广东东实环境股份有限公司</w:t>
            </w:r>
          </w:p>
          <w:p>
            <w:pPr>
              <w:shd w:val="clear"/>
              <w:tabs>
                <w:tab w:val="left" w:pos="567"/>
              </w:tabs>
              <w:ind w:firstLine="422" w:firstLineChars="200"/>
              <w:jc w:val="both"/>
              <w:rPr>
                <w:rFonts w:ascii="宋体" w:hAnsi="宋体" w:cs="宋体"/>
                <w:b/>
                <w:color w:val="auto"/>
                <w:szCs w:val="21"/>
                <w:highlight w:val="none"/>
              </w:rPr>
            </w:pPr>
            <w:r>
              <w:rPr>
                <w:rFonts w:hint="eastAsia" w:ascii="宋体" w:hAnsi="宋体" w:cs="宋体"/>
                <w:b/>
                <w:color w:val="auto"/>
                <w:szCs w:val="21"/>
                <w:highlight w:val="none"/>
              </w:rPr>
              <w:t>开户银行：</w:t>
            </w:r>
            <w:r>
              <w:rPr>
                <w:rFonts w:hint="eastAsia" w:ascii="宋体" w:hAnsi="宋体" w:cs="宋体"/>
                <w:b/>
                <w:color w:val="auto"/>
                <w:szCs w:val="21"/>
                <w:highlight w:val="none"/>
                <w:u w:val="single"/>
              </w:rPr>
              <w:t>东莞农村商业银行中心支行</w:t>
            </w:r>
          </w:p>
          <w:p>
            <w:pPr>
              <w:shd w:val="clear"/>
              <w:tabs>
                <w:tab w:val="left" w:pos="567"/>
              </w:tabs>
              <w:ind w:firstLine="422" w:firstLineChars="200"/>
              <w:jc w:val="both"/>
              <w:rPr>
                <w:rFonts w:ascii="宋体" w:hAnsi="宋体" w:cs="宋体"/>
                <w:b/>
                <w:color w:val="auto"/>
                <w:szCs w:val="21"/>
                <w:highlight w:val="none"/>
              </w:rPr>
            </w:pPr>
            <w:r>
              <w:rPr>
                <w:rFonts w:hint="eastAsia" w:ascii="宋体" w:hAnsi="宋体" w:cs="宋体"/>
                <w:b/>
                <w:color w:val="auto"/>
                <w:szCs w:val="21"/>
                <w:highlight w:val="none"/>
              </w:rPr>
              <w:t>银行账号：</w:t>
            </w:r>
            <w:r>
              <w:rPr>
                <w:rFonts w:hint="eastAsia" w:ascii="宋体" w:hAnsi="宋体" w:cs="宋体"/>
                <w:b/>
                <w:color w:val="auto"/>
                <w:szCs w:val="21"/>
                <w:highlight w:val="none"/>
                <w:u w:val="single"/>
              </w:rPr>
              <w:t>380010190010009298</w:t>
            </w:r>
          </w:p>
          <w:p>
            <w:pPr>
              <w:shd w:val="clear"/>
              <w:tabs>
                <w:tab w:val="left" w:pos="567"/>
              </w:tabs>
              <w:ind w:firstLine="422" w:firstLineChars="200"/>
              <w:jc w:val="both"/>
              <w:rPr>
                <w:rFonts w:ascii="宋体" w:hAnsi="宋体" w:cs="宋体"/>
                <w:b/>
                <w:color w:val="auto"/>
                <w:szCs w:val="21"/>
                <w:highlight w:val="none"/>
              </w:rPr>
            </w:pPr>
            <w:r>
              <w:rPr>
                <w:rFonts w:hint="eastAsia" w:ascii="宋体" w:hAnsi="宋体" w:cs="宋体"/>
                <w:b/>
                <w:color w:val="auto"/>
                <w:szCs w:val="21"/>
                <w:highlight w:val="none"/>
              </w:rPr>
              <w:t>（注：各投标人在转帐或电汇时须在用途栏上备注项目编号，及项目名称，如有字数限制项目名称可简写。）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78" w:type="dxa"/>
            <w:vMerge w:val="restart"/>
            <w:tcBorders>
              <w:tl2br w:val="nil"/>
              <w:tr2bl w:val="nil"/>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9</w:t>
            </w:r>
          </w:p>
        </w:tc>
        <w:tc>
          <w:tcPr>
            <w:tcW w:w="7532" w:type="dxa"/>
            <w:gridSpan w:val="2"/>
            <w:tcBorders>
              <w:tl2br w:val="nil"/>
              <w:tr2bl w:val="nil"/>
            </w:tcBorders>
            <w:vAlign w:val="center"/>
          </w:tcPr>
          <w:p>
            <w:pPr>
              <w:shd w:val="clear"/>
              <w:jc w:val="both"/>
              <w:rPr>
                <w:rFonts w:ascii="宋体" w:hAnsi="宋体" w:cs="宋体"/>
                <w:b/>
                <w:bCs/>
                <w:color w:val="auto"/>
                <w:szCs w:val="21"/>
                <w:highlight w:val="none"/>
                <w:lang w:val="zh-CN"/>
              </w:rPr>
            </w:pPr>
            <w:r>
              <w:rPr>
                <w:rFonts w:hint="eastAsia" w:ascii="宋体" w:hAnsi="宋体" w:cs="宋体"/>
                <w:b/>
                <w:bCs/>
                <w:color w:val="auto"/>
                <w:szCs w:val="21"/>
                <w:highlight w:val="none"/>
                <w:lang w:val="zh-CN"/>
              </w:rPr>
              <w:t>投标保证金退还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535" w:hRule="atLeast"/>
        </w:trPr>
        <w:tc>
          <w:tcPr>
            <w:tcW w:w="878" w:type="dxa"/>
            <w:vMerge w:val="continue"/>
            <w:tcBorders>
              <w:tl2br w:val="nil"/>
              <w:tr2bl w:val="nil"/>
            </w:tcBorders>
            <w:vAlign w:val="center"/>
          </w:tcPr>
          <w:p>
            <w:pPr>
              <w:shd w:val="clear"/>
              <w:jc w:val="center"/>
              <w:rPr>
                <w:rFonts w:ascii="宋体" w:hAnsi="宋体" w:cs="宋体"/>
                <w:color w:val="auto"/>
                <w:szCs w:val="21"/>
                <w:highlight w:val="none"/>
              </w:rPr>
            </w:pPr>
          </w:p>
        </w:tc>
        <w:tc>
          <w:tcPr>
            <w:tcW w:w="7532" w:type="dxa"/>
            <w:gridSpan w:val="2"/>
            <w:tcBorders>
              <w:tl2br w:val="nil"/>
              <w:tr2bl w:val="nil"/>
            </w:tcBorders>
            <w:vAlign w:val="center"/>
          </w:tcPr>
          <w:p>
            <w:pPr>
              <w:shd w:val="clear"/>
              <w:jc w:val="both"/>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1</w:t>
            </w:r>
            <w:r>
              <w:rPr>
                <w:rFonts w:hint="eastAsia" w:ascii="宋体" w:hAnsi="宋体" w:cs="宋体"/>
                <w:color w:val="auto"/>
                <w:szCs w:val="21"/>
                <w:highlight w:val="none"/>
                <w:lang w:val="zh-CN"/>
              </w:rPr>
              <w:t>）未中标的投标人的保证金应当在中标通知书发出后退还，中标</w:t>
            </w:r>
            <w:r>
              <w:rPr>
                <w:rFonts w:hint="eastAsia" w:ascii="宋体" w:hAnsi="宋体" w:cs="宋体"/>
                <w:color w:val="auto"/>
                <w:szCs w:val="21"/>
                <w:highlight w:val="none"/>
              </w:rPr>
              <w:t>的</w:t>
            </w:r>
            <w:r>
              <w:rPr>
                <w:rFonts w:hint="eastAsia" w:ascii="宋体" w:hAnsi="宋体" w:cs="宋体"/>
                <w:color w:val="auto"/>
                <w:szCs w:val="21"/>
                <w:highlight w:val="none"/>
                <w:lang w:val="zh-CN"/>
              </w:rPr>
              <w:t>投标人的保证金应当在采购合同签订</w:t>
            </w:r>
            <w:r>
              <w:rPr>
                <w:rFonts w:hint="eastAsia" w:ascii="宋体" w:hAnsi="宋体" w:cs="宋体"/>
                <w:color w:val="auto"/>
                <w:szCs w:val="21"/>
                <w:highlight w:val="none"/>
              </w:rPr>
              <w:t>并缴纳履约保证金</w:t>
            </w:r>
            <w:r>
              <w:rPr>
                <w:rFonts w:hint="eastAsia" w:ascii="宋体" w:hAnsi="宋体" w:cs="宋体"/>
                <w:color w:val="auto"/>
                <w:szCs w:val="21"/>
                <w:highlight w:val="none"/>
                <w:lang w:val="zh-CN"/>
              </w:rPr>
              <w:t>后退还。</w:t>
            </w:r>
          </w:p>
          <w:p>
            <w:pPr>
              <w:shd w:val="clear"/>
              <w:jc w:val="both"/>
              <w:rPr>
                <w:rFonts w:ascii="宋体" w:hAnsi="宋体" w:cs="宋体"/>
                <w:color w:val="auto"/>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rPr>
              <w:t>2</w:t>
            </w:r>
            <w:r>
              <w:rPr>
                <w:rFonts w:hint="eastAsia" w:ascii="宋体" w:hAnsi="宋体" w:cs="宋体"/>
                <w:color w:val="auto"/>
                <w:szCs w:val="21"/>
                <w:highlight w:val="none"/>
                <w:lang w:val="zh-CN"/>
              </w:rPr>
              <w:t>）为方便退还未中标的投标人的保证金，投标人应制作《投标保证金汇入情况说明》随唱标信封一并递交。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10</w:t>
            </w:r>
          </w:p>
        </w:tc>
        <w:tc>
          <w:tcPr>
            <w:tcW w:w="7532" w:type="dxa"/>
            <w:gridSpan w:val="2"/>
            <w:tcBorders>
              <w:tl2br w:val="nil"/>
              <w:tr2bl w:val="nil"/>
            </w:tcBorders>
            <w:vAlign w:val="center"/>
          </w:tcPr>
          <w:p>
            <w:pPr>
              <w:shd w:val="clear"/>
              <w:jc w:val="both"/>
              <w:rPr>
                <w:rFonts w:ascii="宋体" w:hAnsi="宋体" w:cs="宋体"/>
                <w:b/>
                <w:color w:val="auto"/>
                <w:szCs w:val="21"/>
                <w:highlight w:val="none"/>
              </w:rPr>
            </w:pPr>
            <w:r>
              <w:rPr>
                <w:rFonts w:hint="eastAsia" w:ascii="宋体" w:hAnsi="宋体" w:cs="宋体"/>
                <w:b/>
                <w:color w:val="auto"/>
                <w:szCs w:val="21"/>
                <w:highlight w:val="none"/>
              </w:rPr>
              <w:t>投标有效期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shd w:val="clear"/>
              <w:jc w:val="center"/>
              <w:rPr>
                <w:rFonts w:ascii="宋体" w:hAnsi="宋体" w:cs="宋体"/>
                <w:color w:val="auto"/>
                <w:szCs w:val="21"/>
                <w:highlight w:val="none"/>
              </w:rPr>
            </w:pPr>
          </w:p>
        </w:tc>
        <w:tc>
          <w:tcPr>
            <w:tcW w:w="7532" w:type="dxa"/>
            <w:gridSpan w:val="2"/>
            <w:tcBorders>
              <w:tl2br w:val="nil"/>
              <w:tr2bl w:val="nil"/>
            </w:tcBorders>
            <w:vAlign w:val="center"/>
          </w:tcPr>
          <w:p>
            <w:pPr>
              <w:shd w:val="clear"/>
              <w:jc w:val="both"/>
              <w:rPr>
                <w:rFonts w:ascii="宋体" w:hAnsi="宋体" w:cs="宋体"/>
                <w:b/>
                <w:color w:val="auto"/>
                <w:szCs w:val="21"/>
                <w:highlight w:val="none"/>
              </w:rPr>
            </w:pPr>
            <w:r>
              <w:rPr>
                <w:rFonts w:hint="eastAsia" w:ascii="宋体" w:hAnsi="宋体" w:cs="宋体"/>
                <w:color w:val="auto"/>
                <w:szCs w:val="21"/>
                <w:highlight w:val="none"/>
              </w:rPr>
              <w:t>九十天。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restart"/>
            <w:tcBorders>
              <w:tl2br w:val="nil"/>
              <w:tr2bl w:val="nil"/>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11</w:t>
            </w:r>
          </w:p>
        </w:tc>
        <w:tc>
          <w:tcPr>
            <w:tcW w:w="7532" w:type="dxa"/>
            <w:gridSpan w:val="2"/>
            <w:tcBorders>
              <w:tl2br w:val="nil"/>
              <w:tr2bl w:val="nil"/>
            </w:tcBorders>
            <w:vAlign w:val="center"/>
          </w:tcPr>
          <w:p>
            <w:pPr>
              <w:shd w:val="clear"/>
              <w:jc w:val="center"/>
              <w:rPr>
                <w:rFonts w:ascii="宋体" w:hAnsi="宋体" w:cs="宋体"/>
                <w:b/>
                <w:color w:val="auto"/>
                <w:szCs w:val="21"/>
                <w:highlight w:val="none"/>
              </w:rPr>
            </w:pPr>
            <w:r>
              <w:rPr>
                <w:rFonts w:hint="eastAsia" w:ascii="宋体" w:hAnsi="宋体" w:cs="宋体"/>
                <w:b/>
                <w:color w:val="auto"/>
                <w:szCs w:val="21"/>
                <w:highlight w:val="none"/>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shd w:val="clear"/>
              <w:jc w:val="center"/>
              <w:rPr>
                <w:rFonts w:ascii="宋体" w:hAnsi="宋体" w:cs="宋体"/>
                <w:color w:val="auto"/>
                <w:szCs w:val="21"/>
                <w:highlight w:val="none"/>
              </w:rPr>
            </w:pPr>
          </w:p>
        </w:tc>
        <w:tc>
          <w:tcPr>
            <w:tcW w:w="2608" w:type="dxa"/>
            <w:tcBorders>
              <w:tl2br w:val="nil"/>
              <w:tr2bl w:val="nil"/>
            </w:tcBorders>
            <w:vAlign w:val="center"/>
          </w:tcPr>
          <w:p>
            <w:pPr>
              <w:shd w:val="clear"/>
              <w:jc w:val="center"/>
              <w:rPr>
                <w:rFonts w:ascii="宋体" w:hAnsi="宋体" w:cs="宋体"/>
                <w:b/>
                <w:color w:val="auto"/>
                <w:szCs w:val="21"/>
                <w:highlight w:val="none"/>
              </w:rPr>
            </w:pPr>
            <w:r>
              <w:rPr>
                <w:rFonts w:hint="eastAsia" w:ascii="宋体" w:hAnsi="宋体" w:cs="宋体"/>
                <w:b/>
                <w:color w:val="auto"/>
                <w:szCs w:val="21"/>
                <w:highlight w:val="none"/>
              </w:rPr>
              <w:t>投标文件类型</w:t>
            </w:r>
          </w:p>
        </w:tc>
        <w:tc>
          <w:tcPr>
            <w:tcW w:w="4924" w:type="dxa"/>
            <w:tcBorders>
              <w:tl2br w:val="nil"/>
              <w:tr2bl w:val="nil"/>
            </w:tcBorders>
            <w:vAlign w:val="center"/>
          </w:tcPr>
          <w:p>
            <w:pPr>
              <w:shd w:val="clear"/>
              <w:jc w:val="center"/>
              <w:rPr>
                <w:rFonts w:ascii="宋体" w:hAnsi="宋体" w:cs="宋体"/>
                <w:b/>
                <w:color w:val="auto"/>
                <w:szCs w:val="21"/>
                <w:highlight w:val="none"/>
              </w:rPr>
            </w:pPr>
            <w:r>
              <w:rPr>
                <w:rFonts w:hint="eastAsia" w:ascii="宋体" w:hAnsi="宋体" w:cs="宋体"/>
                <w:b/>
                <w:color w:val="auto"/>
                <w:szCs w:val="21"/>
                <w:highlight w:val="none"/>
              </w:rPr>
              <w:t>份数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shd w:val="clear"/>
              <w:jc w:val="center"/>
              <w:rPr>
                <w:rFonts w:ascii="宋体" w:hAnsi="宋体" w:cs="宋体"/>
                <w:color w:val="auto"/>
                <w:szCs w:val="21"/>
                <w:highlight w:val="none"/>
              </w:rPr>
            </w:pPr>
          </w:p>
        </w:tc>
        <w:tc>
          <w:tcPr>
            <w:tcW w:w="2608" w:type="dxa"/>
            <w:tcBorders>
              <w:tl2br w:val="nil"/>
              <w:tr2bl w:val="nil"/>
            </w:tcBorders>
            <w:vAlign w:val="center"/>
          </w:tcPr>
          <w:p>
            <w:pPr>
              <w:shd w:val="clear"/>
              <w:jc w:val="center"/>
              <w:rPr>
                <w:rFonts w:ascii="宋体" w:hAnsi="宋体" w:cs="宋体"/>
                <w:b/>
                <w:color w:val="auto"/>
                <w:szCs w:val="21"/>
                <w:highlight w:val="none"/>
              </w:rPr>
            </w:pPr>
            <w:r>
              <w:rPr>
                <w:rFonts w:hint="eastAsia" w:ascii="宋体" w:hAnsi="宋体" w:cs="宋体"/>
                <w:b/>
                <w:color w:val="auto"/>
                <w:szCs w:val="21"/>
                <w:highlight w:val="none"/>
              </w:rPr>
              <w:t>唱标信封</w:t>
            </w:r>
          </w:p>
        </w:tc>
        <w:tc>
          <w:tcPr>
            <w:tcW w:w="4924" w:type="dxa"/>
            <w:tcBorders>
              <w:tl2br w:val="nil"/>
              <w:tr2bl w:val="nil"/>
            </w:tcBorders>
            <w:vAlign w:val="center"/>
          </w:tcPr>
          <w:p>
            <w:pPr>
              <w:shd w:val="clear"/>
              <w:jc w:val="center"/>
              <w:rPr>
                <w:rFonts w:ascii="宋体" w:hAnsi="宋体" w:cs="宋体"/>
                <w:b/>
                <w:color w:val="auto"/>
                <w:szCs w:val="21"/>
                <w:highlight w:val="none"/>
              </w:rPr>
            </w:pPr>
            <w:r>
              <w:rPr>
                <w:rFonts w:hint="eastAsia" w:ascii="宋体" w:hAnsi="宋体" w:cs="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shd w:val="clear"/>
              <w:jc w:val="center"/>
              <w:rPr>
                <w:rFonts w:ascii="宋体" w:hAnsi="宋体" w:cs="宋体"/>
                <w:color w:val="auto"/>
                <w:szCs w:val="21"/>
                <w:highlight w:val="none"/>
              </w:rPr>
            </w:pPr>
          </w:p>
        </w:tc>
        <w:tc>
          <w:tcPr>
            <w:tcW w:w="2608" w:type="dxa"/>
            <w:tcBorders>
              <w:tl2br w:val="nil"/>
              <w:tr2bl w:val="nil"/>
            </w:tcBorders>
            <w:vAlign w:val="center"/>
          </w:tcPr>
          <w:p>
            <w:pPr>
              <w:shd w:val="clear"/>
              <w:jc w:val="center"/>
              <w:rPr>
                <w:rFonts w:ascii="宋体" w:hAnsi="宋体" w:cs="宋体"/>
                <w:b/>
                <w:color w:val="auto"/>
                <w:szCs w:val="21"/>
                <w:highlight w:val="none"/>
              </w:rPr>
            </w:pPr>
            <w:r>
              <w:rPr>
                <w:rFonts w:hint="eastAsia" w:ascii="宋体" w:hAnsi="宋体" w:cs="宋体"/>
                <w:b/>
                <w:color w:val="auto"/>
                <w:szCs w:val="21"/>
                <w:highlight w:val="none"/>
              </w:rPr>
              <w:t>投标文件正本</w:t>
            </w:r>
          </w:p>
        </w:tc>
        <w:tc>
          <w:tcPr>
            <w:tcW w:w="4924" w:type="dxa"/>
            <w:tcBorders>
              <w:tl2br w:val="nil"/>
              <w:tr2bl w:val="nil"/>
            </w:tcBorders>
            <w:vAlign w:val="center"/>
          </w:tcPr>
          <w:p>
            <w:pPr>
              <w:shd w:val="clear"/>
              <w:jc w:val="center"/>
              <w:rPr>
                <w:rFonts w:ascii="宋体" w:hAnsi="宋体" w:cs="宋体"/>
                <w:b/>
                <w:color w:val="auto"/>
                <w:szCs w:val="21"/>
                <w:highlight w:val="none"/>
              </w:rPr>
            </w:pPr>
            <w:r>
              <w:rPr>
                <w:rFonts w:hint="eastAsia" w:ascii="宋体" w:hAnsi="宋体" w:cs="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7" w:hRule="atLeast"/>
        </w:trPr>
        <w:tc>
          <w:tcPr>
            <w:tcW w:w="878" w:type="dxa"/>
            <w:vMerge w:val="continue"/>
            <w:tcBorders>
              <w:tl2br w:val="nil"/>
              <w:tr2bl w:val="nil"/>
            </w:tcBorders>
            <w:vAlign w:val="center"/>
          </w:tcPr>
          <w:p>
            <w:pPr>
              <w:shd w:val="clear"/>
              <w:jc w:val="center"/>
              <w:rPr>
                <w:rFonts w:ascii="宋体" w:hAnsi="宋体" w:cs="宋体"/>
                <w:color w:val="auto"/>
                <w:szCs w:val="21"/>
                <w:highlight w:val="none"/>
              </w:rPr>
            </w:pPr>
          </w:p>
        </w:tc>
        <w:tc>
          <w:tcPr>
            <w:tcW w:w="2608" w:type="dxa"/>
            <w:tcBorders>
              <w:tl2br w:val="nil"/>
              <w:tr2bl w:val="nil"/>
            </w:tcBorders>
            <w:vAlign w:val="center"/>
          </w:tcPr>
          <w:p>
            <w:pPr>
              <w:shd w:val="clear"/>
              <w:jc w:val="center"/>
              <w:rPr>
                <w:rFonts w:ascii="宋体" w:hAnsi="宋体" w:cs="宋体"/>
                <w:b/>
                <w:color w:val="auto"/>
                <w:szCs w:val="21"/>
                <w:highlight w:val="none"/>
              </w:rPr>
            </w:pPr>
            <w:r>
              <w:rPr>
                <w:rFonts w:hint="eastAsia" w:ascii="宋体" w:hAnsi="宋体" w:cs="宋体"/>
                <w:b/>
                <w:color w:val="auto"/>
                <w:szCs w:val="21"/>
                <w:highlight w:val="none"/>
              </w:rPr>
              <w:t>投标文件副本</w:t>
            </w:r>
          </w:p>
        </w:tc>
        <w:tc>
          <w:tcPr>
            <w:tcW w:w="4924" w:type="dxa"/>
            <w:tcBorders>
              <w:tl2br w:val="nil"/>
              <w:tr2bl w:val="nil"/>
            </w:tcBorders>
            <w:vAlign w:val="center"/>
          </w:tcPr>
          <w:p>
            <w:pPr>
              <w:shd w:val="clear"/>
              <w:jc w:val="center"/>
              <w:rPr>
                <w:rFonts w:ascii="宋体" w:hAnsi="宋体" w:cs="宋体"/>
                <w:b/>
                <w:color w:val="auto"/>
                <w:szCs w:val="21"/>
                <w:highlight w:val="none"/>
              </w:rPr>
            </w:pPr>
            <w:r>
              <w:rPr>
                <w:rFonts w:hint="eastAsia" w:ascii="宋体" w:hAnsi="宋体" w:cs="宋体"/>
                <w:b/>
                <w:color w:val="auto"/>
                <w:szCs w:val="21"/>
                <w:highlight w:val="none"/>
              </w:rPr>
              <w:sym w:font="Wingdings 2" w:char="0052"/>
            </w:r>
            <w:r>
              <w:rPr>
                <w:rFonts w:hint="eastAsia" w:ascii="宋体" w:hAnsi="宋体" w:cs="宋体"/>
                <w:b/>
                <w:color w:val="auto"/>
                <w:szCs w:val="21"/>
                <w:highlight w:val="none"/>
              </w:rPr>
              <w:t xml:space="preserve">5  </w:t>
            </w:r>
            <w:r>
              <w:rPr>
                <w:rFonts w:hint="eastAsia" w:ascii="宋体" w:hAnsi="宋体" w:cs="宋体"/>
                <w:b/>
                <w:color w:val="auto"/>
                <w:szCs w:val="21"/>
                <w:highlight w:val="none"/>
              </w:rPr>
              <w:sym w:font="Wingdings 2" w:char="00A3"/>
            </w:r>
            <w:r>
              <w:rPr>
                <w:rFonts w:hint="eastAsia" w:ascii="宋体" w:hAnsi="宋体" w:cs="宋体"/>
                <w:b/>
                <w:color w:val="auto"/>
                <w:szCs w:val="21"/>
                <w:highlight w:val="none"/>
              </w:rPr>
              <w:t>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shd w:val="clear"/>
              <w:jc w:val="center"/>
              <w:rPr>
                <w:rFonts w:ascii="宋体" w:hAnsi="宋体" w:cs="宋体"/>
                <w:color w:val="auto"/>
                <w:szCs w:val="21"/>
                <w:highlight w:val="none"/>
              </w:rPr>
            </w:pPr>
          </w:p>
        </w:tc>
        <w:tc>
          <w:tcPr>
            <w:tcW w:w="2608" w:type="dxa"/>
            <w:vMerge w:val="restart"/>
            <w:tcBorders>
              <w:tl2br w:val="nil"/>
              <w:tr2bl w:val="nil"/>
            </w:tcBorders>
            <w:vAlign w:val="center"/>
          </w:tcPr>
          <w:p>
            <w:pPr>
              <w:shd w:val="clear"/>
              <w:jc w:val="center"/>
              <w:rPr>
                <w:rFonts w:ascii="宋体" w:hAnsi="宋体" w:cs="宋体"/>
                <w:b/>
                <w:color w:val="auto"/>
                <w:szCs w:val="21"/>
                <w:highlight w:val="none"/>
              </w:rPr>
            </w:pPr>
            <w:r>
              <w:rPr>
                <w:rFonts w:hint="eastAsia" w:ascii="宋体" w:hAnsi="宋体" w:cs="宋体"/>
                <w:b/>
                <w:color w:val="auto"/>
                <w:szCs w:val="21"/>
                <w:highlight w:val="none"/>
              </w:rPr>
              <w:t>电子文档</w:t>
            </w:r>
          </w:p>
        </w:tc>
        <w:tc>
          <w:tcPr>
            <w:tcW w:w="4924" w:type="dxa"/>
            <w:tcBorders>
              <w:tl2br w:val="nil"/>
              <w:tr2bl w:val="nil"/>
            </w:tcBorders>
            <w:vAlign w:val="center"/>
          </w:tcPr>
          <w:p>
            <w:pPr>
              <w:shd w:val="clear"/>
              <w:jc w:val="center"/>
              <w:rPr>
                <w:rFonts w:ascii="宋体" w:hAnsi="宋体" w:cs="宋体"/>
                <w:b/>
                <w:color w:val="auto"/>
                <w:szCs w:val="21"/>
                <w:highlight w:val="none"/>
              </w:rPr>
            </w:pPr>
            <w:r>
              <w:rPr>
                <w:rFonts w:hint="eastAsia" w:ascii="宋体" w:hAnsi="宋体" w:cs="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shd w:val="clear"/>
              <w:jc w:val="center"/>
              <w:rPr>
                <w:rFonts w:ascii="宋体" w:hAnsi="宋体" w:cs="宋体"/>
                <w:color w:val="auto"/>
                <w:szCs w:val="21"/>
                <w:highlight w:val="none"/>
              </w:rPr>
            </w:pPr>
          </w:p>
        </w:tc>
        <w:tc>
          <w:tcPr>
            <w:tcW w:w="2608" w:type="dxa"/>
            <w:vMerge w:val="continue"/>
            <w:tcBorders>
              <w:tl2br w:val="nil"/>
              <w:tr2bl w:val="nil"/>
            </w:tcBorders>
            <w:vAlign w:val="center"/>
          </w:tcPr>
          <w:p>
            <w:pPr>
              <w:shd w:val="clear"/>
              <w:jc w:val="center"/>
              <w:rPr>
                <w:rFonts w:ascii="宋体" w:hAnsi="宋体" w:cs="宋体"/>
                <w:b/>
                <w:color w:val="auto"/>
                <w:szCs w:val="21"/>
                <w:highlight w:val="none"/>
              </w:rPr>
            </w:pPr>
          </w:p>
        </w:tc>
        <w:tc>
          <w:tcPr>
            <w:tcW w:w="4924" w:type="dxa"/>
            <w:tcBorders>
              <w:tl2br w:val="nil"/>
              <w:tr2bl w:val="nil"/>
            </w:tcBorders>
            <w:vAlign w:val="center"/>
          </w:tcPr>
          <w:p>
            <w:pPr>
              <w:shd w:val="clear"/>
              <w:jc w:val="center"/>
              <w:rPr>
                <w:rFonts w:ascii="宋体" w:hAnsi="宋体" w:cs="宋体"/>
                <w:b/>
                <w:color w:val="auto"/>
                <w:szCs w:val="21"/>
                <w:highlight w:val="none"/>
              </w:rPr>
            </w:pPr>
            <w:r>
              <w:rPr>
                <w:rFonts w:hint="eastAsia" w:ascii="宋体" w:hAnsi="宋体" w:cs="宋体"/>
                <w:b/>
                <w:color w:val="auto"/>
                <w:szCs w:val="21"/>
                <w:highlight w:val="none"/>
              </w:rPr>
              <w:t>U盘，须含盖章版PDF投标文件和WORD版投标文件各一版，文字采用WORD文档，计算表格采用 EXCEL文档。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57" w:hRule="atLeast"/>
        </w:trPr>
        <w:tc>
          <w:tcPr>
            <w:tcW w:w="8410" w:type="dxa"/>
            <w:gridSpan w:val="3"/>
            <w:tcBorders>
              <w:tl2br w:val="nil"/>
              <w:tr2bl w:val="nil"/>
            </w:tcBorders>
            <w:vAlign w:val="center"/>
          </w:tcPr>
          <w:p>
            <w:pPr>
              <w:shd w:val="clear"/>
              <w:jc w:val="center"/>
              <w:rPr>
                <w:rFonts w:ascii="宋体" w:hAnsi="宋体" w:cs="宋体"/>
                <w:b/>
                <w:color w:val="auto"/>
                <w:szCs w:val="21"/>
                <w:highlight w:val="none"/>
              </w:rPr>
            </w:pPr>
            <w:r>
              <w:rPr>
                <w:rFonts w:hint="eastAsia" w:ascii="宋体" w:hAnsi="宋体" w:cs="宋体"/>
                <w:b/>
                <w:color w:val="auto"/>
                <w:szCs w:val="21"/>
                <w:highlight w:val="none"/>
              </w:rPr>
              <w:t>三、开标与评标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7532" w:type="dxa"/>
            <w:gridSpan w:val="2"/>
            <w:tcBorders>
              <w:tl2br w:val="nil"/>
              <w:tr2bl w:val="nil"/>
            </w:tcBorders>
            <w:vAlign w:val="center"/>
          </w:tcPr>
          <w:p>
            <w:pPr>
              <w:shd w:val="clear"/>
              <w:jc w:val="both"/>
              <w:rPr>
                <w:rFonts w:ascii="宋体" w:hAnsi="宋体" w:cs="宋体"/>
                <w:color w:val="auto"/>
                <w:szCs w:val="21"/>
                <w:highlight w:val="none"/>
              </w:rPr>
            </w:pPr>
            <w:r>
              <w:rPr>
                <w:rFonts w:hint="eastAsia" w:ascii="宋体" w:hAnsi="宋体" w:cs="宋体"/>
                <w:b/>
                <w:color w:val="auto"/>
                <w:szCs w:val="21"/>
                <w:highlight w:val="none"/>
              </w:rPr>
              <w:t>本项目评标方法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shd w:val="clear"/>
              <w:jc w:val="center"/>
              <w:rPr>
                <w:rFonts w:ascii="宋体" w:hAnsi="宋体" w:cs="宋体"/>
                <w:color w:val="auto"/>
                <w:szCs w:val="21"/>
                <w:highlight w:val="none"/>
              </w:rPr>
            </w:pPr>
          </w:p>
        </w:tc>
        <w:tc>
          <w:tcPr>
            <w:tcW w:w="7532" w:type="dxa"/>
            <w:gridSpan w:val="2"/>
            <w:tcBorders>
              <w:tl2br w:val="nil"/>
              <w:tr2bl w:val="nil"/>
            </w:tcBorders>
            <w:vAlign w:val="center"/>
          </w:tcPr>
          <w:p>
            <w:pPr>
              <w:shd w:val="clear"/>
              <w:jc w:val="both"/>
              <w:rPr>
                <w:rFonts w:ascii="宋体" w:hAnsi="宋体" w:cs="宋体"/>
                <w:b/>
                <w:color w:val="auto"/>
                <w:szCs w:val="21"/>
                <w:highlight w:val="none"/>
              </w:rPr>
            </w:pPr>
            <w:r>
              <w:rPr>
                <w:rFonts w:hint="eastAsia" w:ascii="宋体" w:hAnsi="宋体" w:cs="宋体"/>
                <w:color w:val="auto"/>
                <w:szCs w:val="21"/>
                <w:highlight w:val="none"/>
              </w:rPr>
              <w:t>最低价中标法。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13</w:t>
            </w:r>
          </w:p>
        </w:tc>
        <w:tc>
          <w:tcPr>
            <w:tcW w:w="7532" w:type="dxa"/>
            <w:gridSpan w:val="2"/>
            <w:tcBorders>
              <w:tl2br w:val="nil"/>
              <w:tr2bl w:val="nil"/>
            </w:tcBorders>
            <w:vAlign w:val="center"/>
          </w:tcPr>
          <w:p>
            <w:pPr>
              <w:shd w:val="clear"/>
              <w:jc w:val="both"/>
              <w:rPr>
                <w:rFonts w:ascii="宋体" w:hAnsi="宋体" w:cs="宋体"/>
                <w:color w:val="auto"/>
                <w:szCs w:val="21"/>
                <w:highlight w:val="none"/>
              </w:rPr>
            </w:pPr>
            <w:r>
              <w:rPr>
                <w:rFonts w:hint="eastAsia" w:ascii="宋体" w:hAnsi="宋体" w:cs="宋体"/>
                <w:b/>
                <w:color w:val="auto"/>
                <w:szCs w:val="21"/>
                <w:highlight w:val="none"/>
              </w:rPr>
              <w:t>评标委员会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shd w:val="clear"/>
              <w:jc w:val="center"/>
              <w:rPr>
                <w:rFonts w:ascii="宋体" w:hAnsi="宋体" w:cs="宋体"/>
                <w:color w:val="auto"/>
                <w:szCs w:val="21"/>
                <w:highlight w:val="none"/>
              </w:rPr>
            </w:pPr>
          </w:p>
        </w:tc>
        <w:tc>
          <w:tcPr>
            <w:tcW w:w="7532" w:type="dxa"/>
            <w:gridSpan w:val="2"/>
            <w:tcBorders>
              <w:tl2br w:val="nil"/>
              <w:tr2bl w:val="nil"/>
            </w:tcBorders>
            <w:vAlign w:val="center"/>
          </w:tcPr>
          <w:p>
            <w:pPr>
              <w:shd w:val="clear"/>
              <w:jc w:val="both"/>
              <w:rPr>
                <w:rFonts w:ascii="宋体" w:hAnsi="宋体" w:cs="宋体"/>
                <w:color w:val="auto"/>
                <w:szCs w:val="21"/>
                <w:highlight w:val="none"/>
              </w:rPr>
            </w:pPr>
            <w:r>
              <w:rPr>
                <w:rFonts w:hint="eastAsia" w:ascii="宋体" w:hAnsi="宋体" w:cs="宋体"/>
                <w:color w:val="auto"/>
                <w:szCs w:val="21"/>
                <w:highlight w:val="none"/>
              </w:rPr>
              <w:t>评标委员会成员共</w:t>
            </w:r>
            <w:r>
              <w:rPr>
                <w:rFonts w:hint="eastAsia" w:ascii="宋体" w:hAnsi="宋体" w:cs="宋体"/>
                <w:color w:val="auto"/>
                <w:szCs w:val="21"/>
                <w:highlight w:val="none"/>
                <w:u w:val="single"/>
              </w:rPr>
              <w:t>5</w:t>
            </w:r>
            <w:r>
              <w:rPr>
                <w:rFonts w:hint="eastAsia" w:ascii="宋体" w:hAnsi="宋体" w:cs="宋体"/>
                <w:color w:val="auto"/>
                <w:szCs w:val="21"/>
                <w:highlight w:val="none"/>
              </w:rPr>
              <w:t>人：</w:t>
            </w:r>
            <w:r>
              <w:rPr>
                <w:rFonts w:hint="eastAsia" w:ascii="宋体" w:hAnsi="宋体" w:cs="宋体"/>
                <w:color w:val="auto"/>
                <w:szCs w:val="21"/>
                <w:highlight w:val="none"/>
                <w:lang w:val="zh-CN"/>
              </w:rPr>
              <w:t>评标委员会由采购人</w:t>
            </w:r>
            <w:r>
              <w:rPr>
                <w:rFonts w:hint="eastAsia" w:ascii="宋体" w:hAnsi="宋体" w:cs="宋体"/>
                <w:color w:val="auto"/>
                <w:szCs w:val="21"/>
                <w:highlight w:val="none"/>
              </w:rPr>
              <w:t>的</w:t>
            </w:r>
            <w:r>
              <w:rPr>
                <w:rFonts w:hint="eastAsia" w:ascii="宋体" w:hAnsi="宋体" w:cs="宋体"/>
                <w:color w:val="auto"/>
                <w:szCs w:val="21"/>
                <w:highlight w:val="none"/>
                <w:lang w:val="zh-CN"/>
              </w:rPr>
              <w:t>代表和</w:t>
            </w:r>
            <w:r>
              <w:rPr>
                <w:rFonts w:hint="eastAsia" w:ascii="宋体" w:hAnsi="宋体" w:cs="宋体"/>
                <w:color w:val="auto"/>
                <w:szCs w:val="21"/>
                <w:highlight w:val="none"/>
              </w:rPr>
              <w:t>有关方面的</w:t>
            </w:r>
            <w:r>
              <w:rPr>
                <w:rFonts w:hint="eastAsia" w:ascii="宋体" w:hAnsi="宋体" w:cs="宋体"/>
                <w:color w:val="auto"/>
                <w:szCs w:val="21"/>
                <w:highlight w:val="none"/>
                <w:lang w:val="zh-CN"/>
              </w:rPr>
              <w:t>专家组成，</w:t>
            </w:r>
            <w:r>
              <w:rPr>
                <w:rFonts w:hint="eastAsia" w:ascii="宋体" w:hAnsi="宋体" w:cs="宋体"/>
                <w:color w:val="auto"/>
                <w:szCs w:val="21"/>
                <w:highlight w:val="none"/>
              </w:rPr>
              <w:t>成员人数为五人或五人以上单数</w:t>
            </w:r>
            <w:r>
              <w:rPr>
                <w:rFonts w:hint="eastAsia" w:ascii="宋体" w:hAnsi="宋体" w:cs="宋体"/>
                <w:color w:val="auto"/>
                <w:szCs w:val="21"/>
                <w:highlight w:val="none"/>
                <w:lang w:val="zh-CN"/>
              </w:rPr>
              <w:t>，其中专家不得少于成员总数的三分之二。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48" w:hRule="atLeast"/>
        </w:trPr>
        <w:tc>
          <w:tcPr>
            <w:tcW w:w="8410" w:type="dxa"/>
            <w:gridSpan w:val="3"/>
            <w:tcBorders>
              <w:tl2br w:val="nil"/>
              <w:tr2bl w:val="nil"/>
            </w:tcBorders>
            <w:vAlign w:val="center"/>
          </w:tcPr>
          <w:p>
            <w:pPr>
              <w:shd w:val="clear"/>
              <w:jc w:val="center"/>
              <w:rPr>
                <w:rFonts w:ascii="宋体" w:hAnsi="宋体" w:cs="宋体"/>
                <w:b/>
                <w:color w:val="auto"/>
                <w:szCs w:val="21"/>
                <w:highlight w:val="none"/>
              </w:rPr>
            </w:pPr>
            <w:r>
              <w:rPr>
                <w:rFonts w:hint="eastAsia" w:ascii="宋体" w:hAnsi="宋体" w:cs="宋体"/>
                <w:b/>
                <w:color w:val="auto"/>
                <w:szCs w:val="21"/>
                <w:highlight w:val="none"/>
              </w:rPr>
              <w:t>四、授予合同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78" w:type="dxa"/>
            <w:vMerge w:val="restart"/>
            <w:tcBorders>
              <w:tl2br w:val="nil"/>
              <w:tr2bl w:val="nil"/>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14</w:t>
            </w:r>
          </w:p>
        </w:tc>
        <w:tc>
          <w:tcPr>
            <w:tcW w:w="7532" w:type="dxa"/>
            <w:gridSpan w:val="2"/>
            <w:tcBorders>
              <w:tl2br w:val="nil"/>
              <w:tr2bl w:val="nil"/>
            </w:tcBorders>
            <w:shd w:val="clear" w:color="auto" w:fill="auto"/>
            <w:vAlign w:val="center"/>
          </w:tcPr>
          <w:p>
            <w:pPr>
              <w:shd w:val="clear"/>
              <w:jc w:val="both"/>
              <w:rPr>
                <w:rFonts w:ascii="宋体" w:hAnsi="宋体" w:cs="宋体"/>
                <w:b/>
                <w:color w:val="auto"/>
                <w:szCs w:val="21"/>
                <w:highlight w:val="none"/>
              </w:rPr>
            </w:pPr>
            <w:r>
              <w:rPr>
                <w:rFonts w:hint="eastAsia" w:ascii="宋体" w:hAnsi="宋体" w:cs="宋体"/>
                <w:b/>
                <w:color w:val="auto"/>
                <w:szCs w:val="21"/>
                <w:highlight w:val="none"/>
              </w:rPr>
              <w:t>履约担保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78" w:type="dxa"/>
            <w:vMerge w:val="continue"/>
            <w:tcBorders>
              <w:tl2br w:val="nil"/>
              <w:tr2bl w:val="nil"/>
            </w:tcBorders>
            <w:vAlign w:val="center"/>
          </w:tcPr>
          <w:p>
            <w:pPr>
              <w:shd w:val="clear"/>
              <w:jc w:val="center"/>
              <w:rPr>
                <w:rFonts w:ascii="宋体" w:hAnsi="宋体" w:cs="宋体"/>
                <w:color w:val="auto"/>
                <w:szCs w:val="21"/>
                <w:highlight w:val="none"/>
              </w:rPr>
            </w:pPr>
          </w:p>
        </w:tc>
        <w:tc>
          <w:tcPr>
            <w:tcW w:w="7532" w:type="dxa"/>
            <w:gridSpan w:val="2"/>
            <w:tcBorders>
              <w:tl2br w:val="nil"/>
              <w:tr2bl w:val="nil"/>
            </w:tcBorders>
            <w:shd w:val="clear" w:color="auto" w:fill="auto"/>
            <w:vAlign w:val="center"/>
          </w:tcPr>
          <w:p>
            <w:pPr>
              <w:shd w:val="clear"/>
              <w:jc w:val="both"/>
              <w:rPr>
                <w:rFonts w:ascii="宋体" w:hAnsi="宋体" w:cs="宋体"/>
                <w:color w:val="auto"/>
                <w:szCs w:val="21"/>
                <w:highlight w:val="none"/>
              </w:rPr>
            </w:pPr>
            <w:r>
              <w:rPr>
                <w:rFonts w:hint="eastAsia" w:ascii="宋体" w:hAnsi="宋体" w:cs="宋体"/>
                <w:color w:val="auto"/>
                <w:szCs w:val="21"/>
                <w:highlight w:val="none"/>
              </w:rPr>
              <w:t>1.履约保证金与分开合同主体缴纳。</w:t>
            </w:r>
          </w:p>
          <w:p>
            <w:pPr>
              <w:shd w:val="clear"/>
              <w:jc w:val="both"/>
              <w:rPr>
                <w:rFonts w:ascii="宋体" w:hAnsi="宋体" w:cs="宋体"/>
                <w:color w:val="auto"/>
                <w:szCs w:val="21"/>
                <w:highlight w:val="none"/>
              </w:rPr>
            </w:pPr>
            <w:r>
              <w:rPr>
                <w:rFonts w:hint="eastAsia" w:ascii="宋体" w:hAnsi="宋体" w:cs="宋体"/>
                <w:color w:val="auto"/>
                <w:szCs w:val="21"/>
                <w:highlight w:val="none"/>
              </w:rPr>
              <w:t>2.履约担保金额为：</w:t>
            </w:r>
            <w:r>
              <w:rPr>
                <w:rFonts w:hint="eastAsia" w:ascii="宋体" w:hAnsi="宋体" w:cs="宋体"/>
                <w:color w:val="auto"/>
                <w:szCs w:val="21"/>
                <w:highlight w:val="none"/>
                <w:u w:val="single"/>
              </w:rPr>
              <w:t>合同主体金额的10%。</w:t>
            </w:r>
          </w:p>
          <w:p>
            <w:pPr>
              <w:shd w:val="clear"/>
              <w:jc w:val="both"/>
              <w:rPr>
                <w:rFonts w:ascii="宋体" w:hAnsi="宋体" w:cs="宋体"/>
                <w:color w:val="auto"/>
                <w:szCs w:val="21"/>
                <w:highlight w:val="none"/>
              </w:rPr>
            </w:pPr>
            <w:r>
              <w:rPr>
                <w:rFonts w:hint="eastAsia" w:ascii="宋体" w:hAnsi="宋体" w:cs="宋体"/>
                <w:color w:val="auto"/>
                <w:szCs w:val="21"/>
                <w:highlight w:val="none"/>
              </w:rPr>
              <w:t>3.履约保证金账户信息：</w:t>
            </w:r>
            <w:r>
              <w:rPr>
                <w:rFonts w:hint="eastAsia"/>
                <w:color w:val="auto"/>
                <w:highlight w:val="none"/>
              </w:rPr>
              <w:t>签定合同前由不同合同主体分别提供。</w:t>
            </w:r>
          </w:p>
          <w:p>
            <w:pPr>
              <w:shd w:val="clear"/>
              <w:jc w:val="both"/>
              <w:rPr>
                <w:rFonts w:ascii="宋体" w:hAnsi="宋体" w:cs="宋体"/>
                <w:color w:val="auto"/>
                <w:szCs w:val="21"/>
                <w:highlight w:val="none"/>
              </w:rPr>
            </w:pPr>
            <w:r>
              <w:rPr>
                <w:rFonts w:hint="eastAsia" w:ascii="宋体" w:hAnsi="宋体" w:cs="宋体"/>
                <w:color w:val="auto"/>
                <w:szCs w:val="21"/>
                <w:highlight w:val="none"/>
              </w:rPr>
              <w:t>4.中标人在采购（合同签署）时提交履约担保，履约担保金额不超过成交合同金额的10%，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帐户。</w:t>
            </w:r>
          </w:p>
          <w:p>
            <w:pPr>
              <w:shd w:val="clear"/>
              <w:jc w:val="both"/>
              <w:rPr>
                <w:rFonts w:ascii="宋体" w:hAnsi="宋体" w:cs="宋体"/>
                <w:color w:val="auto"/>
                <w:szCs w:val="21"/>
                <w:highlight w:val="none"/>
              </w:rPr>
            </w:pPr>
            <w:r>
              <w:rPr>
                <w:rFonts w:hint="eastAsia" w:ascii="宋体" w:hAnsi="宋体" w:cs="宋体"/>
                <w:color w:val="auto"/>
                <w:szCs w:val="21"/>
                <w:highlight w:val="none"/>
              </w:rPr>
              <w:t>5.履约担保期限从合同签订之日起至项目完工验收合格并结算完毕后，经双方签字</w:t>
            </w:r>
            <w:r>
              <w:rPr>
                <w:rFonts w:hint="eastAsia" w:ascii="宋体" w:hAnsi="宋体" w:cs="宋体"/>
                <w:color w:val="auto"/>
                <w:szCs w:val="21"/>
                <w:highlight w:val="none"/>
                <w:u w:val="single"/>
              </w:rPr>
              <w:t xml:space="preserve">  7  </w:t>
            </w:r>
            <w:r>
              <w:rPr>
                <w:rFonts w:hint="eastAsia" w:ascii="宋体" w:hAnsi="宋体" w:cs="宋体"/>
                <w:color w:val="auto"/>
                <w:szCs w:val="21"/>
                <w:highlight w:val="none"/>
              </w:rPr>
              <w:t>天内保持有效。</w:t>
            </w:r>
          </w:p>
          <w:p>
            <w:pPr>
              <w:shd w:val="clear"/>
              <w:jc w:val="both"/>
              <w:rPr>
                <w:rFonts w:ascii="宋体" w:hAnsi="宋体" w:cs="宋体"/>
                <w:color w:val="auto"/>
                <w:szCs w:val="21"/>
                <w:highlight w:val="none"/>
              </w:rPr>
            </w:pPr>
            <w:r>
              <w:rPr>
                <w:rFonts w:hint="eastAsia" w:ascii="宋体" w:hAnsi="宋体" w:cs="宋体"/>
                <w:color w:val="auto"/>
                <w:szCs w:val="21"/>
                <w:highlight w:val="none"/>
              </w:rPr>
              <w:t>6、履约担保要求：</w:t>
            </w:r>
          </w:p>
          <w:p>
            <w:pPr>
              <w:shd w:val="clear"/>
              <w:jc w:val="both"/>
              <w:rPr>
                <w:rFonts w:ascii="宋体" w:hAnsi="宋体" w:cs="宋体"/>
                <w:color w:val="auto"/>
                <w:szCs w:val="21"/>
                <w:highlight w:val="none"/>
              </w:rPr>
            </w:pPr>
            <w:r>
              <w:rPr>
                <w:rFonts w:hint="eastAsia" w:ascii="宋体" w:hAnsi="宋体" w:cs="宋体"/>
                <w:color w:val="auto"/>
                <w:szCs w:val="21"/>
                <w:highlight w:val="none"/>
              </w:rPr>
              <w:t>（1）履约保函。如果中标人的履约担保是以银行保函形式提供的，则该银行保函应：</w:t>
            </w:r>
          </w:p>
          <w:p>
            <w:pPr>
              <w:shd w:val="clear"/>
              <w:jc w:val="both"/>
              <w:rPr>
                <w:rFonts w:ascii="宋体" w:hAnsi="宋体" w:cs="宋体"/>
                <w:color w:val="auto"/>
                <w:szCs w:val="21"/>
                <w:highlight w:val="none"/>
              </w:rPr>
            </w:pPr>
            <w:r>
              <w:rPr>
                <w:rFonts w:hint="eastAsia" w:ascii="宋体" w:hAnsi="宋体" w:cs="宋体"/>
                <w:color w:val="auto"/>
                <w:szCs w:val="21"/>
                <w:highlight w:val="none"/>
              </w:rPr>
              <w:t>①保函应由银行支行或以上银行机构开具，非东莞市行政区内的银行开具的保函要由银行所在地公证部门出具的公证书。</w:t>
            </w:r>
          </w:p>
          <w:p>
            <w:pPr>
              <w:shd w:val="clear"/>
              <w:jc w:val="both"/>
              <w:rPr>
                <w:rFonts w:ascii="宋体" w:hAnsi="宋体" w:cs="宋体"/>
                <w:color w:val="auto"/>
                <w:szCs w:val="21"/>
                <w:highlight w:val="none"/>
              </w:rPr>
            </w:pPr>
            <w:r>
              <w:rPr>
                <w:rFonts w:hint="eastAsia" w:ascii="宋体" w:hAnsi="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pPr>
              <w:shd w:val="clear"/>
              <w:jc w:val="both"/>
              <w:rPr>
                <w:rFonts w:ascii="宋体" w:hAnsi="宋体" w:cs="宋体"/>
                <w:color w:val="auto"/>
                <w:szCs w:val="21"/>
                <w:highlight w:val="none"/>
              </w:rPr>
            </w:pPr>
            <w:r>
              <w:rPr>
                <w:rFonts w:hint="eastAsia" w:ascii="宋体" w:hAnsi="宋体" w:cs="宋体"/>
                <w:color w:val="auto"/>
                <w:szCs w:val="21"/>
                <w:highlight w:val="none"/>
              </w:rPr>
              <w:t>③履约保函必须打印，手写、涂改无效。</w:t>
            </w:r>
          </w:p>
          <w:p>
            <w:pPr>
              <w:shd w:val="clear"/>
              <w:jc w:val="both"/>
              <w:rPr>
                <w:rFonts w:ascii="宋体" w:hAnsi="宋体" w:cs="宋体"/>
                <w:color w:val="auto"/>
                <w:szCs w:val="21"/>
                <w:highlight w:val="none"/>
              </w:rPr>
            </w:pPr>
            <w:r>
              <w:rPr>
                <w:rFonts w:hint="eastAsia" w:ascii="宋体" w:hAnsi="宋体" w:cs="宋体"/>
                <w:color w:val="auto"/>
                <w:szCs w:val="21"/>
                <w:highlight w:val="none"/>
              </w:rPr>
              <w:t>（2）履约保证金。可采用电汇、银行汇票等银行转帐方式提交，但不可以采用现金方式提交。中标人必须保证履约保证金以中标人名称在签订合同前提交至采购人指定账户。</w:t>
            </w:r>
          </w:p>
          <w:p>
            <w:pPr>
              <w:shd w:val="clear"/>
              <w:jc w:val="both"/>
              <w:rPr>
                <w:rFonts w:ascii="宋体" w:hAnsi="宋体" w:cs="宋体"/>
                <w:color w:val="auto"/>
                <w:szCs w:val="21"/>
                <w:highlight w:val="none"/>
              </w:rPr>
            </w:pPr>
            <w:r>
              <w:rPr>
                <w:rFonts w:hint="eastAsia" w:ascii="宋体" w:hAnsi="宋体" w:cs="宋体"/>
                <w:color w:val="auto"/>
                <w:szCs w:val="21"/>
                <w:highlight w:val="none"/>
              </w:rPr>
              <w:t>（3）若中标人不能按本采购文件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pPr>
              <w:shd w:val="clear"/>
              <w:jc w:val="both"/>
              <w:rPr>
                <w:rFonts w:ascii="宋体" w:hAnsi="宋体" w:cs="宋体"/>
                <w:color w:val="auto"/>
                <w:szCs w:val="21"/>
                <w:highlight w:val="none"/>
              </w:rPr>
            </w:pPr>
            <w:r>
              <w:rPr>
                <w:rFonts w:hint="eastAsia" w:ascii="宋体" w:hAnsi="宋体" w:cs="宋体"/>
                <w:color w:val="auto"/>
                <w:szCs w:val="21"/>
                <w:highlight w:val="none"/>
              </w:rPr>
              <w:t>（4）为取得履约担保所需的费用，由中标人承担；若工期延误，履约担保时间延长，延长费用由中标人承担。</w:t>
            </w:r>
          </w:p>
          <w:p>
            <w:pPr>
              <w:shd w:val="clear"/>
              <w:jc w:val="both"/>
              <w:rPr>
                <w:rFonts w:ascii="宋体" w:hAnsi="宋体" w:cs="宋体"/>
                <w:color w:val="auto"/>
                <w:szCs w:val="21"/>
                <w:highlight w:val="none"/>
              </w:rPr>
            </w:pPr>
            <w:r>
              <w:rPr>
                <w:rFonts w:hint="eastAsia" w:ascii="宋体" w:hAnsi="宋体" w:cs="宋体"/>
                <w:color w:val="auto"/>
                <w:szCs w:val="21"/>
                <w:highlight w:val="none"/>
              </w:rPr>
              <w:t>（5）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pPr>
              <w:shd w:val="clear"/>
              <w:jc w:val="both"/>
              <w:rPr>
                <w:rFonts w:ascii="宋体" w:hAnsi="宋体" w:cs="宋体"/>
                <w:color w:val="auto"/>
                <w:szCs w:val="21"/>
                <w:highlight w:val="none"/>
              </w:rPr>
            </w:pPr>
            <w:r>
              <w:rPr>
                <w:rFonts w:hint="eastAsia" w:ascii="宋体" w:hAnsi="宋体" w:cs="宋体"/>
                <w:color w:val="auto"/>
                <w:szCs w:val="21"/>
                <w:highlight w:val="none"/>
              </w:rPr>
              <w:t>（6）下列任何情况发生时，采购人有权行使享有的担保权利：</w:t>
            </w:r>
          </w:p>
          <w:p>
            <w:pPr>
              <w:shd w:val="clear"/>
              <w:jc w:val="both"/>
              <w:rPr>
                <w:rFonts w:ascii="宋体" w:hAnsi="宋体" w:cs="宋体"/>
                <w:color w:val="auto"/>
                <w:szCs w:val="21"/>
                <w:highlight w:val="none"/>
              </w:rPr>
            </w:pPr>
            <w:r>
              <w:rPr>
                <w:rFonts w:hint="eastAsia" w:ascii="宋体" w:hAnsi="宋体" w:cs="宋体"/>
                <w:color w:val="auto"/>
                <w:szCs w:val="21"/>
                <w:highlight w:val="none"/>
              </w:rPr>
              <w:t>①中标人将本项目转让给他人，或者在投标文件中未说明，且未经采购人同意，将中标项目分包给他人的；</w:t>
            </w:r>
          </w:p>
          <w:p>
            <w:pPr>
              <w:shd w:val="clear"/>
              <w:jc w:val="both"/>
              <w:rPr>
                <w:rFonts w:ascii="宋体" w:hAnsi="宋体" w:cs="宋体"/>
                <w:color w:val="auto"/>
                <w:szCs w:val="21"/>
                <w:highlight w:val="none"/>
              </w:rPr>
            </w:pPr>
            <w:r>
              <w:rPr>
                <w:rFonts w:hint="eastAsia" w:ascii="宋体" w:hAnsi="宋体" w:cs="宋体"/>
                <w:color w:val="auto"/>
                <w:szCs w:val="21"/>
                <w:highlight w:val="none"/>
              </w:rPr>
              <w:t>②中标人在履行采购合同期间，违反有关法律法规的规定及合同约定的条款，损害了采购人的利益。</w:t>
            </w:r>
          </w:p>
          <w:p>
            <w:pPr>
              <w:shd w:val="clear"/>
              <w:jc w:val="both"/>
              <w:rPr>
                <w:rFonts w:ascii="宋体" w:hAnsi="宋体" w:cs="宋体"/>
                <w:b/>
                <w:color w:val="auto"/>
                <w:szCs w:val="21"/>
                <w:highlight w:val="none"/>
              </w:rPr>
            </w:pPr>
            <w:r>
              <w:rPr>
                <w:rFonts w:hint="eastAsia" w:ascii="宋体" w:hAnsi="宋体" w:cs="宋体"/>
                <w:color w:val="auto"/>
                <w:szCs w:val="21"/>
                <w:highlight w:val="none"/>
              </w:rPr>
              <w:t>（7）在整个项目验收合格后，中标人向采购人提交退回履约担保的申请，采购人办理履约担保退还手续。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restart"/>
            <w:tcBorders>
              <w:tl2br w:val="nil"/>
              <w:tr2bl w:val="nil"/>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15</w:t>
            </w:r>
          </w:p>
        </w:tc>
        <w:tc>
          <w:tcPr>
            <w:tcW w:w="7532" w:type="dxa"/>
            <w:gridSpan w:val="2"/>
            <w:tcBorders>
              <w:tl2br w:val="nil"/>
              <w:tr2bl w:val="nil"/>
            </w:tcBorders>
            <w:vAlign w:val="center"/>
          </w:tcPr>
          <w:p>
            <w:pPr>
              <w:shd w:val="clear"/>
              <w:jc w:val="both"/>
              <w:rPr>
                <w:rFonts w:ascii="宋体" w:hAnsi="宋体" w:cs="宋体"/>
                <w:b/>
                <w:color w:val="auto"/>
                <w:szCs w:val="21"/>
                <w:highlight w:val="none"/>
              </w:rPr>
            </w:pPr>
            <w:r>
              <w:rPr>
                <w:rFonts w:hint="eastAsia" w:ascii="宋体" w:hAnsi="宋体" w:cs="宋体"/>
                <w:b/>
                <w:color w:val="auto"/>
                <w:szCs w:val="21"/>
                <w:highlight w:val="none"/>
              </w:rPr>
              <w:t>中标服务费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continue"/>
            <w:tcBorders>
              <w:tl2br w:val="nil"/>
              <w:tr2bl w:val="nil"/>
            </w:tcBorders>
            <w:vAlign w:val="center"/>
          </w:tcPr>
          <w:p>
            <w:pPr>
              <w:shd w:val="clear"/>
              <w:jc w:val="center"/>
              <w:rPr>
                <w:rFonts w:ascii="宋体" w:hAnsi="宋体" w:cs="宋体"/>
                <w:color w:val="auto"/>
                <w:szCs w:val="21"/>
                <w:highlight w:val="none"/>
              </w:rPr>
            </w:pPr>
          </w:p>
        </w:tc>
        <w:tc>
          <w:tcPr>
            <w:tcW w:w="7532" w:type="dxa"/>
            <w:gridSpan w:val="2"/>
            <w:tcBorders>
              <w:tl2br w:val="nil"/>
              <w:tr2bl w:val="nil"/>
            </w:tcBorders>
            <w:vAlign w:val="center"/>
          </w:tcPr>
          <w:p>
            <w:pPr>
              <w:widowControl w:val="0"/>
              <w:shd w:val="clear"/>
              <w:tabs>
                <w:tab w:val="left" w:pos="907"/>
              </w:tabs>
              <w:adjustRightInd/>
              <w:snapToGrid/>
              <w:spacing w:line="360" w:lineRule="exact"/>
              <w:jc w:val="both"/>
              <w:rPr>
                <w:rFonts w:ascii="宋体" w:hAnsi="宋体" w:cs="宋体"/>
                <w:color w:val="auto"/>
                <w:szCs w:val="21"/>
                <w:highlight w:val="none"/>
              </w:rPr>
            </w:pPr>
            <w:r>
              <w:rPr>
                <w:rFonts w:hint="eastAsia" w:ascii="宋体" w:hAnsi="宋体" w:cs="宋体"/>
                <w:color w:val="auto"/>
                <w:szCs w:val="21"/>
                <w:highlight w:val="none"/>
              </w:rPr>
              <w:t>本项目中标服务费由采购人支付。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20" w:hRule="atLeast"/>
        </w:trPr>
        <w:tc>
          <w:tcPr>
            <w:tcW w:w="8410" w:type="dxa"/>
            <w:gridSpan w:val="3"/>
            <w:tcBorders>
              <w:tl2br w:val="nil"/>
              <w:tr2bl w:val="nil"/>
            </w:tcBorders>
            <w:vAlign w:val="center"/>
          </w:tcPr>
          <w:p>
            <w:pPr>
              <w:widowControl w:val="0"/>
              <w:shd w:val="clear"/>
              <w:tabs>
                <w:tab w:val="left" w:pos="907"/>
              </w:tabs>
              <w:adjustRightInd/>
              <w:snapToGrid/>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注：本表关于要采购项目的具体资料，是对投标人须知的具体补充和修改，如有矛盾，应以本资料表为准。不满足采购文件中 “★”条款的投标文件将作无效投标处理。</w:t>
            </w:r>
          </w:p>
        </w:tc>
      </w:tr>
    </w:tbl>
    <w:p>
      <w:pPr>
        <w:shd w:val="clear"/>
        <w:jc w:val="both"/>
        <w:rPr>
          <w:rFonts w:ascii="宋体" w:hAnsi="宋体" w:cs="宋体"/>
          <w:color w:val="auto"/>
          <w:highlight w:val="none"/>
        </w:rPr>
      </w:pPr>
      <w:r>
        <w:rPr>
          <w:rFonts w:hint="eastAsia" w:ascii="宋体" w:hAnsi="宋体" w:cs="宋体"/>
          <w:color w:val="auto"/>
          <w:highlight w:val="none"/>
        </w:rPr>
        <w:br w:type="page"/>
      </w:r>
    </w:p>
    <w:p>
      <w:pPr>
        <w:pStyle w:val="4"/>
        <w:shd w:val="clear"/>
        <w:spacing w:before="0" w:after="0" w:line="240" w:lineRule="auto"/>
        <w:rPr>
          <w:rFonts w:ascii="宋体" w:hAnsi="宋体" w:eastAsia="宋体" w:cs="宋体"/>
          <w:color w:val="auto"/>
          <w:sz w:val="36"/>
          <w:szCs w:val="36"/>
          <w:highlight w:val="none"/>
        </w:rPr>
      </w:pPr>
      <w:bookmarkStart w:id="4" w:name="_Toc21237"/>
      <w:r>
        <w:rPr>
          <w:rFonts w:hint="eastAsia" w:ascii="宋体" w:hAnsi="宋体" w:eastAsia="宋体" w:cs="宋体"/>
          <w:color w:val="auto"/>
          <w:sz w:val="28"/>
          <w:szCs w:val="28"/>
          <w:highlight w:val="none"/>
        </w:rPr>
        <w:t>第三部分用户需求书</w:t>
      </w:r>
      <w:bookmarkEnd w:id="4"/>
    </w:p>
    <w:p>
      <w:pPr>
        <w:pStyle w:val="5"/>
        <w:shd w:val="clear"/>
        <w:spacing w:before="0" w:after="0" w:line="360" w:lineRule="auto"/>
        <w:jc w:val="center"/>
        <w:rPr>
          <w:rFonts w:ascii="宋体" w:hAnsi="宋体" w:cs="宋体"/>
          <w:color w:val="auto"/>
          <w:highlight w:val="none"/>
        </w:rPr>
      </w:pPr>
      <w:bookmarkStart w:id="5" w:name="_Toc1593"/>
      <w:bookmarkStart w:id="6" w:name="_Toc15266"/>
      <w:bookmarkStart w:id="7" w:name="_Toc308786492"/>
      <w:bookmarkStart w:id="8" w:name="_Toc31278"/>
      <w:bookmarkStart w:id="9" w:name="_Toc14462"/>
      <w:bookmarkStart w:id="10" w:name="_Toc13112"/>
      <w:bookmarkStart w:id="11" w:name="_Toc24679"/>
      <w:r>
        <w:rPr>
          <w:rFonts w:hint="eastAsia" w:ascii="宋体" w:hAnsi="宋体" w:cs="宋体"/>
          <w:color w:val="auto"/>
          <w:highlight w:val="none"/>
        </w:rPr>
        <w:t>第一章 商务需求书</w:t>
      </w:r>
      <w:bookmarkEnd w:id="5"/>
      <w:bookmarkEnd w:id="6"/>
    </w:p>
    <w:tbl>
      <w:tblPr>
        <w:tblStyle w:val="30"/>
        <w:tblW w:w="86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501"/>
        <w:gridCol w:w="64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1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0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条款名称</w:t>
            </w:r>
          </w:p>
        </w:tc>
        <w:tc>
          <w:tcPr>
            <w:tcW w:w="646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c>
          <w:tcPr>
            <w:tcW w:w="1501" w:type="dxa"/>
            <w:vAlign w:val="center"/>
          </w:tcPr>
          <w:p>
            <w:pPr>
              <w:shd w:val="clear"/>
              <w:jc w:val="center"/>
              <w:rPr>
                <w:rFonts w:ascii="宋体" w:hAnsi="宋体" w:cs="宋体"/>
                <w:color w:val="auto"/>
                <w:szCs w:val="21"/>
                <w:highlight w:val="none"/>
              </w:rPr>
            </w:pPr>
            <w:r>
              <w:rPr>
                <w:rFonts w:hint="eastAsia" w:ascii="宋体" w:hAnsi="宋体" w:cs="宋体"/>
                <w:b/>
                <w:bCs/>
                <w:color w:val="auto"/>
                <w:highlight w:val="none"/>
              </w:rPr>
              <w:t>★</w:t>
            </w:r>
            <w:r>
              <w:rPr>
                <w:rFonts w:hint="eastAsia" w:ascii="宋体" w:hAnsi="宋体" w:cs="宋体"/>
                <w:color w:val="auto"/>
                <w:szCs w:val="21"/>
                <w:highlight w:val="none"/>
              </w:rPr>
              <w:t>合格投标人</w:t>
            </w:r>
          </w:p>
        </w:tc>
        <w:tc>
          <w:tcPr>
            <w:tcW w:w="6466" w:type="dxa"/>
            <w:vAlign w:val="center"/>
          </w:tcPr>
          <w:p>
            <w:pPr>
              <w:pStyle w:val="41"/>
              <w:shd w:val="clear"/>
              <w:ind w:firstLine="0" w:firstLineChars="0"/>
              <w:rPr>
                <w:rFonts w:ascii="宋体" w:hAnsi="宋体" w:cs="宋体"/>
                <w:bCs/>
                <w:color w:val="auto"/>
                <w:kern w:val="44"/>
                <w:szCs w:val="21"/>
                <w:highlight w:val="none"/>
              </w:rPr>
            </w:pPr>
            <w:r>
              <w:rPr>
                <w:rFonts w:hint="eastAsia" w:ascii="宋体" w:hAnsi="宋体" w:cs="宋体"/>
                <w:bCs/>
                <w:color w:val="auto"/>
                <w:kern w:val="44"/>
                <w:szCs w:val="21"/>
                <w:highlight w:val="none"/>
              </w:rPr>
              <w:t>1、一般要求：</w:t>
            </w:r>
          </w:p>
          <w:p>
            <w:pPr>
              <w:pStyle w:val="41"/>
              <w:shd w:val="clear"/>
              <w:rPr>
                <w:rFonts w:ascii="宋体" w:hAnsi="宋体" w:cs="宋体"/>
                <w:bCs/>
                <w:color w:val="auto"/>
                <w:kern w:val="44"/>
                <w:szCs w:val="21"/>
                <w:highlight w:val="none"/>
              </w:rPr>
            </w:pPr>
            <w:r>
              <w:rPr>
                <w:rFonts w:hint="eastAsia" w:ascii="宋体" w:hAnsi="宋体" w:cs="宋体"/>
                <w:bCs/>
                <w:color w:val="auto"/>
                <w:kern w:val="44"/>
                <w:szCs w:val="21"/>
                <w:highlight w:val="none"/>
              </w:rPr>
              <w:t>1.1、投标人应是在法律上和财务上独立，合法运作并独立于招标人的；投标人没有直接或间接地与招标人雇用或曾经雇用过的，为本次招标编制技术规范和其他文件或提供咨询服务的公司包括其附属机构有关联；否则作废标处理；</w:t>
            </w:r>
          </w:p>
          <w:p>
            <w:pPr>
              <w:pStyle w:val="41"/>
              <w:shd w:val="clear"/>
              <w:rPr>
                <w:rFonts w:ascii="宋体" w:hAnsi="宋体" w:cs="宋体"/>
                <w:bCs/>
                <w:color w:val="auto"/>
                <w:kern w:val="44"/>
                <w:szCs w:val="21"/>
                <w:highlight w:val="none"/>
              </w:rPr>
            </w:pPr>
            <w:r>
              <w:rPr>
                <w:rFonts w:hint="eastAsia" w:ascii="宋体" w:hAnsi="宋体" w:cs="宋体"/>
                <w:bCs/>
                <w:color w:val="auto"/>
                <w:kern w:val="44"/>
                <w:szCs w:val="21"/>
                <w:highlight w:val="none"/>
              </w:rPr>
              <w:t>1.2、投标人必须具有独立承担民事责任能力的企业或事业单位法人或其它组织（提供营业执照复印件并加盖公章）；</w:t>
            </w:r>
          </w:p>
          <w:p>
            <w:pPr>
              <w:pStyle w:val="41"/>
              <w:shd w:val="clear"/>
              <w:rPr>
                <w:rFonts w:ascii="宋体" w:hAnsi="宋体" w:cs="宋体"/>
                <w:bCs/>
                <w:color w:val="auto"/>
                <w:kern w:val="44"/>
                <w:szCs w:val="21"/>
                <w:highlight w:val="none"/>
              </w:rPr>
            </w:pPr>
            <w:r>
              <w:rPr>
                <w:rFonts w:hint="eastAsia" w:ascii="宋体" w:hAnsi="宋体" w:cs="宋体"/>
                <w:bCs/>
                <w:color w:val="auto"/>
                <w:kern w:val="44"/>
                <w:szCs w:val="21"/>
                <w:highlight w:val="none"/>
              </w:rPr>
              <w:t>1.3、投标人的单位负责人为同一人或者存在直接控股、管理关系的不同投标人，不得参加同一合同项下的采购活动（投标人资格声明书）；</w:t>
            </w:r>
          </w:p>
          <w:p>
            <w:pPr>
              <w:pStyle w:val="41"/>
              <w:shd w:val="clear"/>
              <w:rPr>
                <w:rFonts w:ascii="宋体" w:hAnsi="宋体" w:cs="宋体"/>
                <w:bCs/>
                <w:color w:val="auto"/>
                <w:kern w:val="44"/>
                <w:szCs w:val="21"/>
                <w:highlight w:val="none"/>
              </w:rPr>
            </w:pPr>
            <w:r>
              <w:rPr>
                <w:rFonts w:hint="eastAsia" w:ascii="宋体" w:hAnsi="宋体" w:cs="宋体"/>
                <w:bCs/>
                <w:color w:val="auto"/>
                <w:kern w:val="44"/>
                <w:szCs w:val="21"/>
                <w:highlight w:val="none"/>
              </w:rPr>
              <w:t>1.4、投标人参加采购活动前三年内，在经营活动中没有重大违法记录（投标人资格声明书）；</w:t>
            </w:r>
          </w:p>
          <w:p>
            <w:pPr>
              <w:pStyle w:val="41"/>
              <w:shd w:val="clear"/>
              <w:rPr>
                <w:rFonts w:ascii="宋体" w:hAnsi="宋体" w:cs="宋体"/>
                <w:bCs/>
                <w:color w:val="auto"/>
                <w:kern w:val="44"/>
                <w:szCs w:val="21"/>
                <w:highlight w:val="none"/>
              </w:rPr>
            </w:pPr>
            <w:r>
              <w:rPr>
                <w:rFonts w:hint="eastAsia" w:ascii="宋体" w:hAnsi="宋体" w:cs="宋体"/>
                <w:bCs/>
                <w:color w:val="auto"/>
                <w:kern w:val="44"/>
                <w:szCs w:val="21"/>
                <w:highlight w:val="none"/>
              </w:rPr>
              <w:t>1.5、投标人未被列入“信用中国”网站(www.creditchina.gov.cn)“记录失信被执行人或重大税收违法案件当事人名单或严重违法失信行为”记录名单（以采购代理机构投标截止日当天在“信用中国”网站（www.creditchina.gov.cn）查询结果为准，如相关失信记录已失效，供应商需提供相关证明资料）。</w:t>
            </w:r>
          </w:p>
          <w:p>
            <w:pPr>
              <w:pStyle w:val="41"/>
              <w:shd w:val="clear"/>
              <w:rPr>
                <w:rFonts w:ascii="宋体" w:hAnsi="宋体" w:cs="宋体"/>
                <w:color w:val="auto"/>
                <w:highlight w:val="none"/>
              </w:rPr>
            </w:pPr>
            <w:r>
              <w:rPr>
                <w:rFonts w:hint="eastAsia" w:ascii="宋体" w:hAnsi="宋体" w:cs="宋体"/>
                <w:color w:val="auto"/>
                <w:highlight w:val="none"/>
              </w:rPr>
              <w:t>1.6、未被列入东实环境及下属企业相关领域黑名单。【以广东东实环境股份有限公司发文（东实环境通〔2023〕286号）为准，如有最新发文通知，按最新文件执行】</w:t>
            </w:r>
          </w:p>
          <w:p>
            <w:pPr>
              <w:pStyle w:val="41"/>
              <w:shd w:val="clear"/>
              <w:rPr>
                <w:rFonts w:ascii="宋体" w:hAnsi="宋体" w:cs="宋体"/>
                <w:color w:val="auto"/>
                <w:highlight w:val="none"/>
              </w:rPr>
            </w:pPr>
            <w:r>
              <w:rPr>
                <w:rFonts w:hint="eastAsia" w:ascii="宋体" w:hAnsi="宋体" w:cs="宋体"/>
                <w:color w:val="auto"/>
                <w:highlight w:val="none"/>
              </w:rPr>
              <w:t>1.7、本次招标不接受联合体形式投标。</w:t>
            </w:r>
          </w:p>
          <w:p>
            <w:pPr>
              <w:pStyle w:val="41"/>
              <w:shd w:val="clear"/>
              <w:ind w:firstLine="0" w:firstLineChars="0"/>
              <w:rPr>
                <w:rFonts w:ascii="宋体" w:hAnsi="宋体" w:cs="宋体"/>
                <w:bCs/>
                <w:color w:val="auto"/>
                <w:kern w:val="44"/>
                <w:szCs w:val="21"/>
                <w:highlight w:val="none"/>
              </w:rPr>
            </w:pPr>
            <w:r>
              <w:rPr>
                <w:rFonts w:hint="eastAsia" w:ascii="宋体" w:hAnsi="宋体" w:cs="宋体"/>
                <w:bCs/>
                <w:color w:val="auto"/>
                <w:kern w:val="44"/>
                <w:szCs w:val="21"/>
                <w:highlight w:val="none"/>
              </w:rPr>
              <w:t>2、其他要求</w:t>
            </w:r>
          </w:p>
          <w:p>
            <w:pPr>
              <w:pStyle w:val="41"/>
              <w:shd w:val="clear"/>
              <w:rPr>
                <w:rFonts w:ascii="宋体" w:hAnsi="宋体" w:cs="宋体"/>
                <w:bCs/>
                <w:color w:val="auto"/>
                <w:kern w:val="44"/>
                <w:szCs w:val="21"/>
                <w:highlight w:val="none"/>
              </w:rPr>
            </w:pPr>
            <w:r>
              <w:rPr>
                <w:rFonts w:hint="eastAsia" w:ascii="宋体" w:hAnsi="宋体" w:cs="宋体"/>
                <w:bCs/>
                <w:color w:val="auto"/>
                <w:kern w:val="44"/>
                <w:szCs w:val="21"/>
                <w:highlight w:val="none"/>
              </w:rPr>
              <w:t>2.1、</w:t>
            </w:r>
            <w:r>
              <w:rPr>
                <w:rFonts w:hint="eastAsia" w:ascii="宋体" w:hAnsi="宋体" w:cs="宋体"/>
                <w:color w:val="auto"/>
                <w:highlight w:val="none"/>
              </w:rPr>
              <w:t>投标人须具备检验检测机构资质认定证书（许可使用标志CMA）且在有效期内。投标人检测证书必须具有本项目资质响应清单90%以上的资质（即108项或以上）。【详见 用户需求书中的附表1，提供资质认定证书及其证书附表复印件（加盖公章）】</w:t>
            </w:r>
          </w:p>
          <w:p>
            <w:pPr>
              <w:pStyle w:val="41"/>
              <w:shd w:val="clear"/>
              <w:rPr>
                <w:rFonts w:ascii="宋体" w:hAnsi="宋体" w:cs="宋体"/>
                <w:bCs/>
                <w:color w:val="auto"/>
                <w:kern w:val="44"/>
                <w:szCs w:val="21"/>
                <w:highlight w:val="none"/>
              </w:rPr>
            </w:pPr>
            <w:r>
              <w:rPr>
                <w:rFonts w:hint="eastAsia" w:ascii="宋体" w:hAnsi="宋体" w:cs="宋体"/>
                <w:bCs/>
                <w:color w:val="auto"/>
                <w:kern w:val="44"/>
                <w:szCs w:val="21"/>
                <w:highlight w:val="none"/>
              </w:rPr>
              <w:t>2.2、业绩要求：投标人须具备自2020年1月1日起至今不少于2个的同类项目经验【①须提供合同关键页复印件（包含但不限于合同首页、合同服务内容页、合同签字页等）；②须提供对应合同任意一期发票复印件】</w:t>
            </w:r>
          </w:p>
          <w:p>
            <w:pPr>
              <w:pStyle w:val="41"/>
              <w:shd w:val="clear"/>
              <w:rPr>
                <w:rFonts w:ascii="宋体" w:hAnsi="宋体" w:cs="宋体"/>
                <w:bCs/>
                <w:color w:val="auto"/>
                <w:kern w:val="44"/>
                <w:szCs w:val="21"/>
                <w:highlight w:val="none"/>
              </w:rPr>
            </w:pPr>
            <w:r>
              <w:rPr>
                <w:rFonts w:hint="eastAsia" w:ascii="宋体" w:hAnsi="宋体" w:cs="宋体"/>
                <w:bCs/>
                <w:color w:val="auto"/>
                <w:kern w:val="44"/>
                <w:szCs w:val="21"/>
                <w:highlight w:val="none"/>
              </w:rPr>
              <w:t>2.3、人员要求：投标人拟派项目负责人须具备环境类中级（或以上）工程师职称。【①须提供环境类中级（或以上）工程师职称证书复印件（加盖公章）；②须提供投标人公司与拟派项目负责人的劳动合同复印件及最近半年内连续三个月以上的社保证明复印件（加盖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w:t>
            </w:r>
          </w:p>
        </w:tc>
        <w:tc>
          <w:tcPr>
            <w:tcW w:w="150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服务期</w:t>
            </w:r>
          </w:p>
        </w:tc>
        <w:tc>
          <w:tcPr>
            <w:tcW w:w="6466" w:type="dxa"/>
            <w:vAlign w:val="center"/>
          </w:tcPr>
          <w:p>
            <w:pPr>
              <w:pStyle w:val="38"/>
              <w:shd w:val="clear"/>
              <w:spacing w:line="360" w:lineRule="auto"/>
              <w:rPr>
                <w:rFonts w:ascii="宋体" w:hAnsi="宋体" w:eastAsia="宋体" w:cs="宋体"/>
                <w:color w:val="auto"/>
                <w:szCs w:val="21"/>
                <w:highlight w:val="none"/>
              </w:rPr>
            </w:pPr>
            <w:r>
              <w:rPr>
                <w:rFonts w:hint="eastAsia" w:ascii="宋体" w:hAnsi="宋体" w:eastAsia="宋体" w:cs="宋体"/>
                <w:color w:val="auto"/>
                <w:sz w:val="21"/>
                <w:szCs w:val="21"/>
                <w:highlight w:val="none"/>
              </w:rPr>
              <w:t>服务期为一年，实际服务时间为自中标人实际进场开始检测之日起一年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8" w:hRule="atLeast"/>
        </w:trPr>
        <w:tc>
          <w:tcPr>
            <w:tcW w:w="71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c>
          <w:tcPr>
            <w:tcW w:w="150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付款方式</w:t>
            </w:r>
          </w:p>
        </w:tc>
        <w:tc>
          <w:tcPr>
            <w:tcW w:w="6466" w:type="dxa"/>
            <w:vAlign w:val="center"/>
          </w:tcPr>
          <w:p>
            <w:pPr>
              <w:shd w:val="clear"/>
              <w:ind w:firstLine="420" w:firstLineChars="200"/>
              <w:rPr>
                <w:rFonts w:ascii="宋体" w:hAnsi="宋体" w:cs="宋体"/>
                <w:color w:val="auto"/>
                <w:highlight w:val="none"/>
              </w:rPr>
            </w:pPr>
            <w:r>
              <w:rPr>
                <w:rFonts w:hint="eastAsia" w:ascii="宋体" w:hAnsi="宋体" w:cs="宋体"/>
                <w:color w:val="auto"/>
                <w:highlight w:val="none"/>
              </w:rPr>
              <w:t>1.完成季度的采样监测计划并取得报告（含文本+电子）后，按实测支付。</w:t>
            </w:r>
          </w:p>
          <w:p>
            <w:pPr>
              <w:shd w:val="clear"/>
              <w:ind w:firstLine="420" w:firstLineChars="200"/>
              <w:rPr>
                <w:rFonts w:ascii="宋体" w:hAnsi="宋体" w:cs="宋体"/>
                <w:color w:val="auto"/>
                <w:highlight w:val="none"/>
              </w:rPr>
            </w:pPr>
            <w:r>
              <w:rPr>
                <w:rFonts w:hint="eastAsia" w:ascii="宋体" w:hAnsi="宋体" w:cs="宋体"/>
                <w:color w:val="auto"/>
                <w:highlight w:val="none"/>
              </w:rPr>
              <w:t>2.每次支付费用之前，中标人应提供等额增值税专用发票；招标人在收到发票后，30个工作日内完成款项支付。中标人未按约定时间提交有效请款资料及增值税专用发票的，招标人有权延期付款。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c>
          <w:tcPr>
            <w:tcW w:w="150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项目地点</w:t>
            </w:r>
          </w:p>
        </w:tc>
        <w:tc>
          <w:tcPr>
            <w:tcW w:w="6466" w:type="dxa"/>
            <w:vAlign w:val="center"/>
          </w:tcPr>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6" w:hRule="atLeast"/>
        </w:trPr>
        <w:tc>
          <w:tcPr>
            <w:tcW w:w="71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5</w:t>
            </w:r>
          </w:p>
        </w:tc>
        <w:tc>
          <w:tcPr>
            <w:tcW w:w="1501" w:type="dxa"/>
            <w:vAlign w:val="center"/>
          </w:tcPr>
          <w:p>
            <w:pPr>
              <w:shd w:val="clear"/>
              <w:jc w:val="center"/>
              <w:rPr>
                <w:rFonts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报价要求</w:t>
            </w:r>
          </w:p>
        </w:tc>
        <w:tc>
          <w:tcPr>
            <w:tcW w:w="6466" w:type="dxa"/>
            <w:vAlign w:val="center"/>
          </w:tcPr>
          <w:p>
            <w:pPr>
              <w:pStyle w:val="10"/>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1、本次报价费用需含环境监测的整个过程的差旅、餐饮、调查、采样、分析及报告出具的费用，招标人不承担其他额外费用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trPr>
        <w:tc>
          <w:tcPr>
            <w:tcW w:w="71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w:t>
            </w:r>
          </w:p>
        </w:tc>
        <w:tc>
          <w:tcPr>
            <w:tcW w:w="150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6466" w:type="dxa"/>
            <w:vAlign w:val="center"/>
          </w:tcPr>
          <w:p>
            <w:pPr>
              <w:shd w:val="clear"/>
              <w:tabs>
                <w:tab w:val="center" w:pos="3125"/>
              </w:tabs>
              <w:ind w:firstLine="420" w:firstLineChars="200"/>
              <w:rPr>
                <w:rFonts w:ascii="宋体" w:hAnsi="宋体" w:cs="宋体"/>
                <w:color w:val="auto"/>
                <w:szCs w:val="21"/>
                <w:highlight w:val="none"/>
              </w:rPr>
            </w:pPr>
            <w:r>
              <w:rPr>
                <w:rFonts w:hint="eastAsia" w:ascii="宋体" w:hAnsi="宋体" w:cs="宋体"/>
                <w:color w:val="auto"/>
                <w:szCs w:val="21"/>
                <w:highlight w:val="none"/>
              </w:rPr>
              <w:t>自开标之日起90天。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trPr>
        <w:tc>
          <w:tcPr>
            <w:tcW w:w="71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7</w:t>
            </w:r>
          </w:p>
        </w:tc>
        <w:tc>
          <w:tcPr>
            <w:tcW w:w="150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合同条款</w:t>
            </w:r>
          </w:p>
        </w:tc>
        <w:tc>
          <w:tcPr>
            <w:tcW w:w="6466" w:type="dxa"/>
            <w:vAlign w:val="center"/>
          </w:tcPr>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投标人实质响应合同各条款。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71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8</w:t>
            </w:r>
          </w:p>
        </w:tc>
        <w:tc>
          <w:tcPr>
            <w:tcW w:w="150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服务要求</w:t>
            </w:r>
          </w:p>
        </w:tc>
        <w:tc>
          <w:tcPr>
            <w:tcW w:w="6466" w:type="dxa"/>
            <w:vAlign w:val="center"/>
          </w:tcPr>
          <w:p>
            <w:pPr>
              <w:shd w:val="clear"/>
              <w:ind w:firstLine="420" w:firstLineChars="200"/>
              <w:rPr>
                <w:rFonts w:ascii="宋体" w:hAnsi="宋体" w:cs="宋体"/>
                <w:color w:val="auto"/>
                <w:highlight w:val="none"/>
              </w:rPr>
            </w:pPr>
            <w:r>
              <w:rPr>
                <w:rFonts w:hint="eastAsia" w:ascii="宋体" w:hAnsi="宋体" w:cs="宋体"/>
                <w:color w:val="auto"/>
                <w:highlight w:val="none"/>
              </w:rPr>
              <w:t>1.服务单位须依据招标人的要求于每月10号前完成环境监测采样，并于完成采样后的15个日历日内（稳定化飞灰含水率、浸出液重金属含量监测项目需在接收到样品后7个日历日内）出具准确、无数据及文字错误错漏的环境监测报告。逾期不提交报告或提供出现数据及文字错误错漏的报告的，视为违约责任，每延误一日或错误/漏一处扣除当季应付监测费用1000元，以此类推。如因中标人原因影响采购人正常工作或造成采购人损失的，招标人有权单方面终止合同，更换服务单位，并有权要求中标人赔付采购人的损失。</w:t>
            </w:r>
          </w:p>
          <w:p>
            <w:pPr>
              <w:shd w:val="clear"/>
              <w:ind w:firstLine="420" w:firstLineChars="200"/>
              <w:rPr>
                <w:rFonts w:ascii="宋体" w:hAnsi="宋体" w:cs="宋体"/>
                <w:color w:val="auto"/>
                <w:highlight w:val="none"/>
              </w:rPr>
            </w:pPr>
            <w:r>
              <w:rPr>
                <w:rFonts w:hint="eastAsia" w:ascii="宋体" w:hAnsi="宋体" w:cs="宋体"/>
                <w:color w:val="auto"/>
                <w:highlight w:val="none"/>
              </w:rPr>
              <w:t>2.中标人从合同签订后，必须服从并按照招标人的环境监测计划内容开展任务，不得以任何理由拒绝执行或监测，否则视为违约责任；监测任务执行超期的，也视为违约责任，招标人有权单方面终止合同，更换服务单位，并有权要求中标人赔付采购人的一切损失。</w:t>
            </w:r>
          </w:p>
          <w:p>
            <w:pPr>
              <w:shd w:val="clear"/>
              <w:ind w:firstLine="420" w:firstLineChars="200"/>
              <w:rPr>
                <w:rFonts w:ascii="宋体" w:hAnsi="宋体" w:cs="宋体"/>
                <w:color w:val="auto"/>
                <w:highlight w:val="none"/>
              </w:rPr>
            </w:pPr>
            <w:r>
              <w:rPr>
                <w:rFonts w:hint="eastAsia" w:ascii="宋体" w:hAnsi="宋体" w:cs="宋体"/>
                <w:color w:val="auto"/>
                <w:highlight w:val="none"/>
              </w:rPr>
              <w:t>3.中标人应公平、公正出具检测结果，招标人对检测结果有疑议的，由中标人协助进行全过程质量排查，提供免费复测，查找原因。如招标人疑议未能排除的，聘请第三方有资质机构进行检测，如第三方检测结果与中标人检测结果差异</w:t>
            </w:r>
            <w:r>
              <w:rPr>
                <w:rFonts w:hint="eastAsia" w:ascii="宋体" w:hAnsi="宋体" w:cs="宋体"/>
                <w:color w:val="auto"/>
                <w:highlight w:val="none"/>
                <w:lang w:val="en-US" w:eastAsia="zh-CN"/>
              </w:rPr>
              <w:t>在</w:t>
            </w:r>
            <w:r>
              <w:rPr>
                <w:rFonts w:hint="eastAsia" w:ascii="宋体" w:hAnsi="宋体" w:cs="宋体"/>
                <w:color w:val="auto"/>
                <w:highlight w:val="none"/>
              </w:rPr>
              <w:t>正负15%</w:t>
            </w:r>
            <w:r>
              <w:rPr>
                <w:rFonts w:hint="eastAsia" w:ascii="宋体" w:hAnsi="宋体" w:cs="宋体"/>
                <w:color w:val="auto"/>
                <w:highlight w:val="none"/>
                <w:lang w:val="en-US" w:eastAsia="zh-CN"/>
              </w:rPr>
              <w:t>以外</w:t>
            </w:r>
            <w:r>
              <w:rPr>
                <w:rFonts w:hint="eastAsia" w:ascii="宋体" w:hAnsi="宋体" w:cs="宋体"/>
                <w:color w:val="auto"/>
                <w:highlight w:val="none"/>
              </w:rPr>
              <w:t>的，由中标人承担第三方检测费用。</w:t>
            </w:r>
          </w:p>
          <w:p>
            <w:pPr>
              <w:shd w:val="clear"/>
              <w:ind w:firstLine="420" w:firstLineChars="200"/>
              <w:rPr>
                <w:rFonts w:ascii="宋体" w:hAnsi="宋体" w:cs="宋体"/>
                <w:color w:val="auto"/>
                <w:szCs w:val="21"/>
                <w:highlight w:val="none"/>
              </w:rPr>
            </w:pPr>
            <w:r>
              <w:rPr>
                <w:rFonts w:hint="eastAsia" w:ascii="宋体" w:hAnsi="宋体" w:cs="宋体"/>
                <w:color w:val="auto"/>
                <w:highlight w:val="none"/>
              </w:rPr>
              <w:t>4.中标人应依据检测项目执行标准及技术规范要求，落实样品采集、分析及结果评价工作，确保所有的检测项目均依据控制标准/限值进行有效评价，出具的报告真实有效，可追溯。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71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10</w:t>
            </w:r>
          </w:p>
        </w:tc>
        <w:tc>
          <w:tcPr>
            <w:tcW w:w="150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中标人其他服务项</w:t>
            </w:r>
          </w:p>
        </w:tc>
        <w:tc>
          <w:tcPr>
            <w:tcW w:w="6466" w:type="dxa"/>
            <w:vAlign w:val="center"/>
          </w:tcPr>
          <w:p>
            <w:pPr>
              <w:shd w:val="clear"/>
              <w:ind w:firstLine="420" w:firstLineChars="200"/>
              <w:rPr>
                <w:rFonts w:ascii="宋体" w:hAnsi="宋体" w:cs="宋体"/>
                <w:color w:val="auto"/>
                <w:highlight w:val="none"/>
              </w:rPr>
            </w:pPr>
            <w:r>
              <w:rPr>
                <w:rFonts w:hint="eastAsia" w:ascii="宋体" w:hAnsi="宋体" w:cs="宋体"/>
                <w:color w:val="auto"/>
                <w:highlight w:val="none"/>
              </w:rPr>
              <w:t>1.中标人就监测相关内容，接受招标人的咨询。</w:t>
            </w:r>
          </w:p>
          <w:p>
            <w:pPr>
              <w:shd w:val="clear"/>
              <w:ind w:firstLine="420" w:firstLineChars="200"/>
              <w:rPr>
                <w:rFonts w:ascii="宋体" w:hAnsi="宋体" w:cs="宋体"/>
                <w:color w:val="auto"/>
                <w:highlight w:val="none"/>
              </w:rPr>
            </w:pPr>
            <w:r>
              <w:rPr>
                <w:rFonts w:hint="eastAsia" w:ascii="宋体" w:hAnsi="宋体" w:cs="宋体"/>
                <w:color w:val="auto"/>
                <w:highlight w:val="none"/>
              </w:rPr>
              <w:t>2.中标人应积极组织技术力量及时、紧密开展环境监测工作，确保符合招标方约定的期限内提交监测报告。</w:t>
            </w:r>
          </w:p>
          <w:p>
            <w:pPr>
              <w:shd w:val="clear"/>
              <w:ind w:firstLine="420" w:firstLineChars="200"/>
              <w:rPr>
                <w:rFonts w:ascii="宋体" w:hAnsi="宋体" w:cs="宋体"/>
                <w:color w:val="auto"/>
                <w:highlight w:val="none"/>
              </w:rPr>
            </w:pPr>
            <w:r>
              <w:rPr>
                <w:rFonts w:hint="eastAsia" w:ascii="宋体" w:hAnsi="宋体" w:cs="宋体"/>
                <w:color w:val="auto"/>
                <w:highlight w:val="none"/>
              </w:rPr>
              <w:t>3.监测报告提交书面文本（一式四份加盖具有CMA质量认证资质章）和电子文本。其中，第一部分第2点土壤调查服务应在完成采样、监测及出具报告后，对监测结果进行分析，编制土壤及地下水自行监测报告，报告参考《工业企业土壤和地下水自行监测 技术指南》（HJ 1209-2021）附录D，出具报告须通过经专家评审同意，并最终完成市生态环境局备案。</w:t>
            </w:r>
          </w:p>
          <w:p>
            <w:pPr>
              <w:shd w:val="clear"/>
              <w:ind w:firstLine="420" w:firstLineChars="200"/>
              <w:rPr>
                <w:rFonts w:ascii="宋体" w:hAnsi="宋体" w:cs="宋体"/>
                <w:color w:val="auto"/>
                <w:highlight w:val="none"/>
              </w:rPr>
            </w:pPr>
            <w:r>
              <w:rPr>
                <w:rFonts w:hint="eastAsia" w:ascii="宋体" w:hAnsi="宋体" w:cs="宋体"/>
                <w:color w:val="auto"/>
                <w:highlight w:val="none"/>
              </w:rPr>
              <w:t>4.按时到中标人指定的现场进行采样、监测、结果分析、编写监测报告，并于约定期限内将监测报告（包括纸质版和电子版）送达采购人。</w:t>
            </w:r>
          </w:p>
          <w:p>
            <w:pPr>
              <w:shd w:val="clear"/>
              <w:ind w:firstLine="420" w:firstLineChars="200"/>
              <w:rPr>
                <w:rFonts w:ascii="宋体" w:hAnsi="宋体" w:cs="宋体"/>
                <w:color w:val="auto"/>
                <w:highlight w:val="none"/>
              </w:rPr>
            </w:pPr>
            <w:r>
              <w:rPr>
                <w:rFonts w:hint="eastAsia" w:ascii="宋体" w:hAnsi="宋体" w:cs="宋体"/>
                <w:color w:val="auto"/>
                <w:highlight w:val="none"/>
              </w:rPr>
              <w:t>5.监测分析方法、依据应为国家规定的现行有效方法。</w:t>
            </w:r>
          </w:p>
          <w:p>
            <w:pPr>
              <w:shd w:val="clear"/>
              <w:ind w:firstLine="420" w:firstLineChars="200"/>
              <w:rPr>
                <w:rFonts w:ascii="宋体" w:hAnsi="宋体" w:cs="宋体"/>
                <w:color w:val="auto"/>
                <w:highlight w:val="none"/>
              </w:rPr>
            </w:pPr>
            <w:r>
              <w:rPr>
                <w:rFonts w:hint="eastAsia" w:ascii="宋体" w:hAnsi="宋体" w:cs="宋体"/>
                <w:color w:val="auto"/>
                <w:highlight w:val="none"/>
              </w:rPr>
              <w:t>6.监测单位根据监测方案所确定的采样点位、采样频次、时间，按照符合国家规定的方法进行采样。样品运输过程中要采取保障措施，保证样品性质稳定、避免玷污、损失和丢失。样品接收、核查和发放各环节应受控，样品交接记录、采样标签及其包装应完整。发现样品异常或处于损坏状态应如实记录，并尽快采取补改措施，必要时重新采样。样品保存应分区存放，并有明显标志，保存条件符合相关标准、规范。</w:t>
            </w:r>
          </w:p>
          <w:p>
            <w:pPr>
              <w:shd w:val="clear"/>
              <w:ind w:firstLine="420" w:firstLineChars="200"/>
              <w:rPr>
                <w:rFonts w:ascii="宋体" w:hAnsi="宋体" w:cs="宋体"/>
                <w:color w:val="auto"/>
                <w:highlight w:val="none"/>
              </w:rPr>
            </w:pPr>
            <w:r>
              <w:rPr>
                <w:rFonts w:hint="eastAsia" w:ascii="宋体" w:hAnsi="宋体" w:cs="宋体"/>
                <w:color w:val="auto"/>
                <w:highlight w:val="none"/>
              </w:rPr>
              <w:t>7.监测所用计量仪器均应经过计量部门检定合格并在有效期内使用。</w:t>
            </w:r>
          </w:p>
          <w:p>
            <w:pPr>
              <w:shd w:val="clear"/>
              <w:ind w:firstLine="420" w:firstLineChars="200"/>
              <w:rPr>
                <w:rFonts w:ascii="宋体" w:hAnsi="宋体" w:cs="宋体"/>
                <w:color w:val="auto"/>
                <w:highlight w:val="none"/>
              </w:rPr>
            </w:pPr>
            <w:r>
              <w:rPr>
                <w:rFonts w:hint="eastAsia" w:ascii="宋体" w:hAnsi="宋体" w:cs="宋体"/>
                <w:color w:val="auto"/>
                <w:highlight w:val="none"/>
              </w:rPr>
              <w:t>8.标准物质、试剂、耗材的购买和使用情况建立台账予以记录。</w:t>
            </w:r>
          </w:p>
          <w:p>
            <w:pPr>
              <w:shd w:val="clear"/>
              <w:ind w:firstLine="420" w:firstLineChars="200"/>
              <w:rPr>
                <w:rFonts w:ascii="宋体" w:hAnsi="宋体" w:cs="宋体"/>
                <w:color w:val="auto"/>
                <w:highlight w:val="none"/>
              </w:rPr>
            </w:pPr>
            <w:r>
              <w:rPr>
                <w:rFonts w:hint="eastAsia" w:ascii="宋体" w:hAnsi="宋体" w:cs="宋体"/>
                <w:color w:val="auto"/>
                <w:highlight w:val="none"/>
              </w:rPr>
              <w:t>9.配备满足工作要求的技术人员，规范监测人员录用、培训教育和能力确认/考核等活动，建立人员档案，并对监测人员实施监督和管理，规避人为因素对监测数据正确性和可靠性产生影响。</w:t>
            </w:r>
          </w:p>
          <w:p>
            <w:pPr>
              <w:shd w:val="clear"/>
              <w:ind w:firstLine="420" w:firstLineChars="200"/>
              <w:rPr>
                <w:rFonts w:ascii="宋体" w:hAnsi="宋体" w:cs="宋体"/>
                <w:color w:val="auto"/>
                <w:highlight w:val="none"/>
              </w:rPr>
            </w:pPr>
            <w:r>
              <w:rPr>
                <w:rFonts w:hint="eastAsia" w:ascii="宋体" w:hAnsi="宋体" w:cs="宋体"/>
                <w:color w:val="auto"/>
                <w:highlight w:val="none"/>
              </w:rPr>
              <w:t>10.需保证监测服务全过程及监测报告符合国家及地方有关标准与规范，满足中标人相关行政主管部门的技术审查要求。</w:t>
            </w:r>
          </w:p>
          <w:p>
            <w:pPr>
              <w:shd w:val="clear"/>
              <w:ind w:firstLine="420" w:firstLineChars="200"/>
              <w:rPr>
                <w:rFonts w:ascii="宋体" w:hAnsi="宋体" w:cs="宋体"/>
                <w:color w:val="auto"/>
                <w:highlight w:val="none"/>
              </w:rPr>
            </w:pPr>
            <w:r>
              <w:rPr>
                <w:rFonts w:hint="eastAsia" w:ascii="宋体" w:hAnsi="宋体" w:cs="宋体"/>
                <w:color w:val="auto"/>
                <w:highlight w:val="none"/>
              </w:rPr>
              <w:t>11.遵守中标人的厂规厂纪以及各项规章制度，符合中标人安全文明管理的有关规定。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71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11</w:t>
            </w:r>
          </w:p>
        </w:tc>
        <w:tc>
          <w:tcPr>
            <w:tcW w:w="150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现场管理</w:t>
            </w:r>
          </w:p>
        </w:tc>
        <w:tc>
          <w:tcPr>
            <w:tcW w:w="6466" w:type="dxa"/>
            <w:vAlign w:val="center"/>
          </w:tcPr>
          <w:p>
            <w:pPr>
              <w:shd w:val="clear"/>
              <w:ind w:firstLine="420" w:firstLineChars="200"/>
              <w:rPr>
                <w:rFonts w:ascii="宋体" w:hAnsi="宋体" w:cs="宋体"/>
                <w:color w:val="auto"/>
                <w:highlight w:val="none"/>
              </w:rPr>
            </w:pPr>
            <w:r>
              <w:rPr>
                <w:rFonts w:hint="eastAsia" w:ascii="宋体" w:hAnsi="宋体" w:cs="宋体"/>
                <w:color w:val="auto"/>
                <w:highlight w:val="none"/>
              </w:rPr>
              <w:t>1、现场安全管理</w:t>
            </w:r>
          </w:p>
          <w:p>
            <w:pPr>
              <w:shd w:val="clear"/>
              <w:ind w:firstLine="420" w:firstLineChars="200"/>
              <w:rPr>
                <w:rFonts w:ascii="宋体" w:hAnsi="宋体" w:cs="宋体"/>
                <w:color w:val="auto"/>
                <w:highlight w:val="none"/>
              </w:rPr>
            </w:pPr>
            <w:r>
              <w:rPr>
                <w:rFonts w:hint="eastAsia" w:ascii="宋体" w:hAnsi="宋体" w:cs="宋体"/>
                <w:color w:val="auto"/>
                <w:highlight w:val="none"/>
              </w:rPr>
              <w:t>（1）坚决贯彻执行党和国家所在地各级人民政府关于安全生产的一系列方针、政策、法规、条例和规定，必须采取一切必要措施和手段强化安全管理。</w:t>
            </w:r>
          </w:p>
          <w:p>
            <w:pPr>
              <w:shd w:val="clear"/>
              <w:ind w:firstLine="420" w:firstLineChars="200"/>
              <w:rPr>
                <w:rFonts w:ascii="宋体" w:hAnsi="宋体" w:cs="宋体"/>
                <w:color w:val="auto"/>
                <w:highlight w:val="none"/>
              </w:rPr>
            </w:pPr>
            <w:r>
              <w:rPr>
                <w:rFonts w:hint="eastAsia" w:ascii="宋体" w:hAnsi="宋体" w:cs="宋体"/>
                <w:color w:val="auto"/>
                <w:highlight w:val="none"/>
              </w:rPr>
              <w:t>（2）中标人贯彻执行“安全第一、预防为主”的方针，严格执行国家电力公司《电业生产安全工作规程》《安全生产工作规定》《防止电力生产重大事故的二十五项重点要求》等规章制度的有关规定。</w:t>
            </w:r>
          </w:p>
          <w:p>
            <w:pPr>
              <w:shd w:val="clear"/>
              <w:ind w:firstLine="420" w:firstLineChars="200"/>
              <w:rPr>
                <w:rFonts w:ascii="宋体" w:hAnsi="宋体" w:cs="宋体"/>
                <w:color w:val="auto"/>
                <w:highlight w:val="none"/>
              </w:rPr>
            </w:pPr>
            <w:r>
              <w:rPr>
                <w:rFonts w:hint="eastAsia" w:ascii="宋体" w:hAnsi="宋体" w:cs="宋体"/>
                <w:color w:val="auto"/>
                <w:highlight w:val="none"/>
              </w:rPr>
              <w:t>（3）中标人保证熟悉电厂工作票执行中的相关事项并依据国家电力公司和采购人有关工作票的相关规定执行。</w:t>
            </w:r>
          </w:p>
          <w:p>
            <w:pPr>
              <w:shd w:val="clear"/>
              <w:ind w:firstLine="420" w:firstLineChars="200"/>
              <w:rPr>
                <w:rFonts w:ascii="宋体" w:hAnsi="宋体" w:cs="宋体"/>
                <w:color w:val="auto"/>
                <w:highlight w:val="none"/>
              </w:rPr>
            </w:pPr>
            <w:r>
              <w:rPr>
                <w:rFonts w:hint="eastAsia" w:ascii="宋体" w:hAnsi="宋体" w:cs="宋体"/>
                <w:color w:val="auto"/>
                <w:highlight w:val="none"/>
              </w:rPr>
              <w:t>（4）中标人在本合同开始履行前，组织采样人员认真听取采购人的安全技术交底，制定出采样工作安全技术措施和防火防盗措施，经采购人审核批准后开工。</w:t>
            </w:r>
          </w:p>
          <w:p>
            <w:pPr>
              <w:shd w:val="clear"/>
              <w:ind w:firstLine="420" w:firstLineChars="200"/>
              <w:rPr>
                <w:rFonts w:ascii="宋体" w:hAnsi="宋体" w:cs="宋体"/>
                <w:color w:val="auto"/>
                <w:highlight w:val="none"/>
              </w:rPr>
            </w:pPr>
            <w:r>
              <w:rPr>
                <w:rFonts w:hint="eastAsia" w:ascii="宋体" w:hAnsi="宋体" w:cs="宋体"/>
                <w:color w:val="auto"/>
                <w:highlight w:val="none"/>
              </w:rPr>
              <w:t>（5）中标人在现场采样工作过程中，接受采购人安全各项考核制度和管理人员的安全监督。</w:t>
            </w:r>
          </w:p>
          <w:p>
            <w:pPr>
              <w:shd w:val="clear"/>
              <w:ind w:firstLine="420" w:firstLineChars="200"/>
              <w:rPr>
                <w:rFonts w:ascii="宋体" w:hAnsi="宋体" w:cs="宋体"/>
                <w:color w:val="auto"/>
                <w:highlight w:val="none"/>
              </w:rPr>
            </w:pPr>
            <w:r>
              <w:rPr>
                <w:rFonts w:hint="eastAsia" w:ascii="宋体" w:hAnsi="宋体" w:cs="宋体"/>
                <w:color w:val="auto"/>
                <w:highlight w:val="none"/>
              </w:rPr>
              <w:t>（6）中标人自行负责合同范围内的人员和设备的安全；中标人必须对全部工作人员做好职业病的告知和预防，并为在现场工作的全部人员购买人身工伤意外保险，并将保险合同复印件交采购人备案；中标人未为员工购买保险的，采购人有权随时单方中止合同并不支付当季度劳务费，且不对中标人进行任何赔偿。</w:t>
            </w:r>
          </w:p>
          <w:p>
            <w:pPr>
              <w:shd w:val="clear"/>
              <w:ind w:firstLine="420" w:firstLineChars="200"/>
              <w:rPr>
                <w:rFonts w:ascii="宋体" w:hAnsi="宋体" w:cs="宋体"/>
                <w:color w:val="auto"/>
                <w:highlight w:val="none"/>
              </w:rPr>
            </w:pPr>
            <w:r>
              <w:rPr>
                <w:rFonts w:hint="eastAsia" w:ascii="宋体" w:hAnsi="宋体" w:cs="宋体"/>
                <w:color w:val="auto"/>
                <w:highlight w:val="none"/>
              </w:rPr>
              <w:t>2、现场文明生产</w:t>
            </w:r>
          </w:p>
          <w:p>
            <w:pPr>
              <w:shd w:val="clear"/>
              <w:ind w:firstLine="420" w:firstLineChars="200"/>
              <w:rPr>
                <w:rFonts w:ascii="宋体" w:hAnsi="宋体" w:cs="宋体"/>
                <w:color w:val="auto"/>
                <w:highlight w:val="none"/>
              </w:rPr>
            </w:pPr>
            <w:r>
              <w:rPr>
                <w:rFonts w:hint="eastAsia" w:ascii="宋体" w:hAnsi="宋体" w:cs="宋体"/>
                <w:color w:val="auto"/>
                <w:highlight w:val="none"/>
              </w:rPr>
              <w:t>（1）中标人在现场遵守采购人有关文明生产的文件、规定、考核办法。</w:t>
            </w:r>
          </w:p>
          <w:p>
            <w:pPr>
              <w:shd w:val="clear"/>
              <w:ind w:firstLine="420" w:firstLineChars="200"/>
              <w:rPr>
                <w:rFonts w:ascii="宋体" w:hAnsi="宋体" w:cs="宋体"/>
                <w:color w:val="auto"/>
                <w:highlight w:val="none"/>
              </w:rPr>
            </w:pPr>
            <w:r>
              <w:rPr>
                <w:rFonts w:hint="eastAsia" w:ascii="宋体" w:hAnsi="宋体" w:cs="宋体"/>
                <w:color w:val="auto"/>
                <w:highlight w:val="none"/>
              </w:rPr>
              <w:t>（2）中标人采取一切合理措施，保护现场及周围的环境，避免污染、噪音或由于其采样方法的不当造成的对公共人员和财产等的危害或干扰。</w:t>
            </w:r>
          </w:p>
          <w:p>
            <w:pPr>
              <w:shd w:val="clear"/>
              <w:ind w:firstLine="420" w:firstLineChars="200"/>
              <w:rPr>
                <w:rFonts w:ascii="宋体" w:hAnsi="宋体" w:cs="宋体"/>
                <w:color w:val="auto"/>
                <w:highlight w:val="none"/>
              </w:rPr>
            </w:pPr>
            <w:r>
              <w:rPr>
                <w:rFonts w:hint="eastAsia" w:ascii="宋体" w:hAnsi="宋体" w:cs="宋体"/>
                <w:color w:val="auto"/>
                <w:highlight w:val="none"/>
              </w:rPr>
              <w:t>（3）中标人随时保持所负责采样区域的整洁与卫生，保证每个采样作业点都做到“工完、料净、场地清”。</w:t>
            </w:r>
          </w:p>
          <w:p>
            <w:pPr>
              <w:shd w:val="clear"/>
              <w:ind w:firstLine="420" w:firstLineChars="200"/>
              <w:rPr>
                <w:rFonts w:ascii="宋体" w:hAnsi="宋体" w:cs="宋体"/>
                <w:color w:val="auto"/>
                <w:highlight w:val="none"/>
              </w:rPr>
            </w:pPr>
            <w:r>
              <w:rPr>
                <w:rFonts w:hint="eastAsia" w:ascii="宋体" w:hAnsi="宋体" w:cs="宋体"/>
                <w:color w:val="auto"/>
                <w:highlight w:val="none"/>
              </w:rPr>
              <w:t>（4）中标人在现场采样时，采取一切合理的预防措施，以防止零件遗失或异物落入测量设备中。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71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150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费用及支付说明</w:t>
            </w:r>
          </w:p>
        </w:tc>
        <w:tc>
          <w:tcPr>
            <w:tcW w:w="6466" w:type="dxa"/>
            <w:vAlign w:val="center"/>
          </w:tcPr>
          <w:p>
            <w:pPr>
              <w:shd w:val="clear"/>
              <w:rPr>
                <w:rFonts w:ascii="宋体" w:hAnsi="宋体" w:cs="宋体"/>
                <w:color w:val="auto"/>
                <w:highlight w:val="none"/>
              </w:rPr>
            </w:pPr>
            <w:r>
              <w:rPr>
                <w:rFonts w:hint="eastAsia" w:ascii="宋体" w:hAnsi="宋体" w:cs="宋体"/>
                <w:color w:val="auto"/>
                <w:highlight w:val="none"/>
              </w:rPr>
              <w:t>（一）费用要求</w:t>
            </w:r>
          </w:p>
          <w:p>
            <w:pPr>
              <w:shd w:val="clear"/>
              <w:ind w:firstLine="420" w:firstLineChars="200"/>
              <w:rPr>
                <w:rFonts w:ascii="宋体" w:hAnsi="宋体" w:cs="宋体"/>
                <w:color w:val="auto"/>
                <w:highlight w:val="none"/>
              </w:rPr>
            </w:pPr>
            <w:r>
              <w:rPr>
                <w:rFonts w:hint="eastAsia" w:ascii="宋体" w:hAnsi="宋体" w:cs="宋体"/>
                <w:color w:val="auto"/>
                <w:highlight w:val="none"/>
              </w:rPr>
              <w:t>投标方报价费用需含环境监测的整个过程的差旅、餐饮、调查、采样、分析及报告出具的费用，招标人不承担其他额外费用。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1" w:hRule="atLeast"/>
        </w:trPr>
        <w:tc>
          <w:tcPr>
            <w:tcW w:w="71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13</w:t>
            </w:r>
          </w:p>
        </w:tc>
        <w:tc>
          <w:tcPr>
            <w:tcW w:w="150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★合同签署</w:t>
            </w:r>
          </w:p>
        </w:tc>
        <w:tc>
          <w:tcPr>
            <w:tcW w:w="6466" w:type="dxa"/>
            <w:vAlign w:val="center"/>
          </w:tcPr>
          <w:p>
            <w:pPr>
              <w:shd w:val="clear"/>
              <w:ind w:firstLine="420" w:firstLineChars="200"/>
              <w:rPr>
                <w:rFonts w:ascii="宋体" w:hAnsi="宋体" w:cs="宋体"/>
                <w:color w:val="auto"/>
                <w:highlight w:val="none"/>
              </w:rPr>
            </w:pPr>
            <w:r>
              <w:rPr>
                <w:rFonts w:hint="eastAsia" w:ascii="宋体" w:hAnsi="宋体" w:cs="宋体"/>
                <w:color w:val="auto"/>
                <w:highlight w:val="none"/>
              </w:rPr>
              <w:t>本采购需求按项目分开为三个合同进行签署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71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14</w:t>
            </w:r>
          </w:p>
        </w:tc>
        <w:tc>
          <w:tcPr>
            <w:tcW w:w="150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支付方式</w:t>
            </w:r>
          </w:p>
        </w:tc>
        <w:tc>
          <w:tcPr>
            <w:tcW w:w="6466" w:type="dxa"/>
            <w:vAlign w:val="center"/>
          </w:tcPr>
          <w:p>
            <w:pPr>
              <w:shd w:val="clear"/>
              <w:ind w:firstLine="420" w:firstLineChars="200"/>
              <w:rPr>
                <w:rFonts w:hint="eastAsia" w:ascii="Tahoma" w:hAnsi="Tahoma" w:cstheme="minorBidi"/>
                <w:color w:val="auto"/>
                <w:szCs w:val="22"/>
                <w:highlight w:val="none"/>
              </w:rPr>
            </w:pPr>
            <w:r>
              <w:rPr>
                <w:rFonts w:hint="eastAsia" w:ascii="Tahoma" w:hAnsi="Tahoma" w:cstheme="minorBidi"/>
                <w:color w:val="auto"/>
                <w:szCs w:val="22"/>
                <w:highlight w:val="none"/>
              </w:rPr>
              <w:t>1. 合同签定后，</w:t>
            </w:r>
            <w:r>
              <w:rPr>
                <w:rFonts w:hint="eastAsia" w:cstheme="minorBidi"/>
                <w:color w:val="auto"/>
                <w:szCs w:val="22"/>
                <w:highlight w:val="none"/>
                <w:lang w:val="en-US" w:eastAsia="zh-CN"/>
              </w:rPr>
              <w:t>采购</w:t>
            </w:r>
            <w:r>
              <w:rPr>
                <w:rFonts w:hint="eastAsia" w:ascii="Tahoma" w:hAnsi="Tahoma" w:cstheme="minorBidi"/>
                <w:color w:val="auto"/>
                <w:szCs w:val="22"/>
                <w:highlight w:val="none"/>
                <w:lang w:val="en-US" w:eastAsia="zh-CN"/>
              </w:rPr>
              <w:t>人</w:t>
            </w:r>
            <w:r>
              <w:rPr>
                <w:rFonts w:hint="eastAsia" w:ascii="Tahoma" w:hAnsi="Tahoma" w:cstheme="minorBidi"/>
                <w:color w:val="auto"/>
                <w:szCs w:val="22"/>
                <w:highlight w:val="none"/>
              </w:rPr>
              <w:t>按每个季度进行支付，</w:t>
            </w:r>
            <w:r>
              <w:rPr>
                <w:rFonts w:hint="eastAsia" w:cstheme="minorBidi"/>
                <w:color w:val="auto"/>
                <w:szCs w:val="22"/>
                <w:highlight w:val="none"/>
                <w:lang w:val="en-US" w:eastAsia="zh-CN"/>
              </w:rPr>
              <w:t>采购</w:t>
            </w:r>
            <w:r>
              <w:rPr>
                <w:rFonts w:hint="eastAsia" w:ascii="Tahoma" w:hAnsi="Tahoma" w:cstheme="minorBidi"/>
                <w:color w:val="auto"/>
                <w:szCs w:val="22"/>
                <w:highlight w:val="none"/>
                <w:lang w:val="en-US" w:eastAsia="zh-CN"/>
              </w:rPr>
              <w:t>人</w:t>
            </w:r>
            <w:r>
              <w:rPr>
                <w:rFonts w:hint="eastAsia" w:ascii="Tahoma" w:hAnsi="Tahoma" w:cstheme="minorBidi"/>
                <w:color w:val="auto"/>
                <w:szCs w:val="22"/>
                <w:highlight w:val="none"/>
              </w:rPr>
              <w:t>将根据</w:t>
            </w:r>
            <w:r>
              <w:rPr>
                <w:rFonts w:hint="eastAsia" w:ascii="Tahoma" w:hAnsi="Tahoma" w:cstheme="minorBidi"/>
                <w:color w:val="auto"/>
                <w:szCs w:val="22"/>
                <w:highlight w:val="none"/>
                <w:lang w:val="en-US" w:eastAsia="zh-CN"/>
              </w:rPr>
              <w:t>中标人</w:t>
            </w:r>
            <w:r>
              <w:rPr>
                <w:rFonts w:hint="eastAsia" w:ascii="Tahoma" w:hAnsi="Tahoma" w:cstheme="minorBidi"/>
                <w:color w:val="auto"/>
                <w:szCs w:val="22"/>
                <w:highlight w:val="none"/>
              </w:rPr>
              <w:t>每季度实际完成的采样监测项目并取得报告（含文本+电子）后如实结算。</w:t>
            </w:r>
            <w:r>
              <w:rPr>
                <w:rFonts w:hint="eastAsia" w:ascii="Tahoma" w:hAnsi="Tahoma" w:cstheme="minorBidi"/>
                <w:color w:val="auto"/>
                <w:szCs w:val="22"/>
                <w:highlight w:val="none"/>
                <w:lang w:val="en-US" w:eastAsia="zh-CN"/>
              </w:rPr>
              <w:t>中标人</w:t>
            </w:r>
            <w:r>
              <w:rPr>
                <w:rFonts w:hint="eastAsia" w:ascii="Tahoma" w:hAnsi="Tahoma" w:cstheme="minorBidi"/>
                <w:color w:val="auto"/>
                <w:szCs w:val="22"/>
                <w:highlight w:val="none"/>
              </w:rPr>
              <w:t>在每个季度第一个月10日前提交上个季度双方确认的结算报告、请款资料及上季度结算金额100%的合法有效的增值税专用发票，</w:t>
            </w:r>
            <w:r>
              <w:rPr>
                <w:rFonts w:hint="eastAsia" w:cstheme="minorBidi"/>
                <w:color w:val="auto"/>
                <w:szCs w:val="22"/>
                <w:highlight w:val="none"/>
                <w:lang w:val="en-US" w:eastAsia="zh-CN"/>
              </w:rPr>
              <w:t>采购</w:t>
            </w:r>
            <w:r>
              <w:rPr>
                <w:rFonts w:hint="eastAsia" w:ascii="Tahoma" w:hAnsi="Tahoma" w:cstheme="minorBidi"/>
                <w:color w:val="auto"/>
                <w:szCs w:val="22"/>
                <w:highlight w:val="none"/>
                <w:lang w:val="en-US" w:eastAsia="zh-CN"/>
              </w:rPr>
              <w:t>人</w:t>
            </w:r>
            <w:r>
              <w:rPr>
                <w:rFonts w:hint="eastAsia" w:ascii="Tahoma" w:hAnsi="Tahoma" w:cstheme="minorBidi"/>
                <w:color w:val="auto"/>
                <w:szCs w:val="22"/>
                <w:highlight w:val="none"/>
              </w:rPr>
              <w:t>在收到上述有效资料的30个工作日内完成付款。</w:t>
            </w:r>
          </w:p>
          <w:p>
            <w:pPr>
              <w:shd w:val="clear"/>
              <w:ind w:firstLine="420" w:firstLineChars="200"/>
              <w:rPr>
                <w:color w:val="auto"/>
                <w:highlight w:val="none"/>
              </w:rPr>
            </w:pPr>
            <w:r>
              <w:rPr>
                <w:rFonts w:hint="eastAsia" w:ascii="Tahoma" w:hAnsi="Tahoma" w:cstheme="minorBidi"/>
                <w:color w:val="auto"/>
                <w:szCs w:val="22"/>
                <w:highlight w:val="none"/>
              </w:rPr>
              <w:t>2.每次支付费用之前，</w:t>
            </w:r>
            <w:r>
              <w:rPr>
                <w:rFonts w:hint="eastAsia" w:cstheme="minorBidi"/>
                <w:color w:val="auto"/>
                <w:szCs w:val="22"/>
                <w:highlight w:val="none"/>
                <w:lang w:val="en-US" w:eastAsia="zh-CN"/>
              </w:rPr>
              <w:t>中标人</w:t>
            </w:r>
            <w:r>
              <w:rPr>
                <w:rFonts w:hint="eastAsia" w:ascii="Tahoma" w:hAnsi="Tahoma" w:cstheme="minorBidi"/>
                <w:color w:val="auto"/>
                <w:szCs w:val="22"/>
                <w:highlight w:val="none"/>
              </w:rPr>
              <w:t>必须提供等额增值税专用发票及有效请款资料；</w:t>
            </w:r>
            <w:r>
              <w:rPr>
                <w:rFonts w:hint="eastAsia" w:cstheme="minorBidi"/>
                <w:color w:val="auto"/>
                <w:szCs w:val="22"/>
                <w:highlight w:val="none"/>
                <w:lang w:val="en-US" w:eastAsia="zh-CN"/>
              </w:rPr>
              <w:t>中标人</w:t>
            </w:r>
            <w:r>
              <w:rPr>
                <w:rFonts w:hint="eastAsia" w:ascii="Tahoma" w:hAnsi="Tahoma" w:cstheme="minorBidi"/>
                <w:color w:val="auto"/>
                <w:szCs w:val="22"/>
                <w:highlight w:val="none"/>
              </w:rPr>
              <w:t>未按约定时间提交有效请款资料及增值税专用发票的，</w:t>
            </w:r>
            <w:r>
              <w:rPr>
                <w:rFonts w:hint="eastAsia" w:cstheme="minorBidi"/>
                <w:color w:val="auto"/>
                <w:szCs w:val="22"/>
                <w:highlight w:val="none"/>
                <w:lang w:val="en-US" w:eastAsia="zh-CN"/>
              </w:rPr>
              <w:t>采购</w:t>
            </w:r>
            <w:r>
              <w:rPr>
                <w:rFonts w:hint="eastAsia" w:ascii="Tahoma" w:hAnsi="Tahoma" w:cstheme="minorBidi"/>
                <w:color w:val="auto"/>
                <w:szCs w:val="22"/>
                <w:highlight w:val="none"/>
                <w:lang w:val="en-US" w:eastAsia="zh-CN"/>
              </w:rPr>
              <w:t>人</w:t>
            </w:r>
            <w:r>
              <w:rPr>
                <w:rFonts w:hint="eastAsia" w:ascii="Tahoma" w:hAnsi="Tahoma" w:cstheme="minorBidi"/>
                <w:color w:val="auto"/>
                <w:szCs w:val="22"/>
                <w:highlight w:val="none"/>
              </w:rPr>
              <w:t>有权延期付款。</w:t>
            </w:r>
          </w:p>
        </w:tc>
      </w:tr>
    </w:tbl>
    <w:p>
      <w:pPr>
        <w:shd w:val="clear"/>
        <w:rPr>
          <w:rFonts w:ascii="宋体" w:hAnsi="宋体" w:cs="宋体"/>
          <w:color w:val="auto"/>
          <w:highlight w:val="none"/>
        </w:rPr>
      </w:pPr>
    </w:p>
    <w:p>
      <w:pPr>
        <w:pStyle w:val="2"/>
        <w:shd w:val="clear"/>
        <w:rPr>
          <w:color w:val="auto"/>
          <w:highlight w:val="none"/>
        </w:rPr>
      </w:pPr>
    </w:p>
    <w:p>
      <w:pPr>
        <w:pStyle w:val="28"/>
        <w:shd w:val="clear"/>
        <w:ind w:firstLine="0" w:firstLineChars="0"/>
        <w:jc w:val="center"/>
        <w:rPr>
          <w:rFonts w:ascii="宋体" w:hAnsi="宋体"/>
          <w:color w:val="auto"/>
          <w:sz w:val="30"/>
          <w:szCs w:val="30"/>
          <w:highlight w:val="none"/>
        </w:rPr>
      </w:pPr>
      <w:bookmarkStart w:id="12" w:name="_Toc19316"/>
      <w:r>
        <w:rPr>
          <w:rFonts w:hint="eastAsia" w:ascii="宋体" w:hAnsi="宋体"/>
          <w:color w:val="auto"/>
          <w:sz w:val="30"/>
          <w:szCs w:val="30"/>
          <w:highlight w:val="none"/>
        </w:rPr>
        <w:t>附表1资质响应清单</w:t>
      </w:r>
    </w:p>
    <w:tbl>
      <w:tblPr>
        <w:tblStyle w:val="30"/>
        <w:tblW w:w="8437" w:type="dxa"/>
        <w:tblInd w:w="113" w:type="dxa"/>
        <w:tblLayout w:type="fixed"/>
        <w:tblCellMar>
          <w:top w:w="0" w:type="dxa"/>
          <w:left w:w="108" w:type="dxa"/>
          <w:bottom w:w="0" w:type="dxa"/>
          <w:right w:w="108" w:type="dxa"/>
        </w:tblCellMar>
      </w:tblPr>
      <w:tblGrid>
        <w:gridCol w:w="644"/>
        <w:gridCol w:w="1691"/>
        <w:gridCol w:w="2253"/>
        <w:gridCol w:w="1610"/>
        <w:gridCol w:w="1308"/>
        <w:gridCol w:w="931"/>
      </w:tblGrid>
      <w:tr>
        <w:tblPrEx>
          <w:tblCellMar>
            <w:top w:w="0" w:type="dxa"/>
            <w:left w:w="108" w:type="dxa"/>
            <w:bottom w:w="0" w:type="dxa"/>
            <w:right w:w="108" w:type="dxa"/>
          </w:tblCellMar>
        </w:tblPrEx>
        <w:trPr>
          <w:trHeight w:val="805" w:hRule="atLeast"/>
        </w:trPr>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序号</w:t>
            </w:r>
          </w:p>
        </w:tc>
        <w:tc>
          <w:tcPr>
            <w:tcW w:w="1691" w:type="dxa"/>
            <w:tcBorders>
              <w:top w:val="single" w:color="auto" w:sz="4" w:space="0"/>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能力类型</w:t>
            </w:r>
          </w:p>
        </w:tc>
        <w:tc>
          <w:tcPr>
            <w:tcW w:w="2253" w:type="dxa"/>
            <w:tcBorders>
              <w:top w:val="single" w:color="auto" w:sz="4" w:space="0"/>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资质项目</w:t>
            </w:r>
          </w:p>
        </w:tc>
        <w:tc>
          <w:tcPr>
            <w:tcW w:w="1610" w:type="dxa"/>
            <w:tcBorders>
              <w:top w:val="single" w:color="auto" w:sz="4" w:space="0"/>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是否具备资质</w:t>
            </w:r>
          </w:p>
        </w:tc>
        <w:tc>
          <w:tcPr>
            <w:tcW w:w="1308" w:type="dxa"/>
            <w:tcBorders>
              <w:top w:val="single" w:color="auto" w:sz="4" w:space="0"/>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证书附表对应页码</w:t>
            </w:r>
          </w:p>
        </w:tc>
        <w:tc>
          <w:tcPr>
            <w:tcW w:w="931" w:type="dxa"/>
            <w:tcBorders>
              <w:top w:val="single" w:color="auto" w:sz="4" w:space="0"/>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备注</w:t>
            </w: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总余氯</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2</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总硬度</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3</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砷</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4</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铅</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5</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总磷</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6</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汞</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7</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铬</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8</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镉</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9</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总氮</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10</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总大肠菌群</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11</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银</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804"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12</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阴离子表面活性剂LAS</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13</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亚硝酸盐（以N计）</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14</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悬浮物</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15</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锌</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16</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硝酸盐</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17</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细菌总数</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18</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五日生化需氧量</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19</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铜</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20</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铁</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21</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锑</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22</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石油类</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23</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生化需氧量</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24</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色度</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25</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溶解氧</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26</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溶解性总固体</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27</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氰化物</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28</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镍</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29</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镁</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30</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氯化物</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31</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六价铬</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32</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硫酸盐</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33</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硫化物</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34</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菌落总数</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35</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钾</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36</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浑浊度</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37</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挥发酚类</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38</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化学需氧量</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39</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高锰酸盐指数</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40</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钙</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41</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氟化物</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42</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粪大肠菌群数</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43</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动植物油</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44</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电导率</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45</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地下水位</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46</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氨氮（以N计）</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47</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水和废水</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pH值</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48</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油烟浓度</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49</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一氧化碳</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50</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氧气CMS</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51</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烟温CMS</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52</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湿度CMS</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53</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流速CMS</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54</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颗粒物</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804"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55</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锡及其化合物（以Sn计）</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804"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56</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铜及其化合物（以Cu计）</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804"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57</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锑及其化合物（以Sb计）</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804"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58</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铊及其化合物（以Tl计）</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804"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59</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砷及其化合物（以As计）</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60</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氰化氢</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804"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61</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铅及其化合物（以Pb计）</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804"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62</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镍及其化合物（以Ni计）</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804"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63</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锰及其化合物（以Mn计）</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804"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64</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锰及其化合物（以Mn+计）</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65</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氯化氢</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66</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六价铬</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67</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硫酸雾</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68</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硫化氢</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69</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林格曼黑度</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70</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甲醛</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71</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甲硫醇</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72</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甲醇</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73</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挥发性有机化合物</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74</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含氧量</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804"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75</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钴及其化合物（以Co计）</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804"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76</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汞及其化合物（以Hg计）</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77</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铬酸雾</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804"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78</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铬及其化合物（以Cr计）</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804"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79</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镉及其化合物（以Cd计）</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80</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氟化物</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81</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氟化氢</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82</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 xml:space="preserve">非甲烷总烃 </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83</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二氧化碳</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84</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二氧化硫</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85</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二氧化氮</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86</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二</w:t>
            </w:r>
            <w:r>
              <w:rPr>
                <w:rFonts w:hint="eastAsia" w:ascii="黑体" w:hAnsi="黑体" w:eastAsia="黑体" w:cs="微软雅黑"/>
                <w:color w:val="auto"/>
                <w:szCs w:val="21"/>
                <w:highlight w:val="none"/>
              </w:rPr>
              <w:t>噁</w:t>
            </w:r>
            <w:r>
              <w:rPr>
                <w:rFonts w:hint="eastAsia" w:ascii="黑体" w:hAnsi="黑体" w:eastAsia="黑体" w:cs="宋体"/>
                <w:color w:val="auto"/>
                <w:szCs w:val="21"/>
                <w:highlight w:val="none"/>
              </w:rPr>
              <w:t>英</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87</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氮氧化物</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88</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臭氧</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89</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臭气浓度</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90</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氨（氨气）</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91</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PM2.5</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92</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空气和废气</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PM10</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93</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固体废物</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铬</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94</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固体废物</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锌</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95</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固体废物</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硒</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96</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固体废物</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铜</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97</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固体废物</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砷</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98</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固体废物</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热灼减率</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99</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固体废物</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铅</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100</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固体废物</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铍</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101</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固体废物</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镍</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102</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固体废物</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六价铬</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103</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固体废物</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含水率</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104</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固体废物</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汞</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105</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固体废物</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镉</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106</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固体废物</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二</w:t>
            </w:r>
            <w:r>
              <w:rPr>
                <w:rFonts w:hint="eastAsia" w:ascii="黑体" w:hAnsi="黑体" w:eastAsia="黑体" w:cs="微软雅黑"/>
                <w:color w:val="auto"/>
                <w:szCs w:val="21"/>
                <w:highlight w:val="none"/>
              </w:rPr>
              <w:t>噁</w:t>
            </w:r>
            <w:r>
              <w:rPr>
                <w:rFonts w:hint="eastAsia" w:ascii="黑体" w:hAnsi="黑体" w:eastAsia="黑体" w:cs="仿宋_GB2312"/>
                <w:color w:val="auto"/>
                <w:szCs w:val="21"/>
                <w:highlight w:val="none"/>
              </w:rPr>
              <w:t>英</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107</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固体废物</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钡</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108</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土壤和沉积物</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锌</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109</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土壤和沉积物</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铜</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110</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土壤和沉积物</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锑</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111</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土壤和沉积物</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砷</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112</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土壤和沉积物</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铅</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113</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土壤和沉积物</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镍</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114</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土壤和沉积物</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汞</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115</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土壤和沉积物</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铬（六价）</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116</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土壤和沉积物</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铬</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117</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土壤和沉积物</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镉</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118</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土壤和沉积物</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二</w:t>
            </w:r>
            <w:r>
              <w:rPr>
                <w:rFonts w:hint="eastAsia" w:ascii="黑体" w:hAnsi="黑体" w:eastAsia="黑体" w:cs="微软雅黑"/>
                <w:color w:val="auto"/>
                <w:szCs w:val="21"/>
                <w:highlight w:val="none"/>
              </w:rPr>
              <w:t>噁</w:t>
            </w:r>
            <w:r>
              <w:rPr>
                <w:rFonts w:hint="eastAsia" w:ascii="黑体" w:hAnsi="黑体" w:eastAsia="黑体" w:cs="宋体"/>
                <w:color w:val="auto"/>
                <w:szCs w:val="21"/>
                <w:highlight w:val="none"/>
              </w:rPr>
              <w:t>英</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0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119</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土壤和沉积物</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pH值</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r>
        <w:tblPrEx>
          <w:tblCellMar>
            <w:top w:w="0" w:type="dxa"/>
            <w:left w:w="108" w:type="dxa"/>
            <w:bottom w:w="0" w:type="dxa"/>
            <w:right w:w="108" w:type="dxa"/>
          </w:tblCellMar>
        </w:tblPrEx>
        <w:trPr>
          <w:trHeight w:val="417"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黑体" w:hAnsi="黑体" w:eastAsia="黑体" w:cs="宋体"/>
                <w:color w:val="auto"/>
                <w:szCs w:val="21"/>
                <w:highlight w:val="none"/>
              </w:rPr>
            </w:pPr>
            <w:r>
              <w:rPr>
                <w:rFonts w:hint="eastAsia" w:ascii="黑体" w:hAnsi="黑体" w:eastAsia="黑体" w:cs="宋体"/>
                <w:color w:val="auto"/>
                <w:szCs w:val="21"/>
                <w:highlight w:val="none"/>
              </w:rPr>
              <w:t>120</w:t>
            </w:r>
          </w:p>
        </w:tc>
        <w:tc>
          <w:tcPr>
            <w:tcW w:w="1691"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厂界噪声</w:t>
            </w:r>
          </w:p>
        </w:tc>
        <w:tc>
          <w:tcPr>
            <w:tcW w:w="2253" w:type="dxa"/>
            <w:tcBorders>
              <w:top w:val="nil"/>
              <w:left w:val="nil"/>
              <w:bottom w:val="single" w:color="auto" w:sz="4" w:space="0"/>
              <w:right w:val="single" w:color="auto" w:sz="4" w:space="0"/>
            </w:tcBorders>
            <w:shd w:val="clear" w:color="auto" w:fill="auto"/>
            <w:vAlign w:val="center"/>
          </w:tcPr>
          <w:p>
            <w:pPr>
              <w:shd w:val="clear"/>
              <w:rPr>
                <w:rFonts w:ascii="黑体" w:hAnsi="黑体" w:eastAsia="黑体" w:cs="宋体"/>
                <w:color w:val="auto"/>
                <w:szCs w:val="21"/>
                <w:highlight w:val="none"/>
              </w:rPr>
            </w:pPr>
            <w:r>
              <w:rPr>
                <w:rFonts w:hint="eastAsia" w:ascii="黑体" w:hAnsi="黑体" w:eastAsia="黑体" w:cs="宋体"/>
                <w:color w:val="auto"/>
                <w:szCs w:val="21"/>
                <w:highlight w:val="none"/>
              </w:rPr>
              <w:t>等效声级</w:t>
            </w:r>
          </w:p>
        </w:tc>
        <w:tc>
          <w:tcPr>
            <w:tcW w:w="1610"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1308"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c>
          <w:tcPr>
            <w:tcW w:w="931" w:type="dxa"/>
            <w:tcBorders>
              <w:top w:val="nil"/>
              <w:left w:val="nil"/>
              <w:bottom w:val="single" w:color="auto" w:sz="4" w:space="0"/>
              <w:right w:val="single" w:color="auto" w:sz="4" w:space="0"/>
            </w:tcBorders>
            <w:shd w:val="clear" w:color="auto" w:fill="auto"/>
            <w:noWrap/>
            <w:vAlign w:val="bottom"/>
          </w:tcPr>
          <w:p>
            <w:pPr>
              <w:shd w:val="clear"/>
              <w:rPr>
                <w:rFonts w:ascii="黑体" w:hAnsi="黑体" w:eastAsia="黑体" w:cs="宋体"/>
                <w:color w:val="auto"/>
                <w:szCs w:val="21"/>
                <w:highlight w:val="none"/>
              </w:rPr>
            </w:pPr>
          </w:p>
        </w:tc>
      </w:tr>
    </w:tbl>
    <w:p>
      <w:pPr>
        <w:pStyle w:val="2"/>
        <w:shd w:val="clear"/>
        <w:rPr>
          <w:color w:val="auto"/>
          <w:highlight w:val="none"/>
        </w:rPr>
      </w:pPr>
      <w:r>
        <w:rPr>
          <w:rFonts w:hint="eastAsia"/>
          <w:color w:val="auto"/>
          <w:highlight w:val="none"/>
        </w:rPr>
        <w:t>★投标人检测证书必须具有本项目资质响应清单</w:t>
      </w:r>
      <w:r>
        <w:rPr>
          <w:color w:val="auto"/>
          <w:highlight w:val="none"/>
        </w:rPr>
        <w:t>108</w:t>
      </w:r>
      <w:r>
        <w:rPr>
          <w:rFonts w:hint="eastAsia"/>
          <w:color w:val="auto"/>
          <w:highlight w:val="none"/>
        </w:rPr>
        <w:t>项或以上。</w:t>
      </w:r>
      <w:r>
        <w:rPr>
          <w:rFonts w:hint="eastAsia"/>
          <w:color w:val="auto"/>
          <w:highlight w:val="none"/>
          <w:lang w:val="en-US"/>
        </w:rPr>
        <w:t>投标人已具有的</w:t>
      </w:r>
      <w:r>
        <w:rPr>
          <w:rFonts w:hint="eastAsia"/>
          <w:color w:val="auto"/>
          <w:highlight w:val="none"/>
        </w:rPr>
        <w:t>响应清单</w:t>
      </w:r>
      <w:r>
        <w:rPr>
          <w:color w:val="auto"/>
          <w:highlight w:val="none"/>
        </w:rPr>
        <w:t>108</w:t>
      </w:r>
      <w:r>
        <w:rPr>
          <w:rFonts w:hint="eastAsia"/>
          <w:color w:val="auto"/>
          <w:highlight w:val="none"/>
        </w:rPr>
        <w:t>项或以上</w:t>
      </w:r>
      <w:r>
        <w:rPr>
          <w:rFonts w:hint="eastAsia"/>
          <w:color w:val="auto"/>
          <w:highlight w:val="none"/>
          <w:lang w:val="en-US"/>
        </w:rPr>
        <w:t>项目不允许进行分包;余下的不具备的对应资质允许在</w:t>
      </w:r>
      <w:r>
        <w:rPr>
          <w:rFonts w:hint="eastAsia"/>
          <w:color w:val="auto"/>
          <w:highlight w:val="none"/>
        </w:rPr>
        <w:t>质量可控范围内</w:t>
      </w:r>
      <w:r>
        <w:rPr>
          <w:rFonts w:hint="eastAsia"/>
          <w:color w:val="auto"/>
          <w:highlight w:val="none"/>
          <w:lang w:val="en-US"/>
        </w:rPr>
        <w:t>进行</w:t>
      </w:r>
      <w:r>
        <w:rPr>
          <w:rFonts w:hint="eastAsia"/>
          <w:color w:val="auto"/>
          <w:highlight w:val="none"/>
        </w:rPr>
        <w:t>分包，</w:t>
      </w:r>
      <w:r>
        <w:rPr>
          <w:rFonts w:hint="eastAsia"/>
          <w:color w:val="auto"/>
          <w:highlight w:val="none"/>
          <w:lang w:val="en-US"/>
        </w:rPr>
        <w:t>但</w:t>
      </w:r>
      <w:r>
        <w:rPr>
          <w:rFonts w:hint="eastAsia"/>
          <w:color w:val="auto"/>
          <w:highlight w:val="none"/>
        </w:rPr>
        <w:t>不得出现二次分包的情形。</w:t>
      </w:r>
    </w:p>
    <w:p>
      <w:pPr>
        <w:shd w:val="clear"/>
        <w:rPr>
          <w:color w:val="auto"/>
          <w:highlight w:val="none"/>
        </w:rPr>
      </w:pPr>
    </w:p>
    <w:p>
      <w:pPr>
        <w:pStyle w:val="2"/>
        <w:shd w:val="clear"/>
        <w:rPr>
          <w:color w:val="auto"/>
          <w:highlight w:val="none"/>
        </w:rPr>
      </w:pPr>
    </w:p>
    <w:p>
      <w:pPr>
        <w:shd w:val="clear"/>
        <w:rPr>
          <w:color w:val="auto"/>
          <w:highlight w:val="none"/>
        </w:rPr>
      </w:pPr>
    </w:p>
    <w:p>
      <w:pPr>
        <w:pStyle w:val="2"/>
        <w:shd w:val="clear"/>
        <w:rPr>
          <w:color w:val="auto"/>
          <w:highlight w:val="none"/>
        </w:rPr>
      </w:pPr>
    </w:p>
    <w:p>
      <w:pPr>
        <w:pStyle w:val="5"/>
        <w:shd w:val="clear"/>
        <w:spacing w:before="0" w:after="0" w:line="360" w:lineRule="auto"/>
        <w:jc w:val="center"/>
        <w:rPr>
          <w:rFonts w:ascii="宋体" w:hAnsi="宋体" w:cs="宋体"/>
          <w:color w:val="auto"/>
          <w:highlight w:val="none"/>
        </w:rPr>
      </w:pPr>
      <w:bookmarkStart w:id="13" w:name="_Toc30066"/>
      <w:r>
        <w:rPr>
          <w:rFonts w:hint="eastAsia" w:ascii="宋体" w:hAnsi="宋体" w:cs="宋体"/>
          <w:color w:val="auto"/>
          <w:highlight w:val="none"/>
        </w:rPr>
        <w:t>第二章 技术需求书</w:t>
      </w:r>
      <w:bookmarkEnd w:id="12"/>
      <w:bookmarkEnd w:id="13"/>
    </w:p>
    <w:bookmarkEnd w:id="7"/>
    <w:p>
      <w:pPr>
        <w:pStyle w:val="3"/>
        <w:shd w:val="clear"/>
        <w:spacing w:before="0" w:after="0" w:line="360" w:lineRule="auto"/>
        <w:jc w:val="both"/>
        <w:rPr>
          <w:rFonts w:ascii="宋体" w:hAnsi="宋体" w:cs="宋体"/>
          <w:color w:val="auto"/>
          <w:highlight w:val="none"/>
        </w:rPr>
      </w:pPr>
      <w:r>
        <w:rPr>
          <w:rFonts w:hint="eastAsia" w:ascii="宋体" w:hAnsi="宋体" w:cs="宋体"/>
          <w:bCs/>
          <w:color w:val="auto"/>
          <w:sz w:val="30"/>
          <w:szCs w:val="30"/>
          <w:highlight w:val="none"/>
        </w:rPr>
        <w:t>第一部分</w:t>
      </w:r>
    </w:p>
    <w:p>
      <w:pPr>
        <w:shd w:val="clear"/>
        <w:jc w:val="center"/>
        <w:rPr>
          <w:rFonts w:ascii="宋体" w:hAnsi="宋体" w:cs="宋体"/>
          <w:b/>
          <w:bCs/>
          <w:color w:val="auto"/>
          <w:sz w:val="30"/>
          <w:szCs w:val="30"/>
          <w:highlight w:val="none"/>
        </w:rPr>
      </w:pPr>
      <w:bookmarkStart w:id="14" w:name="_Hlt45194105"/>
      <w:bookmarkEnd w:id="14"/>
      <w:r>
        <w:rPr>
          <w:rFonts w:hint="eastAsia" w:ascii="宋体" w:hAnsi="宋体" w:cs="宋体"/>
          <w:b/>
          <w:bCs/>
          <w:color w:val="auto"/>
          <w:sz w:val="30"/>
          <w:szCs w:val="30"/>
          <w:highlight w:val="none"/>
        </w:rPr>
        <w:t>广东省东实环境股份有限公司餐厨项目</w:t>
      </w:r>
    </w:p>
    <w:p>
      <w:pPr>
        <w:shd w:val="clear"/>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环境监测技术需求书</w:t>
      </w:r>
    </w:p>
    <w:p>
      <w:pPr>
        <w:shd w:val="clear"/>
        <w:rPr>
          <w:rFonts w:ascii="宋体" w:hAnsi="宋体" w:cs="宋体"/>
          <w:color w:val="auto"/>
          <w:szCs w:val="21"/>
          <w:highlight w:val="none"/>
        </w:rPr>
      </w:pPr>
      <w:r>
        <w:rPr>
          <w:rFonts w:hint="eastAsia" w:ascii="宋体" w:hAnsi="宋体" w:cs="宋体"/>
          <w:color w:val="auto"/>
          <w:szCs w:val="21"/>
          <w:highlight w:val="none"/>
        </w:rPr>
        <w:t>一、项目概况</w:t>
      </w:r>
    </w:p>
    <w:p>
      <w:pPr>
        <w:shd w:val="clear"/>
        <w:rPr>
          <w:rFonts w:ascii="宋体" w:hAnsi="宋体" w:cs="宋体"/>
          <w:color w:val="auto"/>
          <w:szCs w:val="21"/>
          <w:highlight w:val="none"/>
        </w:rPr>
      </w:pPr>
      <w:r>
        <w:rPr>
          <w:rFonts w:hint="eastAsia" w:ascii="宋体" w:hAnsi="宋体" w:cs="宋体"/>
          <w:color w:val="auto"/>
          <w:szCs w:val="21"/>
          <w:highlight w:val="none"/>
        </w:rPr>
        <w:t>广东东实环境股份有限公司运营项目麻涌垃圾处理厂三期是东莞市作为国家第四批餐厨垃圾资源化利用和无害化处理试点城市的首个项目，规划收运处理餐厨垃圾300吨/天和地沟油10吨/天。面向全市提供餐厨垃圾收运工作，将餐厨垃圾通过厌氧发酵技术产生沼气，经提纯后变成天然气；对餐厨垃圾中的含水油脂和回收的地沟油进行提纯，得到工业油脂。项目约可产生天然气1.8万m³/d和工业级混合油6t/d。</w:t>
      </w:r>
    </w:p>
    <w:p>
      <w:pPr>
        <w:shd w:val="clear"/>
        <w:rPr>
          <w:rFonts w:ascii="宋体" w:hAnsi="宋体" w:cs="宋体"/>
          <w:color w:val="auto"/>
          <w:szCs w:val="21"/>
          <w:highlight w:val="none"/>
        </w:rPr>
      </w:pPr>
    </w:p>
    <w:p>
      <w:pPr>
        <w:shd w:val="clear"/>
        <w:rPr>
          <w:rFonts w:ascii="宋体" w:hAnsi="宋体" w:cs="宋体"/>
          <w:color w:val="auto"/>
          <w:szCs w:val="21"/>
          <w:highlight w:val="none"/>
        </w:rPr>
      </w:pPr>
      <w:r>
        <w:rPr>
          <w:rFonts w:hint="eastAsia" w:ascii="宋体" w:hAnsi="宋体" w:cs="宋体"/>
          <w:color w:val="auto"/>
          <w:szCs w:val="21"/>
          <w:highlight w:val="none"/>
        </w:rPr>
        <w:t>二、服务清单</w:t>
      </w:r>
    </w:p>
    <w:p>
      <w:pPr>
        <w:shd w:val="clear"/>
        <w:rPr>
          <w:rFonts w:ascii="宋体" w:hAnsi="宋体" w:cs="宋体"/>
          <w:color w:val="auto"/>
          <w:szCs w:val="21"/>
          <w:highlight w:val="none"/>
        </w:rPr>
      </w:pPr>
      <w:r>
        <w:rPr>
          <w:rFonts w:hint="eastAsia" w:ascii="宋体" w:hAnsi="宋体" w:cs="宋体"/>
          <w:color w:val="auto"/>
          <w:szCs w:val="21"/>
          <w:highlight w:val="none"/>
        </w:rPr>
        <w:t>（一）服务期限</w:t>
      </w:r>
    </w:p>
    <w:p>
      <w:pPr>
        <w:shd w:val="clear"/>
        <w:rPr>
          <w:rFonts w:ascii="宋体" w:hAnsi="宋体" w:cs="宋体"/>
          <w:color w:val="auto"/>
          <w:szCs w:val="21"/>
          <w:highlight w:val="none"/>
        </w:rPr>
      </w:pPr>
      <w:r>
        <w:rPr>
          <w:rFonts w:hint="eastAsia" w:ascii="宋体" w:hAnsi="宋体" w:cs="宋体"/>
          <w:color w:val="auto"/>
          <w:szCs w:val="21"/>
          <w:highlight w:val="none"/>
        </w:rPr>
        <w:t>广东东实环境股份有限公司监测服务时间为一年。实际服务时间为自中标人实际进场开始检测之日起一年。</w:t>
      </w:r>
    </w:p>
    <w:p>
      <w:pPr>
        <w:shd w:val="clear"/>
        <w:rPr>
          <w:rFonts w:ascii="宋体" w:hAnsi="宋体" w:cs="宋体"/>
          <w:color w:val="auto"/>
          <w:szCs w:val="21"/>
          <w:highlight w:val="none"/>
        </w:rPr>
      </w:pPr>
      <w:r>
        <w:rPr>
          <w:rFonts w:hint="eastAsia" w:ascii="宋体" w:hAnsi="宋体" w:cs="宋体"/>
          <w:color w:val="auto"/>
          <w:szCs w:val="21"/>
          <w:highlight w:val="none"/>
        </w:rPr>
        <w:t>（二）服务内容</w:t>
      </w:r>
    </w:p>
    <w:p>
      <w:pPr>
        <w:shd w:val="clear"/>
        <w:rPr>
          <w:rFonts w:ascii="宋体" w:hAnsi="宋体" w:cs="宋体"/>
          <w:color w:val="auto"/>
          <w:szCs w:val="21"/>
          <w:highlight w:val="none"/>
        </w:rPr>
      </w:pPr>
      <w:r>
        <w:rPr>
          <w:rFonts w:hint="eastAsia" w:ascii="宋体" w:hAnsi="宋体" w:cs="宋体"/>
          <w:color w:val="auto"/>
          <w:szCs w:val="21"/>
          <w:highlight w:val="none"/>
        </w:rPr>
        <w:t>1.餐厨项目</w:t>
      </w:r>
    </w:p>
    <w:p>
      <w:pPr>
        <w:shd w:val="clear"/>
        <w:rPr>
          <w:rFonts w:ascii="宋体" w:hAnsi="宋体" w:cs="宋体"/>
          <w:color w:val="auto"/>
          <w:szCs w:val="21"/>
          <w:highlight w:val="none"/>
        </w:rPr>
      </w:pPr>
      <w:r>
        <w:rPr>
          <w:rFonts w:hint="eastAsia" w:ascii="宋体" w:hAnsi="宋体" w:cs="宋体"/>
          <w:color w:val="auto"/>
          <w:szCs w:val="21"/>
          <w:highlight w:val="none"/>
        </w:rPr>
        <w:t>2021年3月1日生态环境部施行的《排污许可管理条例》、《排污许可证申请与核发技术规范 环境卫生管理业》（HJ 1106-2020）、《排污单位自行监测技术指南 总则》（HJ 819-2017 ）及项目环评确定委外环境监测方案如附表2，服务单位须根据约定时间完成采样、监测并出具监测报告。</w:t>
      </w:r>
    </w:p>
    <w:p>
      <w:pPr>
        <w:shd w:val="clear"/>
        <w:rPr>
          <w:rFonts w:ascii="宋体" w:hAnsi="宋体" w:cs="宋体"/>
          <w:color w:val="auto"/>
          <w:szCs w:val="21"/>
          <w:highlight w:val="none"/>
        </w:rPr>
      </w:pPr>
      <w:r>
        <w:rPr>
          <w:rFonts w:hint="eastAsia" w:ascii="宋体" w:hAnsi="宋体" w:cs="宋体"/>
          <w:color w:val="auto"/>
          <w:szCs w:val="21"/>
          <w:highlight w:val="none"/>
        </w:rPr>
        <w:t>附表2：餐厨项目监测方案</w:t>
      </w:r>
    </w:p>
    <w:tbl>
      <w:tblPr>
        <w:tblStyle w:val="30"/>
        <w:tblW w:w="8596" w:type="dxa"/>
        <w:tblInd w:w="0" w:type="dxa"/>
        <w:tblLayout w:type="fixed"/>
        <w:tblCellMar>
          <w:top w:w="0" w:type="dxa"/>
          <w:left w:w="108" w:type="dxa"/>
          <w:bottom w:w="0" w:type="dxa"/>
          <w:right w:w="108" w:type="dxa"/>
        </w:tblCellMar>
      </w:tblPr>
      <w:tblGrid>
        <w:gridCol w:w="511"/>
        <w:gridCol w:w="984"/>
        <w:gridCol w:w="1241"/>
        <w:gridCol w:w="2125"/>
        <w:gridCol w:w="1072"/>
        <w:gridCol w:w="1603"/>
        <w:gridCol w:w="1060"/>
      </w:tblGrid>
      <w:tr>
        <w:tblPrEx>
          <w:tblCellMar>
            <w:top w:w="0" w:type="dxa"/>
            <w:left w:w="108" w:type="dxa"/>
            <w:bottom w:w="0" w:type="dxa"/>
            <w:right w:w="108" w:type="dxa"/>
          </w:tblCellMar>
        </w:tblPrEx>
        <w:trPr>
          <w:trHeight w:val="711" w:hRule="atLeast"/>
          <w:tblHeader/>
        </w:trPr>
        <w:tc>
          <w:tcPr>
            <w:tcW w:w="51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984"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1241"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监测点位</w:t>
            </w:r>
          </w:p>
        </w:tc>
        <w:tc>
          <w:tcPr>
            <w:tcW w:w="2125"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监测因子</w:t>
            </w:r>
          </w:p>
        </w:tc>
        <w:tc>
          <w:tcPr>
            <w:tcW w:w="1072"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监测频次</w:t>
            </w:r>
          </w:p>
        </w:tc>
        <w:tc>
          <w:tcPr>
            <w:tcW w:w="1603"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1060" w:type="dxa"/>
            <w:tcBorders>
              <w:top w:val="single" w:color="auto" w:sz="4" w:space="0"/>
              <w:left w:val="nil"/>
              <w:bottom w:val="single" w:color="auto" w:sz="4" w:space="0"/>
              <w:right w:val="single" w:color="auto" w:sz="4" w:space="0"/>
            </w:tcBorders>
            <w:shd w:val="clear" w:color="000000"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年样品数量</w:t>
            </w:r>
          </w:p>
        </w:tc>
      </w:tr>
      <w:tr>
        <w:tblPrEx>
          <w:tblCellMar>
            <w:top w:w="0" w:type="dxa"/>
            <w:left w:w="108" w:type="dxa"/>
            <w:bottom w:w="0" w:type="dxa"/>
            <w:right w:w="108" w:type="dxa"/>
          </w:tblCellMar>
        </w:tblPrEx>
        <w:trPr>
          <w:trHeight w:val="2816" w:hRule="atLeast"/>
        </w:trPr>
        <w:tc>
          <w:tcPr>
            <w:tcW w:w="511"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c>
          <w:tcPr>
            <w:tcW w:w="9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废水</w:t>
            </w:r>
          </w:p>
        </w:tc>
        <w:tc>
          <w:tcPr>
            <w:tcW w:w="124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污水排放口（尾水箱）</w:t>
            </w:r>
          </w:p>
        </w:tc>
        <w:tc>
          <w:tcPr>
            <w:tcW w:w="212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pH值、悬浮物、五日生化需氧量、化学需氧量、氨氮、总磷、动植物油、总氮、溶解性总固体、氯化物、硫酸盐、石油类、粪大肠菌群、阴离子表面活性剂</w:t>
            </w:r>
          </w:p>
        </w:tc>
        <w:tc>
          <w:tcPr>
            <w:tcW w:w="107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60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1060"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r>
      <w:tr>
        <w:tblPrEx>
          <w:tblCellMar>
            <w:top w:w="0" w:type="dxa"/>
            <w:left w:w="108" w:type="dxa"/>
            <w:bottom w:w="0" w:type="dxa"/>
            <w:right w:w="108" w:type="dxa"/>
          </w:tblCellMar>
        </w:tblPrEx>
        <w:trPr>
          <w:trHeight w:val="2573" w:hRule="atLeast"/>
        </w:trPr>
        <w:tc>
          <w:tcPr>
            <w:tcW w:w="511"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w:t>
            </w:r>
          </w:p>
        </w:tc>
        <w:tc>
          <w:tcPr>
            <w:tcW w:w="9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雨水</w:t>
            </w:r>
          </w:p>
        </w:tc>
        <w:tc>
          <w:tcPr>
            <w:tcW w:w="124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麻电项目初期雨水收集池排放口</w:t>
            </w:r>
          </w:p>
        </w:tc>
        <w:tc>
          <w:tcPr>
            <w:tcW w:w="212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化学需氧量、悬浮物、氨氮</w:t>
            </w:r>
          </w:p>
        </w:tc>
        <w:tc>
          <w:tcPr>
            <w:tcW w:w="107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60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采样时间间隔不少于4h，采样频次不少于3次。</w:t>
            </w:r>
          </w:p>
        </w:tc>
        <w:tc>
          <w:tcPr>
            <w:tcW w:w="1060"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CellMar>
            <w:top w:w="0" w:type="dxa"/>
            <w:left w:w="108" w:type="dxa"/>
            <w:bottom w:w="0" w:type="dxa"/>
            <w:right w:w="108" w:type="dxa"/>
          </w:tblCellMar>
        </w:tblPrEx>
        <w:trPr>
          <w:trHeight w:val="2816" w:hRule="atLeast"/>
        </w:trPr>
        <w:tc>
          <w:tcPr>
            <w:tcW w:w="511"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c>
          <w:tcPr>
            <w:tcW w:w="9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地下水</w:t>
            </w:r>
          </w:p>
          <w:p>
            <w:pPr>
              <w:shd w:val="clear"/>
              <w:jc w:val="center"/>
              <w:rPr>
                <w:rFonts w:ascii="宋体" w:hAnsi="宋体" w:cs="宋体"/>
                <w:color w:val="auto"/>
                <w:szCs w:val="21"/>
                <w:highlight w:val="none"/>
              </w:rPr>
            </w:pPr>
            <w:r>
              <w:rPr>
                <w:rFonts w:hint="eastAsia" w:ascii="宋体" w:hAnsi="宋体" w:cs="宋体"/>
                <w:color w:val="auto"/>
                <w:szCs w:val="21"/>
                <w:highlight w:val="none"/>
              </w:rPr>
              <w:t>（2个点）</w:t>
            </w:r>
          </w:p>
        </w:tc>
        <w:tc>
          <w:tcPr>
            <w:tcW w:w="124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项目内监测井（2个点，背景井及监视井）</w:t>
            </w:r>
          </w:p>
        </w:tc>
        <w:tc>
          <w:tcPr>
            <w:tcW w:w="212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pH值、总硬度、CODMn、氨氮、溶解性总固体、硫酸盐、硝酸盐、亚硝酸盐、六价铬、汞、砷、镉、铅、总大肠菌群、菌落总数</w:t>
            </w:r>
          </w:p>
        </w:tc>
        <w:tc>
          <w:tcPr>
            <w:tcW w:w="107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1次/半年</w:t>
            </w:r>
          </w:p>
        </w:tc>
        <w:tc>
          <w:tcPr>
            <w:tcW w:w="160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1060"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r>
      <w:tr>
        <w:tblPrEx>
          <w:tblCellMar>
            <w:top w:w="0" w:type="dxa"/>
            <w:left w:w="108" w:type="dxa"/>
            <w:bottom w:w="0" w:type="dxa"/>
            <w:right w:w="108" w:type="dxa"/>
          </w:tblCellMar>
        </w:tblPrEx>
        <w:trPr>
          <w:trHeight w:val="1412" w:hRule="atLeast"/>
        </w:trPr>
        <w:tc>
          <w:tcPr>
            <w:tcW w:w="511"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c>
          <w:tcPr>
            <w:tcW w:w="9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噪声（4个点）</w:t>
            </w:r>
          </w:p>
        </w:tc>
        <w:tc>
          <w:tcPr>
            <w:tcW w:w="124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厂界东南西北4个方位厂界1m处</w:t>
            </w:r>
          </w:p>
        </w:tc>
        <w:tc>
          <w:tcPr>
            <w:tcW w:w="212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等效声级（昼、夜各一次）</w:t>
            </w:r>
          </w:p>
        </w:tc>
        <w:tc>
          <w:tcPr>
            <w:tcW w:w="107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60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1060"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32</w:t>
            </w:r>
          </w:p>
        </w:tc>
      </w:tr>
      <w:tr>
        <w:tblPrEx>
          <w:tblCellMar>
            <w:top w:w="0" w:type="dxa"/>
            <w:left w:w="108" w:type="dxa"/>
            <w:bottom w:w="0" w:type="dxa"/>
            <w:right w:w="108" w:type="dxa"/>
          </w:tblCellMar>
        </w:tblPrEx>
        <w:trPr>
          <w:trHeight w:val="2465" w:hRule="atLeast"/>
        </w:trPr>
        <w:tc>
          <w:tcPr>
            <w:tcW w:w="511"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5</w:t>
            </w:r>
          </w:p>
        </w:tc>
        <w:tc>
          <w:tcPr>
            <w:tcW w:w="9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无组织废气</w:t>
            </w:r>
          </w:p>
          <w:p>
            <w:pPr>
              <w:shd w:val="clear"/>
              <w:jc w:val="center"/>
              <w:rPr>
                <w:rFonts w:ascii="宋体" w:hAnsi="宋体" w:cs="宋体"/>
                <w:color w:val="auto"/>
                <w:szCs w:val="21"/>
                <w:highlight w:val="none"/>
              </w:rPr>
            </w:pPr>
            <w:r>
              <w:rPr>
                <w:rFonts w:hint="eastAsia" w:ascii="宋体" w:hAnsi="宋体" w:cs="宋体"/>
                <w:color w:val="auto"/>
                <w:szCs w:val="21"/>
                <w:highlight w:val="none"/>
              </w:rPr>
              <w:t>（4个点）</w:t>
            </w:r>
          </w:p>
        </w:tc>
        <w:tc>
          <w:tcPr>
            <w:tcW w:w="124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餐厨项目周界处，上风向1个点，下风向3个点，合计4个点。</w:t>
            </w:r>
          </w:p>
        </w:tc>
        <w:tc>
          <w:tcPr>
            <w:tcW w:w="212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硫化氢、氨（氨气）、臭气浓度、甲硫醇、颗粒物</w:t>
            </w:r>
          </w:p>
        </w:tc>
        <w:tc>
          <w:tcPr>
            <w:tcW w:w="107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60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1.等时间间隔采样,采集4个样品计平均值。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2.恶臭污染监测样品采集不少于4次，取最大测定值。</w:t>
            </w:r>
          </w:p>
        </w:tc>
        <w:tc>
          <w:tcPr>
            <w:tcW w:w="1060"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64</w:t>
            </w:r>
          </w:p>
        </w:tc>
      </w:tr>
      <w:tr>
        <w:tblPrEx>
          <w:tblCellMar>
            <w:top w:w="0" w:type="dxa"/>
            <w:left w:w="108" w:type="dxa"/>
            <w:bottom w:w="0" w:type="dxa"/>
            <w:right w:w="108" w:type="dxa"/>
          </w:tblCellMar>
        </w:tblPrEx>
        <w:trPr>
          <w:trHeight w:val="5271" w:hRule="atLeast"/>
        </w:trPr>
        <w:tc>
          <w:tcPr>
            <w:tcW w:w="511"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w:t>
            </w:r>
          </w:p>
        </w:tc>
        <w:tc>
          <w:tcPr>
            <w:tcW w:w="9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有组织废气</w:t>
            </w:r>
          </w:p>
        </w:tc>
        <w:tc>
          <w:tcPr>
            <w:tcW w:w="124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除臭系统进、出口（2个点）</w:t>
            </w:r>
          </w:p>
        </w:tc>
        <w:tc>
          <w:tcPr>
            <w:tcW w:w="212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硫化氢、氨（氨气）、甲硫醇、臭气浓度、非甲烷总烃、除臭效率</w:t>
            </w:r>
          </w:p>
        </w:tc>
        <w:tc>
          <w:tcPr>
            <w:tcW w:w="107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60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1.非甲烷总烃以连续一小时的采样获取平均值或在一小时内以等时间间隔采集4个样品，并计平均值。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2.恶臭污染监测样品采集不少于3次，取最大测定值。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3.需要计算各个污染因子的去除效率。</w:t>
            </w:r>
          </w:p>
        </w:tc>
        <w:tc>
          <w:tcPr>
            <w:tcW w:w="1060"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24</w:t>
            </w:r>
          </w:p>
        </w:tc>
      </w:tr>
      <w:tr>
        <w:tblPrEx>
          <w:tblCellMar>
            <w:top w:w="0" w:type="dxa"/>
            <w:left w:w="108" w:type="dxa"/>
            <w:bottom w:w="0" w:type="dxa"/>
            <w:right w:w="108" w:type="dxa"/>
          </w:tblCellMar>
        </w:tblPrEx>
        <w:trPr>
          <w:trHeight w:val="2465" w:hRule="atLeast"/>
        </w:trPr>
        <w:tc>
          <w:tcPr>
            <w:tcW w:w="511"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7</w:t>
            </w:r>
          </w:p>
        </w:tc>
        <w:tc>
          <w:tcPr>
            <w:tcW w:w="9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环境空气</w:t>
            </w:r>
          </w:p>
        </w:tc>
        <w:tc>
          <w:tcPr>
            <w:tcW w:w="124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餐厨系统处理间</w:t>
            </w:r>
          </w:p>
        </w:tc>
        <w:tc>
          <w:tcPr>
            <w:tcW w:w="212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臭气浓度、硫化氢、甲硫醇、氨（氨气）</w:t>
            </w:r>
          </w:p>
        </w:tc>
        <w:tc>
          <w:tcPr>
            <w:tcW w:w="107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60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1.监测餐厨处理间门口的环境空气；</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2.恶臭污染监测样品采集不少于4次，取最大测定值。</w:t>
            </w:r>
          </w:p>
        </w:tc>
        <w:tc>
          <w:tcPr>
            <w:tcW w:w="1060"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16</w:t>
            </w:r>
          </w:p>
        </w:tc>
      </w:tr>
      <w:tr>
        <w:tblPrEx>
          <w:tblCellMar>
            <w:top w:w="0" w:type="dxa"/>
            <w:left w:w="108" w:type="dxa"/>
            <w:bottom w:w="0" w:type="dxa"/>
            <w:right w:w="108" w:type="dxa"/>
          </w:tblCellMar>
        </w:tblPrEx>
        <w:trPr>
          <w:trHeight w:val="1199" w:hRule="atLeast"/>
        </w:trPr>
        <w:tc>
          <w:tcPr>
            <w:tcW w:w="511"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8</w:t>
            </w:r>
          </w:p>
        </w:tc>
        <w:tc>
          <w:tcPr>
            <w:tcW w:w="9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敏感点</w:t>
            </w:r>
          </w:p>
        </w:tc>
        <w:tc>
          <w:tcPr>
            <w:tcW w:w="124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①四季飘香农业生态园；②漳澎村；③洪梅中心小学；④碧桂园十里江湾；⑤万科珠江东岸；每个点各1个样品</w:t>
            </w:r>
          </w:p>
        </w:tc>
        <w:tc>
          <w:tcPr>
            <w:tcW w:w="212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臭气浓度</w:t>
            </w:r>
          </w:p>
        </w:tc>
        <w:tc>
          <w:tcPr>
            <w:tcW w:w="107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60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恶臭污染监测样品采集不少于4次，取最大测定值。</w:t>
            </w:r>
          </w:p>
        </w:tc>
        <w:tc>
          <w:tcPr>
            <w:tcW w:w="1060"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80</w:t>
            </w:r>
          </w:p>
        </w:tc>
      </w:tr>
      <w:tr>
        <w:tblPrEx>
          <w:tblCellMar>
            <w:top w:w="0" w:type="dxa"/>
            <w:left w:w="108" w:type="dxa"/>
            <w:bottom w:w="0" w:type="dxa"/>
            <w:right w:w="108" w:type="dxa"/>
          </w:tblCellMar>
        </w:tblPrEx>
        <w:trPr>
          <w:trHeight w:val="422" w:hRule="atLeast"/>
        </w:trPr>
        <w:tc>
          <w:tcPr>
            <w:tcW w:w="7536" w:type="dxa"/>
            <w:gridSpan w:val="6"/>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小计</w:t>
            </w:r>
          </w:p>
        </w:tc>
        <w:tc>
          <w:tcPr>
            <w:tcW w:w="1060"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236</w:t>
            </w:r>
          </w:p>
        </w:tc>
      </w:tr>
    </w:tbl>
    <w:p>
      <w:pPr>
        <w:shd w:val="clear"/>
        <w:jc w:val="both"/>
        <w:rPr>
          <w:rFonts w:ascii="宋体" w:hAnsi="宋体" w:cs="宋体"/>
          <w:color w:val="auto"/>
          <w:szCs w:val="21"/>
          <w:highlight w:val="none"/>
        </w:rPr>
      </w:pPr>
    </w:p>
    <w:p>
      <w:pPr>
        <w:shd w:val="clear"/>
        <w:jc w:val="both"/>
        <w:rPr>
          <w:rFonts w:ascii="宋体" w:hAnsi="宋体" w:cs="宋体"/>
          <w:color w:val="auto"/>
          <w:szCs w:val="21"/>
          <w:highlight w:val="none"/>
        </w:rPr>
      </w:pPr>
      <w:r>
        <w:rPr>
          <w:rFonts w:hint="eastAsia" w:ascii="宋体" w:hAnsi="宋体" w:cs="宋体"/>
          <w:color w:val="auto"/>
          <w:szCs w:val="21"/>
          <w:highlight w:val="none"/>
        </w:rPr>
        <w:t>2.土壤调查</w:t>
      </w:r>
    </w:p>
    <w:p>
      <w:pPr>
        <w:shd w:val="clear"/>
        <w:rPr>
          <w:rFonts w:ascii="宋体" w:hAnsi="宋体" w:cs="宋体"/>
          <w:color w:val="auto"/>
          <w:szCs w:val="21"/>
          <w:highlight w:val="none"/>
        </w:rPr>
      </w:pPr>
      <w:r>
        <w:rPr>
          <w:rFonts w:hint="eastAsia" w:ascii="宋体" w:hAnsi="宋体" w:cs="宋体"/>
          <w:color w:val="auto"/>
          <w:szCs w:val="21"/>
          <w:highlight w:val="none"/>
        </w:rPr>
        <w:t>《工业企业土壤和地下水自行监测技术指南（试行）》（HJ1209-2021）、《重点行业企业用地调查疑似污染地块布点技术规定(试行)》确定委外环境监测方案如附表3，服务单位须依据相关文件的要求，完成采样、监测，出具年度的自行监测报告，通过专家审核同意并最终完成市生态环保局备案。</w:t>
      </w:r>
    </w:p>
    <w:p>
      <w:pPr>
        <w:shd w:val="clear"/>
        <w:jc w:val="center"/>
        <w:rPr>
          <w:rFonts w:ascii="宋体" w:hAnsi="宋体" w:cs="宋体"/>
          <w:color w:val="auto"/>
          <w:szCs w:val="21"/>
          <w:highlight w:val="none"/>
        </w:rPr>
      </w:pPr>
      <w:r>
        <w:rPr>
          <w:rFonts w:hint="eastAsia" w:ascii="宋体" w:hAnsi="宋体" w:cs="宋体"/>
          <w:color w:val="auto"/>
          <w:szCs w:val="21"/>
          <w:highlight w:val="none"/>
        </w:rPr>
        <w:t>附表3：土壤调查监测方案</w:t>
      </w:r>
    </w:p>
    <w:tbl>
      <w:tblPr>
        <w:tblStyle w:val="30"/>
        <w:tblW w:w="8847" w:type="dxa"/>
        <w:tblInd w:w="0" w:type="dxa"/>
        <w:tblLayout w:type="fixed"/>
        <w:tblCellMar>
          <w:top w:w="0" w:type="dxa"/>
          <w:left w:w="108" w:type="dxa"/>
          <w:bottom w:w="0" w:type="dxa"/>
          <w:right w:w="108" w:type="dxa"/>
        </w:tblCellMar>
      </w:tblPr>
      <w:tblGrid>
        <w:gridCol w:w="546"/>
        <w:gridCol w:w="1056"/>
        <w:gridCol w:w="1372"/>
        <w:gridCol w:w="2427"/>
        <w:gridCol w:w="1271"/>
        <w:gridCol w:w="1215"/>
        <w:gridCol w:w="960"/>
      </w:tblGrid>
      <w:tr>
        <w:tblPrEx>
          <w:tblCellMar>
            <w:top w:w="0" w:type="dxa"/>
            <w:left w:w="108" w:type="dxa"/>
            <w:bottom w:w="0" w:type="dxa"/>
            <w:right w:w="108" w:type="dxa"/>
          </w:tblCellMar>
        </w:tblPrEx>
        <w:trPr>
          <w:trHeight w:val="838" w:hRule="atLeast"/>
          <w:tblHeader/>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056"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1372"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监测点位</w:t>
            </w:r>
          </w:p>
        </w:tc>
        <w:tc>
          <w:tcPr>
            <w:tcW w:w="2427"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监测因子</w:t>
            </w:r>
          </w:p>
        </w:tc>
        <w:tc>
          <w:tcPr>
            <w:tcW w:w="1271"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监测频次</w:t>
            </w:r>
          </w:p>
        </w:tc>
        <w:tc>
          <w:tcPr>
            <w:tcW w:w="1215"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960" w:type="dxa"/>
            <w:tcBorders>
              <w:top w:val="single" w:color="auto" w:sz="4" w:space="0"/>
              <w:left w:val="nil"/>
              <w:bottom w:val="single" w:color="auto" w:sz="4" w:space="0"/>
              <w:right w:val="single" w:color="auto" w:sz="4" w:space="0"/>
            </w:tcBorders>
            <w:shd w:val="clear" w:color="000000"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年样品数量</w:t>
            </w:r>
          </w:p>
        </w:tc>
      </w:tr>
      <w:tr>
        <w:tblPrEx>
          <w:tblCellMar>
            <w:top w:w="0" w:type="dxa"/>
            <w:left w:w="108" w:type="dxa"/>
            <w:bottom w:w="0" w:type="dxa"/>
            <w:right w:w="108" w:type="dxa"/>
          </w:tblCellMar>
        </w:tblPrEx>
        <w:trPr>
          <w:trHeight w:val="3698" w:hRule="atLeast"/>
        </w:trPr>
        <w:tc>
          <w:tcPr>
            <w:tcW w:w="54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c>
          <w:tcPr>
            <w:tcW w:w="1056"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土壤</w:t>
            </w:r>
          </w:p>
          <w:p>
            <w:pPr>
              <w:shd w:val="clear"/>
              <w:jc w:val="center"/>
              <w:rPr>
                <w:rFonts w:ascii="宋体" w:hAnsi="宋体" w:cs="宋体"/>
                <w:color w:val="auto"/>
                <w:szCs w:val="21"/>
                <w:highlight w:val="none"/>
              </w:rPr>
            </w:pPr>
            <w:r>
              <w:rPr>
                <w:rFonts w:hint="eastAsia" w:ascii="宋体" w:hAnsi="宋体" w:cs="宋体"/>
                <w:color w:val="auto"/>
                <w:szCs w:val="21"/>
                <w:highlight w:val="none"/>
              </w:rPr>
              <w:t>（0-0.5m浅层土）</w:t>
            </w:r>
          </w:p>
        </w:tc>
        <w:tc>
          <w:tcPr>
            <w:tcW w:w="1372"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①渣库前绿化带S1、②烟囱旁绿化带S2、③污水处理区绿化带S3、④预处理车间前绿化带S4</w:t>
            </w:r>
          </w:p>
        </w:tc>
        <w:tc>
          <w:tcPr>
            <w:tcW w:w="2427"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水分、砷、镉、铬（六价）、铜、铅、汞、镍、四氯化碳、氯仿（三氯甲烷）、氯甲烷、1,1-二氯乙烷、1,2-二氯乙烷、1,1-二氯乙烯、顺-1,2-二氯乙烯、反-1,2-二氯乙烯、二氯甲烷、1,2-二氯丙烷、1,1,1,2-四氯乙烷、1,1,2,2-四氯乙烷、四氯乙烯、1,1,1-三氯乙烷、1,1,2-三氯乙烷、三氯乙烯、1,2,3-三氯丙烷、氯乙烯、苯、氯苯、1,2-二氯苯、1,4-二氯苯、乙苯、苯乙烯、甲苯、间二甲苯+对二甲苯、邻二甲苯、硝基苯、苯胺、2-氯酚、苯并[a]蒽、苯并[a]芘、苯并[b]荧蒽、苯并[k]荧蒽、䓛、二苯并[a,h]蒽、茚并[1,2,3-cd]芘、萘、石油烃（C10-C40）、锑、钴、二噁英、铊、锰、总铬，合计54项</w:t>
            </w:r>
          </w:p>
        </w:tc>
        <w:tc>
          <w:tcPr>
            <w:tcW w:w="1271"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1215"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本年度为浅层土采样监测</w:t>
            </w:r>
          </w:p>
        </w:tc>
        <w:tc>
          <w:tcPr>
            <w:tcW w:w="960"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r>
      <w:tr>
        <w:tblPrEx>
          <w:tblCellMar>
            <w:top w:w="0" w:type="dxa"/>
            <w:left w:w="108" w:type="dxa"/>
            <w:bottom w:w="0" w:type="dxa"/>
            <w:right w:w="108" w:type="dxa"/>
          </w:tblCellMar>
        </w:tblPrEx>
        <w:trPr>
          <w:trHeight w:val="4245" w:hRule="atLeast"/>
        </w:trPr>
        <w:tc>
          <w:tcPr>
            <w:tcW w:w="54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w:t>
            </w:r>
          </w:p>
        </w:tc>
        <w:tc>
          <w:tcPr>
            <w:tcW w:w="1056"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地下水</w:t>
            </w:r>
          </w:p>
          <w:p>
            <w:pPr>
              <w:shd w:val="clear"/>
              <w:jc w:val="center"/>
              <w:rPr>
                <w:rFonts w:ascii="宋体" w:hAnsi="宋体" w:cs="宋体"/>
                <w:color w:val="auto"/>
                <w:szCs w:val="21"/>
                <w:highlight w:val="none"/>
              </w:rPr>
            </w:pPr>
            <w:r>
              <w:rPr>
                <w:rFonts w:hint="eastAsia" w:ascii="宋体" w:hAnsi="宋体" w:cs="宋体"/>
                <w:color w:val="auto"/>
                <w:szCs w:val="21"/>
                <w:highlight w:val="none"/>
              </w:rPr>
              <w:t>（5个点）</w:t>
            </w:r>
          </w:p>
        </w:tc>
        <w:tc>
          <w:tcPr>
            <w:tcW w:w="1372"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①渣库前绿化带1#、②烟囱旁绿化带2#、③污水处理区绿化带3#、④预处理车间前绿化带8#、⑤对照井5#。</w:t>
            </w:r>
          </w:p>
        </w:tc>
        <w:tc>
          <w:tcPr>
            <w:tcW w:w="2427"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色度、嗅和味、浑浊度、肉眼可见物、pH值、总硬度、溶解性总固体、硫酸盐、氯化物、铁、锰、铜、锌、铝、挥发性酚类、阴离子表面活性剂、耗氧量、氨氮、硫化物、钠、亚硝酸盐、硝酸盐、氰化物、氟化物、碘化物、汞、砷、硒、镉、六价铬、铅、三氯甲烷、四氯化碳、苯、甲苯、二甲苯、铊、锑、钴、铅、铜、镍、锰、二噁英、石油烃（C10-C40）、总铬，合计46项</w:t>
            </w:r>
          </w:p>
        </w:tc>
        <w:tc>
          <w:tcPr>
            <w:tcW w:w="1271"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1次/半年</w:t>
            </w:r>
          </w:p>
        </w:tc>
        <w:tc>
          <w:tcPr>
            <w:tcW w:w="1215"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2023年上半年已经完成采样监测，需完成2023年下半年及2024年下半年的采样监测。</w:t>
            </w:r>
          </w:p>
        </w:tc>
        <w:tc>
          <w:tcPr>
            <w:tcW w:w="960"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10</w:t>
            </w:r>
          </w:p>
        </w:tc>
      </w:tr>
      <w:tr>
        <w:tblPrEx>
          <w:tblCellMar>
            <w:top w:w="0" w:type="dxa"/>
            <w:left w:w="108" w:type="dxa"/>
            <w:bottom w:w="0" w:type="dxa"/>
            <w:right w:w="108" w:type="dxa"/>
          </w:tblCellMar>
        </w:tblPrEx>
        <w:trPr>
          <w:trHeight w:val="813" w:hRule="atLeast"/>
        </w:trPr>
        <w:tc>
          <w:tcPr>
            <w:tcW w:w="7887" w:type="dxa"/>
            <w:gridSpan w:val="6"/>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小计</w:t>
            </w:r>
          </w:p>
        </w:tc>
        <w:tc>
          <w:tcPr>
            <w:tcW w:w="960"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14</w:t>
            </w:r>
          </w:p>
        </w:tc>
      </w:tr>
    </w:tbl>
    <w:p>
      <w:pPr>
        <w:shd w:val="clear"/>
        <w:jc w:val="both"/>
        <w:rPr>
          <w:rFonts w:ascii="宋体" w:hAnsi="宋体" w:cs="宋体"/>
          <w:color w:val="auto"/>
          <w:szCs w:val="21"/>
          <w:highlight w:val="none"/>
        </w:rPr>
      </w:pPr>
    </w:p>
    <w:p>
      <w:pPr>
        <w:pStyle w:val="9"/>
        <w:shd w:val="clear"/>
        <w:ind w:firstLine="0"/>
        <w:rPr>
          <w:rFonts w:ascii="宋体" w:hAnsi="宋体" w:cs="宋体"/>
          <w:color w:val="auto"/>
          <w:sz w:val="32"/>
          <w:szCs w:val="32"/>
          <w:highlight w:val="none"/>
        </w:rPr>
      </w:pPr>
      <w:r>
        <w:rPr>
          <w:rFonts w:hint="eastAsia" w:ascii="宋体" w:hAnsi="宋体" w:cs="宋体"/>
          <w:b/>
          <w:bCs/>
          <w:color w:val="auto"/>
          <w:sz w:val="32"/>
          <w:szCs w:val="32"/>
          <w:highlight w:val="none"/>
        </w:rPr>
        <w:t>第二部分</w:t>
      </w:r>
    </w:p>
    <w:p>
      <w:pPr>
        <w:shd w:val="clear"/>
        <w:ind w:firstLine="640" w:firstLineChars="200"/>
        <w:jc w:val="center"/>
        <w:rPr>
          <w:rFonts w:ascii="宋体" w:hAnsi="宋体" w:cs="宋体"/>
          <w:color w:val="auto"/>
          <w:sz w:val="32"/>
          <w:szCs w:val="32"/>
          <w:highlight w:val="none"/>
        </w:rPr>
      </w:pPr>
      <w:r>
        <w:rPr>
          <w:rFonts w:hint="eastAsia" w:ascii="宋体" w:hAnsi="宋体" w:cs="宋体"/>
          <w:color w:val="auto"/>
          <w:sz w:val="32"/>
          <w:szCs w:val="32"/>
          <w:highlight w:val="none"/>
        </w:rPr>
        <w:t>东莞市新东欣环保投资有限公司绿色工业服务项目</w:t>
      </w:r>
    </w:p>
    <w:p>
      <w:pPr>
        <w:shd w:val="clear"/>
        <w:ind w:firstLine="640" w:firstLineChars="200"/>
        <w:jc w:val="center"/>
        <w:rPr>
          <w:rFonts w:ascii="宋体" w:hAnsi="宋体" w:cs="宋体"/>
          <w:color w:val="auto"/>
          <w:sz w:val="32"/>
          <w:szCs w:val="32"/>
          <w:highlight w:val="none"/>
        </w:rPr>
      </w:pPr>
      <w:r>
        <w:rPr>
          <w:rFonts w:hint="eastAsia" w:ascii="宋体" w:hAnsi="宋体" w:cs="宋体"/>
          <w:color w:val="auto"/>
          <w:sz w:val="32"/>
          <w:szCs w:val="32"/>
          <w:highlight w:val="none"/>
        </w:rPr>
        <w:t>环境监测技术需求书</w:t>
      </w:r>
    </w:p>
    <w:p>
      <w:pPr>
        <w:shd w:val="clear"/>
        <w:rPr>
          <w:rFonts w:ascii="宋体" w:hAnsi="宋体" w:cs="宋体"/>
          <w:b/>
          <w:bCs/>
          <w:color w:val="auto"/>
          <w:szCs w:val="21"/>
          <w:highlight w:val="none"/>
        </w:rPr>
      </w:pPr>
      <w:r>
        <w:rPr>
          <w:rFonts w:hint="eastAsia" w:ascii="宋体" w:hAnsi="宋体" w:cs="宋体"/>
          <w:b/>
          <w:bCs/>
          <w:color w:val="auto"/>
          <w:szCs w:val="21"/>
          <w:highlight w:val="none"/>
        </w:rPr>
        <w:t>一、项目概况</w:t>
      </w:r>
    </w:p>
    <w:p>
      <w:pPr>
        <w:shd w:val="clear"/>
        <w:ind w:firstLine="422" w:firstLineChars="200"/>
        <w:rPr>
          <w:rFonts w:ascii="宋体" w:hAnsi="宋体" w:cs="宋体"/>
          <w:color w:val="auto"/>
          <w:szCs w:val="21"/>
          <w:highlight w:val="none"/>
        </w:rPr>
      </w:pPr>
      <w:r>
        <w:rPr>
          <w:rFonts w:hint="eastAsia" w:ascii="宋体" w:hAnsi="宋体" w:cs="宋体"/>
          <w:b/>
          <w:bCs/>
          <w:color w:val="auto"/>
          <w:szCs w:val="21"/>
          <w:highlight w:val="none"/>
        </w:rPr>
        <w:t>（一）麻涌项目：</w:t>
      </w:r>
      <w:r>
        <w:rPr>
          <w:rFonts w:hint="eastAsia" w:ascii="宋体" w:hAnsi="宋体" w:cs="宋体"/>
          <w:color w:val="auto"/>
          <w:szCs w:val="21"/>
          <w:highlight w:val="none"/>
        </w:rPr>
        <w:t>东莞市新东欣环保投资有限公司规划建设东莞市海心沙资源综合利用中心绿色工业服务项目。项目设计接收处置26大类工业危险废物共约31.61万t/a的处理规模，其中焚烧危险废物6万吨，综合利用危险废物6.78万吨，物化处理危险废物5.5万吨，表面处理废物处理13.3万吨，暂存转运危险废物300吨，浓缩液处理项目处理生活卫生填埋场渗滤液浓缩液22.11万t/a。</w:t>
      </w:r>
    </w:p>
    <w:p>
      <w:pPr>
        <w:shd w:val="clear"/>
        <w:ind w:firstLine="422" w:firstLineChars="200"/>
        <w:rPr>
          <w:rFonts w:ascii="宋体" w:hAnsi="宋体" w:cs="宋体"/>
          <w:color w:val="auto"/>
          <w:szCs w:val="21"/>
          <w:highlight w:val="none"/>
        </w:rPr>
      </w:pPr>
      <w:r>
        <w:rPr>
          <w:rFonts w:hint="eastAsia" w:ascii="宋体" w:hAnsi="宋体" w:cs="宋体"/>
          <w:b/>
          <w:bCs/>
          <w:color w:val="auto"/>
          <w:szCs w:val="21"/>
          <w:highlight w:val="none"/>
        </w:rPr>
        <w:t>（二）凤岗项目：</w:t>
      </w:r>
      <w:r>
        <w:rPr>
          <w:rFonts w:hint="eastAsia" w:ascii="宋体" w:hAnsi="宋体" w:cs="宋体"/>
          <w:color w:val="auto"/>
          <w:szCs w:val="21"/>
          <w:highlight w:val="none"/>
        </w:rPr>
        <w:t>东莞市新东欣环保投资有限公司作为凤岗镇中心区生活垃圾填埋场渗滤液处理站（以下简称凤岗渗滤液处理站）的运营商，位于凤岗镇五联村畔坑小组坳背塘区域，渗滤液处理工程规模为50吨/天。处理后的出水排放标准达到《生活垃圾填埋场污染控制标准》（GB16889-2008）表5标准后排入市政污水管网；NF/RO浓缩液由东莞市城市管理和综合执法局委托有资质公司实行无害化处理。</w:t>
      </w:r>
    </w:p>
    <w:p>
      <w:pPr>
        <w:shd w:val="clear"/>
        <w:rPr>
          <w:rFonts w:ascii="宋体" w:hAnsi="宋体" w:cs="宋体"/>
          <w:b/>
          <w:bCs/>
          <w:color w:val="auto"/>
          <w:szCs w:val="21"/>
          <w:highlight w:val="none"/>
        </w:rPr>
      </w:pPr>
    </w:p>
    <w:p>
      <w:pPr>
        <w:shd w:val="clear"/>
        <w:rPr>
          <w:rFonts w:ascii="宋体" w:hAnsi="宋体" w:cs="宋体"/>
          <w:b/>
          <w:bCs/>
          <w:color w:val="auto"/>
          <w:szCs w:val="21"/>
          <w:highlight w:val="none"/>
        </w:rPr>
      </w:pPr>
      <w:r>
        <w:rPr>
          <w:rFonts w:hint="eastAsia" w:ascii="宋体" w:hAnsi="宋体" w:cs="宋体"/>
          <w:b/>
          <w:bCs/>
          <w:color w:val="auto"/>
          <w:szCs w:val="21"/>
          <w:highlight w:val="none"/>
        </w:rPr>
        <w:t>二、服务清单</w:t>
      </w:r>
    </w:p>
    <w:p>
      <w:pPr>
        <w:shd w:val="clear"/>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（一）服务期限</w:t>
      </w:r>
    </w:p>
    <w:p>
      <w:pPr>
        <w:pStyle w:val="2"/>
        <w:shd w:val="clear"/>
        <w:ind w:firstLine="420" w:firstLineChars="200"/>
        <w:rPr>
          <w:color w:val="auto"/>
          <w:sz w:val="21"/>
          <w:szCs w:val="21"/>
          <w:highlight w:val="none"/>
        </w:rPr>
      </w:pPr>
      <w:r>
        <w:rPr>
          <w:rFonts w:hint="eastAsia"/>
          <w:color w:val="auto"/>
          <w:sz w:val="21"/>
          <w:szCs w:val="21"/>
          <w:highlight w:val="none"/>
        </w:rPr>
        <w:t>东莞市新东欣环保投资有限公司监测服务时间为一年。实际服务时间为自中标人实际进场开始检测之日起一年。</w:t>
      </w:r>
    </w:p>
    <w:p>
      <w:pPr>
        <w:shd w:val="clear"/>
        <w:ind w:firstLine="422" w:firstLineChars="200"/>
        <w:rPr>
          <w:rFonts w:ascii="宋体" w:hAnsi="宋体" w:cs="宋体"/>
          <w:b/>
          <w:bCs/>
          <w:color w:val="auto"/>
          <w:szCs w:val="21"/>
          <w:highlight w:val="none"/>
        </w:rPr>
      </w:pPr>
    </w:p>
    <w:p>
      <w:pPr>
        <w:shd w:val="clear"/>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（二）服务内容</w:t>
      </w:r>
    </w:p>
    <w:p>
      <w:pPr>
        <w:shd w:val="clear"/>
        <w:ind w:firstLine="420" w:firstLineChars="200"/>
        <w:rPr>
          <w:rFonts w:ascii="宋体" w:hAnsi="宋体" w:cs="宋体"/>
          <w:color w:val="auto"/>
          <w:szCs w:val="21"/>
          <w:highlight w:val="none"/>
        </w:rPr>
      </w:pPr>
      <w:bookmarkStart w:id="15" w:name="_Hlk137800425"/>
      <w:r>
        <w:rPr>
          <w:rFonts w:hint="eastAsia" w:ascii="宋体" w:hAnsi="宋体" w:cs="宋体"/>
          <w:color w:val="auto"/>
          <w:szCs w:val="21"/>
          <w:highlight w:val="none"/>
        </w:rPr>
        <w:t>1.绿色工业服务项目</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2021年3月1日生态环境部施行的《排污许可管理条例》、《排污单位自行监测技术指南总则》（HJ819-2017）、《排污许可证申请与核发技术规范危险废物焚烧》(HJ1038-2019)、《排污许可证申请与核发技术规范工业固体废物和危险废物治理》（HJ1033-2019）、排污许可证申请与核发技术规范—废弃资源加工工业（HJ 1034—2019）、排污单位自行监测技术指南 有色金属工业——再生金属（HJ 1208-2021 )、排污单位自行监测技术指南 固体废物焚烧（HJ 1205—2021）、排污许可证申请与核发技术规范 工业固体废物（试行）（HJ 1200-2021）、《关于实施厂区内挥发性有机物无组织排放监控要求的通告（粤环发[2021]4号）》及项目环评，确定委外环境监测方案如附表4，服务单位须根据约定时间完成采样、监测并出具监测报告。</w:t>
      </w:r>
    </w:p>
    <w:p>
      <w:pPr>
        <w:pStyle w:val="9"/>
        <w:shd w:val="clear"/>
        <w:ind w:firstLine="0"/>
        <w:rPr>
          <w:rFonts w:ascii="宋体" w:hAnsi="宋体" w:cs="宋体"/>
          <w:color w:val="auto"/>
          <w:sz w:val="21"/>
          <w:szCs w:val="21"/>
          <w:highlight w:val="none"/>
        </w:rPr>
      </w:pPr>
    </w:p>
    <w:p>
      <w:pPr>
        <w:shd w:val="clear"/>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附表4：绿色工业服务项目委外环境监测方案</w:t>
      </w:r>
    </w:p>
    <w:bookmarkEnd w:id="15"/>
    <w:tbl>
      <w:tblPr>
        <w:tblStyle w:val="30"/>
        <w:tblW w:w="8999" w:type="dxa"/>
        <w:jc w:val="center"/>
        <w:tblLayout w:type="fixed"/>
        <w:tblCellMar>
          <w:top w:w="0" w:type="dxa"/>
          <w:left w:w="108" w:type="dxa"/>
          <w:bottom w:w="0" w:type="dxa"/>
          <w:right w:w="108" w:type="dxa"/>
        </w:tblCellMar>
      </w:tblPr>
      <w:tblGrid>
        <w:gridCol w:w="765"/>
        <w:gridCol w:w="989"/>
        <w:gridCol w:w="1466"/>
        <w:gridCol w:w="2001"/>
        <w:gridCol w:w="884"/>
        <w:gridCol w:w="1995"/>
        <w:gridCol w:w="899"/>
      </w:tblGrid>
      <w:tr>
        <w:tblPrEx>
          <w:tblCellMar>
            <w:top w:w="0" w:type="dxa"/>
            <w:left w:w="108" w:type="dxa"/>
            <w:bottom w:w="0" w:type="dxa"/>
            <w:right w:w="108" w:type="dxa"/>
          </w:tblCellMar>
        </w:tblPrEx>
        <w:trPr>
          <w:trHeight w:val="780" w:hRule="atLeast"/>
          <w:tblHeade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bookmarkStart w:id="16" w:name="_Hlk137800439"/>
            <w:r>
              <w:rPr>
                <w:rFonts w:hint="eastAsia" w:ascii="宋体" w:hAnsi="宋体" w:cs="宋体"/>
                <w:b/>
                <w:bCs/>
                <w:color w:val="auto"/>
                <w:szCs w:val="21"/>
                <w:highlight w:val="none"/>
              </w:rPr>
              <w:t>序号</w:t>
            </w:r>
          </w:p>
        </w:tc>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项目</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监测点位</w:t>
            </w:r>
          </w:p>
        </w:tc>
        <w:tc>
          <w:tcPr>
            <w:tcW w:w="200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监测因子</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监测频次</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c>
          <w:tcPr>
            <w:tcW w:w="899" w:type="dxa"/>
            <w:tcBorders>
              <w:top w:val="single" w:color="auto" w:sz="4" w:space="0"/>
              <w:left w:val="single" w:color="auto" w:sz="4" w:space="0"/>
              <w:bottom w:val="single" w:color="auto" w:sz="4" w:space="0"/>
              <w:right w:val="single" w:color="auto" w:sz="4" w:space="0"/>
            </w:tcBorders>
            <w:shd w:val="clear" w:color="000000"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年样品数量</w:t>
            </w:r>
          </w:p>
        </w:tc>
      </w:tr>
      <w:tr>
        <w:tblPrEx>
          <w:tblCellMar>
            <w:top w:w="0" w:type="dxa"/>
            <w:left w:w="108" w:type="dxa"/>
            <w:bottom w:w="0" w:type="dxa"/>
            <w:right w:w="108" w:type="dxa"/>
          </w:tblCellMar>
        </w:tblPrEx>
        <w:trPr>
          <w:trHeight w:val="180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c>
          <w:tcPr>
            <w:tcW w:w="989"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有组织排放废气（主要排放口）</w:t>
            </w:r>
          </w:p>
        </w:tc>
        <w:tc>
          <w:tcPr>
            <w:tcW w:w="1466"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焚烧回转窑集束烟囱A1、A2 2个点位</w:t>
            </w: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烟尘（低浓度颗粒物）、HCl、SO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、NO</w:t>
            </w:r>
            <w:r>
              <w:rPr>
                <w:rFonts w:hint="eastAsia" w:ascii="宋体" w:hAnsi="宋体" w:cs="宋体"/>
                <w:color w:val="auto"/>
                <w:szCs w:val="21"/>
                <w:highlight w:val="none"/>
                <w:vertAlign w:val="subscript"/>
              </w:rPr>
              <w:t>X</w:t>
            </w:r>
            <w:r>
              <w:rPr>
                <w:rFonts w:hint="eastAsia" w:ascii="宋体" w:hAnsi="宋体" w:cs="宋体"/>
                <w:color w:val="auto"/>
                <w:szCs w:val="21"/>
                <w:highlight w:val="none"/>
              </w:rPr>
              <w:t>、CO、O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、流速、烟温、湿度</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采用参比方法对在线监测设备进行比对：测量气态污染物和氧气浓度，至少获取9个数据对，每个数据对取5～15min均值；测量流速、烟温湿度时，至少获取5个同时段测试断面值数据对，分别计算流速、烟温、湿度CMS准确度。</w:t>
            </w:r>
          </w:p>
        </w:tc>
        <w:tc>
          <w:tcPr>
            <w:tcW w:w="89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8</w:t>
            </w:r>
          </w:p>
        </w:tc>
      </w:tr>
      <w:tr>
        <w:tblPrEx>
          <w:tblCellMar>
            <w:top w:w="0" w:type="dxa"/>
            <w:left w:w="108" w:type="dxa"/>
            <w:bottom w:w="0" w:type="dxa"/>
            <w:right w:w="108" w:type="dxa"/>
          </w:tblCellMar>
        </w:tblPrEx>
        <w:trPr>
          <w:trHeight w:val="3885"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汞及其化合物（以Hg计）、铊及其化合物（以Ti计）、镉及其化合物（以Cd计）、铅及其化合物（以Pb计）、砷及其化合物（以As计）、铬及其化合物（以Gr计）、锡、锑、铜、锰、镍、钴及其化合物（以Sn+Sb+Cu+Mn+Ni+Co计）、林格曼黑度</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每台炉的测量值需为0.5～8 个小时内完成不少于 3 个样品的采集，取算术平均值</w:t>
            </w:r>
          </w:p>
        </w:tc>
        <w:tc>
          <w:tcPr>
            <w:tcW w:w="89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72</w:t>
            </w:r>
          </w:p>
        </w:tc>
      </w:tr>
      <w:tr>
        <w:tblPrEx>
          <w:tblCellMar>
            <w:top w:w="0" w:type="dxa"/>
            <w:left w:w="108" w:type="dxa"/>
            <w:bottom w:w="0" w:type="dxa"/>
            <w:right w:w="108" w:type="dxa"/>
          </w:tblCellMar>
        </w:tblPrEx>
        <w:trPr>
          <w:trHeight w:val="1781"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氟化氢</w:t>
            </w:r>
          </w:p>
        </w:tc>
        <w:tc>
          <w:tcPr>
            <w:tcW w:w="884"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每台炉的测量值需为0.5～8 个小时内完成不少于 3 个样品的采集，取算术平均值</w:t>
            </w:r>
          </w:p>
        </w:tc>
        <w:tc>
          <w:tcPr>
            <w:tcW w:w="899"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24</w:t>
            </w:r>
          </w:p>
        </w:tc>
      </w:tr>
      <w:tr>
        <w:tblPrEx>
          <w:tblCellMar>
            <w:top w:w="0" w:type="dxa"/>
            <w:left w:w="108" w:type="dxa"/>
            <w:bottom w:w="0" w:type="dxa"/>
            <w:right w:w="108" w:type="dxa"/>
          </w:tblCellMar>
        </w:tblPrEx>
        <w:trPr>
          <w:trHeight w:val="1339"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二噁英类</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1次/半年</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每台炉的测量值需为6～12 个小时内完成不少于 3个样品的采集，取算术平均值</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CellMar>
            <w:top w:w="0" w:type="dxa"/>
            <w:left w:w="108" w:type="dxa"/>
            <w:bottom w:w="0" w:type="dxa"/>
            <w:right w:w="108" w:type="dxa"/>
          </w:tblCellMar>
        </w:tblPrEx>
        <w:trPr>
          <w:trHeight w:val="909"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5</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火法熔炼集束烟囱A5 1个点位</w:t>
            </w: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烟尘（低浓度颗粒物）、SO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、NO</w:t>
            </w:r>
            <w:r>
              <w:rPr>
                <w:rFonts w:hint="eastAsia" w:ascii="宋体" w:hAnsi="宋体" w:cs="宋体"/>
                <w:color w:val="auto"/>
                <w:szCs w:val="21"/>
                <w:highlight w:val="none"/>
                <w:vertAlign w:val="subscript"/>
              </w:rPr>
              <w:t>X</w:t>
            </w:r>
            <w:r>
              <w:rPr>
                <w:rFonts w:hint="eastAsia" w:ascii="宋体" w:hAnsi="宋体" w:cs="宋体"/>
                <w:color w:val="auto"/>
                <w:szCs w:val="21"/>
                <w:highlight w:val="none"/>
              </w:rPr>
              <w:t>、O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、流速、烟温、湿度</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采用参比方法对在线监测设备进行比对：测量气态污染物和氧气浓度，至少获取9个数据对，每个数据对取5～15min均值；测量流速、烟温湿度时，至少获取5个同时段测试断面值数据对，分别计算流速、烟温、湿度CMS准确度。</w:t>
            </w:r>
          </w:p>
        </w:tc>
        <w:tc>
          <w:tcPr>
            <w:tcW w:w="89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r>
      <w:tr>
        <w:tblPrEx>
          <w:tblCellMar>
            <w:top w:w="0" w:type="dxa"/>
            <w:left w:w="108" w:type="dxa"/>
            <w:bottom w:w="0" w:type="dxa"/>
            <w:right w:w="108" w:type="dxa"/>
          </w:tblCellMar>
        </w:tblPrEx>
        <w:trPr>
          <w:trHeight w:val="168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砷及其化合物（以As计）、铅及其化合物（以Pb计）、镉及其化合物（以Cd计）</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每台炉的测量值需为0.5～8 个小时内完成不少于 3 个样品的采集，取算术平均值</w:t>
            </w:r>
          </w:p>
        </w:tc>
        <w:tc>
          <w:tcPr>
            <w:tcW w:w="89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36</w:t>
            </w:r>
          </w:p>
        </w:tc>
      </w:tr>
      <w:tr>
        <w:tblPrEx>
          <w:tblCellMar>
            <w:top w:w="0" w:type="dxa"/>
            <w:left w:w="108" w:type="dxa"/>
            <w:bottom w:w="0" w:type="dxa"/>
            <w:right w:w="108" w:type="dxa"/>
          </w:tblCellMar>
        </w:tblPrEx>
        <w:trPr>
          <w:trHeight w:val="168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7</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锡及其化合物（以Sn计）、锑及其化合物（以Sb计）、铬及其化合物（以Gr计）、林格曼黑度、一氧化碳、氟化氢、氯化氢、汞及其化合物（以Hg计）</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每台炉的测量值需为0.5～8 个小时内完成不少于 3 个样品的采集，取算术平均值</w:t>
            </w:r>
          </w:p>
        </w:tc>
        <w:tc>
          <w:tcPr>
            <w:tcW w:w="89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CellMar>
            <w:top w:w="0" w:type="dxa"/>
            <w:left w:w="108" w:type="dxa"/>
            <w:bottom w:w="0" w:type="dxa"/>
            <w:right w:w="108" w:type="dxa"/>
          </w:tblCellMar>
        </w:tblPrEx>
        <w:trPr>
          <w:trHeight w:val="168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8</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二噁英类</w:t>
            </w:r>
          </w:p>
        </w:tc>
        <w:tc>
          <w:tcPr>
            <w:tcW w:w="884"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1995"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每台炉的测量值需为6～12 个小时内完成不少于 3个样品的采集，取算术平均值</w:t>
            </w:r>
          </w:p>
        </w:tc>
        <w:tc>
          <w:tcPr>
            <w:tcW w:w="899"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r>
      <w:tr>
        <w:tblPrEx>
          <w:tblCellMar>
            <w:top w:w="0" w:type="dxa"/>
            <w:left w:w="108" w:type="dxa"/>
            <w:bottom w:w="0" w:type="dxa"/>
            <w:right w:w="108" w:type="dxa"/>
          </w:tblCellMar>
        </w:tblPrEx>
        <w:trPr>
          <w:trHeight w:val="1680"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9</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restart"/>
            <w:tcBorders>
              <w:top w:val="nil"/>
              <w:left w:val="single" w:color="auto" w:sz="4" w:space="0"/>
              <w:bottom w:val="single" w:color="000000"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铝冶炼熔铸废气排放口A3</w:t>
            </w: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烟尘（低浓度颗粒物）、SO2、NOX、O2、流速、烟温、湿度</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采用参比方法对在线监测设备进行比对：测量气态污染物和氧气浓度，至少获取9个数据对，每个数据对取5～15min均值；测量流速、烟温湿度时，至少获取5个同时段测试断面值数据对，分别计算流速、烟温、湿度CMS准确度。</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r>
      <w:tr>
        <w:tblPrEx>
          <w:tblCellMar>
            <w:top w:w="0" w:type="dxa"/>
            <w:left w:w="108" w:type="dxa"/>
            <w:bottom w:w="0" w:type="dxa"/>
            <w:right w:w="108" w:type="dxa"/>
          </w:tblCellMar>
        </w:tblPrEx>
        <w:trPr>
          <w:trHeight w:val="1680"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10</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nil"/>
              <w:left w:val="single" w:color="auto" w:sz="4" w:space="0"/>
              <w:bottom w:val="single" w:color="000000"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氟化物、砷及其化合物、铅及其化合物、铬及其化合物</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每台炉的测量值需为0.5～8 个小时内完成不少于 3 个样品的采集，取算术平均值</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36</w:t>
            </w:r>
          </w:p>
        </w:tc>
      </w:tr>
      <w:tr>
        <w:tblPrEx>
          <w:tblCellMar>
            <w:top w:w="0" w:type="dxa"/>
            <w:left w:w="108" w:type="dxa"/>
            <w:bottom w:w="0" w:type="dxa"/>
            <w:right w:w="108" w:type="dxa"/>
          </w:tblCellMar>
        </w:tblPrEx>
        <w:trPr>
          <w:trHeight w:val="1680"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11</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nil"/>
              <w:left w:val="single" w:color="auto" w:sz="4" w:space="0"/>
              <w:bottom w:val="single" w:color="000000"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锡及其化合物、镉及其化合物、氯化氢、</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每台炉的测量值需为0.5～8 个小时内完成不少于 3 个样品的采集，取算术平均值</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CellMar>
            <w:top w:w="0" w:type="dxa"/>
            <w:left w:w="108" w:type="dxa"/>
            <w:bottom w:w="0" w:type="dxa"/>
            <w:right w:w="108" w:type="dxa"/>
          </w:tblCellMar>
        </w:tblPrEx>
        <w:trPr>
          <w:trHeight w:val="1485"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nil"/>
              <w:left w:val="single" w:color="auto" w:sz="4" w:space="0"/>
              <w:bottom w:val="single" w:color="000000"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二噁英类</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每台炉的测量值需为6～12 个小时内完成不少于 3个样品的采集，取算术平均值</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r>
      <w:tr>
        <w:tblPrEx>
          <w:tblCellMar>
            <w:top w:w="0" w:type="dxa"/>
            <w:left w:w="108" w:type="dxa"/>
            <w:bottom w:w="0" w:type="dxa"/>
            <w:right w:w="108" w:type="dxa"/>
          </w:tblCellMar>
        </w:tblPrEx>
        <w:trPr>
          <w:trHeight w:val="1353"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13</w:t>
            </w:r>
          </w:p>
        </w:tc>
        <w:tc>
          <w:tcPr>
            <w:tcW w:w="989"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有组织排放废气（一般排放口）</w:t>
            </w:r>
          </w:p>
        </w:tc>
        <w:tc>
          <w:tcPr>
            <w:tcW w:w="1466"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铝冶炼脱氮废气排放口A4</w:t>
            </w: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氨（氨气）、臭气浓度</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恶臭污染监测样品采集不少于3次，取最大测定值。</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36</w:t>
            </w:r>
          </w:p>
        </w:tc>
      </w:tr>
      <w:tr>
        <w:tblPrEx>
          <w:tblCellMar>
            <w:top w:w="0" w:type="dxa"/>
            <w:left w:w="108" w:type="dxa"/>
            <w:bottom w:w="0" w:type="dxa"/>
            <w:right w:w="108" w:type="dxa"/>
          </w:tblCellMar>
        </w:tblPrEx>
        <w:trPr>
          <w:trHeight w:val="1680"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14</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丙一库排气筒A6、丙二库排气筒A7 2个点位</w:t>
            </w: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氨（氨气）、臭气浓度、颗粒物、硫化氢、氟化物、VOCs、氯化氢、非甲烷总烃、氰化氢</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1.以连续一小时的采样获取平均值或在一小时内以等时间间隔采集4个样品，并计平均值。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2.恶臭污染监测样品采集不少于3次，取最大测定值。</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24</w:t>
            </w:r>
          </w:p>
        </w:tc>
      </w:tr>
      <w:tr>
        <w:tblPrEx>
          <w:tblCellMar>
            <w:top w:w="0" w:type="dxa"/>
            <w:left w:w="108" w:type="dxa"/>
            <w:bottom w:w="0" w:type="dxa"/>
            <w:right w:w="108" w:type="dxa"/>
          </w:tblCellMar>
        </w:tblPrEx>
        <w:trPr>
          <w:trHeight w:val="168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15</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甲类库A9、乙类库A10及预处理车间排气筒A11 3个点位</w:t>
            </w: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氨（氨气）、臭气浓度、颗粒物、硫化氢、氟化物、VOCs、氯化氢</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1.以连续一小时的采样获取平均值或在一小时内以等时间间隔采集4个样品，并计平均值。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2.恶臭污染监测样品采集不少于3次，取最大测定值。</w:t>
            </w:r>
          </w:p>
        </w:tc>
        <w:tc>
          <w:tcPr>
            <w:tcW w:w="89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36</w:t>
            </w:r>
          </w:p>
        </w:tc>
      </w:tr>
      <w:tr>
        <w:tblPrEx>
          <w:tblCellMar>
            <w:top w:w="0" w:type="dxa"/>
            <w:left w:w="108" w:type="dxa"/>
            <w:bottom w:w="0" w:type="dxa"/>
            <w:right w:w="108" w:type="dxa"/>
          </w:tblCellMar>
        </w:tblPrEx>
        <w:trPr>
          <w:trHeight w:val="168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16</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火法熔炼预处理车间排气筒A12 1个点位</w:t>
            </w: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VOCs、氨（氨气）、硫化氢</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1.以连续一小时的采样获取平均值或在一小时内以等时间间隔采集4个样品，并计平均值。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2.恶臭污染监测样品采集不少于3次，取最大测定值。</w:t>
            </w:r>
          </w:p>
        </w:tc>
        <w:tc>
          <w:tcPr>
            <w:tcW w:w="89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CellMar>
            <w:top w:w="0" w:type="dxa"/>
            <w:left w:w="108" w:type="dxa"/>
            <w:bottom w:w="0" w:type="dxa"/>
            <w:right w:w="108" w:type="dxa"/>
          </w:tblCellMar>
        </w:tblPrEx>
        <w:trPr>
          <w:trHeight w:val="168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17</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火法熔炼环集烟囱A21 1个点位</w:t>
            </w: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颗粒物</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以连续一小时的采样获取平均值或在一小时内以等时间间隔采集四个样品，并计平均值。</w:t>
            </w:r>
          </w:p>
        </w:tc>
        <w:tc>
          <w:tcPr>
            <w:tcW w:w="89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CellMar>
            <w:top w:w="0" w:type="dxa"/>
            <w:left w:w="108" w:type="dxa"/>
            <w:bottom w:w="0" w:type="dxa"/>
            <w:right w:w="108" w:type="dxa"/>
          </w:tblCellMar>
        </w:tblPrEx>
        <w:trPr>
          <w:trHeight w:val="2318"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18</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综合污水处理系统排气筒A16 1个点位</w:t>
            </w: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臭气浓度、硫化氢、氨（氨气）、VOCs</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1.以连续一小时的采样获取平均值或在一小时内以等时间间隔采集四个样品，并计平均值。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2.恶臭污染监测样品采集不少于3次，取最大测定值。</w:t>
            </w:r>
          </w:p>
        </w:tc>
        <w:tc>
          <w:tcPr>
            <w:tcW w:w="89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CellMar>
            <w:top w:w="0" w:type="dxa"/>
            <w:left w:w="108" w:type="dxa"/>
            <w:bottom w:w="0" w:type="dxa"/>
            <w:right w:w="108" w:type="dxa"/>
          </w:tblCellMar>
        </w:tblPrEx>
        <w:trPr>
          <w:trHeight w:val="168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19</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物化处理车间排气筒A14 1个点位</w:t>
            </w:r>
          </w:p>
        </w:tc>
        <w:tc>
          <w:tcPr>
            <w:tcW w:w="2001"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VOCs、氯化氢、硫酸雾、非甲烷总烃</w:t>
            </w:r>
          </w:p>
        </w:tc>
        <w:tc>
          <w:tcPr>
            <w:tcW w:w="884"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1.以连续一小时的采样获取平均值或在一小时内以等时间间隔采集四个样品，并计平均值。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2.恶臭污染监测样品采集不少于3次，取最大测定值。</w:t>
            </w:r>
          </w:p>
        </w:tc>
        <w:tc>
          <w:tcPr>
            <w:tcW w:w="899"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CellMar>
            <w:top w:w="0" w:type="dxa"/>
            <w:left w:w="108" w:type="dxa"/>
            <w:bottom w:w="0" w:type="dxa"/>
            <w:right w:w="108" w:type="dxa"/>
          </w:tblCellMar>
        </w:tblPrEx>
        <w:trPr>
          <w:trHeight w:val="1680"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20</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检测中心排气筒A019、A22  2个点位</w:t>
            </w: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颗粒物、VOCs、甲醇、甲醛、臭气浓度、氨（氨气）</w:t>
            </w:r>
            <w:r>
              <w:rPr>
                <w:rFonts w:hint="eastAsia" w:ascii="宋体" w:hAnsi="宋体" w:cs="宋体"/>
                <w:color w:val="auto"/>
                <w:szCs w:val="21"/>
                <w:highlight w:val="none"/>
                <w:vertAlign w:val="subscript"/>
              </w:rPr>
              <w:t>信息公开</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1.以连续一小时的采样获取平均值或在一小时内以等时间间隔采集4个样品，并计平均值。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2.恶臭污染监测样品采集不少于3次，取最大测定值。</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24</w:t>
            </w:r>
          </w:p>
        </w:tc>
      </w:tr>
      <w:tr>
        <w:tblPrEx>
          <w:tblCellMar>
            <w:top w:w="0" w:type="dxa"/>
            <w:left w:w="108" w:type="dxa"/>
            <w:bottom w:w="0" w:type="dxa"/>
            <w:right w:w="108" w:type="dxa"/>
          </w:tblCellMar>
        </w:tblPrEx>
        <w:trPr>
          <w:trHeight w:val="1680"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21</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检测中心排气筒A020、A23、 A24、A25 4个点位</w:t>
            </w: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硫化氢、氟化物、氯化物、氨（氨气）、硫酸雾、氮氧化物</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1.以连续一小时的采样获取平均值或在一小时内以等时间间隔采集4个样品，并计平均值。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2.恶臭污染监测样品采集不少于3次，取最大测定值。</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48</w:t>
            </w:r>
          </w:p>
        </w:tc>
      </w:tr>
      <w:tr>
        <w:tblPrEx>
          <w:tblCellMar>
            <w:top w:w="0" w:type="dxa"/>
            <w:left w:w="108" w:type="dxa"/>
            <w:bottom w:w="0" w:type="dxa"/>
            <w:right w:w="108" w:type="dxa"/>
          </w:tblCellMar>
        </w:tblPrEx>
        <w:trPr>
          <w:trHeight w:val="1680"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22</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restart"/>
            <w:tcBorders>
              <w:top w:val="nil"/>
              <w:left w:val="single" w:color="auto" w:sz="4" w:space="0"/>
              <w:bottom w:val="single" w:color="000000"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导热油炉排气口A27 1个点位</w:t>
            </w: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氮氧化物</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以连续一小时的采样获取平均值或在一小时内以等时间间隔采集4个样品，并计平均值。</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CellMar>
            <w:top w:w="0" w:type="dxa"/>
            <w:left w:w="108" w:type="dxa"/>
            <w:bottom w:w="0" w:type="dxa"/>
            <w:right w:w="108" w:type="dxa"/>
          </w:tblCellMar>
        </w:tblPrEx>
        <w:trPr>
          <w:trHeight w:val="1680"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23</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nil"/>
              <w:left w:val="single" w:color="auto" w:sz="4" w:space="0"/>
              <w:bottom w:val="single" w:color="000000"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二氧化硫、颗粒物、氨（氨气）、硫化氢、非甲烷总烃</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1.以连续一小时的采样获取平均值或在一小时内以等时间间隔采集4个样品，并计平均值。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2.恶臭污染监测样品采集不少于3次，取最大测定值。</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CellMar>
            <w:top w:w="0" w:type="dxa"/>
            <w:left w:w="108" w:type="dxa"/>
            <w:bottom w:w="0" w:type="dxa"/>
            <w:right w:w="108" w:type="dxa"/>
          </w:tblCellMar>
        </w:tblPrEx>
        <w:trPr>
          <w:trHeight w:val="810"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24</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nil"/>
              <w:left w:val="single" w:color="auto" w:sz="4" w:space="0"/>
              <w:bottom w:val="single" w:color="000000"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林格曼黑度</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r>
      <w:tr>
        <w:tblPrEx>
          <w:tblCellMar>
            <w:top w:w="0" w:type="dxa"/>
            <w:left w:w="108" w:type="dxa"/>
            <w:bottom w:w="0" w:type="dxa"/>
            <w:right w:w="108" w:type="dxa"/>
          </w:tblCellMar>
        </w:tblPrEx>
        <w:trPr>
          <w:trHeight w:val="776"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25</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食堂烟囱3个点</w:t>
            </w: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废气量、油烟浓度</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r>
      <w:tr>
        <w:tblPrEx>
          <w:tblCellMar>
            <w:top w:w="0" w:type="dxa"/>
            <w:left w:w="108" w:type="dxa"/>
            <w:bottom w:w="0" w:type="dxa"/>
            <w:right w:w="108" w:type="dxa"/>
          </w:tblCellMar>
        </w:tblPrEx>
        <w:trPr>
          <w:trHeight w:val="2550"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26</w:t>
            </w:r>
          </w:p>
        </w:tc>
        <w:tc>
          <w:tcPr>
            <w:tcW w:w="989"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无组织排放废气</w:t>
            </w:r>
          </w:p>
        </w:tc>
        <w:tc>
          <w:tcPr>
            <w:tcW w:w="1466"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上风向1个，下风向3个</w:t>
            </w: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氨（氨气）、臭气浓度、颗粒物、硫化氢、氟化物、VOCs、非甲烷总烃、氯化氢、氰化氢、甲醇、甲醛、氮氧化物、硫酸雾、镉及其化合物、铬及其化合物、铅及其化合物、砷及其化合物、锑及其化合物、锡及其化合物</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1.气态污染物等时间间隔采样,采集4个样品计平均值。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2.恶臭污染监测样品采集不少于4次，取最大测定值。</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64</w:t>
            </w:r>
          </w:p>
        </w:tc>
      </w:tr>
      <w:tr>
        <w:tblPrEx>
          <w:tblCellMar>
            <w:top w:w="0" w:type="dxa"/>
            <w:left w:w="108" w:type="dxa"/>
            <w:bottom w:w="0" w:type="dxa"/>
            <w:right w:w="108" w:type="dxa"/>
          </w:tblCellMar>
        </w:tblPrEx>
        <w:trPr>
          <w:trHeight w:val="3165"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27</w:t>
            </w:r>
          </w:p>
        </w:tc>
        <w:tc>
          <w:tcPr>
            <w:tcW w:w="98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厂区内废气</w:t>
            </w:r>
          </w:p>
        </w:tc>
        <w:tc>
          <w:tcPr>
            <w:tcW w:w="1466"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贮存（丙一、丙二、甲库、乙库）、焚烧预处理、焚烧料坑1#、焚烧料坑2#、熔炼预处理、物化废水及废矿物油储罐区合计10个点</w:t>
            </w: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非甲烷总烃</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以连续一小时的采样获取平均值或在一小时内以等时间间隔采集四个样品，并计平均值。</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40</w:t>
            </w:r>
          </w:p>
        </w:tc>
      </w:tr>
      <w:tr>
        <w:tblPrEx>
          <w:tblCellMar>
            <w:top w:w="0" w:type="dxa"/>
            <w:left w:w="108" w:type="dxa"/>
            <w:bottom w:w="0" w:type="dxa"/>
            <w:right w:w="108" w:type="dxa"/>
          </w:tblCellMar>
        </w:tblPrEx>
        <w:trPr>
          <w:trHeight w:val="1465"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28</w:t>
            </w:r>
          </w:p>
        </w:tc>
        <w:tc>
          <w:tcPr>
            <w:tcW w:w="989" w:type="dxa"/>
            <w:vMerge w:val="restart"/>
            <w:tcBorders>
              <w:top w:val="nil"/>
              <w:left w:val="single" w:color="auto" w:sz="4" w:space="0"/>
              <w:bottom w:val="single" w:color="000000"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环境空气（敏感点）</w:t>
            </w:r>
          </w:p>
        </w:tc>
        <w:tc>
          <w:tcPr>
            <w:tcW w:w="1466" w:type="dxa"/>
            <w:vMerge w:val="restart"/>
            <w:tcBorders>
              <w:top w:val="nil"/>
              <w:left w:val="single" w:color="auto" w:sz="4" w:space="0"/>
              <w:bottom w:val="single" w:color="000000"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项目厂址、漳澎村、万科珠江东岸、恒大滨江左岸、梅沙村、泗安医院合计6个点</w:t>
            </w: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氯化氢、挥发性有机化合物、颗粒物、汞及其化合物、镉及其化合物、砷及其化合物、镍及其化合物、铅及其化合物、六价铬、铬及其化合物、锡及其化合物、锑及其化合物、铜及其化合物、锰及其化合物、氨（氨气）、硫化氢、臭气浓度</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1次/半年</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1.气态污染物等时间间隔采样,采集4个样品计平均值。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2.恶臭污染监测样品采集不少于4次，取最大测定值。</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48</w:t>
            </w:r>
          </w:p>
        </w:tc>
      </w:tr>
      <w:tr>
        <w:tblPrEx>
          <w:tblCellMar>
            <w:top w:w="0" w:type="dxa"/>
            <w:left w:w="108" w:type="dxa"/>
            <w:bottom w:w="0" w:type="dxa"/>
            <w:right w:w="108" w:type="dxa"/>
          </w:tblCellMar>
        </w:tblPrEx>
        <w:trPr>
          <w:trHeight w:val="1560"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29</w:t>
            </w:r>
          </w:p>
        </w:tc>
        <w:tc>
          <w:tcPr>
            <w:tcW w:w="989" w:type="dxa"/>
            <w:vMerge w:val="continue"/>
            <w:tcBorders>
              <w:top w:val="nil"/>
              <w:left w:val="single" w:color="auto" w:sz="4" w:space="0"/>
              <w:bottom w:val="single" w:color="000000"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nil"/>
              <w:left w:val="single" w:color="auto" w:sz="4" w:space="0"/>
              <w:bottom w:val="single" w:color="000000"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二噁英类</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每期监测每个监测点位应取得至少3天的样品，且每天采样时间不少于18小时。</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18</w:t>
            </w:r>
          </w:p>
        </w:tc>
      </w:tr>
      <w:tr>
        <w:tblPrEx>
          <w:tblCellMar>
            <w:top w:w="0" w:type="dxa"/>
            <w:left w:w="108" w:type="dxa"/>
            <w:bottom w:w="0" w:type="dxa"/>
            <w:right w:w="108" w:type="dxa"/>
          </w:tblCellMar>
        </w:tblPrEx>
        <w:trPr>
          <w:trHeight w:val="625"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30</w:t>
            </w:r>
          </w:p>
        </w:tc>
        <w:tc>
          <w:tcPr>
            <w:tcW w:w="989" w:type="dxa"/>
            <w:vMerge w:val="restart"/>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浓缩液废水</w:t>
            </w:r>
          </w:p>
        </w:tc>
        <w:tc>
          <w:tcPr>
            <w:tcW w:w="1466" w:type="dxa"/>
            <w:vMerge w:val="restart"/>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废水进口</w:t>
            </w: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流量、化学需氧量、氨氮</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1.化学需氧量、氨氮比对试验总数不少于三对；</w:t>
            </w:r>
          </w:p>
          <w:p>
            <w:pPr>
              <w:shd w:val="clear"/>
              <w:jc w:val="center"/>
              <w:rPr>
                <w:rFonts w:ascii="宋体" w:hAnsi="宋体" w:cs="宋体"/>
                <w:color w:val="auto"/>
                <w:szCs w:val="21"/>
                <w:highlight w:val="none"/>
              </w:rPr>
            </w:pPr>
            <w:r>
              <w:rPr>
                <w:rFonts w:hint="eastAsia" w:ascii="宋体" w:hAnsi="宋体" w:cs="宋体"/>
                <w:color w:val="auto"/>
                <w:szCs w:val="21"/>
                <w:highlight w:val="none"/>
              </w:rPr>
              <w:t>2.流量为电磁流量计，另外委托计量单位每年检验。</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CellMar>
            <w:top w:w="0" w:type="dxa"/>
            <w:left w:w="108" w:type="dxa"/>
            <w:bottom w:w="0" w:type="dxa"/>
            <w:right w:w="108" w:type="dxa"/>
          </w:tblCellMar>
        </w:tblPrEx>
        <w:trPr>
          <w:trHeight w:val="847"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31</w:t>
            </w:r>
          </w:p>
        </w:tc>
        <w:tc>
          <w:tcPr>
            <w:tcW w:w="989" w:type="dxa"/>
            <w:vMerge w:val="continue"/>
            <w:tcBorders>
              <w:top w:val="nil"/>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nil"/>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总磷、总氮</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1次/日</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365</w:t>
            </w:r>
          </w:p>
        </w:tc>
      </w:tr>
      <w:tr>
        <w:tblPrEx>
          <w:tblCellMar>
            <w:top w:w="0" w:type="dxa"/>
            <w:left w:w="108" w:type="dxa"/>
            <w:bottom w:w="0" w:type="dxa"/>
            <w:right w:w="108" w:type="dxa"/>
          </w:tblCellMar>
        </w:tblPrEx>
        <w:trPr>
          <w:trHeight w:val="1140"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32</w:t>
            </w:r>
          </w:p>
        </w:tc>
        <w:tc>
          <w:tcPr>
            <w:tcW w:w="989" w:type="dxa"/>
            <w:vMerge w:val="continue"/>
            <w:tcBorders>
              <w:top w:val="nil"/>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废水出口（编号DW002）</w:t>
            </w: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pH值、水温、化学需氧量、氨氮、总磷、总氮</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1.化学需氧量、氨氮、总磷、总氮比对试验总数不少于三对，pH值、水温5个瞬时样；2.流量为电磁流量计，另外委托计量单位每年检验。</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CellMar>
            <w:top w:w="0" w:type="dxa"/>
            <w:left w:w="108" w:type="dxa"/>
            <w:bottom w:w="0" w:type="dxa"/>
            <w:right w:w="108" w:type="dxa"/>
          </w:tblCellMar>
        </w:tblPrEx>
        <w:trPr>
          <w:trHeight w:val="1140"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33</w:t>
            </w:r>
          </w:p>
        </w:tc>
        <w:tc>
          <w:tcPr>
            <w:tcW w:w="989" w:type="dxa"/>
            <w:vMerge w:val="continue"/>
            <w:tcBorders>
              <w:top w:val="nil"/>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总镉、总铬、总汞、总铅、总砷、六价铬、悬浮物、色度</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CellMar>
            <w:top w:w="0" w:type="dxa"/>
            <w:left w:w="108" w:type="dxa"/>
            <w:bottom w:w="0" w:type="dxa"/>
            <w:right w:w="108" w:type="dxa"/>
          </w:tblCellMar>
        </w:tblPrEx>
        <w:trPr>
          <w:trHeight w:val="1140"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34</w:t>
            </w:r>
          </w:p>
        </w:tc>
        <w:tc>
          <w:tcPr>
            <w:tcW w:w="989" w:type="dxa"/>
            <w:vMerge w:val="continue"/>
            <w:tcBorders>
              <w:top w:val="nil"/>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五日生化需氧量、石油类、粪大肠菌群数/（MPN/L）</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r>
      <w:tr>
        <w:tblPrEx>
          <w:tblCellMar>
            <w:top w:w="0" w:type="dxa"/>
            <w:left w:w="108" w:type="dxa"/>
            <w:bottom w:w="0" w:type="dxa"/>
            <w:right w:w="108" w:type="dxa"/>
          </w:tblCellMar>
        </w:tblPrEx>
        <w:trPr>
          <w:trHeight w:val="1695"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35</w:t>
            </w:r>
          </w:p>
        </w:tc>
        <w:tc>
          <w:tcPr>
            <w:tcW w:w="989"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回用水</w:t>
            </w:r>
          </w:p>
        </w:tc>
        <w:tc>
          <w:tcPr>
            <w:tcW w:w="1466"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综合污水处理池进口</w:t>
            </w:r>
          </w:p>
        </w:tc>
        <w:tc>
          <w:tcPr>
            <w:tcW w:w="2001"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水温、pH值、五日生化需氧量、化学需氧量、氨氮、氟化物、汞、镉、六价铬、砷、铅、悬浮物、石油类、挥发酚类、总镍、总铜、总锌</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r>
      <w:tr>
        <w:tblPrEx>
          <w:tblCellMar>
            <w:top w:w="0" w:type="dxa"/>
            <w:left w:w="108" w:type="dxa"/>
            <w:bottom w:w="0" w:type="dxa"/>
            <w:right w:w="108" w:type="dxa"/>
          </w:tblCellMar>
        </w:tblPrEx>
        <w:trPr>
          <w:trHeight w:val="1935"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36</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综合污水处理排放口</w:t>
            </w: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pH值、五日生化需氧量、化学需氧量、氨氮、氟化物、粪大肠菌群数、总余氯、汞、镉、铬、六价铬、砷、铅、悬浮物、石油类、挥发酚类、总磷、总镍、总铜、总锌</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r>
      <w:tr>
        <w:tblPrEx>
          <w:tblCellMar>
            <w:top w:w="0" w:type="dxa"/>
            <w:left w:w="108" w:type="dxa"/>
            <w:bottom w:w="0" w:type="dxa"/>
            <w:right w:w="108" w:type="dxa"/>
          </w:tblCellMar>
        </w:tblPrEx>
        <w:trPr>
          <w:trHeight w:val="1665"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37</w:t>
            </w:r>
          </w:p>
        </w:tc>
        <w:tc>
          <w:tcPr>
            <w:tcW w:w="98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雨水</w:t>
            </w:r>
          </w:p>
        </w:tc>
        <w:tc>
          <w:tcPr>
            <w:tcW w:w="1466"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北侧雨水排放口（编号DW001）、南侧雨水排放口（编号DW003），合计2个点</w:t>
            </w: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pH值、悬浮物、化学需氧量、氨氮、石油类</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2次/周</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采样时间间隔不少于4h，采样频次不少于3次。</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624</w:t>
            </w:r>
          </w:p>
        </w:tc>
      </w:tr>
      <w:tr>
        <w:tblPrEx>
          <w:tblCellMar>
            <w:top w:w="0" w:type="dxa"/>
            <w:left w:w="108" w:type="dxa"/>
            <w:bottom w:w="0" w:type="dxa"/>
            <w:right w:w="108" w:type="dxa"/>
          </w:tblCellMar>
        </w:tblPrEx>
        <w:trPr>
          <w:trHeight w:val="1334"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38</w:t>
            </w:r>
          </w:p>
        </w:tc>
        <w:tc>
          <w:tcPr>
            <w:tcW w:w="98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地表水</w:t>
            </w:r>
          </w:p>
        </w:tc>
        <w:tc>
          <w:tcPr>
            <w:tcW w:w="1466"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项目下游（W1淡水河Ⅲ类水）、项目下游（W2太阳洲西海Ⅳ类水）</w:t>
            </w: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悬浮物、溶解氧、化学需氧量、五日生化需氧量、氨氮、总磷、高锰酸盐指数、挥发酚类、石油类、硫化物、砷、铅、镉、汞、六价铬、铬、银、铜、锌、铁、镍、硫酸盐、硝酸盐、氯化物、氰化物、氟化物、粪大肠菌群、阴离子表面活性剂LAS</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w:t>
            </w:r>
          </w:p>
        </w:tc>
      </w:tr>
      <w:tr>
        <w:tblPrEx>
          <w:tblCellMar>
            <w:top w:w="0" w:type="dxa"/>
            <w:left w:w="108" w:type="dxa"/>
            <w:bottom w:w="0" w:type="dxa"/>
            <w:right w:w="108" w:type="dxa"/>
          </w:tblCellMar>
        </w:tblPrEx>
        <w:trPr>
          <w:trHeight w:val="2145"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39</w:t>
            </w:r>
          </w:p>
        </w:tc>
        <w:tc>
          <w:tcPr>
            <w:tcW w:w="98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地下水</w:t>
            </w:r>
          </w:p>
        </w:tc>
        <w:tc>
          <w:tcPr>
            <w:tcW w:w="146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6个监测井（本底井W1、跟踪监视井W2、跟踪监视井W3、监测井W4、污染扩散井W5及污染扩散井W6）</w:t>
            </w: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浑浊度、PH值、溶解性总固体、氯化物、高猛酸盐指数、硝酸盐、亚硝酸盐（以N计）、氨氮（以N计）、挥发酚类、硫酸盐、硫化物、氰化物、铅、汞、镉、六价铬、砷、锑、镍、电导率</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24</w:t>
            </w:r>
          </w:p>
        </w:tc>
      </w:tr>
      <w:tr>
        <w:tblPrEx>
          <w:tblCellMar>
            <w:top w:w="0" w:type="dxa"/>
            <w:left w:w="108" w:type="dxa"/>
            <w:bottom w:w="0" w:type="dxa"/>
            <w:right w:w="108" w:type="dxa"/>
          </w:tblCellMar>
        </w:tblPrEx>
        <w:trPr>
          <w:trHeight w:val="1665"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40</w:t>
            </w:r>
          </w:p>
        </w:tc>
        <w:tc>
          <w:tcPr>
            <w:tcW w:w="989"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厂界噪声</w:t>
            </w:r>
          </w:p>
        </w:tc>
        <w:tc>
          <w:tcPr>
            <w:tcW w:w="1466"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东、南、西、北四个方向各取一个点（V1、V2、V3、V4，合计4个点。）</w:t>
            </w:r>
          </w:p>
        </w:tc>
        <w:tc>
          <w:tcPr>
            <w:tcW w:w="2001"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厂界噪声，等效连续A声级</w:t>
            </w:r>
          </w:p>
        </w:tc>
        <w:tc>
          <w:tcPr>
            <w:tcW w:w="884"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995"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每个监测点每期监测需昼、夜各测1次</w:t>
            </w:r>
          </w:p>
        </w:tc>
        <w:tc>
          <w:tcPr>
            <w:tcW w:w="899"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32</w:t>
            </w:r>
          </w:p>
        </w:tc>
      </w:tr>
      <w:tr>
        <w:tblPrEx>
          <w:tblCellMar>
            <w:top w:w="0" w:type="dxa"/>
            <w:left w:w="108" w:type="dxa"/>
            <w:bottom w:w="0" w:type="dxa"/>
            <w:right w:w="108" w:type="dxa"/>
          </w:tblCellMar>
        </w:tblPrEx>
        <w:trPr>
          <w:trHeight w:val="1965"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41</w:t>
            </w:r>
          </w:p>
        </w:tc>
        <w:tc>
          <w:tcPr>
            <w:tcW w:w="989"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焚烧设备噪声</w:t>
            </w:r>
          </w:p>
        </w:tc>
        <w:tc>
          <w:tcPr>
            <w:tcW w:w="146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焚烧1#F式引风机、循环水泵、空压机房、消石灰系统（罗茨风机）、主燃烧风机、进料液压站、破碎机、辊筒机、清水泵等9处设备噪声</w:t>
            </w: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设备运行噪声</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36</w:t>
            </w:r>
          </w:p>
        </w:tc>
      </w:tr>
      <w:tr>
        <w:tblPrEx>
          <w:tblCellMar>
            <w:top w:w="0" w:type="dxa"/>
            <w:left w:w="108" w:type="dxa"/>
            <w:bottom w:w="0" w:type="dxa"/>
            <w:right w:w="108" w:type="dxa"/>
          </w:tblCellMar>
        </w:tblPrEx>
        <w:trPr>
          <w:trHeight w:val="1935"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42</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焚烧2#引风机、引风机、循环水泵、空压机房、消石灰系统（罗茨风机）、主燃烧风机、进料液压站、辊筒机、清水泵等8处设备噪声</w:t>
            </w: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设备运行噪声</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32</w:t>
            </w:r>
          </w:p>
        </w:tc>
      </w:tr>
      <w:tr>
        <w:tblPrEx>
          <w:tblCellMar>
            <w:top w:w="0" w:type="dxa"/>
            <w:left w:w="108" w:type="dxa"/>
            <w:bottom w:w="0" w:type="dxa"/>
            <w:right w:w="108" w:type="dxa"/>
          </w:tblCellMar>
        </w:tblPrEx>
        <w:trPr>
          <w:trHeight w:val="180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43</w:t>
            </w:r>
          </w:p>
        </w:tc>
        <w:tc>
          <w:tcPr>
            <w:tcW w:w="98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物化废水设备噪声</w:t>
            </w:r>
          </w:p>
        </w:tc>
        <w:tc>
          <w:tcPr>
            <w:tcW w:w="146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物化卸料区、物化污泥压滤区、废水污泥压滤区、空压机、冷干机、生化空气悬浮风机及单效蒸发釜、装卸等区域噪声9处。</w:t>
            </w: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设备运行噪声</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36</w:t>
            </w:r>
          </w:p>
        </w:tc>
      </w:tr>
      <w:tr>
        <w:tblPrEx>
          <w:tblCellMar>
            <w:top w:w="0" w:type="dxa"/>
            <w:left w:w="108" w:type="dxa"/>
            <w:bottom w:w="0" w:type="dxa"/>
            <w:right w:w="108" w:type="dxa"/>
          </w:tblCellMar>
        </w:tblPrEx>
        <w:trPr>
          <w:trHeight w:val="177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44</w:t>
            </w:r>
          </w:p>
        </w:tc>
        <w:tc>
          <w:tcPr>
            <w:tcW w:w="98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熔炼设备噪声</w:t>
            </w:r>
          </w:p>
        </w:tc>
        <w:tc>
          <w:tcPr>
            <w:tcW w:w="146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原料卸料存储区、预处理干燥区、物料称重下料区、引风机、鼓风机、空压机、制氧站等设备噪声7处。</w:t>
            </w: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设备运行噪声</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28</w:t>
            </w:r>
          </w:p>
        </w:tc>
      </w:tr>
      <w:tr>
        <w:tblPrEx>
          <w:tblCellMar>
            <w:top w:w="0" w:type="dxa"/>
            <w:left w:w="108" w:type="dxa"/>
            <w:bottom w:w="0" w:type="dxa"/>
            <w:right w:w="108" w:type="dxa"/>
          </w:tblCellMar>
        </w:tblPrEx>
        <w:trPr>
          <w:trHeight w:val="1339"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45</w:t>
            </w:r>
          </w:p>
        </w:tc>
        <w:tc>
          <w:tcPr>
            <w:tcW w:w="98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土壤</w:t>
            </w:r>
          </w:p>
        </w:tc>
        <w:tc>
          <w:tcPr>
            <w:tcW w:w="1466"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r>
              <w:rPr>
                <w:rFonts w:hint="eastAsia" w:ascii="宋体" w:hAnsi="宋体" w:cs="宋体"/>
                <w:color w:val="auto"/>
                <w:szCs w:val="21"/>
                <w:highlight w:val="none"/>
              </w:rPr>
              <w:t>在厂区周边设3个监测点S1、S2、S3；厂区周边南侧和西侧基本农田保护S4、S5，合计5个点</w:t>
            </w: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pH值、汞、砷、镉、铅、铬（六价）、铜、镍、锑、锌</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1次/半年</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10</w:t>
            </w:r>
          </w:p>
        </w:tc>
      </w:tr>
      <w:tr>
        <w:tblPrEx>
          <w:tblCellMar>
            <w:top w:w="0" w:type="dxa"/>
            <w:left w:w="108" w:type="dxa"/>
            <w:bottom w:w="0" w:type="dxa"/>
            <w:right w:w="108" w:type="dxa"/>
          </w:tblCellMar>
        </w:tblPrEx>
        <w:trPr>
          <w:trHeight w:val="1339"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46</w:t>
            </w:r>
          </w:p>
        </w:tc>
        <w:tc>
          <w:tcPr>
            <w:tcW w:w="989"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炉渣</w:t>
            </w:r>
          </w:p>
        </w:tc>
        <w:tc>
          <w:tcPr>
            <w:tcW w:w="1466"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焚烧1#、焚烧2#合计2个点</w:t>
            </w:r>
          </w:p>
        </w:tc>
        <w:tc>
          <w:tcPr>
            <w:tcW w:w="2001"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热灼减率</w:t>
            </w:r>
          </w:p>
        </w:tc>
        <w:tc>
          <w:tcPr>
            <w:tcW w:w="884"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1次/周</w:t>
            </w:r>
          </w:p>
        </w:tc>
        <w:tc>
          <w:tcPr>
            <w:tcW w:w="1995"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104</w:t>
            </w:r>
          </w:p>
        </w:tc>
      </w:tr>
      <w:tr>
        <w:tblPrEx>
          <w:tblCellMar>
            <w:top w:w="0" w:type="dxa"/>
            <w:left w:w="108" w:type="dxa"/>
            <w:bottom w:w="0" w:type="dxa"/>
            <w:right w:w="108" w:type="dxa"/>
          </w:tblCellMar>
        </w:tblPrEx>
        <w:trPr>
          <w:trHeight w:val="970" w:hRule="atLeast"/>
          <w:jc w:val="center"/>
        </w:trPr>
        <w:tc>
          <w:tcPr>
            <w:tcW w:w="8100" w:type="dxa"/>
            <w:gridSpan w:val="6"/>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小计</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1981</w:t>
            </w:r>
          </w:p>
        </w:tc>
      </w:tr>
      <w:bookmarkEnd w:id="16"/>
    </w:tbl>
    <w:p>
      <w:pPr>
        <w:shd w:val="clear"/>
        <w:ind w:firstLine="422" w:firstLineChars="200"/>
        <w:rPr>
          <w:rFonts w:ascii="宋体" w:hAnsi="宋体" w:cs="宋体"/>
          <w:b/>
          <w:bCs/>
          <w:color w:val="auto"/>
          <w:szCs w:val="21"/>
          <w:highlight w:val="none"/>
        </w:rPr>
      </w:pPr>
      <w:bookmarkStart w:id="17" w:name="_Hlk137800497"/>
    </w:p>
    <w:p>
      <w:pPr>
        <w:shd w:val="clear"/>
        <w:ind w:firstLine="422" w:firstLineChars="200"/>
        <w:rPr>
          <w:rFonts w:ascii="宋体" w:hAnsi="宋体" w:cs="宋体"/>
          <w:color w:val="auto"/>
          <w:szCs w:val="21"/>
          <w:highlight w:val="none"/>
        </w:rPr>
      </w:pPr>
      <w:r>
        <w:rPr>
          <w:rFonts w:hint="eastAsia" w:ascii="宋体" w:hAnsi="宋体" w:cs="宋体"/>
          <w:b/>
          <w:bCs/>
          <w:color w:val="auto"/>
          <w:szCs w:val="21"/>
          <w:highlight w:val="none"/>
        </w:rPr>
        <w:t>2</w:t>
      </w:r>
      <w:r>
        <w:rPr>
          <w:rFonts w:hint="eastAsia" w:ascii="宋体" w:hAnsi="宋体" w:cs="宋体"/>
          <w:color w:val="auto"/>
          <w:szCs w:val="21"/>
          <w:highlight w:val="none"/>
        </w:rPr>
        <w:t>.凤岗项目</w:t>
      </w:r>
    </w:p>
    <w:p>
      <w:pPr>
        <w:shd w:val="clear"/>
        <w:ind w:firstLine="420" w:firstLineChars="200"/>
        <w:rPr>
          <w:rFonts w:ascii="宋体" w:hAnsi="宋体" w:cs="宋体"/>
          <w:color w:val="auto"/>
          <w:highlight w:val="none"/>
        </w:rPr>
      </w:pPr>
      <w:r>
        <w:rPr>
          <w:rFonts w:hint="eastAsia" w:ascii="宋体" w:hAnsi="宋体" w:cs="宋体"/>
          <w:color w:val="auto"/>
          <w:szCs w:val="21"/>
          <w:highlight w:val="none"/>
        </w:rPr>
        <w:t>2021年3月1日生态环境部施行的《排污许可管理条例》、《排污单位自行监测技术指南总则》（HJ819-2017）、排污许可证申请与核发技术规范环境卫生管理业（HJ 1106-2020)及项目环评，确定委外环境监测方案如附表5，服务单位须根据约定时间完成采样、监测并出具监测报告。</w:t>
      </w:r>
    </w:p>
    <w:p>
      <w:pPr>
        <w:shd w:val="clear"/>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附表5：凤岗项目委外环境监测方案</w:t>
      </w:r>
    </w:p>
    <w:bookmarkEnd w:id="17"/>
    <w:tbl>
      <w:tblPr>
        <w:tblStyle w:val="30"/>
        <w:tblW w:w="8904" w:type="dxa"/>
        <w:tblInd w:w="-147" w:type="dxa"/>
        <w:tblLayout w:type="fixed"/>
        <w:tblCellMar>
          <w:top w:w="0" w:type="dxa"/>
          <w:left w:w="108" w:type="dxa"/>
          <w:bottom w:w="0" w:type="dxa"/>
          <w:right w:w="108" w:type="dxa"/>
        </w:tblCellMar>
      </w:tblPr>
      <w:tblGrid>
        <w:gridCol w:w="627"/>
        <w:gridCol w:w="800"/>
        <w:gridCol w:w="2932"/>
        <w:gridCol w:w="1593"/>
        <w:gridCol w:w="1007"/>
        <w:gridCol w:w="1045"/>
        <w:gridCol w:w="900"/>
      </w:tblGrid>
      <w:tr>
        <w:tblPrEx>
          <w:tblCellMar>
            <w:top w:w="0" w:type="dxa"/>
            <w:left w:w="108" w:type="dxa"/>
            <w:bottom w:w="0" w:type="dxa"/>
            <w:right w:w="108" w:type="dxa"/>
          </w:tblCellMar>
        </w:tblPrEx>
        <w:trPr>
          <w:trHeight w:val="692" w:hRule="atLeast"/>
          <w:tblHeader/>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bookmarkStart w:id="18" w:name="_Hlk137800507"/>
            <w:r>
              <w:rPr>
                <w:rFonts w:hint="eastAsia" w:ascii="宋体" w:hAnsi="宋体" w:cs="宋体"/>
                <w:b/>
                <w:bCs/>
                <w:color w:val="auto"/>
                <w:szCs w:val="21"/>
                <w:highlight w:val="none"/>
              </w:rPr>
              <w:t>序号</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项目</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监测点位</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监测因子</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监测频次</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c>
          <w:tcPr>
            <w:tcW w:w="900" w:type="dxa"/>
            <w:tcBorders>
              <w:top w:val="single" w:color="auto" w:sz="4" w:space="0"/>
              <w:left w:val="single" w:color="auto" w:sz="4" w:space="0"/>
              <w:bottom w:val="single" w:color="auto" w:sz="4" w:space="0"/>
              <w:right w:val="single" w:color="auto" w:sz="4" w:space="0"/>
            </w:tcBorders>
            <w:shd w:val="clear" w:color="000000"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年样品数量</w:t>
            </w:r>
          </w:p>
        </w:tc>
      </w:tr>
      <w:tr>
        <w:tblPrEx>
          <w:tblCellMar>
            <w:top w:w="0" w:type="dxa"/>
            <w:left w:w="108" w:type="dxa"/>
            <w:bottom w:w="0" w:type="dxa"/>
            <w:right w:w="108" w:type="dxa"/>
          </w:tblCellMar>
        </w:tblPrEx>
        <w:trPr>
          <w:trHeight w:val="1339" w:hRule="atLeast"/>
        </w:trPr>
        <w:tc>
          <w:tcPr>
            <w:tcW w:w="62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c>
          <w:tcPr>
            <w:tcW w:w="800"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废水</w:t>
            </w:r>
          </w:p>
        </w:tc>
        <w:tc>
          <w:tcPr>
            <w:tcW w:w="2932"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废水排放口DW001</w:t>
            </w:r>
          </w:p>
        </w:tc>
        <w:tc>
          <w:tcPr>
            <w:tcW w:w="159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化学需氧量、氨氮、总磷、总氮</w:t>
            </w:r>
          </w:p>
        </w:tc>
        <w:tc>
          <w:tcPr>
            <w:tcW w:w="10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104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90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CellMar>
            <w:top w:w="0" w:type="dxa"/>
            <w:left w:w="108" w:type="dxa"/>
            <w:bottom w:w="0" w:type="dxa"/>
            <w:right w:w="108" w:type="dxa"/>
          </w:tblCellMar>
        </w:tblPrEx>
        <w:trPr>
          <w:trHeight w:val="1339" w:hRule="atLeast"/>
        </w:trPr>
        <w:tc>
          <w:tcPr>
            <w:tcW w:w="62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w:t>
            </w:r>
          </w:p>
        </w:tc>
        <w:tc>
          <w:tcPr>
            <w:tcW w:w="800" w:type="dxa"/>
            <w:vMerge w:val="continue"/>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2932" w:type="dxa"/>
            <w:vMerge w:val="continue"/>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159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悬浮物、五日生化需氧量、粪大肠菌群</w:t>
            </w:r>
          </w:p>
        </w:tc>
        <w:tc>
          <w:tcPr>
            <w:tcW w:w="10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04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90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r>
      <w:tr>
        <w:tblPrEx>
          <w:tblCellMar>
            <w:top w:w="0" w:type="dxa"/>
            <w:left w:w="108" w:type="dxa"/>
            <w:bottom w:w="0" w:type="dxa"/>
            <w:right w:w="108" w:type="dxa"/>
          </w:tblCellMar>
        </w:tblPrEx>
        <w:trPr>
          <w:trHeight w:val="1339" w:hRule="atLeast"/>
        </w:trPr>
        <w:tc>
          <w:tcPr>
            <w:tcW w:w="62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c>
          <w:tcPr>
            <w:tcW w:w="800" w:type="dxa"/>
            <w:vMerge w:val="continue"/>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2932" w:type="dxa"/>
            <w:vMerge w:val="continue"/>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159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色度、总汞、总镉、总铬、总砷、六价铬、总铅</w:t>
            </w:r>
          </w:p>
        </w:tc>
        <w:tc>
          <w:tcPr>
            <w:tcW w:w="10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104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90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r>
      <w:tr>
        <w:tblPrEx>
          <w:tblCellMar>
            <w:top w:w="0" w:type="dxa"/>
            <w:left w:w="108" w:type="dxa"/>
            <w:bottom w:w="0" w:type="dxa"/>
            <w:right w:w="108" w:type="dxa"/>
          </w:tblCellMar>
        </w:tblPrEx>
        <w:trPr>
          <w:trHeight w:val="1339" w:hRule="atLeast"/>
        </w:trPr>
        <w:tc>
          <w:tcPr>
            <w:tcW w:w="62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c>
          <w:tcPr>
            <w:tcW w:w="80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无组织废气</w:t>
            </w:r>
          </w:p>
        </w:tc>
        <w:tc>
          <w:tcPr>
            <w:tcW w:w="293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项目周界处，上风向1个点，下风向3个点，合计4个点。</w:t>
            </w:r>
          </w:p>
        </w:tc>
        <w:tc>
          <w:tcPr>
            <w:tcW w:w="159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硫化氢、氨（氨气）、臭气浓度</w:t>
            </w:r>
          </w:p>
        </w:tc>
        <w:tc>
          <w:tcPr>
            <w:tcW w:w="10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04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恶臭污染监测样品采集不少于4次，取最大测定值。</w:t>
            </w:r>
          </w:p>
        </w:tc>
        <w:tc>
          <w:tcPr>
            <w:tcW w:w="90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64</w:t>
            </w:r>
          </w:p>
        </w:tc>
      </w:tr>
      <w:tr>
        <w:tblPrEx>
          <w:tblCellMar>
            <w:top w:w="0" w:type="dxa"/>
            <w:left w:w="108" w:type="dxa"/>
            <w:bottom w:w="0" w:type="dxa"/>
            <w:right w:w="108" w:type="dxa"/>
          </w:tblCellMar>
        </w:tblPrEx>
        <w:trPr>
          <w:trHeight w:val="1339" w:hRule="atLeast"/>
        </w:trPr>
        <w:tc>
          <w:tcPr>
            <w:tcW w:w="62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5</w:t>
            </w:r>
          </w:p>
        </w:tc>
        <w:tc>
          <w:tcPr>
            <w:tcW w:w="80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有组织废气</w:t>
            </w:r>
          </w:p>
        </w:tc>
        <w:tc>
          <w:tcPr>
            <w:tcW w:w="293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除臭设备排放口</w:t>
            </w:r>
          </w:p>
        </w:tc>
        <w:tc>
          <w:tcPr>
            <w:tcW w:w="159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硫化氢、氨（氨气）、臭气浓度</w:t>
            </w:r>
          </w:p>
        </w:tc>
        <w:tc>
          <w:tcPr>
            <w:tcW w:w="10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1次/半年</w:t>
            </w:r>
          </w:p>
        </w:tc>
        <w:tc>
          <w:tcPr>
            <w:tcW w:w="104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恶臭污染监测样品采集不少于3次，取最大测定值。</w:t>
            </w:r>
          </w:p>
        </w:tc>
        <w:tc>
          <w:tcPr>
            <w:tcW w:w="90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w:t>
            </w:r>
          </w:p>
        </w:tc>
      </w:tr>
      <w:tr>
        <w:tblPrEx>
          <w:tblCellMar>
            <w:top w:w="0" w:type="dxa"/>
            <w:left w:w="108" w:type="dxa"/>
            <w:bottom w:w="0" w:type="dxa"/>
            <w:right w:w="108" w:type="dxa"/>
          </w:tblCellMar>
        </w:tblPrEx>
        <w:trPr>
          <w:trHeight w:val="547" w:hRule="atLeast"/>
        </w:trPr>
        <w:tc>
          <w:tcPr>
            <w:tcW w:w="8004" w:type="dxa"/>
            <w:gridSpan w:val="6"/>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小计</w:t>
            </w:r>
          </w:p>
        </w:tc>
        <w:tc>
          <w:tcPr>
            <w:tcW w:w="900"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87</w:t>
            </w:r>
          </w:p>
        </w:tc>
      </w:tr>
      <w:bookmarkEnd w:id="18"/>
    </w:tbl>
    <w:p>
      <w:pPr>
        <w:shd w:val="clear"/>
        <w:jc w:val="both"/>
        <w:rPr>
          <w:rFonts w:ascii="宋体" w:hAnsi="宋体" w:cs="宋体"/>
          <w:color w:val="auto"/>
          <w:szCs w:val="21"/>
          <w:highlight w:val="none"/>
        </w:rPr>
      </w:pPr>
    </w:p>
    <w:p>
      <w:pPr>
        <w:pStyle w:val="59"/>
        <w:shd w:val="clear"/>
        <w:ind w:firstLine="0" w:firstLineChars="0"/>
        <w:jc w:val="left"/>
        <w:rPr>
          <w:rFonts w:ascii="宋体" w:hAnsi="宋体" w:cs="宋体"/>
          <w:b/>
          <w:color w:val="auto"/>
          <w:sz w:val="32"/>
          <w:szCs w:val="32"/>
          <w:highlight w:val="none"/>
        </w:rPr>
      </w:pPr>
    </w:p>
    <w:p>
      <w:pPr>
        <w:pStyle w:val="59"/>
        <w:shd w:val="clear"/>
        <w:ind w:firstLine="0" w:firstLineChars="0"/>
        <w:jc w:val="left"/>
        <w:rPr>
          <w:rFonts w:ascii="宋体" w:hAnsi="宋体" w:cs="宋体"/>
          <w:b/>
          <w:color w:val="auto"/>
          <w:sz w:val="32"/>
          <w:szCs w:val="32"/>
          <w:highlight w:val="none"/>
        </w:rPr>
      </w:pPr>
    </w:p>
    <w:p>
      <w:pPr>
        <w:pStyle w:val="59"/>
        <w:shd w:val="clear"/>
        <w:ind w:firstLine="0" w:firstLineChars="0"/>
        <w:jc w:val="left"/>
        <w:rPr>
          <w:rFonts w:ascii="宋体" w:hAnsi="宋体" w:cs="宋体"/>
          <w:b/>
          <w:color w:val="auto"/>
          <w:sz w:val="32"/>
          <w:szCs w:val="32"/>
          <w:highlight w:val="none"/>
        </w:rPr>
      </w:pPr>
    </w:p>
    <w:p>
      <w:pPr>
        <w:pStyle w:val="59"/>
        <w:shd w:val="clear"/>
        <w:ind w:firstLine="0" w:firstLineChars="0"/>
        <w:jc w:val="left"/>
        <w:rPr>
          <w:rFonts w:ascii="宋体" w:hAnsi="宋体" w:cs="宋体"/>
          <w:b/>
          <w:color w:val="auto"/>
          <w:sz w:val="32"/>
          <w:szCs w:val="32"/>
          <w:highlight w:val="none"/>
        </w:rPr>
      </w:pPr>
    </w:p>
    <w:p>
      <w:pPr>
        <w:pStyle w:val="59"/>
        <w:shd w:val="clear"/>
        <w:ind w:firstLine="0" w:firstLineChars="0"/>
        <w:jc w:val="left"/>
        <w:rPr>
          <w:rFonts w:ascii="宋体" w:hAnsi="宋体" w:cs="宋体"/>
          <w:b/>
          <w:color w:val="auto"/>
          <w:sz w:val="32"/>
          <w:szCs w:val="32"/>
          <w:highlight w:val="none"/>
        </w:rPr>
      </w:pPr>
    </w:p>
    <w:p>
      <w:pPr>
        <w:pStyle w:val="59"/>
        <w:shd w:val="clear"/>
        <w:ind w:firstLine="0" w:firstLineChars="0"/>
        <w:jc w:val="left"/>
        <w:rPr>
          <w:rFonts w:ascii="宋体" w:hAnsi="宋体" w:cs="宋体"/>
          <w:b/>
          <w:color w:val="auto"/>
          <w:sz w:val="32"/>
          <w:szCs w:val="32"/>
          <w:highlight w:val="none"/>
        </w:rPr>
      </w:pPr>
    </w:p>
    <w:p>
      <w:pPr>
        <w:pStyle w:val="59"/>
        <w:shd w:val="clear"/>
        <w:ind w:firstLine="0" w:firstLineChars="0"/>
        <w:jc w:val="left"/>
        <w:rPr>
          <w:rFonts w:ascii="宋体" w:hAnsi="宋体" w:cs="宋体"/>
          <w:b/>
          <w:color w:val="auto"/>
          <w:sz w:val="32"/>
          <w:szCs w:val="32"/>
          <w:highlight w:val="none"/>
        </w:rPr>
      </w:pPr>
    </w:p>
    <w:p>
      <w:pPr>
        <w:pStyle w:val="59"/>
        <w:shd w:val="clear"/>
        <w:ind w:firstLine="0" w:firstLineChars="0"/>
        <w:jc w:val="left"/>
        <w:rPr>
          <w:rFonts w:ascii="宋体" w:hAnsi="宋体" w:cs="宋体"/>
          <w:b/>
          <w:color w:val="auto"/>
          <w:sz w:val="32"/>
          <w:szCs w:val="32"/>
          <w:highlight w:val="none"/>
        </w:rPr>
      </w:pPr>
      <w:r>
        <w:rPr>
          <w:rFonts w:hint="eastAsia" w:ascii="宋体" w:hAnsi="宋体" w:cs="宋体"/>
          <w:b/>
          <w:color w:val="auto"/>
          <w:sz w:val="32"/>
          <w:szCs w:val="32"/>
          <w:highlight w:val="none"/>
        </w:rPr>
        <w:t>第三部分：</w:t>
      </w:r>
    </w:p>
    <w:p>
      <w:pPr>
        <w:pStyle w:val="59"/>
        <w:shd w:val="clear"/>
        <w:ind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东莞市新东元环保投资有限公司海心沙环保热电厂项目</w:t>
      </w:r>
    </w:p>
    <w:p>
      <w:pPr>
        <w:pStyle w:val="59"/>
        <w:shd w:val="clear"/>
        <w:ind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环境监测服务技术需求书</w:t>
      </w:r>
    </w:p>
    <w:p>
      <w:pPr>
        <w:shd w:val="clear"/>
        <w:rPr>
          <w:rFonts w:ascii="宋体" w:hAnsi="宋体" w:cs="宋体"/>
          <w:b/>
          <w:bCs/>
          <w:color w:val="auto"/>
          <w:szCs w:val="21"/>
          <w:highlight w:val="none"/>
        </w:rPr>
      </w:pPr>
      <w:bookmarkStart w:id="19" w:name="_Toc21710"/>
      <w:bookmarkStart w:id="20" w:name="_Toc532455256"/>
      <w:bookmarkStart w:id="21" w:name="_Toc15605"/>
      <w:bookmarkStart w:id="22" w:name="_Toc20570"/>
      <w:bookmarkStart w:id="23" w:name="_Toc4657"/>
      <w:bookmarkStart w:id="24" w:name="_Toc25523"/>
      <w:bookmarkStart w:id="25" w:name="_Toc765"/>
      <w:r>
        <w:rPr>
          <w:rFonts w:hint="eastAsia" w:ascii="宋体" w:hAnsi="宋体" w:cs="宋体"/>
          <w:b/>
          <w:bCs/>
          <w:color w:val="auto"/>
          <w:szCs w:val="21"/>
          <w:highlight w:val="none"/>
        </w:rPr>
        <w:t>一、技术规范</w:t>
      </w:r>
      <w:bookmarkEnd w:id="19"/>
      <w:bookmarkEnd w:id="20"/>
      <w:bookmarkEnd w:id="21"/>
      <w:bookmarkEnd w:id="22"/>
      <w:bookmarkEnd w:id="23"/>
      <w:bookmarkEnd w:id="24"/>
      <w:bookmarkEnd w:id="25"/>
    </w:p>
    <w:p>
      <w:pPr>
        <w:shd w:val="clear"/>
        <w:ind w:firstLine="480"/>
        <w:rPr>
          <w:rFonts w:ascii="宋体" w:hAnsi="宋体" w:cs="宋体"/>
          <w:color w:val="auto"/>
          <w:szCs w:val="21"/>
          <w:highlight w:val="none"/>
        </w:rPr>
      </w:pPr>
      <w:bookmarkStart w:id="26" w:name="_Toc451431779"/>
      <w:r>
        <w:rPr>
          <w:rFonts w:hint="eastAsia" w:ascii="宋体" w:hAnsi="宋体" w:cs="宋体"/>
          <w:color w:val="auto"/>
          <w:szCs w:val="21"/>
          <w:highlight w:val="none"/>
        </w:rPr>
        <w:t>本技术规范所提及的要求和服务范围都是最低限度要求，并未对一切技术细节做出规定，也未充分地详述有关标准和规范条文，但投标人必须保证提供符合本技术规范和行业标准的功能齐全的优质产品及服务。</w:t>
      </w:r>
    </w:p>
    <w:bookmarkEnd w:id="26"/>
    <w:p>
      <w:pPr>
        <w:shd w:val="clear"/>
        <w:ind w:firstLine="480"/>
        <w:rPr>
          <w:rFonts w:ascii="宋体" w:hAnsi="宋体" w:cs="宋体"/>
          <w:color w:val="auto"/>
          <w:szCs w:val="21"/>
          <w:highlight w:val="none"/>
        </w:rPr>
      </w:pPr>
      <w:r>
        <w:rPr>
          <w:rFonts w:hint="eastAsia" w:ascii="宋体" w:hAnsi="宋体" w:cs="宋体"/>
          <w:color w:val="auto"/>
          <w:szCs w:val="21"/>
          <w:highlight w:val="none"/>
        </w:rPr>
        <w:t>项目名称：东莞市海心沙资源综合利用中心环保热电厂项目</w:t>
      </w:r>
    </w:p>
    <w:p>
      <w:pPr>
        <w:shd w:val="clear"/>
        <w:ind w:firstLine="480"/>
        <w:rPr>
          <w:rFonts w:ascii="宋体" w:hAnsi="宋体" w:cs="宋体"/>
          <w:color w:val="auto"/>
          <w:szCs w:val="21"/>
          <w:highlight w:val="none"/>
        </w:rPr>
      </w:pPr>
      <w:r>
        <w:rPr>
          <w:rFonts w:hint="eastAsia" w:ascii="宋体" w:hAnsi="宋体" w:cs="宋体"/>
          <w:color w:val="auto"/>
          <w:szCs w:val="21"/>
          <w:highlight w:val="none"/>
        </w:rPr>
        <w:t>厂址：东莞市麻涌镇大步村海心沙岛</w:t>
      </w:r>
    </w:p>
    <w:p>
      <w:pPr>
        <w:shd w:val="clear"/>
        <w:ind w:firstLine="480"/>
        <w:rPr>
          <w:rFonts w:ascii="宋体" w:hAnsi="宋体" w:cs="宋体"/>
          <w:color w:val="auto"/>
          <w:szCs w:val="21"/>
          <w:highlight w:val="none"/>
        </w:rPr>
      </w:pPr>
      <w:r>
        <w:rPr>
          <w:rFonts w:hint="eastAsia" w:ascii="宋体" w:hAnsi="宋体" w:cs="宋体"/>
          <w:color w:val="auto"/>
          <w:szCs w:val="21"/>
          <w:highlight w:val="none"/>
        </w:rPr>
        <w:t>项目规模：总处理规模为日处理生活垃圾和一般工业垃圾2250吨，年处理垃圾82.125万吨。配置安装3×750吨/日焚烧线及对应配套系统（包括烟气净化系统、飞灰螯合稳定化系统、给排水系统等），2×40MW纯凝式汽轮发电机组。项目用地总面积为6.96公顷。</w:t>
      </w:r>
    </w:p>
    <w:p>
      <w:pPr>
        <w:shd w:val="clear"/>
        <w:rPr>
          <w:rFonts w:ascii="宋体" w:hAnsi="宋体" w:cs="宋体"/>
          <w:b/>
          <w:bCs/>
          <w:color w:val="auto"/>
          <w:szCs w:val="21"/>
          <w:highlight w:val="none"/>
        </w:rPr>
      </w:pPr>
    </w:p>
    <w:p>
      <w:pPr>
        <w:shd w:val="clear"/>
        <w:rPr>
          <w:rFonts w:ascii="宋体" w:hAnsi="宋体" w:cs="宋体"/>
          <w:b/>
          <w:bCs/>
          <w:color w:val="auto"/>
          <w:szCs w:val="21"/>
          <w:highlight w:val="none"/>
        </w:rPr>
      </w:pPr>
      <w:r>
        <w:rPr>
          <w:rFonts w:hint="eastAsia" w:ascii="宋体" w:hAnsi="宋体" w:cs="宋体"/>
          <w:b/>
          <w:bCs/>
          <w:color w:val="auto"/>
          <w:szCs w:val="21"/>
          <w:highlight w:val="none"/>
        </w:rPr>
        <w:t xml:space="preserve"> 二、服务清单</w:t>
      </w:r>
    </w:p>
    <w:p>
      <w:pPr>
        <w:shd w:val="clear"/>
        <w:ind w:firstLine="480"/>
        <w:rPr>
          <w:rFonts w:ascii="宋体" w:hAnsi="宋体" w:cs="宋体"/>
          <w:b/>
          <w:bCs/>
          <w:color w:val="auto"/>
          <w:szCs w:val="21"/>
          <w:highlight w:val="none"/>
        </w:rPr>
      </w:pPr>
      <w:r>
        <w:rPr>
          <w:rFonts w:hint="eastAsia" w:ascii="宋体" w:hAnsi="宋体" w:cs="宋体"/>
          <w:b/>
          <w:bCs/>
          <w:color w:val="auto"/>
          <w:szCs w:val="21"/>
          <w:highlight w:val="none"/>
        </w:rPr>
        <w:t>（一）服务期限</w:t>
      </w:r>
    </w:p>
    <w:p>
      <w:pPr>
        <w:pStyle w:val="2"/>
        <w:shd w:val="clear"/>
        <w:ind w:firstLine="420" w:firstLineChars="200"/>
        <w:rPr>
          <w:color w:val="auto"/>
          <w:sz w:val="21"/>
          <w:szCs w:val="21"/>
          <w:highlight w:val="none"/>
        </w:rPr>
      </w:pPr>
      <w:r>
        <w:rPr>
          <w:rFonts w:hint="eastAsia"/>
          <w:color w:val="auto"/>
          <w:sz w:val="21"/>
          <w:szCs w:val="21"/>
          <w:highlight w:val="none"/>
        </w:rPr>
        <w:t>东莞市海心沙环保热电厂环境监测服务时间为一年。实际服务时间为自中标人实际进场开始检测之日起一年。</w:t>
      </w:r>
    </w:p>
    <w:p>
      <w:pPr>
        <w:shd w:val="clear"/>
        <w:ind w:firstLine="480"/>
        <w:rPr>
          <w:rFonts w:ascii="宋体" w:hAnsi="宋体" w:cs="宋体"/>
          <w:b/>
          <w:bCs/>
          <w:color w:val="auto"/>
          <w:szCs w:val="21"/>
          <w:highlight w:val="none"/>
        </w:rPr>
      </w:pPr>
      <w:r>
        <w:rPr>
          <w:rFonts w:hint="eastAsia" w:ascii="宋体" w:hAnsi="宋体" w:cs="宋体"/>
          <w:b/>
          <w:bCs/>
          <w:color w:val="auto"/>
          <w:szCs w:val="21"/>
          <w:highlight w:val="none"/>
        </w:rPr>
        <w:t>（二）服务内容</w:t>
      </w:r>
    </w:p>
    <w:p>
      <w:pPr>
        <w:shd w:val="clear"/>
        <w:ind w:firstLine="480"/>
        <w:rPr>
          <w:rFonts w:ascii="宋体" w:hAnsi="宋体" w:cs="宋体"/>
          <w:color w:val="auto"/>
          <w:szCs w:val="21"/>
          <w:highlight w:val="none"/>
        </w:rPr>
      </w:pPr>
      <w:r>
        <w:rPr>
          <w:rFonts w:hint="eastAsia" w:ascii="宋体" w:hAnsi="宋体" w:cs="宋体"/>
          <w:color w:val="auto"/>
          <w:szCs w:val="21"/>
          <w:highlight w:val="none"/>
        </w:rPr>
        <w:t>对东莞市海心沙环保热电厂的有组织排放废气、无组织排放废气、废水、噪声、环境空气、土壤、地表水、地下水、炉渣、飞灰、雨水、垃圾等监测与分析，详情见下表。</w:t>
      </w:r>
    </w:p>
    <w:p>
      <w:pPr>
        <w:shd w:val="clear"/>
        <w:ind w:firstLine="480"/>
        <w:jc w:val="center"/>
        <w:rPr>
          <w:rFonts w:ascii="宋体" w:hAnsi="宋体" w:cs="宋体"/>
          <w:color w:val="auto"/>
          <w:szCs w:val="21"/>
          <w:highlight w:val="none"/>
        </w:rPr>
      </w:pPr>
      <w:bookmarkStart w:id="27" w:name="_Hlk137801053"/>
      <w:r>
        <w:rPr>
          <w:rFonts w:hint="eastAsia" w:ascii="宋体" w:hAnsi="宋体" w:cs="宋体"/>
          <w:color w:val="auto"/>
          <w:szCs w:val="21"/>
          <w:highlight w:val="none"/>
        </w:rPr>
        <w:t>附表6：海心沙热电环境监测方案</w:t>
      </w:r>
    </w:p>
    <w:bookmarkEnd w:id="27"/>
    <w:tbl>
      <w:tblPr>
        <w:tblStyle w:val="30"/>
        <w:tblW w:w="9251" w:type="dxa"/>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64"/>
        <w:gridCol w:w="1011"/>
        <w:gridCol w:w="1378"/>
        <w:gridCol w:w="1366"/>
        <w:gridCol w:w="298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trPr>
        <w:tc>
          <w:tcPr>
            <w:tcW w:w="702" w:type="dxa"/>
            <w:vAlign w:val="center"/>
          </w:tcPr>
          <w:p>
            <w:pPr>
              <w:shd w:val="clear"/>
              <w:jc w:val="center"/>
              <w:rPr>
                <w:rFonts w:ascii="宋体" w:hAnsi="宋体" w:cs="宋体"/>
                <w:b/>
                <w:bCs/>
                <w:color w:val="auto"/>
                <w:szCs w:val="21"/>
                <w:highlight w:val="none"/>
              </w:rPr>
            </w:pPr>
            <w:bookmarkStart w:id="28" w:name="_Hlk137801033"/>
            <w:r>
              <w:rPr>
                <w:rFonts w:hint="eastAsia" w:ascii="宋体" w:hAnsi="宋体" w:cs="宋体"/>
                <w:b/>
                <w:bCs/>
                <w:color w:val="auto"/>
                <w:szCs w:val="21"/>
                <w:highlight w:val="none"/>
              </w:rPr>
              <w:t>序号</w:t>
            </w:r>
          </w:p>
        </w:tc>
        <w:tc>
          <w:tcPr>
            <w:tcW w:w="864" w:type="dxa"/>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项目</w:t>
            </w:r>
          </w:p>
        </w:tc>
        <w:tc>
          <w:tcPr>
            <w:tcW w:w="1011" w:type="dxa"/>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监测点位</w:t>
            </w:r>
          </w:p>
        </w:tc>
        <w:tc>
          <w:tcPr>
            <w:tcW w:w="1378" w:type="dxa"/>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监测因子</w:t>
            </w:r>
          </w:p>
        </w:tc>
        <w:tc>
          <w:tcPr>
            <w:tcW w:w="1366" w:type="dxa"/>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监测频次</w:t>
            </w:r>
          </w:p>
        </w:tc>
        <w:tc>
          <w:tcPr>
            <w:tcW w:w="2985" w:type="dxa"/>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c>
          <w:tcPr>
            <w:tcW w:w="945" w:type="dxa"/>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年样品数量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c>
          <w:tcPr>
            <w:tcW w:w="864"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有组织排放废气</w:t>
            </w:r>
          </w:p>
        </w:tc>
        <w:tc>
          <w:tcPr>
            <w:tcW w:w="1011"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3台焚烧炉净烟气排放口</w:t>
            </w: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颗粒物、HCl、SO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、NO</w:t>
            </w:r>
            <w:r>
              <w:rPr>
                <w:rFonts w:hint="eastAsia" w:ascii="宋体" w:hAnsi="宋体" w:cs="宋体"/>
                <w:color w:val="auto"/>
                <w:szCs w:val="21"/>
                <w:highlight w:val="none"/>
                <w:vertAlign w:val="subscript"/>
              </w:rPr>
              <w:t>X</w:t>
            </w:r>
            <w:r>
              <w:rPr>
                <w:rFonts w:hint="eastAsia" w:ascii="宋体" w:hAnsi="宋体" w:cs="宋体"/>
                <w:color w:val="auto"/>
                <w:szCs w:val="21"/>
                <w:highlight w:val="none"/>
              </w:rPr>
              <w:t>、CO、HF、O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、流速、烟温、湿度</w:t>
            </w:r>
          </w:p>
        </w:tc>
        <w:tc>
          <w:tcPr>
            <w:tcW w:w="136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298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采用参比方法对在线监测设备进行比对：测量气态污染物和氧气浓度，至少获取9个数据对，每个数据对取5~15min均值；测量流速、烟温湿度时，至少获取5个同时段测试断面值数据对，分别计算流速、烟温、湿度CMS准确度</w:t>
            </w:r>
          </w:p>
        </w:tc>
        <w:tc>
          <w:tcPr>
            <w:tcW w:w="94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w:t>
            </w:r>
          </w:p>
        </w:tc>
        <w:tc>
          <w:tcPr>
            <w:tcW w:w="864" w:type="dxa"/>
            <w:vMerge w:val="continue"/>
            <w:vAlign w:val="center"/>
          </w:tcPr>
          <w:p>
            <w:pPr>
              <w:shd w:val="clear"/>
              <w:rPr>
                <w:rFonts w:ascii="宋体" w:hAnsi="宋体" w:cs="宋体"/>
                <w:color w:val="auto"/>
                <w:szCs w:val="21"/>
                <w:highlight w:val="none"/>
              </w:rPr>
            </w:pPr>
          </w:p>
        </w:tc>
        <w:tc>
          <w:tcPr>
            <w:tcW w:w="1011" w:type="dxa"/>
            <w:vMerge w:val="continue"/>
            <w:vAlign w:val="center"/>
          </w:tcPr>
          <w:p>
            <w:pPr>
              <w:shd w:val="clear"/>
              <w:rPr>
                <w:rFonts w:ascii="宋体" w:hAnsi="宋体" w:cs="宋体"/>
                <w:color w:val="auto"/>
                <w:szCs w:val="21"/>
                <w:highlight w:val="none"/>
              </w:rPr>
            </w:pP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颗粒物、HCl、SO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、NO</w:t>
            </w:r>
            <w:r>
              <w:rPr>
                <w:rFonts w:hint="eastAsia" w:ascii="宋体" w:hAnsi="宋体" w:cs="宋体"/>
                <w:color w:val="auto"/>
                <w:szCs w:val="21"/>
                <w:highlight w:val="none"/>
                <w:vertAlign w:val="subscript"/>
              </w:rPr>
              <w:t>X</w:t>
            </w:r>
            <w:r>
              <w:rPr>
                <w:rFonts w:hint="eastAsia" w:ascii="宋体" w:hAnsi="宋体" w:cs="宋体"/>
                <w:color w:val="auto"/>
                <w:szCs w:val="21"/>
                <w:highlight w:val="none"/>
              </w:rPr>
              <w:t>、CO</w:t>
            </w:r>
          </w:p>
        </w:tc>
        <w:tc>
          <w:tcPr>
            <w:tcW w:w="136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298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每台炉的测量需在一定时间内采集的一定数量样品中污染物浓度测试值的算术平均值</w:t>
            </w:r>
          </w:p>
        </w:tc>
        <w:tc>
          <w:tcPr>
            <w:tcW w:w="94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c>
          <w:tcPr>
            <w:tcW w:w="864" w:type="dxa"/>
            <w:vMerge w:val="continue"/>
            <w:vAlign w:val="center"/>
          </w:tcPr>
          <w:p>
            <w:pPr>
              <w:shd w:val="clear"/>
              <w:rPr>
                <w:rFonts w:ascii="宋体" w:hAnsi="宋体" w:cs="宋体"/>
                <w:color w:val="auto"/>
                <w:szCs w:val="21"/>
                <w:highlight w:val="none"/>
              </w:rPr>
            </w:pPr>
          </w:p>
        </w:tc>
        <w:tc>
          <w:tcPr>
            <w:tcW w:w="1011" w:type="dxa"/>
            <w:vMerge w:val="continue"/>
            <w:vAlign w:val="center"/>
          </w:tcPr>
          <w:p>
            <w:pPr>
              <w:shd w:val="clear"/>
              <w:rPr>
                <w:rFonts w:ascii="宋体" w:hAnsi="宋体" w:cs="宋体"/>
                <w:color w:val="auto"/>
                <w:szCs w:val="21"/>
                <w:highlight w:val="none"/>
              </w:rPr>
            </w:pP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汞及其化合物；镉、铊及其化合物；锑、砷、铅、铬、钴、铜、锰、镍及其化合物；烟气黑度</w:t>
            </w:r>
          </w:p>
        </w:tc>
        <w:tc>
          <w:tcPr>
            <w:tcW w:w="136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298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每台炉的测量值需为0.5～8 个小时内完成不少于 3 个样品的采集，取算术平均值</w:t>
            </w:r>
          </w:p>
        </w:tc>
        <w:tc>
          <w:tcPr>
            <w:tcW w:w="94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c>
          <w:tcPr>
            <w:tcW w:w="864" w:type="dxa"/>
            <w:vMerge w:val="continue"/>
            <w:vAlign w:val="center"/>
          </w:tcPr>
          <w:p>
            <w:pPr>
              <w:shd w:val="clear"/>
              <w:rPr>
                <w:rFonts w:ascii="宋体" w:hAnsi="宋体" w:cs="宋体"/>
                <w:color w:val="auto"/>
                <w:szCs w:val="21"/>
                <w:highlight w:val="none"/>
              </w:rPr>
            </w:pPr>
          </w:p>
        </w:tc>
        <w:tc>
          <w:tcPr>
            <w:tcW w:w="1011" w:type="dxa"/>
            <w:vMerge w:val="continue"/>
            <w:vAlign w:val="center"/>
          </w:tcPr>
          <w:p>
            <w:pPr>
              <w:shd w:val="clear"/>
              <w:rPr>
                <w:rFonts w:ascii="宋体" w:hAnsi="宋体" w:cs="宋体"/>
                <w:color w:val="auto"/>
                <w:szCs w:val="21"/>
                <w:highlight w:val="none"/>
              </w:rPr>
            </w:pP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二噁英类</w:t>
            </w:r>
          </w:p>
        </w:tc>
        <w:tc>
          <w:tcPr>
            <w:tcW w:w="136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298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每台炉的测量值需为6～12 个小时内完成不少于 3 个样品的采集，取算术平均值</w:t>
            </w:r>
          </w:p>
        </w:tc>
        <w:tc>
          <w:tcPr>
            <w:tcW w:w="94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5</w:t>
            </w:r>
          </w:p>
        </w:tc>
        <w:tc>
          <w:tcPr>
            <w:tcW w:w="864" w:type="dxa"/>
            <w:vMerge w:val="continue"/>
            <w:vAlign w:val="center"/>
          </w:tcPr>
          <w:p>
            <w:pPr>
              <w:shd w:val="clear"/>
              <w:rPr>
                <w:rFonts w:ascii="宋体" w:hAnsi="宋体" w:cs="宋体"/>
                <w:color w:val="auto"/>
                <w:szCs w:val="21"/>
                <w:highlight w:val="none"/>
              </w:rPr>
            </w:pPr>
          </w:p>
        </w:tc>
        <w:tc>
          <w:tcPr>
            <w:tcW w:w="1011"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飞灰养护间排气筒有组织废气</w:t>
            </w: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颗粒物</w:t>
            </w:r>
          </w:p>
        </w:tc>
        <w:tc>
          <w:tcPr>
            <w:tcW w:w="136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298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94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w:t>
            </w:r>
          </w:p>
        </w:tc>
        <w:tc>
          <w:tcPr>
            <w:tcW w:w="864"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无组织排放废气</w:t>
            </w:r>
          </w:p>
        </w:tc>
        <w:tc>
          <w:tcPr>
            <w:tcW w:w="101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厂界4个点</w:t>
            </w: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H</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S、NH</w:t>
            </w:r>
            <w:r>
              <w:rPr>
                <w:rFonts w:hint="eastAsia" w:ascii="宋体" w:hAnsi="宋体" w:cs="宋体"/>
                <w:color w:val="auto"/>
                <w:szCs w:val="21"/>
                <w:highlight w:val="none"/>
                <w:vertAlign w:val="subscript"/>
              </w:rPr>
              <w:t>3</w:t>
            </w:r>
            <w:r>
              <w:rPr>
                <w:rFonts w:hint="eastAsia" w:ascii="宋体" w:hAnsi="宋体" w:cs="宋体"/>
                <w:color w:val="auto"/>
                <w:szCs w:val="21"/>
                <w:highlight w:val="none"/>
              </w:rPr>
              <w:t>、臭气浓度、颗粒物</w:t>
            </w:r>
          </w:p>
        </w:tc>
        <w:tc>
          <w:tcPr>
            <w:tcW w:w="136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298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每个监测点每隔2小时采集一次样品，共采集4次，取其最大测量值</w:t>
            </w:r>
          </w:p>
        </w:tc>
        <w:tc>
          <w:tcPr>
            <w:tcW w:w="94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7</w:t>
            </w:r>
          </w:p>
        </w:tc>
        <w:tc>
          <w:tcPr>
            <w:tcW w:w="864"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废水</w:t>
            </w:r>
          </w:p>
        </w:tc>
        <w:tc>
          <w:tcPr>
            <w:tcW w:w="101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渗滤液处理设施出口</w:t>
            </w: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pH值、COD</w:t>
            </w:r>
            <w:r>
              <w:rPr>
                <w:rFonts w:hint="eastAsia" w:ascii="宋体" w:hAnsi="宋体" w:cs="宋体"/>
                <w:color w:val="auto"/>
                <w:szCs w:val="21"/>
                <w:highlight w:val="none"/>
                <w:vertAlign w:val="subscript"/>
              </w:rPr>
              <w:t>Cr</w:t>
            </w:r>
            <w:r>
              <w:rPr>
                <w:rFonts w:hint="eastAsia" w:ascii="宋体" w:hAnsi="宋体" w:cs="宋体"/>
                <w:color w:val="auto"/>
                <w:szCs w:val="21"/>
                <w:highlight w:val="none"/>
              </w:rPr>
              <w:t>、BOD</w:t>
            </w:r>
            <w:r>
              <w:rPr>
                <w:rFonts w:hint="eastAsia" w:ascii="宋体" w:hAnsi="宋体" w:cs="宋体"/>
                <w:color w:val="auto"/>
                <w:szCs w:val="21"/>
                <w:highlight w:val="none"/>
                <w:vertAlign w:val="subscript"/>
              </w:rPr>
              <w:t>5</w:t>
            </w:r>
            <w:r>
              <w:rPr>
                <w:rFonts w:hint="eastAsia" w:ascii="宋体" w:hAnsi="宋体" w:cs="宋体"/>
                <w:color w:val="auto"/>
                <w:szCs w:val="21"/>
                <w:highlight w:val="none"/>
              </w:rPr>
              <w:t>、NH</w:t>
            </w:r>
            <w:r>
              <w:rPr>
                <w:rFonts w:hint="eastAsia" w:ascii="宋体" w:hAnsi="宋体" w:cs="宋体"/>
                <w:color w:val="auto"/>
                <w:szCs w:val="21"/>
                <w:highlight w:val="none"/>
                <w:vertAlign w:val="subscript"/>
              </w:rPr>
              <w:t>3</w:t>
            </w:r>
            <w:r>
              <w:rPr>
                <w:rFonts w:hint="eastAsia" w:ascii="宋体" w:hAnsi="宋体" w:cs="宋体"/>
                <w:color w:val="auto"/>
                <w:szCs w:val="21"/>
                <w:highlight w:val="none"/>
              </w:rPr>
              <w:t>-N、SS、Pb、Cd、Hg、水量</w:t>
            </w:r>
          </w:p>
        </w:tc>
        <w:tc>
          <w:tcPr>
            <w:tcW w:w="136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298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94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8</w:t>
            </w:r>
          </w:p>
        </w:tc>
        <w:tc>
          <w:tcPr>
            <w:tcW w:w="864" w:type="dxa"/>
            <w:vMerge w:val="continue"/>
            <w:vAlign w:val="center"/>
          </w:tcPr>
          <w:p>
            <w:pPr>
              <w:shd w:val="clear"/>
              <w:rPr>
                <w:rFonts w:ascii="宋体" w:hAnsi="宋体" w:cs="宋体"/>
                <w:color w:val="auto"/>
                <w:szCs w:val="21"/>
                <w:highlight w:val="none"/>
              </w:rPr>
            </w:pPr>
          </w:p>
        </w:tc>
        <w:tc>
          <w:tcPr>
            <w:tcW w:w="101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洗烟废水处理设施出口</w:t>
            </w: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pH值、COD</w:t>
            </w:r>
            <w:r>
              <w:rPr>
                <w:rFonts w:hint="eastAsia" w:ascii="宋体" w:hAnsi="宋体" w:cs="宋体"/>
                <w:color w:val="auto"/>
                <w:szCs w:val="21"/>
                <w:highlight w:val="none"/>
                <w:vertAlign w:val="subscript"/>
              </w:rPr>
              <w:t>Cr</w:t>
            </w:r>
            <w:r>
              <w:rPr>
                <w:rFonts w:hint="eastAsia" w:ascii="宋体" w:hAnsi="宋体" w:cs="宋体"/>
                <w:color w:val="auto"/>
                <w:szCs w:val="21"/>
                <w:highlight w:val="none"/>
              </w:rPr>
              <w:t>、BOD</w:t>
            </w:r>
            <w:r>
              <w:rPr>
                <w:rFonts w:hint="eastAsia" w:ascii="宋体" w:hAnsi="宋体" w:cs="宋体"/>
                <w:color w:val="auto"/>
                <w:szCs w:val="21"/>
                <w:highlight w:val="none"/>
                <w:vertAlign w:val="subscript"/>
              </w:rPr>
              <w:t>5</w:t>
            </w:r>
            <w:r>
              <w:rPr>
                <w:rFonts w:hint="eastAsia" w:ascii="宋体" w:hAnsi="宋体" w:cs="宋体"/>
                <w:color w:val="auto"/>
                <w:szCs w:val="21"/>
                <w:highlight w:val="none"/>
              </w:rPr>
              <w:t>、NH</w:t>
            </w:r>
            <w:r>
              <w:rPr>
                <w:rFonts w:hint="eastAsia" w:ascii="宋体" w:hAnsi="宋体" w:cs="宋体"/>
                <w:color w:val="auto"/>
                <w:szCs w:val="21"/>
                <w:highlight w:val="none"/>
                <w:vertAlign w:val="subscript"/>
              </w:rPr>
              <w:t>3</w:t>
            </w:r>
            <w:r>
              <w:rPr>
                <w:rFonts w:hint="eastAsia" w:ascii="宋体" w:hAnsi="宋体" w:cs="宋体"/>
                <w:color w:val="auto"/>
                <w:szCs w:val="21"/>
                <w:highlight w:val="none"/>
              </w:rPr>
              <w:t>-N、SS、Pb、Cd、Hg、水量</w:t>
            </w:r>
          </w:p>
        </w:tc>
        <w:tc>
          <w:tcPr>
            <w:tcW w:w="136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298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94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9</w:t>
            </w:r>
          </w:p>
        </w:tc>
        <w:tc>
          <w:tcPr>
            <w:tcW w:w="864"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噪声</w:t>
            </w:r>
          </w:p>
        </w:tc>
        <w:tc>
          <w:tcPr>
            <w:tcW w:w="101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厂界周围4个点</w:t>
            </w: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Leq（A）</w:t>
            </w:r>
          </w:p>
        </w:tc>
        <w:tc>
          <w:tcPr>
            <w:tcW w:w="136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298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每个监测点每期监测需昼、夜各测1次</w:t>
            </w:r>
          </w:p>
        </w:tc>
        <w:tc>
          <w:tcPr>
            <w:tcW w:w="94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10</w:t>
            </w:r>
          </w:p>
        </w:tc>
        <w:tc>
          <w:tcPr>
            <w:tcW w:w="864"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环境空气</w:t>
            </w:r>
          </w:p>
        </w:tc>
        <w:tc>
          <w:tcPr>
            <w:tcW w:w="1011"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梅沙村、万科珠江东岸、恒大滨江左岸、漳澎村、泗安医院各1个监测点，共5个监测点</w:t>
            </w: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SO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、NO</w:t>
            </w:r>
            <w:r>
              <w:rPr>
                <w:rFonts w:hint="eastAsia" w:ascii="宋体" w:hAnsi="宋体" w:cs="宋体"/>
                <w:color w:val="auto"/>
                <w:szCs w:val="21"/>
                <w:highlight w:val="none"/>
                <w:vertAlign w:val="subscript"/>
              </w:rPr>
              <w:t>X</w:t>
            </w:r>
            <w:r>
              <w:rPr>
                <w:rFonts w:hint="eastAsia" w:ascii="宋体" w:hAnsi="宋体" w:cs="宋体"/>
                <w:color w:val="auto"/>
                <w:szCs w:val="21"/>
                <w:highlight w:val="none"/>
              </w:rPr>
              <w:t>、NO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、CO、O</w:t>
            </w:r>
            <w:r>
              <w:rPr>
                <w:rFonts w:hint="eastAsia" w:ascii="宋体" w:hAnsi="宋体" w:cs="宋体"/>
                <w:color w:val="auto"/>
                <w:szCs w:val="21"/>
                <w:highlight w:val="none"/>
                <w:vertAlign w:val="subscript"/>
              </w:rPr>
              <w:t>3</w:t>
            </w:r>
            <w:r>
              <w:rPr>
                <w:rFonts w:hint="eastAsia" w:ascii="宋体" w:hAnsi="宋体" w:cs="宋体"/>
                <w:color w:val="auto"/>
                <w:szCs w:val="21"/>
                <w:highlight w:val="none"/>
              </w:rPr>
              <w:t>、PM10、PM2.5、HCl、氟化氢、汞、Cr、Pb、Cd、氨、硫化氢、臭气浓度</w:t>
            </w:r>
          </w:p>
        </w:tc>
        <w:tc>
          <w:tcPr>
            <w:tcW w:w="136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1次/半年</w:t>
            </w:r>
          </w:p>
        </w:tc>
        <w:tc>
          <w:tcPr>
            <w:tcW w:w="298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94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11</w:t>
            </w:r>
          </w:p>
        </w:tc>
        <w:tc>
          <w:tcPr>
            <w:tcW w:w="864" w:type="dxa"/>
            <w:vMerge w:val="continue"/>
            <w:vAlign w:val="center"/>
          </w:tcPr>
          <w:p>
            <w:pPr>
              <w:shd w:val="clear"/>
              <w:rPr>
                <w:rFonts w:ascii="宋体" w:hAnsi="宋体" w:cs="宋体"/>
                <w:color w:val="auto"/>
                <w:szCs w:val="21"/>
                <w:highlight w:val="none"/>
              </w:rPr>
            </w:pPr>
          </w:p>
        </w:tc>
        <w:tc>
          <w:tcPr>
            <w:tcW w:w="1011" w:type="dxa"/>
            <w:vMerge w:val="continue"/>
            <w:vAlign w:val="center"/>
          </w:tcPr>
          <w:p>
            <w:pPr>
              <w:shd w:val="clear"/>
              <w:rPr>
                <w:rFonts w:ascii="宋体" w:hAnsi="宋体" w:cs="宋体"/>
                <w:color w:val="auto"/>
                <w:szCs w:val="21"/>
                <w:highlight w:val="none"/>
              </w:rPr>
            </w:pP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二噁英类</w:t>
            </w:r>
          </w:p>
        </w:tc>
        <w:tc>
          <w:tcPr>
            <w:tcW w:w="136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298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每期监测每个监测点位应取得至少3天的样品，且每天采样时间不少于18小时</w:t>
            </w:r>
          </w:p>
        </w:tc>
        <w:tc>
          <w:tcPr>
            <w:tcW w:w="94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864"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土壤</w:t>
            </w:r>
          </w:p>
        </w:tc>
        <w:tc>
          <w:tcPr>
            <w:tcW w:w="101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泗安医院、洪梅中心小学、漳澎村各1各监测点，共3个监测点</w:t>
            </w: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pH值、镉、汞、砷、铜、铅、铬、锌、镍、二噁英</w:t>
            </w:r>
          </w:p>
        </w:tc>
        <w:tc>
          <w:tcPr>
            <w:tcW w:w="136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298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94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13</w:t>
            </w:r>
          </w:p>
        </w:tc>
        <w:tc>
          <w:tcPr>
            <w:tcW w:w="864"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地表水</w:t>
            </w:r>
          </w:p>
        </w:tc>
        <w:tc>
          <w:tcPr>
            <w:tcW w:w="101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厂区下游500米处1个监测点</w:t>
            </w: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水温、pH值、溶解氧、COD、BOD</w:t>
            </w:r>
            <w:r>
              <w:rPr>
                <w:rFonts w:hint="eastAsia" w:ascii="宋体" w:hAnsi="宋体" w:cs="宋体"/>
                <w:color w:val="auto"/>
                <w:szCs w:val="21"/>
                <w:highlight w:val="none"/>
                <w:vertAlign w:val="subscript"/>
              </w:rPr>
              <w:t>5</w:t>
            </w:r>
            <w:r>
              <w:rPr>
                <w:rFonts w:hint="eastAsia" w:ascii="宋体" w:hAnsi="宋体" w:cs="宋体"/>
                <w:color w:val="auto"/>
                <w:szCs w:val="21"/>
                <w:highlight w:val="none"/>
              </w:rPr>
              <w:t>、NH</w:t>
            </w:r>
            <w:r>
              <w:rPr>
                <w:rFonts w:hint="eastAsia" w:ascii="宋体" w:hAnsi="宋体" w:cs="宋体"/>
                <w:color w:val="auto"/>
                <w:szCs w:val="21"/>
                <w:highlight w:val="none"/>
                <w:vertAlign w:val="subscript"/>
              </w:rPr>
              <w:t>3</w:t>
            </w:r>
            <w:r>
              <w:rPr>
                <w:rFonts w:hint="eastAsia" w:ascii="宋体" w:hAnsi="宋体" w:cs="宋体"/>
                <w:color w:val="auto"/>
                <w:szCs w:val="21"/>
                <w:highlight w:val="none"/>
              </w:rPr>
              <w:t>-N、总磷、总氮、挥发酚、硫化物、氟化物、悬浮物、石油类、镉、六价铬、铅、汞、砷，同步监测河宽、水深、流速、流量等水文参数</w:t>
            </w:r>
          </w:p>
        </w:tc>
        <w:tc>
          <w:tcPr>
            <w:tcW w:w="136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298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94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14</w:t>
            </w:r>
          </w:p>
        </w:tc>
        <w:tc>
          <w:tcPr>
            <w:tcW w:w="864"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地下水</w:t>
            </w:r>
          </w:p>
        </w:tc>
        <w:tc>
          <w:tcPr>
            <w:tcW w:w="101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厂区内地下水监测井监测点2个</w:t>
            </w: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K</w:t>
            </w:r>
            <w:r>
              <w:rPr>
                <w:rFonts w:hint="eastAsia" w:ascii="宋体" w:hAnsi="宋体" w:cs="宋体"/>
                <w:color w:val="auto"/>
                <w:szCs w:val="21"/>
                <w:highlight w:val="none"/>
                <w:vertAlign w:val="superscript"/>
              </w:rPr>
              <w:t>+</w:t>
            </w:r>
            <w:r>
              <w:rPr>
                <w:rFonts w:hint="eastAsia" w:ascii="宋体" w:hAnsi="宋体" w:cs="宋体"/>
                <w:color w:val="auto"/>
                <w:szCs w:val="21"/>
                <w:highlight w:val="none"/>
              </w:rPr>
              <w:t>、Ca</w:t>
            </w:r>
            <w:r>
              <w:rPr>
                <w:rFonts w:hint="eastAsia" w:ascii="宋体" w:hAnsi="宋体" w:cs="宋体"/>
                <w:color w:val="auto"/>
                <w:szCs w:val="21"/>
                <w:highlight w:val="none"/>
                <w:vertAlign w:val="superscript"/>
              </w:rPr>
              <w:t>2+</w:t>
            </w:r>
            <w:r>
              <w:rPr>
                <w:rFonts w:hint="eastAsia" w:ascii="宋体" w:hAnsi="宋体" w:cs="宋体"/>
                <w:color w:val="auto"/>
                <w:szCs w:val="21"/>
                <w:highlight w:val="none"/>
              </w:rPr>
              <w:t>、Mg</w:t>
            </w:r>
            <w:r>
              <w:rPr>
                <w:rFonts w:hint="eastAsia" w:ascii="宋体" w:hAnsi="宋体" w:cs="宋体"/>
                <w:color w:val="auto"/>
                <w:szCs w:val="21"/>
                <w:highlight w:val="none"/>
                <w:vertAlign w:val="superscript"/>
              </w:rPr>
              <w:t>2+</w:t>
            </w:r>
            <w:r>
              <w:rPr>
                <w:rFonts w:hint="eastAsia" w:ascii="宋体" w:hAnsi="宋体" w:cs="宋体"/>
                <w:color w:val="auto"/>
                <w:szCs w:val="21"/>
                <w:highlight w:val="none"/>
              </w:rPr>
              <w:t>、Cl</w:t>
            </w:r>
            <w:r>
              <w:rPr>
                <w:rFonts w:hint="eastAsia" w:ascii="宋体" w:hAnsi="宋体" w:cs="宋体"/>
                <w:color w:val="auto"/>
                <w:szCs w:val="21"/>
                <w:highlight w:val="none"/>
                <w:vertAlign w:val="superscript"/>
              </w:rPr>
              <w:t>-</w:t>
            </w:r>
            <w:r>
              <w:rPr>
                <w:rFonts w:hint="eastAsia" w:ascii="宋体" w:hAnsi="宋体" w:cs="宋体"/>
                <w:color w:val="auto"/>
                <w:szCs w:val="21"/>
                <w:highlight w:val="none"/>
              </w:rPr>
              <w:t>、pH值、总硬度、溶解性总固体、氨氮、高锰酸盐指数、硝酸盐、亚硝酸盐、硫酸盐、氟化物、氰化物、细菌总数、总大肠菌群、汞、砷、镉、六价铬、铅、挥发性酚类、铁、锰、铜、锌、粪大肠菌群</w:t>
            </w:r>
          </w:p>
        </w:tc>
        <w:tc>
          <w:tcPr>
            <w:tcW w:w="136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298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94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15</w:t>
            </w:r>
          </w:p>
        </w:tc>
        <w:tc>
          <w:tcPr>
            <w:tcW w:w="864"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炉渣</w:t>
            </w:r>
          </w:p>
        </w:tc>
        <w:tc>
          <w:tcPr>
            <w:tcW w:w="1011"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3台焚烧炉炉渣，每台炉炉渣各1个样品</w:t>
            </w:r>
          </w:p>
        </w:tc>
        <w:tc>
          <w:tcPr>
            <w:tcW w:w="1378"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热灼减率</w:t>
            </w:r>
          </w:p>
        </w:tc>
        <w:tc>
          <w:tcPr>
            <w:tcW w:w="1366"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1次/周</w:t>
            </w:r>
          </w:p>
        </w:tc>
        <w:tc>
          <w:tcPr>
            <w:tcW w:w="298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送样检测</w:t>
            </w:r>
          </w:p>
        </w:tc>
        <w:tc>
          <w:tcPr>
            <w:tcW w:w="94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16</w:t>
            </w:r>
          </w:p>
        </w:tc>
        <w:tc>
          <w:tcPr>
            <w:tcW w:w="864" w:type="dxa"/>
            <w:vMerge w:val="continue"/>
            <w:vAlign w:val="center"/>
          </w:tcPr>
          <w:p>
            <w:pPr>
              <w:shd w:val="clear"/>
              <w:rPr>
                <w:rFonts w:ascii="宋体" w:hAnsi="宋体" w:cs="宋体"/>
                <w:color w:val="auto"/>
                <w:szCs w:val="21"/>
                <w:highlight w:val="none"/>
              </w:rPr>
            </w:pPr>
          </w:p>
        </w:tc>
        <w:tc>
          <w:tcPr>
            <w:tcW w:w="1011" w:type="dxa"/>
            <w:vMerge w:val="continue"/>
            <w:vAlign w:val="center"/>
          </w:tcPr>
          <w:p>
            <w:pPr>
              <w:shd w:val="clear"/>
              <w:rPr>
                <w:rFonts w:ascii="宋体" w:hAnsi="宋体" w:cs="宋体"/>
                <w:color w:val="auto"/>
                <w:szCs w:val="21"/>
                <w:highlight w:val="none"/>
              </w:rPr>
            </w:pPr>
          </w:p>
        </w:tc>
        <w:tc>
          <w:tcPr>
            <w:tcW w:w="1378"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含水率、浸出液重金属（汞、铜、锌、铅、镉、铍、钡、镍、砷、总铬、六价铬、硒）含量</w:t>
            </w:r>
          </w:p>
        </w:tc>
        <w:tc>
          <w:tcPr>
            <w:tcW w:w="1366"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1次/年</w:t>
            </w:r>
          </w:p>
        </w:tc>
        <w:tc>
          <w:tcPr>
            <w:tcW w:w="298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送样检测</w:t>
            </w:r>
          </w:p>
        </w:tc>
        <w:tc>
          <w:tcPr>
            <w:tcW w:w="94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17</w:t>
            </w:r>
          </w:p>
        </w:tc>
        <w:tc>
          <w:tcPr>
            <w:tcW w:w="864"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稳定化飞灰</w:t>
            </w:r>
          </w:p>
        </w:tc>
        <w:tc>
          <w:tcPr>
            <w:tcW w:w="1011"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稳定化飞灰混合样</w:t>
            </w:r>
          </w:p>
        </w:tc>
        <w:tc>
          <w:tcPr>
            <w:tcW w:w="1378"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含水率、浸出液重金属（汞、铜、锌、铅、镉、铍、钡、镍、砷、总铬、六价铬、硒）含量</w:t>
            </w:r>
          </w:p>
        </w:tc>
        <w:tc>
          <w:tcPr>
            <w:tcW w:w="1366"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6次/月</w:t>
            </w:r>
          </w:p>
        </w:tc>
        <w:tc>
          <w:tcPr>
            <w:tcW w:w="2985"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送样检测</w:t>
            </w:r>
          </w:p>
        </w:tc>
        <w:tc>
          <w:tcPr>
            <w:tcW w:w="94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18</w:t>
            </w:r>
          </w:p>
        </w:tc>
        <w:tc>
          <w:tcPr>
            <w:tcW w:w="864" w:type="dxa"/>
            <w:vMerge w:val="continue"/>
            <w:vAlign w:val="center"/>
          </w:tcPr>
          <w:p>
            <w:pPr>
              <w:shd w:val="clear"/>
              <w:rPr>
                <w:rFonts w:ascii="宋体" w:hAnsi="宋体" w:cs="宋体"/>
                <w:color w:val="auto"/>
                <w:szCs w:val="21"/>
                <w:highlight w:val="none"/>
              </w:rPr>
            </w:pPr>
          </w:p>
        </w:tc>
        <w:tc>
          <w:tcPr>
            <w:tcW w:w="1011" w:type="dxa"/>
            <w:vMerge w:val="continue"/>
            <w:vAlign w:val="center"/>
          </w:tcPr>
          <w:p>
            <w:pPr>
              <w:shd w:val="clear"/>
              <w:rPr>
                <w:rFonts w:ascii="宋体" w:hAnsi="宋体" w:cs="宋体"/>
                <w:color w:val="auto"/>
                <w:szCs w:val="21"/>
                <w:highlight w:val="none"/>
              </w:rPr>
            </w:pPr>
          </w:p>
        </w:tc>
        <w:tc>
          <w:tcPr>
            <w:tcW w:w="1378"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二噁英类</w:t>
            </w:r>
          </w:p>
        </w:tc>
        <w:tc>
          <w:tcPr>
            <w:tcW w:w="1366"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1次/季</w:t>
            </w:r>
          </w:p>
        </w:tc>
        <w:tc>
          <w:tcPr>
            <w:tcW w:w="2985" w:type="dxa"/>
            <w:vMerge w:val="continue"/>
            <w:vAlign w:val="center"/>
          </w:tcPr>
          <w:p>
            <w:pPr>
              <w:shd w:val="clear"/>
              <w:jc w:val="center"/>
              <w:rPr>
                <w:rFonts w:ascii="宋体" w:hAnsi="宋体" w:cs="宋体"/>
                <w:color w:val="auto"/>
                <w:szCs w:val="21"/>
                <w:highlight w:val="none"/>
              </w:rPr>
            </w:pPr>
          </w:p>
        </w:tc>
        <w:tc>
          <w:tcPr>
            <w:tcW w:w="94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19</w:t>
            </w:r>
          </w:p>
        </w:tc>
        <w:tc>
          <w:tcPr>
            <w:tcW w:w="864"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雨水</w:t>
            </w:r>
          </w:p>
        </w:tc>
        <w:tc>
          <w:tcPr>
            <w:tcW w:w="101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雨水排放口</w:t>
            </w:r>
          </w:p>
        </w:tc>
        <w:tc>
          <w:tcPr>
            <w:tcW w:w="1378"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COD</w:t>
            </w:r>
            <w:r>
              <w:rPr>
                <w:rFonts w:hint="eastAsia" w:ascii="宋体" w:hAnsi="宋体" w:cs="宋体"/>
                <w:color w:val="auto"/>
                <w:szCs w:val="21"/>
                <w:highlight w:val="none"/>
                <w:vertAlign w:val="subscript"/>
              </w:rPr>
              <w:t>Cr</w:t>
            </w:r>
            <w:r>
              <w:rPr>
                <w:rFonts w:hint="eastAsia" w:ascii="宋体" w:hAnsi="宋体" w:cs="宋体"/>
                <w:color w:val="auto"/>
                <w:szCs w:val="21"/>
                <w:highlight w:val="none"/>
              </w:rPr>
              <w:t>、NH</w:t>
            </w:r>
            <w:r>
              <w:rPr>
                <w:rFonts w:hint="eastAsia" w:ascii="宋体" w:hAnsi="宋体" w:cs="宋体"/>
                <w:color w:val="auto"/>
                <w:szCs w:val="21"/>
                <w:highlight w:val="none"/>
                <w:vertAlign w:val="subscript"/>
              </w:rPr>
              <w:t>3</w:t>
            </w:r>
            <w:r>
              <w:rPr>
                <w:rFonts w:hint="eastAsia" w:ascii="宋体" w:hAnsi="宋体" w:cs="宋体"/>
                <w:color w:val="auto"/>
                <w:szCs w:val="21"/>
                <w:highlight w:val="none"/>
              </w:rPr>
              <w:t>-N、悬浮物</w:t>
            </w:r>
          </w:p>
        </w:tc>
        <w:tc>
          <w:tcPr>
            <w:tcW w:w="136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298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采样时间间隔不少于4h，采样频次不少于3次。</w:t>
            </w:r>
          </w:p>
        </w:tc>
        <w:tc>
          <w:tcPr>
            <w:tcW w:w="94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20</w:t>
            </w:r>
          </w:p>
        </w:tc>
        <w:tc>
          <w:tcPr>
            <w:tcW w:w="864"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垃圾</w:t>
            </w:r>
          </w:p>
        </w:tc>
        <w:tc>
          <w:tcPr>
            <w:tcW w:w="1011"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垃圾库</w:t>
            </w: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热值</w:t>
            </w:r>
          </w:p>
        </w:tc>
        <w:tc>
          <w:tcPr>
            <w:tcW w:w="136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2985"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送样检测</w:t>
            </w:r>
          </w:p>
        </w:tc>
        <w:tc>
          <w:tcPr>
            <w:tcW w:w="94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21</w:t>
            </w:r>
          </w:p>
        </w:tc>
        <w:tc>
          <w:tcPr>
            <w:tcW w:w="864" w:type="dxa"/>
            <w:vMerge w:val="continue"/>
            <w:vAlign w:val="center"/>
          </w:tcPr>
          <w:p>
            <w:pPr>
              <w:shd w:val="clear"/>
              <w:rPr>
                <w:rFonts w:ascii="宋体" w:hAnsi="宋体" w:cs="宋体"/>
                <w:color w:val="auto"/>
                <w:szCs w:val="21"/>
                <w:highlight w:val="none"/>
              </w:rPr>
            </w:pPr>
          </w:p>
        </w:tc>
        <w:tc>
          <w:tcPr>
            <w:tcW w:w="1011" w:type="dxa"/>
            <w:vMerge w:val="continue"/>
            <w:vAlign w:val="center"/>
          </w:tcPr>
          <w:p>
            <w:pPr>
              <w:shd w:val="clear"/>
              <w:rPr>
                <w:rFonts w:ascii="宋体" w:hAnsi="宋体" w:cs="宋体"/>
                <w:color w:val="auto"/>
                <w:szCs w:val="21"/>
                <w:highlight w:val="none"/>
              </w:rPr>
            </w:pP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物理组成、工业分析（挥发分、固定碳、灰分）、含水率、元素分析（C、H、N、S、O、Cl）、重金属分析（Hg、Pb、Cd、Cr、As）</w:t>
            </w:r>
          </w:p>
        </w:tc>
        <w:tc>
          <w:tcPr>
            <w:tcW w:w="136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2985" w:type="dxa"/>
            <w:vMerge w:val="continue"/>
            <w:vAlign w:val="center"/>
          </w:tcPr>
          <w:p>
            <w:pPr>
              <w:shd w:val="clear"/>
              <w:jc w:val="center"/>
              <w:rPr>
                <w:rFonts w:ascii="宋体" w:hAnsi="宋体" w:cs="宋体"/>
                <w:color w:val="auto"/>
                <w:szCs w:val="21"/>
                <w:highlight w:val="none"/>
              </w:rPr>
            </w:pPr>
          </w:p>
        </w:tc>
        <w:tc>
          <w:tcPr>
            <w:tcW w:w="94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306" w:type="dxa"/>
            <w:gridSpan w:val="6"/>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合计</w:t>
            </w:r>
          </w:p>
        </w:tc>
        <w:tc>
          <w:tcPr>
            <w:tcW w:w="94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590</w:t>
            </w:r>
          </w:p>
        </w:tc>
      </w:tr>
      <w:bookmarkEnd w:id="28"/>
    </w:tbl>
    <w:p>
      <w:pPr>
        <w:pStyle w:val="28"/>
        <w:shd w:val="clear"/>
        <w:ind w:firstLine="0" w:firstLineChars="0"/>
        <w:rPr>
          <w:rFonts w:ascii="宋体" w:hAnsi="宋体"/>
          <w:color w:val="auto"/>
          <w:szCs w:val="21"/>
          <w:highlight w:val="none"/>
        </w:rPr>
      </w:pPr>
    </w:p>
    <w:p>
      <w:pPr>
        <w:pStyle w:val="28"/>
        <w:shd w:val="clear"/>
        <w:ind w:firstLine="0" w:firstLineChars="0"/>
        <w:jc w:val="center"/>
        <w:rPr>
          <w:rFonts w:ascii="宋体" w:hAnsi="宋体"/>
          <w:color w:val="auto"/>
          <w:szCs w:val="21"/>
          <w:highlight w:val="none"/>
        </w:rPr>
      </w:pPr>
    </w:p>
    <w:p>
      <w:pPr>
        <w:shd w:val="clear"/>
        <w:rPr>
          <w:color w:val="auto"/>
          <w:highlight w:val="none"/>
        </w:rPr>
      </w:pPr>
    </w:p>
    <w:p>
      <w:pPr>
        <w:pStyle w:val="28"/>
        <w:shd w:val="clear"/>
        <w:ind w:firstLine="0" w:firstLineChars="0"/>
        <w:rPr>
          <w:color w:val="auto"/>
          <w:highlight w:val="none"/>
        </w:rPr>
      </w:pPr>
    </w:p>
    <w:p>
      <w:pPr>
        <w:shd w:val="clear"/>
        <w:ind w:firstLine="420" w:firstLineChars="200"/>
        <w:rPr>
          <w:rFonts w:ascii="宋体" w:hAnsi="宋体" w:cs="宋体"/>
          <w:color w:val="auto"/>
          <w:szCs w:val="21"/>
          <w:highlight w:val="none"/>
        </w:rPr>
      </w:pPr>
    </w:p>
    <w:p>
      <w:pPr>
        <w:shd w:val="clear"/>
        <w:ind w:firstLine="420" w:firstLineChars="200"/>
        <w:rPr>
          <w:rFonts w:ascii="宋体" w:hAnsi="宋体" w:cs="宋体"/>
          <w:color w:val="auto"/>
          <w:szCs w:val="21"/>
          <w:highlight w:val="none"/>
        </w:rPr>
      </w:pPr>
    </w:p>
    <w:p>
      <w:pPr>
        <w:shd w:val="clear"/>
        <w:ind w:firstLine="420" w:firstLineChars="200"/>
        <w:rPr>
          <w:rFonts w:ascii="宋体" w:hAnsi="宋体" w:cs="宋体"/>
          <w:color w:val="auto"/>
          <w:szCs w:val="21"/>
          <w:highlight w:val="none"/>
        </w:rPr>
      </w:pPr>
    </w:p>
    <w:p>
      <w:pPr>
        <w:shd w:val="clear"/>
        <w:ind w:firstLine="420" w:firstLineChars="200"/>
        <w:rPr>
          <w:rFonts w:ascii="宋体" w:hAnsi="宋体" w:cs="宋体"/>
          <w:color w:val="auto"/>
          <w:szCs w:val="21"/>
          <w:highlight w:val="none"/>
        </w:rPr>
      </w:pPr>
    </w:p>
    <w:p>
      <w:pPr>
        <w:shd w:val="clear"/>
        <w:rPr>
          <w:rFonts w:ascii="宋体" w:hAnsi="宋体" w:cs="宋体"/>
          <w:color w:val="auto"/>
          <w:highlight w:val="none"/>
        </w:rPr>
      </w:pPr>
    </w:p>
    <w:bookmarkEnd w:id="8"/>
    <w:bookmarkEnd w:id="9"/>
    <w:bookmarkEnd w:id="10"/>
    <w:bookmarkEnd w:id="11"/>
    <w:p>
      <w:pPr>
        <w:shd w:val="clear"/>
        <w:rPr>
          <w:rFonts w:ascii="宋体" w:hAnsi="宋体" w:cs="宋体"/>
          <w:color w:val="auto"/>
          <w:sz w:val="28"/>
          <w:szCs w:val="28"/>
          <w:highlight w:val="none"/>
        </w:rPr>
      </w:pPr>
      <w:r>
        <w:rPr>
          <w:rFonts w:hint="eastAsia" w:ascii="宋体" w:hAnsi="宋体" w:cs="宋体"/>
          <w:color w:val="auto"/>
          <w:sz w:val="28"/>
          <w:szCs w:val="28"/>
          <w:highlight w:val="none"/>
        </w:rPr>
        <w:br w:type="page"/>
      </w:r>
    </w:p>
    <w:p>
      <w:pPr>
        <w:pStyle w:val="4"/>
        <w:shd w:val="clear"/>
        <w:spacing w:before="0" w:after="0" w:line="240" w:lineRule="auto"/>
        <w:rPr>
          <w:rFonts w:ascii="宋体" w:hAnsi="宋体" w:eastAsia="宋体" w:cs="宋体"/>
          <w:color w:val="auto"/>
          <w:sz w:val="24"/>
          <w:szCs w:val="24"/>
          <w:highlight w:val="none"/>
        </w:rPr>
      </w:pPr>
      <w:bookmarkStart w:id="29" w:name="_Toc31595"/>
      <w:r>
        <w:rPr>
          <w:rFonts w:hint="eastAsia" w:ascii="宋体" w:hAnsi="宋体" w:eastAsia="宋体" w:cs="宋体"/>
          <w:color w:val="auto"/>
          <w:sz w:val="28"/>
          <w:szCs w:val="28"/>
          <w:highlight w:val="none"/>
        </w:rPr>
        <w:t>第四部分投标人须知</w:t>
      </w:r>
      <w:bookmarkEnd w:id="29"/>
    </w:p>
    <w:p>
      <w:pPr>
        <w:pStyle w:val="5"/>
        <w:numPr>
          <w:ilvl w:val="0"/>
          <w:numId w:val="1"/>
        </w:numPr>
        <w:shd w:val="clear"/>
        <w:spacing w:before="0" w:after="0" w:line="480" w:lineRule="auto"/>
        <w:jc w:val="center"/>
        <w:rPr>
          <w:rFonts w:ascii="宋体" w:hAnsi="宋体" w:cs="宋体"/>
          <w:color w:val="auto"/>
          <w:highlight w:val="none"/>
        </w:rPr>
      </w:pPr>
      <w:bookmarkStart w:id="30" w:name="_Toc25201"/>
      <w:r>
        <w:rPr>
          <w:rFonts w:hint="eastAsia" w:ascii="宋体" w:hAnsi="宋体" w:cs="宋体"/>
          <w:color w:val="auto"/>
          <w:highlight w:val="none"/>
        </w:rPr>
        <w:t>说明</w:t>
      </w:r>
      <w:bookmarkEnd w:id="30"/>
    </w:p>
    <w:p>
      <w:pPr>
        <w:pStyle w:val="6"/>
        <w:widowControl w:val="0"/>
        <w:numPr>
          <w:ilvl w:val="0"/>
          <w:numId w:val="2"/>
        </w:numPr>
        <w:shd w:val="clear"/>
        <w:overflowPunct w:val="0"/>
        <w:rPr>
          <w:rFonts w:ascii="宋体" w:hAnsi="宋体" w:cs="宋体"/>
          <w:color w:val="auto"/>
          <w:sz w:val="21"/>
          <w:szCs w:val="21"/>
          <w:highlight w:val="none"/>
        </w:rPr>
      </w:pPr>
      <w:bookmarkStart w:id="31" w:name="_Toc18690"/>
      <w:bookmarkStart w:id="32" w:name="_Toc3534"/>
      <w:r>
        <w:rPr>
          <w:rFonts w:hint="eastAsia" w:ascii="宋体" w:hAnsi="宋体" w:cs="宋体"/>
          <w:color w:val="auto"/>
          <w:sz w:val="21"/>
          <w:szCs w:val="21"/>
          <w:highlight w:val="none"/>
        </w:rPr>
        <w:t>适用范围</w:t>
      </w:r>
      <w:bookmarkEnd w:id="31"/>
      <w:bookmarkEnd w:id="32"/>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采购范围：见本文件《用户需求书》</w:t>
      </w:r>
    </w:p>
    <w:p>
      <w:pPr>
        <w:shd w:val="clear"/>
        <w:rPr>
          <w:rFonts w:ascii="宋体" w:hAnsi="宋体" w:cs="宋体"/>
          <w:color w:val="auto"/>
          <w:highlight w:val="none"/>
        </w:rPr>
      </w:pPr>
    </w:p>
    <w:p>
      <w:pPr>
        <w:pStyle w:val="6"/>
        <w:widowControl w:val="0"/>
        <w:numPr>
          <w:ilvl w:val="0"/>
          <w:numId w:val="2"/>
        </w:numPr>
        <w:shd w:val="clear"/>
        <w:overflowPunct w:val="0"/>
        <w:rPr>
          <w:rFonts w:ascii="宋体" w:hAnsi="宋体" w:cs="宋体"/>
          <w:color w:val="auto"/>
          <w:sz w:val="21"/>
          <w:szCs w:val="21"/>
          <w:highlight w:val="none"/>
        </w:rPr>
      </w:pPr>
      <w:bookmarkStart w:id="33" w:name="_Toc20286"/>
      <w:bookmarkStart w:id="34" w:name="_Toc1530"/>
      <w:bookmarkStart w:id="35" w:name="_Toc28435"/>
      <w:bookmarkStart w:id="36" w:name="_Toc303084246"/>
      <w:bookmarkStart w:id="37" w:name="_Toc298847174"/>
      <w:bookmarkStart w:id="38" w:name="_Toc382049092"/>
      <w:r>
        <w:rPr>
          <w:rFonts w:hint="eastAsia" w:ascii="宋体" w:hAnsi="宋体" w:cs="宋体"/>
          <w:color w:val="auto"/>
          <w:sz w:val="21"/>
          <w:szCs w:val="21"/>
          <w:highlight w:val="none"/>
        </w:rPr>
        <w:t>定义</w:t>
      </w:r>
      <w:bookmarkEnd w:id="33"/>
      <w:bookmarkEnd w:id="34"/>
      <w:bookmarkEnd w:id="35"/>
      <w:bookmarkEnd w:id="36"/>
      <w:bookmarkEnd w:id="37"/>
      <w:bookmarkEnd w:id="38"/>
    </w:p>
    <w:p>
      <w:pPr>
        <w:pStyle w:val="41"/>
        <w:widowControl w:val="0"/>
        <w:shd w:val="clear"/>
        <w:adjustRightInd/>
        <w:snapToGrid/>
        <w:ind w:left="425" w:hanging="425"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采购人：见投标邀请书。</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投标人：响应采购并且符合采购文件规定资格条件和参加投标竞争的法人、其他组织或者自然人。</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法人：法人是依法在国内进行注册并具有民事权利能力和民事行为能力，依法独立享有民事权利和承担民事义务的组织。</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中标人：指经评标委员会评审推荐、采购人确认的获得本项目中标资格的投标人。</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采购代理机构：见投标邀请书。</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评标委员会：评标委员会是依据相关规定组建的专门负责本次采购其评标工作的临时性机构。</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合同：指由本次采购所产生的合同或合约文件。</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时间：本文件规定按日计算期间的，开始当天不计入，从次日开始计算。期限的最后一日是国家法定节假日的，顺延到节假日后的次日为期限的最后一日。</w:t>
      </w:r>
    </w:p>
    <w:p>
      <w:pPr>
        <w:shd w:val="clear"/>
        <w:rPr>
          <w:rFonts w:ascii="宋体" w:hAnsi="宋体" w:cs="宋体"/>
          <w:color w:val="auto"/>
          <w:highlight w:val="none"/>
        </w:rPr>
      </w:pPr>
    </w:p>
    <w:p>
      <w:pPr>
        <w:pStyle w:val="6"/>
        <w:widowControl w:val="0"/>
        <w:numPr>
          <w:ilvl w:val="0"/>
          <w:numId w:val="2"/>
        </w:numPr>
        <w:shd w:val="clear"/>
        <w:overflowPunct w:val="0"/>
        <w:rPr>
          <w:rFonts w:ascii="宋体" w:hAnsi="宋体" w:cs="宋体"/>
          <w:color w:val="auto"/>
          <w:sz w:val="21"/>
          <w:szCs w:val="21"/>
          <w:highlight w:val="none"/>
        </w:rPr>
      </w:pPr>
      <w:bookmarkStart w:id="39" w:name="_Toc10625"/>
      <w:bookmarkStart w:id="40" w:name="_Toc11624"/>
      <w:r>
        <w:rPr>
          <w:rFonts w:hint="eastAsia" w:ascii="宋体" w:hAnsi="宋体" w:cs="宋体"/>
          <w:color w:val="auto"/>
          <w:sz w:val="21"/>
          <w:szCs w:val="21"/>
          <w:highlight w:val="none"/>
        </w:rPr>
        <w:t>货物和服务</w:t>
      </w:r>
      <w:bookmarkEnd w:id="39"/>
      <w:bookmarkEnd w:id="40"/>
    </w:p>
    <w:p>
      <w:pPr>
        <w:pStyle w:val="41"/>
        <w:widowControl w:val="0"/>
        <w:shd w:val="clear"/>
        <w:adjustRightInd/>
        <w:snapToGrid/>
        <w:ind w:left="425" w:hanging="425"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货物是指各种形态和种类的物品，包括原材料、燃料、设备、产品等。</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服务是指除货物和工程以外的其他采购对象。</w:t>
      </w:r>
    </w:p>
    <w:p>
      <w:pPr>
        <w:shd w:val="clear"/>
        <w:rPr>
          <w:rFonts w:ascii="宋体" w:hAnsi="宋体" w:cs="宋体"/>
          <w:color w:val="auto"/>
          <w:highlight w:val="none"/>
        </w:rPr>
      </w:pPr>
    </w:p>
    <w:p>
      <w:pPr>
        <w:pStyle w:val="6"/>
        <w:widowControl w:val="0"/>
        <w:numPr>
          <w:ilvl w:val="0"/>
          <w:numId w:val="2"/>
        </w:numPr>
        <w:shd w:val="clear"/>
        <w:overflowPunct w:val="0"/>
        <w:rPr>
          <w:rFonts w:ascii="宋体" w:hAnsi="宋体" w:cs="宋体"/>
          <w:color w:val="auto"/>
          <w:sz w:val="21"/>
          <w:szCs w:val="21"/>
          <w:highlight w:val="none"/>
        </w:rPr>
      </w:pPr>
      <w:bookmarkStart w:id="41" w:name="_Toc15719"/>
      <w:bookmarkStart w:id="42" w:name="_Toc1673"/>
      <w:r>
        <w:rPr>
          <w:rFonts w:hint="eastAsia" w:ascii="宋体" w:hAnsi="宋体" w:cs="宋体"/>
          <w:color w:val="auto"/>
          <w:sz w:val="21"/>
          <w:szCs w:val="21"/>
          <w:highlight w:val="none"/>
        </w:rPr>
        <w:t>投标费用</w:t>
      </w:r>
      <w:bookmarkEnd w:id="41"/>
      <w:bookmarkEnd w:id="42"/>
    </w:p>
    <w:p>
      <w:pPr>
        <w:pStyle w:val="41"/>
        <w:widowControl w:val="0"/>
        <w:shd w:val="clear"/>
        <w:adjustRightInd/>
        <w:snapToGrid/>
        <w:ind w:left="425" w:hanging="425"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投标人应承担所有与编写投标文件和参加投标有关的自身的所有费用，不论投标的结果如何，采购代理机构和采购人在任何情况下均无义务和责任承担这些费用。</w:t>
      </w:r>
    </w:p>
    <w:p>
      <w:pPr>
        <w:widowControl w:val="0"/>
        <w:shd w:val="clear"/>
        <w:adjustRightInd/>
        <w:snapToGrid/>
        <w:jc w:val="both"/>
        <w:rPr>
          <w:rFonts w:ascii="宋体" w:hAnsi="宋体" w:cs="宋体"/>
          <w:color w:val="auto"/>
          <w:szCs w:val="21"/>
          <w:highlight w:val="none"/>
        </w:rPr>
      </w:pPr>
    </w:p>
    <w:p>
      <w:pPr>
        <w:pStyle w:val="6"/>
        <w:widowControl w:val="0"/>
        <w:numPr>
          <w:ilvl w:val="0"/>
          <w:numId w:val="2"/>
        </w:numPr>
        <w:shd w:val="clear"/>
        <w:overflowPunct w:val="0"/>
        <w:rPr>
          <w:rFonts w:ascii="宋体" w:hAnsi="宋体" w:cs="宋体"/>
          <w:color w:val="auto"/>
          <w:sz w:val="21"/>
          <w:szCs w:val="21"/>
          <w:highlight w:val="none"/>
        </w:rPr>
      </w:pPr>
      <w:bookmarkStart w:id="43" w:name="_Toc21477"/>
      <w:bookmarkStart w:id="44" w:name="_Toc6180"/>
      <w:r>
        <w:rPr>
          <w:rFonts w:hint="eastAsia" w:ascii="宋体" w:hAnsi="宋体" w:cs="宋体"/>
          <w:color w:val="auto"/>
          <w:sz w:val="21"/>
          <w:szCs w:val="21"/>
          <w:highlight w:val="none"/>
        </w:rPr>
        <w:t>知识产权</w:t>
      </w:r>
      <w:bookmarkEnd w:id="43"/>
      <w:bookmarkEnd w:id="44"/>
    </w:p>
    <w:p>
      <w:pPr>
        <w:pStyle w:val="41"/>
        <w:widowControl w:val="0"/>
        <w:shd w:val="clear"/>
        <w:adjustRightInd/>
        <w:snapToGrid/>
        <w:ind w:left="425" w:hanging="425"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采购人享有本项目实施过程中产生的知识成果及知识产权。</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采购货物为计算机办公设备时，投标人提供的产品必须是预装正版操作系统软件的计算机产品。</w:t>
      </w:r>
    </w:p>
    <w:p>
      <w:pPr>
        <w:widowControl w:val="0"/>
        <w:shd w:val="clear"/>
        <w:adjustRightInd/>
        <w:snapToGrid/>
        <w:ind w:left="567"/>
        <w:jc w:val="both"/>
        <w:rPr>
          <w:rFonts w:ascii="宋体" w:hAnsi="宋体" w:cs="宋体"/>
          <w:color w:val="auto"/>
          <w:szCs w:val="21"/>
          <w:highlight w:val="none"/>
        </w:rPr>
      </w:pPr>
    </w:p>
    <w:p>
      <w:pPr>
        <w:pStyle w:val="6"/>
        <w:widowControl w:val="0"/>
        <w:numPr>
          <w:ilvl w:val="0"/>
          <w:numId w:val="2"/>
        </w:numPr>
        <w:shd w:val="clear"/>
        <w:overflowPunct w:val="0"/>
        <w:rPr>
          <w:rFonts w:ascii="宋体" w:hAnsi="宋体" w:cs="宋体"/>
          <w:color w:val="auto"/>
          <w:sz w:val="21"/>
          <w:szCs w:val="21"/>
          <w:highlight w:val="none"/>
        </w:rPr>
      </w:pPr>
      <w:bookmarkStart w:id="45" w:name="_Toc2352"/>
      <w:bookmarkStart w:id="46" w:name="_Toc25122"/>
      <w:r>
        <w:rPr>
          <w:rFonts w:hint="eastAsia" w:ascii="宋体" w:hAnsi="宋体" w:cs="宋体"/>
          <w:color w:val="auto"/>
          <w:sz w:val="21"/>
          <w:szCs w:val="21"/>
          <w:highlight w:val="none"/>
        </w:rPr>
        <w:t>关于联合体投标</w:t>
      </w:r>
      <w:bookmarkEnd w:id="45"/>
      <w:bookmarkEnd w:id="46"/>
    </w:p>
    <w:p>
      <w:pPr>
        <w:pStyle w:val="41"/>
        <w:widowControl w:val="0"/>
        <w:shd w:val="clear"/>
        <w:adjustRightInd/>
        <w:snapToGrid/>
        <w:ind w:left="425" w:hanging="425"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对接受联合体投标的项目：两个以上的自然人、法人或者其他组织可以组成一个联合体，以一个投标人的身份共同参加采购活动。</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以联合体形式参与项目的供应商在领购采购文件时，应提供所有联合体组成成员的营业执照复印件，并加盖各联合体组成成员的公章。</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联合体各方均应具有独立承担民事责任能力的法人或其他组织。</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采购文件对投标人资格条件有规定的，联合体各方均应当具备规定的相应资格条件。由同一专业的单位组成的联合体，按照资质等级较低的单位确定资质等级。</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供应商为联合体的，可以由联合体中的任意一方交纳保证金，其交纳的保证金对联合体各方均具有约束力。</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除联合体协议明确授权盖章单位外，联合体投标时投标文件中所有要求盖章的地方均须加盖联合体所有组成成员的公章，否则该处盖章无效。</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pPr>
        <w:pStyle w:val="6"/>
        <w:widowControl w:val="0"/>
        <w:numPr>
          <w:ilvl w:val="0"/>
          <w:numId w:val="2"/>
        </w:numPr>
        <w:shd w:val="clear"/>
        <w:overflowPunct w:val="0"/>
        <w:rPr>
          <w:rFonts w:ascii="宋体" w:hAnsi="宋体" w:cs="宋体"/>
          <w:color w:val="auto"/>
          <w:sz w:val="21"/>
          <w:szCs w:val="21"/>
          <w:highlight w:val="none"/>
        </w:rPr>
      </w:pPr>
      <w:bookmarkStart w:id="47" w:name="_Toc10603"/>
      <w:bookmarkStart w:id="48" w:name="_Toc3572"/>
      <w:r>
        <w:rPr>
          <w:rFonts w:hint="eastAsia" w:ascii="宋体" w:hAnsi="宋体" w:cs="宋体"/>
          <w:color w:val="auto"/>
          <w:sz w:val="21"/>
          <w:szCs w:val="21"/>
          <w:highlight w:val="none"/>
        </w:rPr>
        <w:t>关于分支机构投标</w:t>
      </w:r>
      <w:bookmarkEnd w:id="47"/>
      <w:bookmarkEnd w:id="48"/>
    </w:p>
    <w:p>
      <w:pPr>
        <w:pStyle w:val="41"/>
        <w:widowControl w:val="0"/>
        <w:shd w:val="clear"/>
        <w:adjustRightInd/>
        <w:snapToGrid/>
        <w:ind w:left="425" w:hanging="425" w:firstLineChars="0"/>
        <w:jc w:val="both"/>
        <w:rPr>
          <w:rFonts w:ascii="宋体" w:hAnsi="宋体" w:cs="宋体"/>
          <w:vanish/>
          <w:color w:val="auto"/>
          <w:szCs w:val="21"/>
          <w:highlight w:val="none"/>
        </w:rPr>
      </w:pPr>
      <w:bookmarkStart w:id="49" w:name="EB389f116341dd4693875bc7987e7327f3"/>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49"/>
    </w:p>
    <w:p>
      <w:pPr>
        <w:widowControl w:val="0"/>
        <w:shd w:val="clear"/>
        <w:adjustRightInd/>
        <w:snapToGrid/>
        <w:ind w:left="567"/>
        <w:jc w:val="both"/>
        <w:rPr>
          <w:rFonts w:ascii="宋体" w:hAnsi="宋体" w:cs="宋体"/>
          <w:color w:val="auto"/>
          <w:szCs w:val="21"/>
          <w:highlight w:val="none"/>
        </w:rPr>
      </w:pPr>
    </w:p>
    <w:p>
      <w:pPr>
        <w:pStyle w:val="6"/>
        <w:widowControl w:val="0"/>
        <w:numPr>
          <w:ilvl w:val="0"/>
          <w:numId w:val="2"/>
        </w:numPr>
        <w:shd w:val="clear"/>
        <w:overflowPunct w:val="0"/>
        <w:rPr>
          <w:rFonts w:ascii="宋体" w:hAnsi="宋体" w:cs="宋体"/>
          <w:color w:val="auto"/>
          <w:sz w:val="21"/>
          <w:szCs w:val="21"/>
          <w:highlight w:val="none"/>
        </w:rPr>
      </w:pPr>
      <w:bookmarkStart w:id="50" w:name="_Toc16068"/>
      <w:r>
        <w:rPr>
          <w:rFonts w:hint="eastAsia" w:ascii="宋体" w:hAnsi="宋体" w:cs="宋体"/>
          <w:color w:val="auto"/>
          <w:sz w:val="21"/>
          <w:szCs w:val="21"/>
          <w:highlight w:val="none"/>
        </w:rPr>
        <w:t>踏勘现场</w:t>
      </w:r>
      <w:bookmarkEnd w:id="50"/>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《投标资料表》规定组织踏勘现场的，采购人按《投标资料表》规定的时间、地点组织响应人踏勘项目现场；</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响应人踏勘现场发生的费用自理；</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除采购人的原因外，响应人自行负责在踏勘现场中所发生的人员伤亡和财产损失；</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采购人在踏勘现场中介绍的实施地点和相关的周边环境情况，供响应人在编制响应文件时参考，采购人不对响应人据此作出的判断和决策负责；</w:t>
      </w:r>
    </w:p>
    <w:p>
      <w:pPr>
        <w:shd w:val="clear"/>
        <w:rPr>
          <w:rFonts w:ascii="宋体" w:hAnsi="宋体" w:cs="宋体"/>
          <w:color w:val="auto"/>
          <w:highlight w:val="none"/>
        </w:rPr>
      </w:pPr>
    </w:p>
    <w:p>
      <w:pPr>
        <w:pStyle w:val="5"/>
        <w:numPr>
          <w:ilvl w:val="0"/>
          <w:numId w:val="1"/>
        </w:numPr>
        <w:shd w:val="clear"/>
        <w:spacing w:before="0" w:after="0" w:line="360" w:lineRule="auto"/>
        <w:jc w:val="center"/>
        <w:rPr>
          <w:rFonts w:ascii="宋体" w:hAnsi="宋体" w:cs="宋体"/>
          <w:color w:val="auto"/>
          <w:highlight w:val="none"/>
        </w:rPr>
      </w:pPr>
      <w:bookmarkStart w:id="51" w:name="_Toc14732"/>
      <w:bookmarkStart w:id="52" w:name="_Toc9444"/>
      <w:r>
        <w:rPr>
          <w:rFonts w:hint="eastAsia" w:ascii="宋体" w:hAnsi="宋体" w:cs="宋体"/>
          <w:color w:val="auto"/>
          <w:highlight w:val="none"/>
        </w:rPr>
        <w:t>采购文件</w:t>
      </w:r>
      <w:bookmarkEnd w:id="51"/>
      <w:bookmarkEnd w:id="52"/>
    </w:p>
    <w:p>
      <w:pPr>
        <w:pStyle w:val="6"/>
        <w:widowControl w:val="0"/>
        <w:numPr>
          <w:ilvl w:val="0"/>
          <w:numId w:val="2"/>
        </w:numPr>
        <w:shd w:val="clear"/>
        <w:overflowPunct w:val="0"/>
        <w:rPr>
          <w:rFonts w:ascii="宋体" w:hAnsi="宋体" w:cs="宋体"/>
          <w:color w:val="auto"/>
          <w:sz w:val="21"/>
          <w:szCs w:val="21"/>
          <w:highlight w:val="none"/>
        </w:rPr>
      </w:pPr>
      <w:bookmarkStart w:id="53" w:name="_Toc10638"/>
      <w:bookmarkStart w:id="54" w:name="_Toc25451"/>
      <w:r>
        <w:rPr>
          <w:rFonts w:hint="eastAsia" w:ascii="宋体" w:hAnsi="宋体" w:cs="宋体"/>
          <w:color w:val="auto"/>
          <w:sz w:val="21"/>
          <w:szCs w:val="21"/>
          <w:highlight w:val="none"/>
        </w:rPr>
        <w:t>采购文件的组成</w:t>
      </w:r>
      <w:bookmarkEnd w:id="53"/>
      <w:bookmarkEnd w:id="54"/>
    </w:p>
    <w:p>
      <w:pPr>
        <w:pStyle w:val="41"/>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采购文件包括：</w:t>
      </w:r>
    </w:p>
    <w:p>
      <w:pPr>
        <w:widowControl w:val="0"/>
        <w:shd w:val="clear"/>
        <w:adjustRightInd/>
        <w:snapToGrid/>
        <w:jc w:val="both"/>
        <w:rPr>
          <w:rFonts w:ascii="宋体" w:hAnsi="宋体" w:cs="宋体"/>
          <w:color w:val="auto"/>
          <w:szCs w:val="21"/>
          <w:highlight w:val="none"/>
        </w:rPr>
      </w:pPr>
      <w:r>
        <w:rPr>
          <w:rFonts w:hint="eastAsia" w:ascii="宋体" w:hAnsi="宋体" w:cs="宋体"/>
          <w:color w:val="auto"/>
          <w:szCs w:val="21"/>
          <w:highlight w:val="none"/>
        </w:rPr>
        <w:t>（1）投标邀请书；</w:t>
      </w:r>
    </w:p>
    <w:p>
      <w:pPr>
        <w:widowControl w:val="0"/>
        <w:shd w:val="clear"/>
        <w:adjustRightInd/>
        <w:snapToGrid/>
        <w:jc w:val="both"/>
        <w:rPr>
          <w:rFonts w:ascii="宋体" w:hAnsi="宋体" w:cs="宋体"/>
          <w:color w:val="auto"/>
          <w:szCs w:val="21"/>
          <w:highlight w:val="none"/>
        </w:rPr>
      </w:pPr>
      <w:r>
        <w:rPr>
          <w:rFonts w:hint="eastAsia" w:ascii="宋体" w:hAnsi="宋体" w:cs="宋体"/>
          <w:color w:val="auto"/>
          <w:szCs w:val="21"/>
          <w:highlight w:val="none"/>
        </w:rPr>
        <w:t>（2）投标资料表；</w:t>
      </w:r>
    </w:p>
    <w:p>
      <w:pPr>
        <w:widowControl w:val="0"/>
        <w:shd w:val="clear"/>
        <w:adjustRightInd/>
        <w:snapToGrid/>
        <w:jc w:val="both"/>
        <w:rPr>
          <w:rFonts w:ascii="宋体" w:hAnsi="宋体" w:cs="宋体"/>
          <w:color w:val="auto"/>
          <w:szCs w:val="21"/>
          <w:highlight w:val="none"/>
        </w:rPr>
      </w:pPr>
      <w:r>
        <w:rPr>
          <w:rFonts w:hint="eastAsia" w:ascii="宋体" w:hAnsi="宋体" w:cs="宋体"/>
          <w:color w:val="auto"/>
          <w:szCs w:val="21"/>
          <w:highlight w:val="none"/>
        </w:rPr>
        <w:t>（3）用户需求书；</w:t>
      </w:r>
    </w:p>
    <w:p>
      <w:pPr>
        <w:widowControl w:val="0"/>
        <w:shd w:val="clear"/>
        <w:adjustRightInd/>
        <w:snapToGrid/>
        <w:jc w:val="both"/>
        <w:rPr>
          <w:rFonts w:ascii="宋体" w:hAnsi="宋体" w:cs="宋体"/>
          <w:color w:val="auto"/>
          <w:szCs w:val="21"/>
          <w:highlight w:val="none"/>
        </w:rPr>
      </w:pPr>
      <w:r>
        <w:rPr>
          <w:rFonts w:hint="eastAsia" w:ascii="宋体" w:hAnsi="宋体" w:cs="宋体"/>
          <w:color w:val="auto"/>
          <w:szCs w:val="21"/>
          <w:highlight w:val="none"/>
        </w:rPr>
        <w:t>（4）投标人须知；</w:t>
      </w:r>
    </w:p>
    <w:p>
      <w:pPr>
        <w:widowControl w:val="0"/>
        <w:shd w:val="clear"/>
        <w:adjustRightInd/>
        <w:snapToGrid/>
        <w:jc w:val="both"/>
        <w:rPr>
          <w:rFonts w:ascii="宋体" w:hAnsi="宋体" w:cs="宋体"/>
          <w:color w:val="auto"/>
          <w:szCs w:val="21"/>
          <w:highlight w:val="none"/>
        </w:rPr>
      </w:pPr>
      <w:r>
        <w:rPr>
          <w:rFonts w:hint="eastAsia" w:ascii="宋体" w:hAnsi="宋体" w:cs="宋体"/>
          <w:color w:val="auto"/>
          <w:szCs w:val="21"/>
          <w:highlight w:val="none"/>
        </w:rPr>
        <w:t>（5）拟签订的合同文本；</w:t>
      </w:r>
    </w:p>
    <w:p>
      <w:pPr>
        <w:widowControl w:val="0"/>
        <w:shd w:val="clear"/>
        <w:adjustRightInd/>
        <w:snapToGrid/>
        <w:jc w:val="both"/>
        <w:rPr>
          <w:rFonts w:ascii="宋体" w:hAnsi="宋体" w:cs="宋体"/>
          <w:color w:val="auto"/>
          <w:szCs w:val="21"/>
          <w:highlight w:val="none"/>
        </w:rPr>
      </w:pPr>
      <w:r>
        <w:rPr>
          <w:rFonts w:hint="eastAsia" w:ascii="宋体" w:hAnsi="宋体" w:cs="宋体"/>
          <w:color w:val="auto"/>
          <w:szCs w:val="21"/>
          <w:highlight w:val="none"/>
        </w:rPr>
        <w:t>（6）投标文件格式；</w:t>
      </w:r>
    </w:p>
    <w:p>
      <w:pPr>
        <w:widowControl w:val="0"/>
        <w:shd w:val="clear"/>
        <w:adjustRightInd/>
        <w:snapToGrid/>
        <w:jc w:val="both"/>
        <w:rPr>
          <w:rFonts w:ascii="宋体" w:hAnsi="宋体" w:cs="宋体"/>
          <w:color w:val="auto"/>
          <w:szCs w:val="21"/>
          <w:highlight w:val="none"/>
        </w:rPr>
      </w:pPr>
      <w:r>
        <w:rPr>
          <w:rFonts w:hint="eastAsia" w:ascii="宋体" w:hAnsi="宋体" w:cs="宋体"/>
          <w:color w:val="auto"/>
          <w:szCs w:val="21"/>
          <w:highlight w:val="none"/>
        </w:rPr>
        <w:t>（7）在采购过程中由采购代理机构发出的澄清更正文件等。</w:t>
      </w:r>
    </w:p>
    <w:p>
      <w:pPr>
        <w:shd w:val="clear"/>
        <w:rPr>
          <w:rFonts w:ascii="宋体" w:hAnsi="宋体" w:cs="宋体"/>
          <w:color w:val="auto"/>
          <w:highlight w:val="none"/>
        </w:rPr>
      </w:pPr>
    </w:p>
    <w:p>
      <w:pPr>
        <w:pStyle w:val="6"/>
        <w:widowControl w:val="0"/>
        <w:numPr>
          <w:ilvl w:val="0"/>
          <w:numId w:val="2"/>
        </w:numPr>
        <w:shd w:val="clear"/>
        <w:overflowPunct w:val="0"/>
        <w:rPr>
          <w:rFonts w:ascii="宋体" w:hAnsi="宋体" w:cs="宋体"/>
          <w:color w:val="auto"/>
          <w:sz w:val="21"/>
          <w:szCs w:val="21"/>
          <w:highlight w:val="none"/>
        </w:rPr>
      </w:pPr>
      <w:bookmarkStart w:id="55" w:name="_Toc30490"/>
      <w:bookmarkStart w:id="56" w:name="_Toc21392"/>
      <w:r>
        <w:rPr>
          <w:rFonts w:hint="eastAsia" w:ascii="宋体" w:hAnsi="宋体" w:cs="宋体"/>
          <w:color w:val="auto"/>
          <w:sz w:val="21"/>
          <w:szCs w:val="21"/>
          <w:highlight w:val="none"/>
        </w:rPr>
        <w:t>采购文件的澄清或修改</w:t>
      </w:r>
      <w:bookmarkEnd w:id="55"/>
      <w:bookmarkEnd w:id="56"/>
    </w:p>
    <w:p>
      <w:pPr>
        <w:pStyle w:val="41"/>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pPr>
        <w:widowControl w:val="0"/>
        <w:numPr>
          <w:ilvl w:val="1"/>
          <w:numId w:val="2"/>
        </w:numPr>
        <w:shd w:val="clear"/>
        <w:overflowPunct w:val="0"/>
        <w:rPr>
          <w:rFonts w:ascii="宋体" w:hAnsi="宋体" w:cs="宋体"/>
          <w:b/>
          <w:bCs/>
          <w:color w:val="auto"/>
          <w:szCs w:val="21"/>
          <w:highlight w:val="none"/>
        </w:rPr>
      </w:pPr>
      <w:r>
        <w:rPr>
          <w:rFonts w:hint="eastAsia" w:ascii="宋体" w:hAnsi="宋体" w:cs="宋体"/>
          <w:b/>
          <w:bCs/>
          <w:color w:val="auto"/>
          <w:szCs w:val="21"/>
          <w:highlight w:val="none"/>
        </w:rPr>
        <w:t>采购期间，投标人有义务上网查看，公告一经上网发布，即视为送达。因投标人未及时上网查看而造成的所有后果，由投标人自行承担。</w:t>
      </w:r>
    </w:p>
    <w:p>
      <w:pPr>
        <w:widowControl w:val="0"/>
        <w:shd w:val="clear"/>
        <w:adjustRightInd/>
        <w:snapToGrid/>
        <w:ind w:left="567"/>
        <w:jc w:val="both"/>
        <w:rPr>
          <w:rFonts w:ascii="宋体" w:hAnsi="宋体" w:cs="宋体"/>
          <w:color w:val="auto"/>
          <w:szCs w:val="21"/>
          <w:highlight w:val="none"/>
        </w:rPr>
      </w:pPr>
    </w:p>
    <w:p>
      <w:pPr>
        <w:pStyle w:val="5"/>
        <w:numPr>
          <w:ilvl w:val="0"/>
          <w:numId w:val="1"/>
        </w:numPr>
        <w:shd w:val="clear"/>
        <w:spacing w:before="0" w:after="0" w:line="360" w:lineRule="auto"/>
        <w:jc w:val="center"/>
        <w:rPr>
          <w:rFonts w:ascii="宋体" w:hAnsi="宋体" w:cs="宋体"/>
          <w:color w:val="auto"/>
          <w:highlight w:val="none"/>
        </w:rPr>
      </w:pPr>
      <w:bookmarkStart w:id="57" w:name="_Toc10333"/>
      <w:bookmarkStart w:id="58" w:name="_Toc12343"/>
      <w:r>
        <w:rPr>
          <w:rFonts w:hint="eastAsia" w:ascii="宋体" w:hAnsi="宋体" w:cs="宋体"/>
          <w:color w:val="auto"/>
          <w:highlight w:val="none"/>
        </w:rPr>
        <w:t>投标文件的编制</w:t>
      </w:r>
      <w:bookmarkEnd w:id="57"/>
      <w:bookmarkEnd w:id="58"/>
    </w:p>
    <w:p>
      <w:pPr>
        <w:pStyle w:val="6"/>
        <w:widowControl w:val="0"/>
        <w:numPr>
          <w:ilvl w:val="0"/>
          <w:numId w:val="2"/>
        </w:numPr>
        <w:shd w:val="clear"/>
        <w:overflowPunct w:val="0"/>
        <w:rPr>
          <w:rFonts w:ascii="宋体" w:hAnsi="宋体" w:cs="宋体"/>
          <w:color w:val="auto"/>
          <w:sz w:val="21"/>
          <w:szCs w:val="21"/>
          <w:highlight w:val="none"/>
        </w:rPr>
      </w:pPr>
      <w:bookmarkStart w:id="59" w:name="_Toc16938"/>
      <w:bookmarkStart w:id="60" w:name="_Toc12048"/>
      <w:r>
        <w:rPr>
          <w:rFonts w:hint="eastAsia" w:ascii="宋体" w:hAnsi="宋体" w:cs="宋体"/>
          <w:color w:val="auto"/>
          <w:sz w:val="21"/>
          <w:szCs w:val="21"/>
          <w:highlight w:val="none"/>
        </w:rPr>
        <w:t>投标文件的语言及度量衡单位</w:t>
      </w:r>
      <w:bookmarkEnd w:id="59"/>
      <w:bookmarkEnd w:id="60"/>
    </w:p>
    <w:p>
      <w:pPr>
        <w:pStyle w:val="41"/>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除非采购文件在技术规格中另有规定，投标人在投标文件中及其与采购代理机构和采购人所有往来文件中的所有计量单位均应采用中华人民共和国法定计量单位。</w:t>
      </w:r>
    </w:p>
    <w:p>
      <w:pPr>
        <w:widowControl w:val="0"/>
        <w:shd w:val="clear"/>
        <w:adjustRightInd/>
        <w:snapToGrid/>
        <w:ind w:left="567"/>
        <w:jc w:val="both"/>
        <w:rPr>
          <w:rFonts w:ascii="宋体" w:hAnsi="宋体" w:cs="宋体"/>
          <w:color w:val="auto"/>
          <w:szCs w:val="21"/>
          <w:highlight w:val="none"/>
        </w:rPr>
      </w:pPr>
    </w:p>
    <w:p>
      <w:pPr>
        <w:pStyle w:val="6"/>
        <w:widowControl w:val="0"/>
        <w:numPr>
          <w:ilvl w:val="0"/>
          <w:numId w:val="2"/>
        </w:numPr>
        <w:shd w:val="clear"/>
        <w:overflowPunct w:val="0"/>
        <w:rPr>
          <w:rFonts w:ascii="宋体" w:hAnsi="宋体" w:cs="宋体"/>
          <w:color w:val="auto"/>
          <w:sz w:val="21"/>
          <w:szCs w:val="21"/>
          <w:highlight w:val="none"/>
        </w:rPr>
      </w:pPr>
      <w:bookmarkStart w:id="61" w:name="_Toc382049103"/>
      <w:bookmarkStart w:id="62" w:name="_Toc11466"/>
      <w:bookmarkStart w:id="63" w:name="_Toc303084256"/>
      <w:bookmarkStart w:id="64" w:name="_Toc28866"/>
      <w:bookmarkStart w:id="65" w:name="_Toc27953"/>
      <w:bookmarkStart w:id="66" w:name="_Toc307934854"/>
      <w:r>
        <w:rPr>
          <w:rFonts w:hint="eastAsia" w:ascii="宋体" w:hAnsi="宋体" w:cs="宋体"/>
          <w:color w:val="auto"/>
          <w:sz w:val="21"/>
          <w:szCs w:val="21"/>
          <w:highlight w:val="none"/>
        </w:rPr>
        <w:t>投标文件的组成</w:t>
      </w:r>
      <w:bookmarkEnd w:id="61"/>
      <w:bookmarkEnd w:id="62"/>
      <w:bookmarkEnd w:id="63"/>
      <w:bookmarkEnd w:id="64"/>
      <w:bookmarkEnd w:id="65"/>
      <w:bookmarkEnd w:id="66"/>
    </w:p>
    <w:p>
      <w:pPr>
        <w:pStyle w:val="41"/>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包括但不限于采购文件附件格式中要求提供的表格。</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上述文件须按顺序装订成册，并编制投标文件目录。除上述文件资料外投标人还须按投标人须知的要求制作“唱标信封”。“唱标信封”作为投标文件的一部分，但须单独密封。</w:t>
      </w:r>
    </w:p>
    <w:p>
      <w:pPr>
        <w:shd w:val="clear"/>
        <w:rPr>
          <w:rFonts w:ascii="宋体" w:hAnsi="宋体" w:cs="宋体"/>
          <w:color w:val="auto"/>
          <w:highlight w:val="none"/>
        </w:rPr>
      </w:pPr>
    </w:p>
    <w:p>
      <w:pPr>
        <w:pStyle w:val="6"/>
        <w:widowControl w:val="0"/>
        <w:numPr>
          <w:ilvl w:val="0"/>
          <w:numId w:val="2"/>
        </w:numPr>
        <w:shd w:val="clear"/>
        <w:overflowPunct w:val="0"/>
        <w:rPr>
          <w:rFonts w:ascii="宋体" w:hAnsi="宋体" w:cs="宋体"/>
          <w:color w:val="auto"/>
          <w:sz w:val="21"/>
          <w:szCs w:val="21"/>
          <w:highlight w:val="none"/>
        </w:rPr>
      </w:pPr>
      <w:bookmarkStart w:id="67" w:name="_Toc5904"/>
      <w:bookmarkStart w:id="68" w:name="_Toc755"/>
      <w:r>
        <w:rPr>
          <w:rFonts w:hint="eastAsia" w:ascii="宋体" w:hAnsi="宋体" w:cs="宋体"/>
          <w:color w:val="auto"/>
          <w:sz w:val="21"/>
          <w:szCs w:val="21"/>
          <w:highlight w:val="none"/>
        </w:rPr>
        <w:t>投标文件编制</w:t>
      </w:r>
      <w:bookmarkEnd w:id="67"/>
      <w:bookmarkEnd w:id="68"/>
    </w:p>
    <w:p>
      <w:pPr>
        <w:pStyle w:val="41"/>
        <w:widowControl w:val="0"/>
        <w:numPr>
          <w:ilvl w:val="0"/>
          <w:numId w:val="3"/>
        </w:numPr>
        <w:shd w:val="clear"/>
        <w:adjustRightInd/>
        <w:snapToGrid/>
        <w:ind w:firstLineChars="0"/>
        <w:jc w:val="both"/>
        <w:rPr>
          <w:rFonts w:ascii="宋体" w:hAnsi="宋体" w:cs="宋体"/>
          <w:vanish/>
          <w:color w:val="auto"/>
          <w:szCs w:val="21"/>
          <w:highlight w:val="none"/>
        </w:rPr>
      </w:pPr>
      <w:bookmarkStart w:id="69" w:name="_Toc303084258"/>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因投标文件编制存在歧义对投标人产生负面影响的，投标人自行承担后果。</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投标单位名称与投标人公章不一致，若投标单位名称已进行变更，应在投标文件中提供相应的证明材料并加盖公章，否则投标文件无效。</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投标文件密封、标记及内容与本项目采购信息不符，导致无法分辨所投项目为本项目的，投标文件无效。</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投标人须客观撰写投标人简介（格式自理，并提供相关证明）以及所投的产品或服务说明。</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投标文件若出现以下内容，经评标委员会认定有可能间接影响评审秩序，作废标处理。</w:t>
      </w:r>
    </w:p>
    <w:p>
      <w:pPr>
        <w:pStyle w:val="41"/>
        <w:widowControl w:val="0"/>
        <w:numPr>
          <w:ilvl w:val="0"/>
          <w:numId w:val="4"/>
        </w:numPr>
        <w:shd w:val="clear"/>
        <w:adjustRightInd/>
        <w:snapToGrid/>
        <w:ind w:firstLineChars="0"/>
        <w:jc w:val="both"/>
        <w:rPr>
          <w:rFonts w:ascii="宋体" w:hAnsi="宋体" w:cs="宋体"/>
          <w:color w:val="auto"/>
          <w:szCs w:val="21"/>
          <w:highlight w:val="none"/>
        </w:rPr>
      </w:pPr>
      <w:r>
        <w:rPr>
          <w:rFonts w:hint="eastAsia" w:ascii="宋体" w:hAnsi="宋体" w:cs="宋体"/>
          <w:color w:val="auto"/>
          <w:szCs w:val="21"/>
          <w:highlight w:val="none"/>
        </w:rPr>
        <w:t>投标文件内出现无官方证明文件的行业地域排名或使用“国家级”、“最高级”、“最佳”等用语字眼的。</w:t>
      </w:r>
    </w:p>
    <w:p>
      <w:pPr>
        <w:pStyle w:val="41"/>
        <w:widowControl w:val="0"/>
        <w:numPr>
          <w:ilvl w:val="0"/>
          <w:numId w:val="4"/>
        </w:numPr>
        <w:shd w:val="clear"/>
        <w:adjustRightInd/>
        <w:snapToGrid/>
        <w:ind w:firstLineChars="0"/>
        <w:jc w:val="both"/>
        <w:rPr>
          <w:rFonts w:ascii="宋体" w:hAnsi="宋体" w:cs="宋体"/>
          <w:color w:val="auto"/>
          <w:szCs w:val="21"/>
          <w:highlight w:val="none"/>
        </w:rPr>
      </w:pPr>
      <w:r>
        <w:rPr>
          <w:rFonts w:hint="eastAsia" w:ascii="宋体" w:hAnsi="宋体" w:cs="宋体"/>
          <w:color w:val="auto"/>
          <w:szCs w:val="21"/>
          <w:highlight w:val="none"/>
        </w:rPr>
        <w:t>投标文件内出现恶意诋毁、贬低其他生产经营者的商品或者服务的内容。</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有下列情形之一的，视为投标人串通投标，其投标无效：</w:t>
      </w:r>
    </w:p>
    <w:p>
      <w:pPr>
        <w:widowControl w:val="0"/>
        <w:shd w:val="clear"/>
        <w:adjustRightInd/>
        <w:snapToGrid/>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w:t>
      </w:r>
    </w:p>
    <w:p>
      <w:pPr>
        <w:widowControl w:val="0"/>
        <w:shd w:val="clear"/>
        <w:adjustRightInd/>
        <w:snapToGrid/>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pPr>
        <w:widowControl w:val="0"/>
        <w:shd w:val="clear"/>
        <w:adjustRightInd/>
        <w:snapToGrid/>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（3）不同投标人的投标文件载明的项目管理成员或者联系人员为同一人；</w:t>
      </w:r>
    </w:p>
    <w:p>
      <w:pPr>
        <w:widowControl w:val="0"/>
        <w:shd w:val="clear"/>
        <w:adjustRightInd/>
        <w:snapToGrid/>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pPr>
        <w:widowControl w:val="0"/>
        <w:shd w:val="clear"/>
        <w:adjustRightInd/>
        <w:snapToGrid/>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pPr>
        <w:widowControl w:val="0"/>
        <w:shd w:val="clear"/>
        <w:adjustRightInd/>
        <w:snapToGrid/>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（6）不同投标人的投标保证金从同一单位或者个人的账户转出。</w:t>
      </w:r>
    </w:p>
    <w:bookmarkEnd w:id="69"/>
    <w:p>
      <w:pPr>
        <w:shd w:val="clear"/>
        <w:rPr>
          <w:rFonts w:ascii="宋体" w:hAnsi="宋体" w:cs="宋体"/>
          <w:color w:val="auto"/>
          <w:highlight w:val="none"/>
        </w:rPr>
      </w:pPr>
    </w:p>
    <w:p>
      <w:pPr>
        <w:pStyle w:val="6"/>
        <w:widowControl w:val="0"/>
        <w:numPr>
          <w:ilvl w:val="0"/>
          <w:numId w:val="2"/>
        </w:numPr>
        <w:shd w:val="clear"/>
        <w:overflowPunct w:val="0"/>
        <w:rPr>
          <w:rFonts w:ascii="宋体" w:hAnsi="宋体" w:cs="宋体"/>
          <w:color w:val="auto"/>
          <w:sz w:val="21"/>
          <w:szCs w:val="21"/>
          <w:highlight w:val="none"/>
        </w:rPr>
      </w:pPr>
      <w:bookmarkStart w:id="70" w:name="_Toc7134"/>
      <w:bookmarkStart w:id="71" w:name="_Toc6154"/>
      <w:r>
        <w:rPr>
          <w:rFonts w:hint="eastAsia" w:ascii="宋体" w:hAnsi="宋体" w:cs="宋体"/>
          <w:color w:val="auto"/>
          <w:sz w:val="21"/>
          <w:szCs w:val="21"/>
          <w:highlight w:val="none"/>
        </w:rPr>
        <w:t>投标报价说明</w:t>
      </w:r>
      <w:bookmarkEnd w:id="70"/>
      <w:bookmarkEnd w:id="71"/>
    </w:p>
    <w:p>
      <w:pPr>
        <w:pStyle w:val="41"/>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本次采购，投标人应按用户需求中的要求进行投标报价，少报无效。</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投标人所提供的货物或服务均以人民币（或相关费率）报价。</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投标报价应包含完成本次采购所有服务内容的费用，包含各种税务费及合同实施过程中的全部费用和售后服务费等。</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中标后开出的所有发票必须与中标人的名称一致。</w:t>
      </w:r>
    </w:p>
    <w:p>
      <w:pPr>
        <w:shd w:val="clear"/>
        <w:rPr>
          <w:rFonts w:ascii="宋体" w:hAnsi="宋体" w:cs="宋体"/>
          <w:color w:val="auto"/>
          <w:highlight w:val="none"/>
        </w:rPr>
      </w:pPr>
    </w:p>
    <w:p>
      <w:pPr>
        <w:pStyle w:val="6"/>
        <w:widowControl w:val="0"/>
        <w:numPr>
          <w:ilvl w:val="0"/>
          <w:numId w:val="2"/>
        </w:numPr>
        <w:shd w:val="clear"/>
        <w:overflowPunct w:val="0"/>
        <w:rPr>
          <w:rFonts w:ascii="宋体" w:hAnsi="宋体" w:cs="宋体"/>
          <w:color w:val="auto"/>
          <w:sz w:val="21"/>
          <w:szCs w:val="21"/>
          <w:highlight w:val="none"/>
        </w:rPr>
      </w:pPr>
      <w:bookmarkStart w:id="72" w:name="_Toc14501"/>
      <w:bookmarkStart w:id="73" w:name="_Toc17669"/>
      <w:r>
        <w:rPr>
          <w:rFonts w:hint="eastAsia" w:ascii="宋体" w:hAnsi="宋体" w:cs="宋体"/>
          <w:color w:val="auto"/>
          <w:sz w:val="21"/>
          <w:szCs w:val="21"/>
          <w:highlight w:val="none"/>
        </w:rPr>
        <w:t>投标人所提供的服务或货物的证明文件</w:t>
      </w:r>
      <w:bookmarkEnd w:id="72"/>
      <w:bookmarkEnd w:id="73"/>
    </w:p>
    <w:p>
      <w:pPr>
        <w:pStyle w:val="41"/>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bookmarkStart w:id="74" w:name="_Hlt107925668"/>
      <w:bookmarkEnd w:id="74"/>
      <w:bookmarkStart w:id="75" w:name="_Hlt107925638"/>
      <w:bookmarkEnd w:id="75"/>
      <w:r>
        <w:rPr>
          <w:rFonts w:hint="eastAsia" w:ascii="宋体" w:hAnsi="宋体" w:cs="宋体"/>
          <w:color w:val="auto"/>
          <w:szCs w:val="21"/>
          <w:highlight w:val="none"/>
        </w:rPr>
        <w:t>证明服务或货物的文件，它可以是文字资料、图纸和数据包括但不限于：服务主要内容、标准、质量、人员资质、计划安排、报告审核等的详细说明；对采购文件第三部分《用户需求书》中规定的要求进行详细应答和说明。</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有下列情形之一的，视为投标人弄虚作假，其投标无效：</w:t>
      </w:r>
    </w:p>
    <w:p>
      <w:pPr>
        <w:pStyle w:val="41"/>
        <w:widowControl w:val="0"/>
        <w:shd w:val="clear"/>
        <w:adjustRightInd/>
        <w:snapToGrid/>
        <w:ind w:left="425" w:firstLine="0" w:firstLineChars="0"/>
        <w:jc w:val="both"/>
        <w:rPr>
          <w:rFonts w:ascii="宋体" w:hAnsi="宋体" w:cs="宋体"/>
          <w:color w:val="auto"/>
          <w:highlight w:val="none"/>
        </w:rPr>
      </w:pPr>
      <w:r>
        <w:rPr>
          <w:rFonts w:hint="eastAsia" w:ascii="宋体" w:hAnsi="宋体" w:cs="宋体"/>
          <w:color w:val="auto"/>
          <w:highlight w:val="none"/>
        </w:rPr>
        <w:t>1、使用通过受让或者租借等方式获取的资格、资质证书投标的，属于以他人名义投标。</w:t>
      </w:r>
    </w:p>
    <w:p>
      <w:pPr>
        <w:pStyle w:val="41"/>
        <w:widowControl w:val="0"/>
        <w:shd w:val="clear"/>
        <w:adjustRightInd/>
        <w:snapToGrid/>
        <w:ind w:left="425" w:firstLine="0" w:firstLineChars="0"/>
        <w:jc w:val="both"/>
        <w:rPr>
          <w:rFonts w:ascii="宋体" w:hAnsi="宋体" w:cs="宋体"/>
          <w:color w:val="auto"/>
          <w:highlight w:val="none"/>
        </w:rPr>
      </w:pPr>
      <w:r>
        <w:rPr>
          <w:rFonts w:hint="eastAsia" w:ascii="宋体" w:hAnsi="宋体" w:cs="宋体"/>
          <w:color w:val="auto"/>
          <w:highlight w:val="none"/>
        </w:rPr>
        <w:t>2、投标人有下列情形之一的，属于以其他方式弄虚作假的行为：</w:t>
      </w:r>
    </w:p>
    <w:p>
      <w:pPr>
        <w:pStyle w:val="41"/>
        <w:widowControl w:val="0"/>
        <w:shd w:val="clear"/>
        <w:adjustRightInd/>
        <w:snapToGrid/>
        <w:ind w:left="425" w:firstLine="0" w:firstLineChars="0"/>
        <w:jc w:val="both"/>
        <w:rPr>
          <w:rFonts w:ascii="宋体" w:hAnsi="宋体" w:cs="宋体"/>
          <w:color w:val="auto"/>
          <w:highlight w:val="none"/>
        </w:rPr>
      </w:pPr>
      <w:r>
        <w:rPr>
          <w:rFonts w:hint="eastAsia" w:ascii="宋体" w:hAnsi="宋体" w:cs="宋体"/>
          <w:color w:val="auto"/>
          <w:highlight w:val="none"/>
        </w:rPr>
        <w:t>（1）使用伪造、变造的许可证件；</w:t>
      </w:r>
    </w:p>
    <w:p>
      <w:pPr>
        <w:pStyle w:val="41"/>
        <w:widowControl w:val="0"/>
        <w:shd w:val="clear"/>
        <w:adjustRightInd/>
        <w:snapToGrid/>
        <w:ind w:left="425" w:firstLine="0" w:firstLineChars="0"/>
        <w:jc w:val="both"/>
        <w:rPr>
          <w:rFonts w:ascii="宋体" w:hAnsi="宋体" w:cs="宋体"/>
          <w:color w:val="auto"/>
          <w:highlight w:val="none"/>
        </w:rPr>
      </w:pPr>
      <w:r>
        <w:rPr>
          <w:rFonts w:hint="eastAsia" w:ascii="宋体" w:hAnsi="宋体" w:cs="宋体"/>
          <w:color w:val="auto"/>
          <w:highlight w:val="none"/>
        </w:rPr>
        <w:t>（2）提供虚假的财务状况或者业绩；</w:t>
      </w:r>
    </w:p>
    <w:p>
      <w:pPr>
        <w:pStyle w:val="41"/>
        <w:widowControl w:val="0"/>
        <w:shd w:val="clear"/>
        <w:adjustRightInd/>
        <w:snapToGrid/>
        <w:ind w:left="425" w:firstLine="0" w:firstLineChars="0"/>
        <w:jc w:val="both"/>
        <w:rPr>
          <w:rFonts w:ascii="宋体" w:hAnsi="宋体" w:cs="宋体"/>
          <w:color w:val="auto"/>
          <w:highlight w:val="none"/>
        </w:rPr>
      </w:pPr>
      <w:r>
        <w:rPr>
          <w:rFonts w:hint="eastAsia" w:ascii="宋体" w:hAnsi="宋体" w:cs="宋体"/>
          <w:color w:val="auto"/>
          <w:highlight w:val="none"/>
        </w:rPr>
        <w:t>（3）提供虚假的项目负责人或者主要技术人员简历、劳动关系证明；</w:t>
      </w:r>
    </w:p>
    <w:p>
      <w:pPr>
        <w:pStyle w:val="41"/>
        <w:widowControl w:val="0"/>
        <w:shd w:val="clear"/>
        <w:adjustRightInd/>
        <w:snapToGrid/>
        <w:ind w:left="425" w:firstLine="0" w:firstLineChars="0"/>
        <w:jc w:val="both"/>
        <w:rPr>
          <w:rFonts w:ascii="宋体" w:hAnsi="宋体" w:cs="宋体"/>
          <w:color w:val="auto"/>
          <w:highlight w:val="none"/>
        </w:rPr>
      </w:pPr>
      <w:r>
        <w:rPr>
          <w:rFonts w:hint="eastAsia" w:ascii="宋体" w:hAnsi="宋体" w:cs="宋体"/>
          <w:color w:val="auto"/>
          <w:highlight w:val="none"/>
        </w:rPr>
        <w:t>（4）提供虚假的信用状况；</w:t>
      </w:r>
    </w:p>
    <w:p>
      <w:pPr>
        <w:pStyle w:val="41"/>
        <w:widowControl w:val="0"/>
        <w:shd w:val="clear"/>
        <w:adjustRightInd/>
        <w:snapToGrid/>
        <w:ind w:left="425" w:firstLine="0" w:firstLineChars="0"/>
        <w:jc w:val="both"/>
        <w:rPr>
          <w:rFonts w:ascii="宋体" w:hAnsi="宋体" w:cs="宋体"/>
          <w:color w:val="auto"/>
          <w:highlight w:val="none"/>
        </w:rPr>
      </w:pPr>
      <w:r>
        <w:rPr>
          <w:rFonts w:hint="eastAsia" w:ascii="宋体" w:hAnsi="宋体" w:cs="宋体"/>
          <w:color w:val="auto"/>
          <w:highlight w:val="none"/>
        </w:rPr>
        <w:t>（5）其他弄虚作假的行为。</w:t>
      </w:r>
    </w:p>
    <w:p>
      <w:pPr>
        <w:pStyle w:val="6"/>
        <w:widowControl w:val="0"/>
        <w:numPr>
          <w:ilvl w:val="0"/>
          <w:numId w:val="2"/>
        </w:numPr>
        <w:shd w:val="clear"/>
        <w:overflowPunct w:val="0"/>
        <w:rPr>
          <w:rFonts w:ascii="宋体" w:hAnsi="宋体" w:cs="宋体"/>
          <w:color w:val="auto"/>
          <w:sz w:val="21"/>
          <w:szCs w:val="21"/>
          <w:highlight w:val="none"/>
        </w:rPr>
      </w:pPr>
      <w:bookmarkStart w:id="76" w:name="_Toc2409"/>
      <w:bookmarkStart w:id="77" w:name="_Toc8324"/>
      <w:r>
        <w:rPr>
          <w:rFonts w:hint="eastAsia" w:ascii="宋体" w:hAnsi="宋体" w:cs="宋体"/>
          <w:color w:val="auto"/>
          <w:sz w:val="21"/>
          <w:szCs w:val="21"/>
          <w:highlight w:val="none"/>
        </w:rPr>
        <w:t>投标有效期</w:t>
      </w:r>
      <w:bookmarkEnd w:id="76"/>
      <w:bookmarkEnd w:id="77"/>
    </w:p>
    <w:p>
      <w:pPr>
        <w:pStyle w:val="41"/>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投标文件应根据投标人须知的规定在投标截止日后的90天内保持有效。</w:t>
      </w:r>
    </w:p>
    <w:p>
      <w:pPr>
        <w:widowControl w:val="0"/>
        <w:shd w:val="clear"/>
        <w:adjustRightInd/>
        <w:snapToGrid/>
        <w:ind w:left="567"/>
        <w:jc w:val="both"/>
        <w:rPr>
          <w:rFonts w:ascii="宋体" w:hAnsi="宋体" w:cs="宋体"/>
          <w:color w:val="auto"/>
          <w:highlight w:val="none"/>
        </w:rPr>
      </w:pPr>
    </w:p>
    <w:p>
      <w:pPr>
        <w:pStyle w:val="6"/>
        <w:widowControl w:val="0"/>
        <w:numPr>
          <w:ilvl w:val="0"/>
          <w:numId w:val="2"/>
        </w:numPr>
        <w:shd w:val="clear"/>
        <w:overflowPunct w:val="0"/>
        <w:rPr>
          <w:rFonts w:ascii="宋体" w:hAnsi="宋体" w:cs="宋体"/>
          <w:color w:val="auto"/>
          <w:sz w:val="21"/>
          <w:szCs w:val="21"/>
          <w:highlight w:val="none"/>
        </w:rPr>
      </w:pPr>
      <w:bookmarkStart w:id="78" w:name="_Toc26564"/>
      <w:bookmarkStart w:id="79" w:name="_Toc12582"/>
      <w:r>
        <w:rPr>
          <w:rFonts w:hint="eastAsia" w:ascii="宋体" w:hAnsi="宋体" w:cs="宋体"/>
          <w:color w:val="auto"/>
          <w:sz w:val="21"/>
          <w:szCs w:val="21"/>
          <w:highlight w:val="none"/>
        </w:rPr>
        <w:t>投标保证金</w:t>
      </w:r>
      <w:bookmarkEnd w:id="78"/>
      <w:bookmarkEnd w:id="79"/>
    </w:p>
    <w:p>
      <w:pPr>
        <w:pStyle w:val="41"/>
        <w:widowControl w:val="0"/>
        <w:numPr>
          <w:ilvl w:val="0"/>
          <w:numId w:val="3"/>
        </w:numPr>
        <w:shd w:val="clear"/>
        <w:adjustRightInd/>
        <w:snapToGrid/>
        <w:ind w:firstLineChars="0"/>
        <w:jc w:val="both"/>
        <w:rPr>
          <w:rFonts w:ascii="宋体" w:hAnsi="宋体" w:cs="宋体"/>
          <w:vanish/>
          <w:color w:val="auto"/>
          <w:szCs w:val="21"/>
          <w:highlight w:val="none"/>
        </w:rPr>
      </w:pPr>
      <w:bookmarkStart w:id="80" w:name="_Ref179619405"/>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投标人应在投标文件递交截止前提交相应的投标保证金，并作为其投标的一部分。</w:t>
      </w:r>
      <w:bookmarkEnd w:id="80"/>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投标保证金是为了保护采购代理机构和采购人免遭因投标人的行为而蒙受的损失。采购代理机构和采购人在因投标人的行为受到损害时可根据本须知（17.7）的规定没收投标人的投标保证金。</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保证金采用转账、电汇方式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凡没有根据本须知（17.1和17.3）的规定随附有效的投标保证金的投标，将被视为非响应性投标予以拒绝。</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投标保证金有效期应当与投标有效期一致。采购人如果按照采购文件另外规定延长了投标文件有效期，则投标担保的有效期也相应延长。</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中标人在签订采购合同并按采购文件第（33）条规定提交履约担保金后，携带退保证金声明函、投标保证金汇款单复印件（加盖公章）和合同正本到采购人处办理投标保证金（无息）退回手续。</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下列任何情况发生时，投标保证金将不予退还：</w:t>
      </w:r>
    </w:p>
    <w:p>
      <w:pPr>
        <w:widowControl w:val="0"/>
        <w:shd w:val="clear"/>
        <w:adjustRightInd/>
        <w:snapToGrid/>
        <w:ind w:left="540" w:leftChars="257"/>
        <w:jc w:val="both"/>
        <w:rPr>
          <w:rFonts w:ascii="宋体" w:hAnsi="宋体" w:cs="宋体"/>
          <w:color w:val="auto"/>
          <w:szCs w:val="21"/>
          <w:highlight w:val="none"/>
        </w:rPr>
      </w:pPr>
      <w:r>
        <w:rPr>
          <w:rFonts w:hint="eastAsia" w:ascii="宋体" w:hAnsi="宋体" w:cs="宋体"/>
          <w:color w:val="auto"/>
          <w:szCs w:val="21"/>
          <w:highlight w:val="none"/>
        </w:rPr>
        <w:t>（1）投标人在采购文件中规定的投标有效期内撤回其投标；</w:t>
      </w:r>
    </w:p>
    <w:p>
      <w:pPr>
        <w:widowControl w:val="0"/>
        <w:shd w:val="clear"/>
        <w:adjustRightInd/>
        <w:snapToGrid/>
        <w:ind w:left="540" w:leftChars="257"/>
        <w:jc w:val="both"/>
        <w:rPr>
          <w:rFonts w:ascii="宋体" w:hAnsi="宋体" w:cs="宋体"/>
          <w:color w:val="auto"/>
          <w:szCs w:val="21"/>
          <w:highlight w:val="none"/>
        </w:rPr>
      </w:pPr>
      <w:r>
        <w:rPr>
          <w:rFonts w:hint="eastAsia" w:ascii="宋体" w:hAnsi="宋体" w:cs="宋体"/>
          <w:color w:val="auto"/>
          <w:szCs w:val="21"/>
          <w:highlight w:val="none"/>
        </w:rPr>
        <w:t>（2）中标人无正当理由不与采购人订立合同，在签订合同时向采购人提出附加条件，或者不按照采购文件要求提交履约保证金的；</w:t>
      </w:r>
    </w:p>
    <w:p>
      <w:pPr>
        <w:widowControl w:val="0"/>
        <w:shd w:val="clear"/>
        <w:adjustRightInd/>
        <w:snapToGrid/>
        <w:ind w:left="540" w:leftChars="257"/>
        <w:jc w:val="both"/>
        <w:rPr>
          <w:rFonts w:ascii="宋体" w:hAnsi="宋体" w:cs="宋体"/>
          <w:color w:val="auto"/>
          <w:szCs w:val="21"/>
          <w:highlight w:val="none"/>
        </w:rPr>
      </w:pPr>
      <w:r>
        <w:rPr>
          <w:rFonts w:hint="eastAsia" w:ascii="宋体" w:hAnsi="宋体" w:cs="宋体"/>
          <w:color w:val="auto"/>
          <w:szCs w:val="21"/>
          <w:highlight w:val="none"/>
        </w:rPr>
        <w:t>（3）中标人将本项目转让给他人，或者在投标文件中未说明，且未经采购人同意，将中标项目分包给他人的；</w:t>
      </w:r>
    </w:p>
    <w:p>
      <w:pPr>
        <w:widowControl w:val="0"/>
        <w:shd w:val="clear"/>
        <w:adjustRightInd/>
        <w:snapToGrid/>
        <w:ind w:left="540" w:leftChars="257"/>
        <w:jc w:val="both"/>
        <w:rPr>
          <w:rFonts w:ascii="宋体" w:hAnsi="宋体" w:cs="宋体"/>
          <w:color w:val="auto"/>
          <w:szCs w:val="21"/>
          <w:highlight w:val="none"/>
        </w:rPr>
      </w:pPr>
      <w:r>
        <w:rPr>
          <w:rFonts w:hint="eastAsia" w:ascii="宋体" w:hAnsi="宋体" w:cs="宋体"/>
          <w:color w:val="auto"/>
          <w:szCs w:val="21"/>
          <w:highlight w:val="none"/>
        </w:rPr>
        <w:t>（4）投标人提供虚假投标文件或虚假补充文件的。</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在中标通知书发出后，未中标投标人的投标保证金，由采购人自行返还至投标人的原转出账户。</w:t>
      </w:r>
    </w:p>
    <w:p>
      <w:pPr>
        <w:shd w:val="clear"/>
        <w:rPr>
          <w:rFonts w:ascii="宋体" w:hAnsi="宋体" w:cs="宋体"/>
          <w:color w:val="auto"/>
          <w:highlight w:val="none"/>
        </w:rPr>
      </w:pPr>
    </w:p>
    <w:p>
      <w:pPr>
        <w:pStyle w:val="5"/>
        <w:numPr>
          <w:ilvl w:val="0"/>
          <w:numId w:val="1"/>
        </w:numPr>
        <w:shd w:val="clear"/>
        <w:spacing w:before="0" w:after="0" w:line="360" w:lineRule="auto"/>
        <w:jc w:val="center"/>
        <w:rPr>
          <w:rFonts w:ascii="宋体" w:hAnsi="宋体" w:cs="宋体"/>
          <w:color w:val="auto"/>
          <w:highlight w:val="none"/>
        </w:rPr>
      </w:pPr>
      <w:bookmarkStart w:id="81" w:name="_Toc18672"/>
      <w:bookmarkStart w:id="82" w:name="_Toc30352"/>
      <w:r>
        <w:rPr>
          <w:rFonts w:hint="eastAsia" w:ascii="宋体" w:hAnsi="宋体" w:cs="宋体"/>
          <w:color w:val="auto"/>
          <w:highlight w:val="none"/>
        </w:rPr>
        <w:t>投标文件的递交</w:t>
      </w:r>
      <w:bookmarkEnd w:id="81"/>
      <w:bookmarkEnd w:id="82"/>
    </w:p>
    <w:p>
      <w:pPr>
        <w:pStyle w:val="6"/>
        <w:widowControl w:val="0"/>
        <w:numPr>
          <w:ilvl w:val="0"/>
          <w:numId w:val="2"/>
        </w:numPr>
        <w:shd w:val="clear"/>
        <w:overflowPunct w:val="0"/>
        <w:rPr>
          <w:rFonts w:ascii="宋体" w:hAnsi="宋体" w:cs="宋体"/>
          <w:color w:val="auto"/>
          <w:sz w:val="21"/>
          <w:szCs w:val="21"/>
          <w:highlight w:val="none"/>
        </w:rPr>
      </w:pPr>
      <w:bookmarkStart w:id="83" w:name="_Toc382049111"/>
      <w:bookmarkStart w:id="84" w:name="_Toc9759"/>
      <w:bookmarkStart w:id="85" w:name="_Toc24150"/>
      <w:bookmarkStart w:id="86" w:name="_Toc24997"/>
      <w:bookmarkStart w:id="87" w:name="_Toc303084264"/>
      <w:r>
        <w:rPr>
          <w:rFonts w:hint="eastAsia" w:ascii="宋体" w:hAnsi="宋体" w:cs="宋体"/>
          <w:color w:val="auto"/>
          <w:sz w:val="21"/>
          <w:szCs w:val="21"/>
          <w:highlight w:val="none"/>
        </w:rPr>
        <w:t>投标文件的装订，签署，密封和标记</w:t>
      </w:r>
      <w:bookmarkEnd w:id="83"/>
      <w:bookmarkEnd w:id="84"/>
      <w:bookmarkEnd w:id="85"/>
      <w:bookmarkEnd w:id="86"/>
      <w:bookmarkEnd w:id="87"/>
    </w:p>
    <w:p>
      <w:pPr>
        <w:pStyle w:val="41"/>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投标人应按《投标资料表》的份数准备价格文件、商务文件、技术文件、唱标信封和电子文件（</w:t>
      </w:r>
      <w:r>
        <w:rPr>
          <w:rFonts w:hint="eastAsia" w:ascii="宋体" w:hAnsi="宋体" w:cs="宋体"/>
          <w:b/>
          <w:color w:val="auto"/>
          <w:szCs w:val="21"/>
          <w:highlight w:val="none"/>
        </w:rPr>
        <w:t>价格文件、商务文件、技术文件分别单独装订成册</w:t>
      </w:r>
      <w:r>
        <w:rPr>
          <w:rFonts w:hint="eastAsia" w:ascii="宋体" w:hAnsi="宋体" w:cs="宋体"/>
          <w:color w:val="auto"/>
          <w:szCs w:val="21"/>
          <w:highlight w:val="none"/>
        </w:rPr>
        <w:t>），每一份投标文件均需编上页次，装订成册（不允许使用活页夹，否则由此产生的风险由投标人自行承担）。所有投标文件必须封入密封完好的信封或包装，封口加盖公章。</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联合体投标文件的【正本】及【副本】的封面及骑缝均须加盖所有联合体组成成员的公章。（文件每页盖章等同于盖骑缝章）</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电子文件内容包括：由投标人自行制作的与正本文件一致的所有文件。电子文件由光盘或U盘储存，并注明投标人名称及项目名称、采购项目编号，随投标文件一同密封提交。</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除投标人对错误处修改外，全套投标文件应无涂改或行间插字和增删。如有修改，修改处须由法定代表人或其正式授权代表在旁边签字及盖章。</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投标人应将投标文件进行非透明的封装，以防止投标文件内容的泄露。采购代理机构将拒绝接收采用透明包装进行密封的投标文件。</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密封破损导致投标文件内容直接或间接泄露的投标文件，采购代理机构将拒绝接收。</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pPr>
        <w:widowControl w:val="0"/>
        <w:numPr>
          <w:ilvl w:val="1"/>
          <w:numId w:val="2"/>
        </w:numPr>
        <w:shd w:val="clear"/>
        <w:overflowPunct w:val="0"/>
        <w:rPr>
          <w:rFonts w:ascii="宋体" w:hAnsi="宋体" w:cs="宋体"/>
          <w:b/>
          <w:bCs/>
          <w:color w:val="auto"/>
          <w:szCs w:val="21"/>
          <w:highlight w:val="none"/>
        </w:rPr>
      </w:pPr>
      <w:r>
        <w:rPr>
          <w:rFonts w:hint="eastAsia" w:ascii="宋体" w:hAnsi="宋体" w:cs="宋体"/>
          <w:b/>
          <w:bCs/>
          <w:color w:val="auto"/>
          <w:szCs w:val="21"/>
          <w:highlight w:val="none"/>
        </w:rPr>
        <w:t>未单独提交唱标信封的投标人投标文件不进行唱标，投标文件作无效处理。</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 xml:space="preserve">所有的信封均应注明： </w:t>
      </w:r>
    </w:p>
    <w:p>
      <w:pPr>
        <w:widowControl w:val="0"/>
        <w:numPr>
          <w:ilvl w:val="0"/>
          <w:numId w:val="5"/>
        </w:numPr>
        <w:shd w:val="clear"/>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 xml:space="preserve">收件人： </w:t>
      </w:r>
    </w:p>
    <w:p>
      <w:pPr>
        <w:widowControl w:val="0"/>
        <w:numPr>
          <w:ilvl w:val="0"/>
          <w:numId w:val="5"/>
        </w:numPr>
        <w:shd w:val="clear"/>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投标单位名称：</w:t>
      </w:r>
    </w:p>
    <w:p>
      <w:pPr>
        <w:widowControl w:val="0"/>
        <w:numPr>
          <w:ilvl w:val="0"/>
          <w:numId w:val="5"/>
        </w:numPr>
        <w:shd w:val="clear"/>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项目名称：</w:t>
      </w:r>
    </w:p>
    <w:p>
      <w:pPr>
        <w:widowControl w:val="0"/>
        <w:numPr>
          <w:ilvl w:val="0"/>
          <w:numId w:val="5"/>
        </w:numPr>
        <w:shd w:val="clear"/>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项目采购项目编号：</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密封信封上的项目编号错误或项目名称出现严重歧义的（包括采购内容不符），采购代理机构将拒绝接收。</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采购代理机构对所有投标文件的误投或提前启封概不负责。</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投标人同时参加几个包投标时必须按采购文件要求按包号分别制作投标文件，分别密封递交。</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传真、电传的投标文件将被拒绝。</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递交的投标文件中所提供的通讯方式应保持联络畅通，因联系不上而导致的所有后果由投标人自行承担。</w:t>
      </w:r>
    </w:p>
    <w:p>
      <w:pPr>
        <w:shd w:val="clear"/>
        <w:rPr>
          <w:rFonts w:ascii="宋体" w:hAnsi="宋体" w:cs="宋体"/>
          <w:color w:val="auto"/>
          <w:highlight w:val="none"/>
        </w:rPr>
      </w:pPr>
    </w:p>
    <w:p>
      <w:pPr>
        <w:pStyle w:val="6"/>
        <w:widowControl w:val="0"/>
        <w:numPr>
          <w:ilvl w:val="0"/>
          <w:numId w:val="2"/>
        </w:numPr>
        <w:shd w:val="clear"/>
        <w:overflowPunct w:val="0"/>
        <w:rPr>
          <w:rFonts w:ascii="宋体" w:hAnsi="宋体" w:cs="宋体"/>
          <w:color w:val="auto"/>
          <w:sz w:val="21"/>
          <w:szCs w:val="21"/>
          <w:highlight w:val="none"/>
        </w:rPr>
      </w:pPr>
      <w:bookmarkStart w:id="88" w:name="_Toc25895"/>
      <w:bookmarkStart w:id="89" w:name="_Toc27686"/>
      <w:r>
        <w:rPr>
          <w:rFonts w:hint="eastAsia" w:ascii="宋体" w:hAnsi="宋体" w:cs="宋体"/>
          <w:color w:val="auto"/>
          <w:sz w:val="21"/>
          <w:szCs w:val="21"/>
          <w:highlight w:val="none"/>
        </w:rPr>
        <w:t>迟交的投标文件</w:t>
      </w:r>
      <w:bookmarkEnd w:id="88"/>
      <w:bookmarkEnd w:id="89"/>
    </w:p>
    <w:p>
      <w:pPr>
        <w:pStyle w:val="41"/>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投标人在投标截止时间之后提交的投标文件，采购代理机构将拒绝接收。</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有违反其他法律规定情形的，采购代理机构将拒绝接收。</w:t>
      </w:r>
    </w:p>
    <w:p>
      <w:pPr>
        <w:shd w:val="clear"/>
        <w:rPr>
          <w:rFonts w:ascii="宋体" w:hAnsi="宋体" w:cs="宋体"/>
          <w:color w:val="auto"/>
          <w:highlight w:val="none"/>
        </w:rPr>
      </w:pPr>
    </w:p>
    <w:p>
      <w:pPr>
        <w:pStyle w:val="6"/>
        <w:widowControl w:val="0"/>
        <w:numPr>
          <w:ilvl w:val="0"/>
          <w:numId w:val="2"/>
        </w:numPr>
        <w:shd w:val="clear"/>
        <w:overflowPunct w:val="0"/>
        <w:rPr>
          <w:rFonts w:ascii="宋体" w:hAnsi="宋体" w:cs="宋体"/>
          <w:color w:val="auto"/>
          <w:sz w:val="21"/>
          <w:szCs w:val="21"/>
          <w:highlight w:val="none"/>
        </w:rPr>
      </w:pPr>
      <w:bookmarkStart w:id="90" w:name="_Toc8776"/>
      <w:bookmarkStart w:id="91" w:name="_Toc9143"/>
      <w:r>
        <w:rPr>
          <w:rFonts w:hint="eastAsia" w:ascii="宋体" w:hAnsi="宋体" w:cs="宋体"/>
          <w:color w:val="auto"/>
          <w:sz w:val="21"/>
          <w:szCs w:val="21"/>
          <w:highlight w:val="none"/>
        </w:rPr>
        <w:t>投标样品（如需提交）</w:t>
      </w:r>
      <w:bookmarkEnd w:id="90"/>
      <w:bookmarkEnd w:id="91"/>
    </w:p>
    <w:p>
      <w:pPr>
        <w:pStyle w:val="41"/>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如有必要，采购代理机构可以要求投标人提供本服务项目涉及的部分设备或产品样品，投标人在投标时应提交《样品清单》。</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为方便评标，投标人在提供样品时，应在所提供的样品表面显著位置标注投标人的名称、包号、样品名称、采购文件规定的服务或货物编号。</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pPr>
        <w:shd w:val="clear"/>
        <w:rPr>
          <w:rFonts w:ascii="宋体" w:hAnsi="宋体" w:cs="宋体"/>
          <w:color w:val="auto"/>
          <w:highlight w:val="none"/>
        </w:rPr>
      </w:pPr>
    </w:p>
    <w:p>
      <w:pPr>
        <w:pStyle w:val="6"/>
        <w:widowControl w:val="0"/>
        <w:numPr>
          <w:ilvl w:val="0"/>
          <w:numId w:val="2"/>
        </w:numPr>
        <w:shd w:val="clear"/>
        <w:overflowPunct w:val="0"/>
        <w:rPr>
          <w:rFonts w:ascii="宋体" w:hAnsi="宋体" w:cs="宋体"/>
          <w:color w:val="auto"/>
          <w:sz w:val="21"/>
          <w:szCs w:val="21"/>
          <w:highlight w:val="none"/>
        </w:rPr>
      </w:pPr>
      <w:bookmarkStart w:id="92" w:name="_Toc382049112"/>
      <w:bookmarkStart w:id="93" w:name="_Toc17522"/>
      <w:bookmarkStart w:id="94" w:name="_Toc303084265"/>
      <w:bookmarkStart w:id="95" w:name="_Toc1712"/>
      <w:bookmarkStart w:id="96" w:name="_Toc9777"/>
      <w:r>
        <w:rPr>
          <w:rFonts w:hint="eastAsia" w:ascii="宋体" w:hAnsi="宋体" w:cs="宋体"/>
          <w:color w:val="auto"/>
          <w:sz w:val="21"/>
          <w:szCs w:val="21"/>
          <w:highlight w:val="none"/>
        </w:rPr>
        <w:t>投标截止期</w:t>
      </w:r>
      <w:bookmarkEnd w:id="92"/>
      <w:bookmarkEnd w:id="93"/>
      <w:bookmarkEnd w:id="94"/>
      <w:bookmarkEnd w:id="95"/>
      <w:bookmarkEnd w:id="96"/>
    </w:p>
    <w:p>
      <w:pPr>
        <w:pStyle w:val="41"/>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投标人应在采购文件规定的截止日期和时间内，将投标文件送达到指定地点。</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采购代理机构可按本须知规定以澄清或修改通知的方式，酌情延长递交投标文件的截止时间。在此情况下，投标人的所有权利和义务以及投标人受制约的截止时间，均以延长后新的投标截止时间为准。</w:t>
      </w:r>
    </w:p>
    <w:p>
      <w:pPr>
        <w:shd w:val="clear"/>
        <w:rPr>
          <w:rFonts w:ascii="宋体" w:hAnsi="宋体" w:cs="宋体"/>
          <w:color w:val="auto"/>
          <w:highlight w:val="none"/>
        </w:rPr>
      </w:pPr>
    </w:p>
    <w:p>
      <w:pPr>
        <w:pStyle w:val="6"/>
        <w:widowControl w:val="0"/>
        <w:numPr>
          <w:ilvl w:val="0"/>
          <w:numId w:val="2"/>
        </w:numPr>
        <w:shd w:val="clear"/>
        <w:overflowPunct w:val="0"/>
        <w:rPr>
          <w:rFonts w:ascii="宋体" w:hAnsi="宋体" w:cs="宋体"/>
          <w:color w:val="auto"/>
          <w:sz w:val="21"/>
          <w:szCs w:val="21"/>
          <w:highlight w:val="none"/>
        </w:rPr>
      </w:pPr>
      <w:bookmarkStart w:id="97" w:name="_Toc31417"/>
      <w:bookmarkStart w:id="98" w:name="_Toc14518"/>
      <w:r>
        <w:rPr>
          <w:rFonts w:hint="eastAsia" w:ascii="宋体" w:hAnsi="宋体" w:cs="宋体"/>
          <w:color w:val="auto"/>
          <w:sz w:val="21"/>
          <w:szCs w:val="21"/>
          <w:highlight w:val="none"/>
        </w:rPr>
        <w:t>投标文件的补充、修改与撤回</w:t>
      </w:r>
      <w:bookmarkEnd w:id="97"/>
      <w:bookmarkEnd w:id="98"/>
    </w:p>
    <w:p>
      <w:pPr>
        <w:pStyle w:val="41"/>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投标人对投标文件的补充、修改的内容应当按采购文件要求的签署、盖章、密封后，作为投标文件的组成部分。并按照采购文件规定密封和标记的要求提交，并在投标文件密封袋上标明“补充、修改”字样。</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投标文件一经递交不予退还。</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在提交投标文件截止时间至投标有效期满之前，投标人不得撤回其投标，否则其投标保证金将不予退还。</w:t>
      </w:r>
    </w:p>
    <w:p>
      <w:pPr>
        <w:pStyle w:val="2"/>
        <w:shd w:val="clear"/>
        <w:rPr>
          <w:color w:val="auto"/>
          <w:highlight w:val="none"/>
        </w:rPr>
      </w:pPr>
    </w:p>
    <w:p>
      <w:pPr>
        <w:pStyle w:val="5"/>
        <w:numPr>
          <w:ilvl w:val="0"/>
          <w:numId w:val="1"/>
        </w:numPr>
        <w:shd w:val="clear"/>
        <w:spacing w:before="0" w:after="0" w:line="360" w:lineRule="auto"/>
        <w:jc w:val="center"/>
        <w:rPr>
          <w:rFonts w:ascii="宋体" w:hAnsi="宋体" w:cs="宋体"/>
          <w:color w:val="auto"/>
          <w:highlight w:val="none"/>
        </w:rPr>
      </w:pPr>
      <w:bookmarkStart w:id="99" w:name="_Toc7410"/>
      <w:bookmarkStart w:id="100" w:name="_Toc4693"/>
      <w:r>
        <w:rPr>
          <w:rFonts w:hint="eastAsia" w:ascii="宋体" w:hAnsi="宋体" w:cs="宋体"/>
          <w:color w:val="auto"/>
          <w:highlight w:val="none"/>
        </w:rPr>
        <w:t>开标与评标</w:t>
      </w:r>
      <w:bookmarkEnd w:id="99"/>
      <w:bookmarkEnd w:id="100"/>
    </w:p>
    <w:p>
      <w:pPr>
        <w:pStyle w:val="6"/>
        <w:widowControl w:val="0"/>
        <w:numPr>
          <w:ilvl w:val="0"/>
          <w:numId w:val="2"/>
        </w:numPr>
        <w:shd w:val="clear"/>
        <w:overflowPunct w:val="0"/>
        <w:rPr>
          <w:rFonts w:ascii="宋体" w:hAnsi="宋体" w:cs="宋体"/>
          <w:color w:val="auto"/>
          <w:sz w:val="21"/>
          <w:szCs w:val="21"/>
          <w:highlight w:val="none"/>
        </w:rPr>
      </w:pPr>
      <w:bookmarkStart w:id="101" w:name="_Toc20009"/>
      <w:bookmarkStart w:id="102" w:name="_Toc31671"/>
      <w:r>
        <w:rPr>
          <w:rFonts w:hint="eastAsia" w:ascii="宋体" w:hAnsi="宋体" w:cs="宋体"/>
          <w:color w:val="auto"/>
          <w:sz w:val="21"/>
          <w:szCs w:val="21"/>
          <w:highlight w:val="none"/>
        </w:rPr>
        <w:t>开标</w:t>
      </w:r>
      <w:bookmarkEnd w:id="101"/>
      <w:bookmarkEnd w:id="102"/>
    </w:p>
    <w:p>
      <w:pPr>
        <w:pStyle w:val="41"/>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采购代理机构按本采购文件所规定的时间和地点公开开标，并邀请所有投标人代表参加。</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开标程序：</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开标会由采购代理机构主持，投标人的法定代表人或其授权代表携带有效身份证明准时参加开标会并签名报到。</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开标时，由投标人或者其推选的代表检查投标文件的密封情况；经确认无误后，由采购人或者采购代理机构工作人员当众拆封，宣布投标人名称、投标价格和采购文件规定的需要宣布的其他内容；</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投标人未参加开标的，视同认可开标结果。</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合格投标人不足3家的，不得开标；</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开标过程应当由采购人或者采购代理机构负责记录，由参加开标的各投标人代表和相关工作人员签字确认。</w:t>
      </w:r>
    </w:p>
    <w:p>
      <w:pPr>
        <w:widowControl w:val="0"/>
        <w:shd w:val="clear"/>
        <w:adjustRightInd/>
        <w:snapToGrid/>
        <w:ind w:left="567"/>
        <w:jc w:val="both"/>
        <w:rPr>
          <w:rFonts w:ascii="宋体" w:hAnsi="宋体" w:cs="宋体"/>
          <w:color w:val="auto"/>
          <w:highlight w:val="none"/>
        </w:rPr>
      </w:pPr>
    </w:p>
    <w:p>
      <w:pPr>
        <w:pStyle w:val="6"/>
        <w:widowControl w:val="0"/>
        <w:numPr>
          <w:ilvl w:val="0"/>
          <w:numId w:val="2"/>
        </w:numPr>
        <w:shd w:val="clear"/>
        <w:overflowPunct w:val="0"/>
        <w:rPr>
          <w:rFonts w:ascii="宋体" w:hAnsi="宋体" w:cs="宋体"/>
          <w:color w:val="auto"/>
          <w:sz w:val="21"/>
          <w:szCs w:val="21"/>
          <w:highlight w:val="none"/>
        </w:rPr>
      </w:pPr>
      <w:bookmarkStart w:id="103" w:name="_Toc15560"/>
      <w:bookmarkStart w:id="104" w:name="_Toc3528"/>
      <w:r>
        <w:rPr>
          <w:rFonts w:hint="eastAsia" w:ascii="宋体" w:hAnsi="宋体" w:cs="宋体"/>
          <w:color w:val="auto"/>
          <w:sz w:val="21"/>
          <w:szCs w:val="21"/>
          <w:highlight w:val="none"/>
        </w:rPr>
        <w:t>评标委员会及评标方法</w:t>
      </w:r>
      <w:bookmarkEnd w:id="103"/>
      <w:bookmarkEnd w:id="104"/>
    </w:p>
    <w:p>
      <w:pPr>
        <w:pStyle w:val="41"/>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依法组成评标委员会，评标委员会由采购人和有关技术、经济等方面的专家组成，成员人数为五人或五人以上单数，其中技术、经济等方面的专家不少于成员总数的三分之二，并负责评标工作。</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评审方法：本次采购的评审方法采用最低价中标法。</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定标原则：评标工作将严格按照采购文件的要求和条件，对投标文件进行评审，评审分为符合性检查、综合评审两部分。通过评审，根据符合采购需求、质量和服务且报价最低的原则按顺序排列推荐中标侯选人，经过采购人审查通过后最终确定中标人。</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评标委员会和采购人在评审过程中有权核对投标文件中相关材料的原件，投标人在接到通知后应在评标委员会规定的时间内提交原件核查。</w:t>
      </w:r>
    </w:p>
    <w:p>
      <w:pPr>
        <w:shd w:val="clear"/>
        <w:rPr>
          <w:rFonts w:ascii="宋体" w:hAnsi="宋体" w:cs="宋体"/>
          <w:color w:val="auto"/>
          <w:highlight w:val="none"/>
        </w:rPr>
      </w:pPr>
    </w:p>
    <w:p>
      <w:pPr>
        <w:pStyle w:val="6"/>
        <w:widowControl w:val="0"/>
        <w:numPr>
          <w:ilvl w:val="0"/>
          <w:numId w:val="2"/>
        </w:numPr>
        <w:shd w:val="clear"/>
        <w:overflowPunct w:val="0"/>
        <w:rPr>
          <w:rFonts w:ascii="宋体" w:hAnsi="宋体" w:cs="宋体"/>
          <w:color w:val="auto"/>
          <w:sz w:val="21"/>
          <w:szCs w:val="21"/>
          <w:highlight w:val="none"/>
        </w:rPr>
      </w:pPr>
      <w:bookmarkStart w:id="105" w:name="_Toc4198"/>
      <w:bookmarkStart w:id="106" w:name="_Toc22022"/>
      <w:r>
        <w:rPr>
          <w:rFonts w:hint="eastAsia" w:ascii="宋体" w:hAnsi="宋体" w:cs="宋体"/>
          <w:color w:val="auto"/>
          <w:sz w:val="21"/>
          <w:szCs w:val="21"/>
          <w:highlight w:val="none"/>
        </w:rPr>
        <w:t>评审原则及评标过程的保密</w:t>
      </w:r>
      <w:bookmarkEnd w:id="105"/>
      <w:bookmarkEnd w:id="106"/>
    </w:p>
    <w:p>
      <w:pPr>
        <w:pStyle w:val="41"/>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评审的基本原则：评标委员会将依据采购文件的规定，遵循“公开、公平、公正、择优、信用”的原则进行评审工作。</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从公开开标到签订合同，凡与审查、澄清、评审和投标有关的资料以及定标意见相关的事项，均不得向投标人及与评标无关的其他人透露。</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任何单位和个人不得非法干预、影响评标的过程和结果。</w:t>
      </w:r>
    </w:p>
    <w:p>
      <w:pPr>
        <w:shd w:val="clear"/>
        <w:rPr>
          <w:rFonts w:ascii="宋体" w:hAnsi="宋体" w:cs="宋体"/>
          <w:color w:val="auto"/>
          <w:highlight w:val="none"/>
        </w:rPr>
      </w:pPr>
    </w:p>
    <w:p>
      <w:pPr>
        <w:pStyle w:val="6"/>
        <w:widowControl w:val="0"/>
        <w:numPr>
          <w:ilvl w:val="0"/>
          <w:numId w:val="2"/>
        </w:numPr>
        <w:shd w:val="clear"/>
        <w:overflowPunct w:val="0"/>
        <w:rPr>
          <w:rFonts w:ascii="宋体" w:hAnsi="宋体" w:cs="宋体"/>
          <w:color w:val="auto"/>
          <w:sz w:val="21"/>
          <w:szCs w:val="21"/>
          <w:highlight w:val="none"/>
        </w:rPr>
      </w:pPr>
      <w:bookmarkStart w:id="107" w:name="_Toc14506"/>
      <w:r>
        <w:rPr>
          <w:rFonts w:hint="eastAsia" w:ascii="宋体" w:hAnsi="宋体" w:cs="宋体"/>
          <w:color w:val="auto"/>
          <w:sz w:val="21"/>
          <w:szCs w:val="21"/>
          <w:highlight w:val="none"/>
        </w:rPr>
        <w:t>评标程序</w:t>
      </w:r>
      <w:bookmarkEnd w:id="107"/>
    </w:p>
    <w:p>
      <w:pPr>
        <w:widowControl w:val="0"/>
        <w:numPr>
          <w:ilvl w:val="1"/>
          <w:numId w:val="2"/>
        </w:numPr>
        <w:shd w:val="clear"/>
        <w:overflowPunct w:val="0"/>
        <w:rPr>
          <w:rFonts w:ascii="宋体" w:hAnsi="宋体" w:cs="宋体"/>
          <w:b/>
          <w:bCs/>
          <w:color w:val="auto"/>
          <w:szCs w:val="21"/>
          <w:highlight w:val="none"/>
        </w:rPr>
      </w:pPr>
      <w:r>
        <w:rPr>
          <w:rFonts w:hint="eastAsia" w:ascii="宋体" w:hAnsi="宋体" w:cs="宋体"/>
          <w:color w:val="auto"/>
          <w:szCs w:val="21"/>
          <w:highlight w:val="none"/>
        </w:rPr>
        <w:t>首先对每个投标人进行符合性检查，对通过符合性检查的投标人进行商务、技术及价格综合评议。</w:t>
      </w:r>
    </w:p>
    <w:tbl>
      <w:tblPr>
        <w:tblStyle w:val="3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8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86" w:type="dxa"/>
            <w:gridSpan w:val="2"/>
            <w:tcBorders>
              <w:top w:val="single" w:color="auto" w:sz="4" w:space="0"/>
              <w:left w:val="single" w:color="auto" w:sz="4" w:space="0"/>
              <w:right w:val="single" w:color="auto" w:sz="4" w:space="0"/>
            </w:tcBorders>
            <w:vAlign w:val="center"/>
          </w:tcPr>
          <w:p>
            <w:pPr>
              <w:shd w:val="clear"/>
              <w:jc w:val="center"/>
              <w:rPr>
                <w:rFonts w:ascii="宋体" w:hAnsi="宋体" w:cs="宋体"/>
                <w:b/>
                <w:color w:val="auto"/>
                <w:szCs w:val="21"/>
                <w:highlight w:val="none"/>
              </w:rPr>
            </w:pPr>
            <w:r>
              <w:rPr>
                <w:rFonts w:hint="eastAsia" w:ascii="宋体" w:hAnsi="宋体" w:cs="宋体"/>
                <w:b/>
                <w:color w:val="auto"/>
                <w:szCs w:val="21"/>
                <w:highlight w:val="none"/>
              </w:rPr>
              <w:t>检查项目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5" w:type="dxa"/>
            <w:vMerge w:val="restart"/>
            <w:textDirection w:val="tbRlV"/>
            <w:vAlign w:val="center"/>
          </w:tcPr>
          <w:p>
            <w:pPr>
              <w:shd w:val="clear"/>
              <w:jc w:val="center"/>
              <w:rPr>
                <w:rFonts w:ascii="宋体" w:hAnsi="宋体" w:cs="宋体"/>
                <w:b/>
                <w:color w:val="auto"/>
                <w:szCs w:val="21"/>
                <w:highlight w:val="none"/>
              </w:rPr>
            </w:pPr>
            <w:r>
              <w:rPr>
                <w:rFonts w:hint="eastAsia" w:ascii="宋体" w:hAnsi="宋体" w:cs="宋体"/>
                <w:b/>
                <w:color w:val="auto"/>
                <w:szCs w:val="21"/>
                <w:highlight w:val="none"/>
              </w:rPr>
              <w:t>商 务 符 合 性</w:t>
            </w:r>
          </w:p>
        </w:tc>
        <w:tc>
          <w:tcPr>
            <w:tcW w:w="8281" w:type="dxa"/>
            <w:vAlign w:val="center"/>
          </w:tcPr>
          <w:p>
            <w:pPr>
              <w:shd w:val="clear"/>
              <w:rPr>
                <w:rFonts w:ascii="宋体" w:hAnsi="宋体" w:cs="宋体"/>
                <w:color w:val="auto"/>
                <w:szCs w:val="21"/>
                <w:highlight w:val="none"/>
              </w:rPr>
            </w:pPr>
            <w:r>
              <w:rPr>
                <w:rFonts w:hint="eastAsia" w:ascii="宋体" w:hAnsi="宋体" w:cs="宋体"/>
                <w:color w:val="auto"/>
                <w:highlight w:val="none"/>
              </w:rPr>
              <w:t>在中华人民共和国境内注册具有独立承担民事责任的能力法人（提供营业执照、税务登记证书、企业组织机构代码证的复印件（如三证合一，仅需提供营业执照）加盖投标人的公章）</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5" w:type="dxa"/>
            <w:vMerge w:val="continue"/>
            <w:textDirection w:val="tbRlV"/>
            <w:vAlign w:val="center"/>
          </w:tcPr>
          <w:p>
            <w:pPr>
              <w:shd w:val="clear"/>
              <w:ind w:left="54" w:right="113"/>
              <w:jc w:val="center"/>
              <w:rPr>
                <w:rFonts w:ascii="宋体" w:hAnsi="宋体" w:cs="宋体"/>
                <w:b/>
                <w:color w:val="auto"/>
                <w:szCs w:val="21"/>
                <w:highlight w:val="none"/>
              </w:rPr>
            </w:pPr>
          </w:p>
        </w:tc>
        <w:tc>
          <w:tcPr>
            <w:tcW w:w="8281"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1）投标人应是在法律上和财务上独立，合法运作并独立于招标人的；投标人没有直接或间接地与招标人雇用或曾经雇用过的，为本次招标编制技术规范和其他文件或提供咨询服务的公司包括其附属机构有关联；否则作废标处理</w:t>
            </w:r>
            <w:r>
              <w:rPr>
                <w:rFonts w:hint="eastAsia" w:ascii="宋体" w:hAnsi="宋体" w:cs="宋体"/>
                <w:color w:val="auto"/>
                <w:highlight w:val="none"/>
              </w:rPr>
              <w:t>。</w:t>
            </w:r>
          </w:p>
          <w:p>
            <w:pPr>
              <w:shd w:val="clear"/>
              <w:rPr>
                <w:rFonts w:ascii="宋体" w:hAnsi="宋体" w:cs="宋体"/>
                <w:color w:val="auto"/>
                <w:highlight w:val="none"/>
              </w:rPr>
            </w:pPr>
            <w:r>
              <w:rPr>
                <w:rFonts w:hint="eastAsia" w:ascii="宋体" w:hAnsi="宋体" w:cs="宋体"/>
                <w:color w:val="auto"/>
                <w:szCs w:val="21"/>
                <w:highlight w:val="none"/>
              </w:rPr>
              <w:t>（2）投标人的单位负责人为同一人或者存在直接控股、管理关系的不同投标人，不得参加同一合同项下的采购活动</w:t>
            </w:r>
            <w:r>
              <w:rPr>
                <w:rFonts w:hint="eastAsia" w:ascii="宋体" w:hAnsi="宋体" w:cs="宋体"/>
                <w:color w:val="auto"/>
                <w:highlight w:val="none"/>
              </w:rPr>
              <w:t>。</w:t>
            </w:r>
          </w:p>
          <w:p>
            <w:pPr>
              <w:shd w:val="clear"/>
              <w:rPr>
                <w:rFonts w:ascii="宋体" w:hAnsi="宋体" w:cs="宋体"/>
                <w:color w:val="auto"/>
                <w:highlight w:val="none"/>
              </w:rPr>
            </w:pPr>
            <w:r>
              <w:rPr>
                <w:rFonts w:hint="eastAsia" w:ascii="宋体" w:hAnsi="宋体" w:cs="宋体"/>
                <w:color w:val="auto"/>
                <w:highlight w:val="none"/>
              </w:rPr>
              <w:t>（3）投标人参加采购活动前三年内，在经营活动中没有重大违法记录（投标人资格声明书）。</w:t>
            </w:r>
          </w:p>
          <w:p>
            <w:pPr>
              <w:shd w:val="clear"/>
              <w:rPr>
                <w:rFonts w:ascii="宋体" w:hAnsi="宋体" w:cs="宋体"/>
                <w:color w:val="auto"/>
                <w:szCs w:val="21"/>
                <w:highlight w:val="none"/>
              </w:rPr>
            </w:pPr>
            <w:r>
              <w:rPr>
                <w:rFonts w:hint="eastAsia" w:ascii="宋体" w:hAnsi="宋体" w:cs="宋体"/>
                <w:color w:val="auto"/>
                <w:highlight w:val="none"/>
              </w:rPr>
              <w:t>（4）投标人未被列入“信用中国”网站(www.creditchina.gov.cn)“记录失信被执行人或重大税收违法案件当事人名单或严重违法失信行为”记录名单（以采购代理机构投标截止日当天在“信用中国”网站（www.creditchina.gov.cn）查询结果为准，如相关失信记录已失效，供应商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5" w:type="dxa"/>
            <w:vMerge w:val="continue"/>
            <w:textDirection w:val="tbRlV"/>
            <w:vAlign w:val="center"/>
          </w:tcPr>
          <w:p>
            <w:pPr>
              <w:shd w:val="clear"/>
              <w:ind w:left="54" w:right="113"/>
              <w:jc w:val="center"/>
              <w:rPr>
                <w:rFonts w:ascii="宋体" w:hAnsi="宋体" w:cs="宋体"/>
                <w:b/>
                <w:color w:val="auto"/>
                <w:szCs w:val="21"/>
                <w:highlight w:val="none"/>
              </w:rPr>
            </w:pPr>
          </w:p>
        </w:tc>
        <w:tc>
          <w:tcPr>
            <w:tcW w:w="8281"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本次招标不接受联合体形式投标，许可质量可控范围内的分包，不得出现二次分包的情形，分包的监测因子不得超过三个。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5" w:type="dxa"/>
            <w:vMerge w:val="continue"/>
            <w:textDirection w:val="tbRlV"/>
            <w:vAlign w:val="center"/>
          </w:tcPr>
          <w:p>
            <w:pPr>
              <w:shd w:val="clear"/>
              <w:ind w:left="54" w:right="113"/>
              <w:jc w:val="center"/>
              <w:rPr>
                <w:rFonts w:ascii="宋体" w:hAnsi="宋体" w:cs="宋体"/>
                <w:b/>
                <w:color w:val="auto"/>
                <w:szCs w:val="21"/>
                <w:highlight w:val="none"/>
              </w:rPr>
            </w:pPr>
          </w:p>
        </w:tc>
        <w:tc>
          <w:tcPr>
            <w:tcW w:w="8281" w:type="dxa"/>
            <w:tcBorders>
              <w:bottom w:val="single" w:color="auto" w:sz="4" w:space="0"/>
            </w:tcBorders>
            <w:vAlign w:val="center"/>
          </w:tcPr>
          <w:p>
            <w:pPr>
              <w:shd w:val="clear"/>
              <w:rPr>
                <w:rFonts w:ascii="宋体" w:hAnsi="宋体" w:cs="宋体"/>
                <w:color w:val="auto"/>
                <w:szCs w:val="21"/>
                <w:highlight w:val="none"/>
              </w:rPr>
            </w:pPr>
            <w:r>
              <w:rPr>
                <w:rFonts w:hint="eastAsia" w:ascii="宋体" w:hAnsi="宋体" w:cs="宋体"/>
                <w:color w:val="auto"/>
                <w:szCs w:val="21"/>
                <w:highlight w:val="none"/>
              </w:rPr>
              <w:t>投标人必须提交不少于规定金额的投标保证金，投标保证金形式符合采购文件要求（必须提供汇款至采购文件指定帐户的投标保证金有效证明文件复印件）；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5" w:type="dxa"/>
            <w:vMerge w:val="restart"/>
            <w:tcBorders>
              <w:right w:val="single" w:color="auto" w:sz="4" w:space="0"/>
            </w:tcBorders>
            <w:vAlign w:val="center"/>
          </w:tcPr>
          <w:p>
            <w:pPr>
              <w:shd w:val="clear"/>
              <w:ind w:left="54" w:right="113"/>
              <w:jc w:val="center"/>
              <w:rPr>
                <w:rFonts w:ascii="宋体" w:hAnsi="宋体" w:cs="宋体"/>
                <w:b/>
                <w:bCs/>
                <w:color w:val="auto"/>
                <w:szCs w:val="21"/>
                <w:highlight w:val="none"/>
              </w:rPr>
            </w:pPr>
            <w:r>
              <w:rPr>
                <w:rFonts w:hint="eastAsia" w:ascii="宋体" w:hAnsi="宋体" w:cs="宋体"/>
                <w:b/>
                <w:color w:val="auto"/>
                <w:szCs w:val="21"/>
                <w:highlight w:val="none"/>
              </w:rPr>
              <w:t>技术符合性</w:t>
            </w:r>
          </w:p>
        </w:tc>
        <w:tc>
          <w:tcPr>
            <w:tcW w:w="8281"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r>
              <w:rPr>
                <w:rFonts w:hint="eastAsia" w:ascii="宋体" w:hAnsi="宋体" w:cs="宋体"/>
                <w:color w:val="auto"/>
                <w:szCs w:val="21"/>
                <w:highlight w:val="none"/>
              </w:rPr>
              <w:t>满足采购文件质保期要求；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5" w:type="dxa"/>
            <w:vMerge w:val="continue"/>
            <w:textDirection w:val="tbRlV"/>
            <w:vAlign w:val="center"/>
          </w:tcPr>
          <w:p>
            <w:pPr>
              <w:shd w:val="clear"/>
              <w:ind w:left="54" w:right="113"/>
              <w:jc w:val="center"/>
              <w:rPr>
                <w:rFonts w:ascii="宋体" w:hAnsi="宋体" w:cs="宋体"/>
                <w:b/>
                <w:bCs/>
                <w:color w:val="auto"/>
                <w:szCs w:val="21"/>
                <w:highlight w:val="none"/>
              </w:rPr>
            </w:pPr>
          </w:p>
        </w:tc>
        <w:tc>
          <w:tcPr>
            <w:tcW w:w="8281" w:type="dxa"/>
            <w:tcBorders>
              <w:bottom w:val="single" w:color="auto" w:sz="4" w:space="0"/>
            </w:tcBorders>
            <w:vAlign w:val="center"/>
          </w:tcPr>
          <w:p>
            <w:pPr>
              <w:shd w:val="clear"/>
              <w:rPr>
                <w:rFonts w:ascii="宋体" w:hAnsi="宋体" w:cs="宋体"/>
                <w:color w:val="auto"/>
                <w:szCs w:val="21"/>
                <w:highlight w:val="none"/>
              </w:rPr>
            </w:pPr>
            <w:r>
              <w:rPr>
                <w:rFonts w:hint="eastAsia" w:ascii="宋体" w:hAnsi="宋体" w:cs="宋体"/>
                <w:color w:val="auto"/>
                <w:szCs w:val="21"/>
                <w:highlight w:val="none"/>
              </w:rPr>
              <w:t>满足采购文件的投标有效期的要求；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5" w:type="dxa"/>
            <w:vMerge w:val="continue"/>
            <w:vAlign w:val="center"/>
          </w:tcPr>
          <w:p>
            <w:pPr>
              <w:shd w:val="clear"/>
              <w:rPr>
                <w:rFonts w:ascii="宋体" w:hAnsi="宋体" w:cs="宋体"/>
                <w:color w:val="auto"/>
                <w:szCs w:val="21"/>
                <w:highlight w:val="none"/>
              </w:rPr>
            </w:pPr>
          </w:p>
        </w:tc>
        <w:tc>
          <w:tcPr>
            <w:tcW w:w="8281" w:type="dxa"/>
            <w:tcBorders>
              <w:bottom w:val="single" w:color="auto" w:sz="4" w:space="0"/>
            </w:tcBorders>
            <w:vAlign w:val="center"/>
          </w:tcPr>
          <w:p>
            <w:pPr>
              <w:shd w:val="clear"/>
              <w:rPr>
                <w:rFonts w:ascii="宋体" w:hAnsi="宋体" w:cs="宋体"/>
                <w:bCs/>
                <w:color w:val="auto"/>
                <w:szCs w:val="21"/>
                <w:highlight w:val="none"/>
              </w:rPr>
            </w:pPr>
            <w:r>
              <w:rPr>
                <w:rFonts w:hint="eastAsia" w:ascii="宋体" w:hAnsi="宋体" w:cs="宋体"/>
                <w:bCs/>
                <w:color w:val="auto"/>
                <w:szCs w:val="21"/>
                <w:highlight w:val="none"/>
              </w:rPr>
              <w:t>采购文件中带“★”号为重要和关键性的要求或参数，无对其不满足的；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5" w:type="dxa"/>
            <w:vMerge w:val="restart"/>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价格符合性</w:t>
            </w:r>
          </w:p>
        </w:tc>
        <w:tc>
          <w:tcPr>
            <w:tcW w:w="8281" w:type="dxa"/>
            <w:vAlign w:val="center"/>
          </w:tcPr>
          <w:p>
            <w:pPr>
              <w:pStyle w:val="16"/>
              <w:shd w:val="clear"/>
              <w:rPr>
                <w:rFonts w:ascii="宋体" w:hAnsi="宋体" w:cs="宋体"/>
                <w:color w:val="auto"/>
                <w:sz w:val="21"/>
                <w:szCs w:val="21"/>
                <w:highlight w:val="none"/>
              </w:rPr>
            </w:pPr>
            <w:r>
              <w:rPr>
                <w:rFonts w:hint="eastAsia" w:ascii="宋体" w:hAnsi="宋体" w:cs="宋体"/>
                <w:bCs/>
                <w:color w:val="auto"/>
                <w:sz w:val="21"/>
                <w:szCs w:val="21"/>
                <w:highlight w:val="none"/>
              </w:rPr>
              <w:t>投标报价未超过本项目最高限价。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5" w:type="dxa"/>
            <w:vMerge w:val="continue"/>
            <w:vAlign w:val="center"/>
          </w:tcPr>
          <w:p>
            <w:pPr>
              <w:shd w:val="clear"/>
              <w:jc w:val="center"/>
              <w:rPr>
                <w:rFonts w:ascii="宋体" w:hAnsi="宋体" w:cs="宋体"/>
                <w:b/>
                <w:bCs/>
                <w:color w:val="auto"/>
                <w:szCs w:val="21"/>
                <w:highlight w:val="none"/>
              </w:rPr>
            </w:pPr>
          </w:p>
        </w:tc>
        <w:tc>
          <w:tcPr>
            <w:tcW w:w="8281" w:type="dxa"/>
            <w:vAlign w:val="center"/>
          </w:tcPr>
          <w:p>
            <w:pPr>
              <w:pStyle w:val="16"/>
              <w:shd w:val="clear"/>
              <w:rPr>
                <w:rFonts w:ascii="宋体" w:hAnsi="宋体" w:cs="宋体"/>
                <w:bCs/>
                <w:color w:val="auto"/>
                <w:sz w:val="21"/>
                <w:szCs w:val="21"/>
                <w:highlight w:val="none"/>
              </w:rPr>
            </w:pPr>
            <w:r>
              <w:rPr>
                <w:rFonts w:hint="eastAsia" w:ascii="宋体" w:hAnsi="宋体" w:cs="宋体"/>
                <w:color w:val="auto"/>
                <w:sz w:val="21"/>
                <w:szCs w:val="21"/>
                <w:highlight w:val="none"/>
              </w:rPr>
              <w:t>报价格式正确，必须含有设备费报价表和分项报价表。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5" w:type="dxa"/>
            <w:vMerge w:val="continue"/>
            <w:vAlign w:val="center"/>
          </w:tcPr>
          <w:p>
            <w:pPr>
              <w:shd w:val="clear"/>
              <w:jc w:val="center"/>
              <w:rPr>
                <w:rFonts w:ascii="宋体" w:hAnsi="宋体" w:cs="宋体"/>
                <w:b/>
                <w:bCs/>
                <w:color w:val="auto"/>
                <w:szCs w:val="21"/>
                <w:highlight w:val="none"/>
              </w:rPr>
            </w:pPr>
          </w:p>
        </w:tc>
        <w:tc>
          <w:tcPr>
            <w:tcW w:w="8281" w:type="dxa"/>
            <w:vAlign w:val="center"/>
          </w:tcPr>
          <w:p>
            <w:pPr>
              <w:pStyle w:val="16"/>
              <w:shd w:val="clear"/>
              <w:rPr>
                <w:rFonts w:ascii="宋体" w:hAnsi="宋体" w:cs="宋体"/>
                <w:color w:val="auto"/>
                <w:sz w:val="21"/>
                <w:szCs w:val="21"/>
                <w:highlight w:val="none"/>
              </w:rPr>
            </w:pPr>
            <w:r>
              <w:rPr>
                <w:rFonts w:hint="eastAsia" w:ascii="宋体" w:hAnsi="宋体" w:cs="宋体"/>
                <w:color w:val="auto"/>
                <w:sz w:val="21"/>
                <w:szCs w:val="21"/>
                <w:highlight w:val="none"/>
              </w:rPr>
              <w:t>投标报价合理、经济、完整，无重大缺漏项。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5" w:type="dxa"/>
            <w:vMerge w:val="continue"/>
            <w:vAlign w:val="center"/>
          </w:tcPr>
          <w:p>
            <w:pPr>
              <w:shd w:val="clear"/>
              <w:jc w:val="center"/>
              <w:rPr>
                <w:rFonts w:ascii="宋体" w:hAnsi="宋体" w:cs="宋体"/>
                <w:b/>
                <w:bCs/>
                <w:color w:val="auto"/>
                <w:szCs w:val="21"/>
                <w:highlight w:val="none"/>
              </w:rPr>
            </w:pPr>
          </w:p>
        </w:tc>
        <w:tc>
          <w:tcPr>
            <w:tcW w:w="8281" w:type="dxa"/>
            <w:vAlign w:val="center"/>
          </w:tcPr>
          <w:p>
            <w:pPr>
              <w:pStyle w:val="16"/>
              <w:shd w:val="clear"/>
              <w:rPr>
                <w:rFonts w:ascii="宋体" w:hAnsi="宋体" w:cs="宋体"/>
                <w:color w:val="auto"/>
                <w:sz w:val="21"/>
                <w:szCs w:val="21"/>
                <w:highlight w:val="none"/>
              </w:rPr>
            </w:pPr>
            <w:r>
              <w:rPr>
                <w:rFonts w:hint="eastAsia" w:ascii="宋体" w:hAnsi="宋体" w:cs="宋体"/>
                <w:color w:val="auto"/>
                <w:sz w:val="21"/>
                <w:szCs w:val="21"/>
                <w:highlight w:val="none"/>
              </w:rPr>
              <w:t>投标报价未低于企业自身成本价。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5" w:type="dxa"/>
            <w:vMerge w:val="continue"/>
            <w:vAlign w:val="center"/>
          </w:tcPr>
          <w:p>
            <w:pPr>
              <w:shd w:val="clear"/>
              <w:jc w:val="center"/>
              <w:rPr>
                <w:rFonts w:ascii="宋体" w:hAnsi="宋体" w:cs="宋体"/>
                <w:b/>
                <w:bCs/>
                <w:color w:val="auto"/>
                <w:szCs w:val="21"/>
                <w:highlight w:val="none"/>
              </w:rPr>
            </w:pPr>
          </w:p>
        </w:tc>
        <w:tc>
          <w:tcPr>
            <w:tcW w:w="8281" w:type="dxa"/>
            <w:vAlign w:val="center"/>
          </w:tcPr>
          <w:p>
            <w:pPr>
              <w:pStyle w:val="16"/>
              <w:shd w:val="clear"/>
              <w:rPr>
                <w:rFonts w:ascii="宋体" w:hAnsi="宋体" w:cs="宋体"/>
                <w:color w:val="auto"/>
                <w:sz w:val="21"/>
                <w:szCs w:val="21"/>
                <w:highlight w:val="none"/>
              </w:rPr>
            </w:pPr>
            <w:r>
              <w:rPr>
                <w:rFonts w:hint="eastAsia" w:ascii="宋体" w:hAnsi="宋体" w:cs="宋体"/>
                <w:color w:val="auto"/>
                <w:sz w:val="21"/>
                <w:szCs w:val="21"/>
                <w:highlight w:val="none"/>
              </w:rPr>
              <w:t>投标报价和投标方案必须是准确唯一的。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86" w:type="dxa"/>
            <w:gridSpan w:val="2"/>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投标文件没有其他导致废标的因素</w:t>
            </w:r>
          </w:p>
        </w:tc>
      </w:tr>
    </w:tbl>
    <w:p>
      <w:pPr>
        <w:shd w:val="clear"/>
        <w:tabs>
          <w:tab w:val="left" w:pos="900"/>
        </w:tabs>
        <w:rPr>
          <w:rFonts w:ascii="宋体" w:hAnsi="宋体" w:cs="宋体"/>
          <w:color w:val="auto"/>
          <w:szCs w:val="21"/>
          <w:highlight w:val="none"/>
        </w:rPr>
      </w:pPr>
      <w:r>
        <w:rPr>
          <w:rFonts w:hint="eastAsia" w:ascii="宋体" w:hAnsi="宋体" w:cs="宋体"/>
          <w:color w:val="auto"/>
          <w:szCs w:val="21"/>
          <w:highlight w:val="none"/>
        </w:rPr>
        <w:t>26.1.1商务符合性检查</w:t>
      </w:r>
    </w:p>
    <w:p>
      <w:pPr>
        <w:shd w:val="clear"/>
        <w:ind w:firstLine="420" w:firstLineChars="200"/>
        <w:rPr>
          <w:rFonts w:ascii="宋体" w:hAnsi="宋体" w:cs="宋体"/>
          <w:color w:val="auto"/>
          <w:highlight w:val="none"/>
        </w:rPr>
      </w:pPr>
      <w:r>
        <w:rPr>
          <w:rFonts w:hint="eastAsia" w:ascii="宋体" w:hAnsi="宋体" w:cs="宋体"/>
          <w:color w:val="auto"/>
          <w:highlight w:val="none"/>
        </w:rPr>
        <w:t>商务符合性检查包括以下内容：</w:t>
      </w:r>
    </w:p>
    <w:p>
      <w:pPr>
        <w:shd w:val="clear"/>
        <w:ind w:left="437" w:leftChars="186" w:hanging="46" w:hangingChars="22"/>
        <w:rPr>
          <w:rFonts w:ascii="宋体" w:hAnsi="宋体" w:cs="宋体"/>
          <w:color w:val="auto"/>
          <w:highlight w:val="none"/>
        </w:rPr>
      </w:pPr>
      <w:r>
        <w:rPr>
          <w:rFonts w:hint="eastAsia" w:ascii="宋体" w:hAnsi="宋体" w:cs="宋体"/>
          <w:color w:val="auto"/>
          <w:highlight w:val="none"/>
        </w:rPr>
        <w:t>（1）在中华人民共和国境内注册具有独立承担民事责任的能力法人（提供营业执照、税务登记证书、企业组织机构代码证的复印件（如三证合一，仅需提供营业执照）加盖投标人的公章）。</w:t>
      </w:r>
    </w:p>
    <w:p>
      <w:pPr>
        <w:shd w:val="clear"/>
        <w:ind w:left="540" w:leftChars="187" w:hanging="147" w:hangingChars="70"/>
        <w:rPr>
          <w:rFonts w:ascii="宋体" w:hAnsi="宋体" w:cs="宋体"/>
          <w:color w:val="auto"/>
          <w:highlight w:val="none"/>
        </w:rPr>
      </w:pPr>
      <w:r>
        <w:rPr>
          <w:rFonts w:hint="eastAsia" w:ascii="宋体" w:hAnsi="宋体" w:cs="宋体"/>
          <w:color w:val="auto"/>
          <w:highlight w:val="none"/>
        </w:rPr>
        <w:t>（2）凡两家或以上投标人参加同一项目的投标，有如下情况之一的，一经发现将视同串标处理：A、为同一法定代表人的；B、为同一股东控股的；C、其中一家公司为其他公司最大股东的。</w:t>
      </w:r>
    </w:p>
    <w:p>
      <w:pPr>
        <w:shd w:val="clear"/>
        <w:ind w:left="540" w:leftChars="187" w:hanging="147" w:hangingChars="70"/>
        <w:rPr>
          <w:rFonts w:ascii="宋体" w:hAnsi="宋体" w:cs="宋体"/>
          <w:color w:val="auto"/>
          <w:kern w:val="2"/>
          <w:highlight w:val="none"/>
        </w:rPr>
      </w:pPr>
      <w:r>
        <w:rPr>
          <w:rFonts w:hint="eastAsia" w:ascii="宋体" w:hAnsi="宋体" w:cs="宋体"/>
          <w:color w:val="auto"/>
          <w:highlight w:val="none"/>
        </w:rPr>
        <w:t>（3）投标人必须提交不少于规定金额的投标保证金，投标保证金形式符合采购文件要求</w:t>
      </w:r>
      <w:r>
        <w:rPr>
          <w:rFonts w:hint="eastAsia" w:ascii="宋体" w:hAnsi="宋体" w:cs="宋体"/>
          <w:color w:val="auto"/>
          <w:szCs w:val="20"/>
          <w:highlight w:val="none"/>
        </w:rPr>
        <w:t>（</w:t>
      </w:r>
      <w:r>
        <w:rPr>
          <w:rFonts w:hint="eastAsia" w:ascii="宋体" w:hAnsi="宋体" w:cs="宋体"/>
          <w:color w:val="auto"/>
          <w:szCs w:val="21"/>
          <w:highlight w:val="none"/>
        </w:rPr>
        <w:t>必须提供汇款至采购文件指定帐户的投标保证金有效证明文件复印件）</w:t>
      </w:r>
      <w:r>
        <w:rPr>
          <w:rFonts w:hint="eastAsia" w:ascii="宋体" w:hAnsi="宋体" w:cs="宋体"/>
          <w:color w:val="auto"/>
          <w:highlight w:val="none"/>
        </w:rPr>
        <w:t>；</w:t>
      </w:r>
    </w:p>
    <w:p>
      <w:pPr>
        <w:shd w:val="clear"/>
        <w:tabs>
          <w:tab w:val="left" w:pos="900"/>
        </w:tabs>
        <w:rPr>
          <w:rFonts w:ascii="宋体" w:hAnsi="宋体" w:cs="宋体"/>
          <w:color w:val="auto"/>
          <w:highlight w:val="none"/>
        </w:rPr>
      </w:pPr>
      <w:r>
        <w:rPr>
          <w:rFonts w:hint="eastAsia" w:ascii="宋体" w:hAnsi="宋体" w:cs="宋体"/>
          <w:color w:val="auto"/>
          <w:szCs w:val="21"/>
          <w:highlight w:val="none"/>
        </w:rPr>
        <w:t>26.1.</w:t>
      </w:r>
      <w:r>
        <w:rPr>
          <w:rFonts w:hint="eastAsia" w:ascii="宋体" w:hAnsi="宋体" w:cs="宋体"/>
          <w:color w:val="auto"/>
          <w:highlight w:val="none"/>
        </w:rPr>
        <w:t>2技术符合性检查</w:t>
      </w:r>
    </w:p>
    <w:p>
      <w:pPr>
        <w:shd w:val="clear"/>
        <w:ind w:firstLine="420" w:firstLineChars="200"/>
        <w:rPr>
          <w:rFonts w:ascii="宋体" w:hAnsi="宋体" w:cs="宋体"/>
          <w:color w:val="auto"/>
          <w:highlight w:val="none"/>
        </w:rPr>
      </w:pPr>
      <w:r>
        <w:rPr>
          <w:rFonts w:hint="eastAsia" w:ascii="宋体" w:hAnsi="宋体" w:cs="宋体"/>
          <w:color w:val="auto"/>
          <w:highlight w:val="none"/>
        </w:rPr>
        <w:t>技术符合性检查包括以下内容：</w:t>
      </w:r>
    </w:p>
    <w:p>
      <w:pPr>
        <w:shd w:val="clear"/>
        <w:ind w:left="1161" w:leftChars="283" w:hanging="567" w:hangingChars="270"/>
        <w:rPr>
          <w:rFonts w:ascii="宋体" w:hAnsi="宋体" w:cs="宋体"/>
          <w:color w:val="auto"/>
          <w:highlight w:val="none"/>
        </w:rPr>
      </w:pPr>
      <w:r>
        <w:rPr>
          <w:rFonts w:hint="eastAsia" w:ascii="宋体" w:hAnsi="宋体" w:cs="宋体"/>
          <w:color w:val="auto"/>
          <w:highlight w:val="none"/>
        </w:rPr>
        <w:t>（1）满足采购文件的投标有效期要求。</w:t>
      </w:r>
    </w:p>
    <w:p>
      <w:pPr>
        <w:shd w:val="clear"/>
        <w:ind w:left="1161" w:leftChars="283" w:hanging="567" w:hangingChars="270"/>
        <w:rPr>
          <w:rFonts w:ascii="宋体" w:hAnsi="宋体" w:cs="宋体"/>
          <w:color w:val="auto"/>
          <w:highlight w:val="none"/>
        </w:rPr>
      </w:pPr>
      <w:r>
        <w:rPr>
          <w:rFonts w:hint="eastAsia" w:ascii="宋体" w:hAnsi="宋体" w:cs="宋体"/>
          <w:color w:val="auto"/>
          <w:highlight w:val="none"/>
        </w:rPr>
        <w:t>（2）满足采购文件质保期要求。</w:t>
      </w:r>
    </w:p>
    <w:p>
      <w:pPr>
        <w:shd w:val="clear"/>
        <w:ind w:left="1161" w:leftChars="283" w:hanging="567" w:hangingChars="270"/>
        <w:rPr>
          <w:rFonts w:ascii="宋体" w:hAnsi="宋体" w:cs="宋体"/>
          <w:bCs/>
          <w:color w:val="auto"/>
          <w:szCs w:val="21"/>
          <w:highlight w:val="none"/>
        </w:rPr>
      </w:pPr>
      <w:r>
        <w:rPr>
          <w:rFonts w:hint="eastAsia" w:ascii="宋体" w:hAnsi="宋体" w:cs="宋体"/>
          <w:color w:val="auto"/>
          <w:szCs w:val="28"/>
          <w:highlight w:val="none"/>
        </w:rPr>
        <w:t>（3）</w:t>
      </w:r>
      <w:r>
        <w:rPr>
          <w:rFonts w:hint="eastAsia" w:ascii="宋体" w:hAnsi="宋体" w:cs="宋体"/>
          <w:bCs/>
          <w:color w:val="auto"/>
          <w:szCs w:val="21"/>
          <w:highlight w:val="none"/>
        </w:rPr>
        <w:t>投标文件分商务技术文件、价格文件二册独立装订；在商务技术文件中，不能出现有关投标报价的内容，如在商务技术文件的附件格式中需要填写投标总价或货物报价的，必须空置不填，投标报价和货物分项报价只能出现在价格文件中，否则作废标处理。</w:t>
      </w:r>
    </w:p>
    <w:p>
      <w:pPr>
        <w:shd w:val="clear"/>
        <w:tabs>
          <w:tab w:val="left" w:pos="900"/>
        </w:tabs>
        <w:rPr>
          <w:rFonts w:ascii="宋体" w:hAnsi="宋体" w:cs="宋体"/>
          <w:color w:val="auto"/>
          <w:highlight w:val="none"/>
        </w:rPr>
      </w:pPr>
      <w:r>
        <w:rPr>
          <w:rFonts w:hint="eastAsia" w:ascii="宋体" w:hAnsi="宋体" w:cs="宋体"/>
          <w:color w:val="auto"/>
          <w:szCs w:val="21"/>
          <w:highlight w:val="none"/>
        </w:rPr>
        <w:t>26.1.3</w:t>
      </w:r>
      <w:r>
        <w:rPr>
          <w:rFonts w:hint="eastAsia" w:ascii="宋体" w:hAnsi="宋体" w:cs="宋体"/>
          <w:color w:val="auto"/>
          <w:highlight w:val="none"/>
        </w:rPr>
        <w:t>价格符合性检查</w:t>
      </w:r>
    </w:p>
    <w:p>
      <w:pPr>
        <w:shd w:val="clear"/>
        <w:ind w:firstLine="420" w:firstLineChars="200"/>
        <w:rPr>
          <w:rFonts w:ascii="宋体" w:hAnsi="宋体" w:cs="宋体"/>
          <w:color w:val="auto"/>
          <w:highlight w:val="none"/>
        </w:rPr>
      </w:pPr>
      <w:r>
        <w:rPr>
          <w:rFonts w:hint="eastAsia" w:ascii="宋体" w:hAnsi="宋体" w:cs="宋体"/>
          <w:color w:val="auto"/>
          <w:highlight w:val="none"/>
        </w:rPr>
        <w:t>价格符合性检查包括以下内容</w:t>
      </w:r>
      <w:r>
        <w:rPr>
          <w:rFonts w:hint="eastAsia" w:ascii="宋体" w:hAnsi="宋体" w:cs="宋体"/>
          <w:b/>
          <w:color w:val="auto"/>
          <w:highlight w:val="none"/>
        </w:rPr>
        <w:t>：</w:t>
      </w:r>
    </w:p>
    <w:p>
      <w:pPr>
        <w:shd w:val="clear"/>
        <w:ind w:left="1161" w:leftChars="283" w:hanging="567" w:hangingChars="270"/>
        <w:rPr>
          <w:rFonts w:ascii="宋体" w:hAnsi="宋体" w:cs="宋体"/>
          <w:bCs/>
          <w:color w:val="auto"/>
          <w:highlight w:val="none"/>
        </w:rPr>
      </w:pPr>
      <w:r>
        <w:rPr>
          <w:rFonts w:hint="eastAsia" w:ascii="宋体" w:hAnsi="宋体" w:cs="宋体"/>
          <w:bCs/>
          <w:color w:val="auto"/>
          <w:highlight w:val="none"/>
        </w:rPr>
        <w:t>（1）</w:t>
      </w:r>
      <w:r>
        <w:rPr>
          <w:rFonts w:hint="eastAsia" w:ascii="宋体" w:hAnsi="宋体" w:cs="宋体"/>
          <w:bCs/>
          <w:color w:val="auto"/>
          <w:szCs w:val="21"/>
          <w:highlight w:val="none"/>
        </w:rPr>
        <w:t>投标报价未超过本项目最高限价</w:t>
      </w:r>
      <w:r>
        <w:rPr>
          <w:rFonts w:hint="eastAsia" w:ascii="宋体" w:hAnsi="宋体" w:cs="宋体"/>
          <w:bCs/>
          <w:color w:val="auto"/>
          <w:highlight w:val="none"/>
        </w:rPr>
        <w:t>。</w:t>
      </w:r>
    </w:p>
    <w:p>
      <w:pPr>
        <w:shd w:val="clear"/>
        <w:ind w:left="1161" w:leftChars="283" w:hanging="567" w:hangingChars="270"/>
        <w:rPr>
          <w:rFonts w:ascii="宋体" w:hAnsi="宋体" w:cs="宋体"/>
          <w:color w:val="auto"/>
          <w:highlight w:val="none"/>
        </w:rPr>
      </w:pPr>
      <w:r>
        <w:rPr>
          <w:rFonts w:hint="eastAsia" w:ascii="宋体" w:hAnsi="宋体" w:cs="宋体"/>
          <w:color w:val="auto"/>
          <w:highlight w:val="none"/>
        </w:rPr>
        <w:t>（2）报价格式应正确，必须含有设备费报价表和</w:t>
      </w:r>
      <w:r>
        <w:rPr>
          <w:rFonts w:hint="eastAsia" w:ascii="宋体" w:hAnsi="宋体" w:cs="宋体"/>
          <w:color w:val="auto"/>
          <w:szCs w:val="21"/>
          <w:highlight w:val="none"/>
        </w:rPr>
        <w:t>分项报价表</w:t>
      </w:r>
      <w:r>
        <w:rPr>
          <w:rFonts w:hint="eastAsia" w:ascii="宋体" w:hAnsi="宋体" w:cs="宋体"/>
          <w:color w:val="auto"/>
          <w:highlight w:val="none"/>
        </w:rPr>
        <w:t>。</w:t>
      </w:r>
    </w:p>
    <w:p>
      <w:pPr>
        <w:shd w:val="clear"/>
        <w:ind w:left="1161" w:leftChars="283" w:hanging="567" w:hangingChars="270"/>
        <w:rPr>
          <w:rFonts w:ascii="宋体" w:hAnsi="宋体" w:cs="宋体"/>
          <w:color w:val="auto"/>
          <w:highlight w:val="none"/>
        </w:rPr>
      </w:pPr>
      <w:r>
        <w:rPr>
          <w:rFonts w:hint="eastAsia" w:ascii="宋体" w:hAnsi="宋体" w:cs="宋体"/>
          <w:color w:val="auto"/>
          <w:highlight w:val="none"/>
        </w:rPr>
        <w:t>（3）投标报价应合理、经济、完整，无重大缺漏项。</w:t>
      </w:r>
    </w:p>
    <w:p>
      <w:pPr>
        <w:shd w:val="clear"/>
        <w:ind w:left="1161" w:leftChars="283" w:hanging="567" w:hangingChars="270"/>
        <w:rPr>
          <w:rFonts w:ascii="宋体" w:hAnsi="宋体" w:cs="宋体"/>
          <w:color w:val="auto"/>
          <w:highlight w:val="none"/>
        </w:rPr>
      </w:pPr>
      <w:r>
        <w:rPr>
          <w:rFonts w:hint="eastAsia" w:ascii="宋体" w:hAnsi="宋体" w:cs="宋体"/>
          <w:color w:val="auto"/>
          <w:highlight w:val="none"/>
        </w:rPr>
        <w:t>（4）投标报价不能低于企业自身成本价。</w:t>
      </w:r>
    </w:p>
    <w:p>
      <w:pPr>
        <w:shd w:val="clear"/>
        <w:ind w:left="1161" w:leftChars="283" w:hanging="567" w:hangingChars="270"/>
        <w:rPr>
          <w:rFonts w:ascii="宋体" w:hAnsi="宋体" w:cs="宋体"/>
          <w:b/>
          <w:bCs/>
          <w:color w:val="auto"/>
          <w:szCs w:val="21"/>
          <w:highlight w:val="none"/>
        </w:rPr>
      </w:pPr>
      <w:r>
        <w:rPr>
          <w:rFonts w:hint="eastAsia" w:ascii="宋体" w:hAnsi="宋体" w:cs="宋体"/>
          <w:color w:val="auto"/>
          <w:highlight w:val="none"/>
        </w:rPr>
        <w:t>（5）投标报价和投标方案必须是准确唯一的。</w:t>
      </w:r>
    </w:p>
    <w:p>
      <w:pPr>
        <w:widowControl w:val="0"/>
        <w:numPr>
          <w:ilvl w:val="1"/>
          <w:numId w:val="2"/>
        </w:numPr>
        <w:shd w:val="clear"/>
        <w:overflowPunct w:val="0"/>
        <w:rPr>
          <w:rFonts w:ascii="宋体" w:hAnsi="宋体" w:cs="宋体"/>
          <w:b/>
          <w:bCs/>
          <w:color w:val="auto"/>
          <w:szCs w:val="21"/>
          <w:highlight w:val="none"/>
        </w:rPr>
      </w:pPr>
      <w:r>
        <w:rPr>
          <w:rFonts w:hint="eastAsia" w:ascii="宋体" w:hAnsi="宋体" w:cs="宋体"/>
          <w:b/>
          <w:bCs/>
          <w:color w:val="auto"/>
          <w:szCs w:val="21"/>
          <w:highlight w:val="none"/>
        </w:rPr>
        <w:t>投标文件报价出现前后不一致的，评标委员会按照下列规定修正：</w:t>
      </w:r>
    </w:p>
    <w:p>
      <w:pPr>
        <w:widowControl w:val="0"/>
        <w:numPr>
          <w:ilvl w:val="0"/>
          <w:numId w:val="6"/>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投标文件中开标一览表（报价表）内容与投标文件中相应内容不一致的，以开标一览表（报价表）为准；</w:t>
      </w:r>
    </w:p>
    <w:p>
      <w:pPr>
        <w:widowControl w:val="0"/>
        <w:numPr>
          <w:ilvl w:val="0"/>
          <w:numId w:val="6"/>
        </w:numPr>
        <w:shd w:val="clear"/>
        <w:overflowPunct w:val="0"/>
        <w:rPr>
          <w:rFonts w:ascii="宋体" w:hAnsi="宋体" w:cs="宋体"/>
          <w:color w:val="auto"/>
          <w:szCs w:val="21"/>
          <w:highlight w:val="none"/>
        </w:rPr>
      </w:pPr>
      <w:r>
        <w:rPr>
          <w:rFonts w:hint="eastAsia" w:ascii="宋体" w:hAnsi="宋体" w:cs="宋体"/>
          <w:color w:val="auto"/>
          <w:szCs w:val="21"/>
          <w:highlight w:val="none"/>
        </w:rPr>
        <w:t>大写金额和小写金额不一致的，以大写金额为准；</w:t>
      </w:r>
    </w:p>
    <w:p>
      <w:pPr>
        <w:widowControl w:val="0"/>
        <w:numPr>
          <w:ilvl w:val="0"/>
          <w:numId w:val="6"/>
        </w:numPr>
        <w:shd w:val="clear"/>
        <w:overflowPunct w:val="0"/>
        <w:rPr>
          <w:rFonts w:ascii="宋体" w:hAnsi="宋体" w:cs="宋体"/>
          <w:color w:val="auto"/>
          <w:szCs w:val="21"/>
          <w:highlight w:val="none"/>
        </w:rPr>
      </w:pPr>
      <w:r>
        <w:rPr>
          <w:rFonts w:hint="eastAsia" w:ascii="宋体" w:hAnsi="宋体" w:cs="宋体"/>
          <w:color w:val="auto"/>
          <w:szCs w:val="21"/>
          <w:highlight w:val="none"/>
        </w:rPr>
        <w:t>单价金额小数点或者百分比有明显错位的，以开标一览表的总价为准，并修改单价；</w:t>
      </w:r>
    </w:p>
    <w:p>
      <w:pPr>
        <w:widowControl w:val="0"/>
        <w:numPr>
          <w:ilvl w:val="0"/>
          <w:numId w:val="6"/>
        </w:numPr>
        <w:shd w:val="clear"/>
        <w:overflowPunct w:val="0"/>
        <w:rPr>
          <w:rFonts w:ascii="宋体" w:hAnsi="宋体" w:cs="宋体"/>
          <w:color w:val="auto"/>
          <w:szCs w:val="21"/>
          <w:highlight w:val="none"/>
        </w:rPr>
      </w:pPr>
      <w:r>
        <w:rPr>
          <w:rFonts w:hint="eastAsia" w:ascii="宋体" w:hAnsi="宋体" w:cs="宋体"/>
          <w:color w:val="auto"/>
          <w:szCs w:val="21"/>
          <w:highlight w:val="none"/>
        </w:rPr>
        <w:t>总价金额与按单价汇总金额不一致的，以单价金额计算结果为准。</w:t>
      </w:r>
    </w:p>
    <w:p>
      <w:pPr>
        <w:widowControl w:val="0"/>
        <w:numPr>
          <w:ilvl w:val="0"/>
          <w:numId w:val="6"/>
        </w:numPr>
        <w:shd w:val="clear"/>
        <w:overflowPunct w:val="0"/>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同时出现两种以上不一致的，按照前款规定的顺序修正。修正后的报价按照经投标人确认后产生约束力，投标人不确认的，其投标无效。</w:t>
      </w:r>
    </w:p>
    <w:p>
      <w:pPr>
        <w:widowControl w:val="0"/>
        <w:shd w:val="clear"/>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pPr>
        <w:widowControl w:val="0"/>
        <w:shd w:val="clear"/>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26.4  对于投标文件中不构成实质性偏差的不正规、不一致或不规则，评标委员会可以接受，但这种接受不能损害或影响任何投标人的相对排序。</w:t>
      </w:r>
    </w:p>
    <w:p>
      <w:pPr>
        <w:widowControl w:val="0"/>
        <w:shd w:val="clear"/>
        <w:overflowPunct w:val="0"/>
        <w:ind w:left="630" w:hanging="630" w:hangingChars="300"/>
        <w:rPr>
          <w:rFonts w:ascii="宋体" w:hAnsi="宋体" w:cs="宋体"/>
          <w:color w:val="auto"/>
          <w:highlight w:val="none"/>
        </w:rPr>
      </w:pPr>
      <w:r>
        <w:rPr>
          <w:rFonts w:hint="eastAsia" w:ascii="宋体" w:hAnsi="宋体" w:cs="宋体"/>
          <w:color w:val="auto"/>
          <w:szCs w:val="21"/>
          <w:highlight w:val="none"/>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pPr>
        <w:pStyle w:val="6"/>
        <w:widowControl w:val="0"/>
        <w:numPr>
          <w:ilvl w:val="0"/>
          <w:numId w:val="2"/>
        </w:numPr>
        <w:shd w:val="clear"/>
        <w:overflowPunct w:val="0"/>
        <w:rPr>
          <w:rFonts w:ascii="宋体" w:hAnsi="宋体" w:cs="宋体"/>
          <w:color w:val="auto"/>
          <w:sz w:val="21"/>
          <w:szCs w:val="21"/>
          <w:highlight w:val="none"/>
        </w:rPr>
      </w:pPr>
      <w:bookmarkStart w:id="108" w:name="_Toc11415"/>
      <w:bookmarkStart w:id="109" w:name="_Toc4799"/>
      <w:r>
        <w:rPr>
          <w:rFonts w:hint="eastAsia" w:ascii="宋体" w:hAnsi="宋体" w:cs="宋体"/>
          <w:color w:val="auto"/>
          <w:sz w:val="21"/>
          <w:szCs w:val="21"/>
          <w:highlight w:val="none"/>
        </w:rPr>
        <w:t>评审</w:t>
      </w:r>
      <w:bookmarkEnd w:id="108"/>
      <w:bookmarkEnd w:id="109"/>
      <w:r>
        <w:rPr>
          <w:rFonts w:hint="eastAsia" w:ascii="宋体" w:hAnsi="宋体" w:cs="宋体"/>
          <w:color w:val="auto"/>
          <w:sz w:val="21"/>
          <w:szCs w:val="21"/>
          <w:highlight w:val="none"/>
        </w:rPr>
        <w:t>方法</w:t>
      </w:r>
    </w:p>
    <w:p>
      <w:pPr>
        <w:pStyle w:val="41"/>
        <w:widowControl w:val="0"/>
        <w:numPr>
          <w:ilvl w:val="0"/>
          <w:numId w:val="3"/>
        </w:numPr>
        <w:shd w:val="clear"/>
        <w:tabs>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最低评标价法。</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根据符合采购需求、质量和服务且报价最低的原则按顺序排列推荐中标侯选人，报评标委员会确认后，推荐前三名为中标候选人。其中投标报价最低的投标人推荐为第一中标候选人。</w:t>
      </w:r>
    </w:p>
    <w:p>
      <w:pPr>
        <w:pStyle w:val="6"/>
        <w:widowControl w:val="0"/>
        <w:numPr>
          <w:ilvl w:val="0"/>
          <w:numId w:val="2"/>
        </w:numPr>
        <w:shd w:val="clear"/>
        <w:overflowPunct w:val="0"/>
        <w:rPr>
          <w:rFonts w:ascii="宋体" w:hAnsi="宋体" w:cs="宋体"/>
          <w:color w:val="auto"/>
          <w:sz w:val="21"/>
          <w:szCs w:val="21"/>
          <w:highlight w:val="none"/>
        </w:rPr>
      </w:pPr>
      <w:bookmarkStart w:id="110" w:name="_Toc316375620"/>
      <w:bookmarkStart w:id="111" w:name="_Toc382049120"/>
      <w:bookmarkStart w:id="112" w:name="_Toc20328"/>
      <w:bookmarkStart w:id="113" w:name="_Toc21663"/>
      <w:bookmarkStart w:id="114" w:name="_Toc18550"/>
      <w:r>
        <w:rPr>
          <w:rFonts w:hint="eastAsia" w:ascii="宋体" w:hAnsi="宋体" w:cs="宋体"/>
          <w:color w:val="auto"/>
          <w:sz w:val="21"/>
          <w:szCs w:val="21"/>
          <w:highlight w:val="none"/>
        </w:rPr>
        <w:t>纪律和保密</w:t>
      </w:r>
      <w:bookmarkEnd w:id="110"/>
      <w:r>
        <w:rPr>
          <w:rFonts w:hint="eastAsia" w:ascii="宋体" w:hAnsi="宋体" w:cs="宋体"/>
          <w:color w:val="auto"/>
          <w:sz w:val="21"/>
          <w:szCs w:val="21"/>
          <w:highlight w:val="none"/>
        </w:rPr>
        <w:t>事项</w:t>
      </w:r>
      <w:bookmarkEnd w:id="111"/>
      <w:bookmarkEnd w:id="112"/>
      <w:bookmarkEnd w:id="113"/>
      <w:bookmarkEnd w:id="114"/>
    </w:p>
    <w:p>
      <w:pPr>
        <w:pStyle w:val="41"/>
        <w:widowControl w:val="0"/>
        <w:numPr>
          <w:ilvl w:val="0"/>
          <w:numId w:val="3"/>
        </w:numPr>
        <w:shd w:val="clear"/>
        <w:tabs>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投标人不得串通作弊，以不正当的手段妨碍、排挤其他投标人，扰乱采购市场，破坏公平竞争原则。否则将按相关法律规定严肃处理。</w:t>
      </w:r>
    </w:p>
    <w:p>
      <w:pPr>
        <w:widowControl w:val="0"/>
        <w:numPr>
          <w:ilvl w:val="1"/>
          <w:numId w:val="2"/>
        </w:numPr>
        <w:shd w:val="clear"/>
        <w:overflowPunct w:val="0"/>
        <w:rPr>
          <w:rFonts w:ascii="宋体" w:hAnsi="宋体" w:cs="宋体"/>
          <w:color w:val="auto"/>
          <w:highlight w:val="none"/>
        </w:rPr>
      </w:pPr>
      <w:r>
        <w:rPr>
          <w:rFonts w:hint="eastAsia" w:ascii="宋体" w:hAnsi="宋体" w:cs="宋体"/>
          <w:color w:val="auto"/>
          <w:szCs w:val="21"/>
          <w:highlight w:val="none"/>
        </w:rPr>
        <w:t>获得本采购文件的投标人，应对文件进行保密，不得用作本次投标以外的任何用途。开标后，投标人应归还采购文件中要求保密的文件和资料。</w:t>
      </w:r>
    </w:p>
    <w:p>
      <w:pPr>
        <w:widowControl w:val="0"/>
        <w:shd w:val="clear"/>
        <w:overflowPunct w:val="0"/>
        <w:rPr>
          <w:rFonts w:ascii="宋体" w:hAnsi="宋体" w:cs="宋体"/>
          <w:color w:val="auto"/>
          <w:highlight w:val="none"/>
        </w:rPr>
      </w:pPr>
    </w:p>
    <w:p>
      <w:pPr>
        <w:pStyle w:val="5"/>
        <w:numPr>
          <w:ilvl w:val="0"/>
          <w:numId w:val="1"/>
        </w:numPr>
        <w:shd w:val="clear"/>
        <w:spacing w:before="0" w:after="0" w:line="360" w:lineRule="auto"/>
        <w:jc w:val="center"/>
        <w:rPr>
          <w:rFonts w:ascii="宋体" w:hAnsi="宋体" w:cs="宋体"/>
          <w:color w:val="auto"/>
          <w:highlight w:val="none"/>
        </w:rPr>
      </w:pPr>
      <w:bookmarkStart w:id="115" w:name="_Toc1109"/>
      <w:bookmarkStart w:id="116" w:name="_Toc27738"/>
      <w:r>
        <w:rPr>
          <w:rFonts w:hint="eastAsia" w:ascii="宋体" w:hAnsi="宋体" w:cs="宋体"/>
          <w:color w:val="auto"/>
          <w:highlight w:val="none"/>
        </w:rPr>
        <w:t>授予合同</w:t>
      </w:r>
      <w:bookmarkEnd w:id="115"/>
      <w:bookmarkEnd w:id="116"/>
    </w:p>
    <w:p>
      <w:pPr>
        <w:pStyle w:val="6"/>
        <w:widowControl w:val="0"/>
        <w:numPr>
          <w:ilvl w:val="0"/>
          <w:numId w:val="2"/>
        </w:numPr>
        <w:shd w:val="clear"/>
        <w:overflowPunct w:val="0"/>
        <w:rPr>
          <w:rFonts w:ascii="宋体" w:hAnsi="宋体" w:cs="宋体"/>
          <w:color w:val="auto"/>
          <w:sz w:val="21"/>
          <w:szCs w:val="21"/>
          <w:highlight w:val="none"/>
        </w:rPr>
      </w:pPr>
      <w:bookmarkStart w:id="117" w:name="_Toc22623"/>
      <w:bookmarkStart w:id="118" w:name="_Toc16090"/>
      <w:bookmarkStart w:id="119" w:name="_Toc508284011"/>
      <w:r>
        <w:rPr>
          <w:rFonts w:hint="eastAsia" w:ascii="宋体" w:hAnsi="宋体" w:cs="宋体"/>
          <w:color w:val="auto"/>
          <w:sz w:val="21"/>
          <w:szCs w:val="21"/>
          <w:highlight w:val="none"/>
        </w:rPr>
        <w:t>合同授予标准</w:t>
      </w:r>
      <w:bookmarkEnd w:id="117"/>
      <w:bookmarkEnd w:id="118"/>
      <w:bookmarkEnd w:id="119"/>
    </w:p>
    <w:p>
      <w:pPr>
        <w:pStyle w:val="41"/>
        <w:widowControl w:val="0"/>
        <w:numPr>
          <w:ilvl w:val="0"/>
          <w:numId w:val="3"/>
        </w:numPr>
        <w:shd w:val="clear"/>
        <w:tabs>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根据评标委员会的评审结果，采购人按照评审报告推荐的中标候选人中按顺序依法确定中标人。</w:t>
      </w:r>
    </w:p>
    <w:p>
      <w:pPr>
        <w:shd w:val="clear"/>
        <w:rPr>
          <w:rFonts w:ascii="宋体" w:hAnsi="宋体" w:cs="宋体"/>
          <w:color w:val="auto"/>
          <w:highlight w:val="none"/>
        </w:rPr>
      </w:pPr>
    </w:p>
    <w:p>
      <w:pPr>
        <w:pStyle w:val="6"/>
        <w:widowControl w:val="0"/>
        <w:numPr>
          <w:ilvl w:val="0"/>
          <w:numId w:val="2"/>
        </w:numPr>
        <w:shd w:val="clear"/>
        <w:overflowPunct w:val="0"/>
        <w:rPr>
          <w:rFonts w:ascii="宋体" w:hAnsi="宋体" w:cs="宋体"/>
          <w:color w:val="auto"/>
          <w:sz w:val="21"/>
          <w:szCs w:val="21"/>
          <w:highlight w:val="none"/>
        </w:rPr>
      </w:pPr>
      <w:bookmarkStart w:id="120" w:name="_Toc24261"/>
      <w:bookmarkStart w:id="121" w:name="_Toc10545"/>
      <w:bookmarkStart w:id="122" w:name="_Toc508284013"/>
      <w:r>
        <w:rPr>
          <w:rFonts w:hint="eastAsia" w:ascii="宋体" w:hAnsi="宋体" w:cs="宋体"/>
          <w:color w:val="auto"/>
          <w:sz w:val="21"/>
          <w:szCs w:val="21"/>
          <w:highlight w:val="none"/>
        </w:rPr>
        <w:t>发布中标结果</w:t>
      </w:r>
      <w:bookmarkEnd w:id="120"/>
      <w:bookmarkEnd w:id="121"/>
      <w:bookmarkEnd w:id="122"/>
    </w:p>
    <w:p>
      <w:pPr>
        <w:pStyle w:val="41"/>
        <w:widowControl w:val="0"/>
        <w:numPr>
          <w:ilvl w:val="0"/>
          <w:numId w:val="3"/>
        </w:numPr>
        <w:shd w:val="clear"/>
        <w:tabs>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评标委员会提出评标书面报告和推荐中标意见报采购人确认后，采购代理机构将在指定的信息发布媒体上发布公告。</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中标公告期限为3个日历日。</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《中标通知书》是合同的一个组成部分，《中标通知书》对采购人和中标人均具有同等法律效力。</w:t>
      </w:r>
    </w:p>
    <w:p>
      <w:pPr>
        <w:widowControl w:val="0"/>
        <w:shd w:val="clear"/>
        <w:tabs>
          <w:tab w:val="left" w:pos="907"/>
        </w:tabs>
        <w:adjustRightInd/>
        <w:snapToGrid/>
        <w:jc w:val="both"/>
        <w:rPr>
          <w:rFonts w:ascii="宋体" w:hAnsi="宋体" w:cs="宋体"/>
          <w:color w:val="auto"/>
          <w:szCs w:val="21"/>
          <w:highlight w:val="none"/>
        </w:rPr>
      </w:pPr>
    </w:p>
    <w:p>
      <w:pPr>
        <w:pStyle w:val="6"/>
        <w:widowControl w:val="0"/>
        <w:numPr>
          <w:ilvl w:val="0"/>
          <w:numId w:val="2"/>
        </w:numPr>
        <w:shd w:val="clear"/>
        <w:overflowPunct w:val="0"/>
        <w:rPr>
          <w:rFonts w:ascii="宋体" w:hAnsi="宋体" w:cs="宋体"/>
          <w:color w:val="auto"/>
          <w:sz w:val="21"/>
          <w:szCs w:val="21"/>
          <w:highlight w:val="none"/>
        </w:rPr>
      </w:pPr>
      <w:bookmarkStart w:id="123" w:name="_Toc11420"/>
      <w:bookmarkStart w:id="124" w:name="_Toc749"/>
      <w:r>
        <w:rPr>
          <w:rFonts w:hint="eastAsia" w:ascii="宋体" w:hAnsi="宋体" w:cs="宋体"/>
          <w:color w:val="auto"/>
          <w:sz w:val="21"/>
          <w:szCs w:val="21"/>
          <w:highlight w:val="none"/>
        </w:rPr>
        <w:t>资格后审</w:t>
      </w:r>
      <w:bookmarkEnd w:id="123"/>
      <w:bookmarkEnd w:id="124"/>
    </w:p>
    <w:p>
      <w:pPr>
        <w:pStyle w:val="41"/>
        <w:widowControl w:val="0"/>
        <w:numPr>
          <w:ilvl w:val="0"/>
          <w:numId w:val="3"/>
        </w:numPr>
        <w:shd w:val="clear"/>
        <w:tabs>
          <w:tab w:val="left" w:pos="567"/>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采购人将有权根据本文件中的要求，对评委会推荐的中标候选人进行资格后审。</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中标候选人须无条件配合资格后审，否则采购人有权取消其中标资格，且投标保证金可不予退还。</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如发现中标候选人以他人名义投标或者以其他方式弄虚作假，骗取中标的，采购人有权取消其中标资格，且投标保证金可不予退还；给采购人造成损失的，应依法承担赔偿责任。</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pPr>
        <w:shd w:val="clear"/>
        <w:rPr>
          <w:rFonts w:ascii="宋体" w:hAnsi="宋体" w:cs="宋体"/>
          <w:color w:val="auto"/>
          <w:highlight w:val="none"/>
        </w:rPr>
      </w:pPr>
    </w:p>
    <w:p>
      <w:pPr>
        <w:pStyle w:val="6"/>
        <w:widowControl w:val="0"/>
        <w:numPr>
          <w:ilvl w:val="0"/>
          <w:numId w:val="2"/>
        </w:numPr>
        <w:shd w:val="clear"/>
        <w:overflowPunct w:val="0"/>
        <w:rPr>
          <w:rFonts w:ascii="宋体" w:hAnsi="宋体" w:cs="宋体"/>
          <w:color w:val="auto"/>
          <w:sz w:val="21"/>
          <w:szCs w:val="21"/>
          <w:highlight w:val="none"/>
        </w:rPr>
      </w:pPr>
      <w:bookmarkStart w:id="125" w:name="_Toc27689"/>
      <w:bookmarkStart w:id="126" w:name="_Toc27302"/>
      <w:r>
        <w:rPr>
          <w:rFonts w:hint="eastAsia" w:ascii="宋体" w:hAnsi="宋体" w:cs="宋体"/>
          <w:color w:val="auto"/>
          <w:sz w:val="21"/>
          <w:szCs w:val="21"/>
          <w:highlight w:val="none"/>
        </w:rPr>
        <w:t>合同的签订与履行</w:t>
      </w:r>
      <w:bookmarkEnd w:id="125"/>
      <w:bookmarkEnd w:id="126"/>
    </w:p>
    <w:p>
      <w:pPr>
        <w:pStyle w:val="41"/>
        <w:widowControl w:val="0"/>
        <w:numPr>
          <w:ilvl w:val="0"/>
          <w:numId w:val="3"/>
        </w:numPr>
        <w:shd w:val="clear"/>
        <w:tabs>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采购人与中标人应当根据合同的约定依法履行合同义务。</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采购合同的履行、违约责任和解决争议的方法等适用《中华人民共和国民法典》。</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中标人在评审结束当天至合同履行结束，若因不可抗力的因素（如国家出台新法律法规等）造成投标人资质的变动，投标人应以纸质版形式通知采购人。若资质变动导致中标人不再具备履行合同资质要求，采购人有权中止合同。</w:t>
      </w:r>
    </w:p>
    <w:p>
      <w:pPr>
        <w:widowControl w:val="0"/>
        <w:shd w:val="clear"/>
        <w:tabs>
          <w:tab w:val="left" w:pos="907"/>
        </w:tabs>
        <w:adjustRightInd/>
        <w:snapToGrid/>
        <w:jc w:val="both"/>
        <w:rPr>
          <w:rFonts w:ascii="宋体" w:hAnsi="宋体" w:cs="宋体"/>
          <w:color w:val="auto"/>
          <w:highlight w:val="none"/>
        </w:rPr>
      </w:pPr>
    </w:p>
    <w:p>
      <w:pPr>
        <w:pStyle w:val="6"/>
        <w:widowControl w:val="0"/>
        <w:numPr>
          <w:ilvl w:val="0"/>
          <w:numId w:val="2"/>
        </w:numPr>
        <w:shd w:val="clear"/>
        <w:overflowPunct w:val="0"/>
        <w:rPr>
          <w:rFonts w:ascii="宋体" w:hAnsi="宋体" w:cs="宋体"/>
          <w:color w:val="auto"/>
          <w:sz w:val="21"/>
          <w:szCs w:val="21"/>
          <w:highlight w:val="none"/>
        </w:rPr>
      </w:pPr>
      <w:bookmarkStart w:id="127" w:name="_Toc303084277"/>
      <w:bookmarkStart w:id="128" w:name="_Toc29009"/>
      <w:bookmarkStart w:id="129" w:name="_Toc382049124"/>
      <w:bookmarkStart w:id="130" w:name="_Toc6617"/>
      <w:bookmarkStart w:id="131" w:name="_Toc19211"/>
      <w:r>
        <w:rPr>
          <w:rFonts w:hint="eastAsia" w:ascii="宋体" w:hAnsi="宋体" w:cs="宋体"/>
          <w:color w:val="auto"/>
          <w:sz w:val="21"/>
          <w:szCs w:val="21"/>
          <w:highlight w:val="none"/>
        </w:rPr>
        <w:t>履约</w:t>
      </w:r>
      <w:bookmarkEnd w:id="127"/>
      <w:bookmarkEnd w:id="128"/>
      <w:bookmarkEnd w:id="129"/>
      <w:r>
        <w:rPr>
          <w:rFonts w:hint="eastAsia" w:ascii="宋体" w:hAnsi="宋体" w:cs="宋体"/>
          <w:color w:val="auto"/>
          <w:sz w:val="21"/>
          <w:szCs w:val="21"/>
          <w:highlight w:val="none"/>
        </w:rPr>
        <w:t>担保</w:t>
      </w:r>
      <w:bookmarkEnd w:id="130"/>
      <w:bookmarkEnd w:id="131"/>
    </w:p>
    <w:p>
      <w:pPr>
        <w:pStyle w:val="41"/>
        <w:widowControl w:val="0"/>
        <w:numPr>
          <w:ilvl w:val="0"/>
          <w:numId w:val="3"/>
        </w:numPr>
        <w:shd w:val="clear"/>
        <w:tabs>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中标人在采购（合同签署）时提交履约担保，履约担保金额不超过中标合同金额的10%，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履约担保期限从合同签订之日起至项目服务期结束验收合格并结算完毕后，经双方签字7天内保持有效。</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履约担保可以采用下列任何一种形式：</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（1）履约保函。如果中标人的履约担保是以银行保函形式提供的，则该银行保函应：</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①保函应由银行支行或以上银行机构开具，非东莞市行政区内的银行开具的保函要由银行所在地公证部门出具的公证书。</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③履约保函必须打印，手写、涂改无效。</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2）履约保证金。可采用电汇、银行汇票等银行转账方式提交，但不可以采用现金方式提交。履约保证金金额为中标价的10%。中标人人必须保证履约保证金以中标人的名称在（合同约定的日期）前提交至采购人指定账户。</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若中标人不能按本采购文件（33.1至33.3）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为取得履约担保所需的费用，由中标人承担；若工期延误，履约担保时间延长，延长费用由中标人承担。</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下列任何情况发生时，采购人有权行使享有的担保权利：</w:t>
      </w:r>
    </w:p>
    <w:p>
      <w:pPr>
        <w:widowControl w:val="0"/>
        <w:shd w:val="clear"/>
        <w:tabs>
          <w:tab w:val="left" w:pos="907"/>
        </w:tabs>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（1）中标人将本项目转让给他人，或者在投标文件中未说明，且未经采购人同意，将中标项目分包给他人的；</w:t>
      </w:r>
    </w:p>
    <w:p>
      <w:pPr>
        <w:widowControl w:val="0"/>
        <w:shd w:val="clear"/>
        <w:tabs>
          <w:tab w:val="left" w:pos="907"/>
        </w:tabs>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（2）中标人在履行采购合同期间，违反有关法律法规的规定及合同约定的条款，损害了采购人的利益。</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在整个项目验收合格后，中标人向采购人提交退回履约担保的申请，采购人办理履约担保退还手续。</w:t>
      </w:r>
    </w:p>
    <w:p>
      <w:pPr>
        <w:widowControl w:val="0"/>
        <w:shd w:val="clear"/>
        <w:tabs>
          <w:tab w:val="left" w:pos="907"/>
        </w:tabs>
        <w:adjustRightInd/>
        <w:snapToGrid/>
        <w:jc w:val="both"/>
        <w:rPr>
          <w:rFonts w:ascii="宋体" w:hAnsi="宋体" w:cs="宋体"/>
          <w:color w:val="auto"/>
          <w:highlight w:val="none"/>
        </w:rPr>
      </w:pPr>
    </w:p>
    <w:p>
      <w:pPr>
        <w:pStyle w:val="6"/>
        <w:widowControl w:val="0"/>
        <w:numPr>
          <w:ilvl w:val="0"/>
          <w:numId w:val="2"/>
        </w:numPr>
        <w:shd w:val="clear"/>
        <w:overflowPunct w:val="0"/>
        <w:rPr>
          <w:rFonts w:ascii="宋体" w:hAnsi="宋体" w:cs="宋体"/>
          <w:color w:val="auto"/>
          <w:sz w:val="21"/>
          <w:szCs w:val="21"/>
          <w:highlight w:val="none"/>
        </w:rPr>
      </w:pPr>
      <w:bookmarkStart w:id="132" w:name="_Toc19347"/>
      <w:bookmarkStart w:id="133" w:name="_Toc18880"/>
      <w:r>
        <w:rPr>
          <w:rFonts w:hint="eastAsia" w:ascii="宋体" w:hAnsi="宋体" w:cs="宋体"/>
          <w:color w:val="auto"/>
          <w:sz w:val="21"/>
          <w:szCs w:val="21"/>
          <w:highlight w:val="none"/>
        </w:rPr>
        <w:t>预付款保函（适用于预付款支付）</w:t>
      </w:r>
      <w:bookmarkEnd w:id="132"/>
      <w:bookmarkEnd w:id="133"/>
    </w:p>
    <w:p>
      <w:pPr>
        <w:pStyle w:val="41"/>
        <w:widowControl w:val="0"/>
        <w:numPr>
          <w:ilvl w:val="0"/>
          <w:numId w:val="3"/>
        </w:numPr>
        <w:shd w:val="clear"/>
        <w:tabs>
          <w:tab w:val="left" w:pos="567"/>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预付款保函应：</w:t>
      </w:r>
    </w:p>
    <w:p>
      <w:pPr>
        <w:widowControl w:val="0"/>
        <w:shd w:val="clear"/>
        <w:tabs>
          <w:tab w:val="left" w:pos="907"/>
        </w:tabs>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（1）由东莞市行政区域内的银行支行及以上银行机构开具。非东莞市行政区内的银行开具的保函要由银行所在地公证部门出具的公证书。</w:t>
      </w:r>
    </w:p>
    <w:p>
      <w:pPr>
        <w:widowControl w:val="0"/>
        <w:shd w:val="clear"/>
        <w:tabs>
          <w:tab w:val="left" w:pos="907"/>
        </w:tabs>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（2）必须打印，手写、涂改无效</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若中标人不能按本须知（34.1至34.2）的规定执行，采购人将不予支付预付款。</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pPr>
        <w:shd w:val="clear"/>
        <w:rPr>
          <w:rFonts w:ascii="宋体" w:hAnsi="宋体" w:cs="宋体"/>
          <w:color w:val="auto"/>
          <w:highlight w:val="none"/>
        </w:rPr>
      </w:pPr>
    </w:p>
    <w:p>
      <w:pPr>
        <w:pStyle w:val="5"/>
        <w:numPr>
          <w:ilvl w:val="0"/>
          <w:numId w:val="1"/>
        </w:numPr>
        <w:shd w:val="clear"/>
        <w:spacing w:before="0" w:after="0" w:line="360" w:lineRule="auto"/>
        <w:jc w:val="center"/>
        <w:rPr>
          <w:rFonts w:ascii="宋体" w:hAnsi="宋体" w:cs="宋体"/>
          <w:color w:val="auto"/>
          <w:highlight w:val="none"/>
        </w:rPr>
      </w:pPr>
      <w:bookmarkStart w:id="134" w:name="_Toc27556"/>
      <w:bookmarkStart w:id="135" w:name="_Toc21814"/>
      <w:r>
        <w:rPr>
          <w:rFonts w:hint="eastAsia" w:ascii="宋体" w:hAnsi="宋体" w:cs="宋体"/>
          <w:color w:val="auto"/>
          <w:highlight w:val="none"/>
        </w:rPr>
        <w:t>异议</w:t>
      </w:r>
      <w:bookmarkEnd w:id="134"/>
      <w:bookmarkEnd w:id="135"/>
    </w:p>
    <w:p>
      <w:pPr>
        <w:pStyle w:val="6"/>
        <w:widowControl w:val="0"/>
        <w:numPr>
          <w:ilvl w:val="0"/>
          <w:numId w:val="2"/>
        </w:numPr>
        <w:shd w:val="clear"/>
        <w:overflowPunct w:val="0"/>
        <w:rPr>
          <w:rFonts w:ascii="宋体" w:hAnsi="宋体" w:cs="宋体"/>
          <w:color w:val="auto"/>
          <w:sz w:val="21"/>
          <w:szCs w:val="21"/>
          <w:highlight w:val="none"/>
        </w:rPr>
      </w:pPr>
      <w:bookmarkStart w:id="136" w:name="_Toc9791"/>
      <w:bookmarkStart w:id="137" w:name="_Toc31457"/>
      <w:r>
        <w:rPr>
          <w:rFonts w:hint="eastAsia" w:ascii="宋体" w:hAnsi="宋体" w:cs="宋体"/>
          <w:color w:val="auto"/>
          <w:sz w:val="21"/>
          <w:szCs w:val="21"/>
          <w:highlight w:val="none"/>
        </w:rPr>
        <w:t>异议</w:t>
      </w:r>
      <w:bookmarkEnd w:id="136"/>
      <w:bookmarkEnd w:id="137"/>
    </w:p>
    <w:p>
      <w:pPr>
        <w:pStyle w:val="41"/>
        <w:widowControl w:val="0"/>
        <w:numPr>
          <w:ilvl w:val="0"/>
          <w:numId w:val="3"/>
        </w:numPr>
        <w:shd w:val="clear"/>
        <w:tabs>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lang w:val="zh-CN"/>
        </w:rPr>
        <w:t>采购文件的异议</w:t>
      </w:r>
      <w:r>
        <w:rPr>
          <w:rFonts w:hint="eastAsia" w:ascii="宋体" w:hAnsi="宋体" w:cs="宋体"/>
          <w:color w:val="auto"/>
          <w:szCs w:val="21"/>
          <w:highlight w:val="none"/>
        </w:rPr>
        <w:t xml:space="preserve">  </w:t>
      </w:r>
    </w:p>
    <w:p>
      <w:pPr>
        <w:widowControl w:val="0"/>
        <w:shd w:val="clear"/>
        <w:tabs>
          <w:tab w:val="left" w:pos="907"/>
        </w:tabs>
        <w:adjustRightInd/>
        <w:snapToGrid/>
        <w:ind w:firstLine="420" w:firstLineChars="200"/>
        <w:jc w:val="both"/>
        <w:rPr>
          <w:rFonts w:ascii="宋体" w:hAnsi="宋体" w:cs="宋体"/>
          <w:color w:val="auto"/>
          <w:szCs w:val="21"/>
          <w:highlight w:val="none"/>
        </w:rPr>
      </w:pPr>
      <w:r>
        <w:rPr>
          <w:rFonts w:hint="eastAsia" w:ascii="宋体" w:hAnsi="宋体" w:cs="宋体"/>
          <w:bCs/>
          <w:color w:val="auto"/>
          <w:kern w:val="2"/>
          <w:szCs w:val="21"/>
          <w:highlight w:val="none"/>
          <w:lang w:val="zh-CN"/>
        </w:rPr>
        <w:t>投标人或者其他利害关系人对采购文件有异议的，应当在投标截止时间10日前</w:t>
      </w:r>
      <w:r>
        <w:rPr>
          <w:rFonts w:hint="eastAsia" w:ascii="宋体" w:hAnsi="宋体" w:cs="宋体"/>
          <w:color w:val="auto"/>
          <w:kern w:val="2"/>
          <w:szCs w:val="21"/>
          <w:highlight w:val="none"/>
          <w:lang w:val="zh-CN"/>
        </w:rPr>
        <w:t>以书面形式向采购代理机构提出，并将材料原件送达采购代理机构，逾期则视为对采购文件所有内容无异议。</w:t>
      </w:r>
      <w:r>
        <w:rPr>
          <w:rFonts w:hint="eastAsia" w:ascii="宋体" w:hAnsi="宋体" w:cs="宋体"/>
          <w:bCs/>
          <w:color w:val="auto"/>
          <w:kern w:val="2"/>
          <w:szCs w:val="21"/>
          <w:highlight w:val="none"/>
          <w:lang w:val="zh-CN"/>
        </w:rPr>
        <w:t>异议</w:t>
      </w:r>
      <w:r>
        <w:rPr>
          <w:rFonts w:hint="eastAsia" w:ascii="宋体" w:hAnsi="宋体" w:cs="宋体"/>
          <w:color w:val="auto"/>
          <w:kern w:val="2"/>
          <w:szCs w:val="21"/>
          <w:highlight w:val="none"/>
          <w:lang w:val="zh-CN"/>
        </w:rPr>
        <w:t>书面材料必须加盖投标人法人公章，并注明联系人、联系电话、联系地址。</w:t>
      </w:r>
      <w:r>
        <w:rPr>
          <w:rFonts w:hint="eastAsia" w:ascii="宋体" w:hAnsi="宋体" w:cs="宋体"/>
          <w:bCs/>
          <w:color w:val="auto"/>
          <w:kern w:val="2"/>
          <w:szCs w:val="21"/>
          <w:highlight w:val="none"/>
          <w:lang w:val="zh-CN"/>
        </w:rPr>
        <w:t>超出</w:t>
      </w:r>
      <w:r>
        <w:rPr>
          <w:rFonts w:hint="eastAsia" w:ascii="宋体" w:hAnsi="宋体" w:cs="宋体"/>
          <w:color w:val="auto"/>
          <w:kern w:val="2"/>
          <w:szCs w:val="21"/>
          <w:highlight w:val="none"/>
          <w:lang w:val="zh-CN"/>
        </w:rPr>
        <w:t>提交接收异议截止时间而</w:t>
      </w:r>
      <w:r>
        <w:rPr>
          <w:rFonts w:hint="eastAsia" w:ascii="宋体" w:hAnsi="宋体" w:cs="宋体"/>
          <w:bCs/>
          <w:color w:val="auto"/>
          <w:kern w:val="2"/>
          <w:szCs w:val="21"/>
          <w:highlight w:val="none"/>
          <w:lang w:val="zh-CN"/>
        </w:rPr>
        <w:t>提出的任何疑问，</w:t>
      </w:r>
      <w:r>
        <w:rPr>
          <w:rFonts w:hint="eastAsia" w:ascii="宋体" w:hAnsi="宋体" w:cs="宋体"/>
          <w:bCs/>
          <w:color w:val="auto"/>
          <w:kern w:val="2"/>
          <w:szCs w:val="21"/>
          <w:highlight w:val="none"/>
        </w:rPr>
        <w:t>采购人或</w:t>
      </w:r>
      <w:r>
        <w:rPr>
          <w:rFonts w:hint="eastAsia" w:ascii="宋体" w:hAnsi="宋体" w:cs="宋体"/>
          <w:bCs/>
          <w:color w:val="auto"/>
          <w:kern w:val="2"/>
          <w:szCs w:val="21"/>
          <w:highlight w:val="none"/>
          <w:lang w:val="zh-CN"/>
        </w:rPr>
        <w:t>采购代理机构可不予答复。</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lang w:val="zh-CN"/>
        </w:rPr>
        <w:t>评标结果异议</w:t>
      </w:r>
      <w:r>
        <w:rPr>
          <w:rFonts w:hint="eastAsia" w:ascii="宋体" w:hAnsi="宋体" w:cs="宋体"/>
          <w:color w:val="auto"/>
          <w:szCs w:val="21"/>
          <w:highlight w:val="none"/>
        </w:rPr>
        <w:t xml:space="preserve">   </w:t>
      </w:r>
    </w:p>
    <w:p>
      <w:pPr>
        <w:widowControl w:val="0"/>
        <w:shd w:val="clear"/>
        <w:tabs>
          <w:tab w:val="left" w:pos="907"/>
        </w:tabs>
        <w:adjustRightInd/>
        <w:snapToGrid/>
        <w:ind w:firstLine="420" w:firstLineChars="200"/>
        <w:jc w:val="both"/>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pPr>
        <w:widowControl w:val="0"/>
        <w:shd w:val="clear"/>
        <w:tabs>
          <w:tab w:val="left" w:pos="907"/>
        </w:tabs>
        <w:adjustRightInd/>
        <w:snapToGrid/>
        <w:ind w:firstLine="420" w:firstLineChars="200"/>
        <w:jc w:val="both"/>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以联合体形式参加采购活动的，其异议应当由组成联合体的所有投标人共同提出。</w:t>
      </w:r>
    </w:p>
    <w:p>
      <w:pPr>
        <w:shd w:val="clear"/>
        <w:rPr>
          <w:rFonts w:ascii="宋体" w:hAnsi="宋体" w:cs="宋体"/>
          <w:color w:val="auto"/>
          <w:highlight w:val="none"/>
        </w:rPr>
      </w:pPr>
    </w:p>
    <w:p>
      <w:pPr>
        <w:pStyle w:val="5"/>
        <w:numPr>
          <w:ilvl w:val="0"/>
          <w:numId w:val="1"/>
        </w:numPr>
        <w:shd w:val="clear"/>
        <w:spacing w:before="0" w:after="0" w:line="360" w:lineRule="auto"/>
        <w:jc w:val="center"/>
        <w:rPr>
          <w:rFonts w:ascii="宋体" w:hAnsi="宋体" w:cs="宋体"/>
          <w:color w:val="auto"/>
          <w:highlight w:val="none"/>
        </w:rPr>
      </w:pPr>
      <w:bookmarkStart w:id="138" w:name="_Toc16776"/>
      <w:bookmarkStart w:id="139" w:name="_Toc18965"/>
      <w:r>
        <w:rPr>
          <w:rFonts w:hint="eastAsia" w:ascii="宋体" w:hAnsi="宋体" w:cs="宋体"/>
          <w:color w:val="auto"/>
          <w:highlight w:val="none"/>
        </w:rPr>
        <w:t>其他</w:t>
      </w:r>
      <w:bookmarkEnd w:id="138"/>
      <w:bookmarkEnd w:id="139"/>
    </w:p>
    <w:p>
      <w:pPr>
        <w:pStyle w:val="6"/>
        <w:widowControl w:val="0"/>
        <w:numPr>
          <w:ilvl w:val="0"/>
          <w:numId w:val="2"/>
        </w:numPr>
        <w:shd w:val="clear"/>
        <w:overflowPunct w:val="0"/>
        <w:rPr>
          <w:rFonts w:ascii="宋体" w:hAnsi="宋体" w:cs="宋体"/>
          <w:color w:val="auto"/>
          <w:sz w:val="21"/>
          <w:szCs w:val="21"/>
          <w:highlight w:val="none"/>
        </w:rPr>
      </w:pPr>
      <w:bookmarkStart w:id="140" w:name="_Toc1587"/>
      <w:bookmarkStart w:id="141" w:name="_Toc2155"/>
      <w:r>
        <w:rPr>
          <w:rFonts w:hint="eastAsia" w:ascii="宋体" w:hAnsi="宋体" w:cs="宋体"/>
          <w:color w:val="auto"/>
          <w:sz w:val="21"/>
          <w:szCs w:val="21"/>
          <w:highlight w:val="none"/>
        </w:rPr>
        <w:t>采购文件的解释权</w:t>
      </w:r>
      <w:bookmarkEnd w:id="140"/>
      <w:bookmarkEnd w:id="141"/>
    </w:p>
    <w:p>
      <w:pPr>
        <w:pStyle w:val="41"/>
        <w:widowControl w:val="0"/>
        <w:numPr>
          <w:ilvl w:val="0"/>
          <w:numId w:val="3"/>
        </w:numPr>
        <w:shd w:val="clear"/>
        <w:tabs>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本采购文件是根据国家有关法律、法规以及采购管理有关规定和参照国际惯例编制，解释权属本采购代理机构。</w:t>
      </w:r>
    </w:p>
    <w:p>
      <w:pPr>
        <w:widowControl w:val="0"/>
        <w:numPr>
          <w:ilvl w:val="1"/>
          <w:numId w:val="7"/>
        </w:numPr>
        <w:shd w:val="clear"/>
        <w:tabs>
          <w:tab w:val="left" w:pos="907"/>
        </w:tabs>
        <w:adjustRightInd/>
        <w:snapToGrid/>
        <w:spacing w:line="360" w:lineRule="exact"/>
        <w:jc w:val="both"/>
        <w:rPr>
          <w:rFonts w:ascii="宋体" w:hAnsi="宋体" w:cs="宋体"/>
          <w:color w:val="auto"/>
          <w:szCs w:val="21"/>
          <w:highlight w:val="none"/>
        </w:rPr>
      </w:pPr>
      <w:r>
        <w:rPr>
          <w:rFonts w:hint="eastAsia" w:ascii="宋体" w:hAnsi="宋体" w:cs="宋体"/>
          <w:color w:val="auto"/>
          <w:szCs w:val="21"/>
          <w:highlight w:val="none"/>
        </w:rPr>
        <w:br w:type="page"/>
      </w:r>
    </w:p>
    <w:p>
      <w:pPr>
        <w:pStyle w:val="4"/>
        <w:shd w:val="clear"/>
        <w:spacing w:before="0" w:after="0" w:line="240" w:lineRule="auto"/>
        <w:rPr>
          <w:rFonts w:ascii="宋体" w:hAnsi="宋体" w:eastAsia="宋体" w:cs="宋体"/>
          <w:color w:val="auto"/>
          <w:sz w:val="28"/>
          <w:szCs w:val="28"/>
          <w:highlight w:val="none"/>
        </w:rPr>
      </w:pPr>
      <w:bookmarkStart w:id="142" w:name="_Toc15211"/>
      <w:r>
        <w:rPr>
          <w:rFonts w:hint="eastAsia" w:ascii="宋体" w:hAnsi="宋体" w:eastAsia="宋体" w:cs="宋体"/>
          <w:color w:val="auto"/>
          <w:sz w:val="28"/>
          <w:szCs w:val="28"/>
          <w:highlight w:val="none"/>
        </w:rPr>
        <w:t>第五部分  合同条款格式</w:t>
      </w:r>
      <w:bookmarkEnd w:id="142"/>
      <w:bookmarkStart w:id="143" w:name="_Toc15636"/>
    </w:p>
    <w:bookmarkEnd w:id="143"/>
    <w:p>
      <w:pPr>
        <w:shd w:val="clear"/>
        <w:jc w:val="center"/>
        <w:rPr>
          <w:rFonts w:ascii="宋体" w:hAnsi="宋体" w:cs="宋体"/>
          <w:b/>
          <w:color w:val="auto"/>
          <w:spacing w:val="200"/>
          <w:sz w:val="44"/>
          <w:szCs w:val="44"/>
          <w:highlight w:val="none"/>
        </w:rPr>
      </w:pPr>
      <w:bookmarkStart w:id="144" w:name="_Hlt109815959"/>
      <w:bookmarkEnd w:id="144"/>
      <w:bookmarkStart w:id="145" w:name="_Toc17124"/>
    </w:p>
    <w:p>
      <w:pPr>
        <w:shd w:val="clear"/>
        <w:jc w:val="center"/>
        <w:rPr>
          <w:rFonts w:ascii="宋体" w:hAnsi="宋体" w:cs="宋体"/>
          <w:b/>
          <w:color w:val="auto"/>
          <w:spacing w:val="200"/>
          <w:sz w:val="40"/>
          <w:szCs w:val="40"/>
          <w:highlight w:val="none"/>
        </w:rPr>
      </w:pPr>
      <w:r>
        <w:rPr>
          <w:rFonts w:hint="eastAsia" w:ascii="宋体" w:hAnsi="宋体" w:cs="宋体"/>
          <w:b/>
          <w:color w:val="auto"/>
          <w:spacing w:val="200"/>
          <w:sz w:val="40"/>
          <w:szCs w:val="40"/>
          <w:highlight w:val="none"/>
        </w:rPr>
        <w:t>东莞市海心沙资源循环利用基地环境监测采购项目合同书</w:t>
      </w:r>
    </w:p>
    <w:p>
      <w:pPr>
        <w:pStyle w:val="14"/>
        <w:shd w:val="clear"/>
        <w:snapToGrid w:val="0"/>
        <w:ind w:firstLine="422" w:firstLineChars="200"/>
        <w:rPr>
          <w:rFonts w:hAnsi="宋体" w:cs="宋体"/>
          <w:color w:val="auto"/>
          <w:highlight w:val="none"/>
        </w:rPr>
      </w:pPr>
    </w:p>
    <w:p>
      <w:pPr>
        <w:pStyle w:val="14"/>
        <w:shd w:val="clear"/>
        <w:snapToGrid w:val="0"/>
        <w:ind w:firstLine="422" w:firstLineChars="200"/>
        <w:rPr>
          <w:rFonts w:hAnsi="宋体" w:cs="宋体"/>
          <w:color w:val="auto"/>
          <w:highlight w:val="none"/>
        </w:rPr>
      </w:pPr>
    </w:p>
    <w:p>
      <w:pPr>
        <w:pStyle w:val="14"/>
        <w:shd w:val="clear"/>
        <w:snapToGrid w:val="0"/>
        <w:ind w:firstLine="422" w:firstLineChars="200"/>
        <w:rPr>
          <w:rFonts w:hAnsi="宋体" w:cs="宋体"/>
          <w:color w:val="auto"/>
          <w:highlight w:val="none"/>
        </w:rPr>
      </w:pPr>
    </w:p>
    <w:p>
      <w:pPr>
        <w:pStyle w:val="14"/>
        <w:shd w:val="clear"/>
        <w:snapToGrid w:val="0"/>
        <w:ind w:firstLine="422" w:firstLineChars="200"/>
        <w:rPr>
          <w:rFonts w:hAnsi="宋体" w:cs="宋体"/>
          <w:color w:val="auto"/>
          <w:highlight w:val="none"/>
        </w:rPr>
      </w:pPr>
    </w:p>
    <w:p>
      <w:pPr>
        <w:pStyle w:val="14"/>
        <w:shd w:val="clear"/>
        <w:snapToGrid w:val="0"/>
        <w:ind w:firstLine="422" w:firstLineChars="200"/>
        <w:rPr>
          <w:rFonts w:hAnsi="宋体" w:cs="宋体"/>
          <w:color w:val="auto"/>
          <w:highlight w:val="none"/>
        </w:rPr>
      </w:pPr>
    </w:p>
    <w:p>
      <w:pPr>
        <w:pStyle w:val="14"/>
        <w:shd w:val="clear"/>
        <w:snapToGrid w:val="0"/>
        <w:rPr>
          <w:rFonts w:hAnsi="宋体" w:cs="宋体"/>
          <w:color w:val="auto"/>
          <w:highlight w:val="none"/>
        </w:rPr>
      </w:pPr>
    </w:p>
    <w:p>
      <w:pPr>
        <w:shd w:val="clear"/>
        <w:jc w:val="center"/>
        <w:rPr>
          <w:rFonts w:ascii="宋体" w:hAnsi="宋体" w:cs="宋体"/>
          <w:b/>
          <w:color w:val="auto"/>
          <w:sz w:val="32"/>
          <w:highlight w:val="none"/>
        </w:rPr>
      </w:pPr>
    </w:p>
    <w:p>
      <w:pPr>
        <w:shd w:val="clear"/>
        <w:ind w:left="3085" w:leftChars="800" w:hanging="1405" w:hangingChars="500"/>
        <w:rPr>
          <w:rFonts w:ascii="宋体" w:hAnsi="宋体" w:cs="宋体"/>
          <w:b/>
          <w:color w:val="auto"/>
          <w:sz w:val="28"/>
          <w:highlight w:val="none"/>
          <w:u w:val="single"/>
        </w:rPr>
      </w:pPr>
      <w:r>
        <w:rPr>
          <w:rFonts w:hint="eastAsia" w:ascii="宋体" w:hAnsi="宋体" w:cs="宋体"/>
          <w:b/>
          <w:color w:val="auto"/>
          <w:sz w:val="28"/>
          <w:highlight w:val="none"/>
        </w:rPr>
        <w:t>项目名称：</w:t>
      </w:r>
      <w:r>
        <w:rPr>
          <w:rFonts w:hint="eastAsia" w:ascii="宋体" w:hAnsi="宋体" w:cs="宋体"/>
          <w:b/>
          <w:color w:val="auto"/>
          <w:sz w:val="28"/>
          <w:highlight w:val="none"/>
          <w:u w:val="single"/>
        </w:rPr>
        <w:t xml:space="preserve"> 东莞市海心沙资源循环利用基地环境监测采购项目                          </w:t>
      </w:r>
    </w:p>
    <w:p>
      <w:pPr>
        <w:shd w:val="clear"/>
        <w:ind w:left="1680"/>
        <w:rPr>
          <w:rFonts w:ascii="宋体" w:hAnsi="宋体" w:cs="宋体"/>
          <w:b/>
          <w:color w:val="auto"/>
          <w:sz w:val="28"/>
          <w:highlight w:val="none"/>
        </w:rPr>
      </w:pPr>
      <w:r>
        <w:rPr>
          <w:rFonts w:hint="eastAsia" w:ascii="宋体" w:hAnsi="宋体" w:cs="宋体"/>
          <w:b/>
          <w:color w:val="auto"/>
          <w:sz w:val="28"/>
          <w:highlight w:val="none"/>
        </w:rPr>
        <w:t>合同编号：</w:t>
      </w:r>
      <w:r>
        <w:rPr>
          <w:rFonts w:hint="eastAsia" w:ascii="宋体" w:hAnsi="宋体" w:cs="宋体"/>
          <w:b/>
          <w:color w:val="auto"/>
          <w:sz w:val="28"/>
          <w:highlight w:val="none"/>
          <w:u w:val="single"/>
        </w:rPr>
        <w:t xml:space="preserve">                                 </w:t>
      </w:r>
    </w:p>
    <w:p>
      <w:pPr>
        <w:shd w:val="clear"/>
        <w:ind w:left="1680"/>
        <w:rPr>
          <w:rFonts w:ascii="宋体" w:hAnsi="宋体" w:cs="宋体"/>
          <w:b/>
          <w:color w:val="auto"/>
          <w:sz w:val="28"/>
          <w:highlight w:val="none"/>
        </w:rPr>
      </w:pPr>
      <w:r>
        <w:rPr>
          <w:rFonts w:hint="eastAsia" w:ascii="宋体" w:hAnsi="宋体" w:cs="宋体"/>
          <w:b/>
          <w:color w:val="auto"/>
          <w:sz w:val="28"/>
          <w:highlight w:val="none"/>
        </w:rPr>
        <w:t>签约地点：</w:t>
      </w:r>
      <w:r>
        <w:rPr>
          <w:rFonts w:hint="eastAsia" w:ascii="宋体" w:hAnsi="宋体" w:cs="宋体"/>
          <w:b/>
          <w:color w:val="auto"/>
          <w:sz w:val="28"/>
          <w:highlight w:val="none"/>
          <w:u w:val="single"/>
        </w:rPr>
        <w:t xml:space="preserve">  东莞市                         </w:t>
      </w:r>
    </w:p>
    <w:p>
      <w:pPr>
        <w:shd w:val="clear"/>
        <w:ind w:left="1680"/>
        <w:rPr>
          <w:rFonts w:ascii="宋体" w:hAnsi="宋体" w:cs="宋体"/>
          <w:b/>
          <w:color w:val="auto"/>
          <w:sz w:val="28"/>
          <w:highlight w:val="none"/>
        </w:rPr>
      </w:pPr>
      <w:r>
        <w:rPr>
          <w:rFonts w:hint="eastAsia" w:ascii="宋体" w:hAnsi="宋体" w:cs="宋体"/>
          <w:b/>
          <w:color w:val="auto"/>
          <w:sz w:val="28"/>
          <w:highlight w:val="none"/>
        </w:rPr>
        <w:t>签订日期：     2023  年   月   日</w:t>
      </w:r>
    </w:p>
    <w:p>
      <w:pPr>
        <w:pStyle w:val="14"/>
        <w:shd w:val="clear"/>
        <w:snapToGrid w:val="0"/>
        <w:rPr>
          <w:rFonts w:hAnsi="宋体" w:cs="宋体"/>
          <w:color w:val="auto"/>
          <w:sz w:val="32"/>
          <w:szCs w:val="32"/>
          <w:highlight w:val="none"/>
          <w:u w:val="single"/>
        </w:rPr>
      </w:pPr>
    </w:p>
    <w:p>
      <w:pPr>
        <w:pStyle w:val="14"/>
        <w:shd w:val="clear"/>
        <w:snapToGrid w:val="0"/>
        <w:rPr>
          <w:rFonts w:hAnsi="宋体" w:cs="宋体"/>
          <w:color w:val="auto"/>
          <w:sz w:val="32"/>
          <w:szCs w:val="32"/>
          <w:highlight w:val="none"/>
          <w:u w:val="single"/>
        </w:rPr>
      </w:pPr>
    </w:p>
    <w:p>
      <w:pPr>
        <w:pStyle w:val="14"/>
        <w:shd w:val="clear"/>
        <w:snapToGrid w:val="0"/>
        <w:rPr>
          <w:rFonts w:hAnsi="宋体" w:cs="宋体"/>
          <w:color w:val="auto"/>
          <w:sz w:val="32"/>
          <w:szCs w:val="32"/>
          <w:highlight w:val="none"/>
          <w:u w:val="single"/>
        </w:rPr>
      </w:pPr>
    </w:p>
    <w:p>
      <w:pPr>
        <w:shd w:val="clear"/>
        <w:rPr>
          <w:rFonts w:ascii="宋体" w:hAnsi="宋体" w:cs="宋体"/>
          <w:color w:val="auto"/>
          <w:szCs w:val="21"/>
          <w:highlight w:val="none"/>
        </w:rPr>
      </w:pPr>
    </w:p>
    <w:p>
      <w:pPr>
        <w:shd w:val="clear"/>
        <w:tabs>
          <w:tab w:val="left" w:pos="720"/>
        </w:tabs>
        <w:rPr>
          <w:rFonts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b/>
          <w:color w:val="auto"/>
          <w:szCs w:val="21"/>
          <w:highlight w:val="none"/>
        </w:rPr>
        <w:t xml:space="preserve">甲    方：                 </w:t>
      </w:r>
    </w:p>
    <w:p>
      <w:pPr>
        <w:shd w:val="clear"/>
        <w:rPr>
          <w:rFonts w:ascii="宋体" w:hAnsi="宋体" w:cs="宋体"/>
          <w:color w:val="auto"/>
          <w:szCs w:val="21"/>
          <w:highlight w:val="none"/>
        </w:rPr>
      </w:pPr>
      <w:r>
        <w:rPr>
          <w:rFonts w:hint="eastAsia" w:ascii="宋体" w:hAnsi="宋体" w:cs="宋体"/>
          <w:color w:val="auto"/>
          <w:szCs w:val="21"/>
          <w:highlight w:val="none"/>
        </w:rPr>
        <w:t>电    话：                  地  址：东莞市麻涌镇海心沙</w:t>
      </w:r>
    </w:p>
    <w:p>
      <w:pPr>
        <w:shd w:val="clear"/>
        <w:rPr>
          <w:rFonts w:ascii="宋体" w:hAnsi="宋体" w:cs="宋体"/>
          <w:b/>
          <w:color w:val="auto"/>
          <w:szCs w:val="21"/>
          <w:highlight w:val="none"/>
        </w:rPr>
      </w:pPr>
      <w:r>
        <w:rPr>
          <w:rFonts w:hint="eastAsia" w:ascii="宋体" w:hAnsi="宋体" w:cs="宋体"/>
          <w:b/>
          <w:color w:val="auto"/>
          <w:szCs w:val="21"/>
          <w:highlight w:val="none"/>
        </w:rPr>
        <w:t>乙    方：</w:t>
      </w:r>
    </w:p>
    <w:p>
      <w:pPr>
        <w:shd w:val="clear"/>
        <w:rPr>
          <w:rFonts w:ascii="宋体" w:hAnsi="宋体" w:cs="宋体"/>
          <w:color w:val="auto"/>
          <w:szCs w:val="21"/>
          <w:highlight w:val="none"/>
        </w:rPr>
      </w:pPr>
      <w:r>
        <w:rPr>
          <w:rFonts w:hint="eastAsia" w:ascii="宋体" w:hAnsi="宋体" w:cs="宋体"/>
          <w:color w:val="auto"/>
          <w:szCs w:val="21"/>
          <w:highlight w:val="none"/>
        </w:rPr>
        <w:t>电    话：                  地  址：</w:t>
      </w:r>
    </w:p>
    <w:p>
      <w:pPr>
        <w:shd w:val="clear"/>
        <w:wordWrap w:val="0"/>
        <w:rPr>
          <w:rFonts w:ascii="宋体" w:hAnsi="宋体" w:cs="宋体"/>
          <w:color w:val="auto"/>
          <w:szCs w:val="21"/>
          <w:highlight w:val="none"/>
        </w:rPr>
      </w:pP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民法典》及其他有关法律、法规，遵循平等、自愿、公平和诚实信用的原则，甲乙双方就甲方东莞市海心沙资源循环利用基地环境监测项目事宜协商一致，特订立本合同，由甲乙双方共同遵守履行。</w:t>
      </w:r>
    </w:p>
    <w:p>
      <w:pPr>
        <w:numPr>
          <w:ilvl w:val="0"/>
          <w:numId w:val="8"/>
        </w:numPr>
        <w:shd w:val="clear"/>
        <w:tabs>
          <w:tab w:val="left" w:pos="630"/>
        </w:tabs>
        <w:ind w:left="0" w:firstLine="0"/>
        <w:rPr>
          <w:rFonts w:ascii="宋体" w:hAnsi="宋体" w:cs="宋体"/>
          <w:b/>
          <w:color w:val="auto"/>
          <w:szCs w:val="21"/>
          <w:highlight w:val="none"/>
        </w:rPr>
      </w:pPr>
      <w:r>
        <w:rPr>
          <w:rFonts w:hint="eastAsia" w:ascii="宋体" w:hAnsi="宋体" w:cs="宋体"/>
          <w:b/>
          <w:color w:val="auto"/>
          <w:szCs w:val="21"/>
          <w:highlight w:val="none"/>
        </w:rPr>
        <w:t>合同金额</w:t>
      </w:r>
    </w:p>
    <w:p>
      <w:pPr>
        <w:pStyle w:val="14"/>
        <w:shd w:val="clear"/>
        <w:ind w:firstLine="420" w:firstLineChars="200"/>
        <w:rPr>
          <w:rFonts w:hAnsi="宋体" w:cs="宋体"/>
          <w:b w:val="0"/>
          <w:bCs/>
          <w:color w:val="auto"/>
          <w:szCs w:val="21"/>
          <w:highlight w:val="none"/>
        </w:rPr>
      </w:pPr>
      <w:r>
        <w:rPr>
          <w:rFonts w:hint="eastAsia" w:hAnsi="宋体" w:cs="宋体"/>
          <w:b w:val="0"/>
          <w:bCs/>
          <w:color w:val="auto"/>
          <w:szCs w:val="21"/>
          <w:highlight w:val="none"/>
        </w:rPr>
        <w:t>本合同暂定总价为人民币大写</w:t>
      </w:r>
      <w:r>
        <w:rPr>
          <w:rFonts w:hint="eastAsia" w:hAnsi="宋体" w:cs="宋体"/>
          <w:b w:val="0"/>
          <w:bCs/>
          <w:color w:val="auto"/>
          <w:szCs w:val="21"/>
          <w:highlight w:val="none"/>
          <w:u w:val="single"/>
        </w:rPr>
        <w:t xml:space="preserve">              </w:t>
      </w:r>
      <w:r>
        <w:rPr>
          <w:rFonts w:hint="eastAsia" w:hAnsi="宋体" w:cs="宋体"/>
          <w:b w:val="0"/>
          <w:bCs/>
          <w:color w:val="auto"/>
          <w:szCs w:val="21"/>
          <w:highlight w:val="none"/>
        </w:rPr>
        <w:t>（¥         元），其中：增值税税率为   %，税金¥       元，不含税合同总价款为¥         元。本项目各项费用报价已包含服务费、差旅费、餐饮费、调查费、采样费、分析费、报告出具费、耗材费、税费、人工费、保险费等一切为满足项目实施可能产生的费用，甲方不承担其他额外费用，总价不作任何调整。各项子项目费用详见附件《报价清单》，本项目为固定单价暂定总价，根据实际完成的服务项目内容按实结算。</w:t>
      </w:r>
    </w:p>
    <w:p>
      <w:pPr>
        <w:numPr>
          <w:ilvl w:val="0"/>
          <w:numId w:val="8"/>
        </w:numPr>
        <w:shd w:val="clear"/>
        <w:tabs>
          <w:tab w:val="left" w:pos="630"/>
        </w:tabs>
        <w:ind w:left="0" w:firstLine="0"/>
        <w:rPr>
          <w:rFonts w:ascii="宋体" w:hAnsi="宋体" w:cs="宋体"/>
          <w:b/>
          <w:color w:val="auto"/>
          <w:szCs w:val="21"/>
          <w:highlight w:val="none"/>
        </w:rPr>
      </w:pPr>
      <w:r>
        <w:rPr>
          <w:rFonts w:hint="eastAsia" w:ascii="宋体" w:hAnsi="宋体" w:cs="宋体"/>
          <w:b/>
          <w:color w:val="auto"/>
          <w:szCs w:val="21"/>
          <w:highlight w:val="none"/>
        </w:rPr>
        <w:t>服务范围</w:t>
      </w:r>
    </w:p>
    <w:p>
      <w:pPr>
        <w:shd w:val="clear"/>
        <w:rPr>
          <w:rFonts w:ascii="宋体" w:hAnsi="宋体" w:cs="宋体"/>
          <w:color w:val="auto"/>
          <w:szCs w:val="21"/>
          <w:highlight w:val="none"/>
          <w:u w:val="single"/>
        </w:rPr>
      </w:pPr>
      <w:r>
        <w:rPr>
          <w:rFonts w:hint="eastAsia" w:ascii="宋体" w:hAnsi="宋体" w:cs="宋体"/>
          <w:color w:val="auto"/>
          <w:szCs w:val="21"/>
          <w:highlight w:val="none"/>
        </w:rPr>
        <w:t>　　1．本合同项下的服务详见附件技术需求书、采购文件。</w:t>
      </w:r>
    </w:p>
    <w:p>
      <w:pPr>
        <w:widowControl w:val="0"/>
        <w:shd w:val="clear"/>
        <w:adjustRightInd/>
        <w:snapToGrid/>
        <w:ind w:firstLine="420" w:firstLineChars="200"/>
        <w:rPr>
          <w:rFonts w:ascii="宋体" w:hAnsi="宋体" w:cs="宋体"/>
          <w:color w:val="auto"/>
          <w:szCs w:val="21"/>
          <w:highlight w:val="none"/>
        </w:rPr>
      </w:pPr>
      <w:r>
        <w:rPr>
          <w:rFonts w:hint="eastAsia" w:ascii="宋体" w:hAnsi="宋体" w:cs="宋体"/>
          <w:color w:val="auto"/>
          <w:szCs w:val="21"/>
          <w:highlight w:val="none"/>
        </w:rPr>
        <w:t>2．乙方须依据甲方的要求于每月10号前完成环境监测采样，并于完成采样后的15个日历日内（稳定化飞灰含水率、浸出液重金属含量监测项目需在接收到样品后7个日历日内）出具准确、无数据及文字错误错漏的环境监测报告。逾期不提交报告或提供出现数据及文字错误错漏的报告的，视为违约责任，每延误一日或错误/漏一处扣除当季应付监测费用1000元，以此类推。如因乙方原因影响甲方正常工作或造成甲方损失的，甲方有权单方面终止合同，更换服务单位，并有权要求乙方赔付甲方损失。</w:t>
      </w:r>
    </w:p>
    <w:p>
      <w:pPr>
        <w:pStyle w:val="9"/>
        <w:widowControl w:val="0"/>
        <w:shd w:val="clear"/>
        <w:adjustRightInd/>
        <w:snapToGrid/>
        <w:ind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3.乙方从合同签订后，必须服从并按照甲方的环境监测计划内容开展任务，不得以任何理由拒绝执行或监测，否则视为违约责任；监测任务执行超期的，也视为违约责任，招标人有权单方面终止合同，更换服务单位，并有权要求乙方赔付甲方的一切损失。</w:t>
      </w:r>
    </w:p>
    <w:p>
      <w:pPr>
        <w:pStyle w:val="9"/>
        <w:widowControl w:val="0"/>
        <w:shd w:val="clear"/>
        <w:adjustRightInd/>
        <w:snapToGrid/>
        <w:ind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4.乙方应公平、公正出具检测结果，招标人对检测结果有疑议的，由乙方协助进行全过程质量排查，提供免费复测，查找原因。如招标人疑议未能排除的，聘请第三方有资质机构进行检测，如第三方检测结果与乙方检测结果差异在正负15%以外的，由乙方承担第三方检测费用。</w:t>
      </w:r>
    </w:p>
    <w:p>
      <w:pPr>
        <w:pStyle w:val="9"/>
        <w:widowControl w:val="0"/>
        <w:shd w:val="clear"/>
        <w:adjustRightInd/>
        <w:snapToGrid/>
        <w:ind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5.乙方应依据检测项目执行标准及技术规范要求，落实样品采集、分析及结果评价工作，确保所有的检测项目均依据控制标准/限值进行有效评价，出具的报告真实有效，可追溯。</w:t>
      </w:r>
    </w:p>
    <w:p>
      <w:pPr>
        <w:shd w:val="clear"/>
        <w:ind w:firstLine="420"/>
        <w:rPr>
          <w:rFonts w:ascii="宋体" w:hAnsi="宋体" w:cs="宋体"/>
          <w:color w:val="auto"/>
          <w:szCs w:val="21"/>
          <w:highlight w:val="none"/>
        </w:rPr>
      </w:pPr>
      <w:r>
        <w:rPr>
          <w:rFonts w:hint="eastAsia" w:ascii="宋体" w:hAnsi="宋体" w:cs="宋体"/>
          <w:color w:val="auto"/>
          <w:szCs w:val="21"/>
          <w:highlight w:val="none"/>
        </w:rPr>
        <w:t>6.乙方就监测相关内容，接受甲方的咨询。</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7.乙方应积极组织技术力量及时、紧密开展环境监测工作，确保符合甲方约定的期限内提交监测报告。</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8．监测报告提交书面文本（一式四份加盖具有CMA质量认证资质章）和电子文本。其中，第一部分第2点土壤调查服务应在完成采样、监测及出具报告后，对监测结果进行分析，编制土壤及地下水自行监测报告，报告参考《工业企业土壤和地下水自行监测 技术指南》（HJ 1209-2021）附录D，出具报告须通过经专家评审同意，并最终完成市生态环境局备案。</w:t>
      </w:r>
    </w:p>
    <w:p>
      <w:pPr>
        <w:numPr>
          <w:ilvl w:val="0"/>
          <w:numId w:val="8"/>
        </w:numPr>
        <w:shd w:val="clear"/>
        <w:tabs>
          <w:tab w:val="left" w:pos="630"/>
        </w:tabs>
        <w:ind w:left="0" w:firstLine="0"/>
        <w:rPr>
          <w:rFonts w:ascii="宋体" w:hAnsi="宋体" w:cs="宋体"/>
          <w:b/>
          <w:color w:val="auto"/>
          <w:szCs w:val="21"/>
          <w:highlight w:val="none"/>
        </w:rPr>
      </w:pPr>
      <w:r>
        <w:rPr>
          <w:rFonts w:hint="eastAsia" w:ascii="宋体" w:hAnsi="宋体" w:cs="宋体"/>
          <w:b/>
          <w:color w:val="auto"/>
          <w:szCs w:val="21"/>
          <w:highlight w:val="none"/>
        </w:rPr>
        <w:t>甲方乙方的权利和义务</w:t>
      </w:r>
    </w:p>
    <w:p>
      <w:pPr>
        <w:numPr>
          <w:ilvl w:val="0"/>
          <w:numId w:val="9"/>
        </w:numPr>
        <w:shd w:val="clear"/>
        <w:rPr>
          <w:rFonts w:ascii="宋体" w:hAnsi="宋体" w:cs="宋体"/>
          <w:color w:val="auto"/>
          <w:szCs w:val="21"/>
          <w:highlight w:val="none"/>
        </w:rPr>
      </w:pPr>
      <w:r>
        <w:rPr>
          <w:rFonts w:hint="eastAsia" w:ascii="宋体" w:hAnsi="宋体" w:cs="宋体"/>
          <w:color w:val="auto"/>
          <w:szCs w:val="21"/>
          <w:highlight w:val="none"/>
        </w:rPr>
        <w:t>甲方的权利和义务</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1.甲方有权在技术服务实施过程中对乙方的工作进行监督、指导，包括进度、质量等。 </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2.甲方派出业务人员配合乙方完成技术服务相关的资料收集、实施方案的确认等工作，协调提供调查场地的相关资料等。 </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3.甲方应及时按照合同约定支付费用。 </w:t>
      </w:r>
    </w:p>
    <w:p>
      <w:pPr>
        <w:numPr>
          <w:ilvl w:val="0"/>
          <w:numId w:val="9"/>
        </w:numPr>
        <w:shd w:val="clear"/>
        <w:rPr>
          <w:rFonts w:ascii="宋体" w:hAnsi="宋体" w:cs="宋体"/>
          <w:color w:val="auto"/>
          <w:szCs w:val="21"/>
          <w:highlight w:val="none"/>
        </w:rPr>
      </w:pPr>
      <w:r>
        <w:rPr>
          <w:rFonts w:hint="eastAsia" w:ascii="宋体" w:hAnsi="宋体" w:cs="宋体"/>
          <w:color w:val="auto"/>
          <w:szCs w:val="21"/>
          <w:highlight w:val="none"/>
        </w:rPr>
        <w:t>乙方的权利和义务</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1.乙方须根据依据2021年3月1日生态环境部施行的《排污许可管理条例》、《排污单位自行监测技术指南总则》(HJ819-2017)、《排污许可证申请与核发技术规范生活垃圾焚》(HJ1039-2019)、《排污许可证申请与核发技术规范危险废物焚烧》(HJ1038-2019)、《排污许可证申请与核发技术规范工业固体废物和危险废物治理(HJ1033-2019)》、《关于实施厂区内挥发性有机物无组织排放监控要求的通告(粤环发[2021]4号)》、危险废物焚烧污染控制标准(GB18484-2020)》、《东莞市海心沙资源综合利用中心绿色工业服务项目环境影响报告书》(环评证甲字第2606号)及《东环建〔2021〕4778号关于海心沙绿色工业服务项目物化废水处理单元处理浓缩液技改项目环境影响报告表的批复》及地方有关环境监测技术规范、相关的环境保护法律法规，开展本项目环境监测服务工作，按项目要求及工作进度向甲方提交符合本合同约定要求的监测报告。</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2.对甲方提供的所有资料，未经同意不得向第三方披露、转让或复制。 </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3.负责及时提供给甲方各阶段成果文件，负责报告评审、论证和报批的相关工作，承担为完成本项目环境监测服务合格成果文件及审批而产生的全部费用。 </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4.乙方技术服务过程中涉及需要向甲方公开有关技术细节，应提供必要的技术材料，并向甲方相关人员提供培训和技术支持。 </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5.乙方在服务本项目服务期间自负自身安全责任，服从甲方项目和场地管理；乙方自行解决水电等所需，甲方予以必要的协助，费用不再另行支付。</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6．在项目实施过程中出现的因采样方法有误、样品保存不当或运输过程出现撒漏等突发情况的，乙方无条件重新安排采样分析，并保证满足在每月25日前出具报告，因此产生的费用由乙方负责。 </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7. 乙方应公平、公正出具检测结果，甲方对检测结果有疑议的，由乙方协助进行全过程质量排查，</w:t>
      </w:r>
      <w:r>
        <w:rPr>
          <w:rFonts w:hint="eastAsia" w:ascii="宋体" w:hAnsi="宋体" w:cs="宋体"/>
          <w:color w:val="auto"/>
          <w:kern w:val="2"/>
          <w:sz w:val="21"/>
          <w:szCs w:val="21"/>
          <w:highlight w:val="none"/>
        </w:rPr>
        <w:t>提供免费复测，查找原因。</w:t>
      </w:r>
      <w:r>
        <w:rPr>
          <w:rFonts w:hint="eastAsia" w:ascii="宋体" w:hAnsi="宋体" w:cs="宋体"/>
          <w:color w:val="auto"/>
          <w:szCs w:val="21"/>
          <w:highlight w:val="none"/>
        </w:rPr>
        <w:t>如甲方疑议未能排除的，聘请第三方有资质机构进行检测，如第三方检测结果与乙方检测结果差异</w:t>
      </w:r>
      <w:r>
        <w:rPr>
          <w:rFonts w:hint="eastAsia" w:ascii="宋体" w:hAnsi="宋体" w:cs="宋体"/>
          <w:color w:val="auto"/>
          <w:kern w:val="2"/>
          <w:sz w:val="21"/>
          <w:szCs w:val="21"/>
          <w:highlight w:val="none"/>
        </w:rPr>
        <w:t>在正负15%以外的</w:t>
      </w:r>
      <w:r>
        <w:rPr>
          <w:rFonts w:hint="eastAsia" w:ascii="宋体" w:hAnsi="宋体" w:cs="宋体"/>
          <w:color w:val="auto"/>
          <w:szCs w:val="21"/>
          <w:highlight w:val="none"/>
        </w:rPr>
        <w:t>，最终由乙方承担第三方检测费用。</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8. 乙方在接到甲方通知后，承诺在6小时（含）以内到达现场，如未能按时到场的，甲方有权对乙方进行1000元/次的罚款，在乙方的季度结算款中进行扣除。如因此造成甲方损失的，甲方有权要求乙方赔偿。</w:t>
      </w:r>
    </w:p>
    <w:p>
      <w:pPr>
        <w:pStyle w:val="9"/>
        <w:widowControl w:val="0"/>
        <w:shd w:val="clear"/>
        <w:adjustRightInd/>
        <w:snapToGrid/>
        <w:rPr>
          <w:rFonts w:ascii="宋体" w:hAnsi="宋体" w:cs="宋体"/>
          <w:color w:val="auto"/>
          <w:sz w:val="21"/>
          <w:szCs w:val="21"/>
          <w:highlight w:val="none"/>
        </w:rPr>
      </w:pPr>
      <w:r>
        <w:rPr>
          <w:rFonts w:hint="eastAsia" w:ascii="宋体" w:hAnsi="宋体" w:cs="宋体"/>
          <w:color w:val="auto"/>
          <w:sz w:val="21"/>
          <w:szCs w:val="21"/>
          <w:highlight w:val="none"/>
        </w:rPr>
        <w:t>9. 乙方应保证其出具的报告不存在任何权利瑕疵，甲方使用该报告不存在任何侵权行为；若造 成侵权，乙方应承担一切赔偿责任，且甲方有权解除本合同，乙方应向甲方退还甲方已付款，甲方无需支付剩余款项，且乙方应向甲方支付本合同暂定总价20%的违约金，并赔偿甲方的损失。</w:t>
      </w:r>
    </w:p>
    <w:p>
      <w:pPr>
        <w:numPr>
          <w:ilvl w:val="0"/>
          <w:numId w:val="8"/>
        </w:numPr>
        <w:shd w:val="clear"/>
        <w:tabs>
          <w:tab w:val="left" w:pos="630"/>
        </w:tabs>
        <w:ind w:left="0" w:firstLine="0"/>
        <w:rPr>
          <w:rFonts w:ascii="宋体" w:hAnsi="宋体" w:cs="宋体"/>
          <w:b/>
          <w:color w:val="auto"/>
          <w:szCs w:val="21"/>
          <w:highlight w:val="none"/>
        </w:rPr>
      </w:pPr>
      <w:r>
        <w:rPr>
          <w:rFonts w:hint="eastAsia" w:ascii="宋体" w:hAnsi="宋体" w:cs="宋体"/>
          <w:b/>
          <w:color w:val="auto"/>
          <w:szCs w:val="21"/>
          <w:highlight w:val="none"/>
        </w:rPr>
        <w:t>服务期间（项目完成期限）</w:t>
      </w:r>
    </w:p>
    <w:p>
      <w:pPr>
        <w:shd w:val="clear"/>
        <w:ind w:firstLine="435"/>
        <w:rPr>
          <w:rFonts w:ascii="宋体" w:hAnsi="宋体" w:cs="宋体"/>
          <w:color w:val="auto"/>
          <w:highlight w:val="none"/>
        </w:rPr>
      </w:pPr>
      <w:r>
        <w:rPr>
          <w:rFonts w:hint="eastAsia" w:ascii="宋体" w:hAnsi="宋体" w:cs="宋体"/>
          <w:color w:val="auto"/>
          <w:szCs w:val="21"/>
          <w:highlight w:val="none"/>
        </w:rPr>
        <w:t>本项目服务期为一年，实际服务时间为自甲方通知乙方实际进场开始检测之日起一年。</w:t>
      </w:r>
    </w:p>
    <w:p>
      <w:pPr>
        <w:numPr>
          <w:ilvl w:val="0"/>
          <w:numId w:val="8"/>
        </w:numPr>
        <w:shd w:val="clear"/>
        <w:tabs>
          <w:tab w:val="left" w:pos="630"/>
        </w:tabs>
        <w:ind w:left="0" w:firstLine="0"/>
        <w:rPr>
          <w:rFonts w:ascii="宋体" w:hAnsi="宋体" w:cs="宋体"/>
          <w:b/>
          <w:color w:val="auto"/>
          <w:szCs w:val="21"/>
          <w:highlight w:val="none"/>
        </w:rPr>
      </w:pPr>
      <w:r>
        <w:rPr>
          <w:rFonts w:hint="eastAsia" w:ascii="宋体" w:hAnsi="宋体" w:cs="宋体"/>
          <w:b/>
          <w:color w:val="auto"/>
          <w:szCs w:val="21"/>
          <w:highlight w:val="none"/>
        </w:rPr>
        <w:t>付款方式</w:t>
      </w:r>
    </w:p>
    <w:p>
      <w:pPr>
        <w:shd w:val="clear"/>
        <w:ind w:firstLine="435"/>
        <w:rPr>
          <w:rFonts w:ascii="宋体" w:hAnsi="宋体" w:cs="宋体"/>
          <w:color w:val="auto"/>
          <w:szCs w:val="21"/>
          <w:highlight w:val="none"/>
        </w:rPr>
      </w:pPr>
      <w:r>
        <w:rPr>
          <w:rFonts w:hint="eastAsia" w:ascii="宋体" w:hAnsi="宋体" w:cs="宋体"/>
          <w:color w:val="auto"/>
          <w:szCs w:val="21"/>
          <w:highlight w:val="none"/>
        </w:rPr>
        <w:t>1. 合同签定后，甲方按每个季度进行支付，甲方将根据乙方每季度实际完成的采样监测项目并取得报告（含文本+电子）后如实结算。乙方在每个季度第一个月10日前提交上个季度双方确认的结算报告、请款资料及上季度结算金额100%的合法有效的增值税专用发票，甲方在收到上述有效资料的30个工作日内完成付款。</w:t>
      </w:r>
    </w:p>
    <w:p>
      <w:pPr>
        <w:shd w:val="clear"/>
        <w:ind w:firstLine="435"/>
        <w:rPr>
          <w:rFonts w:ascii="宋体" w:hAnsi="宋体" w:cs="宋体"/>
          <w:color w:val="auto"/>
          <w:szCs w:val="21"/>
          <w:highlight w:val="none"/>
        </w:rPr>
      </w:pPr>
      <w:r>
        <w:rPr>
          <w:rFonts w:hint="eastAsia" w:ascii="宋体" w:hAnsi="宋体" w:cs="宋体"/>
          <w:color w:val="auto"/>
          <w:szCs w:val="21"/>
          <w:highlight w:val="none"/>
        </w:rPr>
        <w:t>2.每次支付费用之前，乙方必须提供等额增值税专用发票及有效请款资料；乙方未按约定时间提交有效请款资料及增值税专用发票的，甲方有权延期付款。</w:t>
      </w:r>
    </w:p>
    <w:p>
      <w:pPr>
        <w:shd w:val="clear"/>
        <w:tabs>
          <w:tab w:val="left" w:pos="960"/>
        </w:tabs>
        <w:ind w:firstLine="435"/>
        <w:rPr>
          <w:rFonts w:ascii="宋体" w:hAnsi="宋体" w:cs="宋体"/>
          <w:color w:val="auto"/>
          <w:szCs w:val="21"/>
          <w:highlight w:val="none"/>
        </w:rPr>
      </w:pPr>
      <w:r>
        <w:rPr>
          <w:rFonts w:hint="eastAsia" w:ascii="宋体" w:hAnsi="宋体" w:cs="宋体"/>
          <w:color w:val="auto"/>
          <w:szCs w:val="21"/>
          <w:highlight w:val="none"/>
        </w:rPr>
        <w:t>3.乙方收款账户信息：</w:t>
      </w:r>
    </w:p>
    <w:p>
      <w:pPr>
        <w:pStyle w:val="2"/>
        <w:shd w:val="clear"/>
        <w:ind w:left="0" w:firstLine="420" w:firstLineChars="200"/>
        <w:rPr>
          <w:color w:val="auto"/>
          <w:sz w:val="21"/>
          <w:szCs w:val="21"/>
          <w:highlight w:val="none"/>
        </w:rPr>
      </w:pPr>
      <w:r>
        <w:rPr>
          <w:rFonts w:hint="eastAsia"/>
          <w:color w:val="auto"/>
          <w:sz w:val="21"/>
          <w:szCs w:val="21"/>
          <w:highlight w:val="none"/>
        </w:rPr>
        <w:t>账户名称：</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开户银行：</w:t>
      </w:r>
    </w:p>
    <w:p>
      <w:pPr>
        <w:pStyle w:val="2"/>
        <w:shd w:val="clear"/>
        <w:ind w:left="0" w:firstLine="420" w:firstLineChars="200"/>
        <w:rPr>
          <w:color w:val="auto"/>
          <w:sz w:val="21"/>
          <w:szCs w:val="21"/>
          <w:highlight w:val="none"/>
        </w:rPr>
      </w:pPr>
      <w:r>
        <w:rPr>
          <w:rFonts w:hint="eastAsia"/>
          <w:color w:val="auto"/>
          <w:sz w:val="21"/>
          <w:szCs w:val="21"/>
          <w:highlight w:val="none"/>
        </w:rPr>
        <w:t>开户账号：</w:t>
      </w:r>
    </w:p>
    <w:p>
      <w:pPr>
        <w:widowControl w:val="0"/>
        <w:shd w:val="clear"/>
        <w:adjustRightInd/>
        <w:snapToGrid/>
        <w:rPr>
          <w:rFonts w:ascii="宋体" w:hAnsi="宋体" w:cs="宋体"/>
          <w:color w:val="auto"/>
          <w:szCs w:val="21"/>
          <w:highlight w:val="none"/>
        </w:rPr>
      </w:pPr>
      <w:r>
        <w:rPr>
          <w:rFonts w:hint="eastAsia" w:ascii="宋体" w:hAnsi="宋体" w:cs="宋体"/>
          <w:color w:val="auto"/>
          <w:szCs w:val="21"/>
          <w:highlight w:val="none"/>
        </w:rPr>
        <w:t xml:space="preserve">若因乙方提供的收款账户信息错误或乙方变更收款账户信息后而未及时通知甲方导致甲方迟延或错误付款的，甲方无需承担违约责任。 </w:t>
      </w:r>
    </w:p>
    <w:p>
      <w:pPr>
        <w:widowControl w:val="0"/>
        <w:shd w:val="clear"/>
        <w:adjustRightInd/>
        <w:snapToGrid/>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rPr>
        <w:t>4.乙方向甲方缴纳的履约保证金为¥     元（大写：              ），作为本合同履约的担保。乙方无任何违约情形的，可在完成所有合同服务范围后，向甲方提交退款申请，甲方在收到乙方申请后30个日历日内一次性无息退回；若乙方有违约情形，甲方可从履约保证金中直接扣除相应的违约金。若因乙方原因导致本合同提前终止或解除的，甲方有权没收履约保证金。</w:t>
      </w:r>
    </w:p>
    <w:p>
      <w:pPr>
        <w:numPr>
          <w:ilvl w:val="0"/>
          <w:numId w:val="8"/>
        </w:numPr>
        <w:shd w:val="clear"/>
        <w:tabs>
          <w:tab w:val="left" w:pos="630"/>
        </w:tabs>
        <w:ind w:left="0" w:firstLine="0"/>
        <w:rPr>
          <w:rFonts w:ascii="宋体" w:hAnsi="宋体" w:cs="宋体"/>
          <w:b/>
          <w:color w:val="auto"/>
          <w:szCs w:val="21"/>
          <w:highlight w:val="none"/>
        </w:rPr>
      </w:pPr>
      <w:r>
        <w:rPr>
          <w:rFonts w:hint="eastAsia" w:ascii="宋体" w:hAnsi="宋体" w:cs="宋体"/>
          <w:b/>
          <w:color w:val="auto"/>
          <w:szCs w:val="21"/>
          <w:highlight w:val="none"/>
        </w:rPr>
        <w:t>知识产权产权归属</w:t>
      </w:r>
    </w:p>
    <w:p>
      <w:pPr>
        <w:shd w:val="clear"/>
        <w:tabs>
          <w:tab w:val="left" w:pos="900"/>
        </w:tabs>
        <w:ind w:firstLine="420" w:firstLineChars="200"/>
        <w:rPr>
          <w:rFonts w:ascii="宋体" w:hAnsi="宋体" w:cs="宋体"/>
          <w:b/>
          <w:color w:val="auto"/>
          <w:szCs w:val="21"/>
          <w:highlight w:val="none"/>
        </w:rPr>
      </w:pPr>
      <w:r>
        <w:rPr>
          <w:rFonts w:hint="eastAsia" w:ascii="宋体" w:hAnsi="宋体" w:cs="宋体"/>
          <w:color w:val="auto"/>
          <w:szCs w:val="21"/>
          <w:highlight w:val="none"/>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pPr>
        <w:numPr>
          <w:ilvl w:val="0"/>
          <w:numId w:val="8"/>
        </w:numPr>
        <w:shd w:val="clear"/>
        <w:tabs>
          <w:tab w:val="left" w:pos="630"/>
        </w:tabs>
        <w:ind w:left="0" w:firstLine="0"/>
        <w:rPr>
          <w:rFonts w:ascii="宋体" w:hAnsi="宋体" w:cs="宋体"/>
          <w:b/>
          <w:color w:val="auto"/>
          <w:szCs w:val="21"/>
          <w:highlight w:val="none"/>
        </w:rPr>
      </w:pPr>
      <w:r>
        <w:rPr>
          <w:rFonts w:hint="eastAsia" w:ascii="宋体" w:hAnsi="宋体" w:cs="宋体"/>
          <w:b/>
          <w:color w:val="auto"/>
          <w:szCs w:val="21"/>
          <w:highlight w:val="none"/>
        </w:rPr>
        <w:t>保密</w:t>
      </w:r>
    </w:p>
    <w:p>
      <w:pPr>
        <w:shd w:val="clear"/>
        <w:tabs>
          <w:tab w:val="left" w:pos="900"/>
        </w:tabs>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项目实施过程中至乙方正式向甲方交付监测报告书面文本（一式四份加盖具有CMA质量认证资质章）和电子文本时止，乙方必须采取措施对本项目实施过程中的数据、技术文档等资料保密，否则，由于乙方过错导致的上述资料泄密的，乙方必须承担一切责任。项目完成后，甲、乙双方均有责任对本项目的技术保密承担责任。  </w:t>
      </w:r>
    </w:p>
    <w:p>
      <w:pPr>
        <w:shd w:val="clear"/>
        <w:tabs>
          <w:tab w:val="left" w:pos="900"/>
        </w:tabs>
        <w:ind w:firstLine="420" w:firstLineChars="200"/>
        <w:rPr>
          <w:rFonts w:ascii="宋体" w:hAnsi="宋体" w:cs="宋体"/>
          <w:color w:val="auto"/>
          <w:szCs w:val="21"/>
          <w:highlight w:val="none"/>
        </w:rPr>
      </w:pPr>
      <w:r>
        <w:rPr>
          <w:rFonts w:hint="eastAsia" w:ascii="宋体" w:hAnsi="宋体" w:cs="宋体"/>
          <w:color w:val="auto"/>
          <w:szCs w:val="21"/>
          <w:highlight w:val="none"/>
        </w:rPr>
        <w:t>1）未经甲方事先书面同意，乙方不得将由甲方为本合同提供的条文、公司信息、检测样品</w:t>
      </w:r>
      <w:r>
        <w:rPr>
          <w:rFonts w:hint="eastAsia"/>
          <w:color w:val="auto"/>
          <w:highlight w:val="none"/>
        </w:rPr>
        <w:t>等</w:t>
      </w:r>
      <w:r>
        <w:rPr>
          <w:rFonts w:hint="eastAsia" w:ascii="宋体" w:hAnsi="宋体" w:cs="宋体"/>
          <w:color w:val="auto"/>
          <w:szCs w:val="21"/>
          <w:highlight w:val="none"/>
        </w:rPr>
        <w:t>提供给与本合同无关的任何第三方，不得将其用于履行本合同之外的其它用途。即使向与履行本合同有关的人员提供，也应注意保密并限于履行合同所必需的范围。</w:t>
      </w:r>
    </w:p>
    <w:p>
      <w:pPr>
        <w:shd w:val="clear"/>
        <w:tabs>
          <w:tab w:val="left" w:pos="900"/>
        </w:tabs>
        <w:ind w:firstLine="420" w:firstLineChars="200"/>
        <w:rPr>
          <w:rFonts w:ascii="宋体" w:hAnsi="宋体" w:cs="宋体"/>
          <w:color w:val="auto"/>
          <w:szCs w:val="21"/>
          <w:highlight w:val="none"/>
        </w:rPr>
      </w:pPr>
      <w:r>
        <w:rPr>
          <w:rFonts w:hint="eastAsia" w:ascii="宋体" w:hAnsi="宋体" w:cs="宋体"/>
          <w:color w:val="auto"/>
          <w:szCs w:val="21"/>
          <w:highlight w:val="none"/>
        </w:rPr>
        <w:t>2）除了合同本身之外，上款所列举的任何物件均是甲方的财产。乙方应当在完成合同后应将这些物件及全部复制件还给甲方，甲方同意由乙方持有的除外。</w:t>
      </w:r>
    </w:p>
    <w:p>
      <w:pPr>
        <w:numPr>
          <w:ilvl w:val="0"/>
          <w:numId w:val="8"/>
        </w:numPr>
        <w:shd w:val="clear"/>
        <w:tabs>
          <w:tab w:val="left" w:pos="630"/>
        </w:tabs>
        <w:ind w:left="0" w:firstLine="0"/>
        <w:rPr>
          <w:rFonts w:ascii="宋体" w:hAnsi="宋体" w:cs="宋体"/>
          <w:b/>
          <w:color w:val="auto"/>
          <w:szCs w:val="21"/>
          <w:highlight w:val="none"/>
        </w:rPr>
      </w:pPr>
      <w:r>
        <w:rPr>
          <w:rFonts w:hint="eastAsia" w:ascii="宋体" w:hAnsi="宋体" w:cs="宋体"/>
          <w:b/>
          <w:color w:val="auto"/>
          <w:szCs w:val="21"/>
          <w:highlight w:val="none"/>
        </w:rPr>
        <w:t>现场安全管理</w:t>
      </w:r>
    </w:p>
    <w:p>
      <w:pPr>
        <w:pStyle w:val="9"/>
        <w:widowControl w:val="0"/>
        <w:shd w:val="clear"/>
        <w:adjustRightInd/>
        <w:snapToGrid/>
        <w:rPr>
          <w:rFonts w:ascii="宋体" w:hAnsi="宋体" w:cs="宋体"/>
          <w:color w:val="auto"/>
          <w:sz w:val="21"/>
          <w:szCs w:val="21"/>
          <w:highlight w:val="none"/>
        </w:rPr>
      </w:pPr>
      <w:r>
        <w:rPr>
          <w:rFonts w:hint="eastAsia" w:ascii="宋体" w:hAnsi="宋体" w:cs="宋体"/>
          <w:color w:val="auto"/>
          <w:sz w:val="21"/>
          <w:szCs w:val="21"/>
          <w:highlight w:val="none"/>
        </w:rPr>
        <w:t>1、现场安全管理</w:t>
      </w:r>
    </w:p>
    <w:p>
      <w:pPr>
        <w:pStyle w:val="9"/>
        <w:widowControl w:val="0"/>
        <w:shd w:val="clear"/>
        <w:adjustRightInd/>
        <w:snapToGrid/>
        <w:rPr>
          <w:rFonts w:ascii="宋体" w:hAnsi="宋体" w:cs="宋体"/>
          <w:color w:val="auto"/>
          <w:sz w:val="21"/>
          <w:szCs w:val="21"/>
          <w:highlight w:val="none"/>
        </w:rPr>
      </w:pPr>
      <w:r>
        <w:rPr>
          <w:rFonts w:hint="eastAsia" w:ascii="宋体" w:hAnsi="宋体" w:cs="宋体"/>
          <w:color w:val="auto"/>
          <w:sz w:val="21"/>
          <w:szCs w:val="21"/>
          <w:highlight w:val="none"/>
        </w:rPr>
        <w:t>（1）坚决贯彻执行党和国家所在地各级人民政府关于安全生产的一系列方针、政策、法规、条例和规定，必须采取一切必要措施和手段强化安全管理。</w:t>
      </w:r>
    </w:p>
    <w:p>
      <w:pPr>
        <w:pStyle w:val="9"/>
        <w:widowControl w:val="0"/>
        <w:shd w:val="clear"/>
        <w:adjustRightInd/>
        <w:snapToGrid/>
        <w:rPr>
          <w:rFonts w:ascii="宋体" w:hAnsi="宋体" w:cs="宋体"/>
          <w:color w:val="auto"/>
          <w:sz w:val="21"/>
          <w:szCs w:val="21"/>
          <w:highlight w:val="none"/>
        </w:rPr>
      </w:pPr>
      <w:r>
        <w:rPr>
          <w:rFonts w:hint="eastAsia" w:ascii="宋体" w:hAnsi="宋体" w:cs="宋体"/>
          <w:color w:val="auto"/>
          <w:sz w:val="21"/>
          <w:szCs w:val="21"/>
          <w:highlight w:val="none"/>
        </w:rPr>
        <w:t>（2）乙方贯彻执行“安全第一、预防为主”的方针，严格执行国家电力公司《电业生产安全工作规程》《安全生产工作规定》《防止电力生产重大事故的二十五项重点要求》等规章制度的有关规定。</w:t>
      </w:r>
    </w:p>
    <w:p>
      <w:pPr>
        <w:pStyle w:val="9"/>
        <w:widowControl w:val="0"/>
        <w:shd w:val="clear"/>
        <w:adjustRightInd/>
        <w:snapToGrid/>
        <w:rPr>
          <w:rFonts w:ascii="宋体" w:hAnsi="宋体" w:cs="宋体"/>
          <w:color w:val="auto"/>
          <w:sz w:val="21"/>
          <w:szCs w:val="21"/>
          <w:highlight w:val="none"/>
        </w:rPr>
      </w:pPr>
      <w:r>
        <w:rPr>
          <w:rFonts w:hint="eastAsia" w:ascii="宋体" w:hAnsi="宋体" w:cs="宋体"/>
          <w:color w:val="auto"/>
          <w:sz w:val="21"/>
          <w:szCs w:val="21"/>
          <w:highlight w:val="none"/>
        </w:rPr>
        <w:t>（3）乙方保证熟悉电厂工作票执行中的相关事项并依据国家电力公司和甲方有关工作票的相关规定执行。</w:t>
      </w:r>
    </w:p>
    <w:p>
      <w:pPr>
        <w:pStyle w:val="9"/>
        <w:widowControl w:val="0"/>
        <w:shd w:val="clear"/>
        <w:adjustRightInd/>
        <w:snapToGrid/>
        <w:rPr>
          <w:rFonts w:ascii="宋体" w:hAnsi="宋体" w:cs="宋体"/>
          <w:color w:val="auto"/>
          <w:sz w:val="21"/>
          <w:szCs w:val="21"/>
          <w:highlight w:val="none"/>
        </w:rPr>
      </w:pPr>
      <w:r>
        <w:rPr>
          <w:rFonts w:hint="eastAsia" w:ascii="宋体" w:hAnsi="宋体" w:cs="宋体"/>
          <w:color w:val="auto"/>
          <w:sz w:val="21"/>
          <w:szCs w:val="21"/>
          <w:highlight w:val="none"/>
        </w:rPr>
        <w:t>（4）乙方在本合同开始履行前，组织采样人员认真听取甲方的安全技术交底，制定出采样工作安全技术措施和防火防盗措施，经甲方审核批准后开工。</w:t>
      </w:r>
    </w:p>
    <w:p>
      <w:pPr>
        <w:pStyle w:val="9"/>
        <w:widowControl w:val="0"/>
        <w:shd w:val="clear"/>
        <w:adjustRightInd/>
        <w:snapToGrid/>
        <w:rPr>
          <w:rFonts w:ascii="宋体" w:hAnsi="宋体" w:cs="宋体"/>
          <w:color w:val="auto"/>
          <w:sz w:val="21"/>
          <w:szCs w:val="21"/>
          <w:highlight w:val="none"/>
        </w:rPr>
      </w:pPr>
      <w:r>
        <w:rPr>
          <w:rFonts w:hint="eastAsia" w:ascii="宋体" w:hAnsi="宋体" w:cs="宋体"/>
          <w:color w:val="auto"/>
          <w:sz w:val="21"/>
          <w:szCs w:val="21"/>
          <w:highlight w:val="none"/>
        </w:rPr>
        <w:t>（5）乙方在现场采样工作过程中，接受甲方安全各项考核制度和管理人员的安全监督。</w:t>
      </w:r>
    </w:p>
    <w:p>
      <w:pPr>
        <w:pStyle w:val="9"/>
        <w:widowControl w:val="0"/>
        <w:shd w:val="clear"/>
        <w:adjustRightInd/>
        <w:snapToGrid/>
        <w:rPr>
          <w:rFonts w:ascii="宋体" w:hAnsi="宋体" w:cs="宋体"/>
          <w:color w:val="auto"/>
          <w:sz w:val="21"/>
          <w:szCs w:val="21"/>
          <w:highlight w:val="none"/>
        </w:rPr>
      </w:pPr>
      <w:r>
        <w:rPr>
          <w:rFonts w:hint="eastAsia" w:ascii="宋体" w:hAnsi="宋体" w:cs="宋体"/>
          <w:color w:val="auto"/>
          <w:sz w:val="21"/>
          <w:szCs w:val="21"/>
          <w:highlight w:val="none"/>
        </w:rPr>
        <w:t>（6）乙方自行负责合同范围内的人员和设备的安全；乙方必须对全部工作人员做好职业病的告知和预防，并为在现场工作的全部人员购买人身工伤意外保险，并将保险合同复印件交甲方备案；乙方未为员工购买保险的，甲方有权随时单方中止合同并不支付当季度服务费，且不对乙方进行任何赔偿。</w:t>
      </w:r>
    </w:p>
    <w:p>
      <w:pPr>
        <w:pStyle w:val="9"/>
        <w:widowControl w:val="0"/>
        <w:shd w:val="clear"/>
        <w:adjustRightInd/>
        <w:snapToGrid/>
        <w:rPr>
          <w:rFonts w:ascii="宋体" w:hAnsi="宋体" w:cs="宋体"/>
          <w:color w:val="auto"/>
          <w:sz w:val="21"/>
          <w:szCs w:val="21"/>
          <w:highlight w:val="none"/>
        </w:rPr>
      </w:pPr>
      <w:r>
        <w:rPr>
          <w:rFonts w:hint="eastAsia" w:ascii="宋体" w:hAnsi="宋体" w:cs="宋体"/>
          <w:color w:val="auto"/>
          <w:sz w:val="21"/>
          <w:szCs w:val="21"/>
          <w:highlight w:val="none"/>
        </w:rPr>
        <w:t>2、现场文明生产</w:t>
      </w:r>
    </w:p>
    <w:p>
      <w:pPr>
        <w:pStyle w:val="9"/>
        <w:widowControl w:val="0"/>
        <w:shd w:val="clear"/>
        <w:adjustRightInd/>
        <w:snapToGrid/>
        <w:rPr>
          <w:rFonts w:ascii="宋体" w:hAnsi="宋体" w:cs="宋体"/>
          <w:color w:val="auto"/>
          <w:sz w:val="21"/>
          <w:szCs w:val="21"/>
          <w:highlight w:val="none"/>
        </w:rPr>
      </w:pPr>
      <w:r>
        <w:rPr>
          <w:rFonts w:hint="eastAsia" w:ascii="宋体" w:hAnsi="宋体" w:cs="宋体"/>
          <w:color w:val="auto"/>
          <w:sz w:val="21"/>
          <w:szCs w:val="21"/>
          <w:highlight w:val="none"/>
        </w:rPr>
        <w:t>（1）乙方在现场遵守甲方有关文明生产的文件、规定、考核办法。</w:t>
      </w:r>
    </w:p>
    <w:p>
      <w:pPr>
        <w:pStyle w:val="9"/>
        <w:widowControl w:val="0"/>
        <w:shd w:val="clear"/>
        <w:adjustRightInd/>
        <w:snapToGrid/>
        <w:rPr>
          <w:rFonts w:ascii="宋体" w:hAnsi="宋体" w:cs="宋体"/>
          <w:color w:val="auto"/>
          <w:sz w:val="21"/>
          <w:szCs w:val="21"/>
          <w:highlight w:val="none"/>
        </w:rPr>
      </w:pPr>
      <w:r>
        <w:rPr>
          <w:rFonts w:hint="eastAsia" w:ascii="宋体" w:hAnsi="宋体" w:cs="宋体"/>
          <w:color w:val="auto"/>
          <w:sz w:val="21"/>
          <w:szCs w:val="21"/>
          <w:highlight w:val="none"/>
        </w:rPr>
        <w:t>（2）乙方采取一切合理措施，保护现场及周围的环境，避免污染、噪音或由于其采样方法的不当造成的对公共人员和财产等的危害或干扰。</w:t>
      </w:r>
    </w:p>
    <w:p>
      <w:pPr>
        <w:pStyle w:val="9"/>
        <w:widowControl w:val="0"/>
        <w:shd w:val="clear"/>
        <w:adjustRightInd/>
        <w:snapToGrid/>
        <w:rPr>
          <w:rFonts w:ascii="宋体" w:hAnsi="宋体" w:cs="宋体"/>
          <w:color w:val="auto"/>
          <w:sz w:val="21"/>
          <w:szCs w:val="21"/>
          <w:highlight w:val="none"/>
        </w:rPr>
      </w:pPr>
      <w:r>
        <w:rPr>
          <w:rFonts w:hint="eastAsia" w:ascii="宋体" w:hAnsi="宋体" w:cs="宋体"/>
          <w:color w:val="auto"/>
          <w:sz w:val="21"/>
          <w:szCs w:val="21"/>
          <w:highlight w:val="none"/>
        </w:rPr>
        <w:t>（3）乙方随时保持所负责采样区域的整洁与卫生，保证每个采样作业点都做到“工完、料净、场地清”。</w:t>
      </w:r>
    </w:p>
    <w:p>
      <w:pPr>
        <w:pStyle w:val="9"/>
        <w:widowControl w:val="0"/>
        <w:shd w:val="clear"/>
        <w:adjustRightInd/>
        <w:snapToGrid/>
        <w:rPr>
          <w:rFonts w:ascii="宋体" w:hAnsi="宋体" w:cs="宋体"/>
          <w:color w:val="auto"/>
          <w:sz w:val="21"/>
          <w:szCs w:val="21"/>
          <w:highlight w:val="none"/>
        </w:rPr>
      </w:pPr>
      <w:r>
        <w:rPr>
          <w:rFonts w:hint="eastAsia" w:ascii="宋体" w:hAnsi="宋体" w:cs="宋体"/>
          <w:color w:val="auto"/>
          <w:sz w:val="21"/>
          <w:szCs w:val="21"/>
          <w:highlight w:val="none"/>
        </w:rPr>
        <w:t>（4）乙方在现场采样时，采取一切合理的预防措施，以防止零件遗失或异物落入测量设备中。</w:t>
      </w:r>
    </w:p>
    <w:p>
      <w:pPr>
        <w:numPr>
          <w:ilvl w:val="0"/>
          <w:numId w:val="8"/>
        </w:numPr>
        <w:shd w:val="clear"/>
        <w:tabs>
          <w:tab w:val="left" w:pos="630"/>
        </w:tabs>
        <w:ind w:left="0" w:firstLine="0"/>
        <w:rPr>
          <w:rFonts w:ascii="宋体" w:hAnsi="宋体" w:cs="宋体"/>
          <w:b/>
          <w:color w:val="auto"/>
          <w:szCs w:val="21"/>
          <w:highlight w:val="none"/>
        </w:rPr>
      </w:pPr>
      <w:r>
        <w:rPr>
          <w:rFonts w:hint="eastAsia" w:ascii="宋体" w:hAnsi="宋体" w:cs="宋体"/>
          <w:b/>
          <w:color w:val="auto"/>
          <w:szCs w:val="21"/>
          <w:highlight w:val="none"/>
        </w:rPr>
        <w:t>违约责任与赔偿损失</w:t>
      </w:r>
    </w:p>
    <w:p>
      <w:pPr>
        <w:shd w:val="clear"/>
        <w:tabs>
          <w:tab w:val="left" w:pos="900"/>
        </w:tabs>
        <w:ind w:firstLine="420" w:firstLineChars="200"/>
        <w:rPr>
          <w:rFonts w:ascii="宋体" w:hAnsi="宋体" w:cs="宋体"/>
          <w:color w:val="auto"/>
          <w:szCs w:val="21"/>
          <w:highlight w:val="none"/>
        </w:rPr>
      </w:pPr>
      <w:r>
        <w:rPr>
          <w:rFonts w:hint="eastAsia" w:ascii="宋体" w:hAnsi="宋体" w:cs="宋体"/>
          <w:color w:val="auto"/>
          <w:szCs w:val="21"/>
          <w:highlight w:val="none"/>
        </w:rPr>
        <w:t>1) 乙方提供的服务不符合采购文件、报价文件或本合同规定的，甲方有权拒收，并且乙方须向甲方方支付本合同总价20%的违约金。若乙方经甲方书面催告后仍未纠正的，甲方有权单方解除本合同。</w:t>
      </w:r>
    </w:p>
    <w:p>
      <w:pPr>
        <w:shd w:val="clear"/>
        <w:tabs>
          <w:tab w:val="left" w:pos="720"/>
          <w:tab w:val="left" w:pos="900"/>
        </w:tabs>
        <w:ind w:right="210" w:firstLine="420" w:firstLineChars="200"/>
        <w:rPr>
          <w:rFonts w:ascii="宋体" w:hAnsi="宋体" w:cs="宋体"/>
          <w:color w:val="auto"/>
          <w:szCs w:val="21"/>
          <w:highlight w:val="none"/>
        </w:rPr>
      </w:pPr>
      <w:r>
        <w:rPr>
          <w:rFonts w:hint="eastAsia" w:ascii="宋体" w:hAnsi="宋体" w:cs="宋体"/>
          <w:color w:val="auto"/>
          <w:szCs w:val="21"/>
          <w:highlight w:val="none"/>
        </w:rPr>
        <w:t>2) 乙方未能按本合同规定的时间提供服务，从逾期之日起每日按本合同总价3‰的数额向甲方支付违约金；逾期15个日历日以上的，甲方有权终止合同，由此造成的甲方经济损失由乙方承担。</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3) 甲方无正当理由逾期付款且经乙方书面催告后仍未支付的，则每日按应付未付款项的0.1‰向乙方偿付违约金，逾期支付服务款项超过60个日历日的，乙方有权终止合同。</w:t>
      </w:r>
    </w:p>
    <w:p>
      <w:pPr>
        <w:shd w:val="clea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 因本合同相关事宜产生纠纷，甲方通过司法途径维护自身权益的，乙方应承担甲方因维护自身权益产生的律师费、诉讼/仲裁费、财产保全费、财产保全担保费、鉴定费、评估费、拍卖费、强制执行费、差旅费等全部费用。</w:t>
      </w:r>
    </w:p>
    <w:p>
      <w:pPr>
        <w:shd w:val="clea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5）其它违约责任按《中华人民共和国民法典》处理。</w:t>
      </w:r>
    </w:p>
    <w:p>
      <w:pPr>
        <w:numPr>
          <w:ilvl w:val="0"/>
          <w:numId w:val="8"/>
        </w:numPr>
        <w:shd w:val="clear"/>
        <w:tabs>
          <w:tab w:val="left" w:pos="630"/>
        </w:tabs>
        <w:ind w:left="0" w:firstLine="0"/>
        <w:rPr>
          <w:rFonts w:ascii="宋体" w:hAnsi="宋体" w:cs="宋体"/>
          <w:b/>
          <w:color w:val="auto"/>
          <w:szCs w:val="21"/>
          <w:highlight w:val="none"/>
        </w:rPr>
      </w:pPr>
      <w:r>
        <w:rPr>
          <w:rFonts w:hint="eastAsia" w:ascii="宋体" w:hAnsi="宋体" w:cs="宋体"/>
          <w:b/>
          <w:color w:val="auto"/>
          <w:szCs w:val="21"/>
          <w:highlight w:val="none"/>
        </w:rPr>
        <w:t>争端的解决</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合同执行过程中发生的任何争议，如双方不能通过友好协商解决，提交甲方所在地法院管辖。</w:t>
      </w:r>
    </w:p>
    <w:p>
      <w:pPr>
        <w:numPr>
          <w:ilvl w:val="0"/>
          <w:numId w:val="8"/>
        </w:numPr>
        <w:shd w:val="clear"/>
        <w:tabs>
          <w:tab w:val="left" w:pos="630"/>
        </w:tabs>
        <w:ind w:left="0" w:firstLine="0"/>
        <w:rPr>
          <w:rFonts w:ascii="宋体" w:hAnsi="宋体" w:cs="宋体"/>
          <w:b/>
          <w:color w:val="auto"/>
          <w:szCs w:val="21"/>
          <w:highlight w:val="none"/>
        </w:rPr>
      </w:pPr>
      <w:r>
        <w:rPr>
          <w:rFonts w:hint="eastAsia" w:ascii="宋体" w:hAnsi="宋体" w:cs="宋体"/>
          <w:b/>
          <w:color w:val="auto"/>
          <w:szCs w:val="21"/>
          <w:highlight w:val="none"/>
        </w:rPr>
        <w:t>不可抗力</w:t>
      </w:r>
    </w:p>
    <w:p>
      <w:pPr>
        <w:shd w:val="clear"/>
        <w:ind w:firstLine="411" w:firstLineChars="196"/>
        <w:rPr>
          <w:rFonts w:ascii="宋体" w:hAnsi="宋体" w:cs="宋体"/>
          <w:color w:val="auto"/>
          <w:szCs w:val="21"/>
          <w:highlight w:val="none"/>
        </w:rPr>
      </w:pPr>
      <w:r>
        <w:rPr>
          <w:rFonts w:hint="eastAsia" w:ascii="宋体" w:hAnsi="宋体" w:cs="宋体"/>
          <w:color w:val="auto"/>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8"/>
        </w:numPr>
        <w:shd w:val="clear"/>
        <w:tabs>
          <w:tab w:val="left" w:pos="630"/>
        </w:tabs>
        <w:ind w:left="0" w:firstLine="0"/>
        <w:rPr>
          <w:rFonts w:ascii="宋体" w:hAnsi="宋体" w:cs="宋体"/>
          <w:b/>
          <w:color w:val="auto"/>
          <w:szCs w:val="21"/>
          <w:highlight w:val="none"/>
        </w:rPr>
      </w:pPr>
      <w:r>
        <w:rPr>
          <w:rFonts w:hint="eastAsia" w:ascii="宋体" w:hAnsi="宋体" w:cs="宋体"/>
          <w:b/>
          <w:color w:val="auto"/>
          <w:szCs w:val="21"/>
          <w:highlight w:val="none"/>
        </w:rPr>
        <w:t>税费</w:t>
      </w:r>
    </w:p>
    <w:p>
      <w:pPr>
        <w:shd w:val="clear"/>
        <w:ind w:firstLine="411" w:firstLineChars="196"/>
        <w:rPr>
          <w:rFonts w:ascii="宋体" w:hAnsi="宋体" w:cs="宋体"/>
          <w:color w:val="auto"/>
          <w:szCs w:val="21"/>
          <w:highlight w:val="none"/>
        </w:rPr>
      </w:pPr>
      <w:r>
        <w:rPr>
          <w:rFonts w:hint="eastAsia" w:ascii="宋体" w:hAnsi="宋体" w:cs="宋体"/>
          <w:color w:val="auto"/>
          <w:szCs w:val="21"/>
          <w:highlight w:val="none"/>
        </w:rPr>
        <w:t>在中国境内、外发生的与本合同执行有关的一切税费均由乙方负担。</w:t>
      </w:r>
    </w:p>
    <w:p>
      <w:pPr>
        <w:numPr>
          <w:ilvl w:val="0"/>
          <w:numId w:val="8"/>
        </w:numPr>
        <w:shd w:val="clear"/>
        <w:tabs>
          <w:tab w:val="left" w:pos="630"/>
        </w:tabs>
        <w:ind w:left="0" w:firstLine="0"/>
        <w:rPr>
          <w:rFonts w:ascii="宋体" w:hAnsi="宋体" w:cs="宋体"/>
          <w:b/>
          <w:color w:val="auto"/>
          <w:szCs w:val="21"/>
          <w:highlight w:val="none"/>
        </w:rPr>
      </w:pPr>
      <w:r>
        <w:rPr>
          <w:rFonts w:hint="eastAsia" w:ascii="宋体" w:hAnsi="宋体" w:cs="宋体"/>
          <w:b/>
          <w:color w:val="auto"/>
          <w:szCs w:val="21"/>
          <w:highlight w:val="none"/>
        </w:rPr>
        <w:t>其它</w:t>
      </w:r>
    </w:p>
    <w:p>
      <w:pPr>
        <w:shd w:val="clear"/>
        <w:ind w:firstLine="420" w:firstLineChars="200"/>
        <w:rPr>
          <w:rFonts w:ascii="宋体" w:hAnsi="宋体" w:cs="宋体"/>
          <w:b/>
          <w:color w:val="auto"/>
          <w:szCs w:val="21"/>
          <w:highlight w:val="none"/>
        </w:rPr>
      </w:pPr>
      <w:r>
        <w:rPr>
          <w:rFonts w:hint="eastAsia" w:ascii="宋体" w:hAnsi="宋体" w:cs="宋体"/>
          <w:color w:val="auto"/>
          <w:szCs w:val="21"/>
          <w:highlight w:val="none"/>
        </w:rPr>
        <w:t>1) 本合同所有附件、采购文件、报价文件、结果确认函均为合同的有效组成部分，与本合同具有同等法律效力。</w:t>
      </w:r>
    </w:p>
    <w:p>
      <w:pPr>
        <w:shd w:val="clear"/>
        <w:ind w:firstLine="420" w:firstLineChars="200"/>
        <w:rPr>
          <w:rFonts w:ascii="宋体" w:hAnsi="宋体" w:cs="宋体"/>
          <w:color w:val="auto"/>
          <w:szCs w:val="21"/>
          <w:highlight w:val="none"/>
        </w:rPr>
      </w:pPr>
      <w:r>
        <w:rPr>
          <w:rFonts w:hint="eastAsia" w:ascii="宋体" w:hAnsi="宋体" w:cs="宋体"/>
          <w:bCs/>
          <w:color w:val="auto"/>
          <w:szCs w:val="21"/>
          <w:highlight w:val="none"/>
        </w:rPr>
        <w:t xml:space="preserve">2) </w:t>
      </w:r>
      <w:r>
        <w:rPr>
          <w:rFonts w:hint="eastAsia" w:ascii="宋体" w:hAnsi="宋体" w:cs="宋体"/>
          <w:color w:val="auto"/>
          <w:szCs w:val="21"/>
          <w:highlight w:val="none"/>
        </w:rPr>
        <w:t>在执行本合同的过程中，所有经双方签署确认的文件（包括会议纪要、补充协议、往来信函）即成为本合同的有效组成部分。</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 如一方地址、电话、传真号码有变更，应在变更当日内书面通知对方，否则，应承担相应责任。 </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4) 除甲方事先书面同意外，乙方不得部分或全部转让其应履行的合同项下的义务。</w:t>
      </w:r>
    </w:p>
    <w:p>
      <w:pPr>
        <w:numPr>
          <w:ilvl w:val="0"/>
          <w:numId w:val="8"/>
        </w:numPr>
        <w:shd w:val="clear"/>
        <w:tabs>
          <w:tab w:val="left" w:pos="630"/>
        </w:tabs>
        <w:ind w:left="0" w:firstLine="0"/>
        <w:rPr>
          <w:rFonts w:ascii="宋体" w:hAnsi="宋体" w:cs="宋体"/>
          <w:b/>
          <w:color w:val="auto"/>
          <w:szCs w:val="21"/>
          <w:highlight w:val="none"/>
        </w:rPr>
      </w:pPr>
      <w:r>
        <w:rPr>
          <w:rFonts w:hint="eastAsia" w:ascii="宋体" w:hAnsi="宋体" w:cs="宋体"/>
          <w:b/>
          <w:color w:val="auto"/>
          <w:szCs w:val="21"/>
          <w:highlight w:val="none"/>
        </w:rPr>
        <w:t>合同生效</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1）本合同在甲乙双方法人代表或其授权代表签字盖章后生效。</w:t>
      </w:r>
    </w:p>
    <w:p>
      <w:pPr>
        <w:shd w:val="clea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2）合同一式</w:t>
      </w:r>
      <w:r>
        <w:rPr>
          <w:rFonts w:hint="eastAsia" w:ascii="宋体" w:hAnsi="宋体" w:cs="宋体"/>
          <w:color w:val="auto"/>
          <w:szCs w:val="21"/>
          <w:highlight w:val="none"/>
          <w:u w:val="single"/>
        </w:rPr>
        <w:t xml:space="preserve"> 6</w:t>
      </w:r>
      <w:r>
        <w:rPr>
          <w:rFonts w:hint="eastAsia" w:ascii="宋体" w:hAnsi="宋体" w:cs="宋体"/>
          <w:color w:val="auto"/>
          <w:szCs w:val="21"/>
          <w:highlight w:val="none"/>
        </w:rPr>
        <w:t>份，其中甲方</w:t>
      </w:r>
      <w:r>
        <w:rPr>
          <w:rFonts w:hint="eastAsia" w:ascii="宋体" w:hAnsi="宋体" w:cs="宋体"/>
          <w:color w:val="auto"/>
          <w:szCs w:val="21"/>
          <w:highlight w:val="none"/>
          <w:u w:val="single"/>
        </w:rPr>
        <w:t xml:space="preserve"> 4</w:t>
      </w:r>
      <w:r>
        <w:rPr>
          <w:rFonts w:hint="eastAsia" w:ascii="宋体" w:hAnsi="宋体" w:cs="宋体"/>
          <w:color w:val="auto"/>
          <w:szCs w:val="21"/>
          <w:highlight w:val="none"/>
        </w:rPr>
        <w:t>份，乙方</w:t>
      </w:r>
      <w:r>
        <w:rPr>
          <w:rFonts w:hint="eastAsia" w:ascii="宋体" w:hAnsi="宋体" w:cs="宋体"/>
          <w:color w:val="auto"/>
          <w:szCs w:val="21"/>
          <w:highlight w:val="none"/>
          <w:u w:val="single"/>
        </w:rPr>
        <w:t xml:space="preserve"> 2</w:t>
      </w:r>
      <w:r>
        <w:rPr>
          <w:rFonts w:hint="eastAsia" w:ascii="宋体" w:hAnsi="宋体" w:cs="宋体"/>
          <w:color w:val="auto"/>
          <w:szCs w:val="21"/>
          <w:highlight w:val="none"/>
        </w:rPr>
        <w:t>份。</w:t>
      </w:r>
    </w:p>
    <w:p>
      <w:pPr>
        <w:shd w:val="clear"/>
        <w:spacing w:line="340" w:lineRule="exact"/>
        <w:rPr>
          <w:rFonts w:ascii="宋体" w:hAnsi="宋体" w:cs="宋体"/>
          <w:b/>
          <w:color w:val="auto"/>
          <w:szCs w:val="21"/>
          <w:highlight w:val="none"/>
        </w:rPr>
      </w:pPr>
    </w:p>
    <w:p>
      <w:pPr>
        <w:shd w:val="clear"/>
        <w:spacing w:line="340" w:lineRule="exact"/>
        <w:rPr>
          <w:rFonts w:ascii="宋体" w:hAnsi="宋体" w:cs="宋体"/>
          <w:b/>
          <w:color w:val="auto"/>
          <w:szCs w:val="21"/>
          <w:highlight w:val="none"/>
        </w:rPr>
      </w:pPr>
    </w:p>
    <w:p>
      <w:pPr>
        <w:shd w:val="clear"/>
        <w:rPr>
          <w:rFonts w:ascii="宋体" w:hAnsi="宋体" w:cs="宋体"/>
          <w:color w:val="auto"/>
          <w:szCs w:val="21"/>
          <w:highlight w:val="none"/>
        </w:rPr>
      </w:pPr>
      <w:r>
        <w:rPr>
          <w:rFonts w:hint="eastAsia" w:ascii="宋体" w:hAnsi="宋体" w:cs="宋体"/>
          <w:color w:val="auto"/>
          <w:szCs w:val="21"/>
          <w:highlight w:val="none"/>
        </w:rPr>
        <w:t>甲方（盖章）：                          乙方（盖章）：</w:t>
      </w:r>
    </w:p>
    <w:p>
      <w:pPr>
        <w:shd w:val="clear"/>
        <w:rPr>
          <w:rFonts w:ascii="宋体" w:hAnsi="宋体" w:cs="宋体"/>
          <w:color w:val="auto"/>
          <w:szCs w:val="21"/>
          <w:highlight w:val="none"/>
        </w:rPr>
      </w:pPr>
      <w:r>
        <w:rPr>
          <w:rFonts w:hint="eastAsia" w:ascii="宋体" w:hAnsi="宋体" w:cs="宋体"/>
          <w:color w:val="auto"/>
          <w:szCs w:val="21"/>
          <w:highlight w:val="none"/>
        </w:rPr>
        <w:t>法定代表/授权代表（签字）：             法定代表/授权代表（签字）：</w:t>
      </w:r>
    </w:p>
    <w:p>
      <w:pPr>
        <w:shd w:val="clear"/>
        <w:rPr>
          <w:rFonts w:ascii="宋体" w:hAnsi="宋体" w:cs="宋体"/>
          <w:color w:val="auto"/>
          <w:szCs w:val="21"/>
          <w:highlight w:val="none"/>
        </w:rPr>
      </w:pPr>
      <w:r>
        <w:rPr>
          <w:rFonts w:hint="eastAsia" w:ascii="宋体" w:hAnsi="宋体" w:cs="宋体"/>
          <w:color w:val="auto"/>
          <w:szCs w:val="21"/>
          <w:highlight w:val="none"/>
        </w:rPr>
        <w:t>日期：                                  日期：</w:t>
      </w:r>
    </w:p>
    <w:p>
      <w:pPr>
        <w:shd w:val="clear"/>
        <w:rPr>
          <w:rFonts w:ascii="宋体" w:hAnsi="宋体" w:cs="宋体"/>
          <w:color w:val="auto"/>
          <w:szCs w:val="21"/>
          <w:highlight w:val="none"/>
        </w:rPr>
      </w:pPr>
    </w:p>
    <w:p>
      <w:pPr>
        <w:shd w:val="clear"/>
        <w:ind w:firstLine="480"/>
        <w:rPr>
          <w:rFonts w:ascii="宋体" w:hAnsi="宋体" w:cs="宋体"/>
          <w:b/>
          <w:color w:val="auto"/>
          <w:sz w:val="24"/>
          <w:szCs w:val="24"/>
          <w:highlight w:val="none"/>
        </w:rPr>
      </w:pPr>
      <w:r>
        <w:rPr>
          <w:rFonts w:hint="eastAsia" w:ascii="宋体" w:hAnsi="宋体" w:cs="宋体"/>
          <w:color w:val="auto"/>
          <w:szCs w:val="21"/>
          <w:highlight w:val="none"/>
        </w:rPr>
        <w:br w:type="page"/>
      </w:r>
      <w:r>
        <w:rPr>
          <w:rFonts w:hint="eastAsia" w:ascii="宋体" w:hAnsi="宋体" w:cs="宋体"/>
          <w:b/>
          <w:color w:val="auto"/>
          <w:sz w:val="24"/>
          <w:szCs w:val="24"/>
          <w:highlight w:val="none"/>
        </w:rPr>
        <w:t>附件1：《报价清单》</w:t>
      </w:r>
    </w:p>
    <w:p>
      <w:pPr>
        <w:shd w:val="clear"/>
        <w:overflowPunct w:val="0"/>
        <w:autoSpaceDE w:val="0"/>
        <w:autoSpaceDN w:val="0"/>
        <w:ind w:firstLine="420" w:firstLineChars="200"/>
        <w:textAlignment w:val="baseline"/>
        <w:rPr>
          <w:rFonts w:ascii="宋体" w:hAnsi="宋体" w:cs="宋体"/>
          <w:bCs/>
          <w:color w:val="auto"/>
          <w:szCs w:val="21"/>
          <w:highlight w:val="none"/>
        </w:rPr>
      </w:pPr>
      <w:r>
        <w:rPr>
          <w:rFonts w:hint="eastAsia" w:ascii="宋体" w:hAnsi="宋体" w:cs="宋体"/>
          <w:bCs/>
          <w:color w:val="auto"/>
          <w:szCs w:val="21"/>
          <w:highlight w:val="none"/>
        </w:rPr>
        <w:t>第一部分：广东省东实环境股份有限公司餐厨项目环境监测《报价清单》</w:t>
      </w:r>
    </w:p>
    <w:p>
      <w:pPr>
        <w:shd w:val="clear"/>
        <w:jc w:val="center"/>
        <w:rPr>
          <w:rFonts w:ascii="宋体" w:hAnsi="宋体" w:cs="宋体"/>
          <w:color w:val="auto"/>
          <w:szCs w:val="21"/>
          <w:highlight w:val="none"/>
        </w:rPr>
      </w:pPr>
    </w:p>
    <w:p>
      <w:pPr>
        <w:shd w:val="clear"/>
        <w:jc w:val="center"/>
        <w:rPr>
          <w:rFonts w:ascii="宋体" w:hAnsi="宋体" w:cs="宋体"/>
          <w:color w:val="auto"/>
          <w:szCs w:val="21"/>
          <w:highlight w:val="none"/>
        </w:rPr>
      </w:pPr>
    </w:p>
    <w:p>
      <w:pPr>
        <w:shd w:val="clear"/>
        <w:jc w:val="center"/>
        <w:rPr>
          <w:rFonts w:ascii="宋体" w:hAnsi="宋体" w:cs="宋体"/>
          <w:color w:val="auto"/>
          <w:szCs w:val="21"/>
          <w:highlight w:val="none"/>
        </w:rPr>
      </w:pPr>
    </w:p>
    <w:p>
      <w:pPr>
        <w:shd w:val="clear"/>
        <w:jc w:val="center"/>
        <w:rPr>
          <w:rFonts w:ascii="宋体" w:hAnsi="宋体" w:cs="宋体"/>
          <w:color w:val="auto"/>
          <w:szCs w:val="21"/>
          <w:highlight w:val="none"/>
        </w:rPr>
      </w:pPr>
    </w:p>
    <w:p>
      <w:pPr>
        <w:shd w:val="clear"/>
        <w:jc w:val="center"/>
        <w:rPr>
          <w:rFonts w:ascii="宋体" w:hAnsi="宋体" w:cs="宋体"/>
          <w:color w:val="auto"/>
          <w:szCs w:val="21"/>
          <w:highlight w:val="none"/>
        </w:rPr>
      </w:pPr>
    </w:p>
    <w:p>
      <w:pPr>
        <w:shd w:val="clear"/>
        <w:jc w:val="center"/>
        <w:rPr>
          <w:rFonts w:ascii="宋体" w:hAnsi="宋体" w:cs="宋体"/>
          <w:color w:val="auto"/>
          <w:szCs w:val="21"/>
          <w:highlight w:val="none"/>
        </w:rPr>
      </w:pPr>
    </w:p>
    <w:p>
      <w:pPr>
        <w:shd w:val="clear"/>
        <w:jc w:val="center"/>
        <w:rPr>
          <w:rFonts w:ascii="宋体" w:hAnsi="宋体" w:cs="宋体"/>
          <w:color w:val="auto"/>
          <w:szCs w:val="21"/>
          <w:highlight w:val="none"/>
        </w:rPr>
      </w:pPr>
    </w:p>
    <w:p>
      <w:pPr>
        <w:shd w:val="clear"/>
        <w:jc w:val="center"/>
        <w:rPr>
          <w:rFonts w:ascii="宋体" w:hAnsi="宋体" w:cs="宋体"/>
          <w:color w:val="auto"/>
          <w:szCs w:val="21"/>
          <w:highlight w:val="none"/>
        </w:rPr>
      </w:pPr>
    </w:p>
    <w:p>
      <w:pPr>
        <w:shd w:val="clear"/>
        <w:jc w:val="center"/>
        <w:rPr>
          <w:rFonts w:ascii="宋体" w:hAnsi="宋体" w:cs="宋体"/>
          <w:color w:val="auto"/>
          <w:szCs w:val="21"/>
          <w:highlight w:val="none"/>
        </w:rPr>
      </w:pPr>
    </w:p>
    <w:p>
      <w:pPr>
        <w:shd w:val="clear"/>
        <w:jc w:val="center"/>
        <w:rPr>
          <w:rFonts w:ascii="宋体" w:hAnsi="宋体" w:cs="宋体"/>
          <w:color w:val="auto"/>
          <w:szCs w:val="21"/>
          <w:highlight w:val="none"/>
        </w:rPr>
      </w:pPr>
    </w:p>
    <w:p>
      <w:pPr>
        <w:shd w:val="clear"/>
        <w:jc w:val="center"/>
        <w:rPr>
          <w:rFonts w:ascii="宋体" w:hAnsi="宋体" w:cs="宋体"/>
          <w:color w:val="auto"/>
          <w:szCs w:val="21"/>
          <w:highlight w:val="none"/>
        </w:rPr>
      </w:pPr>
    </w:p>
    <w:p>
      <w:pPr>
        <w:shd w:val="clear"/>
        <w:jc w:val="center"/>
        <w:rPr>
          <w:rFonts w:ascii="宋体" w:hAnsi="宋体" w:cs="宋体"/>
          <w:color w:val="auto"/>
          <w:szCs w:val="21"/>
          <w:highlight w:val="none"/>
        </w:rPr>
      </w:pPr>
    </w:p>
    <w:p>
      <w:pPr>
        <w:shd w:val="clear"/>
        <w:jc w:val="center"/>
        <w:rPr>
          <w:rFonts w:ascii="宋体" w:hAnsi="宋体" w:cs="宋体"/>
          <w:color w:val="auto"/>
          <w:szCs w:val="21"/>
          <w:highlight w:val="none"/>
        </w:rPr>
      </w:pPr>
    </w:p>
    <w:p>
      <w:pPr>
        <w:shd w:val="clear"/>
        <w:jc w:val="center"/>
        <w:rPr>
          <w:rFonts w:ascii="宋体" w:hAnsi="宋体" w:cs="宋体"/>
          <w:color w:val="auto"/>
          <w:szCs w:val="21"/>
          <w:highlight w:val="none"/>
        </w:rPr>
      </w:pPr>
    </w:p>
    <w:p>
      <w:pPr>
        <w:shd w:val="clear"/>
        <w:jc w:val="center"/>
        <w:rPr>
          <w:rFonts w:ascii="宋体" w:hAnsi="宋体" w:cs="宋体"/>
          <w:color w:val="auto"/>
          <w:szCs w:val="21"/>
          <w:highlight w:val="none"/>
        </w:rPr>
      </w:pPr>
    </w:p>
    <w:p>
      <w:pPr>
        <w:shd w:val="clear"/>
        <w:jc w:val="center"/>
        <w:rPr>
          <w:rFonts w:ascii="宋体" w:hAnsi="宋体" w:cs="宋体"/>
          <w:color w:val="auto"/>
          <w:szCs w:val="21"/>
          <w:highlight w:val="none"/>
        </w:rPr>
      </w:pPr>
    </w:p>
    <w:p>
      <w:pPr>
        <w:shd w:val="clear"/>
        <w:jc w:val="center"/>
        <w:rPr>
          <w:rFonts w:ascii="宋体" w:hAnsi="宋体" w:cs="宋体"/>
          <w:color w:val="auto"/>
          <w:szCs w:val="21"/>
          <w:highlight w:val="none"/>
        </w:rPr>
      </w:pPr>
    </w:p>
    <w:p>
      <w:pPr>
        <w:shd w:val="clear"/>
        <w:autoSpaceDE w:val="0"/>
        <w:autoSpaceDN w:val="0"/>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r>
        <w:rPr>
          <w:rFonts w:hint="eastAsia" w:ascii="宋体" w:hAnsi="宋体" w:cs="宋体"/>
          <w:b/>
          <w:color w:val="auto"/>
          <w:sz w:val="24"/>
          <w:szCs w:val="24"/>
          <w:highlight w:val="none"/>
        </w:rPr>
        <w:t>附件2：《报价清单》</w:t>
      </w:r>
    </w:p>
    <w:p>
      <w:pPr>
        <w:shd w:val="clear"/>
        <w:overflowPunct w:val="0"/>
        <w:autoSpaceDE w:val="0"/>
        <w:autoSpaceDN w:val="0"/>
        <w:textAlignment w:val="baseline"/>
        <w:rPr>
          <w:rFonts w:ascii="宋体" w:hAnsi="宋体" w:cs="宋体"/>
          <w:bCs/>
          <w:color w:val="auto"/>
          <w:szCs w:val="21"/>
          <w:highlight w:val="none"/>
        </w:rPr>
      </w:pPr>
      <w:r>
        <w:rPr>
          <w:rFonts w:hint="eastAsia" w:ascii="宋体" w:hAnsi="宋体" w:cs="宋体"/>
          <w:bCs/>
          <w:color w:val="auto"/>
          <w:szCs w:val="21"/>
          <w:highlight w:val="none"/>
        </w:rPr>
        <w:t>第二部分：东莞市新东欣环保投资有限公司绿色工业服务项目环境监测《报价清单》</w:t>
      </w:r>
    </w:p>
    <w:p>
      <w:pPr>
        <w:shd w:val="clear"/>
        <w:rPr>
          <w:rFonts w:ascii="宋体" w:hAnsi="宋体" w:cs="宋体"/>
          <w:color w:val="auto"/>
          <w:szCs w:val="21"/>
          <w:highlight w:val="none"/>
        </w:rPr>
      </w:pPr>
      <w:r>
        <w:rPr>
          <w:rFonts w:hint="eastAsia" w:ascii="宋体" w:hAnsi="宋体" w:cs="宋体"/>
          <w:color w:val="auto"/>
          <w:szCs w:val="21"/>
          <w:highlight w:val="none"/>
        </w:rPr>
        <w:br w:type="page"/>
      </w:r>
    </w:p>
    <w:p>
      <w:pPr>
        <w:shd w:val="clear"/>
        <w:rPr>
          <w:rFonts w:ascii="宋体" w:hAnsi="宋体" w:cs="宋体"/>
          <w:bCs/>
          <w:color w:val="auto"/>
          <w:szCs w:val="21"/>
          <w:highlight w:val="none"/>
        </w:rPr>
      </w:pPr>
      <w:r>
        <w:rPr>
          <w:rFonts w:hint="eastAsia" w:ascii="宋体" w:hAnsi="宋体" w:cs="宋体"/>
          <w:b/>
          <w:color w:val="auto"/>
          <w:sz w:val="24"/>
          <w:szCs w:val="24"/>
          <w:highlight w:val="none"/>
        </w:rPr>
        <w:t>附件3：《报价清单》</w:t>
      </w:r>
    </w:p>
    <w:p>
      <w:pPr>
        <w:shd w:val="clear"/>
        <w:overflowPunct w:val="0"/>
        <w:autoSpaceDE w:val="0"/>
        <w:autoSpaceDN w:val="0"/>
        <w:textAlignment w:val="baseline"/>
        <w:rPr>
          <w:rFonts w:ascii="宋体" w:hAnsi="宋体" w:cs="宋体"/>
          <w:color w:val="auto"/>
          <w:highlight w:val="none"/>
        </w:rPr>
      </w:pPr>
      <w:r>
        <w:rPr>
          <w:rFonts w:hint="eastAsia" w:ascii="宋体" w:hAnsi="宋体" w:cs="宋体"/>
          <w:bCs/>
          <w:color w:val="auto"/>
          <w:szCs w:val="21"/>
          <w:highlight w:val="none"/>
        </w:rPr>
        <w:t>东莞市新东元环保投资有限公司海心沙环保热电厂项目环境监测服务《报价清单》</w:t>
      </w:r>
    </w:p>
    <w:p>
      <w:pPr>
        <w:shd w:val="clear"/>
        <w:rPr>
          <w:rFonts w:ascii="宋体" w:hAnsi="宋体" w:cs="宋体"/>
          <w:color w:val="auto"/>
          <w:szCs w:val="21"/>
          <w:highlight w:val="none"/>
        </w:rPr>
      </w:pPr>
    </w:p>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r>
        <w:rPr>
          <w:rFonts w:hint="eastAsia" w:ascii="宋体" w:hAnsi="宋体" w:cs="宋体"/>
          <w:b/>
          <w:color w:val="auto"/>
          <w:sz w:val="24"/>
          <w:szCs w:val="24"/>
          <w:highlight w:val="none"/>
        </w:rPr>
        <w:t>附件4：《技术需求书》</w:t>
      </w:r>
    </w:p>
    <w:p>
      <w:pPr>
        <w:shd w:val="clear"/>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广东省东实环境股份有限公司餐厨项目</w:t>
      </w:r>
    </w:p>
    <w:p>
      <w:pPr>
        <w:shd w:val="clear"/>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环境监测技术需求书</w:t>
      </w:r>
    </w:p>
    <w:p>
      <w:pPr>
        <w:shd w:val="clear"/>
        <w:rPr>
          <w:rFonts w:ascii="宋体" w:hAnsi="宋体" w:cs="宋体"/>
          <w:color w:val="auto"/>
          <w:szCs w:val="21"/>
          <w:highlight w:val="none"/>
        </w:rPr>
      </w:pPr>
      <w:r>
        <w:rPr>
          <w:rFonts w:hint="eastAsia" w:ascii="宋体" w:hAnsi="宋体" w:cs="宋体"/>
          <w:color w:val="auto"/>
          <w:szCs w:val="21"/>
          <w:highlight w:val="none"/>
        </w:rPr>
        <w:t>一、项目概况</w:t>
      </w:r>
    </w:p>
    <w:p>
      <w:pPr>
        <w:shd w:val="clear"/>
        <w:rPr>
          <w:rFonts w:ascii="宋体" w:hAnsi="宋体" w:cs="宋体"/>
          <w:color w:val="auto"/>
          <w:szCs w:val="21"/>
          <w:highlight w:val="none"/>
        </w:rPr>
      </w:pPr>
      <w:r>
        <w:rPr>
          <w:rFonts w:hint="eastAsia" w:ascii="宋体" w:hAnsi="宋体" w:cs="宋体"/>
          <w:color w:val="auto"/>
          <w:szCs w:val="21"/>
          <w:highlight w:val="none"/>
        </w:rPr>
        <w:t>广东东实环境股份有限公司运营项目麻涌垃圾处理厂三期是东莞市作为国家第四批餐厨垃圾资源化利用和无害化处理试点城市的首个项目，规划收运处理餐厨垃圾300吨/天和地沟油10吨/天。面向全市提供餐厨垃圾收运工作，将餐厨垃圾通过厌氧发酵技术产生沼气，经提纯后变成天然气；对餐厨垃圾中的含水油脂和回收的地沟油进行提纯，得到工业油脂。项目约可产生天然气1.8万m³/d和工业级混合油6t/d。</w:t>
      </w:r>
    </w:p>
    <w:p>
      <w:pPr>
        <w:shd w:val="clear"/>
        <w:rPr>
          <w:rFonts w:ascii="宋体" w:hAnsi="宋体" w:cs="宋体"/>
          <w:color w:val="auto"/>
          <w:szCs w:val="21"/>
          <w:highlight w:val="none"/>
        </w:rPr>
      </w:pPr>
    </w:p>
    <w:p>
      <w:pPr>
        <w:shd w:val="clear"/>
        <w:rPr>
          <w:rFonts w:ascii="宋体" w:hAnsi="宋体" w:cs="宋体"/>
          <w:color w:val="auto"/>
          <w:szCs w:val="21"/>
          <w:highlight w:val="none"/>
        </w:rPr>
      </w:pPr>
      <w:r>
        <w:rPr>
          <w:rFonts w:hint="eastAsia" w:ascii="宋体" w:hAnsi="宋体" w:cs="宋体"/>
          <w:color w:val="auto"/>
          <w:szCs w:val="21"/>
          <w:highlight w:val="none"/>
        </w:rPr>
        <w:t>二、服务清单</w:t>
      </w:r>
    </w:p>
    <w:p>
      <w:pPr>
        <w:shd w:val="clear"/>
        <w:rPr>
          <w:rFonts w:ascii="宋体" w:hAnsi="宋体" w:cs="宋体"/>
          <w:color w:val="auto"/>
          <w:szCs w:val="21"/>
          <w:highlight w:val="none"/>
        </w:rPr>
      </w:pPr>
      <w:r>
        <w:rPr>
          <w:rFonts w:hint="eastAsia" w:ascii="宋体" w:hAnsi="宋体" w:cs="宋体"/>
          <w:color w:val="auto"/>
          <w:szCs w:val="21"/>
          <w:highlight w:val="none"/>
        </w:rPr>
        <w:t>（一）服务期限</w:t>
      </w:r>
    </w:p>
    <w:p>
      <w:pPr>
        <w:shd w:val="clear"/>
        <w:rPr>
          <w:rFonts w:ascii="宋体" w:hAnsi="宋体" w:cs="宋体"/>
          <w:color w:val="auto"/>
          <w:szCs w:val="21"/>
          <w:highlight w:val="none"/>
        </w:rPr>
      </w:pPr>
      <w:r>
        <w:rPr>
          <w:rFonts w:hint="eastAsia" w:ascii="宋体" w:hAnsi="宋体" w:cs="宋体"/>
          <w:color w:val="auto"/>
          <w:szCs w:val="21"/>
          <w:highlight w:val="none"/>
        </w:rPr>
        <w:t>广东东实环境股份有限公司监测服务时间为一年。实际服务时间为自中标人实际进场开始检测之日起一年。</w:t>
      </w:r>
    </w:p>
    <w:p>
      <w:pPr>
        <w:shd w:val="clear"/>
        <w:rPr>
          <w:rFonts w:ascii="宋体" w:hAnsi="宋体" w:cs="宋体"/>
          <w:color w:val="auto"/>
          <w:szCs w:val="21"/>
          <w:highlight w:val="none"/>
        </w:rPr>
      </w:pPr>
      <w:r>
        <w:rPr>
          <w:rFonts w:hint="eastAsia" w:ascii="宋体" w:hAnsi="宋体" w:cs="宋体"/>
          <w:color w:val="auto"/>
          <w:szCs w:val="21"/>
          <w:highlight w:val="none"/>
        </w:rPr>
        <w:t>（二）服务内容</w:t>
      </w:r>
    </w:p>
    <w:p>
      <w:pPr>
        <w:shd w:val="clear"/>
        <w:rPr>
          <w:rFonts w:ascii="宋体" w:hAnsi="宋体" w:cs="宋体"/>
          <w:color w:val="auto"/>
          <w:szCs w:val="21"/>
          <w:highlight w:val="none"/>
        </w:rPr>
      </w:pPr>
      <w:r>
        <w:rPr>
          <w:rFonts w:hint="eastAsia" w:ascii="宋体" w:hAnsi="宋体" w:cs="宋体"/>
          <w:color w:val="auto"/>
          <w:szCs w:val="21"/>
          <w:highlight w:val="none"/>
        </w:rPr>
        <w:t>1.餐厨项目</w:t>
      </w:r>
    </w:p>
    <w:p>
      <w:pPr>
        <w:shd w:val="clear"/>
        <w:rPr>
          <w:rFonts w:ascii="宋体" w:hAnsi="宋体" w:cs="宋体"/>
          <w:color w:val="auto"/>
          <w:szCs w:val="21"/>
          <w:highlight w:val="none"/>
        </w:rPr>
      </w:pPr>
      <w:r>
        <w:rPr>
          <w:rFonts w:hint="eastAsia" w:ascii="宋体" w:hAnsi="宋体" w:cs="宋体"/>
          <w:color w:val="auto"/>
          <w:szCs w:val="21"/>
          <w:highlight w:val="none"/>
        </w:rPr>
        <w:t>2021年3月1日生态环境部施行的《排污许可管理条例》、《排污许可证申请与核发技术规范 环境卫生管理业》（HJ 1106-2020）、《排污单位自行监测技术指南 总则》（HJ 819-2017 ）及项目环评确定委外环境监测方案如附表2，服务单位须根据约定时间完成采样、监测并出具监测报告。</w:t>
      </w:r>
    </w:p>
    <w:p>
      <w:pPr>
        <w:shd w:val="clear"/>
        <w:rPr>
          <w:rFonts w:ascii="宋体" w:hAnsi="宋体" w:cs="宋体"/>
          <w:color w:val="auto"/>
          <w:szCs w:val="21"/>
          <w:highlight w:val="none"/>
        </w:rPr>
      </w:pPr>
      <w:r>
        <w:rPr>
          <w:rFonts w:hint="eastAsia" w:ascii="宋体" w:hAnsi="宋体" w:cs="宋体"/>
          <w:color w:val="auto"/>
          <w:szCs w:val="21"/>
          <w:highlight w:val="none"/>
        </w:rPr>
        <w:t>附表2：餐厨项目监测方案</w:t>
      </w:r>
    </w:p>
    <w:tbl>
      <w:tblPr>
        <w:tblStyle w:val="30"/>
        <w:tblW w:w="9286" w:type="dxa"/>
        <w:tblInd w:w="0" w:type="dxa"/>
        <w:tblLayout w:type="fixed"/>
        <w:tblCellMar>
          <w:top w:w="0" w:type="dxa"/>
          <w:left w:w="108" w:type="dxa"/>
          <w:bottom w:w="0" w:type="dxa"/>
          <w:right w:w="108" w:type="dxa"/>
        </w:tblCellMar>
      </w:tblPr>
      <w:tblGrid>
        <w:gridCol w:w="607"/>
        <w:gridCol w:w="711"/>
        <w:gridCol w:w="1577"/>
        <w:gridCol w:w="2193"/>
        <w:gridCol w:w="1294"/>
        <w:gridCol w:w="1887"/>
        <w:gridCol w:w="1017"/>
      </w:tblGrid>
      <w:tr>
        <w:tblPrEx>
          <w:tblCellMar>
            <w:top w:w="0" w:type="dxa"/>
            <w:left w:w="108" w:type="dxa"/>
            <w:bottom w:w="0" w:type="dxa"/>
            <w:right w:w="108" w:type="dxa"/>
          </w:tblCellMar>
        </w:tblPrEx>
        <w:trPr>
          <w:trHeight w:val="780" w:hRule="atLeast"/>
          <w:tblHeader/>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711"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1577"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监测点位</w:t>
            </w:r>
          </w:p>
        </w:tc>
        <w:tc>
          <w:tcPr>
            <w:tcW w:w="2193"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监测因子</w:t>
            </w:r>
          </w:p>
        </w:tc>
        <w:tc>
          <w:tcPr>
            <w:tcW w:w="1294"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监测频次</w:t>
            </w:r>
          </w:p>
        </w:tc>
        <w:tc>
          <w:tcPr>
            <w:tcW w:w="1887"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1017" w:type="dxa"/>
            <w:tcBorders>
              <w:top w:val="single" w:color="auto" w:sz="4" w:space="0"/>
              <w:left w:val="nil"/>
              <w:bottom w:val="single" w:color="auto" w:sz="4" w:space="0"/>
              <w:right w:val="single" w:color="auto" w:sz="4" w:space="0"/>
            </w:tcBorders>
            <w:shd w:val="clear" w:color="000000"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年样品数量</w:t>
            </w:r>
          </w:p>
        </w:tc>
      </w:tr>
      <w:tr>
        <w:tblPrEx>
          <w:tblCellMar>
            <w:top w:w="0" w:type="dxa"/>
            <w:left w:w="108" w:type="dxa"/>
            <w:bottom w:w="0" w:type="dxa"/>
            <w:right w:w="108" w:type="dxa"/>
          </w:tblCellMar>
        </w:tblPrEx>
        <w:trPr>
          <w:trHeight w:val="2040" w:hRule="atLeast"/>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c>
          <w:tcPr>
            <w:tcW w:w="71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废水</w:t>
            </w:r>
          </w:p>
        </w:tc>
        <w:tc>
          <w:tcPr>
            <w:tcW w:w="1577"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污水排放口（尾水箱）</w:t>
            </w:r>
          </w:p>
        </w:tc>
        <w:tc>
          <w:tcPr>
            <w:tcW w:w="219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pH值、悬浮物、五日生化需氧量、化学需氧量、氨氮、总磷、动植物油、总氮、溶解性总固体、氯化物、硫酸盐、石油类、粪大肠菌群、阴离子表面活性剂</w:t>
            </w:r>
          </w:p>
        </w:tc>
        <w:tc>
          <w:tcPr>
            <w:tcW w:w="129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887"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1017"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r>
      <w:tr>
        <w:tblPrEx>
          <w:tblCellMar>
            <w:top w:w="0" w:type="dxa"/>
            <w:left w:w="108" w:type="dxa"/>
            <w:bottom w:w="0" w:type="dxa"/>
            <w:right w:w="108" w:type="dxa"/>
          </w:tblCellMar>
        </w:tblPrEx>
        <w:trPr>
          <w:trHeight w:val="2985" w:hRule="atLeast"/>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w:t>
            </w:r>
          </w:p>
        </w:tc>
        <w:tc>
          <w:tcPr>
            <w:tcW w:w="71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雨水</w:t>
            </w:r>
          </w:p>
        </w:tc>
        <w:tc>
          <w:tcPr>
            <w:tcW w:w="1577"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麻电项目初期雨水收集池排放口</w:t>
            </w:r>
          </w:p>
        </w:tc>
        <w:tc>
          <w:tcPr>
            <w:tcW w:w="219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化学需氧量、悬浮物、氨氮</w:t>
            </w:r>
          </w:p>
        </w:tc>
        <w:tc>
          <w:tcPr>
            <w:tcW w:w="129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887"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采样时间间隔不少于4h，采样频次不少于3次。</w:t>
            </w:r>
          </w:p>
        </w:tc>
        <w:tc>
          <w:tcPr>
            <w:tcW w:w="1017"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CellMar>
            <w:top w:w="0" w:type="dxa"/>
            <w:left w:w="108" w:type="dxa"/>
            <w:bottom w:w="0" w:type="dxa"/>
            <w:right w:w="108" w:type="dxa"/>
          </w:tblCellMar>
        </w:tblPrEx>
        <w:trPr>
          <w:trHeight w:val="1680" w:hRule="atLeast"/>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c>
          <w:tcPr>
            <w:tcW w:w="71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地下水</w:t>
            </w:r>
          </w:p>
          <w:p>
            <w:pPr>
              <w:shd w:val="clear"/>
              <w:jc w:val="center"/>
              <w:rPr>
                <w:rFonts w:ascii="宋体" w:hAnsi="宋体" w:cs="宋体"/>
                <w:color w:val="auto"/>
                <w:szCs w:val="21"/>
                <w:highlight w:val="none"/>
              </w:rPr>
            </w:pPr>
            <w:r>
              <w:rPr>
                <w:rFonts w:hint="eastAsia" w:ascii="宋体" w:hAnsi="宋体" w:cs="宋体"/>
                <w:color w:val="auto"/>
                <w:szCs w:val="21"/>
                <w:highlight w:val="none"/>
              </w:rPr>
              <w:t>（2个点）</w:t>
            </w:r>
          </w:p>
        </w:tc>
        <w:tc>
          <w:tcPr>
            <w:tcW w:w="1577"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项目内监测井（2个点，背景井及监视井）</w:t>
            </w:r>
          </w:p>
        </w:tc>
        <w:tc>
          <w:tcPr>
            <w:tcW w:w="219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pH值、总硬度、CODMn、氨氮、溶解性总固体、硫酸盐、硝酸盐、亚硝酸盐、六价铬、汞、砷、镉、铅、总大肠菌群、菌落总数</w:t>
            </w:r>
          </w:p>
        </w:tc>
        <w:tc>
          <w:tcPr>
            <w:tcW w:w="129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1次/半年</w:t>
            </w:r>
          </w:p>
        </w:tc>
        <w:tc>
          <w:tcPr>
            <w:tcW w:w="1887"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1017"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r>
      <w:tr>
        <w:tblPrEx>
          <w:tblCellMar>
            <w:top w:w="0" w:type="dxa"/>
            <w:left w:w="108" w:type="dxa"/>
            <w:bottom w:w="0" w:type="dxa"/>
            <w:right w:w="108" w:type="dxa"/>
          </w:tblCellMar>
        </w:tblPrEx>
        <w:trPr>
          <w:trHeight w:val="1339" w:hRule="atLeast"/>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c>
          <w:tcPr>
            <w:tcW w:w="71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噪声（4个点）</w:t>
            </w:r>
          </w:p>
        </w:tc>
        <w:tc>
          <w:tcPr>
            <w:tcW w:w="1577"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厂界东南西北4个方位厂界1m处</w:t>
            </w:r>
          </w:p>
        </w:tc>
        <w:tc>
          <w:tcPr>
            <w:tcW w:w="219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等效声级（昼、夜各一次）</w:t>
            </w:r>
          </w:p>
        </w:tc>
        <w:tc>
          <w:tcPr>
            <w:tcW w:w="129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887"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1017"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32</w:t>
            </w:r>
          </w:p>
        </w:tc>
      </w:tr>
      <w:tr>
        <w:tblPrEx>
          <w:tblCellMar>
            <w:top w:w="0" w:type="dxa"/>
            <w:left w:w="108" w:type="dxa"/>
            <w:bottom w:w="0" w:type="dxa"/>
            <w:right w:w="108" w:type="dxa"/>
          </w:tblCellMar>
        </w:tblPrEx>
        <w:trPr>
          <w:trHeight w:val="1339" w:hRule="atLeast"/>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5</w:t>
            </w:r>
          </w:p>
        </w:tc>
        <w:tc>
          <w:tcPr>
            <w:tcW w:w="71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无组织废气</w:t>
            </w:r>
          </w:p>
          <w:p>
            <w:pPr>
              <w:shd w:val="clear"/>
              <w:jc w:val="center"/>
              <w:rPr>
                <w:rFonts w:ascii="宋体" w:hAnsi="宋体" w:cs="宋体"/>
                <w:color w:val="auto"/>
                <w:szCs w:val="21"/>
                <w:highlight w:val="none"/>
              </w:rPr>
            </w:pPr>
            <w:r>
              <w:rPr>
                <w:rFonts w:hint="eastAsia" w:ascii="宋体" w:hAnsi="宋体" w:cs="宋体"/>
                <w:color w:val="auto"/>
                <w:szCs w:val="21"/>
                <w:highlight w:val="none"/>
              </w:rPr>
              <w:t>（4个点）</w:t>
            </w:r>
          </w:p>
        </w:tc>
        <w:tc>
          <w:tcPr>
            <w:tcW w:w="1577"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餐厨项目周界处，上风向1个点，下风向3个点，合计4个点。</w:t>
            </w:r>
          </w:p>
        </w:tc>
        <w:tc>
          <w:tcPr>
            <w:tcW w:w="219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硫化氢、氨（氨气）、臭气浓度、甲硫醇、颗粒物</w:t>
            </w:r>
          </w:p>
        </w:tc>
        <w:tc>
          <w:tcPr>
            <w:tcW w:w="129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887"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1.等时间间隔采样,采集4个样品计平均值。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2.恶臭污染监测样品采集不少于4次，取最大测定值。</w:t>
            </w:r>
          </w:p>
        </w:tc>
        <w:tc>
          <w:tcPr>
            <w:tcW w:w="1017"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64</w:t>
            </w:r>
          </w:p>
        </w:tc>
      </w:tr>
      <w:tr>
        <w:tblPrEx>
          <w:tblCellMar>
            <w:top w:w="0" w:type="dxa"/>
            <w:left w:w="108" w:type="dxa"/>
            <w:bottom w:w="0" w:type="dxa"/>
            <w:right w:w="108" w:type="dxa"/>
          </w:tblCellMar>
        </w:tblPrEx>
        <w:trPr>
          <w:trHeight w:val="1815" w:hRule="atLeast"/>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w:t>
            </w:r>
          </w:p>
        </w:tc>
        <w:tc>
          <w:tcPr>
            <w:tcW w:w="71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有组织废气</w:t>
            </w:r>
          </w:p>
        </w:tc>
        <w:tc>
          <w:tcPr>
            <w:tcW w:w="1577"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除臭系统进、出口（2个点）</w:t>
            </w:r>
          </w:p>
        </w:tc>
        <w:tc>
          <w:tcPr>
            <w:tcW w:w="219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硫化氢、氨（氨气）、甲硫醇、臭气浓度、非甲烷总烃、除臭效率</w:t>
            </w:r>
          </w:p>
        </w:tc>
        <w:tc>
          <w:tcPr>
            <w:tcW w:w="129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887"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1.非甲烷总烃以连续一小时的采样获取平均值或在一小时内以等时间间隔采集4个样品，并计平均值。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2.恶臭污染监测样品采集不少于3次，取最大测定值。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3.需要计算各个污染因子的去除效率。</w:t>
            </w:r>
          </w:p>
        </w:tc>
        <w:tc>
          <w:tcPr>
            <w:tcW w:w="1017"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24</w:t>
            </w:r>
          </w:p>
        </w:tc>
      </w:tr>
      <w:tr>
        <w:tblPrEx>
          <w:tblCellMar>
            <w:top w:w="0" w:type="dxa"/>
            <w:left w:w="108" w:type="dxa"/>
            <w:bottom w:w="0" w:type="dxa"/>
            <w:right w:w="108" w:type="dxa"/>
          </w:tblCellMar>
        </w:tblPrEx>
        <w:trPr>
          <w:trHeight w:val="1680" w:hRule="atLeast"/>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7</w:t>
            </w:r>
          </w:p>
        </w:tc>
        <w:tc>
          <w:tcPr>
            <w:tcW w:w="71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环境空气</w:t>
            </w:r>
          </w:p>
        </w:tc>
        <w:tc>
          <w:tcPr>
            <w:tcW w:w="1577"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餐厨系统处理间</w:t>
            </w:r>
          </w:p>
        </w:tc>
        <w:tc>
          <w:tcPr>
            <w:tcW w:w="219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臭气浓度、硫化氢、甲硫醇、氨（氨气）</w:t>
            </w:r>
          </w:p>
        </w:tc>
        <w:tc>
          <w:tcPr>
            <w:tcW w:w="129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887"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1.监测餐厨处理间门口的环境空气；</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2.恶臭污染监测样品采集不少于4次，取最大测定值。</w:t>
            </w:r>
          </w:p>
        </w:tc>
        <w:tc>
          <w:tcPr>
            <w:tcW w:w="1017"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16</w:t>
            </w:r>
          </w:p>
        </w:tc>
      </w:tr>
      <w:tr>
        <w:tblPrEx>
          <w:tblCellMar>
            <w:top w:w="0" w:type="dxa"/>
            <w:left w:w="108" w:type="dxa"/>
            <w:bottom w:w="0" w:type="dxa"/>
            <w:right w:w="108" w:type="dxa"/>
          </w:tblCellMar>
        </w:tblPrEx>
        <w:trPr>
          <w:trHeight w:val="1680" w:hRule="atLeast"/>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8</w:t>
            </w:r>
          </w:p>
        </w:tc>
        <w:tc>
          <w:tcPr>
            <w:tcW w:w="71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敏感点</w:t>
            </w:r>
          </w:p>
        </w:tc>
        <w:tc>
          <w:tcPr>
            <w:tcW w:w="1577"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①四季飘香农业生态园；②漳澎村；③洪梅中心小学；④碧桂园十里江湾；⑤万科珠江东岸；每个点各1个样品</w:t>
            </w:r>
          </w:p>
        </w:tc>
        <w:tc>
          <w:tcPr>
            <w:tcW w:w="219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臭气浓度</w:t>
            </w:r>
          </w:p>
        </w:tc>
        <w:tc>
          <w:tcPr>
            <w:tcW w:w="129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887"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恶臭污染监测样品采集不少于4次，取最大测定值。</w:t>
            </w:r>
          </w:p>
        </w:tc>
        <w:tc>
          <w:tcPr>
            <w:tcW w:w="1017"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80</w:t>
            </w:r>
          </w:p>
        </w:tc>
      </w:tr>
      <w:tr>
        <w:tblPrEx>
          <w:tblCellMar>
            <w:top w:w="0" w:type="dxa"/>
            <w:left w:w="108" w:type="dxa"/>
            <w:bottom w:w="0" w:type="dxa"/>
            <w:right w:w="108" w:type="dxa"/>
          </w:tblCellMar>
        </w:tblPrEx>
        <w:trPr>
          <w:trHeight w:val="471" w:hRule="atLeast"/>
        </w:trPr>
        <w:tc>
          <w:tcPr>
            <w:tcW w:w="8269" w:type="dxa"/>
            <w:gridSpan w:val="6"/>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小计</w:t>
            </w:r>
          </w:p>
        </w:tc>
        <w:tc>
          <w:tcPr>
            <w:tcW w:w="1017"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236</w:t>
            </w:r>
          </w:p>
        </w:tc>
      </w:tr>
    </w:tbl>
    <w:p>
      <w:pPr>
        <w:shd w:val="clear"/>
        <w:jc w:val="both"/>
        <w:rPr>
          <w:rFonts w:ascii="宋体" w:hAnsi="宋体" w:cs="宋体"/>
          <w:color w:val="auto"/>
          <w:szCs w:val="21"/>
          <w:highlight w:val="none"/>
        </w:rPr>
      </w:pPr>
    </w:p>
    <w:p>
      <w:pPr>
        <w:shd w:val="clear"/>
        <w:jc w:val="both"/>
        <w:rPr>
          <w:rFonts w:ascii="宋体" w:hAnsi="宋体" w:cs="宋体"/>
          <w:color w:val="auto"/>
          <w:szCs w:val="21"/>
          <w:highlight w:val="none"/>
        </w:rPr>
      </w:pPr>
      <w:r>
        <w:rPr>
          <w:rFonts w:hint="eastAsia" w:ascii="宋体" w:hAnsi="宋体" w:cs="宋体"/>
          <w:color w:val="auto"/>
          <w:szCs w:val="21"/>
          <w:highlight w:val="none"/>
        </w:rPr>
        <w:t>2.土壤调查</w:t>
      </w:r>
    </w:p>
    <w:p>
      <w:pPr>
        <w:shd w:val="clear"/>
        <w:rPr>
          <w:rFonts w:ascii="宋体" w:hAnsi="宋体" w:cs="宋体"/>
          <w:color w:val="auto"/>
          <w:szCs w:val="21"/>
          <w:highlight w:val="none"/>
        </w:rPr>
      </w:pPr>
      <w:r>
        <w:rPr>
          <w:rFonts w:hint="eastAsia" w:ascii="宋体" w:hAnsi="宋体" w:cs="宋体"/>
          <w:color w:val="auto"/>
          <w:szCs w:val="21"/>
          <w:highlight w:val="none"/>
        </w:rPr>
        <w:t>《工业企业土壤和地下水自行监测技术指南（试行）》（HJ1209-2021）、《重点行业企业用地调查疑似污染地块布点技术规定(试行)》确定委外环境监测方案如附表3，服务单位须依据相关文件的要求，完成采样、监测，出具年度的自行监测报告，通过专家审核同意并最终完成市生态环保局备案。</w:t>
      </w:r>
    </w:p>
    <w:p>
      <w:pPr>
        <w:shd w:val="clear"/>
        <w:jc w:val="both"/>
        <w:rPr>
          <w:rFonts w:ascii="宋体" w:hAnsi="宋体" w:cs="宋体"/>
          <w:color w:val="auto"/>
          <w:szCs w:val="21"/>
          <w:highlight w:val="none"/>
        </w:rPr>
      </w:pPr>
    </w:p>
    <w:p>
      <w:pPr>
        <w:shd w:val="clear"/>
        <w:jc w:val="center"/>
        <w:rPr>
          <w:rFonts w:ascii="宋体" w:hAnsi="宋体" w:cs="宋体"/>
          <w:color w:val="auto"/>
          <w:szCs w:val="21"/>
          <w:highlight w:val="none"/>
        </w:rPr>
      </w:pPr>
      <w:r>
        <w:rPr>
          <w:rFonts w:hint="eastAsia" w:ascii="宋体" w:hAnsi="宋体" w:cs="宋体"/>
          <w:color w:val="auto"/>
          <w:szCs w:val="21"/>
          <w:highlight w:val="none"/>
        </w:rPr>
        <w:t>附表3：土壤调查监测方案</w:t>
      </w:r>
    </w:p>
    <w:tbl>
      <w:tblPr>
        <w:tblStyle w:val="30"/>
        <w:tblW w:w="9286" w:type="dxa"/>
        <w:tblInd w:w="0" w:type="dxa"/>
        <w:tblLayout w:type="fixed"/>
        <w:tblCellMar>
          <w:top w:w="0" w:type="dxa"/>
          <w:left w:w="108" w:type="dxa"/>
          <w:bottom w:w="0" w:type="dxa"/>
          <w:right w:w="108" w:type="dxa"/>
        </w:tblCellMar>
      </w:tblPr>
      <w:tblGrid>
        <w:gridCol w:w="546"/>
        <w:gridCol w:w="1056"/>
        <w:gridCol w:w="1372"/>
        <w:gridCol w:w="2427"/>
        <w:gridCol w:w="1263"/>
        <w:gridCol w:w="1663"/>
        <w:gridCol w:w="959"/>
      </w:tblGrid>
      <w:tr>
        <w:tblPrEx>
          <w:tblCellMar>
            <w:top w:w="0" w:type="dxa"/>
            <w:left w:w="108" w:type="dxa"/>
            <w:bottom w:w="0" w:type="dxa"/>
            <w:right w:w="108" w:type="dxa"/>
          </w:tblCellMar>
        </w:tblPrEx>
        <w:trPr>
          <w:trHeight w:val="838" w:hRule="atLeast"/>
          <w:tblHeader/>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056"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1372"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监测点位</w:t>
            </w:r>
          </w:p>
        </w:tc>
        <w:tc>
          <w:tcPr>
            <w:tcW w:w="2427"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监测因子</w:t>
            </w:r>
          </w:p>
        </w:tc>
        <w:tc>
          <w:tcPr>
            <w:tcW w:w="1263"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监测频次</w:t>
            </w:r>
          </w:p>
        </w:tc>
        <w:tc>
          <w:tcPr>
            <w:tcW w:w="1663"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959" w:type="dxa"/>
            <w:tcBorders>
              <w:top w:val="single" w:color="auto" w:sz="4" w:space="0"/>
              <w:left w:val="nil"/>
              <w:bottom w:val="single" w:color="auto" w:sz="4" w:space="0"/>
              <w:right w:val="single" w:color="auto" w:sz="4" w:space="0"/>
            </w:tcBorders>
            <w:shd w:val="clear" w:color="000000"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年样品数量</w:t>
            </w:r>
          </w:p>
        </w:tc>
      </w:tr>
      <w:tr>
        <w:tblPrEx>
          <w:tblCellMar>
            <w:top w:w="0" w:type="dxa"/>
            <w:left w:w="108" w:type="dxa"/>
            <w:bottom w:w="0" w:type="dxa"/>
            <w:right w:w="108" w:type="dxa"/>
          </w:tblCellMar>
        </w:tblPrEx>
        <w:trPr>
          <w:trHeight w:val="4538" w:hRule="atLeast"/>
        </w:trPr>
        <w:tc>
          <w:tcPr>
            <w:tcW w:w="54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c>
          <w:tcPr>
            <w:tcW w:w="1056"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土壤</w:t>
            </w:r>
          </w:p>
          <w:p>
            <w:pPr>
              <w:shd w:val="clear"/>
              <w:jc w:val="center"/>
              <w:rPr>
                <w:rFonts w:ascii="宋体" w:hAnsi="宋体" w:cs="宋体"/>
                <w:color w:val="auto"/>
                <w:szCs w:val="21"/>
                <w:highlight w:val="none"/>
              </w:rPr>
            </w:pPr>
            <w:r>
              <w:rPr>
                <w:rFonts w:hint="eastAsia" w:ascii="宋体" w:hAnsi="宋体" w:cs="宋体"/>
                <w:color w:val="auto"/>
                <w:szCs w:val="21"/>
                <w:highlight w:val="none"/>
              </w:rPr>
              <w:t>（0-0.5m浅层土）</w:t>
            </w:r>
          </w:p>
        </w:tc>
        <w:tc>
          <w:tcPr>
            <w:tcW w:w="1372"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①渣库前绿化带S1、②烟囱旁绿化带S2、③污水处理区绿化带S3、④预处理车间前绿化带S4</w:t>
            </w:r>
          </w:p>
        </w:tc>
        <w:tc>
          <w:tcPr>
            <w:tcW w:w="2427"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水分、砷、镉、铬（六价）、铜、铅、汞、镍、四氯化碳、氯仿（三氯甲烷）、氯甲烷、1,1-二氯乙烷、1,2-二氯乙烷、1,1-二氯乙烯、顺-1,2-二氯乙烯、反-1,2-二氯乙烯、二氯甲烷、1,2-二氯丙烷、1,1,1,2-四氯乙烷、1,1,2,2-四氯乙烷、四氯乙烯、1,1,1-三氯乙烷、1,1,2-三氯乙烷、三氯乙烯、1,2,3-三氯丙烷、氯乙烯、苯、氯苯、1,2-二氯苯、1,4-二氯苯、乙苯、苯乙烯、甲苯、间二甲苯+对二甲苯、邻二甲苯、硝基苯、苯胺、2-氯酚、苯并[a]蒽、苯并[a]芘、苯并[b]荧蒽、苯并[k]荧蒽、䓛、二苯并[a,h]蒽、茚并[1,2,3-cd]芘、萘、石油烃（C10-C40）、锑、钴、二噁英、铊、锰、总铬，合计54项</w:t>
            </w:r>
          </w:p>
        </w:tc>
        <w:tc>
          <w:tcPr>
            <w:tcW w:w="1263"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1663"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本年度为浅层土采样监测</w:t>
            </w:r>
          </w:p>
        </w:tc>
        <w:tc>
          <w:tcPr>
            <w:tcW w:w="95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r>
      <w:tr>
        <w:tblPrEx>
          <w:tblCellMar>
            <w:top w:w="0" w:type="dxa"/>
            <w:left w:w="108" w:type="dxa"/>
            <w:bottom w:w="0" w:type="dxa"/>
            <w:right w:w="108" w:type="dxa"/>
          </w:tblCellMar>
        </w:tblPrEx>
        <w:trPr>
          <w:trHeight w:val="4245" w:hRule="atLeast"/>
        </w:trPr>
        <w:tc>
          <w:tcPr>
            <w:tcW w:w="54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w:t>
            </w:r>
          </w:p>
        </w:tc>
        <w:tc>
          <w:tcPr>
            <w:tcW w:w="1056"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地下水</w:t>
            </w:r>
          </w:p>
          <w:p>
            <w:pPr>
              <w:shd w:val="clear"/>
              <w:jc w:val="center"/>
              <w:rPr>
                <w:rFonts w:ascii="宋体" w:hAnsi="宋体" w:cs="宋体"/>
                <w:color w:val="auto"/>
                <w:szCs w:val="21"/>
                <w:highlight w:val="none"/>
              </w:rPr>
            </w:pPr>
            <w:r>
              <w:rPr>
                <w:rFonts w:hint="eastAsia" w:ascii="宋体" w:hAnsi="宋体" w:cs="宋体"/>
                <w:color w:val="auto"/>
                <w:szCs w:val="21"/>
                <w:highlight w:val="none"/>
              </w:rPr>
              <w:t>（5个点）</w:t>
            </w:r>
          </w:p>
        </w:tc>
        <w:tc>
          <w:tcPr>
            <w:tcW w:w="1372"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①渣库前绿化带1#、②烟囱旁绿化带2#、③污水处理区绿化带3#、④预处理车间前绿化带8#、⑤对照井5#。</w:t>
            </w:r>
          </w:p>
        </w:tc>
        <w:tc>
          <w:tcPr>
            <w:tcW w:w="2427"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色度、嗅和味、浑浊度、肉眼可见物、pH值、总硬度、溶解性总固体、硫酸盐、氯化物、铁、锰、铜、锌、铝、挥发性酚类、阴离子表面活性剂、耗氧量、氨氮、硫化物、钠、亚硝酸盐、硝酸盐、氰化物、氟化物、碘化物、汞、砷、硒、镉、六价铬、铅、三氯甲烷、四氯化碳、苯、甲苯、二甲苯、铊、锑、钴、铅、铜、镍、锰、二噁英、石油烃（C10-C40）、总铬，合计46项</w:t>
            </w:r>
          </w:p>
        </w:tc>
        <w:tc>
          <w:tcPr>
            <w:tcW w:w="1263"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1次/半年</w:t>
            </w:r>
          </w:p>
        </w:tc>
        <w:tc>
          <w:tcPr>
            <w:tcW w:w="1663"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2023年上半年已经完成采样监测，需完成2023年下半年及2024年下半年的采样监测。</w:t>
            </w:r>
          </w:p>
        </w:tc>
        <w:tc>
          <w:tcPr>
            <w:tcW w:w="95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10</w:t>
            </w:r>
          </w:p>
        </w:tc>
      </w:tr>
      <w:tr>
        <w:tblPrEx>
          <w:tblCellMar>
            <w:top w:w="0" w:type="dxa"/>
            <w:left w:w="108" w:type="dxa"/>
            <w:bottom w:w="0" w:type="dxa"/>
            <w:right w:w="108" w:type="dxa"/>
          </w:tblCellMar>
        </w:tblPrEx>
        <w:trPr>
          <w:trHeight w:val="1339" w:hRule="atLeast"/>
        </w:trPr>
        <w:tc>
          <w:tcPr>
            <w:tcW w:w="8327" w:type="dxa"/>
            <w:gridSpan w:val="6"/>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小计</w:t>
            </w:r>
          </w:p>
        </w:tc>
        <w:tc>
          <w:tcPr>
            <w:tcW w:w="95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14</w:t>
            </w:r>
          </w:p>
        </w:tc>
      </w:tr>
    </w:tbl>
    <w:p>
      <w:pPr>
        <w:shd w:val="clear"/>
        <w:rPr>
          <w:rFonts w:ascii="宋体" w:hAnsi="宋体" w:cs="宋体"/>
          <w:color w:val="auto"/>
          <w:szCs w:val="21"/>
          <w:highlight w:val="none"/>
        </w:rPr>
      </w:pPr>
    </w:p>
    <w:p>
      <w:pPr>
        <w:shd w:val="clear"/>
        <w:ind w:firstLine="640" w:firstLineChars="200"/>
        <w:jc w:val="center"/>
        <w:rPr>
          <w:rFonts w:ascii="宋体" w:hAnsi="宋体" w:cs="宋体"/>
          <w:color w:val="auto"/>
          <w:sz w:val="32"/>
          <w:szCs w:val="32"/>
          <w:highlight w:val="none"/>
        </w:rPr>
      </w:pPr>
    </w:p>
    <w:p>
      <w:pPr>
        <w:shd w:val="clear"/>
        <w:ind w:firstLine="640" w:firstLineChars="200"/>
        <w:jc w:val="center"/>
        <w:rPr>
          <w:rFonts w:ascii="宋体" w:hAnsi="宋体" w:cs="宋体"/>
          <w:color w:val="auto"/>
          <w:sz w:val="32"/>
          <w:szCs w:val="32"/>
          <w:highlight w:val="none"/>
        </w:rPr>
      </w:pPr>
    </w:p>
    <w:p>
      <w:pPr>
        <w:shd w:val="clear"/>
        <w:ind w:firstLine="640" w:firstLineChars="200"/>
        <w:jc w:val="center"/>
        <w:rPr>
          <w:rFonts w:ascii="宋体" w:hAnsi="宋体" w:cs="宋体"/>
          <w:color w:val="auto"/>
          <w:sz w:val="32"/>
          <w:szCs w:val="32"/>
          <w:highlight w:val="none"/>
        </w:rPr>
      </w:pPr>
    </w:p>
    <w:p>
      <w:pPr>
        <w:shd w:val="clear"/>
        <w:ind w:firstLine="640" w:firstLineChars="200"/>
        <w:jc w:val="center"/>
        <w:rPr>
          <w:rFonts w:ascii="宋体" w:hAnsi="宋体" w:cs="宋体"/>
          <w:color w:val="auto"/>
          <w:sz w:val="32"/>
          <w:szCs w:val="32"/>
          <w:highlight w:val="none"/>
        </w:rPr>
      </w:pPr>
    </w:p>
    <w:p>
      <w:pPr>
        <w:shd w:val="clear"/>
        <w:ind w:firstLine="640" w:firstLineChars="200"/>
        <w:jc w:val="center"/>
        <w:rPr>
          <w:rFonts w:ascii="宋体" w:hAnsi="宋体" w:cs="宋体"/>
          <w:color w:val="auto"/>
          <w:sz w:val="32"/>
          <w:szCs w:val="32"/>
          <w:highlight w:val="none"/>
        </w:rPr>
      </w:pPr>
    </w:p>
    <w:p>
      <w:pPr>
        <w:shd w:val="clear"/>
        <w:ind w:firstLine="640" w:firstLineChars="200"/>
        <w:jc w:val="center"/>
        <w:rPr>
          <w:rFonts w:ascii="宋体" w:hAnsi="宋体" w:cs="宋体"/>
          <w:color w:val="auto"/>
          <w:sz w:val="32"/>
          <w:szCs w:val="32"/>
          <w:highlight w:val="none"/>
        </w:rPr>
      </w:pPr>
    </w:p>
    <w:p>
      <w:pPr>
        <w:shd w:val="clear"/>
        <w:ind w:firstLine="640" w:firstLineChars="200"/>
        <w:jc w:val="center"/>
        <w:rPr>
          <w:rFonts w:ascii="宋体" w:hAnsi="宋体" w:cs="宋体"/>
          <w:color w:val="auto"/>
          <w:sz w:val="32"/>
          <w:szCs w:val="32"/>
          <w:highlight w:val="none"/>
        </w:rPr>
      </w:pPr>
      <w:r>
        <w:rPr>
          <w:rFonts w:hint="eastAsia" w:ascii="宋体" w:hAnsi="宋体" w:cs="宋体"/>
          <w:color w:val="auto"/>
          <w:sz w:val="32"/>
          <w:szCs w:val="32"/>
          <w:highlight w:val="none"/>
        </w:rPr>
        <w:t>东莞市新东欣环保投资有限公司绿色工业服务项目</w:t>
      </w:r>
    </w:p>
    <w:p>
      <w:pPr>
        <w:shd w:val="clear"/>
        <w:ind w:firstLine="640" w:firstLineChars="200"/>
        <w:jc w:val="center"/>
        <w:rPr>
          <w:rFonts w:ascii="宋体" w:hAnsi="宋体" w:cs="宋体"/>
          <w:color w:val="auto"/>
          <w:sz w:val="32"/>
          <w:szCs w:val="32"/>
          <w:highlight w:val="none"/>
        </w:rPr>
      </w:pPr>
      <w:r>
        <w:rPr>
          <w:rFonts w:hint="eastAsia" w:ascii="宋体" w:hAnsi="宋体" w:cs="宋体"/>
          <w:color w:val="auto"/>
          <w:sz w:val="32"/>
          <w:szCs w:val="32"/>
          <w:highlight w:val="none"/>
        </w:rPr>
        <w:t>环境监测技术需求书</w:t>
      </w:r>
    </w:p>
    <w:p>
      <w:pPr>
        <w:shd w:val="clear"/>
        <w:rPr>
          <w:rFonts w:ascii="宋体" w:hAnsi="宋体" w:cs="宋体"/>
          <w:b/>
          <w:bCs/>
          <w:color w:val="auto"/>
          <w:szCs w:val="21"/>
          <w:highlight w:val="none"/>
        </w:rPr>
      </w:pPr>
      <w:r>
        <w:rPr>
          <w:rFonts w:hint="eastAsia" w:ascii="宋体" w:hAnsi="宋体" w:cs="宋体"/>
          <w:b/>
          <w:bCs/>
          <w:color w:val="auto"/>
          <w:szCs w:val="21"/>
          <w:highlight w:val="none"/>
        </w:rPr>
        <w:t>一、项目概况</w:t>
      </w:r>
    </w:p>
    <w:p>
      <w:pPr>
        <w:shd w:val="clear"/>
        <w:ind w:firstLine="422" w:firstLineChars="200"/>
        <w:rPr>
          <w:rFonts w:ascii="宋体" w:hAnsi="宋体" w:cs="宋体"/>
          <w:color w:val="auto"/>
          <w:szCs w:val="21"/>
          <w:highlight w:val="none"/>
        </w:rPr>
      </w:pPr>
      <w:r>
        <w:rPr>
          <w:rFonts w:hint="eastAsia" w:ascii="宋体" w:hAnsi="宋体" w:cs="宋体"/>
          <w:b/>
          <w:bCs/>
          <w:color w:val="auto"/>
          <w:szCs w:val="21"/>
          <w:highlight w:val="none"/>
        </w:rPr>
        <w:t>（一）麻涌项目：</w:t>
      </w:r>
      <w:r>
        <w:rPr>
          <w:rFonts w:hint="eastAsia" w:ascii="宋体" w:hAnsi="宋体" w:cs="宋体"/>
          <w:color w:val="auto"/>
          <w:szCs w:val="21"/>
          <w:highlight w:val="none"/>
        </w:rPr>
        <w:t>东莞市新东欣环保投资有限公司规划建设东莞市海心沙资源综合利用中心绿色工业服务项目。项目设计接收处置26大类工业危险废物共约31.61万t/a的处理规模，其中焚烧危险废物6万吨，综合利用危险废物6.78万吨，物化处理危险废物5.5万吨，表面处理废物处理13.3万吨，暂存转运危险废物300吨，浓缩液处理项目处理生活卫生填埋场渗滤液浓缩液22.11万t/a。</w:t>
      </w:r>
    </w:p>
    <w:p>
      <w:pPr>
        <w:shd w:val="clear"/>
        <w:ind w:firstLine="422" w:firstLineChars="200"/>
        <w:rPr>
          <w:rFonts w:ascii="宋体" w:hAnsi="宋体" w:cs="宋体"/>
          <w:color w:val="auto"/>
          <w:szCs w:val="21"/>
          <w:highlight w:val="none"/>
        </w:rPr>
      </w:pPr>
      <w:r>
        <w:rPr>
          <w:rFonts w:hint="eastAsia" w:ascii="宋体" w:hAnsi="宋体" w:cs="宋体"/>
          <w:b/>
          <w:bCs/>
          <w:color w:val="auto"/>
          <w:szCs w:val="21"/>
          <w:highlight w:val="none"/>
        </w:rPr>
        <w:t>（二）凤岗项目：</w:t>
      </w:r>
      <w:r>
        <w:rPr>
          <w:rFonts w:hint="eastAsia" w:ascii="宋体" w:hAnsi="宋体" w:cs="宋体"/>
          <w:color w:val="auto"/>
          <w:szCs w:val="21"/>
          <w:highlight w:val="none"/>
        </w:rPr>
        <w:t>东莞市新东欣环保投资有限公司作为凤岗镇中心区生活垃圾填埋场渗滤液处理站（以下简称凤岗渗滤液处理站）的运营商，位于凤岗镇五联村畔坑小组坳背塘区域，渗滤液处理工程规模为50吨/天。处理后的出水排放标准达到《生活垃圾填埋场污染控制标准》（GB16889-2008）附表5标准后排入市政污水管网；NF/RO浓缩液由东莞市城市管理和综合执法局委托有资质公司实行无害化处理。</w:t>
      </w:r>
    </w:p>
    <w:p>
      <w:pPr>
        <w:shd w:val="clear"/>
        <w:rPr>
          <w:rFonts w:ascii="宋体" w:hAnsi="宋体" w:cs="宋体"/>
          <w:b/>
          <w:bCs/>
          <w:color w:val="auto"/>
          <w:szCs w:val="21"/>
          <w:highlight w:val="none"/>
        </w:rPr>
      </w:pPr>
    </w:p>
    <w:p>
      <w:pPr>
        <w:shd w:val="clear"/>
        <w:rPr>
          <w:rFonts w:ascii="宋体" w:hAnsi="宋体" w:cs="宋体"/>
          <w:b/>
          <w:bCs/>
          <w:color w:val="auto"/>
          <w:szCs w:val="21"/>
          <w:highlight w:val="none"/>
        </w:rPr>
      </w:pPr>
      <w:r>
        <w:rPr>
          <w:rFonts w:hint="eastAsia" w:ascii="宋体" w:hAnsi="宋体" w:cs="宋体"/>
          <w:b/>
          <w:bCs/>
          <w:color w:val="auto"/>
          <w:szCs w:val="21"/>
          <w:highlight w:val="none"/>
        </w:rPr>
        <w:t>二、服务清单</w:t>
      </w:r>
    </w:p>
    <w:p>
      <w:pPr>
        <w:shd w:val="clear"/>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（一）服务期限</w:t>
      </w:r>
    </w:p>
    <w:p>
      <w:pPr>
        <w:pStyle w:val="2"/>
        <w:shd w:val="clear"/>
        <w:ind w:firstLine="420" w:firstLineChars="200"/>
        <w:rPr>
          <w:color w:val="auto"/>
          <w:sz w:val="21"/>
          <w:szCs w:val="21"/>
          <w:highlight w:val="none"/>
        </w:rPr>
      </w:pPr>
      <w:r>
        <w:rPr>
          <w:rFonts w:hint="eastAsia"/>
          <w:color w:val="auto"/>
          <w:sz w:val="21"/>
          <w:szCs w:val="21"/>
          <w:highlight w:val="none"/>
        </w:rPr>
        <w:t>东莞市新东欣环保投资有限公司监测服务时间为一年。实际服务时间为自中标人实际进场开始检测之日起一年。</w:t>
      </w:r>
    </w:p>
    <w:p>
      <w:pPr>
        <w:shd w:val="clear"/>
        <w:ind w:firstLine="422" w:firstLineChars="200"/>
        <w:rPr>
          <w:rFonts w:ascii="宋体" w:hAnsi="宋体" w:cs="宋体"/>
          <w:b/>
          <w:bCs/>
          <w:color w:val="auto"/>
          <w:szCs w:val="21"/>
          <w:highlight w:val="none"/>
        </w:rPr>
      </w:pPr>
    </w:p>
    <w:p>
      <w:pPr>
        <w:shd w:val="clear"/>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（二）服务内容</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1.绿色工业服务项目</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2021年3月1日生态环境部施行的《排污许可管理条例》、《排污单位自行监测技术指南总则》（HJ819-2017）、《排污许可证申请与核发技术规范危险废物焚烧》(HJ1038-2019)、《排污许可证申请与核发技术规范工业固体废物和危险废物治理》（HJ1033-2019）、排污许可证申请与核发技术规范—废弃资源加工工业（HJ 1034—2019）、排污单位自行监测技术指南 有色金属工业——再生金属（HJ 1208-2021 )、排污单位自行监测技术指南 固体废物焚烧（HJ 1205—2021）、排污许可证申请与核发技术规范 工业固体废物（试行）（HJ 1200-2021）、《关于实施厂区内挥发性有机物无组织排放监控要求的通告（粤环发[2021]4号）》及项目环评，确定委外环境监测方案如附表4，服务单位须根据约定时间完成采样、监测并出具监测报告。</w:t>
      </w:r>
    </w:p>
    <w:p>
      <w:pPr>
        <w:shd w:val="clear"/>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附表4：绿色工业服务项目委外环境监测方案</w:t>
      </w:r>
    </w:p>
    <w:tbl>
      <w:tblPr>
        <w:tblStyle w:val="30"/>
        <w:tblW w:w="8999" w:type="dxa"/>
        <w:jc w:val="center"/>
        <w:tblLayout w:type="fixed"/>
        <w:tblCellMar>
          <w:top w:w="0" w:type="dxa"/>
          <w:left w:w="108" w:type="dxa"/>
          <w:bottom w:w="0" w:type="dxa"/>
          <w:right w:w="108" w:type="dxa"/>
        </w:tblCellMar>
      </w:tblPr>
      <w:tblGrid>
        <w:gridCol w:w="765"/>
        <w:gridCol w:w="989"/>
        <w:gridCol w:w="1466"/>
        <w:gridCol w:w="2001"/>
        <w:gridCol w:w="884"/>
        <w:gridCol w:w="1995"/>
        <w:gridCol w:w="899"/>
      </w:tblGrid>
      <w:tr>
        <w:tblPrEx>
          <w:tblCellMar>
            <w:top w:w="0" w:type="dxa"/>
            <w:left w:w="108" w:type="dxa"/>
            <w:bottom w:w="0" w:type="dxa"/>
            <w:right w:w="108" w:type="dxa"/>
          </w:tblCellMar>
        </w:tblPrEx>
        <w:trPr>
          <w:trHeight w:val="780" w:hRule="atLeast"/>
          <w:tblHeade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项目</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监测点位</w:t>
            </w:r>
          </w:p>
        </w:tc>
        <w:tc>
          <w:tcPr>
            <w:tcW w:w="200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监测因子</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监测频次</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c>
          <w:tcPr>
            <w:tcW w:w="899" w:type="dxa"/>
            <w:tcBorders>
              <w:top w:val="single" w:color="auto" w:sz="4" w:space="0"/>
              <w:left w:val="single" w:color="auto" w:sz="4" w:space="0"/>
              <w:bottom w:val="single" w:color="auto" w:sz="4" w:space="0"/>
              <w:right w:val="single" w:color="auto" w:sz="4" w:space="0"/>
            </w:tcBorders>
            <w:shd w:val="clear" w:color="000000"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年样品数量</w:t>
            </w:r>
          </w:p>
        </w:tc>
      </w:tr>
      <w:tr>
        <w:tblPrEx>
          <w:tblCellMar>
            <w:top w:w="0" w:type="dxa"/>
            <w:left w:w="108" w:type="dxa"/>
            <w:bottom w:w="0" w:type="dxa"/>
            <w:right w:w="108" w:type="dxa"/>
          </w:tblCellMar>
        </w:tblPrEx>
        <w:trPr>
          <w:trHeight w:val="180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c>
          <w:tcPr>
            <w:tcW w:w="989"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有组织排放废气（主要排放口）</w:t>
            </w:r>
          </w:p>
        </w:tc>
        <w:tc>
          <w:tcPr>
            <w:tcW w:w="1466"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焚烧回转窑集束烟囱A1、A2 2个点位</w:t>
            </w: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烟尘（低浓度颗粒物）、HCl、SO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、NO</w:t>
            </w:r>
            <w:r>
              <w:rPr>
                <w:rFonts w:hint="eastAsia" w:ascii="宋体" w:hAnsi="宋体" w:cs="宋体"/>
                <w:color w:val="auto"/>
                <w:szCs w:val="21"/>
                <w:highlight w:val="none"/>
                <w:vertAlign w:val="subscript"/>
              </w:rPr>
              <w:t>X</w:t>
            </w:r>
            <w:r>
              <w:rPr>
                <w:rFonts w:hint="eastAsia" w:ascii="宋体" w:hAnsi="宋体" w:cs="宋体"/>
                <w:color w:val="auto"/>
                <w:szCs w:val="21"/>
                <w:highlight w:val="none"/>
              </w:rPr>
              <w:t>、CO、O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、流速、烟温、湿度</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采用参比方法对在线监测设备进行比对：测量气态污染物和氧气浓度，至少获取9个数据对，每个数据对取5～15min均值；测量流速、烟温湿度时，至少获取5个同时段测试断面值数据对，分别计算流速、烟温、湿度CMS准确度。</w:t>
            </w:r>
          </w:p>
        </w:tc>
        <w:tc>
          <w:tcPr>
            <w:tcW w:w="89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8</w:t>
            </w:r>
          </w:p>
        </w:tc>
      </w:tr>
      <w:tr>
        <w:tblPrEx>
          <w:tblCellMar>
            <w:top w:w="0" w:type="dxa"/>
            <w:left w:w="108" w:type="dxa"/>
            <w:bottom w:w="0" w:type="dxa"/>
            <w:right w:w="108" w:type="dxa"/>
          </w:tblCellMar>
        </w:tblPrEx>
        <w:trPr>
          <w:trHeight w:val="3885"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汞及其化合物（以Hg计）、铊及其化合物（以Ti计）、镉及其化合物（以Cd计）、铅及其化合物（以Pb计）、砷及其化合物（以As计）、铬及其化合物（以Gr计）、锡、锑、铜、锰、镍、钴及其化合物（以Sn+Sb+Cu+Mn+Ni+Co计）、林格曼黑度</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每台炉的测量值需为0.5～8 个小时内完成不少于 3 个样品的采集，取算术平均值</w:t>
            </w:r>
          </w:p>
        </w:tc>
        <w:tc>
          <w:tcPr>
            <w:tcW w:w="89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72</w:t>
            </w:r>
          </w:p>
        </w:tc>
      </w:tr>
      <w:tr>
        <w:tblPrEx>
          <w:tblCellMar>
            <w:top w:w="0" w:type="dxa"/>
            <w:left w:w="108" w:type="dxa"/>
            <w:bottom w:w="0" w:type="dxa"/>
            <w:right w:w="108" w:type="dxa"/>
          </w:tblCellMar>
        </w:tblPrEx>
        <w:trPr>
          <w:trHeight w:val="1781"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氟化氢</w:t>
            </w:r>
          </w:p>
        </w:tc>
        <w:tc>
          <w:tcPr>
            <w:tcW w:w="884"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每台炉的测量值需为0.5～8 个小时内完成不少于 3 个样品的采集，取算术平均值</w:t>
            </w:r>
          </w:p>
        </w:tc>
        <w:tc>
          <w:tcPr>
            <w:tcW w:w="899"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24</w:t>
            </w:r>
          </w:p>
        </w:tc>
      </w:tr>
      <w:tr>
        <w:tblPrEx>
          <w:tblCellMar>
            <w:top w:w="0" w:type="dxa"/>
            <w:left w:w="108" w:type="dxa"/>
            <w:bottom w:w="0" w:type="dxa"/>
            <w:right w:w="108" w:type="dxa"/>
          </w:tblCellMar>
        </w:tblPrEx>
        <w:trPr>
          <w:trHeight w:val="1339"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二噁英类</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1次/半年</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每台炉的测量值需为6～12 个小时内完成不少于 3个样品的采集，取算术平均值</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CellMar>
            <w:top w:w="0" w:type="dxa"/>
            <w:left w:w="108" w:type="dxa"/>
            <w:bottom w:w="0" w:type="dxa"/>
            <w:right w:w="108" w:type="dxa"/>
          </w:tblCellMar>
        </w:tblPrEx>
        <w:trPr>
          <w:trHeight w:val="909"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5</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火法熔炼集束烟囱A5 1个点位</w:t>
            </w: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烟尘（低浓度颗粒物）、SO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、NO</w:t>
            </w:r>
            <w:r>
              <w:rPr>
                <w:rFonts w:hint="eastAsia" w:ascii="宋体" w:hAnsi="宋体" w:cs="宋体"/>
                <w:color w:val="auto"/>
                <w:szCs w:val="21"/>
                <w:highlight w:val="none"/>
                <w:vertAlign w:val="subscript"/>
              </w:rPr>
              <w:t>X</w:t>
            </w:r>
            <w:r>
              <w:rPr>
                <w:rFonts w:hint="eastAsia" w:ascii="宋体" w:hAnsi="宋体" w:cs="宋体"/>
                <w:color w:val="auto"/>
                <w:szCs w:val="21"/>
                <w:highlight w:val="none"/>
              </w:rPr>
              <w:t>、O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、流速、烟温、湿度</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采用参比方法对在线监测设备进行比对：测量气态污染物和氧气浓度，至少获取9个数据对，每个数据对取5～15min均值；测量流速、烟温湿度时，至少获取5个同时段测试断面值数据对，分别计算流速、烟温、湿度CMS准确度。</w:t>
            </w:r>
          </w:p>
        </w:tc>
        <w:tc>
          <w:tcPr>
            <w:tcW w:w="89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r>
      <w:tr>
        <w:tblPrEx>
          <w:tblCellMar>
            <w:top w:w="0" w:type="dxa"/>
            <w:left w:w="108" w:type="dxa"/>
            <w:bottom w:w="0" w:type="dxa"/>
            <w:right w:w="108" w:type="dxa"/>
          </w:tblCellMar>
        </w:tblPrEx>
        <w:trPr>
          <w:trHeight w:val="168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砷及其化合物（以As计）、铅及其化合物（以Pb计）、镉及其化合物（以Cd计）</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每台炉的测量值需为0.5～8 个小时内完成不少于 3 个样品的采集，取算术平均值</w:t>
            </w:r>
          </w:p>
        </w:tc>
        <w:tc>
          <w:tcPr>
            <w:tcW w:w="89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36</w:t>
            </w:r>
          </w:p>
        </w:tc>
      </w:tr>
      <w:tr>
        <w:tblPrEx>
          <w:tblCellMar>
            <w:top w:w="0" w:type="dxa"/>
            <w:left w:w="108" w:type="dxa"/>
            <w:bottom w:w="0" w:type="dxa"/>
            <w:right w:w="108" w:type="dxa"/>
          </w:tblCellMar>
        </w:tblPrEx>
        <w:trPr>
          <w:trHeight w:val="168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7</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锡及其化合物（以Sn计）、锑及其化合物（以Sb计）、铬及其化合物（以Gr计）、林格曼黑度、一氧化碳、氟化氢、氯化氢、汞及其化合物（以Hg计）</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每台炉的测量值需为0.5～8 个小时内完成不少于 3 个样品的采集，取算术平均值</w:t>
            </w:r>
          </w:p>
        </w:tc>
        <w:tc>
          <w:tcPr>
            <w:tcW w:w="89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CellMar>
            <w:top w:w="0" w:type="dxa"/>
            <w:left w:w="108" w:type="dxa"/>
            <w:bottom w:w="0" w:type="dxa"/>
            <w:right w:w="108" w:type="dxa"/>
          </w:tblCellMar>
        </w:tblPrEx>
        <w:trPr>
          <w:trHeight w:val="168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8</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二噁英类</w:t>
            </w:r>
          </w:p>
        </w:tc>
        <w:tc>
          <w:tcPr>
            <w:tcW w:w="884"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1995"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每台炉的测量值需为6～12 个小时内完成不少于 3个样品的采集，取算术平均值</w:t>
            </w:r>
          </w:p>
        </w:tc>
        <w:tc>
          <w:tcPr>
            <w:tcW w:w="899"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r>
      <w:tr>
        <w:tblPrEx>
          <w:tblCellMar>
            <w:top w:w="0" w:type="dxa"/>
            <w:left w:w="108" w:type="dxa"/>
            <w:bottom w:w="0" w:type="dxa"/>
            <w:right w:w="108" w:type="dxa"/>
          </w:tblCellMar>
        </w:tblPrEx>
        <w:trPr>
          <w:trHeight w:val="1680"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9</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restart"/>
            <w:tcBorders>
              <w:top w:val="nil"/>
              <w:left w:val="single" w:color="auto" w:sz="4" w:space="0"/>
              <w:bottom w:val="single" w:color="000000"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铝冶炼熔铸废气排放口A3</w:t>
            </w: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烟尘（低浓度颗粒物）、SO2、NOX、O2、流速、烟温、湿度</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采用参比方法对在线监测设备进行比对：测量气态污染物和氧气浓度，至少获取9个数据对，每个数据对取5～15min均值；测量流速、烟温湿度时，至少获取5个同时段测试断面值数据对，分别计算流速、烟温、湿度CMS准确度。</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r>
      <w:tr>
        <w:tblPrEx>
          <w:tblCellMar>
            <w:top w:w="0" w:type="dxa"/>
            <w:left w:w="108" w:type="dxa"/>
            <w:bottom w:w="0" w:type="dxa"/>
            <w:right w:w="108" w:type="dxa"/>
          </w:tblCellMar>
        </w:tblPrEx>
        <w:trPr>
          <w:trHeight w:val="1680"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10</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nil"/>
              <w:left w:val="single" w:color="auto" w:sz="4" w:space="0"/>
              <w:bottom w:val="single" w:color="000000"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氟化物、砷及其化合物、铅及其化合物、铬及其化合物</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每台炉的测量值需为0.5～8 个小时内完成不少于 3 个样品的采集，取算术平均值</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36</w:t>
            </w:r>
          </w:p>
        </w:tc>
      </w:tr>
      <w:tr>
        <w:tblPrEx>
          <w:tblCellMar>
            <w:top w:w="0" w:type="dxa"/>
            <w:left w:w="108" w:type="dxa"/>
            <w:bottom w:w="0" w:type="dxa"/>
            <w:right w:w="108" w:type="dxa"/>
          </w:tblCellMar>
        </w:tblPrEx>
        <w:trPr>
          <w:trHeight w:val="1680"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11</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nil"/>
              <w:left w:val="single" w:color="auto" w:sz="4" w:space="0"/>
              <w:bottom w:val="single" w:color="000000"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锡及其化合物、镉及其化合物、氯化氢、</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每台炉的测量值需为0.5～8 个小时内完成不少于 3 个样品的采集，取算术平均值</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CellMar>
            <w:top w:w="0" w:type="dxa"/>
            <w:left w:w="108" w:type="dxa"/>
            <w:bottom w:w="0" w:type="dxa"/>
            <w:right w:w="108" w:type="dxa"/>
          </w:tblCellMar>
        </w:tblPrEx>
        <w:trPr>
          <w:trHeight w:val="1485"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nil"/>
              <w:left w:val="single" w:color="auto" w:sz="4" w:space="0"/>
              <w:bottom w:val="single" w:color="000000"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二噁英类</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每台炉的测量值需为6～12 个小时内完成不少于 3个样品的采集，取算术平均值</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r>
      <w:tr>
        <w:tblPrEx>
          <w:tblCellMar>
            <w:top w:w="0" w:type="dxa"/>
            <w:left w:w="108" w:type="dxa"/>
            <w:bottom w:w="0" w:type="dxa"/>
            <w:right w:w="108" w:type="dxa"/>
          </w:tblCellMar>
        </w:tblPrEx>
        <w:trPr>
          <w:trHeight w:val="1353"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13</w:t>
            </w:r>
          </w:p>
        </w:tc>
        <w:tc>
          <w:tcPr>
            <w:tcW w:w="989"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有组织排放废气（一般排放口）</w:t>
            </w:r>
          </w:p>
        </w:tc>
        <w:tc>
          <w:tcPr>
            <w:tcW w:w="1466"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铝冶炼脱氮废气排放口A4</w:t>
            </w: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氨（氨气）、臭气浓度</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恶臭污染监测样品采集不少于3次，取最大测定值。</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36</w:t>
            </w:r>
          </w:p>
        </w:tc>
      </w:tr>
      <w:tr>
        <w:tblPrEx>
          <w:tblCellMar>
            <w:top w:w="0" w:type="dxa"/>
            <w:left w:w="108" w:type="dxa"/>
            <w:bottom w:w="0" w:type="dxa"/>
            <w:right w:w="108" w:type="dxa"/>
          </w:tblCellMar>
        </w:tblPrEx>
        <w:trPr>
          <w:trHeight w:val="1680"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14</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丙一库排气筒A6、丙二库排气筒A7 2个点位</w:t>
            </w: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氨（氨气）、臭气浓度、颗粒物、硫化氢、氟化物、VOCs、氯化氢、非甲烷总烃、氰化氢</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1.以连续一小时的采样获取平均值或在一小时内以等时间间隔采集4个样品，并计平均值。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2.恶臭污染监测样品采集不少于3次，取最大测定值。</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24</w:t>
            </w:r>
          </w:p>
        </w:tc>
      </w:tr>
      <w:tr>
        <w:tblPrEx>
          <w:tblCellMar>
            <w:top w:w="0" w:type="dxa"/>
            <w:left w:w="108" w:type="dxa"/>
            <w:bottom w:w="0" w:type="dxa"/>
            <w:right w:w="108" w:type="dxa"/>
          </w:tblCellMar>
        </w:tblPrEx>
        <w:trPr>
          <w:trHeight w:val="168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15</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甲类库A9、乙类库A10及预处理车间排气筒A11 3个点位</w:t>
            </w: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氨（氨气）、臭气浓度、颗粒物、硫化氢、氟化物、VOCs、氯化氢</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1.以连续一小时的采样获取平均值或在一小时内以等时间间隔采集4个样品，并计平均值。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2.恶臭污染监测样品采集不少于3次，取最大测定值。</w:t>
            </w:r>
          </w:p>
        </w:tc>
        <w:tc>
          <w:tcPr>
            <w:tcW w:w="89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36</w:t>
            </w:r>
          </w:p>
        </w:tc>
      </w:tr>
      <w:tr>
        <w:tblPrEx>
          <w:tblCellMar>
            <w:top w:w="0" w:type="dxa"/>
            <w:left w:w="108" w:type="dxa"/>
            <w:bottom w:w="0" w:type="dxa"/>
            <w:right w:w="108" w:type="dxa"/>
          </w:tblCellMar>
        </w:tblPrEx>
        <w:trPr>
          <w:trHeight w:val="168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16</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火法熔炼预处理车间排气筒A12 1个点位</w:t>
            </w: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VOCs、氨（氨气）、硫化氢</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1.以连续一小时的采样获取平均值或在一小时内以等时间间隔采集4个样品，并计平均值。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2.恶臭污染监测样品采集不少于3次，取最大测定值。</w:t>
            </w:r>
          </w:p>
        </w:tc>
        <w:tc>
          <w:tcPr>
            <w:tcW w:w="89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CellMar>
            <w:top w:w="0" w:type="dxa"/>
            <w:left w:w="108" w:type="dxa"/>
            <w:bottom w:w="0" w:type="dxa"/>
            <w:right w:w="108" w:type="dxa"/>
          </w:tblCellMar>
        </w:tblPrEx>
        <w:trPr>
          <w:trHeight w:val="168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17</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火法熔炼环集烟囱A21 1个点位</w:t>
            </w: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颗粒物</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以连续一小时的采样获取平均值或在一小时内以等时间间隔采集四个样品，并计平均值。</w:t>
            </w:r>
          </w:p>
        </w:tc>
        <w:tc>
          <w:tcPr>
            <w:tcW w:w="89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CellMar>
            <w:top w:w="0" w:type="dxa"/>
            <w:left w:w="108" w:type="dxa"/>
            <w:bottom w:w="0" w:type="dxa"/>
            <w:right w:w="108" w:type="dxa"/>
          </w:tblCellMar>
        </w:tblPrEx>
        <w:trPr>
          <w:trHeight w:val="2318"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18</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综合污水处理系统排气筒A16 1个点位</w:t>
            </w: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臭气浓度、硫化氢、氨（氨气）、VOCs</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1.以连续一小时的采样获取平均值或在一小时内以等时间间隔采集四个样品，并计平均值。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2.恶臭污染监测样品采集不少于3次，取最大测定值。</w:t>
            </w:r>
          </w:p>
        </w:tc>
        <w:tc>
          <w:tcPr>
            <w:tcW w:w="89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CellMar>
            <w:top w:w="0" w:type="dxa"/>
            <w:left w:w="108" w:type="dxa"/>
            <w:bottom w:w="0" w:type="dxa"/>
            <w:right w:w="108" w:type="dxa"/>
          </w:tblCellMar>
        </w:tblPrEx>
        <w:trPr>
          <w:trHeight w:val="168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19</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物化处理车间排气筒A14 1个点位</w:t>
            </w:r>
          </w:p>
        </w:tc>
        <w:tc>
          <w:tcPr>
            <w:tcW w:w="2001"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VOCs、氯化氢、硫酸雾、非甲烷总烃</w:t>
            </w:r>
          </w:p>
        </w:tc>
        <w:tc>
          <w:tcPr>
            <w:tcW w:w="884"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1.以连续一小时的采样获取平均值或在一小时内以等时间间隔采集四个样品，并计平均值。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2.恶臭污染监测样品采集不少于3次，取最大测定值。</w:t>
            </w:r>
          </w:p>
        </w:tc>
        <w:tc>
          <w:tcPr>
            <w:tcW w:w="899"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CellMar>
            <w:top w:w="0" w:type="dxa"/>
            <w:left w:w="108" w:type="dxa"/>
            <w:bottom w:w="0" w:type="dxa"/>
            <w:right w:w="108" w:type="dxa"/>
          </w:tblCellMar>
        </w:tblPrEx>
        <w:trPr>
          <w:trHeight w:val="1680"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20</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检测中心排气筒A019、A22  2个点位</w:t>
            </w: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颗粒物、VOCs、甲醇、甲醛、臭气浓度、氨（氨气）</w:t>
            </w:r>
            <w:r>
              <w:rPr>
                <w:rFonts w:hint="eastAsia" w:ascii="宋体" w:hAnsi="宋体" w:cs="宋体"/>
                <w:color w:val="auto"/>
                <w:szCs w:val="21"/>
                <w:highlight w:val="none"/>
                <w:vertAlign w:val="subscript"/>
              </w:rPr>
              <w:t>信息公开</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1.以连续一小时的采样获取平均值或在一小时内以等时间间隔采集4个样品，并计平均值。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2.恶臭污染监测样品采集不少于3次，取最大测定值。</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24</w:t>
            </w:r>
          </w:p>
        </w:tc>
      </w:tr>
      <w:tr>
        <w:tblPrEx>
          <w:tblCellMar>
            <w:top w:w="0" w:type="dxa"/>
            <w:left w:w="108" w:type="dxa"/>
            <w:bottom w:w="0" w:type="dxa"/>
            <w:right w:w="108" w:type="dxa"/>
          </w:tblCellMar>
        </w:tblPrEx>
        <w:trPr>
          <w:trHeight w:val="1680"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21</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检测中心排气筒A020、A23、 A24、A25 4个点位</w:t>
            </w: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硫化氢、氟化物、氯化物、氨（氨气）、硫酸雾、氮氧化物</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1.以连续一小时的采样获取平均值或在一小时内以等时间间隔采集4个样品，并计平均值。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2.恶臭污染监测样品采集不少于3次，取最大测定值。</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48</w:t>
            </w:r>
          </w:p>
        </w:tc>
      </w:tr>
      <w:tr>
        <w:tblPrEx>
          <w:tblCellMar>
            <w:top w:w="0" w:type="dxa"/>
            <w:left w:w="108" w:type="dxa"/>
            <w:bottom w:w="0" w:type="dxa"/>
            <w:right w:w="108" w:type="dxa"/>
          </w:tblCellMar>
        </w:tblPrEx>
        <w:trPr>
          <w:trHeight w:val="1680"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22</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restart"/>
            <w:tcBorders>
              <w:top w:val="nil"/>
              <w:left w:val="single" w:color="auto" w:sz="4" w:space="0"/>
              <w:bottom w:val="single" w:color="000000"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导热油炉排气口A27 1个点位</w:t>
            </w: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氮氧化物</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以连续一小时的采样获取平均值或在一小时内以等时间间隔采集4个样品，并计平均值。</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CellMar>
            <w:top w:w="0" w:type="dxa"/>
            <w:left w:w="108" w:type="dxa"/>
            <w:bottom w:w="0" w:type="dxa"/>
            <w:right w:w="108" w:type="dxa"/>
          </w:tblCellMar>
        </w:tblPrEx>
        <w:trPr>
          <w:trHeight w:val="1680"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23</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nil"/>
              <w:left w:val="single" w:color="auto" w:sz="4" w:space="0"/>
              <w:bottom w:val="single" w:color="000000"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二氧化硫、颗粒物、氨（氨气）、硫化氢、非甲烷总烃</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1.以连续一小时的采样获取平均值或在一小时内以等时间间隔采集4个样品，并计平均值。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2.恶臭污染监测样品采集不少于3次，取最大测定值。</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CellMar>
            <w:top w:w="0" w:type="dxa"/>
            <w:left w:w="108" w:type="dxa"/>
            <w:bottom w:w="0" w:type="dxa"/>
            <w:right w:w="108" w:type="dxa"/>
          </w:tblCellMar>
        </w:tblPrEx>
        <w:trPr>
          <w:trHeight w:val="810"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24</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nil"/>
              <w:left w:val="single" w:color="auto" w:sz="4" w:space="0"/>
              <w:bottom w:val="single" w:color="000000"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林格曼黑度</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r>
      <w:tr>
        <w:tblPrEx>
          <w:tblCellMar>
            <w:top w:w="0" w:type="dxa"/>
            <w:left w:w="108" w:type="dxa"/>
            <w:bottom w:w="0" w:type="dxa"/>
            <w:right w:w="108" w:type="dxa"/>
          </w:tblCellMar>
        </w:tblPrEx>
        <w:trPr>
          <w:trHeight w:val="776"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25</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食堂烟囱3个点</w:t>
            </w: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废气量、油烟浓度</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r>
      <w:tr>
        <w:tblPrEx>
          <w:tblCellMar>
            <w:top w:w="0" w:type="dxa"/>
            <w:left w:w="108" w:type="dxa"/>
            <w:bottom w:w="0" w:type="dxa"/>
            <w:right w:w="108" w:type="dxa"/>
          </w:tblCellMar>
        </w:tblPrEx>
        <w:trPr>
          <w:trHeight w:val="2550"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26</w:t>
            </w:r>
          </w:p>
        </w:tc>
        <w:tc>
          <w:tcPr>
            <w:tcW w:w="989"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无组织排放废气</w:t>
            </w:r>
          </w:p>
        </w:tc>
        <w:tc>
          <w:tcPr>
            <w:tcW w:w="1466"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上风向1个，下风向3个</w:t>
            </w: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氨（氨气）、臭气浓度、颗粒物、硫化氢、氟化物、VOCs、非甲烷总烃、氯化氢、氰化氢、甲醇、甲醛、氮氧化物、硫酸雾、镉及其化合物、铬及其化合物、铅及其化合物、砷及其化合物、锑及其化合物、锡及其化合物</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1.气态污染物等时间间隔采样,采集4个样品计平均值。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2.恶臭污染监测样品采集不少于4次，取最大测定值。</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64</w:t>
            </w:r>
          </w:p>
        </w:tc>
      </w:tr>
      <w:tr>
        <w:tblPrEx>
          <w:tblCellMar>
            <w:top w:w="0" w:type="dxa"/>
            <w:left w:w="108" w:type="dxa"/>
            <w:bottom w:w="0" w:type="dxa"/>
            <w:right w:w="108" w:type="dxa"/>
          </w:tblCellMar>
        </w:tblPrEx>
        <w:trPr>
          <w:trHeight w:val="3165"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27</w:t>
            </w:r>
          </w:p>
        </w:tc>
        <w:tc>
          <w:tcPr>
            <w:tcW w:w="98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厂区内废气</w:t>
            </w:r>
          </w:p>
        </w:tc>
        <w:tc>
          <w:tcPr>
            <w:tcW w:w="1466"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贮存（丙一、丙二、甲库、乙库）、焚烧预处理、焚烧料坑1#、焚烧料坑2#、熔炼预处理、物化废水及废矿物油储罐区合计10个点</w:t>
            </w: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非甲烷总烃</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以连续一小时的采样获取平均值或在一小时内以等时间间隔采集四个样品，并计平均值。</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40</w:t>
            </w:r>
          </w:p>
        </w:tc>
      </w:tr>
      <w:tr>
        <w:tblPrEx>
          <w:tblCellMar>
            <w:top w:w="0" w:type="dxa"/>
            <w:left w:w="108" w:type="dxa"/>
            <w:bottom w:w="0" w:type="dxa"/>
            <w:right w:w="108" w:type="dxa"/>
          </w:tblCellMar>
        </w:tblPrEx>
        <w:trPr>
          <w:trHeight w:val="1465"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28</w:t>
            </w:r>
          </w:p>
        </w:tc>
        <w:tc>
          <w:tcPr>
            <w:tcW w:w="989" w:type="dxa"/>
            <w:vMerge w:val="restart"/>
            <w:tcBorders>
              <w:top w:val="nil"/>
              <w:left w:val="single" w:color="auto" w:sz="4" w:space="0"/>
              <w:bottom w:val="single" w:color="000000"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环境空气（敏感点）</w:t>
            </w:r>
          </w:p>
        </w:tc>
        <w:tc>
          <w:tcPr>
            <w:tcW w:w="1466" w:type="dxa"/>
            <w:vMerge w:val="restart"/>
            <w:tcBorders>
              <w:top w:val="nil"/>
              <w:left w:val="single" w:color="auto" w:sz="4" w:space="0"/>
              <w:bottom w:val="single" w:color="000000"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项目厂址、漳澎村、万科珠江东岸、恒大滨江左岸、梅沙村、泗安医院合计6个点</w:t>
            </w: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氯化氢、挥发性有机化合物、颗粒物、汞及其化合物、镉及其化合物、砷及其化合物、镍及其化合物、铅及其化合物、六价铬、铬及其化合物、锡及其化合物、锑及其化合物、铜及其化合物、锰及其化合物、氨（氨气）、硫化氢、臭气浓度</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1次/半年</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1.气态污染物等时间间隔采样,采集4个样品计平均值。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2.恶臭污染监测样品采集不少于4次，取最大测定值。</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48</w:t>
            </w:r>
          </w:p>
        </w:tc>
      </w:tr>
      <w:tr>
        <w:tblPrEx>
          <w:tblCellMar>
            <w:top w:w="0" w:type="dxa"/>
            <w:left w:w="108" w:type="dxa"/>
            <w:bottom w:w="0" w:type="dxa"/>
            <w:right w:w="108" w:type="dxa"/>
          </w:tblCellMar>
        </w:tblPrEx>
        <w:trPr>
          <w:trHeight w:val="1560"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29</w:t>
            </w:r>
          </w:p>
        </w:tc>
        <w:tc>
          <w:tcPr>
            <w:tcW w:w="989" w:type="dxa"/>
            <w:vMerge w:val="continue"/>
            <w:tcBorders>
              <w:top w:val="nil"/>
              <w:left w:val="single" w:color="auto" w:sz="4" w:space="0"/>
              <w:bottom w:val="single" w:color="000000"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nil"/>
              <w:left w:val="single" w:color="auto" w:sz="4" w:space="0"/>
              <w:bottom w:val="single" w:color="000000"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二噁英类</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每期监测每个监测点位应取得至少3天的样品，且每天采样时间不少于18小时。</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18</w:t>
            </w:r>
          </w:p>
        </w:tc>
      </w:tr>
      <w:tr>
        <w:tblPrEx>
          <w:tblCellMar>
            <w:top w:w="0" w:type="dxa"/>
            <w:left w:w="108" w:type="dxa"/>
            <w:bottom w:w="0" w:type="dxa"/>
            <w:right w:w="108" w:type="dxa"/>
          </w:tblCellMar>
        </w:tblPrEx>
        <w:trPr>
          <w:trHeight w:val="625"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30</w:t>
            </w:r>
          </w:p>
        </w:tc>
        <w:tc>
          <w:tcPr>
            <w:tcW w:w="989" w:type="dxa"/>
            <w:vMerge w:val="restart"/>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浓缩液废水</w:t>
            </w:r>
          </w:p>
        </w:tc>
        <w:tc>
          <w:tcPr>
            <w:tcW w:w="1466" w:type="dxa"/>
            <w:vMerge w:val="restart"/>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废水进口</w:t>
            </w: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流量、化学需氧量、氨氮</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1.化学需氧量、氨氮比对试验总数不少于三对；</w:t>
            </w:r>
          </w:p>
          <w:p>
            <w:pPr>
              <w:shd w:val="clear"/>
              <w:jc w:val="center"/>
              <w:rPr>
                <w:rFonts w:ascii="宋体" w:hAnsi="宋体" w:cs="宋体"/>
                <w:color w:val="auto"/>
                <w:szCs w:val="21"/>
                <w:highlight w:val="none"/>
              </w:rPr>
            </w:pPr>
            <w:r>
              <w:rPr>
                <w:rFonts w:hint="eastAsia" w:ascii="宋体" w:hAnsi="宋体" w:cs="宋体"/>
                <w:color w:val="auto"/>
                <w:szCs w:val="21"/>
                <w:highlight w:val="none"/>
              </w:rPr>
              <w:t>2.流量为电磁流量计，另外委托计量单位每年检验。</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CellMar>
            <w:top w:w="0" w:type="dxa"/>
            <w:left w:w="108" w:type="dxa"/>
            <w:bottom w:w="0" w:type="dxa"/>
            <w:right w:w="108" w:type="dxa"/>
          </w:tblCellMar>
        </w:tblPrEx>
        <w:trPr>
          <w:trHeight w:val="847"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31</w:t>
            </w:r>
          </w:p>
        </w:tc>
        <w:tc>
          <w:tcPr>
            <w:tcW w:w="989" w:type="dxa"/>
            <w:vMerge w:val="continue"/>
            <w:tcBorders>
              <w:top w:val="nil"/>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nil"/>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总磷、总氮</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1次/日</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365</w:t>
            </w:r>
          </w:p>
        </w:tc>
      </w:tr>
      <w:tr>
        <w:tblPrEx>
          <w:tblCellMar>
            <w:top w:w="0" w:type="dxa"/>
            <w:left w:w="108" w:type="dxa"/>
            <w:bottom w:w="0" w:type="dxa"/>
            <w:right w:w="108" w:type="dxa"/>
          </w:tblCellMar>
        </w:tblPrEx>
        <w:trPr>
          <w:trHeight w:val="1140"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32</w:t>
            </w:r>
          </w:p>
        </w:tc>
        <w:tc>
          <w:tcPr>
            <w:tcW w:w="989" w:type="dxa"/>
            <w:vMerge w:val="continue"/>
            <w:tcBorders>
              <w:top w:val="nil"/>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废水出口（编号DW002）</w:t>
            </w: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pH值、水温、化学需氧量、氨氮、总磷、总氮</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1.化学需氧量、氨氮、总磷、总氮比对试验总数不少于三对，pH值、水温5个瞬时样；2.流量为电磁流量计，另外委托计量单位每年检验。</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CellMar>
            <w:top w:w="0" w:type="dxa"/>
            <w:left w:w="108" w:type="dxa"/>
            <w:bottom w:w="0" w:type="dxa"/>
            <w:right w:w="108" w:type="dxa"/>
          </w:tblCellMar>
        </w:tblPrEx>
        <w:trPr>
          <w:trHeight w:val="1140"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33</w:t>
            </w:r>
          </w:p>
        </w:tc>
        <w:tc>
          <w:tcPr>
            <w:tcW w:w="989" w:type="dxa"/>
            <w:vMerge w:val="continue"/>
            <w:tcBorders>
              <w:top w:val="nil"/>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总镉、总铬、总汞、总铅、总砷、六价铬、悬浮物、色度</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CellMar>
            <w:top w:w="0" w:type="dxa"/>
            <w:left w:w="108" w:type="dxa"/>
            <w:bottom w:w="0" w:type="dxa"/>
            <w:right w:w="108" w:type="dxa"/>
          </w:tblCellMar>
        </w:tblPrEx>
        <w:trPr>
          <w:trHeight w:val="1140"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34</w:t>
            </w:r>
          </w:p>
        </w:tc>
        <w:tc>
          <w:tcPr>
            <w:tcW w:w="989" w:type="dxa"/>
            <w:vMerge w:val="continue"/>
            <w:tcBorders>
              <w:top w:val="nil"/>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五日生化需氧量、石油类、粪大肠菌群数/（MPN/L）</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r>
      <w:tr>
        <w:tblPrEx>
          <w:tblCellMar>
            <w:top w:w="0" w:type="dxa"/>
            <w:left w:w="108" w:type="dxa"/>
            <w:bottom w:w="0" w:type="dxa"/>
            <w:right w:w="108" w:type="dxa"/>
          </w:tblCellMar>
        </w:tblPrEx>
        <w:trPr>
          <w:trHeight w:val="1695"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35</w:t>
            </w:r>
          </w:p>
        </w:tc>
        <w:tc>
          <w:tcPr>
            <w:tcW w:w="989"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回用水</w:t>
            </w:r>
          </w:p>
        </w:tc>
        <w:tc>
          <w:tcPr>
            <w:tcW w:w="1466"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综合污水处理池进口</w:t>
            </w:r>
          </w:p>
        </w:tc>
        <w:tc>
          <w:tcPr>
            <w:tcW w:w="2001"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水温、pH值、五日生化需氧量、化学需氧量、氨氮、氟化物、汞、镉、六价铬、砷、铅、悬浮物、石油类、挥发酚类、总镍、总铜、总锌</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r>
      <w:tr>
        <w:tblPrEx>
          <w:tblCellMar>
            <w:top w:w="0" w:type="dxa"/>
            <w:left w:w="108" w:type="dxa"/>
            <w:bottom w:w="0" w:type="dxa"/>
            <w:right w:w="108" w:type="dxa"/>
          </w:tblCellMar>
        </w:tblPrEx>
        <w:trPr>
          <w:trHeight w:val="1935"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36</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综合污水处理排放口</w:t>
            </w: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pH值、五日生化需氧量、化学需氧量、氨氮、氟化物、粪大肠菌群数、总余氯、汞、镉、铬、六价铬、砷、铅、悬浮物、石油类、挥发酚类、总磷、总镍、总铜、总锌</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r>
      <w:tr>
        <w:tblPrEx>
          <w:tblCellMar>
            <w:top w:w="0" w:type="dxa"/>
            <w:left w:w="108" w:type="dxa"/>
            <w:bottom w:w="0" w:type="dxa"/>
            <w:right w:w="108" w:type="dxa"/>
          </w:tblCellMar>
        </w:tblPrEx>
        <w:trPr>
          <w:trHeight w:val="1665"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37</w:t>
            </w:r>
          </w:p>
        </w:tc>
        <w:tc>
          <w:tcPr>
            <w:tcW w:w="98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雨水</w:t>
            </w:r>
          </w:p>
        </w:tc>
        <w:tc>
          <w:tcPr>
            <w:tcW w:w="1466"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北侧雨水排放口（编号DW001）、南侧雨水排放口（编号DW003），合计2个点</w:t>
            </w: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pH值、悬浮物、化学需氧量、氨氮、石油类</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2次/周</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采样时间间隔不少于4h，采样频次不少于3次。</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624</w:t>
            </w:r>
          </w:p>
        </w:tc>
      </w:tr>
      <w:tr>
        <w:tblPrEx>
          <w:tblCellMar>
            <w:top w:w="0" w:type="dxa"/>
            <w:left w:w="108" w:type="dxa"/>
            <w:bottom w:w="0" w:type="dxa"/>
            <w:right w:w="108" w:type="dxa"/>
          </w:tblCellMar>
        </w:tblPrEx>
        <w:trPr>
          <w:trHeight w:val="1334"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38</w:t>
            </w:r>
          </w:p>
        </w:tc>
        <w:tc>
          <w:tcPr>
            <w:tcW w:w="98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地表水</w:t>
            </w:r>
          </w:p>
        </w:tc>
        <w:tc>
          <w:tcPr>
            <w:tcW w:w="1466"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项目下游（W1淡水河Ⅲ类水）、项目下游（W2太阳洲西海Ⅳ类水）</w:t>
            </w:r>
          </w:p>
        </w:tc>
        <w:tc>
          <w:tcPr>
            <w:tcW w:w="20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悬浮物、溶解氧、化学需氧量、五日生化需氧量、氨氮、总磷、高锰酸盐指数、挥发酚类、石油类、硫化物、砷、铅、镉、汞、六价铬、铬、银、铜、锌、铁、镍、硫酸盐、硝酸盐、氯化物、氰化物、氟化物、粪大肠菌群、阴离子表面活性剂LAS</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w:t>
            </w:r>
          </w:p>
        </w:tc>
      </w:tr>
      <w:tr>
        <w:tblPrEx>
          <w:tblCellMar>
            <w:top w:w="0" w:type="dxa"/>
            <w:left w:w="108" w:type="dxa"/>
            <w:bottom w:w="0" w:type="dxa"/>
            <w:right w:w="108" w:type="dxa"/>
          </w:tblCellMar>
        </w:tblPrEx>
        <w:trPr>
          <w:trHeight w:val="2145"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39</w:t>
            </w:r>
          </w:p>
        </w:tc>
        <w:tc>
          <w:tcPr>
            <w:tcW w:w="989" w:type="dxa"/>
            <w:tcBorders>
              <w:top w:val="nil"/>
              <w:left w:val="nil"/>
              <w:bottom w:val="nil"/>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地下水</w:t>
            </w:r>
          </w:p>
        </w:tc>
        <w:tc>
          <w:tcPr>
            <w:tcW w:w="1466" w:type="dxa"/>
            <w:tcBorders>
              <w:top w:val="nil"/>
              <w:left w:val="nil"/>
              <w:bottom w:val="nil"/>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6个监测井（本底井W1、跟踪监视井W2、跟踪监视井W3、监测井W4、污染扩散井W5及污染扩散井W6）</w:t>
            </w:r>
          </w:p>
        </w:tc>
        <w:tc>
          <w:tcPr>
            <w:tcW w:w="2001" w:type="dxa"/>
            <w:tcBorders>
              <w:top w:val="nil"/>
              <w:left w:val="nil"/>
              <w:bottom w:val="nil"/>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浑浊度、PH值、溶解性总固体、氯化物、高猛酸盐指数、硝酸盐、亚硝酸盐（以N计）、氨氮（以N计）、挥发酚类、硫酸盐、硫化物、氰化物、铅、汞、镉、六价铬、砷、锑、镍、电导率</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24</w:t>
            </w:r>
          </w:p>
        </w:tc>
      </w:tr>
      <w:tr>
        <w:tblPrEx>
          <w:tblCellMar>
            <w:top w:w="0" w:type="dxa"/>
            <w:left w:w="108" w:type="dxa"/>
            <w:bottom w:w="0" w:type="dxa"/>
            <w:right w:w="108" w:type="dxa"/>
          </w:tblCellMar>
        </w:tblPrEx>
        <w:trPr>
          <w:trHeight w:val="1665"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40</w:t>
            </w:r>
          </w:p>
        </w:tc>
        <w:tc>
          <w:tcPr>
            <w:tcW w:w="989"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厂界噪声</w:t>
            </w:r>
          </w:p>
        </w:tc>
        <w:tc>
          <w:tcPr>
            <w:tcW w:w="1466"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东、南、西、北四个方向各取一个点（V1、V2、V3、V4，合计4个点。）</w:t>
            </w:r>
          </w:p>
        </w:tc>
        <w:tc>
          <w:tcPr>
            <w:tcW w:w="2001"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厂界噪声，等效连续A声级</w:t>
            </w:r>
          </w:p>
        </w:tc>
        <w:tc>
          <w:tcPr>
            <w:tcW w:w="88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99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每个监测点每期监测需昼、夜各测1次</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32</w:t>
            </w:r>
          </w:p>
        </w:tc>
      </w:tr>
      <w:tr>
        <w:tblPrEx>
          <w:tblCellMar>
            <w:top w:w="0" w:type="dxa"/>
            <w:left w:w="108" w:type="dxa"/>
            <w:bottom w:w="0" w:type="dxa"/>
            <w:right w:w="108" w:type="dxa"/>
          </w:tblCellMar>
        </w:tblPrEx>
        <w:trPr>
          <w:trHeight w:val="1965"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41</w:t>
            </w:r>
          </w:p>
        </w:tc>
        <w:tc>
          <w:tcPr>
            <w:tcW w:w="989"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焚烧设备噪声</w:t>
            </w:r>
          </w:p>
        </w:tc>
        <w:tc>
          <w:tcPr>
            <w:tcW w:w="146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焚烧1#F式引风机、循环水泵、空压机房、消石灰系统（罗茨风机）、主燃烧风机、进料液压站、破碎机、辊筒机、清水泵等9处设备噪声</w:t>
            </w: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设备运行噪声</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36</w:t>
            </w:r>
          </w:p>
        </w:tc>
      </w:tr>
      <w:tr>
        <w:tblPrEx>
          <w:tblCellMar>
            <w:top w:w="0" w:type="dxa"/>
            <w:left w:w="108" w:type="dxa"/>
            <w:bottom w:w="0" w:type="dxa"/>
            <w:right w:w="108" w:type="dxa"/>
          </w:tblCellMar>
        </w:tblPrEx>
        <w:trPr>
          <w:trHeight w:val="1935"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42</w:t>
            </w:r>
          </w:p>
        </w:tc>
        <w:tc>
          <w:tcPr>
            <w:tcW w:w="989"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焚烧2#引风机、引风机、循环水泵、空压机房、消石灰系统（罗茨风机）、主燃烧风机、进料液压站、辊筒机、清水泵等8处设备噪声</w:t>
            </w: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设备运行噪声</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32</w:t>
            </w:r>
          </w:p>
        </w:tc>
      </w:tr>
      <w:tr>
        <w:tblPrEx>
          <w:tblCellMar>
            <w:top w:w="0" w:type="dxa"/>
            <w:left w:w="108" w:type="dxa"/>
            <w:bottom w:w="0" w:type="dxa"/>
            <w:right w:w="108" w:type="dxa"/>
          </w:tblCellMar>
        </w:tblPrEx>
        <w:trPr>
          <w:trHeight w:val="180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43</w:t>
            </w:r>
          </w:p>
        </w:tc>
        <w:tc>
          <w:tcPr>
            <w:tcW w:w="98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物化废水设备噪声</w:t>
            </w:r>
          </w:p>
        </w:tc>
        <w:tc>
          <w:tcPr>
            <w:tcW w:w="146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物化卸料区、物化污泥压滤区、废水污泥压滤区、空压机、冷干机、生化空气悬浮风机及单效蒸发釜、装卸等区域噪声9处。</w:t>
            </w: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设备运行噪声</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36</w:t>
            </w:r>
          </w:p>
        </w:tc>
      </w:tr>
      <w:tr>
        <w:tblPrEx>
          <w:tblCellMar>
            <w:top w:w="0" w:type="dxa"/>
            <w:left w:w="108" w:type="dxa"/>
            <w:bottom w:w="0" w:type="dxa"/>
            <w:right w:w="108" w:type="dxa"/>
          </w:tblCellMar>
        </w:tblPrEx>
        <w:trPr>
          <w:trHeight w:val="177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44</w:t>
            </w:r>
          </w:p>
        </w:tc>
        <w:tc>
          <w:tcPr>
            <w:tcW w:w="98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熔炼设备噪声</w:t>
            </w:r>
          </w:p>
        </w:tc>
        <w:tc>
          <w:tcPr>
            <w:tcW w:w="146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原料卸料存储区、预处理干燥区、物料称重下料区、引风机、鼓风机、空压机、制氧站等设备噪声7处。</w:t>
            </w: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设备运行噪声</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28</w:t>
            </w:r>
          </w:p>
        </w:tc>
      </w:tr>
      <w:tr>
        <w:tblPrEx>
          <w:tblCellMar>
            <w:top w:w="0" w:type="dxa"/>
            <w:left w:w="108" w:type="dxa"/>
            <w:bottom w:w="0" w:type="dxa"/>
            <w:right w:w="108" w:type="dxa"/>
          </w:tblCellMar>
        </w:tblPrEx>
        <w:trPr>
          <w:trHeight w:val="1339"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45</w:t>
            </w:r>
          </w:p>
        </w:tc>
        <w:tc>
          <w:tcPr>
            <w:tcW w:w="98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土壤</w:t>
            </w:r>
          </w:p>
        </w:tc>
        <w:tc>
          <w:tcPr>
            <w:tcW w:w="1466"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r>
              <w:rPr>
                <w:rFonts w:hint="eastAsia" w:ascii="宋体" w:hAnsi="宋体" w:cs="宋体"/>
                <w:color w:val="auto"/>
                <w:szCs w:val="21"/>
                <w:highlight w:val="none"/>
              </w:rPr>
              <w:t>在厂区周边设3个监测点S1、S2、S3；厂区周边南侧和西侧基本农田保护S4、S5，合计5个点</w:t>
            </w:r>
          </w:p>
        </w:tc>
        <w:tc>
          <w:tcPr>
            <w:tcW w:w="20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pH值、汞、砷、镉、铅、铬（六价）、铜、镍、锑、锌</w:t>
            </w:r>
          </w:p>
        </w:tc>
        <w:tc>
          <w:tcPr>
            <w:tcW w:w="88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1次/半年</w:t>
            </w:r>
          </w:p>
        </w:tc>
        <w:tc>
          <w:tcPr>
            <w:tcW w:w="199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10</w:t>
            </w:r>
          </w:p>
        </w:tc>
      </w:tr>
      <w:tr>
        <w:tblPrEx>
          <w:tblCellMar>
            <w:top w:w="0" w:type="dxa"/>
            <w:left w:w="108" w:type="dxa"/>
            <w:bottom w:w="0" w:type="dxa"/>
            <w:right w:w="108" w:type="dxa"/>
          </w:tblCellMar>
        </w:tblPrEx>
        <w:trPr>
          <w:trHeight w:val="1339" w:hRule="atLeast"/>
          <w:jc w:val="center"/>
        </w:trPr>
        <w:tc>
          <w:tcPr>
            <w:tcW w:w="765"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46</w:t>
            </w:r>
          </w:p>
        </w:tc>
        <w:tc>
          <w:tcPr>
            <w:tcW w:w="989"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炉渣</w:t>
            </w:r>
          </w:p>
        </w:tc>
        <w:tc>
          <w:tcPr>
            <w:tcW w:w="1466"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焚烧1#、焚烧2#合计2个点</w:t>
            </w:r>
          </w:p>
        </w:tc>
        <w:tc>
          <w:tcPr>
            <w:tcW w:w="2001"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热灼减率</w:t>
            </w:r>
          </w:p>
        </w:tc>
        <w:tc>
          <w:tcPr>
            <w:tcW w:w="884"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1次/周</w:t>
            </w:r>
          </w:p>
        </w:tc>
        <w:tc>
          <w:tcPr>
            <w:tcW w:w="1995"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104</w:t>
            </w:r>
          </w:p>
        </w:tc>
      </w:tr>
      <w:tr>
        <w:tblPrEx>
          <w:tblCellMar>
            <w:top w:w="0" w:type="dxa"/>
            <w:left w:w="108" w:type="dxa"/>
            <w:bottom w:w="0" w:type="dxa"/>
            <w:right w:w="108" w:type="dxa"/>
          </w:tblCellMar>
        </w:tblPrEx>
        <w:trPr>
          <w:trHeight w:val="970" w:hRule="atLeast"/>
          <w:jc w:val="center"/>
        </w:trPr>
        <w:tc>
          <w:tcPr>
            <w:tcW w:w="8100" w:type="dxa"/>
            <w:gridSpan w:val="6"/>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小计</w:t>
            </w:r>
          </w:p>
        </w:tc>
        <w:tc>
          <w:tcPr>
            <w:tcW w:w="899"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1981</w:t>
            </w:r>
          </w:p>
        </w:tc>
      </w:tr>
    </w:tbl>
    <w:p>
      <w:pPr>
        <w:shd w:val="clear"/>
        <w:ind w:firstLine="422" w:firstLineChars="200"/>
        <w:rPr>
          <w:rFonts w:ascii="宋体" w:hAnsi="宋体" w:cs="宋体"/>
          <w:b/>
          <w:bCs/>
          <w:color w:val="auto"/>
          <w:szCs w:val="21"/>
          <w:highlight w:val="none"/>
        </w:rPr>
      </w:pPr>
    </w:p>
    <w:p>
      <w:pPr>
        <w:shd w:val="clear"/>
        <w:ind w:firstLine="422" w:firstLineChars="200"/>
        <w:rPr>
          <w:rFonts w:ascii="宋体" w:hAnsi="宋体" w:cs="宋体"/>
          <w:color w:val="auto"/>
          <w:szCs w:val="21"/>
          <w:highlight w:val="none"/>
        </w:rPr>
      </w:pPr>
      <w:r>
        <w:rPr>
          <w:rFonts w:hint="eastAsia" w:ascii="宋体" w:hAnsi="宋体" w:cs="宋体"/>
          <w:b/>
          <w:bCs/>
          <w:color w:val="auto"/>
          <w:szCs w:val="21"/>
          <w:highlight w:val="none"/>
        </w:rPr>
        <w:t>2</w:t>
      </w:r>
      <w:r>
        <w:rPr>
          <w:rFonts w:hint="eastAsia" w:ascii="宋体" w:hAnsi="宋体" w:cs="宋体"/>
          <w:color w:val="auto"/>
          <w:szCs w:val="21"/>
          <w:highlight w:val="none"/>
        </w:rPr>
        <w:t>.凤岗项目</w:t>
      </w:r>
    </w:p>
    <w:p>
      <w:pPr>
        <w:shd w:val="clear"/>
        <w:ind w:firstLine="420" w:firstLineChars="200"/>
        <w:rPr>
          <w:rFonts w:ascii="宋体" w:hAnsi="宋体" w:cs="宋体"/>
          <w:color w:val="auto"/>
          <w:highlight w:val="none"/>
        </w:rPr>
      </w:pPr>
      <w:r>
        <w:rPr>
          <w:rFonts w:hint="eastAsia" w:ascii="宋体" w:hAnsi="宋体" w:cs="宋体"/>
          <w:color w:val="auto"/>
          <w:szCs w:val="21"/>
          <w:highlight w:val="none"/>
        </w:rPr>
        <w:t>2021年3月1日生态环境部施行的《排污许可管理条例》、《排污单位自行监测技术指南总则》（HJ819-2017）、排污许可证申请与核发技术规范 环境卫生管理业（HJ 1106-2020)及项目环评，确定委外环境监测方案如附表5，服务单位须根据约定时间完成采样、监测并出具监测报告。</w:t>
      </w:r>
    </w:p>
    <w:p>
      <w:pPr>
        <w:shd w:val="clear"/>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附表5：凤岗项目委外环境监测方案</w:t>
      </w:r>
    </w:p>
    <w:tbl>
      <w:tblPr>
        <w:tblStyle w:val="30"/>
        <w:tblW w:w="9433" w:type="dxa"/>
        <w:tblInd w:w="-147" w:type="dxa"/>
        <w:tblLayout w:type="fixed"/>
        <w:tblCellMar>
          <w:top w:w="0" w:type="dxa"/>
          <w:left w:w="108" w:type="dxa"/>
          <w:bottom w:w="0" w:type="dxa"/>
          <w:right w:w="108" w:type="dxa"/>
        </w:tblCellMar>
      </w:tblPr>
      <w:tblGrid>
        <w:gridCol w:w="627"/>
        <w:gridCol w:w="800"/>
        <w:gridCol w:w="2932"/>
        <w:gridCol w:w="1593"/>
        <w:gridCol w:w="1007"/>
        <w:gridCol w:w="1544"/>
        <w:gridCol w:w="930"/>
      </w:tblGrid>
      <w:tr>
        <w:tblPrEx>
          <w:tblCellMar>
            <w:top w:w="0" w:type="dxa"/>
            <w:left w:w="108" w:type="dxa"/>
            <w:bottom w:w="0" w:type="dxa"/>
            <w:right w:w="108" w:type="dxa"/>
          </w:tblCellMar>
        </w:tblPrEx>
        <w:trPr>
          <w:trHeight w:val="692" w:hRule="atLeast"/>
          <w:tblHeader/>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项目</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监测点位</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监测因子</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监测频次</w:t>
            </w: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c>
          <w:tcPr>
            <w:tcW w:w="930" w:type="dxa"/>
            <w:tcBorders>
              <w:top w:val="single" w:color="auto" w:sz="4" w:space="0"/>
              <w:left w:val="single" w:color="auto" w:sz="4" w:space="0"/>
              <w:bottom w:val="single" w:color="auto" w:sz="4" w:space="0"/>
              <w:right w:val="single" w:color="auto" w:sz="4" w:space="0"/>
            </w:tcBorders>
            <w:shd w:val="clear" w:color="000000"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年样品数量</w:t>
            </w:r>
          </w:p>
        </w:tc>
      </w:tr>
      <w:tr>
        <w:tblPrEx>
          <w:tblCellMar>
            <w:top w:w="0" w:type="dxa"/>
            <w:left w:w="108" w:type="dxa"/>
            <w:bottom w:w="0" w:type="dxa"/>
            <w:right w:w="108" w:type="dxa"/>
          </w:tblCellMar>
        </w:tblPrEx>
        <w:trPr>
          <w:trHeight w:val="1339" w:hRule="atLeast"/>
        </w:trPr>
        <w:tc>
          <w:tcPr>
            <w:tcW w:w="62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c>
          <w:tcPr>
            <w:tcW w:w="800"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废水</w:t>
            </w:r>
          </w:p>
        </w:tc>
        <w:tc>
          <w:tcPr>
            <w:tcW w:w="2932"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废水排放口DW001</w:t>
            </w:r>
          </w:p>
        </w:tc>
        <w:tc>
          <w:tcPr>
            <w:tcW w:w="159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化学需氧量、氨氮、总磷、总氮</w:t>
            </w:r>
          </w:p>
        </w:tc>
        <w:tc>
          <w:tcPr>
            <w:tcW w:w="10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154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93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CellMar>
            <w:top w:w="0" w:type="dxa"/>
            <w:left w:w="108" w:type="dxa"/>
            <w:bottom w:w="0" w:type="dxa"/>
            <w:right w:w="108" w:type="dxa"/>
          </w:tblCellMar>
        </w:tblPrEx>
        <w:trPr>
          <w:trHeight w:val="1339" w:hRule="atLeast"/>
        </w:trPr>
        <w:tc>
          <w:tcPr>
            <w:tcW w:w="62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w:t>
            </w:r>
          </w:p>
        </w:tc>
        <w:tc>
          <w:tcPr>
            <w:tcW w:w="800" w:type="dxa"/>
            <w:vMerge w:val="continue"/>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2932" w:type="dxa"/>
            <w:vMerge w:val="continue"/>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159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悬浮物、五日生化需氧量、粪大肠菌群</w:t>
            </w:r>
          </w:p>
        </w:tc>
        <w:tc>
          <w:tcPr>
            <w:tcW w:w="10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54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93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r>
      <w:tr>
        <w:tblPrEx>
          <w:tblCellMar>
            <w:top w:w="0" w:type="dxa"/>
            <w:left w:w="108" w:type="dxa"/>
            <w:bottom w:w="0" w:type="dxa"/>
            <w:right w:w="108" w:type="dxa"/>
          </w:tblCellMar>
        </w:tblPrEx>
        <w:trPr>
          <w:trHeight w:val="1339" w:hRule="atLeast"/>
        </w:trPr>
        <w:tc>
          <w:tcPr>
            <w:tcW w:w="62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c>
          <w:tcPr>
            <w:tcW w:w="800" w:type="dxa"/>
            <w:vMerge w:val="continue"/>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2932" w:type="dxa"/>
            <w:vMerge w:val="continue"/>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159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色度、总汞、总镉、总铬、总砷、六价铬、总铅</w:t>
            </w:r>
          </w:p>
        </w:tc>
        <w:tc>
          <w:tcPr>
            <w:tcW w:w="10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154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93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r>
      <w:tr>
        <w:tblPrEx>
          <w:tblCellMar>
            <w:top w:w="0" w:type="dxa"/>
            <w:left w:w="108" w:type="dxa"/>
            <w:bottom w:w="0" w:type="dxa"/>
            <w:right w:w="108" w:type="dxa"/>
          </w:tblCellMar>
        </w:tblPrEx>
        <w:trPr>
          <w:trHeight w:val="1339" w:hRule="atLeast"/>
        </w:trPr>
        <w:tc>
          <w:tcPr>
            <w:tcW w:w="62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c>
          <w:tcPr>
            <w:tcW w:w="80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无组织废气</w:t>
            </w:r>
          </w:p>
        </w:tc>
        <w:tc>
          <w:tcPr>
            <w:tcW w:w="293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项目周界处，上风向1个点，下风向3个点，合计4个点。</w:t>
            </w:r>
          </w:p>
        </w:tc>
        <w:tc>
          <w:tcPr>
            <w:tcW w:w="159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硫化氢、氨（氨气）、臭气浓度</w:t>
            </w:r>
          </w:p>
        </w:tc>
        <w:tc>
          <w:tcPr>
            <w:tcW w:w="10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54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恶臭污染监测样品采集不少于4次，取最大测定值。</w:t>
            </w:r>
          </w:p>
        </w:tc>
        <w:tc>
          <w:tcPr>
            <w:tcW w:w="93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64</w:t>
            </w:r>
          </w:p>
        </w:tc>
      </w:tr>
      <w:tr>
        <w:tblPrEx>
          <w:tblCellMar>
            <w:top w:w="0" w:type="dxa"/>
            <w:left w:w="108" w:type="dxa"/>
            <w:bottom w:w="0" w:type="dxa"/>
            <w:right w:w="108" w:type="dxa"/>
          </w:tblCellMar>
        </w:tblPrEx>
        <w:trPr>
          <w:trHeight w:val="1339" w:hRule="atLeast"/>
        </w:trPr>
        <w:tc>
          <w:tcPr>
            <w:tcW w:w="62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5</w:t>
            </w:r>
          </w:p>
        </w:tc>
        <w:tc>
          <w:tcPr>
            <w:tcW w:w="80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有组织废气</w:t>
            </w:r>
          </w:p>
        </w:tc>
        <w:tc>
          <w:tcPr>
            <w:tcW w:w="293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除臭设备排放口</w:t>
            </w:r>
          </w:p>
        </w:tc>
        <w:tc>
          <w:tcPr>
            <w:tcW w:w="159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硫化氢、氨（氨气）、臭气浓度</w:t>
            </w:r>
          </w:p>
        </w:tc>
        <w:tc>
          <w:tcPr>
            <w:tcW w:w="10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1次/半年</w:t>
            </w:r>
          </w:p>
        </w:tc>
        <w:tc>
          <w:tcPr>
            <w:tcW w:w="154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恶臭污染监测样品采集不少于3次，取最大测定值。</w:t>
            </w:r>
          </w:p>
        </w:tc>
        <w:tc>
          <w:tcPr>
            <w:tcW w:w="93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w:t>
            </w:r>
          </w:p>
        </w:tc>
      </w:tr>
      <w:tr>
        <w:tblPrEx>
          <w:tblCellMar>
            <w:top w:w="0" w:type="dxa"/>
            <w:left w:w="108" w:type="dxa"/>
            <w:bottom w:w="0" w:type="dxa"/>
            <w:right w:w="108" w:type="dxa"/>
          </w:tblCellMar>
        </w:tblPrEx>
        <w:trPr>
          <w:trHeight w:val="547" w:hRule="atLeast"/>
        </w:trPr>
        <w:tc>
          <w:tcPr>
            <w:tcW w:w="8503" w:type="dxa"/>
            <w:gridSpan w:val="6"/>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小计</w:t>
            </w:r>
          </w:p>
        </w:tc>
        <w:tc>
          <w:tcPr>
            <w:tcW w:w="930"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87</w:t>
            </w:r>
          </w:p>
        </w:tc>
      </w:tr>
    </w:tbl>
    <w:p>
      <w:pPr>
        <w:pStyle w:val="2"/>
        <w:shd w:val="clear"/>
        <w:rPr>
          <w:color w:val="auto"/>
          <w:highlight w:val="none"/>
        </w:rPr>
      </w:pPr>
    </w:p>
    <w:p>
      <w:pPr>
        <w:pStyle w:val="59"/>
        <w:shd w:val="clear"/>
        <w:ind w:firstLine="0" w:firstLineChars="0"/>
        <w:jc w:val="center"/>
        <w:rPr>
          <w:rFonts w:ascii="宋体" w:hAnsi="宋体" w:cs="宋体"/>
          <w:b/>
          <w:color w:val="auto"/>
          <w:sz w:val="32"/>
          <w:szCs w:val="32"/>
          <w:highlight w:val="none"/>
        </w:rPr>
      </w:pPr>
    </w:p>
    <w:p>
      <w:pPr>
        <w:pStyle w:val="59"/>
        <w:shd w:val="clear"/>
        <w:ind w:firstLine="0" w:firstLineChars="0"/>
        <w:jc w:val="center"/>
        <w:rPr>
          <w:rFonts w:ascii="宋体" w:hAnsi="宋体" w:cs="宋体"/>
          <w:b/>
          <w:color w:val="auto"/>
          <w:sz w:val="32"/>
          <w:szCs w:val="32"/>
          <w:highlight w:val="none"/>
        </w:rPr>
      </w:pPr>
    </w:p>
    <w:p>
      <w:pPr>
        <w:pStyle w:val="59"/>
        <w:shd w:val="clear"/>
        <w:ind w:firstLine="0" w:firstLineChars="0"/>
        <w:jc w:val="center"/>
        <w:rPr>
          <w:rFonts w:ascii="宋体" w:hAnsi="宋体" w:cs="宋体"/>
          <w:b/>
          <w:color w:val="auto"/>
          <w:sz w:val="32"/>
          <w:szCs w:val="32"/>
          <w:highlight w:val="none"/>
        </w:rPr>
      </w:pPr>
    </w:p>
    <w:p>
      <w:pPr>
        <w:pStyle w:val="59"/>
        <w:shd w:val="clear"/>
        <w:ind w:firstLine="0" w:firstLineChars="0"/>
        <w:jc w:val="center"/>
        <w:rPr>
          <w:rFonts w:ascii="宋体" w:hAnsi="宋体" w:cs="宋体"/>
          <w:b/>
          <w:color w:val="auto"/>
          <w:sz w:val="32"/>
          <w:szCs w:val="32"/>
          <w:highlight w:val="none"/>
        </w:rPr>
      </w:pPr>
    </w:p>
    <w:p>
      <w:pPr>
        <w:pStyle w:val="59"/>
        <w:shd w:val="clear"/>
        <w:ind w:firstLine="0" w:firstLineChars="0"/>
        <w:jc w:val="center"/>
        <w:rPr>
          <w:rFonts w:ascii="宋体" w:hAnsi="宋体" w:cs="宋体"/>
          <w:b/>
          <w:color w:val="auto"/>
          <w:sz w:val="32"/>
          <w:szCs w:val="32"/>
          <w:highlight w:val="none"/>
        </w:rPr>
      </w:pPr>
    </w:p>
    <w:p>
      <w:pPr>
        <w:pStyle w:val="59"/>
        <w:shd w:val="clear"/>
        <w:ind w:firstLine="0" w:firstLineChars="0"/>
        <w:jc w:val="center"/>
        <w:rPr>
          <w:rFonts w:ascii="宋体" w:hAnsi="宋体" w:cs="宋体"/>
          <w:b/>
          <w:color w:val="auto"/>
          <w:sz w:val="32"/>
          <w:szCs w:val="32"/>
          <w:highlight w:val="none"/>
        </w:rPr>
      </w:pPr>
    </w:p>
    <w:p>
      <w:pPr>
        <w:pStyle w:val="59"/>
        <w:shd w:val="clear"/>
        <w:ind w:firstLine="0" w:firstLineChars="0"/>
        <w:jc w:val="center"/>
        <w:rPr>
          <w:rFonts w:ascii="宋体" w:hAnsi="宋体" w:cs="宋体"/>
          <w:b/>
          <w:color w:val="auto"/>
          <w:sz w:val="32"/>
          <w:szCs w:val="32"/>
          <w:highlight w:val="none"/>
        </w:rPr>
      </w:pPr>
    </w:p>
    <w:p>
      <w:pPr>
        <w:pStyle w:val="59"/>
        <w:shd w:val="clear"/>
        <w:ind w:firstLine="0" w:firstLineChars="0"/>
        <w:jc w:val="center"/>
        <w:rPr>
          <w:rFonts w:ascii="宋体" w:hAnsi="宋体" w:cs="宋体"/>
          <w:b/>
          <w:color w:val="auto"/>
          <w:sz w:val="32"/>
          <w:szCs w:val="32"/>
          <w:highlight w:val="none"/>
        </w:rPr>
      </w:pPr>
    </w:p>
    <w:p>
      <w:pPr>
        <w:pStyle w:val="59"/>
        <w:shd w:val="clear"/>
        <w:ind w:firstLine="0" w:firstLineChars="0"/>
        <w:jc w:val="center"/>
        <w:rPr>
          <w:rFonts w:ascii="宋体" w:hAnsi="宋体" w:cs="宋体"/>
          <w:b/>
          <w:color w:val="auto"/>
          <w:sz w:val="32"/>
          <w:szCs w:val="32"/>
          <w:highlight w:val="none"/>
        </w:rPr>
      </w:pPr>
    </w:p>
    <w:p>
      <w:pPr>
        <w:pStyle w:val="59"/>
        <w:shd w:val="clear"/>
        <w:ind w:firstLine="0" w:firstLineChars="0"/>
        <w:jc w:val="center"/>
        <w:rPr>
          <w:rFonts w:ascii="宋体" w:hAnsi="宋体" w:cs="宋体"/>
          <w:b/>
          <w:color w:val="auto"/>
          <w:sz w:val="32"/>
          <w:szCs w:val="32"/>
          <w:highlight w:val="none"/>
        </w:rPr>
      </w:pPr>
    </w:p>
    <w:p>
      <w:pPr>
        <w:pStyle w:val="59"/>
        <w:shd w:val="clear"/>
        <w:ind w:firstLine="0" w:firstLineChars="0"/>
        <w:jc w:val="center"/>
        <w:rPr>
          <w:rFonts w:ascii="宋体" w:hAnsi="宋体" w:cs="宋体"/>
          <w:b/>
          <w:color w:val="auto"/>
          <w:sz w:val="32"/>
          <w:szCs w:val="32"/>
          <w:highlight w:val="none"/>
        </w:rPr>
      </w:pPr>
    </w:p>
    <w:p>
      <w:pPr>
        <w:pStyle w:val="59"/>
        <w:shd w:val="clear"/>
        <w:ind w:firstLine="0" w:firstLineChars="0"/>
        <w:jc w:val="center"/>
        <w:rPr>
          <w:rFonts w:ascii="宋体" w:hAnsi="宋体" w:cs="宋体"/>
          <w:b/>
          <w:color w:val="auto"/>
          <w:sz w:val="32"/>
          <w:szCs w:val="32"/>
          <w:highlight w:val="none"/>
        </w:rPr>
      </w:pPr>
    </w:p>
    <w:p>
      <w:pPr>
        <w:pStyle w:val="59"/>
        <w:shd w:val="clear"/>
        <w:ind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东莞市新东元环保投资有限公司海心沙环保热电厂项目</w:t>
      </w:r>
    </w:p>
    <w:p>
      <w:pPr>
        <w:pStyle w:val="59"/>
        <w:shd w:val="clear"/>
        <w:ind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环境监测服务技术需求书</w:t>
      </w:r>
    </w:p>
    <w:p>
      <w:pPr>
        <w:shd w:val="clear"/>
        <w:rPr>
          <w:rFonts w:ascii="宋体" w:hAnsi="宋体" w:cs="宋体"/>
          <w:b/>
          <w:bCs/>
          <w:color w:val="auto"/>
          <w:szCs w:val="21"/>
          <w:highlight w:val="none"/>
        </w:rPr>
      </w:pPr>
      <w:r>
        <w:rPr>
          <w:rFonts w:hint="eastAsia" w:ascii="宋体" w:hAnsi="宋体" w:cs="宋体"/>
          <w:b/>
          <w:bCs/>
          <w:color w:val="auto"/>
          <w:szCs w:val="21"/>
          <w:highlight w:val="none"/>
        </w:rPr>
        <w:t>一、技术规范</w:t>
      </w:r>
    </w:p>
    <w:p>
      <w:pPr>
        <w:shd w:val="clear"/>
        <w:ind w:firstLine="480"/>
        <w:rPr>
          <w:rFonts w:ascii="宋体" w:hAnsi="宋体" w:cs="宋体"/>
          <w:color w:val="auto"/>
          <w:szCs w:val="21"/>
          <w:highlight w:val="none"/>
        </w:rPr>
      </w:pPr>
      <w:r>
        <w:rPr>
          <w:rFonts w:hint="eastAsia" w:ascii="宋体" w:hAnsi="宋体" w:cs="宋体"/>
          <w:color w:val="auto"/>
          <w:szCs w:val="21"/>
          <w:highlight w:val="none"/>
        </w:rPr>
        <w:t>本技术规范所提及的要求和服务范围都是最低限度要求，并未对一切技术细节做出规定，也未充分地详述有关标准和规范条文，但投标人必须保证提供符合本技术规范和行业标准的功能齐全的优质产品及服务。</w:t>
      </w:r>
    </w:p>
    <w:p>
      <w:pPr>
        <w:shd w:val="clear"/>
        <w:ind w:firstLine="480"/>
        <w:rPr>
          <w:rFonts w:ascii="宋体" w:hAnsi="宋体" w:cs="宋体"/>
          <w:color w:val="auto"/>
          <w:szCs w:val="21"/>
          <w:highlight w:val="none"/>
        </w:rPr>
      </w:pPr>
      <w:r>
        <w:rPr>
          <w:rFonts w:hint="eastAsia" w:ascii="宋体" w:hAnsi="宋体" w:cs="宋体"/>
          <w:color w:val="auto"/>
          <w:szCs w:val="21"/>
          <w:highlight w:val="none"/>
        </w:rPr>
        <w:t>项目名称：东莞市海心沙资源综合利用中心环保热电厂项目</w:t>
      </w:r>
    </w:p>
    <w:p>
      <w:pPr>
        <w:shd w:val="clear"/>
        <w:ind w:firstLine="480"/>
        <w:rPr>
          <w:rFonts w:ascii="宋体" w:hAnsi="宋体" w:cs="宋体"/>
          <w:color w:val="auto"/>
          <w:szCs w:val="21"/>
          <w:highlight w:val="none"/>
        </w:rPr>
      </w:pPr>
      <w:r>
        <w:rPr>
          <w:rFonts w:hint="eastAsia" w:ascii="宋体" w:hAnsi="宋体" w:cs="宋体"/>
          <w:color w:val="auto"/>
          <w:szCs w:val="21"/>
          <w:highlight w:val="none"/>
        </w:rPr>
        <w:t>厂址：东莞市麻涌镇大步村海心沙岛</w:t>
      </w:r>
    </w:p>
    <w:p>
      <w:pPr>
        <w:shd w:val="clear"/>
        <w:ind w:firstLine="480"/>
        <w:rPr>
          <w:rFonts w:ascii="宋体" w:hAnsi="宋体" w:cs="宋体"/>
          <w:color w:val="auto"/>
          <w:szCs w:val="21"/>
          <w:highlight w:val="none"/>
        </w:rPr>
      </w:pPr>
      <w:r>
        <w:rPr>
          <w:rFonts w:hint="eastAsia" w:ascii="宋体" w:hAnsi="宋体" w:cs="宋体"/>
          <w:color w:val="auto"/>
          <w:szCs w:val="21"/>
          <w:highlight w:val="none"/>
        </w:rPr>
        <w:t>项目规模：总处理规模为日处理生活垃圾和一般工业垃圾2250吨，年处理垃圾82.125万吨。配置安装3×750吨/日焚烧线及对应配套系统（包括烟气净化系统、飞灰螯合稳定化系统、给排水系统等），2×40MW纯凝式汽轮发电机组。项目用地总面积为6.96公顷。</w:t>
      </w:r>
    </w:p>
    <w:p>
      <w:pPr>
        <w:shd w:val="clear"/>
        <w:rPr>
          <w:rFonts w:ascii="宋体" w:hAnsi="宋体" w:cs="宋体"/>
          <w:b/>
          <w:bCs/>
          <w:color w:val="auto"/>
          <w:szCs w:val="21"/>
          <w:highlight w:val="none"/>
        </w:rPr>
      </w:pPr>
    </w:p>
    <w:p>
      <w:pPr>
        <w:shd w:val="clear"/>
        <w:rPr>
          <w:rFonts w:ascii="宋体" w:hAnsi="宋体" w:cs="宋体"/>
          <w:b/>
          <w:bCs/>
          <w:color w:val="auto"/>
          <w:szCs w:val="21"/>
          <w:highlight w:val="none"/>
        </w:rPr>
      </w:pPr>
      <w:r>
        <w:rPr>
          <w:rFonts w:hint="eastAsia" w:ascii="宋体" w:hAnsi="宋体" w:cs="宋体"/>
          <w:b/>
          <w:bCs/>
          <w:color w:val="auto"/>
          <w:szCs w:val="21"/>
          <w:highlight w:val="none"/>
        </w:rPr>
        <w:t xml:space="preserve"> 二、服务清单</w:t>
      </w:r>
    </w:p>
    <w:p>
      <w:pPr>
        <w:shd w:val="clear"/>
        <w:ind w:firstLine="480"/>
        <w:rPr>
          <w:rFonts w:ascii="宋体" w:hAnsi="宋体" w:cs="宋体"/>
          <w:b/>
          <w:bCs/>
          <w:color w:val="auto"/>
          <w:szCs w:val="21"/>
          <w:highlight w:val="none"/>
        </w:rPr>
      </w:pPr>
      <w:r>
        <w:rPr>
          <w:rFonts w:hint="eastAsia" w:ascii="宋体" w:hAnsi="宋体" w:cs="宋体"/>
          <w:b/>
          <w:bCs/>
          <w:color w:val="auto"/>
          <w:szCs w:val="21"/>
          <w:highlight w:val="none"/>
        </w:rPr>
        <w:t>（一）服务期限</w:t>
      </w:r>
    </w:p>
    <w:p>
      <w:pPr>
        <w:pStyle w:val="2"/>
        <w:shd w:val="clear"/>
        <w:ind w:firstLine="420" w:firstLineChars="200"/>
        <w:rPr>
          <w:color w:val="auto"/>
          <w:sz w:val="21"/>
          <w:szCs w:val="21"/>
          <w:highlight w:val="none"/>
        </w:rPr>
      </w:pPr>
      <w:r>
        <w:rPr>
          <w:rFonts w:hint="eastAsia"/>
          <w:color w:val="auto"/>
          <w:sz w:val="21"/>
          <w:szCs w:val="21"/>
          <w:highlight w:val="none"/>
        </w:rPr>
        <w:t>东莞市海心沙环保热电厂环境监测服务时间为期一年。实际服务时间为自中标人实际进场开始检测之日起一年。</w:t>
      </w:r>
    </w:p>
    <w:p>
      <w:pPr>
        <w:shd w:val="clear"/>
        <w:ind w:firstLine="480"/>
        <w:rPr>
          <w:rFonts w:ascii="宋体" w:hAnsi="宋体" w:cs="宋体"/>
          <w:b/>
          <w:bCs/>
          <w:color w:val="auto"/>
          <w:szCs w:val="21"/>
          <w:highlight w:val="none"/>
        </w:rPr>
      </w:pPr>
      <w:r>
        <w:rPr>
          <w:rFonts w:hint="eastAsia" w:ascii="宋体" w:hAnsi="宋体" w:cs="宋体"/>
          <w:b/>
          <w:bCs/>
          <w:color w:val="auto"/>
          <w:szCs w:val="21"/>
          <w:highlight w:val="none"/>
        </w:rPr>
        <w:t>（二）服务内容</w:t>
      </w:r>
    </w:p>
    <w:p>
      <w:pPr>
        <w:shd w:val="clear"/>
        <w:ind w:firstLine="480"/>
        <w:rPr>
          <w:rFonts w:ascii="宋体" w:hAnsi="宋体" w:cs="宋体"/>
          <w:color w:val="auto"/>
          <w:szCs w:val="21"/>
          <w:highlight w:val="none"/>
        </w:rPr>
      </w:pPr>
      <w:r>
        <w:rPr>
          <w:rFonts w:hint="eastAsia" w:ascii="宋体" w:hAnsi="宋体" w:cs="宋体"/>
          <w:color w:val="auto"/>
          <w:szCs w:val="21"/>
          <w:highlight w:val="none"/>
        </w:rPr>
        <w:t>对东莞市海心沙环保热电厂的有组织排放废气、无组织排放废气、废水、噪声、环境空气、土壤、地表水、地下水、炉渣、飞灰、雨水、垃圾等监测与分析，详情见下表。</w:t>
      </w:r>
    </w:p>
    <w:p>
      <w:pPr>
        <w:shd w:val="clear"/>
        <w:ind w:firstLine="480"/>
        <w:jc w:val="center"/>
        <w:rPr>
          <w:rFonts w:ascii="宋体" w:hAnsi="宋体" w:cs="宋体"/>
          <w:color w:val="auto"/>
          <w:szCs w:val="21"/>
          <w:highlight w:val="none"/>
        </w:rPr>
      </w:pPr>
      <w:r>
        <w:rPr>
          <w:rFonts w:hint="eastAsia" w:ascii="宋体" w:hAnsi="宋体" w:cs="宋体"/>
          <w:color w:val="auto"/>
          <w:szCs w:val="21"/>
          <w:highlight w:val="none"/>
        </w:rPr>
        <w:t>附表6：海心沙热电环境监测方案</w:t>
      </w:r>
    </w:p>
    <w:tbl>
      <w:tblPr>
        <w:tblStyle w:val="30"/>
        <w:tblW w:w="9702" w:type="dxa"/>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64"/>
        <w:gridCol w:w="1011"/>
        <w:gridCol w:w="1378"/>
        <w:gridCol w:w="1582"/>
        <w:gridCol w:w="3028"/>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trPr>
        <w:tc>
          <w:tcPr>
            <w:tcW w:w="702" w:type="dxa"/>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864" w:type="dxa"/>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项目</w:t>
            </w:r>
          </w:p>
        </w:tc>
        <w:tc>
          <w:tcPr>
            <w:tcW w:w="1011" w:type="dxa"/>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监测点位</w:t>
            </w:r>
          </w:p>
        </w:tc>
        <w:tc>
          <w:tcPr>
            <w:tcW w:w="1378" w:type="dxa"/>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监测因子</w:t>
            </w:r>
          </w:p>
        </w:tc>
        <w:tc>
          <w:tcPr>
            <w:tcW w:w="1582" w:type="dxa"/>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监测频次</w:t>
            </w:r>
          </w:p>
        </w:tc>
        <w:tc>
          <w:tcPr>
            <w:tcW w:w="3028" w:type="dxa"/>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c>
          <w:tcPr>
            <w:tcW w:w="1137" w:type="dxa"/>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年样品数量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c>
          <w:tcPr>
            <w:tcW w:w="864"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有组织排放废气</w:t>
            </w:r>
          </w:p>
        </w:tc>
        <w:tc>
          <w:tcPr>
            <w:tcW w:w="1011"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3台焚烧炉净烟气排放口</w:t>
            </w: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颗粒物、HCl、SO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、NO</w:t>
            </w:r>
            <w:r>
              <w:rPr>
                <w:rFonts w:hint="eastAsia" w:ascii="宋体" w:hAnsi="宋体" w:cs="宋体"/>
                <w:color w:val="auto"/>
                <w:szCs w:val="21"/>
                <w:highlight w:val="none"/>
                <w:vertAlign w:val="subscript"/>
              </w:rPr>
              <w:t>X</w:t>
            </w:r>
            <w:r>
              <w:rPr>
                <w:rFonts w:hint="eastAsia" w:ascii="宋体" w:hAnsi="宋体" w:cs="宋体"/>
                <w:color w:val="auto"/>
                <w:szCs w:val="21"/>
                <w:highlight w:val="none"/>
              </w:rPr>
              <w:t>、CO、HF、O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、流速、烟温、湿度</w:t>
            </w:r>
          </w:p>
        </w:tc>
        <w:tc>
          <w:tcPr>
            <w:tcW w:w="158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302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采用参比方法对在线监测设备进行比对：测量气态污染物和氧气浓度，至少获取9个数据对，每个数据对取5~15min均值；测量流速、烟温湿度时，至少获取5个同时段测试断面值数据对，分别计算流速、烟温、湿度CMS准确度</w:t>
            </w:r>
          </w:p>
        </w:tc>
        <w:tc>
          <w:tcPr>
            <w:tcW w:w="113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w:t>
            </w:r>
          </w:p>
        </w:tc>
        <w:tc>
          <w:tcPr>
            <w:tcW w:w="864" w:type="dxa"/>
            <w:vMerge w:val="continue"/>
            <w:vAlign w:val="center"/>
          </w:tcPr>
          <w:p>
            <w:pPr>
              <w:shd w:val="clear"/>
              <w:rPr>
                <w:rFonts w:ascii="宋体" w:hAnsi="宋体" w:cs="宋体"/>
                <w:color w:val="auto"/>
                <w:szCs w:val="21"/>
                <w:highlight w:val="none"/>
              </w:rPr>
            </w:pPr>
          </w:p>
        </w:tc>
        <w:tc>
          <w:tcPr>
            <w:tcW w:w="1011" w:type="dxa"/>
            <w:vMerge w:val="continue"/>
            <w:vAlign w:val="center"/>
          </w:tcPr>
          <w:p>
            <w:pPr>
              <w:shd w:val="clear"/>
              <w:rPr>
                <w:rFonts w:ascii="宋体" w:hAnsi="宋体" w:cs="宋体"/>
                <w:color w:val="auto"/>
                <w:szCs w:val="21"/>
                <w:highlight w:val="none"/>
              </w:rPr>
            </w:pP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颗粒物、HCl、SO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、NO</w:t>
            </w:r>
            <w:r>
              <w:rPr>
                <w:rFonts w:hint="eastAsia" w:ascii="宋体" w:hAnsi="宋体" w:cs="宋体"/>
                <w:color w:val="auto"/>
                <w:szCs w:val="21"/>
                <w:highlight w:val="none"/>
                <w:vertAlign w:val="subscript"/>
              </w:rPr>
              <w:t>X</w:t>
            </w:r>
            <w:r>
              <w:rPr>
                <w:rFonts w:hint="eastAsia" w:ascii="宋体" w:hAnsi="宋体" w:cs="宋体"/>
                <w:color w:val="auto"/>
                <w:szCs w:val="21"/>
                <w:highlight w:val="none"/>
              </w:rPr>
              <w:t>、CO</w:t>
            </w:r>
          </w:p>
        </w:tc>
        <w:tc>
          <w:tcPr>
            <w:tcW w:w="158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302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每台炉的测量需在一定时间内采集的一定数量样品中污染物浓度测试值的算术平均值</w:t>
            </w:r>
          </w:p>
        </w:tc>
        <w:tc>
          <w:tcPr>
            <w:tcW w:w="113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c>
          <w:tcPr>
            <w:tcW w:w="864" w:type="dxa"/>
            <w:vMerge w:val="continue"/>
            <w:vAlign w:val="center"/>
          </w:tcPr>
          <w:p>
            <w:pPr>
              <w:shd w:val="clear"/>
              <w:rPr>
                <w:rFonts w:ascii="宋体" w:hAnsi="宋体" w:cs="宋体"/>
                <w:color w:val="auto"/>
                <w:szCs w:val="21"/>
                <w:highlight w:val="none"/>
              </w:rPr>
            </w:pPr>
          </w:p>
        </w:tc>
        <w:tc>
          <w:tcPr>
            <w:tcW w:w="1011" w:type="dxa"/>
            <w:vMerge w:val="continue"/>
            <w:vAlign w:val="center"/>
          </w:tcPr>
          <w:p>
            <w:pPr>
              <w:shd w:val="clear"/>
              <w:rPr>
                <w:rFonts w:ascii="宋体" w:hAnsi="宋体" w:cs="宋体"/>
                <w:color w:val="auto"/>
                <w:szCs w:val="21"/>
                <w:highlight w:val="none"/>
              </w:rPr>
            </w:pP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汞及其化合物；镉、铊及其化合物；锑、砷、铅、铬、钴、铜、锰、镍及其化合物；烟气黑度</w:t>
            </w:r>
          </w:p>
        </w:tc>
        <w:tc>
          <w:tcPr>
            <w:tcW w:w="158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302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每台炉的测量值需为0.5～8 个小时内完成不少于 3 个样品的采集，取算术平均值</w:t>
            </w:r>
          </w:p>
        </w:tc>
        <w:tc>
          <w:tcPr>
            <w:tcW w:w="113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c>
          <w:tcPr>
            <w:tcW w:w="864" w:type="dxa"/>
            <w:vMerge w:val="continue"/>
            <w:vAlign w:val="center"/>
          </w:tcPr>
          <w:p>
            <w:pPr>
              <w:shd w:val="clear"/>
              <w:rPr>
                <w:rFonts w:ascii="宋体" w:hAnsi="宋体" w:cs="宋体"/>
                <w:color w:val="auto"/>
                <w:szCs w:val="21"/>
                <w:highlight w:val="none"/>
              </w:rPr>
            </w:pPr>
          </w:p>
        </w:tc>
        <w:tc>
          <w:tcPr>
            <w:tcW w:w="1011" w:type="dxa"/>
            <w:vMerge w:val="continue"/>
            <w:vAlign w:val="center"/>
          </w:tcPr>
          <w:p>
            <w:pPr>
              <w:shd w:val="clear"/>
              <w:rPr>
                <w:rFonts w:ascii="宋体" w:hAnsi="宋体" w:cs="宋体"/>
                <w:color w:val="auto"/>
                <w:szCs w:val="21"/>
                <w:highlight w:val="none"/>
              </w:rPr>
            </w:pP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二噁英类</w:t>
            </w:r>
          </w:p>
        </w:tc>
        <w:tc>
          <w:tcPr>
            <w:tcW w:w="158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302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每台炉的测量值需为6～12 个小时内完成不少于 3 个样品的采集，取算术平均值</w:t>
            </w:r>
          </w:p>
        </w:tc>
        <w:tc>
          <w:tcPr>
            <w:tcW w:w="113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5</w:t>
            </w:r>
          </w:p>
        </w:tc>
        <w:tc>
          <w:tcPr>
            <w:tcW w:w="864" w:type="dxa"/>
            <w:vMerge w:val="continue"/>
            <w:vAlign w:val="center"/>
          </w:tcPr>
          <w:p>
            <w:pPr>
              <w:shd w:val="clear"/>
              <w:rPr>
                <w:rFonts w:ascii="宋体" w:hAnsi="宋体" w:cs="宋体"/>
                <w:color w:val="auto"/>
                <w:szCs w:val="21"/>
                <w:highlight w:val="none"/>
              </w:rPr>
            </w:pPr>
          </w:p>
        </w:tc>
        <w:tc>
          <w:tcPr>
            <w:tcW w:w="1011"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飞灰养护间排气筒有组织废气</w:t>
            </w: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颗粒物</w:t>
            </w:r>
          </w:p>
        </w:tc>
        <w:tc>
          <w:tcPr>
            <w:tcW w:w="158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302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113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w:t>
            </w:r>
          </w:p>
        </w:tc>
        <w:tc>
          <w:tcPr>
            <w:tcW w:w="864"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无组织排放废气</w:t>
            </w:r>
          </w:p>
        </w:tc>
        <w:tc>
          <w:tcPr>
            <w:tcW w:w="101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厂界4个点</w:t>
            </w: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H</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S、NH</w:t>
            </w:r>
            <w:r>
              <w:rPr>
                <w:rFonts w:hint="eastAsia" w:ascii="宋体" w:hAnsi="宋体" w:cs="宋体"/>
                <w:color w:val="auto"/>
                <w:szCs w:val="21"/>
                <w:highlight w:val="none"/>
                <w:vertAlign w:val="subscript"/>
              </w:rPr>
              <w:t>3</w:t>
            </w:r>
            <w:r>
              <w:rPr>
                <w:rFonts w:hint="eastAsia" w:ascii="宋体" w:hAnsi="宋体" w:cs="宋体"/>
                <w:color w:val="auto"/>
                <w:szCs w:val="21"/>
                <w:highlight w:val="none"/>
              </w:rPr>
              <w:t>、臭气浓度、颗粒物</w:t>
            </w:r>
          </w:p>
        </w:tc>
        <w:tc>
          <w:tcPr>
            <w:tcW w:w="158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302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每个监测点每隔2小时采集一次样品，共采集4次，取其最大测量值</w:t>
            </w:r>
          </w:p>
        </w:tc>
        <w:tc>
          <w:tcPr>
            <w:tcW w:w="113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7</w:t>
            </w:r>
          </w:p>
        </w:tc>
        <w:tc>
          <w:tcPr>
            <w:tcW w:w="864"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废水</w:t>
            </w:r>
          </w:p>
        </w:tc>
        <w:tc>
          <w:tcPr>
            <w:tcW w:w="101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渗滤液处理设施出口</w:t>
            </w: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pH值、COD</w:t>
            </w:r>
            <w:r>
              <w:rPr>
                <w:rFonts w:hint="eastAsia" w:ascii="宋体" w:hAnsi="宋体" w:cs="宋体"/>
                <w:color w:val="auto"/>
                <w:szCs w:val="21"/>
                <w:highlight w:val="none"/>
                <w:vertAlign w:val="subscript"/>
              </w:rPr>
              <w:t>Cr</w:t>
            </w:r>
            <w:r>
              <w:rPr>
                <w:rFonts w:hint="eastAsia" w:ascii="宋体" w:hAnsi="宋体" w:cs="宋体"/>
                <w:color w:val="auto"/>
                <w:szCs w:val="21"/>
                <w:highlight w:val="none"/>
              </w:rPr>
              <w:t>、BOD</w:t>
            </w:r>
            <w:r>
              <w:rPr>
                <w:rFonts w:hint="eastAsia" w:ascii="宋体" w:hAnsi="宋体" w:cs="宋体"/>
                <w:color w:val="auto"/>
                <w:szCs w:val="21"/>
                <w:highlight w:val="none"/>
                <w:vertAlign w:val="subscript"/>
              </w:rPr>
              <w:t>5</w:t>
            </w:r>
            <w:r>
              <w:rPr>
                <w:rFonts w:hint="eastAsia" w:ascii="宋体" w:hAnsi="宋体" w:cs="宋体"/>
                <w:color w:val="auto"/>
                <w:szCs w:val="21"/>
                <w:highlight w:val="none"/>
              </w:rPr>
              <w:t>、NH</w:t>
            </w:r>
            <w:r>
              <w:rPr>
                <w:rFonts w:hint="eastAsia" w:ascii="宋体" w:hAnsi="宋体" w:cs="宋体"/>
                <w:color w:val="auto"/>
                <w:szCs w:val="21"/>
                <w:highlight w:val="none"/>
                <w:vertAlign w:val="subscript"/>
              </w:rPr>
              <w:t>3</w:t>
            </w:r>
            <w:r>
              <w:rPr>
                <w:rFonts w:hint="eastAsia" w:ascii="宋体" w:hAnsi="宋体" w:cs="宋体"/>
                <w:color w:val="auto"/>
                <w:szCs w:val="21"/>
                <w:highlight w:val="none"/>
              </w:rPr>
              <w:t>-N、SS、Pb、Cd、Hg、水量</w:t>
            </w:r>
          </w:p>
        </w:tc>
        <w:tc>
          <w:tcPr>
            <w:tcW w:w="158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302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113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8</w:t>
            </w:r>
          </w:p>
        </w:tc>
        <w:tc>
          <w:tcPr>
            <w:tcW w:w="864" w:type="dxa"/>
            <w:vMerge w:val="continue"/>
            <w:vAlign w:val="center"/>
          </w:tcPr>
          <w:p>
            <w:pPr>
              <w:shd w:val="clear"/>
              <w:rPr>
                <w:rFonts w:ascii="宋体" w:hAnsi="宋体" w:cs="宋体"/>
                <w:color w:val="auto"/>
                <w:szCs w:val="21"/>
                <w:highlight w:val="none"/>
              </w:rPr>
            </w:pPr>
          </w:p>
        </w:tc>
        <w:tc>
          <w:tcPr>
            <w:tcW w:w="101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洗烟废水处理设施出口</w:t>
            </w: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pH值、COD</w:t>
            </w:r>
            <w:r>
              <w:rPr>
                <w:rFonts w:hint="eastAsia" w:ascii="宋体" w:hAnsi="宋体" w:cs="宋体"/>
                <w:color w:val="auto"/>
                <w:szCs w:val="21"/>
                <w:highlight w:val="none"/>
                <w:vertAlign w:val="subscript"/>
              </w:rPr>
              <w:t>Cr</w:t>
            </w:r>
            <w:r>
              <w:rPr>
                <w:rFonts w:hint="eastAsia" w:ascii="宋体" w:hAnsi="宋体" w:cs="宋体"/>
                <w:color w:val="auto"/>
                <w:szCs w:val="21"/>
                <w:highlight w:val="none"/>
              </w:rPr>
              <w:t>、BOD</w:t>
            </w:r>
            <w:r>
              <w:rPr>
                <w:rFonts w:hint="eastAsia" w:ascii="宋体" w:hAnsi="宋体" w:cs="宋体"/>
                <w:color w:val="auto"/>
                <w:szCs w:val="21"/>
                <w:highlight w:val="none"/>
                <w:vertAlign w:val="subscript"/>
              </w:rPr>
              <w:t>5</w:t>
            </w:r>
            <w:r>
              <w:rPr>
                <w:rFonts w:hint="eastAsia" w:ascii="宋体" w:hAnsi="宋体" w:cs="宋体"/>
                <w:color w:val="auto"/>
                <w:szCs w:val="21"/>
                <w:highlight w:val="none"/>
              </w:rPr>
              <w:t>、NH</w:t>
            </w:r>
            <w:r>
              <w:rPr>
                <w:rFonts w:hint="eastAsia" w:ascii="宋体" w:hAnsi="宋体" w:cs="宋体"/>
                <w:color w:val="auto"/>
                <w:szCs w:val="21"/>
                <w:highlight w:val="none"/>
                <w:vertAlign w:val="subscript"/>
              </w:rPr>
              <w:t>3</w:t>
            </w:r>
            <w:r>
              <w:rPr>
                <w:rFonts w:hint="eastAsia" w:ascii="宋体" w:hAnsi="宋体" w:cs="宋体"/>
                <w:color w:val="auto"/>
                <w:szCs w:val="21"/>
                <w:highlight w:val="none"/>
              </w:rPr>
              <w:t>-N、SS、Pb、Cd、Hg、水量</w:t>
            </w:r>
          </w:p>
        </w:tc>
        <w:tc>
          <w:tcPr>
            <w:tcW w:w="158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302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113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9</w:t>
            </w:r>
          </w:p>
        </w:tc>
        <w:tc>
          <w:tcPr>
            <w:tcW w:w="864"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噪声</w:t>
            </w:r>
          </w:p>
        </w:tc>
        <w:tc>
          <w:tcPr>
            <w:tcW w:w="101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厂界周围4个点</w:t>
            </w: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Leq（A）</w:t>
            </w:r>
          </w:p>
        </w:tc>
        <w:tc>
          <w:tcPr>
            <w:tcW w:w="158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302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每个监测点每期监测需昼、夜各测1次</w:t>
            </w:r>
          </w:p>
        </w:tc>
        <w:tc>
          <w:tcPr>
            <w:tcW w:w="113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10</w:t>
            </w:r>
          </w:p>
        </w:tc>
        <w:tc>
          <w:tcPr>
            <w:tcW w:w="864"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环境空气</w:t>
            </w:r>
          </w:p>
        </w:tc>
        <w:tc>
          <w:tcPr>
            <w:tcW w:w="1011"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梅沙村、万科珠江东岸、恒大滨江左岸、漳澎村、泗安医院各1个监测点，共5个监测点</w:t>
            </w: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SO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、NO</w:t>
            </w:r>
            <w:r>
              <w:rPr>
                <w:rFonts w:hint="eastAsia" w:ascii="宋体" w:hAnsi="宋体" w:cs="宋体"/>
                <w:color w:val="auto"/>
                <w:szCs w:val="21"/>
                <w:highlight w:val="none"/>
                <w:vertAlign w:val="subscript"/>
              </w:rPr>
              <w:t>X</w:t>
            </w:r>
            <w:r>
              <w:rPr>
                <w:rFonts w:hint="eastAsia" w:ascii="宋体" w:hAnsi="宋体" w:cs="宋体"/>
                <w:color w:val="auto"/>
                <w:szCs w:val="21"/>
                <w:highlight w:val="none"/>
              </w:rPr>
              <w:t>、NO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、CO、O</w:t>
            </w:r>
            <w:r>
              <w:rPr>
                <w:rFonts w:hint="eastAsia" w:ascii="宋体" w:hAnsi="宋体" w:cs="宋体"/>
                <w:color w:val="auto"/>
                <w:szCs w:val="21"/>
                <w:highlight w:val="none"/>
                <w:vertAlign w:val="subscript"/>
              </w:rPr>
              <w:t>3</w:t>
            </w:r>
            <w:r>
              <w:rPr>
                <w:rFonts w:hint="eastAsia" w:ascii="宋体" w:hAnsi="宋体" w:cs="宋体"/>
                <w:color w:val="auto"/>
                <w:szCs w:val="21"/>
                <w:highlight w:val="none"/>
              </w:rPr>
              <w:t>、PM10、PM2.5、HCl、氟化氢、汞、Cr、Pb、Cd、氨、硫化氢、臭气浓度</w:t>
            </w:r>
          </w:p>
        </w:tc>
        <w:tc>
          <w:tcPr>
            <w:tcW w:w="158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1次/半年</w:t>
            </w:r>
          </w:p>
        </w:tc>
        <w:tc>
          <w:tcPr>
            <w:tcW w:w="302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113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11</w:t>
            </w:r>
          </w:p>
        </w:tc>
        <w:tc>
          <w:tcPr>
            <w:tcW w:w="864" w:type="dxa"/>
            <w:vMerge w:val="continue"/>
            <w:vAlign w:val="center"/>
          </w:tcPr>
          <w:p>
            <w:pPr>
              <w:shd w:val="clear"/>
              <w:rPr>
                <w:rFonts w:ascii="宋体" w:hAnsi="宋体" w:cs="宋体"/>
                <w:color w:val="auto"/>
                <w:szCs w:val="21"/>
                <w:highlight w:val="none"/>
              </w:rPr>
            </w:pPr>
          </w:p>
        </w:tc>
        <w:tc>
          <w:tcPr>
            <w:tcW w:w="1011" w:type="dxa"/>
            <w:vMerge w:val="continue"/>
            <w:vAlign w:val="center"/>
          </w:tcPr>
          <w:p>
            <w:pPr>
              <w:shd w:val="clear"/>
              <w:rPr>
                <w:rFonts w:ascii="宋体" w:hAnsi="宋体" w:cs="宋体"/>
                <w:color w:val="auto"/>
                <w:szCs w:val="21"/>
                <w:highlight w:val="none"/>
              </w:rPr>
            </w:pP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二噁英类</w:t>
            </w:r>
          </w:p>
        </w:tc>
        <w:tc>
          <w:tcPr>
            <w:tcW w:w="158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302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每期监测每个监测点位应取得至少3天的样品，且每天采样时间不少于18小时</w:t>
            </w:r>
          </w:p>
        </w:tc>
        <w:tc>
          <w:tcPr>
            <w:tcW w:w="113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864"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土壤</w:t>
            </w:r>
          </w:p>
        </w:tc>
        <w:tc>
          <w:tcPr>
            <w:tcW w:w="101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泗安医院、洪梅中心小学、漳澎村各1各监测点，共3个监测点</w:t>
            </w: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pH值、镉、汞、砷、铜、铅、铬、锌、镍、二噁英</w:t>
            </w:r>
          </w:p>
        </w:tc>
        <w:tc>
          <w:tcPr>
            <w:tcW w:w="158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302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113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13</w:t>
            </w:r>
          </w:p>
        </w:tc>
        <w:tc>
          <w:tcPr>
            <w:tcW w:w="864"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地表水</w:t>
            </w:r>
          </w:p>
        </w:tc>
        <w:tc>
          <w:tcPr>
            <w:tcW w:w="101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厂区下游500米处1个监测点</w:t>
            </w: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水温、pH值、溶解氧、COD、BOD</w:t>
            </w:r>
            <w:r>
              <w:rPr>
                <w:rFonts w:hint="eastAsia" w:ascii="宋体" w:hAnsi="宋体" w:cs="宋体"/>
                <w:color w:val="auto"/>
                <w:szCs w:val="21"/>
                <w:highlight w:val="none"/>
                <w:vertAlign w:val="subscript"/>
              </w:rPr>
              <w:t>5</w:t>
            </w:r>
            <w:r>
              <w:rPr>
                <w:rFonts w:hint="eastAsia" w:ascii="宋体" w:hAnsi="宋体" w:cs="宋体"/>
                <w:color w:val="auto"/>
                <w:szCs w:val="21"/>
                <w:highlight w:val="none"/>
              </w:rPr>
              <w:t>、NH</w:t>
            </w:r>
            <w:r>
              <w:rPr>
                <w:rFonts w:hint="eastAsia" w:ascii="宋体" w:hAnsi="宋体" w:cs="宋体"/>
                <w:color w:val="auto"/>
                <w:szCs w:val="21"/>
                <w:highlight w:val="none"/>
                <w:vertAlign w:val="subscript"/>
              </w:rPr>
              <w:t>3</w:t>
            </w:r>
            <w:r>
              <w:rPr>
                <w:rFonts w:hint="eastAsia" w:ascii="宋体" w:hAnsi="宋体" w:cs="宋体"/>
                <w:color w:val="auto"/>
                <w:szCs w:val="21"/>
                <w:highlight w:val="none"/>
              </w:rPr>
              <w:t>-N、总磷、总氮、挥发酚、硫化物、氟化物、悬浮物、石油类、镉、六价铬、铅、汞、砷，同步监测河宽、水深、流速、流量等水文参数</w:t>
            </w:r>
          </w:p>
        </w:tc>
        <w:tc>
          <w:tcPr>
            <w:tcW w:w="158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302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113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14</w:t>
            </w:r>
          </w:p>
        </w:tc>
        <w:tc>
          <w:tcPr>
            <w:tcW w:w="864"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地下水</w:t>
            </w:r>
          </w:p>
        </w:tc>
        <w:tc>
          <w:tcPr>
            <w:tcW w:w="101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厂区内地下水监测井监测点2个</w:t>
            </w: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K</w:t>
            </w:r>
            <w:r>
              <w:rPr>
                <w:rFonts w:hint="eastAsia" w:ascii="宋体" w:hAnsi="宋体" w:cs="宋体"/>
                <w:color w:val="auto"/>
                <w:szCs w:val="21"/>
                <w:highlight w:val="none"/>
                <w:vertAlign w:val="superscript"/>
              </w:rPr>
              <w:t>+</w:t>
            </w:r>
            <w:r>
              <w:rPr>
                <w:rFonts w:hint="eastAsia" w:ascii="宋体" w:hAnsi="宋体" w:cs="宋体"/>
                <w:color w:val="auto"/>
                <w:szCs w:val="21"/>
                <w:highlight w:val="none"/>
              </w:rPr>
              <w:t>、Ca</w:t>
            </w:r>
            <w:r>
              <w:rPr>
                <w:rFonts w:hint="eastAsia" w:ascii="宋体" w:hAnsi="宋体" w:cs="宋体"/>
                <w:color w:val="auto"/>
                <w:szCs w:val="21"/>
                <w:highlight w:val="none"/>
                <w:vertAlign w:val="superscript"/>
              </w:rPr>
              <w:t>2+</w:t>
            </w:r>
            <w:r>
              <w:rPr>
                <w:rFonts w:hint="eastAsia" w:ascii="宋体" w:hAnsi="宋体" w:cs="宋体"/>
                <w:color w:val="auto"/>
                <w:szCs w:val="21"/>
                <w:highlight w:val="none"/>
              </w:rPr>
              <w:t>、Mg</w:t>
            </w:r>
            <w:r>
              <w:rPr>
                <w:rFonts w:hint="eastAsia" w:ascii="宋体" w:hAnsi="宋体" w:cs="宋体"/>
                <w:color w:val="auto"/>
                <w:szCs w:val="21"/>
                <w:highlight w:val="none"/>
                <w:vertAlign w:val="superscript"/>
              </w:rPr>
              <w:t>2+</w:t>
            </w:r>
            <w:r>
              <w:rPr>
                <w:rFonts w:hint="eastAsia" w:ascii="宋体" w:hAnsi="宋体" w:cs="宋体"/>
                <w:color w:val="auto"/>
                <w:szCs w:val="21"/>
                <w:highlight w:val="none"/>
              </w:rPr>
              <w:t>、Cl</w:t>
            </w:r>
            <w:r>
              <w:rPr>
                <w:rFonts w:hint="eastAsia" w:ascii="宋体" w:hAnsi="宋体" w:cs="宋体"/>
                <w:color w:val="auto"/>
                <w:szCs w:val="21"/>
                <w:highlight w:val="none"/>
                <w:vertAlign w:val="superscript"/>
              </w:rPr>
              <w:t>-</w:t>
            </w:r>
            <w:r>
              <w:rPr>
                <w:rFonts w:hint="eastAsia" w:ascii="宋体" w:hAnsi="宋体" w:cs="宋体"/>
                <w:color w:val="auto"/>
                <w:szCs w:val="21"/>
                <w:highlight w:val="none"/>
              </w:rPr>
              <w:t>、pH值、总硬度、溶解性总固体、氨氮、高锰酸盐指数、硝酸盐、亚硝酸盐、硫酸盐、氟化物、氰化物、细菌总数、总大肠菌群、汞、砷、镉、六价铬、铅、挥发性酚类、铁、锰、铜、锌、粪大肠菌群</w:t>
            </w:r>
          </w:p>
        </w:tc>
        <w:tc>
          <w:tcPr>
            <w:tcW w:w="158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302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113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15</w:t>
            </w:r>
          </w:p>
        </w:tc>
        <w:tc>
          <w:tcPr>
            <w:tcW w:w="864"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炉渣</w:t>
            </w:r>
          </w:p>
        </w:tc>
        <w:tc>
          <w:tcPr>
            <w:tcW w:w="1011"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3台焚烧炉炉渣，每台炉炉渣各1个样品</w:t>
            </w:r>
          </w:p>
        </w:tc>
        <w:tc>
          <w:tcPr>
            <w:tcW w:w="1378"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热灼减率</w:t>
            </w:r>
          </w:p>
        </w:tc>
        <w:tc>
          <w:tcPr>
            <w:tcW w:w="1582"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1次/周</w:t>
            </w:r>
          </w:p>
        </w:tc>
        <w:tc>
          <w:tcPr>
            <w:tcW w:w="302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送样检测</w:t>
            </w:r>
          </w:p>
        </w:tc>
        <w:tc>
          <w:tcPr>
            <w:tcW w:w="113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16</w:t>
            </w:r>
          </w:p>
        </w:tc>
        <w:tc>
          <w:tcPr>
            <w:tcW w:w="864" w:type="dxa"/>
            <w:vMerge w:val="continue"/>
            <w:vAlign w:val="center"/>
          </w:tcPr>
          <w:p>
            <w:pPr>
              <w:shd w:val="clear"/>
              <w:rPr>
                <w:rFonts w:ascii="宋体" w:hAnsi="宋体" w:cs="宋体"/>
                <w:color w:val="auto"/>
                <w:szCs w:val="21"/>
                <w:highlight w:val="none"/>
              </w:rPr>
            </w:pPr>
          </w:p>
        </w:tc>
        <w:tc>
          <w:tcPr>
            <w:tcW w:w="1011" w:type="dxa"/>
            <w:vMerge w:val="continue"/>
            <w:vAlign w:val="center"/>
          </w:tcPr>
          <w:p>
            <w:pPr>
              <w:shd w:val="clear"/>
              <w:rPr>
                <w:rFonts w:ascii="宋体" w:hAnsi="宋体" w:cs="宋体"/>
                <w:color w:val="auto"/>
                <w:szCs w:val="21"/>
                <w:highlight w:val="none"/>
              </w:rPr>
            </w:pPr>
          </w:p>
        </w:tc>
        <w:tc>
          <w:tcPr>
            <w:tcW w:w="1378"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含水率、浸出液重金属（汞、铜、锌、铅、镉、铍、钡、镍、砷、总铬、六价铬、硒）含量</w:t>
            </w:r>
          </w:p>
        </w:tc>
        <w:tc>
          <w:tcPr>
            <w:tcW w:w="1582"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1次/年</w:t>
            </w:r>
          </w:p>
        </w:tc>
        <w:tc>
          <w:tcPr>
            <w:tcW w:w="302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送样检测</w:t>
            </w:r>
          </w:p>
        </w:tc>
        <w:tc>
          <w:tcPr>
            <w:tcW w:w="113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17</w:t>
            </w:r>
          </w:p>
        </w:tc>
        <w:tc>
          <w:tcPr>
            <w:tcW w:w="864"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稳定化飞灰</w:t>
            </w:r>
          </w:p>
        </w:tc>
        <w:tc>
          <w:tcPr>
            <w:tcW w:w="1011"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稳定化飞灰混合样</w:t>
            </w:r>
          </w:p>
        </w:tc>
        <w:tc>
          <w:tcPr>
            <w:tcW w:w="1378"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含水率、浸出液重金属（汞、铜、锌、铅、镉、铍、钡、镍、砷、总铬、六价铬、硒）含量</w:t>
            </w:r>
          </w:p>
        </w:tc>
        <w:tc>
          <w:tcPr>
            <w:tcW w:w="1582"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6次/月</w:t>
            </w:r>
          </w:p>
        </w:tc>
        <w:tc>
          <w:tcPr>
            <w:tcW w:w="3028"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送样检测</w:t>
            </w:r>
          </w:p>
        </w:tc>
        <w:tc>
          <w:tcPr>
            <w:tcW w:w="113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18</w:t>
            </w:r>
          </w:p>
        </w:tc>
        <w:tc>
          <w:tcPr>
            <w:tcW w:w="864" w:type="dxa"/>
            <w:vMerge w:val="continue"/>
            <w:vAlign w:val="center"/>
          </w:tcPr>
          <w:p>
            <w:pPr>
              <w:shd w:val="clear"/>
              <w:rPr>
                <w:rFonts w:ascii="宋体" w:hAnsi="宋体" w:cs="宋体"/>
                <w:color w:val="auto"/>
                <w:szCs w:val="21"/>
                <w:highlight w:val="none"/>
              </w:rPr>
            </w:pPr>
          </w:p>
        </w:tc>
        <w:tc>
          <w:tcPr>
            <w:tcW w:w="1011" w:type="dxa"/>
            <w:vMerge w:val="continue"/>
            <w:vAlign w:val="center"/>
          </w:tcPr>
          <w:p>
            <w:pPr>
              <w:shd w:val="clear"/>
              <w:rPr>
                <w:rFonts w:ascii="宋体" w:hAnsi="宋体" w:cs="宋体"/>
                <w:color w:val="auto"/>
                <w:szCs w:val="21"/>
                <w:highlight w:val="none"/>
              </w:rPr>
            </w:pPr>
          </w:p>
        </w:tc>
        <w:tc>
          <w:tcPr>
            <w:tcW w:w="1378"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二噁英类</w:t>
            </w:r>
          </w:p>
        </w:tc>
        <w:tc>
          <w:tcPr>
            <w:tcW w:w="1582"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1次/季</w:t>
            </w:r>
          </w:p>
        </w:tc>
        <w:tc>
          <w:tcPr>
            <w:tcW w:w="3028" w:type="dxa"/>
            <w:vMerge w:val="continue"/>
            <w:vAlign w:val="center"/>
          </w:tcPr>
          <w:p>
            <w:pPr>
              <w:shd w:val="clear"/>
              <w:jc w:val="center"/>
              <w:rPr>
                <w:rFonts w:ascii="宋体" w:hAnsi="宋体" w:cs="宋体"/>
                <w:color w:val="auto"/>
                <w:szCs w:val="21"/>
                <w:highlight w:val="none"/>
              </w:rPr>
            </w:pPr>
          </w:p>
        </w:tc>
        <w:tc>
          <w:tcPr>
            <w:tcW w:w="113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19</w:t>
            </w:r>
          </w:p>
        </w:tc>
        <w:tc>
          <w:tcPr>
            <w:tcW w:w="864"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雨水</w:t>
            </w:r>
          </w:p>
        </w:tc>
        <w:tc>
          <w:tcPr>
            <w:tcW w:w="101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雨水排放口</w:t>
            </w:r>
          </w:p>
        </w:tc>
        <w:tc>
          <w:tcPr>
            <w:tcW w:w="1378"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COD</w:t>
            </w:r>
            <w:r>
              <w:rPr>
                <w:rFonts w:hint="eastAsia" w:ascii="宋体" w:hAnsi="宋体" w:cs="宋体"/>
                <w:color w:val="auto"/>
                <w:szCs w:val="21"/>
                <w:highlight w:val="none"/>
                <w:vertAlign w:val="subscript"/>
              </w:rPr>
              <w:t>Cr</w:t>
            </w:r>
            <w:r>
              <w:rPr>
                <w:rFonts w:hint="eastAsia" w:ascii="宋体" w:hAnsi="宋体" w:cs="宋体"/>
                <w:color w:val="auto"/>
                <w:szCs w:val="21"/>
                <w:highlight w:val="none"/>
              </w:rPr>
              <w:t>、NH</w:t>
            </w:r>
            <w:r>
              <w:rPr>
                <w:rFonts w:hint="eastAsia" w:ascii="宋体" w:hAnsi="宋体" w:cs="宋体"/>
                <w:color w:val="auto"/>
                <w:szCs w:val="21"/>
                <w:highlight w:val="none"/>
                <w:vertAlign w:val="subscript"/>
              </w:rPr>
              <w:t>3</w:t>
            </w:r>
            <w:r>
              <w:rPr>
                <w:rFonts w:hint="eastAsia" w:ascii="宋体" w:hAnsi="宋体" w:cs="宋体"/>
                <w:color w:val="auto"/>
                <w:szCs w:val="21"/>
                <w:highlight w:val="none"/>
              </w:rPr>
              <w:t>-N、悬浮物</w:t>
            </w:r>
          </w:p>
        </w:tc>
        <w:tc>
          <w:tcPr>
            <w:tcW w:w="158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302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采样时间间隔不少于4h，采样频次不少于3次。</w:t>
            </w:r>
          </w:p>
        </w:tc>
        <w:tc>
          <w:tcPr>
            <w:tcW w:w="113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20</w:t>
            </w:r>
          </w:p>
        </w:tc>
        <w:tc>
          <w:tcPr>
            <w:tcW w:w="864"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垃圾</w:t>
            </w:r>
          </w:p>
        </w:tc>
        <w:tc>
          <w:tcPr>
            <w:tcW w:w="1011"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垃圾库</w:t>
            </w: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热值</w:t>
            </w:r>
          </w:p>
        </w:tc>
        <w:tc>
          <w:tcPr>
            <w:tcW w:w="158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3028"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送样检测</w:t>
            </w:r>
          </w:p>
        </w:tc>
        <w:tc>
          <w:tcPr>
            <w:tcW w:w="113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21</w:t>
            </w:r>
          </w:p>
        </w:tc>
        <w:tc>
          <w:tcPr>
            <w:tcW w:w="864" w:type="dxa"/>
            <w:vMerge w:val="continue"/>
            <w:vAlign w:val="center"/>
          </w:tcPr>
          <w:p>
            <w:pPr>
              <w:shd w:val="clear"/>
              <w:rPr>
                <w:rFonts w:ascii="宋体" w:hAnsi="宋体" w:cs="宋体"/>
                <w:color w:val="auto"/>
                <w:szCs w:val="21"/>
                <w:highlight w:val="none"/>
              </w:rPr>
            </w:pPr>
          </w:p>
        </w:tc>
        <w:tc>
          <w:tcPr>
            <w:tcW w:w="1011" w:type="dxa"/>
            <w:vMerge w:val="continue"/>
            <w:vAlign w:val="center"/>
          </w:tcPr>
          <w:p>
            <w:pPr>
              <w:shd w:val="clear"/>
              <w:rPr>
                <w:rFonts w:ascii="宋体" w:hAnsi="宋体" w:cs="宋体"/>
                <w:color w:val="auto"/>
                <w:szCs w:val="21"/>
                <w:highlight w:val="none"/>
              </w:rPr>
            </w:pPr>
          </w:p>
        </w:tc>
        <w:tc>
          <w:tcPr>
            <w:tcW w:w="137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物理组成、工业分析（挥发分、固定碳、灰分）、含水率、元素分析（C、H、N、S、O、Cl）、重金属分析（Hg、Pb、Cd、Cr、As）</w:t>
            </w:r>
          </w:p>
        </w:tc>
        <w:tc>
          <w:tcPr>
            <w:tcW w:w="158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3028" w:type="dxa"/>
            <w:vMerge w:val="continue"/>
            <w:vAlign w:val="center"/>
          </w:tcPr>
          <w:p>
            <w:pPr>
              <w:shd w:val="clear"/>
              <w:jc w:val="center"/>
              <w:rPr>
                <w:rFonts w:ascii="宋体" w:hAnsi="宋体" w:cs="宋体"/>
                <w:color w:val="auto"/>
                <w:szCs w:val="21"/>
                <w:highlight w:val="none"/>
              </w:rPr>
            </w:pPr>
          </w:p>
        </w:tc>
        <w:tc>
          <w:tcPr>
            <w:tcW w:w="113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565" w:type="dxa"/>
            <w:gridSpan w:val="6"/>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合计</w:t>
            </w:r>
          </w:p>
        </w:tc>
        <w:tc>
          <w:tcPr>
            <w:tcW w:w="113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590</w:t>
            </w:r>
          </w:p>
        </w:tc>
      </w:tr>
    </w:tbl>
    <w:p>
      <w:pPr>
        <w:shd w:val="clear"/>
        <w:rPr>
          <w:rFonts w:ascii="宋体" w:hAnsi="宋体" w:cs="宋体"/>
          <w:b/>
          <w:color w:val="auto"/>
          <w:sz w:val="24"/>
          <w:szCs w:val="24"/>
          <w:highlight w:val="none"/>
        </w:rPr>
      </w:pPr>
      <w:r>
        <w:rPr>
          <w:rFonts w:hint="eastAsia" w:ascii="宋体" w:hAnsi="宋体" w:cs="宋体"/>
          <w:color w:val="auto"/>
          <w:szCs w:val="21"/>
          <w:highlight w:val="none"/>
        </w:rPr>
        <w:br w:type="page"/>
      </w:r>
      <w:r>
        <w:rPr>
          <w:rFonts w:hint="eastAsia" w:ascii="宋体" w:hAnsi="宋体" w:cs="宋体"/>
          <w:b/>
          <w:color w:val="auto"/>
          <w:sz w:val="24"/>
          <w:szCs w:val="24"/>
          <w:highlight w:val="none"/>
        </w:rPr>
        <w:t>附件5：</w:t>
      </w:r>
    </w:p>
    <w:p>
      <w:pPr>
        <w:shd w:val="clear"/>
        <w:jc w:val="center"/>
        <w:rPr>
          <w:rFonts w:ascii="宋体" w:hAnsi="宋体" w:cs="宋体"/>
          <w:b/>
          <w:color w:val="auto"/>
          <w:sz w:val="24"/>
          <w:szCs w:val="24"/>
          <w:highlight w:val="none"/>
        </w:rPr>
      </w:pPr>
      <w:r>
        <w:rPr>
          <w:rFonts w:hint="eastAsia" w:ascii="宋体" w:hAnsi="宋体" w:cs="宋体"/>
          <w:b/>
          <w:color w:val="auto"/>
          <w:sz w:val="24"/>
          <w:szCs w:val="24"/>
          <w:highlight w:val="none"/>
        </w:rPr>
        <w:t>阳光合作协议</w:t>
      </w:r>
    </w:p>
    <w:p>
      <w:pPr>
        <w:shd w:val="clear"/>
        <w:jc w:val="center"/>
        <w:rPr>
          <w:rFonts w:ascii="宋体" w:hAnsi="宋体" w:cs="宋体"/>
          <w:b/>
          <w:color w:val="auto"/>
          <w:sz w:val="24"/>
          <w:szCs w:val="24"/>
          <w:highlight w:val="none"/>
        </w:rPr>
      </w:pPr>
    </w:p>
    <w:p>
      <w:pPr>
        <w:shd w:val="clear"/>
        <w:spacing w:before="180" w:beforeLines="50" w:after="180" w:afterLines="50" w:line="480" w:lineRule="exact"/>
        <w:ind w:firstLine="420" w:firstLineChars="200"/>
        <w:contextualSpacing/>
        <w:rPr>
          <w:rFonts w:ascii="宋体" w:hAnsi="宋体" w:cs="宋体"/>
          <w:bCs/>
          <w:color w:val="auto"/>
          <w:sz w:val="24"/>
          <w:szCs w:val="24"/>
          <w:highlight w:val="none"/>
        </w:rPr>
      </w:pPr>
      <w:r>
        <w:rPr>
          <w:rFonts w:hint="eastAsia" w:ascii="宋体" w:hAnsi="宋体" w:cs="宋体"/>
          <w:color w:val="auto"/>
          <w:highlight w:val="none"/>
        </w:rPr>
        <w:t>甲方（采购方全称）：</w:t>
      </w:r>
    </w:p>
    <w:p>
      <w:pPr>
        <w:shd w:val="clear"/>
        <w:spacing w:before="180" w:beforeLines="50" w:after="180" w:afterLines="50" w:line="480" w:lineRule="exact"/>
        <w:ind w:firstLine="420" w:firstLineChars="200"/>
        <w:contextualSpacing/>
        <w:rPr>
          <w:rFonts w:ascii="宋体" w:hAnsi="宋体" w:cs="宋体"/>
          <w:color w:val="auto"/>
          <w:highlight w:val="none"/>
        </w:rPr>
      </w:pPr>
      <w:r>
        <w:rPr>
          <w:rFonts w:hint="eastAsia" w:ascii="宋体" w:hAnsi="宋体" w:cs="宋体"/>
          <w:color w:val="auto"/>
          <w:highlight w:val="none"/>
        </w:rPr>
        <w:t xml:space="preserve">乙方（供应方全称）： </w:t>
      </w:r>
    </w:p>
    <w:p>
      <w:pPr>
        <w:shd w:val="clear"/>
        <w:spacing w:before="180" w:beforeLines="50" w:after="180" w:afterLines="50"/>
        <w:ind w:firstLine="420" w:firstLineChars="200"/>
        <w:contextualSpacing/>
        <w:rPr>
          <w:rFonts w:ascii="宋体" w:hAnsi="宋体" w:cs="宋体"/>
          <w:color w:val="auto"/>
          <w:highlight w:val="none"/>
        </w:rPr>
      </w:pPr>
      <w:r>
        <w:rPr>
          <w:rFonts w:hint="eastAsia" w:ascii="宋体" w:hAnsi="宋体" w:cs="宋体"/>
          <w:color w:val="auto"/>
          <w:highlight w:val="none"/>
        </w:rPr>
        <w:t xml:space="preserve">   甲乙双方于</w:t>
      </w:r>
      <w:r>
        <w:rPr>
          <w:rFonts w:hint="eastAsia" w:ascii="宋体" w:hAnsi="宋体" w:cs="宋体"/>
          <w:color w:val="auto"/>
          <w:highlight w:val="none"/>
          <w:u w:val="single"/>
        </w:rPr>
        <w:t xml:space="preserve">  2023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日签署了《...合同》（以下简称原合同），为加强双方阳光合作，保证职员职业安全，甲乙双方经协商签订本协议并作为双方共同遵守的阳光合作行为准则。</w:t>
      </w:r>
    </w:p>
    <w:p>
      <w:pPr>
        <w:shd w:val="clear"/>
        <w:spacing w:before="180" w:beforeLines="50" w:after="180" w:afterLines="50"/>
        <w:ind w:left="420" w:leftChars="200"/>
        <w:contextualSpacing/>
        <w:rPr>
          <w:rFonts w:ascii="宋体" w:hAnsi="宋体" w:cs="宋体"/>
          <w:b/>
          <w:color w:val="auto"/>
          <w:highlight w:val="none"/>
        </w:rPr>
      </w:pPr>
      <w:r>
        <w:rPr>
          <w:rFonts w:hint="eastAsia" w:ascii="宋体" w:hAnsi="宋体" w:cs="宋体"/>
          <w:b/>
          <w:color w:val="auto"/>
          <w:highlight w:val="none"/>
        </w:rPr>
        <w:t>一、甲方责任</w:t>
      </w:r>
    </w:p>
    <w:p>
      <w:pPr>
        <w:shd w:val="clear"/>
        <w:spacing w:before="180" w:beforeLines="50" w:after="180" w:afterLines="50"/>
        <w:ind w:left="105" w:leftChars="50" w:firstLine="420" w:firstLineChars="200"/>
        <w:contextualSpacing/>
        <w:rPr>
          <w:rFonts w:ascii="宋体" w:hAnsi="宋体" w:cs="宋体"/>
          <w:color w:val="auto"/>
          <w:highlight w:val="none"/>
        </w:rPr>
      </w:pPr>
      <w:r>
        <w:rPr>
          <w:rFonts w:hint="eastAsia" w:ascii="宋体" w:hAnsi="宋体" w:cs="宋体"/>
          <w:color w:val="auto"/>
          <w:highlight w:val="none"/>
        </w:rPr>
        <w:t>1.甲方有责任向乙方介绍本单位有关采购管理通用原则和本协议的规定。</w:t>
      </w:r>
    </w:p>
    <w:p>
      <w:pPr>
        <w:shd w:val="clear"/>
        <w:spacing w:before="180" w:beforeLines="50" w:after="180" w:afterLines="50"/>
        <w:ind w:left="105" w:leftChars="50" w:firstLine="420" w:firstLineChars="200"/>
        <w:contextualSpacing/>
        <w:rPr>
          <w:rFonts w:ascii="宋体" w:hAnsi="宋体" w:cs="宋体"/>
          <w:color w:val="auto"/>
          <w:highlight w:val="none"/>
        </w:rPr>
      </w:pPr>
      <w:r>
        <w:rPr>
          <w:rFonts w:hint="eastAsia" w:ascii="宋体" w:hAnsi="宋体" w:cs="宋体"/>
          <w:color w:val="auto"/>
          <w:highlight w:val="none"/>
        </w:rPr>
        <w:t>2.甲方有责任对本单位相关人员进行阳光合作教育。</w:t>
      </w:r>
    </w:p>
    <w:p>
      <w:pPr>
        <w:shd w:val="clear"/>
        <w:spacing w:before="180" w:beforeLines="50" w:after="180" w:afterLines="50"/>
        <w:ind w:left="105" w:leftChars="50" w:firstLine="420" w:firstLineChars="200"/>
        <w:contextualSpacing/>
        <w:rPr>
          <w:rFonts w:ascii="宋体" w:hAnsi="宋体" w:cs="宋体"/>
          <w:color w:val="auto"/>
          <w:highlight w:val="none"/>
        </w:rPr>
      </w:pPr>
      <w:r>
        <w:rPr>
          <w:rFonts w:hint="eastAsia" w:ascii="宋体" w:hAnsi="宋体" w:cs="宋体"/>
          <w:color w:val="auto"/>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shd w:val="clear"/>
        <w:spacing w:before="180" w:beforeLines="50" w:after="180" w:afterLines="50"/>
        <w:ind w:left="105" w:leftChars="50" w:firstLine="420" w:firstLineChars="200"/>
        <w:contextualSpacing/>
        <w:rPr>
          <w:rFonts w:ascii="宋体" w:hAnsi="宋体" w:cs="宋体"/>
          <w:color w:val="auto"/>
          <w:highlight w:val="none"/>
        </w:rPr>
      </w:pPr>
      <w:r>
        <w:rPr>
          <w:rFonts w:hint="eastAsia" w:ascii="宋体" w:hAnsi="宋体" w:cs="宋体"/>
          <w:color w:val="auto"/>
          <w:highlight w:val="none"/>
        </w:rPr>
        <w:t>4.甲方人员如违反阳光合作管理制度及本协议规定，甲方视情节轻重、影响大小给予行政及经济处罚。</w:t>
      </w:r>
    </w:p>
    <w:p>
      <w:pPr>
        <w:shd w:val="clear"/>
        <w:spacing w:before="180" w:beforeLines="50" w:after="180" w:afterLines="50"/>
        <w:ind w:left="105" w:leftChars="50" w:firstLine="420" w:firstLineChars="200"/>
        <w:contextualSpacing/>
        <w:rPr>
          <w:rFonts w:ascii="宋体" w:hAnsi="宋体" w:cs="宋体"/>
          <w:color w:val="auto"/>
          <w:highlight w:val="none"/>
        </w:rPr>
      </w:pPr>
      <w:r>
        <w:rPr>
          <w:rFonts w:hint="eastAsia" w:ascii="宋体" w:hAnsi="宋体" w:cs="宋体"/>
          <w:color w:val="auto"/>
          <w:highlight w:val="none"/>
        </w:rPr>
        <w:t>5．对于乙方举报甲方人员违反阳光合作规定的情况，甲方应及时进行调查，根据调查情况进行处理，并将调查结果向乙方反馈。</w:t>
      </w:r>
    </w:p>
    <w:p>
      <w:pPr>
        <w:shd w:val="clear"/>
        <w:spacing w:before="180" w:beforeLines="50" w:after="180" w:afterLines="50"/>
        <w:ind w:left="105" w:leftChars="50" w:firstLine="420" w:firstLineChars="200"/>
        <w:contextualSpacing/>
        <w:rPr>
          <w:rFonts w:ascii="宋体" w:hAnsi="宋体" w:cs="宋体"/>
          <w:color w:val="auto"/>
          <w:highlight w:val="none"/>
        </w:rPr>
      </w:pPr>
      <w:r>
        <w:rPr>
          <w:rFonts w:hint="eastAsia" w:ascii="宋体" w:hAnsi="宋体" w:cs="宋体"/>
          <w:color w:val="auto"/>
          <w:highlight w:val="none"/>
        </w:rPr>
        <w:t>6.接受举报的一方应为举报方保密，不得对举报方进行报复，对举报属实和严格遵守《阳光合作协议》的合作方，在同等条件下给予后续合作的优先权。</w:t>
      </w:r>
    </w:p>
    <w:p>
      <w:pPr>
        <w:shd w:val="clear"/>
        <w:spacing w:before="180" w:beforeLines="50" w:after="180" w:afterLines="50"/>
        <w:ind w:left="420" w:leftChars="200"/>
        <w:contextualSpacing/>
        <w:rPr>
          <w:rFonts w:ascii="宋体" w:hAnsi="宋体" w:cs="宋体"/>
          <w:b/>
          <w:color w:val="auto"/>
          <w:highlight w:val="none"/>
        </w:rPr>
      </w:pPr>
      <w:r>
        <w:rPr>
          <w:rFonts w:hint="eastAsia" w:ascii="宋体" w:hAnsi="宋体" w:cs="宋体"/>
          <w:b/>
          <w:color w:val="auto"/>
          <w:highlight w:val="none"/>
        </w:rPr>
        <w:t>二、乙方责任</w:t>
      </w:r>
    </w:p>
    <w:p>
      <w:pPr>
        <w:shd w:val="clear"/>
        <w:spacing w:before="180" w:beforeLines="50" w:after="180" w:afterLines="50"/>
        <w:ind w:left="105" w:leftChars="50" w:firstLine="420" w:firstLineChars="200"/>
        <w:contextualSpacing/>
        <w:rPr>
          <w:rFonts w:ascii="宋体" w:hAnsi="宋体" w:cs="宋体"/>
          <w:color w:val="auto"/>
          <w:highlight w:val="none"/>
        </w:rPr>
      </w:pPr>
      <w:r>
        <w:rPr>
          <w:rFonts w:hint="eastAsia" w:ascii="宋体" w:hAnsi="宋体" w:cs="宋体"/>
          <w:color w:val="auto"/>
          <w:highlight w:val="none"/>
        </w:rPr>
        <w:t>1.乙方应保证乙方人员了解甲方有关采购管理通用原则和及本协议的规定，并遵照执行。</w:t>
      </w:r>
    </w:p>
    <w:p>
      <w:pPr>
        <w:shd w:val="clear"/>
        <w:spacing w:before="180" w:beforeLines="50" w:after="180" w:afterLines="50"/>
        <w:ind w:left="105" w:leftChars="50" w:firstLine="420" w:firstLineChars="200"/>
        <w:contextualSpacing/>
        <w:rPr>
          <w:rFonts w:ascii="宋体" w:hAnsi="宋体" w:cs="宋体"/>
          <w:color w:val="auto"/>
          <w:highlight w:val="none"/>
        </w:rPr>
      </w:pPr>
      <w:r>
        <w:rPr>
          <w:rFonts w:hint="eastAsia" w:ascii="宋体" w:hAnsi="宋体" w:cs="宋体"/>
          <w:color w:val="auto"/>
          <w:highlight w:val="none"/>
        </w:rPr>
        <w:t>2.乙方不得以任何形式给予甲方人员回扣、赠送实物、现金、有价证券、礼券等有价物品或提供旅游等其他可能影响职务行为公正履行的活动（以下统称“财物”）。</w:t>
      </w:r>
    </w:p>
    <w:p>
      <w:pPr>
        <w:shd w:val="clear"/>
        <w:spacing w:before="180" w:beforeLines="50" w:after="180" w:afterLines="50"/>
        <w:ind w:left="105" w:leftChars="50" w:firstLine="420" w:firstLineChars="200"/>
        <w:contextualSpacing/>
        <w:rPr>
          <w:rFonts w:ascii="宋体" w:hAnsi="宋体" w:cs="宋体"/>
          <w:color w:val="auto"/>
          <w:highlight w:val="none"/>
        </w:rPr>
      </w:pPr>
      <w:r>
        <w:rPr>
          <w:rFonts w:hint="eastAsia" w:ascii="宋体" w:hAnsi="宋体" w:cs="宋体"/>
          <w:color w:val="auto"/>
          <w:highlight w:val="none"/>
        </w:rPr>
        <w:t>3.乙方有责任接受甲方对乙方在合作期间阳光合作管理执行情况的监督，并对甲方相关调查工作主动配合。</w:t>
      </w:r>
    </w:p>
    <w:p>
      <w:pPr>
        <w:shd w:val="clear"/>
        <w:spacing w:before="180" w:beforeLines="50" w:after="180" w:afterLines="50"/>
        <w:ind w:left="105" w:leftChars="50" w:firstLine="420" w:firstLineChars="200"/>
        <w:contextualSpacing/>
        <w:rPr>
          <w:rFonts w:ascii="宋体" w:hAnsi="宋体" w:cs="宋体"/>
          <w:color w:val="auto"/>
          <w:highlight w:val="none"/>
        </w:rPr>
      </w:pPr>
      <w:r>
        <w:rPr>
          <w:rFonts w:hint="eastAsia" w:ascii="宋体" w:hAnsi="宋体" w:cs="宋体"/>
          <w:color w:val="auto"/>
          <w:highlight w:val="none"/>
        </w:rPr>
        <w:t>4.乙方有义务就甲方人员任何形式的索取或收受财物行为及时向甲方（直接联系人为东莞实业投资控股集团有限公司法律合规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shd w:val="clear"/>
        <w:spacing w:before="180" w:beforeLines="50" w:after="180" w:afterLines="50"/>
        <w:ind w:left="105" w:leftChars="50" w:firstLine="420" w:firstLineChars="200"/>
        <w:contextualSpacing/>
        <w:rPr>
          <w:rFonts w:ascii="宋体" w:hAnsi="宋体" w:cs="宋体"/>
          <w:color w:val="auto"/>
          <w:highlight w:val="none"/>
        </w:rPr>
      </w:pPr>
      <w:r>
        <w:rPr>
          <w:rFonts w:hint="eastAsia" w:ascii="宋体" w:hAnsi="宋体" w:cs="宋体"/>
          <w:color w:val="auto"/>
          <w:highlight w:val="none"/>
        </w:rPr>
        <w:t xml:space="preserve">5．甲方接受乙方实名或匿名举报，保证为举报者的信息保密，常设举报部门及电话： </w:t>
      </w:r>
    </w:p>
    <w:p>
      <w:pPr>
        <w:shd w:val="clear"/>
        <w:spacing w:before="180" w:beforeLines="50" w:after="180" w:afterLines="50"/>
        <w:ind w:left="105" w:leftChars="50" w:firstLine="420" w:firstLineChars="200"/>
        <w:contextualSpacing/>
        <w:rPr>
          <w:rFonts w:ascii="宋体" w:hAnsi="宋体" w:cs="宋体"/>
          <w:color w:val="auto"/>
          <w:highlight w:val="none"/>
        </w:rPr>
      </w:pPr>
      <w:r>
        <w:rPr>
          <w:rFonts w:hint="eastAsia" w:ascii="宋体" w:hAnsi="宋体" w:cs="宋体"/>
          <w:color w:val="auto"/>
          <w:highlight w:val="none"/>
        </w:rPr>
        <w:t>举报受理部门：东莞实业投资控股集团有限公司法律合规部</w:t>
      </w:r>
    </w:p>
    <w:p>
      <w:pPr>
        <w:shd w:val="clear"/>
        <w:spacing w:before="180" w:beforeLines="50" w:after="180" w:afterLines="50"/>
        <w:ind w:left="105" w:leftChars="50" w:firstLine="420" w:firstLineChars="200"/>
        <w:contextualSpacing/>
        <w:rPr>
          <w:rFonts w:ascii="宋体" w:hAnsi="宋体" w:cs="宋体"/>
          <w:color w:val="auto"/>
          <w:highlight w:val="none"/>
        </w:rPr>
      </w:pPr>
      <w:r>
        <w:rPr>
          <w:rFonts w:hint="eastAsia" w:ascii="宋体" w:hAnsi="宋体" w:cs="宋体"/>
          <w:color w:val="auto"/>
          <w:highlight w:val="none"/>
        </w:rPr>
        <w:t>东实集团举报邮箱：dgsyxf@163.com</w:t>
      </w:r>
    </w:p>
    <w:p>
      <w:pPr>
        <w:shd w:val="clear"/>
        <w:spacing w:before="180" w:beforeLines="50" w:after="180" w:afterLines="50"/>
        <w:ind w:left="105" w:leftChars="50" w:firstLine="420" w:firstLineChars="200"/>
        <w:contextualSpacing/>
        <w:rPr>
          <w:rFonts w:ascii="宋体" w:hAnsi="宋体" w:cs="宋体"/>
          <w:color w:val="auto"/>
          <w:highlight w:val="none"/>
        </w:rPr>
      </w:pPr>
      <w:r>
        <w:rPr>
          <w:rFonts w:hint="eastAsia" w:ascii="宋体" w:hAnsi="宋体" w:cs="宋体"/>
          <w:color w:val="auto"/>
          <w:highlight w:val="none"/>
        </w:rPr>
        <w:t>东实集团举报电话：0769-28820703（周一至周五9:00-12:00和14:00-18:00）</w:t>
      </w:r>
    </w:p>
    <w:p>
      <w:pPr>
        <w:shd w:val="clear"/>
        <w:spacing w:before="180" w:beforeLines="50" w:after="180" w:afterLines="50"/>
        <w:ind w:left="105" w:leftChars="50" w:firstLine="420" w:firstLineChars="200"/>
        <w:contextualSpacing/>
        <w:rPr>
          <w:rFonts w:ascii="宋体" w:hAnsi="宋体" w:cs="宋体"/>
          <w:color w:val="auto"/>
          <w:highlight w:val="none"/>
        </w:rPr>
      </w:pPr>
      <w:r>
        <w:rPr>
          <w:rFonts w:hint="eastAsia" w:ascii="宋体" w:hAnsi="宋体" w:cs="宋体"/>
          <w:color w:val="auto"/>
          <w:highlight w:val="none"/>
        </w:rPr>
        <w:t>邮寄地址：东莞市东城区八一路1号机关二号大院9号楼，东莞实业投资控股集团有限公司法律合规部收，邮编523000。</w:t>
      </w:r>
    </w:p>
    <w:p>
      <w:pPr>
        <w:shd w:val="clear"/>
        <w:spacing w:before="180" w:beforeLines="50" w:after="180" w:afterLines="50"/>
        <w:ind w:left="420" w:leftChars="200"/>
        <w:contextualSpacing/>
        <w:rPr>
          <w:rFonts w:ascii="宋体" w:hAnsi="宋体" w:cs="宋体"/>
          <w:b/>
          <w:color w:val="auto"/>
          <w:highlight w:val="none"/>
        </w:rPr>
      </w:pPr>
      <w:r>
        <w:rPr>
          <w:rFonts w:hint="eastAsia" w:ascii="宋体" w:hAnsi="宋体" w:cs="宋体"/>
          <w:b/>
          <w:color w:val="auto"/>
          <w:highlight w:val="none"/>
        </w:rPr>
        <w:t>三、其他</w:t>
      </w:r>
    </w:p>
    <w:p>
      <w:pPr>
        <w:shd w:val="clear"/>
        <w:spacing w:before="180" w:beforeLines="50" w:after="180" w:afterLines="50"/>
        <w:ind w:left="105" w:leftChars="50" w:firstLine="420" w:firstLineChars="200"/>
        <w:contextualSpacing/>
        <w:rPr>
          <w:rFonts w:ascii="宋体" w:hAnsi="宋体" w:cs="宋体"/>
          <w:color w:val="auto"/>
          <w:highlight w:val="none"/>
        </w:rPr>
      </w:pPr>
      <w:r>
        <w:rPr>
          <w:rFonts w:hint="eastAsia" w:ascii="宋体" w:hAnsi="宋体" w:cs="宋体"/>
          <w:color w:val="auto"/>
          <w:highlight w:val="none"/>
        </w:rPr>
        <w:t>1.本协议是原合同的补充协议，与原合同有同等法律效力。</w:t>
      </w:r>
    </w:p>
    <w:p>
      <w:pPr>
        <w:shd w:val="clear"/>
        <w:spacing w:before="180" w:beforeLines="50" w:after="180" w:afterLines="50"/>
        <w:ind w:left="105" w:leftChars="50" w:firstLine="420" w:firstLineChars="200"/>
        <w:contextualSpacing/>
        <w:rPr>
          <w:rFonts w:ascii="宋体" w:hAnsi="宋体" w:cs="宋体"/>
          <w:color w:val="auto"/>
          <w:highlight w:val="none"/>
        </w:rPr>
      </w:pPr>
      <w:r>
        <w:rPr>
          <w:rFonts w:hint="eastAsia" w:ascii="宋体" w:hAnsi="宋体" w:cs="宋体"/>
          <w:color w:val="auto"/>
          <w:highlight w:val="none"/>
        </w:rPr>
        <w:t>2.本协议一式陆份，甲方执肆份，乙方执贰份,具有同等法律效力。</w:t>
      </w:r>
    </w:p>
    <w:p>
      <w:pPr>
        <w:shd w:val="clear"/>
        <w:spacing w:before="180" w:beforeLines="50" w:after="180" w:afterLines="50"/>
        <w:ind w:left="105" w:leftChars="50" w:firstLine="420" w:firstLineChars="200"/>
        <w:contextualSpacing/>
        <w:rPr>
          <w:rFonts w:ascii="宋体" w:hAnsi="宋体" w:cs="宋体"/>
          <w:color w:val="auto"/>
          <w:highlight w:val="none"/>
        </w:rPr>
      </w:pPr>
      <w:r>
        <w:rPr>
          <w:rFonts w:hint="eastAsia" w:ascii="宋体" w:hAnsi="宋体" w:cs="宋体"/>
          <w:color w:val="auto"/>
          <w:highlight w:val="none"/>
        </w:rPr>
        <w:t>3.本协议经双方签署后生效。</w:t>
      </w:r>
    </w:p>
    <w:p>
      <w:pPr>
        <w:shd w:val="clear"/>
        <w:spacing w:before="180" w:beforeLines="50" w:after="180" w:afterLines="50"/>
        <w:ind w:firstLine="420" w:firstLineChars="200"/>
        <w:contextualSpacing/>
        <w:rPr>
          <w:rFonts w:ascii="宋体" w:hAnsi="宋体" w:cs="宋体"/>
          <w:color w:val="auto"/>
          <w:highlight w:val="none"/>
        </w:rPr>
      </w:pPr>
    </w:p>
    <w:p>
      <w:pPr>
        <w:shd w:val="clear"/>
        <w:spacing w:before="180" w:beforeLines="50" w:after="180" w:afterLines="50"/>
        <w:ind w:firstLine="420" w:firstLineChars="200"/>
        <w:contextualSpacing/>
        <w:rPr>
          <w:rFonts w:ascii="宋体" w:hAnsi="宋体" w:cs="宋体"/>
          <w:color w:val="auto"/>
          <w:highlight w:val="none"/>
        </w:rPr>
      </w:pPr>
      <w:r>
        <w:rPr>
          <w:rFonts w:hint="eastAsia" w:ascii="宋体" w:hAnsi="宋体" w:cs="宋体"/>
          <w:color w:val="auto"/>
          <w:highlight w:val="none"/>
        </w:rPr>
        <w:t xml:space="preserve">甲方（盖章）：                     乙方（盖章）： </w:t>
      </w:r>
    </w:p>
    <w:p>
      <w:pPr>
        <w:shd w:val="clear"/>
        <w:spacing w:before="180" w:beforeLines="50" w:after="180" w:afterLines="50"/>
        <w:ind w:firstLine="420" w:firstLineChars="200"/>
        <w:contextualSpacing/>
        <w:rPr>
          <w:rFonts w:ascii="宋体" w:hAnsi="宋体" w:cs="宋体"/>
          <w:color w:val="auto"/>
          <w:highlight w:val="none"/>
        </w:rPr>
      </w:pPr>
    </w:p>
    <w:p>
      <w:pPr>
        <w:shd w:val="clear"/>
        <w:spacing w:before="180" w:beforeLines="50" w:after="180" w:afterLines="50"/>
        <w:ind w:firstLine="420" w:firstLineChars="200"/>
        <w:contextualSpacing/>
        <w:rPr>
          <w:rFonts w:ascii="宋体" w:hAnsi="宋体" w:cs="宋体"/>
          <w:color w:val="auto"/>
          <w:highlight w:val="none"/>
        </w:rPr>
      </w:pPr>
      <w:r>
        <w:rPr>
          <w:rFonts w:hint="eastAsia" w:ascii="宋体" w:hAnsi="宋体" w:cs="宋体"/>
          <w:color w:val="auto"/>
          <w:highlight w:val="none"/>
        </w:rPr>
        <w:t>法定代表人（授权代表）：</w:t>
      </w:r>
      <w:r>
        <w:rPr>
          <w:rFonts w:hint="eastAsia" w:ascii="宋体" w:hAnsi="宋体" w:cs="宋体"/>
          <w:color w:val="auto"/>
          <w:highlight w:val="none"/>
        </w:rPr>
        <w:tab/>
      </w:r>
      <w:r>
        <w:rPr>
          <w:rFonts w:hint="eastAsia" w:ascii="宋体" w:hAnsi="宋体" w:cs="宋体"/>
          <w:color w:val="auto"/>
          <w:highlight w:val="none"/>
        </w:rPr>
        <w:t xml:space="preserve">     法定代表人（授权代表）：</w:t>
      </w:r>
    </w:p>
    <w:p>
      <w:pPr>
        <w:shd w:val="clear"/>
        <w:spacing w:before="180" w:beforeLines="50" w:after="180" w:afterLines="50"/>
        <w:ind w:firstLine="420" w:firstLineChars="200"/>
        <w:contextualSpacing/>
        <w:rPr>
          <w:rFonts w:ascii="宋体" w:hAnsi="宋体" w:cs="宋体"/>
          <w:color w:val="auto"/>
          <w:highlight w:val="none"/>
        </w:rPr>
      </w:pPr>
    </w:p>
    <w:p>
      <w:pPr>
        <w:shd w:val="clear"/>
        <w:spacing w:before="180" w:beforeLines="50" w:after="180" w:afterLines="50"/>
        <w:ind w:firstLine="420" w:firstLineChars="200"/>
        <w:contextualSpacing/>
        <w:rPr>
          <w:rFonts w:ascii="宋体" w:hAnsi="宋体" w:cs="宋体"/>
          <w:color w:val="auto"/>
          <w:highlight w:val="none"/>
        </w:rPr>
      </w:pPr>
      <w:r>
        <w:rPr>
          <w:rFonts w:hint="eastAsia" w:ascii="宋体" w:hAnsi="宋体" w:cs="宋体"/>
          <w:color w:val="auto"/>
          <w:highlight w:val="none"/>
        </w:rPr>
        <w:t>签约日期： 2023  年   月   日</w:t>
      </w:r>
      <w:r>
        <w:rPr>
          <w:rFonts w:hint="eastAsia" w:ascii="宋体" w:hAnsi="宋体" w:cs="宋体"/>
          <w:color w:val="auto"/>
          <w:highlight w:val="none"/>
        </w:rPr>
        <w:tab/>
      </w:r>
      <w:r>
        <w:rPr>
          <w:rFonts w:hint="eastAsia" w:ascii="宋体" w:hAnsi="宋体" w:cs="宋体"/>
          <w:color w:val="auto"/>
          <w:highlight w:val="none"/>
        </w:rPr>
        <w:t xml:space="preserve">     签约日期：2023 年   月  日</w:t>
      </w:r>
    </w:p>
    <w:p>
      <w:pPr>
        <w:shd w:val="clear"/>
        <w:spacing w:line="240" w:lineRule="auto"/>
        <w:rPr>
          <w:rFonts w:ascii="宋体" w:hAnsi="宋体" w:cs="宋体"/>
          <w:color w:val="auto"/>
          <w:sz w:val="28"/>
          <w:szCs w:val="28"/>
          <w:highlight w:val="none"/>
        </w:rPr>
      </w:pPr>
    </w:p>
    <w:p>
      <w:pPr>
        <w:shd w:val="clear"/>
        <w:spacing w:line="240" w:lineRule="auto"/>
        <w:rPr>
          <w:rFonts w:ascii="宋体" w:hAnsi="宋体" w:cs="宋体"/>
          <w:color w:val="auto"/>
          <w:sz w:val="28"/>
          <w:szCs w:val="28"/>
          <w:highlight w:val="none"/>
        </w:rPr>
      </w:pPr>
    </w:p>
    <w:p>
      <w:pPr>
        <w:shd w:val="clear"/>
        <w:spacing w:line="240" w:lineRule="auto"/>
        <w:rPr>
          <w:rFonts w:ascii="宋体" w:hAnsi="宋体" w:cs="宋体"/>
          <w:color w:val="auto"/>
          <w:sz w:val="28"/>
          <w:szCs w:val="28"/>
          <w:highlight w:val="none"/>
        </w:rPr>
      </w:pPr>
    </w:p>
    <w:p>
      <w:pPr>
        <w:shd w:val="clear"/>
        <w:spacing w:line="240" w:lineRule="auto"/>
        <w:rPr>
          <w:rFonts w:ascii="宋体" w:hAnsi="宋体" w:cs="宋体"/>
          <w:color w:val="auto"/>
          <w:sz w:val="28"/>
          <w:szCs w:val="28"/>
          <w:highlight w:val="none"/>
        </w:rPr>
      </w:pPr>
    </w:p>
    <w:p>
      <w:pPr>
        <w:shd w:val="clear"/>
        <w:spacing w:line="240" w:lineRule="auto"/>
        <w:rPr>
          <w:rFonts w:ascii="宋体" w:hAnsi="宋体" w:cs="宋体"/>
          <w:color w:val="auto"/>
          <w:sz w:val="28"/>
          <w:szCs w:val="28"/>
          <w:highlight w:val="none"/>
        </w:rPr>
      </w:pPr>
    </w:p>
    <w:p>
      <w:pPr>
        <w:shd w:val="clear"/>
        <w:rPr>
          <w:rFonts w:ascii="宋体" w:hAnsi="宋体" w:cs="宋体"/>
          <w:color w:val="auto"/>
          <w:sz w:val="28"/>
          <w:szCs w:val="28"/>
          <w:highlight w:val="none"/>
        </w:rPr>
      </w:pPr>
    </w:p>
    <w:p>
      <w:pPr>
        <w:pStyle w:val="2"/>
        <w:shd w:val="clear"/>
        <w:rPr>
          <w:color w:val="auto"/>
          <w:sz w:val="28"/>
          <w:szCs w:val="28"/>
          <w:highlight w:val="none"/>
        </w:rPr>
      </w:pPr>
    </w:p>
    <w:p>
      <w:pPr>
        <w:pStyle w:val="27"/>
        <w:shd w:val="clear"/>
        <w:ind w:firstLine="280"/>
        <w:rPr>
          <w:color w:val="auto"/>
          <w:sz w:val="28"/>
          <w:szCs w:val="28"/>
          <w:highlight w:val="none"/>
        </w:rPr>
      </w:pPr>
    </w:p>
    <w:p>
      <w:pPr>
        <w:pStyle w:val="28"/>
        <w:shd w:val="clear"/>
        <w:ind w:firstLine="560"/>
        <w:rPr>
          <w:rFonts w:ascii="宋体" w:hAnsi="宋体"/>
          <w:color w:val="auto"/>
          <w:sz w:val="28"/>
          <w:szCs w:val="28"/>
          <w:highlight w:val="none"/>
        </w:rPr>
      </w:pPr>
    </w:p>
    <w:p>
      <w:pPr>
        <w:shd w:val="clear"/>
        <w:rPr>
          <w:rFonts w:ascii="宋体" w:hAnsi="宋体" w:cs="宋体"/>
          <w:color w:val="auto"/>
          <w:sz w:val="28"/>
          <w:szCs w:val="28"/>
          <w:highlight w:val="none"/>
        </w:rPr>
      </w:pPr>
    </w:p>
    <w:p>
      <w:pPr>
        <w:pStyle w:val="2"/>
        <w:shd w:val="clear"/>
        <w:rPr>
          <w:color w:val="auto"/>
          <w:highlight w:val="none"/>
        </w:rPr>
      </w:pPr>
    </w:p>
    <w:p>
      <w:pPr>
        <w:pStyle w:val="4"/>
        <w:shd w:val="clear"/>
        <w:spacing w:before="0" w:after="0" w:line="24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第六部分附件－投标文件格式</w:t>
      </w:r>
      <w:bookmarkEnd w:id="145"/>
    </w:p>
    <w:p>
      <w:pPr>
        <w:shd w:val="clear"/>
        <w:rPr>
          <w:rFonts w:ascii="宋体" w:hAnsi="宋体" w:cs="宋体"/>
          <w:color w:val="auto"/>
          <w:highlight w:val="none"/>
        </w:rPr>
      </w:pPr>
    </w:p>
    <w:p>
      <w:pPr>
        <w:pStyle w:val="6"/>
        <w:widowControl w:val="0"/>
        <w:shd w:val="clear"/>
        <w:overflowPunct w:val="0"/>
        <w:spacing w:line="240" w:lineRule="auto"/>
        <w:rPr>
          <w:rFonts w:ascii="宋体" w:hAnsi="宋体" w:cs="宋体"/>
          <w:color w:val="auto"/>
          <w:sz w:val="21"/>
          <w:szCs w:val="21"/>
          <w:highlight w:val="none"/>
        </w:rPr>
      </w:pPr>
      <w:bookmarkStart w:id="146" w:name="_Toc25786"/>
      <w:r>
        <w:rPr>
          <w:rFonts w:hint="eastAsia" w:ascii="宋体" w:hAnsi="宋体" w:cs="宋体"/>
          <w:color w:val="auto"/>
          <w:sz w:val="21"/>
          <w:szCs w:val="21"/>
          <w:highlight w:val="none"/>
        </w:rPr>
        <w:t>投标文件目录</w:t>
      </w:r>
      <w:bookmarkEnd w:id="146"/>
    </w:p>
    <w:p>
      <w:pPr>
        <w:shd w:val="clear"/>
        <w:jc w:val="center"/>
        <w:rPr>
          <w:rFonts w:ascii="宋体" w:hAnsi="宋体" w:cs="宋体"/>
          <w:color w:val="auto"/>
          <w:sz w:val="32"/>
          <w:szCs w:val="32"/>
          <w:highlight w:val="none"/>
        </w:rPr>
      </w:pPr>
    </w:p>
    <w:p>
      <w:pPr>
        <w:shd w:val="clear"/>
        <w:jc w:val="center"/>
        <w:rPr>
          <w:rFonts w:ascii="宋体" w:hAnsi="宋体" w:cs="宋体"/>
          <w:color w:val="auto"/>
          <w:sz w:val="32"/>
          <w:szCs w:val="32"/>
          <w:highlight w:val="none"/>
        </w:rPr>
      </w:pPr>
      <w:r>
        <w:rPr>
          <w:rFonts w:hint="eastAsia" w:ascii="宋体" w:hAnsi="宋体" w:cs="宋体"/>
          <w:color w:val="auto"/>
          <w:sz w:val="32"/>
          <w:szCs w:val="32"/>
          <w:highlight w:val="none"/>
        </w:rPr>
        <w:t>目录</w:t>
      </w:r>
    </w:p>
    <w:p>
      <w:pPr>
        <w:shd w:val="clear"/>
        <w:adjustRightInd/>
        <w:snapToGrid/>
        <w:spacing w:line="276" w:lineRule="auto"/>
        <w:rPr>
          <w:rFonts w:ascii="宋体" w:hAnsi="宋体" w:cs="宋体"/>
          <w:color w:val="auto"/>
          <w:szCs w:val="21"/>
          <w:highlight w:val="none"/>
        </w:rPr>
      </w:pPr>
      <w:r>
        <w:rPr>
          <w:rFonts w:hint="eastAsia" w:ascii="宋体" w:hAnsi="宋体" w:cs="宋体"/>
          <w:color w:val="auto"/>
          <w:szCs w:val="21"/>
          <w:highlight w:val="none"/>
        </w:rPr>
        <w:t>格式自理。</w:t>
      </w:r>
    </w:p>
    <w:p>
      <w:pPr>
        <w:shd w:val="clear"/>
        <w:adjustRightInd/>
        <w:snapToGrid/>
        <w:spacing w:line="276" w:lineRule="auto"/>
        <w:rPr>
          <w:rFonts w:ascii="宋体" w:hAnsi="宋体" w:cs="宋体"/>
          <w:color w:val="auto"/>
          <w:szCs w:val="21"/>
          <w:highlight w:val="none"/>
        </w:rPr>
      </w:pPr>
    </w:p>
    <w:p>
      <w:pPr>
        <w:shd w:val="clear"/>
        <w:adjustRightInd/>
        <w:snapToGrid/>
        <w:spacing w:line="276" w:lineRule="auto"/>
        <w:rPr>
          <w:rFonts w:ascii="宋体" w:hAnsi="宋体" w:cs="宋体"/>
          <w:color w:val="auto"/>
          <w:szCs w:val="21"/>
          <w:highlight w:val="none"/>
        </w:rPr>
      </w:pPr>
    </w:p>
    <w:p>
      <w:pPr>
        <w:shd w:val="clear"/>
        <w:adjustRightInd/>
        <w:snapToGrid/>
        <w:spacing w:line="276" w:lineRule="auto"/>
        <w:rPr>
          <w:rFonts w:ascii="宋体" w:hAnsi="宋体" w:cs="宋体"/>
          <w:color w:val="auto"/>
          <w:szCs w:val="21"/>
          <w:highlight w:val="none"/>
        </w:rPr>
      </w:pPr>
      <w:r>
        <w:rPr>
          <w:rFonts w:hint="eastAsia" w:ascii="宋体" w:hAnsi="宋体" w:cs="宋体"/>
          <w:color w:val="auto"/>
          <w:szCs w:val="21"/>
          <w:highlight w:val="none"/>
        </w:rPr>
        <w:t>注：</w:t>
      </w:r>
    </w:p>
    <w:p>
      <w:pPr>
        <w:shd w:val="clear"/>
        <w:adjustRightInd/>
        <w:snapToGrid/>
        <w:spacing w:line="276" w:lineRule="auto"/>
        <w:rPr>
          <w:rFonts w:ascii="宋体" w:hAnsi="宋体" w:cs="宋体"/>
          <w:color w:val="auto"/>
          <w:szCs w:val="21"/>
          <w:highlight w:val="none"/>
        </w:rPr>
      </w:pPr>
      <w:r>
        <w:rPr>
          <w:rFonts w:hint="eastAsia" w:ascii="宋体" w:hAnsi="宋体" w:cs="宋体"/>
          <w:color w:val="auto"/>
          <w:szCs w:val="21"/>
          <w:highlight w:val="none"/>
        </w:rPr>
        <w:t>1、投标人制作的投标文件应当具备目录。</w:t>
      </w:r>
      <w:r>
        <w:rPr>
          <w:rFonts w:hint="eastAsia" w:ascii="宋体" w:hAnsi="宋体" w:cs="宋体"/>
          <w:color w:val="auto"/>
          <w:szCs w:val="21"/>
          <w:highlight w:val="none"/>
        </w:rPr>
        <w:br w:type="page"/>
      </w:r>
    </w:p>
    <w:p>
      <w:pPr>
        <w:shd w:val="clear"/>
        <w:jc w:val="center"/>
        <w:rPr>
          <w:rFonts w:ascii="宋体" w:hAnsi="宋体" w:cs="宋体"/>
          <w:color w:val="auto"/>
          <w:sz w:val="52"/>
          <w:szCs w:val="52"/>
          <w:highlight w:val="none"/>
        </w:rPr>
      </w:pPr>
      <w:bookmarkStart w:id="147" w:name="_Toc30918"/>
      <w:bookmarkStart w:id="148" w:name="_Toc18450"/>
      <w:bookmarkStart w:id="149" w:name="_Toc21746"/>
      <w:bookmarkStart w:id="150" w:name="_Toc28154"/>
      <w:bookmarkStart w:id="151" w:name="_Toc20335"/>
    </w:p>
    <w:p>
      <w:pPr>
        <w:pStyle w:val="4"/>
        <w:shd w:val="clear"/>
        <w:spacing w:before="0" w:after="0" w:line="360" w:lineRule="auto"/>
        <w:jc w:val="center"/>
        <w:rPr>
          <w:rFonts w:ascii="宋体" w:hAnsi="宋体" w:eastAsia="宋体" w:cs="宋体"/>
          <w:color w:val="auto"/>
          <w:sz w:val="72"/>
          <w:szCs w:val="72"/>
          <w:highlight w:val="none"/>
        </w:rPr>
      </w:pPr>
      <w:bookmarkStart w:id="152" w:name="_Toc9213"/>
      <w:r>
        <w:rPr>
          <w:rFonts w:hint="eastAsia" w:ascii="宋体" w:hAnsi="宋体" w:eastAsia="宋体" w:cs="宋体"/>
          <w:color w:val="auto"/>
          <w:sz w:val="72"/>
          <w:szCs w:val="72"/>
          <w:highlight w:val="none"/>
        </w:rPr>
        <w:t>价格文件</w:t>
      </w:r>
      <w:bookmarkEnd w:id="147"/>
      <w:bookmarkEnd w:id="148"/>
      <w:bookmarkEnd w:id="152"/>
      <w:bookmarkStart w:id="153" w:name="_Hlt10456397"/>
      <w:bookmarkEnd w:id="153"/>
      <w:bookmarkStart w:id="154" w:name="_Hlt10519799"/>
      <w:bookmarkEnd w:id="154"/>
    </w:p>
    <w:p>
      <w:pPr>
        <w:shd w:val="clear"/>
        <w:jc w:val="center"/>
        <w:rPr>
          <w:rFonts w:ascii="宋体" w:hAnsi="宋体" w:cs="宋体"/>
          <w:color w:val="auto"/>
          <w:sz w:val="72"/>
          <w:szCs w:val="72"/>
          <w:highlight w:val="none"/>
        </w:rPr>
      </w:pPr>
      <w:r>
        <w:rPr>
          <w:rFonts w:hint="eastAsia" w:ascii="宋体" w:hAnsi="宋体" w:cs="宋体"/>
          <w:color w:val="auto"/>
          <w:sz w:val="72"/>
          <w:szCs w:val="72"/>
          <w:highlight w:val="none"/>
        </w:rPr>
        <w:t>（单独装订成册）</w:t>
      </w:r>
      <w:bookmarkEnd w:id="149"/>
      <w:bookmarkEnd w:id="150"/>
      <w:bookmarkEnd w:id="151"/>
    </w:p>
    <w:p>
      <w:pPr>
        <w:shd w:val="clear"/>
        <w:rPr>
          <w:rFonts w:ascii="宋体" w:hAnsi="宋体" w:cs="宋体"/>
          <w:color w:val="auto"/>
          <w:highlight w:val="none"/>
        </w:rPr>
      </w:pPr>
    </w:p>
    <w:p>
      <w:pPr>
        <w:pStyle w:val="2"/>
        <w:shd w:val="clear"/>
        <w:rPr>
          <w:color w:val="auto"/>
          <w:highlight w:val="none"/>
        </w:rPr>
      </w:pPr>
    </w:p>
    <w:p>
      <w:pPr>
        <w:pStyle w:val="27"/>
        <w:shd w:val="clear"/>
        <w:spacing w:before="0" w:after="0"/>
        <w:ind w:left="0" w:firstLine="240"/>
        <w:rPr>
          <w:color w:val="auto"/>
          <w:highlight w:val="none"/>
        </w:rPr>
      </w:pPr>
    </w:p>
    <w:p>
      <w:pPr>
        <w:shd w:val="clear"/>
        <w:rPr>
          <w:rFonts w:ascii="宋体" w:hAnsi="宋体" w:cs="宋体"/>
          <w:b/>
          <w:bCs/>
          <w:color w:val="auto"/>
          <w:sz w:val="32"/>
          <w:szCs w:val="32"/>
          <w:highlight w:val="none"/>
        </w:rPr>
      </w:pPr>
      <w:r>
        <w:rPr>
          <w:rFonts w:hint="eastAsia" w:ascii="宋体" w:hAnsi="宋体" w:cs="宋体"/>
          <w:b/>
          <w:bCs/>
          <w:color w:val="auto"/>
          <w:spacing w:val="0"/>
          <w:kern w:val="0"/>
          <w:sz w:val="32"/>
          <w:szCs w:val="32"/>
          <w:highlight w:val="none"/>
          <w:fitText w:val="1600" w:id="792610253"/>
        </w:rPr>
        <w:t>项目名称：</w:t>
      </w:r>
    </w:p>
    <w:p>
      <w:pPr>
        <w:shd w:val="clear"/>
        <w:rPr>
          <w:rFonts w:ascii="宋体" w:hAnsi="宋体" w:cs="宋体"/>
          <w:b/>
          <w:bCs/>
          <w:color w:val="auto"/>
          <w:spacing w:val="7"/>
          <w:w w:val="83"/>
          <w:sz w:val="32"/>
          <w:szCs w:val="32"/>
          <w:highlight w:val="none"/>
        </w:rPr>
      </w:pPr>
      <w:r>
        <w:rPr>
          <w:rFonts w:hint="eastAsia" w:ascii="宋体" w:hAnsi="宋体" w:cs="宋体"/>
          <w:b/>
          <w:bCs/>
          <w:color w:val="auto"/>
          <w:spacing w:val="0"/>
          <w:kern w:val="0"/>
          <w:sz w:val="32"/>
          <w:szCs w:val="32"/>
          <w:highlight w:val="none"/>
          <w:fitText w:val="1600" w:id="1"/>
        </w:rPr>
        <w:t>项目编号：</w:t>
      </w:r>
    </w:p>
    <w:p>
      <w:pPr>
        <w:pStyle w:val="25"/>
        <w:widowControl/>
        <w:shd w:val="clear"/>
        <w:adjustRightInd w:val="0"/>
        <w:snapToGrid w:val="0"/>
        <w:jc w:val="left"/>
        <w:rPr>
          <w:rFonts w:ascii="宋体" w:hAnsi="宋体" w:cs="宋体"/>
          <w:b/>
          <w:color w:val="auto"/>
          <w:spacing w:val="1280"/>
          <w:kern w:val="0"/>
          <w:sz w:val="32"/>
          <w:szCs w:val="32"/>
          <w:highlight w:val="none"/>
        </w:rPr>
      </w:pPr>
      <w:r>
        <w:rPr>
          <w:rFonts w:hint="eastAsia" w:ascii="宋体" w:hAnsi="宋体" w:cs="宋体"/>
          <w:b/>
          <w:color w:val="auto"/>
          <w:spacing w:val="160"/>
          <w:kern w:val="0"/>
          <w:sz w:val="32"/>
          <w:szCs w:val="32"/>
          <w:highlight w:val="none"/>
          <w:fitText w:val="1600" w:id="2"/>
          <w:lang w:bidi="ar"/>
        </w:rPr>
        <w:t>包组</w:t>
      </w:r>
      <w:r>
        <w:rPr>
          <w:rFonts w:hint="eastAsia" w:ascii="宋体" w:hAnsi="宋体" w:cs="宋体"/>
          <w:b/>
          <w:color w:val="auto"/>
          <w:spacing w:val="0"/>
          <w:kern w:val="0"/>
          <w:sz w:val="32"/>
          <w:szCs w:val="32"/>
          <w:highlight w:val="none"/>
          <w:fitText w:val="1600" w:id="2"/>
          <w:lang w:bidi="ar"/>
        </w:rPr>
        <w:t>号</w:t>
      </w:r>
      <w:r>
        <w:rPr>
          <w:rFonts w:hint="eastAsia" w:ascii="宋体" w:hAnsi="宋体" w:cs="宋体"/>
          <w:b/>
          <w:color w:val="auto"/>
          <w:spacing w:val="106"/>
          <w:kern w:val="0"/>
          <w:sz w:val="32"/>
          <w:szCs w:val="32"/>
          <w:highlight w:val="none"/>
          <w:lang w:bidi="ar"/>
        </w:rPr>
        <w:t>（如有）：</w:t>
      </w:r>
    </w:p>
    <w:p>
      <w:pPr>
        <w:shd w:val="clear"/>
        <w:rPr>
          <w:rFonts w:ascii="宋体" w:hAnsi="宋体" w:cs="宋体"/>
          <w:b/>
          <w:color w:val="auto"/>
          <w:sz w:val="32"/>
          <w:szCs w:val="32"/>
          <w:highlight w:val="none"/>
        </w:rPr>
      </w:pPr>
      <w:r>
        <w:rPr>
          <w:rFonts w:hint="eastAsia" w:ascii="宋体" w:hAnsi="宋体" w:cs="宋体"/>
          <w:b/>
          <w:color w:val="auto"/>
          <w:spacing w:val="0"/>
          <w:w w:val="83"/>
          <w:kern w:val="0"/>
          <w:sz w:val="32"/>
          <w:szCs w:val="32"/>
          <w:highlight w:val="none"/>
          <w:fitText w:val="1600" w:id="3"/>
        </w:rPr>
        <w:t>投标人名称：</w:t>
      </w:r>
    </w:p>
    <w:p>
      <w:pPr>
        <w:shd w:val="clear"/>
        <w:rPr>
          <w:rFonts w:ascii="宋体" w:hAnsi="宋体" w:cs="宋体"/>
          <w:b/>
          <w:color w:val="auto"/>
          <w:spacing w:val="1"/>
          <w:w w:val="88"/>
          <w:sz w:val="32"/>
          <w:szCs w:val="32"/>
          <w:highlight w:val="none"/>
        </w:rPr>
      </w:pPr>
      <w:r>
        <w:rPr>
          <w:rFonts w:hint="eastAsia" w:ascii="宋体" w:hAnsi="宋体" w:cs="宋体"/>
          <w:b/>
          <w:color w:val="auto"/>
          <w:spacing w:val="7"/>
          <w:kern w:val="0"/>
          <w:sz w:val="32"/>
          <w:szCs w:val="32"/>
          <w:highlight w:val="none"/>
          <w:fitText w:val="1600" w:id="4"/>
        </w:rPr>
        <w:t xml:space="preserve">日   </w:t>
      </w:r>
      <w:r>
        <w:rPr>
          <w:rFonts w:hint="eastAsia" w:ascii="宋体" w:hAnsi="宋体" w:cs="宋体"/>
          <w:b/>
          <w:color w:val="auto"/>
          <w:spacing w:val="7"/>
          <w:w w:val="88"/>
          <w:kern w:val="0"/>
          <w:sz w:val="32"/>
          <w:szCs w:val="32"/>
          <w:highlight w:val="none"/>
          <w:fitText w:val="1600" w:id="4"/>
        </w:rPr>
        <w:t xml:space="preserve"> 期</w:t>
      </w:r>
      <w:r>
        <w:rPr>
          <w:rFonts w:hint="eastAsia" w:ascii="宋体" w:hAnsi="宋体" w:cs="宋体"/>
          <w:b/>
          <w:color w:val="auto"/>
          <w:spacing w:val="5"/>
          <w:w w:val="88"/>
          <w:kern w:val="0"/>
          <w:sz w:val="32"/>
          <w:szCs w:val="32"/>
          <w:highlight w:val="none"/>
          <w:fitText w:val="1600" w:id="4"/>
        </w:rPr>
        <w:t>：</w:t>
      </w:r>
    </w:p>
    <w:p>
      <w:pPr>
        <w:shd w:val="clear"/>
        <w:rPr>
          <w:rFonts w:ascii="宋体" w:hAnsi="宋体" w:cs="宋体"/>
          <w:color w:val="auto"/>
          <w:spacing w:val="1"/>
          <w:w w:val="88"/>
          <w:highlight w:val="none"/>
        </w:rPr>
      </w:pPr>
    </w:p>
    <w:p>
      <w:pPr>
        <w:pStyle w:val="2"/>
        <w:shd w:val="clear"/>
        <w:rPr>
          <w:color w:val="auto"/>
          <w:spacing w:val="1"/>
          <w:w w:val="88"/>
          <w:highlight w:val="none"/>
        </w:rPr>
      </w:pPr>
    </w:p>
    <w:p>
      <w:pPr>
        <w:pStyle w:val="27"/>
        <w:shd w:val="clear"/>
        <w:ind w:firstLine="206"/>
        <w:rPr>
          <w:color w:val="auto"/>
          <w:spacing w:val="-2"/>
          <w:w w:val="88"/>
          <w:highlight w:val="none"/>
        </w:rPr>
      </w:pPr>
    </w:p>
    <w:p>
      <w:pPr>
        <w:pStyle w:val="22"/>
        <w:shd w:val="clear"/>
        <w:rPr>
          <w:rFonts w:ascii="宋体" w:hAnsi="宋体" w:cs="宋体"/>
          <w:color w:val="auto"/>
          <w:highlight w:val="none"/>
        </w:rPr>
      </w:pPr>
    </w:p>
    <w:p>
      <w:pPr>
        <w:shd w:val="clear"/>
        <w:rPr>
          <w:rFonts w:ascii="宋体" w:hAnsi="宋体" w:cs="宋体"/>
          <w:color w:val="auto"/>
          <w:highlight w:val="none"/>
        </w:rPr>
      </w:pPr>
    </w:p>
    <w:p>
      <w:pPr>
        <w:pStyle w:val="2"/>
        <w:shd w:val="clear"/>
        <w:rPr>
          <w:color w:val="auto"/>
          <w:highlight w:val="none"/>
        </w:rPr>
      </w:pPr>
    </w:p>
    <w:p>
      <w:pPr>
        <w:pStyle w:val="27"/>
        <w:shd w:val="clear"/>
        <w:ind w:firstLine="240"/>
        <w:rPr>
          <w:color w:val="auto"/>
          <w:highlight w:val="none"/>
        </w:rPr>
      </w:pPr>
    </w:p>
    <w:p>
      <w:pPr>
        <w:pStyle w:val="22"/>
        <w:shd w:val="clear"/>
        <w:rPr>
          <w:rFonts w:ascii="宋体" w:hAnsi="宋体" w:cs="宋体"/>
          <w:color w:val="auto"/>
          <w:highlight w:val="none"/>
        </w:rPr>
      </w:pPr>
    </w:p>
    <w:p>
      <w:pPr>
        <w:pStyle w:val="22"/>
        <w:shd w:val="clear"/>
        <w:ind w:left="0"/>
        <w:rPr>
          <w:rFonts w:ascii="宋体" w:hAnsi="宋体" w:cs="宋体"/>
          <w:color w:val="auto"/>
          <w:highlight w:val="none"/>
        </w:rPr>
      </w:pPr>
    </w:p>
    <w:p>
      <w:pPr>
        <w:shd w:val="clear"/>
        <w:rPr>
          <w:rFonts w:ascii="宋体" w:hAnsi="宋体" w:cs="宋体"/>
          <w:color w:val="auto"/>
          <w:szCs w:val="21"/>
          <w:highlight w:val="none"/>
        </w:rPr>
      </w:pPr>
      <w:r>
        <w:rPr>
          <w:rFonts w:hint="eastAsia" w:ascii="宋体" w:hAnsi="宋体" w:cs="宋体"/>
          <w:color w:val="auto"/>
          <w:szCs w:val="21"/>
          <w:highlight w:val="none"/>
        </w:rPr>
        <w:br w:type="page"/>
      </w:r>
    </w:p>
    <w:p>
      <w:pPr>
        <w:pStyle w:val="6"/>
        <w:widowControl w:val="0"/>
        <w:shd w:val="clear"/>
        <w:overflowPunct w:val="0"/>
        <w:spacing w:line="240" w:lineRule="auto"/>
        <w:rPr>
          <w:rFonts w:ascii="宋体" w:hAnsi="宋体" w:cs="宋体"/>
          <w:color w:val="auto"/>
          <w:sz w:val="21"/>
          <w:szCs w:val="21"/>
          <w:highlight w:val="none"/>
        </w:rPr>
      </w:pPr>
      <w:bookmarkStart w:id="155" w:name="_Toc1232"/>
      <w:r>
        <w:rPr>
          <w:rFonts w:hint="eastAsia" w:ascii="宋体" w:hAnsi="宋体" w:cs="宋体"/>
          <w:color w:val="auto"/>
          <w:sz w:val="21"/>
          <w:szCs w:val="21"/>
          <w:highlight w:val="none"/>
        </w:rPr>
        <w:t>附件2.开标一览表格式</w:t>
      </w:r>
      <w:bookmarkEnd w:id="155"/>
    </w:p>
    <w:p>
      <w:pPr>
        <w:shd w:val="clear"/>
        <w:jc w:val="center"/>
        <w:rPr>
          <w:rFonts w:ascii="宋体" w:hAnsi="宋体" w:cs="宋体"/>
          <w:color w:val="auto"/>
          <w:sz w:val="32"/>
          <w:szCs w:val="32"/>
          <w:highlight w:val="none"/>
        </w:rPr>
      </w:pPr>
      <w:r>
        <w:rPr>
          <w:rFonts w:hint="eastAsia" w:ascii="宋体" w:hAnsi="宋体" w:cs="宋体"/>
          <w:color w:val="auto"/>
          <w:sz w:val="32"/>
          <w:szCs w:val="32"/>
          <w:highlight w:val="none"/>
        </w:rPr>
        <w:t>开标一览表</w:t>
      </w:r>
    </w:p>
    <w:p>
      <w:pPr>
        <w:shd w:val="clear"/>
        <w:rPr>
          <w:rFonts w:ascii="宋体" w:hAnsi="宋体" w:cs="宋体"/>
          <w:color w:val="auto"/>
          <w:highlight w:val="none"/>
        </w:rPr>
      </w:pPr>
    </w:p>
    <w:p>
      <w:pPr>
        <w:shd w:val="clear"/>
        <w:rPr>
          <w:rFonts w:ascii="宋体" w:hAnsi="宋体" w:cs="宋体"/>
          <w:color w:val="auto"/>
          <w:szCs w:val="21"/>
          <w:highlight w:val="none"/>
        </w:rPr>
      </w:pPr>
      <w:r>
        <w:rPr>
          <w:rFonts w:hint="eastAsia" w:ascii="宋体" w:hAnsi="宋体" w:cs="宋体"/>
          <w:color w:val="auto"/>
          <w:szCs w:val="21"/>
          <w:highlight w:val="none"/>
        </w:rPr>
        <w:t>投标人名称：</w:t>
      </w:r>
    </w:p>
    <w:p>
      <w:pPr>
        <w:shd w:val="clear"/>
        <w:rPr>
          <w:rFonts w:ascii="宋体" w:hAnsi="宋体" w:cs="宋体"/>
          <w:color w:val="auto"/>
          <w:highlight w:val="none"/>
        </w:rPr>
      </w:pPr>
      <w:r>
        <w:rPr>
          <w:rFonts w:hint="eastAsia" w:ascii="宋体" w:hAnsi="宋体" w:cs="宋体"/>
          <w:color w:val="auto"/>
          <w:szCs w:val="21"/>
          <w:highlight w:val="none"/>
        </w:rPr>
        <w:t>采购项目编号：</w:t>
      </w:r>
    </w:p>
    <w:tbl>
      <w:tblPr>
        <w:tblStyle w:val="30"/>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1940"/>
        <w:gridCol w:w="1401"/>
        <w:gridCol w:w="1401"/>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681" w:type="dxa"/>
            <w:vAlign w:val="center"/>
          </w:tcPr>
          <w:p>
            <w:pPr>
              <w:shd w:val="clear"/>
              <w:spacing w:line="240" w:lineRule="auto"/>
              <w:jc w:val="center"/>
              <w:rPr>
                <w:rFonts w:ascii="宋体" w:hAnsi="宋体" w:cs="宋体"/>
                <w:color w:val="auto"/>
                <w:kern w:val="28"/>
                <w:szCs w:val="21"/>
                <w:highlight w:val="none"/>
              </w:rPr>
            </w:pPr>
            <w:r>
              <w:rPr>
                <w:rFonts w:hint="eastAsia" w:ascii="宋体" w:hAnsi="宋体" w:cs="宋体"/>
                <w:color w:val="auto"/>
                <w:szCs w:val="21"/>
                <w:highlight w:val="none"/>
              </w:rPr>
              <w:t>项目名称</w:t>
            </w:r>
          </w:p>
        </w:tc>
        <w:tc>
          <w:tcPr>
            <w:tcW w:w="1940" w:type="dxa"/>
            <w:vAlign w:val="center"/>
          </w:tcPr>
          <w:p>
            <w:pPr>
              <w:shd w:val="clea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含税投标总价（元）</w:t>
            </w:r>
          </w:p>
        </w:tc>
        <w:tc>
          <w:tcPr>
            <w:tcW w:w="1401" w:type="dxa"/>
            <w:vAlign w:val="center"/>
          </w:tcPr>
          <w:p>
            <w:pPr>
              <w:shd w:val="clea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税率</w:t>
            </w:r>
          </w:p>
        </w:tc>
        <w:tc>
          <w:tcPr>
            <w:tcW w:w="1401" w:type="dxa"/>
            <w:vAlign w:val="center"/>
          </w:tcPr>
          <w:p>
            <w:pPr>
              <w:shd w:val="clea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服务期</w:t>
            </w:r>
          </w:p>
        </w:tc>
        <w:tc>
          <w:tcPr>
            <w:tcW w:w="2096" w:type="dxa"/>
            <w:vAlign w:val="center"/>
          </w:tcPr>
          <w:p>
            <w:pPr>
              <w:shd w:val="clea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681" w:type="dxa"/>
            <w:vAlign w:val="center"/>
          </w:tcPr>
          <w:p>
            <w:pPr>
              <w:shd w:val="clea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广东省东实环境股份有限公司餐厨项目环境监测</w:t>
            </w:r>
          </w:p>
        </w:tc>
        <w:tc>
          <w:tcPr>
            <w:tcW w:w="1940" w:type="dxa"/>
            <w:vAlign w:val="center"/>
          </w:tcPr>
          <w:p>
            <w:pPr>
              <w:shd w:val="clea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小写：</w:t>
            </w:r>
          </w:p>
          <w:p>
            <w:pPr>
              <w:shd w:val="clea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大写：</w:t>
            </w:r>
          </w:p>
        </w:tc>
        <w:tc>
          <w:tcPr>
            <w:tcW w:w="1401" w:type="dxa"/>
            <w:vAlign w:val="center"/>
          </w:tcPr>
          <w:p>
            <w:pPr>
              <w:pStyle w:val="65"/>
              <w:shd w:val="clear"/>
              <w:jc w:val="center"/>
              <w:rPr>
                <w:rFonts w:hAnsi="宋体"/>
                <w:color w:val="auto"/>
                <w:sz w:val="21"/>
                <w:szCs w:val="21"/>
                <w:highlight w:val="none"/>
              </w:rPr>
            </w:pPr>
          </w:p>
        </w:tc>
        <w:tc>
          <w:tcPr>
            <w:tcW w:w="1401" w:type="dxa"/>
            <w:vAlign w:val="center"/>
          </w:tcPr>
          <w:p>
            <w:pPr>
              <w:pStyle w:val="65"/>
              <w:shd w:val="clear"/>
              <w:jc w:val="center"/>
              <w:rPr>
                <w:rFonts w:hAnsi="宋体"/>
                <w:color w:val="auto"/>
                <w:sz w:val="21"/>
                <w:szCs w:val="21"/>
                <w:highlight w:val="none"/>
              </w:rPr>
            </w:pPr>
            <w:r>
              <w:rPr>
                <w:rFonts w:hint="eastAsia" w:hAnsi="宋体"/>
                <w:color w:val="auto"/>
                <w:sz w:val="21"/>
                <w:szCs w:val="21"/>
                <w:highlight w:val="none"/>
              </w:rPr>
              <w:t xml:space="preserve"> </w:t>
            </w:r>
          </w:p>
        </w:tc>
        <w:tc>
          <w:tcPr>
            <w:tcW w:w="2096" w:type="dxa"/>
            <w:vAlign w:val="center"/>
          </w:tcPr>
          <w:p>
            <w:pPr>
              <w:pStyle w:val="65"/>
              <w:shd w:val="clea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681" w:type="dxa"/>
            <w:vAlign w:val="center"/>
          </w:tcPr>
          <w:p>
            <w:pPr>
              <w:shd w:val="clear"/>
              <w:spacing w:line="240" w:lineRule="auto"/>
              <w:jc w:val="center"/>
              <w:rPr>
                <w:rFonts w:ascii="宋体" w:hAnsi="宋体" w:cs="宋体"/>
                <w:color w:val="auto"/>
                <w:szCs w:val="21"/>
                <w:highlight w:val="none"/>
              </w:rPr>
            </w:pPr>
            <w:r>
              <w:rPr>
                <w:rFonts w:hint="eastAsia" w:ascii="宋体" w:hAnsi="宋体" w:cs="宋体"/>
                <w:color w:val="auto"/>
                <w:szCs w:val="21"/>
                <w:highlight w:val="none"/>
              </w:rPr>
              <w:t>东莞市新东欣环保投资有限公司绿色工业服务项目环境监测</w:t>
            </w:r>
          </w:p>
        </w:tc>
        <w:tc>
          <w:tcPr>
            <w:tcW w:w="1940" w:type="dxa"/>
            <w:vAlign w:val="center"/>
          </w:tcPr>
          <w:p>
            <w:pPr>
              <w:shd w:val="clea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小写：</w:t>
            </w:r>
          </w:p>
          <w:p>
            <w:pPr>
              <w:shd w:val="clea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大写：</w:t>
            </w:r>
          </w:p>
        </w:tc>
        <w:tc>
          <w:tcPr>
            <w:tcW w:w="1401" w:type="dxa"/>
            <w:vAlign w:val="center"/>
          </w:tcPr>
          <w:p>
            <w:pPr>
              <w:pStyle w:val="65"/>
              <w:shd w:val="clear"/>
              <w:jc w:val="center"/>
              <w:rPr>
                <w:rFonts w:hAnsi="宋体"/>
                <w:color w:val="auto"/>
                <w:sz w:val="21"/>
                <w:szCs w:val="21"/>
                <w:highlight w:val="none"/>
              </w:rPr>
            </w:pPr>
          </w:p>
        </w:tc>
        <w:tc>
          <w:tcPr>
            <w:tcW w:w="1401" w:type="dxa"/>
            <w:vAlign w:val="center"/>
          </w:tcPr>
          <w:p>
            <w:pPr>
              <w:pStyle w:val="65"/>
              <w:shd w:val="clear"/>
              <w:jc w:val="center"/>
              <w:rPr>
                <w:rFonts w:hAnsi="宋体"/>
                <w:color w:val="auto"/>
                <w:sz w:val="21"/>
                <w:szCs w:val="21"/>
                <w:highlight w:val="none"/>
              </w:rPr>
            </w:pPr>
          </w:p>
        </w:tc>
        <w:tc>
          <w:tcPr>
            <w:tcW w:w="2096" w:type="dxa"/>
            <w:vAlign w:val="center"/>
          </w:tcPr>
          <w:p>
            <w:pPr>
              <w:pStyle w:val="65"/>
              <w:shd w:val="clea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681" w:type="dxa"/>
            <w:vAlign w:val="center"/>
          </w:tcPr>
          <w:p>
            <w:pPr>
              <w:shd w:val="clea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广东东实环境股份有限公司海心沙环保热电厂项目环境监测服务</w:t>
            </w:r>
          </w:p>
        </w:tc>
        <w:tc>
          <w:tcPr>
            <w:tcW w:w="1940" w:type="dxa"/>
            <w:vAlign w:val="center"/>
          </w:tcPr>
          <w:p>
            <w:pPr>
              <w:shd w:val="clea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小写：</w:t>
            </w:r>
          </w:p>
          <w:p>
            <w:pPr>
              <w:shd w:val="clea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大写：</w:t>
            </w:r>
          </w:p>
        </w:tc>
        <w:tc>
          <w:tcPr>
            <w:tcW w:w="1401" w:type="dxa"/>
            <w:vAlign w:val="center"/>
          </w:tcPr>
          <w:p>
            <w:pPr>
              <w:pStyle w:val="65"/>
              <w:shd w:val="clear"/>
              <w:jc w:val="center"/>
              <w:rPr>
                <w:rFonts w:hAnsi="宋体"/>
                <w:color w:val="auto"/>
                <w:sz w:val="21"/>
                <w:szCs w:val="21"/>
                <w:highlight w:val="none"/>
              </w:rPr>
            </w:pPr>
          </w:p>
        </w:tc>
        <w:tc>
          <w:tcPr>
            <w:tcW w:w="1401" w:type="dxa"/>
            <w:vAlign w:val="center"/>
          </w:tcPr>
          <w:p>
            <w:pPr>
              <w:pStyle w:val="65"/>
              <w:shd w:val="clear"/>
              <w:jc w:val="center"/>
              <w:rPr>
                <w:rFonts w:hAnsi="宋体"/>
                <w:color w:val="auto"/>
                <w:sz w:val="21"/>
                <w:szCs w:val="21"/>
                <w:highlight w:val="none"/>
              </w:rPr>
            </w:pPr>
          </w:p>
        </w:tc>
        <w:tc>
          <w:tcPr>
            <w:tcW w:w="2096" w:type="dxa"/>
            <w:vAlign w:val="center"/>
          </w:tcPr>
          <w:p>
            <w:pPr>
              <w:pStyle w:val="65"/>
              <w:shd w:val="clea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8519" w:type="dxa"/>
            <w:gridSpan w:val="5"/>
            <w:vAlign w:val="center"/>
          </w:tcPr>
          <w:p>
            <w:pPr>
              <w:shd w:val="clear"/>
              <w:spacing w:line="240" w:lineRule="auto"/>
              <w:jc w:val="both"/>
              <w:rPr>
                <w:rFonts w:ascii="宋体" w:hAnsi="宋体" w:cs="宋体"/>
                <w:color w:val="auto"/>
                <w:szCs w:val="21"/>
                <w:highlight w:val="none"/>
              </w:rPr>
            </w:pPr>
            <w:r>
              <w:rPr>
                <w:rFonts w:hint="eastAsia" w:hAnsi="宋体" w:cs="宋体"/>
                <w:color w:val="auto"/>
                <w:szCs w:val="21"/>
                <w:highlight w:val="none"/>
              </w:rPr>
              <w:t>总报价：</w:t>
            </w:r>
            <w:r>
              <w:rPr>
                <w:rFonts w:hint="eastAsia" w:ascii="宋体" w:hAnsi="宋体" w:cs="宋体"/>
                <w:color w:val="auto"/>
                <w:szCs w:val="21"/>
                <w:highlight w:val="none"/>
              </w:rPr>
              <w:t>小写：</w:t>
            </w:r>
          </w:p>
          <w:p>
            <w:pPr>
              <w:pStyle w:val="65"/>
              <w:shd w:val="clear"/>
              <w:ind w:firstLine="840" w:firstLineChars="400"/>
              <w:rPr>
                <w:rFonts w:hAnsi="宋体"/>
                <w:color w:val="auto"/>
                <w:sz w:val="21"/>
                <w:szCs w:val="21"/>
                <w:highlight w:val="none"/>
              </w:rPr>
            </w:pPr>
          </w:p>
          <w:p>
            <w:pPr>
              <w:pStyle w:val="65"/>
              <w:shd w:val="clear"/>
              <w:ind w:firstLine="840" w:firstLineChars="400"/>
              <w:rPr>
                <w:rFonts w:hAnsi="宋体"/>
                <w:color w:val="auto"/>
                <w:sz w:val="21"/>
                <w:szCs w:val="21"/>
                <w:highlight w:val="none"/>
              </w:rPr>
            </w:pPr>
            <w:r>
              <w:rPr>
                <w:rFonts w:hint="eastAsia" w:hAnsi="宋体"/>
                <w:color w:val="auto"/>
                <w:sz w:val="21"/>
                <w:szCs w:val="21"/>
                <w:highlight w:val="none"/>
              </w:rPr>
              <w:t>大写：</w:t>
            </w:r>
          </w:p>
        </w:tc>
      </w:tr>
    </w:tbl>
    <w:p>
      <w:pPr>
        <w:shd w:val="clear"/>
        <w:rPr>
          <w:rFonts w:ascii="宋体" w:hAnsi="宋体" w:cs="宋体"/>
          <w:color w:val="auto"/>
          <w:szCs w:val="21"/>
          <w:highlight w:val="none"/>
        </w:rPr>
      </w:pPr>
    </w:p>
    <w:p>
      <w:pPr>
        <w:shd w:val="clear"/>
        <w:ind w:firstLine="359" w:firstLineChars="171"/>
        <w:rPr>
          <w:rFonts w:ascii="宋体" w:hAnsi="宋体" w:cs="宋体"/>
          <w:color w:val="auto"/>
          <w:szCs w:val="21"/>
          <w:highlight w:val="none"/>
        </w:rPr>
      </w:pPr>
    </w:p>
    <w:p>
      <w:pPr>
        <w:shd w:val="clear"/>
        <w:ind w:firstLine="359" w:firstLineChars="171"/>
        <w:rPr>
          <w:rFonts w:ascii="宋体" w:hAnsi="宋体" w:cs="宋体"/>
          <w:color w:val="auto"/>
          <w:szCs w:val="21"/>
          <w:highlight w:val="none"/>
        </w:rPr>
      </w:pPr>
      <w:r>
        <w:rPr>
          <w:rFonts w:hint="eastAsia" w:ascii="宋体" w:hAnsi="宋体" w:cs="宋体"/>
          <w:color w:val="auto"/>
          <w:szCs w:val="21"/>
          <w:highlight w:val="none"/>
        </w:rPr>
        <w:t>投标人代表签字：</w:t>
      </w:r>
    </w:p>
    <w:p>
      <w:pPr>
        <w:shd w:val="clear"/>
        <w:ind w:firstLine="359" w:firstLineChars="171"/>
        <w:rPr>
          <w:rFonts w:ascii="宋体" w:hAnsi="宋体" w:cs="宋体"/>
          <w:color w:val="auto"/>
          <w:szCs w:val="21"/>
          <w:highlight w:val="none"/>
        </w:rPr>
      </w:pPr>
      <w:r>
        <w:rPr>
          <w:rFonts w:hint="eastAsia" w:ascii="宋体" w:hAnsi="宋体" w:cs="宋体"/>
          <w:color w:val="auto"/>
          <w:szCs w:val="21"/>
          <w:highlight w:val="none"/>
        </w:rPr>
        <w:t>投标人盖章：</w:t>
      </w:r>
    </w:p>
    <w:p>
      <w:pPr>
        <w:shd w:val="clear"/>
        <w:ind w:firstLine="359" w:firstLineChars="171"/>
        <w:rPr>
          <w:rFonts w:ascii="宋体" w:hAnsi="宋体" w:cs="宋体"/>
          <w:color w:val="auto"/>
          <w:szCs w:val="21"/>
          <w:highlight w:val="none"/>
        </w:rPr>
      </w:pPr>
      <w:r>
        <w:rPr>
          <w:rFonts w:hint="eastAsia" w:ascii="宋体" w:hAnsi="宋体" w:cs="宋体"/>
          <w:color w:val="auto"/>
          <w:szCs w:val="21"/>
          <w:highlight w:val="none"/>
        </w:rPr>
        <w:t>日期：</w:t>
      </w:r>
    </w:p>
    <w:p>
      <w:pPr>
        <w:shd w:val="clear"/>
        <w:ind w:firstLine="359" w:firstLineChars="171"/>
        <w:rPr>
          <w:rFonts w:ascii="宋体" w:hAnsi="宋体" w:cs="宋体"/>
          <w:color w:val="auto"/>
          <w:szCs w:val="21"/>
          <w:highlight w:val="none"/>
        </w:rPr>
      </w:pPr>
    </w:p>
    <w:p>
      <w:pPr>
        <w:shd w:val="clear"/>
        <w:ind w:left="391" w:hanging="390" w:hangingChars="186"/>
        <w:rPr>
          <w:rFonts w:ascii="宋体" w:hAnsi="宋体" w:cs="宋体"/>
          <w:color w:val="auto"/>
          <w:szCs w:val="21"/>
          <w:highlight w:val="none"/>
        </w:rPr>
      </w:pPr>
      <w:r>
        <w:rPr>
          <w:rFonts w:hint="eastAsia" w:ascii="宋体" w:hAnsi="宋体" w:cs="宋体"/>
          <w:color w:val="auto"/>
          <w:szCs w:val="21"/>
          <w:highlight w:val="none"/>
        </w:rPr>
        <w:t xml:space="preserve">    注：</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1、投标总价栏须用大写金额和小写金额两种方式表示的投标总价，报价保留小数点后两位。投标总价大小写不一致，以大写为准。投标总价必须准确唯一且应包含采购文件要求的所有费用。</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2、温馨提示：未按采购文件要求报价、填写开标一览表是导致投标人废标的常见问题，请投标人仔细填写，认真核对。</w:t>
      </w:r>
    </w:p>
    <w:p>
      <w:pPr>
        <w:shd w:val="clear"/>
        <w:rPr>
          <w:rFonts w:ascii="宋体" w:hAnsi="宋体" w:cs="宋体"/>
          <w:color w:val="auto"/>
          <w:szCs w:val="21"/>
          <w:highlight w:val="none"/>
        </w:rPr>
      </w:pPr>
      <w:r>
        <w:rPr>
          <w:rFonts w:hint="eastAsia" w:ascii="宋体" w:hAnsi="宋体" w:cs="宋体"/>
          <w:color w:val="auto"/>
          <w:szCs w:val="21"/>
          <w:highlight w:val="none"/>
        </w:rPr>
        <w:br w:type="page"/>
      </w:r>
    </w:p>
    <w:p>
      <w:pPr>
        <w:pStyle w:val="6"/>
        <w:widowControl w:val="0"/>
        <w:shd w:val="clear"/>
        <w:overflowPunct w:val="0"/>
        <w:spacing w:line="240" w:lineRule="auto"/>
        <w:rPr>
          <w:rFonts w:ascii="宋体" w:hAnsi="宋体" w:cs="宋体"/>
          <w:color w:val="auto"/>
          <w:sz w:val="21"/>
          <w:szCs w:val="21"/>
          <w:highlight w:val="none"/>
        </w:rPr>
      </w:pPr>
      <w:bookmarkStart w:id="156" w:name="_Toc12628"/>
      <w:r>
        <w:rPr>
          <w:rFonts w:hint="eastAsia" w:ascii="宋体" w:hAnsi="宋体" w:cs="宋体"/>
          <w:color w:val="auto"/>
          <w:sz w:val="21"/>
          <w:szCs w:val="21"/>
          <w:highlight w:val="none"/>
        </w:rPr>
        <w:t>附件3.报价明细表格式</w:t>
      </w:r>
      <w:bookmarkEnd w:id="156"/>
    </w:p>
    <w:p>
      <w:pPr>
        <w:shd w:val="clear"/>
        <w:jc w:val="center"/>
        <w:rPr>
          <w:rFonts w:ascii="宋体" w:hAnsi="宋体" w:cs="宋体"/>
          <w:color w:val="auto"/>
          <w:sz w:val="32"/>
          <w:szCs w:val="32"/>
          <w:highlight w:val="none"/>
        </w:rPr>
      </w:pPr>
      <w:bookmarkStart w:id="157" w:name="_Toc31172"/>
      <w:bookmarkStart w:id="158" w:name="_Toc31062"/>
      <w:r>
        <w:rPr>
          <w:rFonts w:hint="eastAsia" w:ascii="宋体" w:hAnsi="宋体" w:cs="宋体"/>
          <w:color w:val="auto"/>
          <w:sz w:val="32"/>
          <w:szCs w:val="32"/>
          <w:highlight w:val="none"/>
        </w:rPr>
        <w:t>报价明细表</w:t>
      </w:r>
      <w:bookmarkEnd w:id="157"/>
      <w:bookmarkEnd w:id="158"/>
    </w:p>
    <w:p>
      <w:pPr>
        <w:pStyle w:val="75"/>
        <w:shd w:val="clear"/>
        <w:spacing w:before="0" w:after="0"/>
        <w:jc w:val="right"/>
        <w:rPr>
          <w:rFonts w:ascii="宋体" w:hAnsi="宋体" w:cs="宋体"/>
          <w:color w:val="auto"/>
          <w:szCs w:val="21"/>
          <w:highlight w:val="none"/>
        </w:rPr>
      </w:pPr>
      <w:r>
        <w:rPr>
          <w:rFonts w:hint="eastAsia" w:ascii="宋体" w:hAnsi="宋体" w:cs="宋体"/>
          <w:color w:val="auto"/>
          <w:szCs w:val="21"/>
          <w:highlight w:val="none"/>
        </w:rPr>
        <w:t>单位：元</w:t>
      </w:r>
    </w:p>
    <w:p>
      <w:pPr>
        <w:shd w:val="clear"/>
        <w:jc w:val="center"/>
        <w:rPr>
          <w:rFonts w:ascii="宋体" w:hAnsi="宋体" w:cs="宋体"/>
          <w:color w:val="auto"/>
          <w:szCs w:val="21"/>
          <w:highlight w:val="none"/>
        </w:rPr>
      </w:pPr>
      <w:r>
        <w:rPr>
          <w:rFonts w:hint="eastAsia" w:ascii="宋体" w:hAnsi="宋体" w:cs="宋体"/>
          <w:b/>
          <w:bCs/>
          <w:color w:val="auto"/>
          <w:szCs w:val="21"/>
          <w:highlight w:val="none"/>
        </w:rPr>
        <w:t>广东省东实环境股份有限公司餐厨项目</w:t>
      </w:r>
    </w:p>
    <w:p>
      <w:pPr>
        <w:shd w:val="clear"/>
        <w:rPr>
          <w:rFonts w:ascii="宋体" w:hAnsi="宋体" w:cs="宋体"/>
          <w:color w:val="auto"/>
          <w:szCs w:val="21"/>
          <w:highlight w:val="none"/>
        </w:rPr>
      </w:pPr>
      <w:r>
        <w:rPr>
          <w:rFonts w:hint="eastAsia" w:ascii="宋体" w:hAnsi="宋体" w:cs="宋体"/>
          <w:color w:val="auto"/>
          <w:szCs w:val="21"/>
          <w:highlight w:val="none"/>
        </w:rPr>
        <w:t>餐厨项目监测报价</w:t>
      </w:r>
    </w:p>
    <w:tbl>
      <w:tblPr>
        <w:tblStyle w:val="30"/>
        <w:tblW w:w="8518" w:type="dxa"/>
        <w:tblInd w:w="0" w:type="dxa"/>
        <w:tblLayout w:type="fixed"/>
        <w:tblCellMar>
          <w:top w:w="0" w:type="dxa"/>
          <w:left w:w="108" w:type="dxa"/>
          <w:bottom w:w="0" w:type="dxa"/>
          <w:right w:w="108" w:type="dxa"/>
        </w:tblCellMar>
      </w:tblPr>
      <w:tblGrid>
        <w:gridCol w:w="407"/>
        <w:gridCol w:w="783"/>
        <w:gridCol w:w="988"/>
        <w:gridCol w:w="1692"/>
        <w:gridCol w:w="854"/>
        <w:gridCol w:w="1276"/>
        <w:gridCol w:w="844"/>
        <w:gridCol w:w="844"/>
        <w:gridCol w:w="830"/>
      </w:tblGrid>
      <w:tr>
        <w:tblPrEx>
          <w:tblCellMar>
            <w:top w:w="0" w:type="dxa"/>
            <w:left w:w="108" w:type="dxa"/>
            <w:bottom w:w="0" w:type="dxa"/>
            <w:right w:w="108" w:type="dxa"/>
          </w:tblCellMar>
        </w:tblPrEx>
        <w:trPr>
          <w:trHeight w:val="711" w:hRule="atLeast"/>
          <w:tblHeader/>
        </w:trPr>
        <w:tc>
          <w:tcPr>
            <w:tcW w:w="40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783"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988"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监测点位</w:t>
            </w:r>
          </w:p>
        </w:tc>
        <w:tc>
          <w:tcPr>
            <w:tcW w:w="1692"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监测因子</w:t>
            </w:r>
          </w:p>
        </w:tc>
        <w:tc>
          <w:tcPr>
            <w:tcW w:w="854"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监测频次</w:t>
            </w:r>
          </w:p>
        </w:tc>
        <w:tc>
          <w:tcPr>
            <w:tcW w:w="1276"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844" w:type="dxa"/>
            <w:tcBorders>
              <w:top w:val="single" w:color="auto" w:sz="4" w:space="0"/>
              <w:left w:val="nil"/>
              <w:bottom w:val="single" w:color="auto" w:sz="4" w:space="0"/>
              <w:right w:val="single" w:color="auto" w:sz="4" w:space="0"/>
            </w:tcBorders>
            <w:shd w:val="clear" w:color="000000"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年样品数量</w:t>
            </w:r>
          </w:p>
        </w:tc>
        <w:tc>
          <w:tcPr>
            <w:tcW w:w="844" w:type="dxa"/>
            <w:tcBorders>
              <w:top w:val="single" w:color="auto" w:sz="4" w:space="0"/>
              <w:left w:val="nil"/>
              <w:bottom w:val="single" w:color="auto" w:sz="4" w:space="0"/>
              <w:right w:val="single" w:color="auto" w:sz="4" w:space="0"/>
            </w:tcBorders>
            <w:shd w:val="clear" w:color="000000"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单价</w:t>
            </w:r>
          </w:p>
        </w:tc>
        <w:tc>
          <w:tcPr>
            <w:tcW w:w="830" w:type="dxa"/>
            <w:tcBorders>
              <w:top w:val="single" w:color="auto" w:sz="4" w:space="0"/>
              <w:left w:val="nil"/>
              <w:bottom w:val="single" w:color="auto" w:sz="4" w:space="0"/>
              <w:right w:val="single" w:color="auto" w:sz="4" w:space="0"/>
            </w:tcBorders>
            <w:shd w:val="clear" w:color="000000"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总价</w:t>
            </w:r>
          </w:p>
        </w:tc>
      </w:tr>
      <w:tr>
        <w:tblPrEx>
          <w:tblCellMar>
            <w:top w:w="0" w:type="dxa"/>
            <w:left w:w="108" w:type="dxa"/>
            <w:bottom w:w="0" w:type="dxa"/>
            <w:right w:w="108" w:type="dxa"/>
          </w:tblCellMar>
        </w:tblPrEx>
        <w:trPr>
          <w:trHeight w:val="2816" w:hRule="atLeast"/>
        </w:trPr>
        <w:tc>
          <w:tcPr>
            <w:tcW w:w="4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c>
          <w:tcPr>
            <w:tcW w:w="78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废水</w:t>
            </w:r>
          </w:p>
        </w:tc>
        <w:tc>
          <w:tcPr>
            <w:tcW w:w="9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污水排放口（尾水箱）</w:t>
            </w:r>
          </w:p>
        </w:tc>
        <w:tc>
          <w:tcPr>
            <w:tcW w:w="169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pH值、悬浮物、五日生化需氧量、化学需氧量、氨氮、总磷、动植物油、总氮、溶解性总固体、氯化物、硫酸盐、石油类、粪大肠菌群、阴离子表面活性剂</w:t>
            </w:r>
          </w:p>
        </w:tc>
        <w:tc>
          <w:tcPr>
            <w:tcW w:w="85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276"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4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c>
          <w:tcPr>
            <w:tcW w:w="84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830"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573" w:hRule="atLeast"/>
        </w:trPr>
        <w:tc>
          <w:tcPr>
            <w:tcW w:w="4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w:t>
            </w:r>
          </w:p>
        </w:tc>
        <w:tc>
          <w:tcPr>
            <w:tcW w:w="78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雨水</w:t>
            </w:r>
          </w:p>
        </w:tc>
        <w:tc>
          <w:tcPr>
            <w:tcW w:w="9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麻电项目初期雨水收集池排放口</w:t>
            </w:r>
          </w:p>
        </w:tc>
        <w:tc>
          <w:tcPr>
            <w:tcW w:w="169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化学需氧量、悬浮物、氨氮</w:t>
            </w:r>
          </w:p>
        </w:tc>
        <w:tc>
          <w:tcPr>
            <w:tcW w:w="85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276"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采样时间间隔不少于4h，采样频次不少于3次。</w:t>
            </w:r>
          </w:p>
        </w:tc>
        <w:tc>
          <w:tcPr>
            <w:tcW w:w="84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84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830"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816" w:hRule="atLeast"/>
        </w:trPr>
        <w:tc>
          <w:tcPr>
            <w:tcW w:w="4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c>
          <w:tcPr>
            <w:tcW w:w="78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地下水</w:t>
            </w:r>
          </w:p>
          <w:p>
            <w:pPr>
              <w:shd w:val="clear"/>
              <w:jc w:val="center"/>
              <w:rPr>
                <w:rFonts w:ascii="宋体" w:hAnsi="宋体" w:cs="宋体"/>
                <w:color w:val="auto"/>
                <w:szCs w:val="21"/>
                <w:highlight w:val="none"/>
              </w:rPr>
            </w:pPr>
            <w:r>
              <w:rPr>
                <w:rFonts w:hint="eastAsia" w:ascii="宋体" w:hAnsi="宋体" w:cs="宋体"/>
                <w:color w:val="auto"/>
                <w:szCs w:val="21"/>
                <w:highlight w:val="none"/>
              </w:rPr>
              <w:t>（2个点）</w:t>
            </w:r>
          </w:p>
        </w:tc>
        <w:tc>
          <w:tcPr>
            <w:tcW w:w="9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项目内监测井（2个点，背景井及监视井）</w:t>
            </w:r>
          </w:p>
        </w:tc>
        <w:tc>
          <w:tcPr>
            <w:tcW w:w="169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pH值、总硬度、CODMn、氨氮、溶解性总固体、硫酸盐、硝酸盐、亚硝酸盐、六价铬、汞、砷、镉、铅、总大肠菌群、菌落总数</w:t>
            </w:r>
          </w:p>
        </w:tc>
        <w:tc>
          <w:tcPr>
            <w:tcW w:w="85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1次/半年</w:t>
            </w:r>
          </w:p>
        </w:tc>
        <w:tc>
          <w:tcPr>
            <w:tcW w:w="1276"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4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c>
          <w:tcPr>
            <w:tcW w:w="84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830"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412" w:hRule="atLeast"/>
        </w:trPr>
        <w:tc>
          <w:tcPr>
            <w:tcW w:w="4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c>
          <w:tcPr>
            <w:tcW w:w="78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噪声（4个点）</w:t>
            </w:r>
          </w:p>
        </w:tc>
        <w:tc>
          <w:tcPr>
            <w:tcW w:w="9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厂界东南西北4个方位厂界1m处</w:t>
            </w:r>
          </w:p>
        </w:tc>
        <w:tc>
          <w:tcPr>
            <w:tcW w:w="169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等效声级（昼、夜各一次）</w:t>
            </w:r>
          </w:p>
        </w:tc>
        <w:tc>
          <w:tcPr>
            <w:tcW w:w="85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276"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84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32</w:t>
            </w:r>
          </w:p>
        </w:tc>
        <w:tc>
          <w:tcPr>
            <w:tcW w:w="84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830"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465" w:hRule="atLeast"/>
        </w:trPr>
        <w:tc>
          <w:tcPr>
            <w:tcW w:w="4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5</w:t>
            </w:r>
          </w:p>
        </w:tc>
        <w:tc>
          <w:tcPr>
            <w:tcW w:w="78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无组织废气</w:t>
            </w:r>
          </w:p>
          <w:p>
            <w:pPr>
              <w:shd w:val="clear"/>
              <w:jc w:val="center"/>
              <w:rPr>
                <w:rFonts w:ascii="宋体" w:hAnsi="宋体" w:cs="宋体"/>
                <w:color w:val="auto"/>
                <w:szCs w:val="21"/>
                <w:highlight w:val="none"/>
              </w:rPr>
            </w:pPr>
            <w:r>
              <w:rPr>
                <w:rFonts w:hint="eastAsia" w:ascii="宋体" w:hAnsi="宋体" w:cs="宋体"/>
                <w:color w:val="auto"/>
                <w:szCs w:val="21"/>
                <w:highlight w:val="none"/>
              </w:rPr>
              <w:t>（4个点）</w:t>
            </w:r>
          </w:p>
        </w:tc>
        <w:tc>
          <w:tcPr>
            <w:tcW w:w="9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餐厨项目周界处，上风向1个点，下风向3个点，合计4个点。</w:t>
            </w:r>
          </w:p>
        </w:tc>
        <w:tc>
          <w:tcPr>
            <w:tcW w:w="169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硫化氢、氨（氨气）、臭气浓度、甲硫醇、颗粒物</w:t>
            </w:r>
          </w:p>
        </w:tc>
        <w:tc>
          <w:tcPr>
            <w:tcW w:w="85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276"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1.等时间间隔采样,采集4个样品计平均值。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2.恶臭污染监测样品采集不少于4次，取最大测定值。</w:t>
            </w:r>
          </w:p>
        </w:tc>
        <w:tc>
          <w:tcPr>
            <w:tcW w:w="84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64</w:t>
            </w:r>
          </w:p>
        </w:tc>
        <w:tc>
          <w:tcPr>
            <w:tcW w:w="84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830"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5271" w:hRule="atLeast"/>
        </w:trPr>
        <w:tc>
          <w:tcPr>
            <w:tcW w:w="4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w:t>
            </w:r>
          </w:p>
        </w:tc>
        <w:tc>
          <w:tcPr>
            <w:tcW w:w="78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有组织废气</w:t>
            </w:r>
          </w:p>
        </w:tc>
        <w:tc>
          <w:tcPr>
            <w:tcW w:w="9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除臭系统进、出口（2个点）</w:t>
            </w:r>
          </w:p>
        </w:tc>
        <w:tc>
          <w:tcPr>
            <w:tcW w:w="169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硫化氢、氨（氨气）、甲硫醇、臭气浓度、非甲烷总烃、除臭效率</w:t>
            </w:r>
          </w:p>
        </w:tc>
        <w:tc>
          <w:tcPr>
            <w:tcW w:w="85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276"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1.非甲烷总烃以连续一小时的采样获取平均值或在一小时内以等时间间隔采集4个样品，并计平均值。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2.恶臭污染监测样品采集不少于3次，取最大测定值。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3.需要计算各个污染因子的去除效率。</w:t>
            </w:r>
          </w:p>
        </w:tc>
        <w:tc>
          <w:tcPr>
            <w:tcW w:w="84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24</w:t>
            </w:r>
          </w:p>
        </w:tc>
        <w:tc>
          <w:tcPr>
            <w:tcW w:w="84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830"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465" w:hRule="atLeast"/>
        </w:trPr>
        <w:tc>
          <w:tcPr>
            <w:tcW w:w="4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7</w:t>
            </w:r>
          </w:p>
        </w:tc>
        <w:tc>
          <w:tcPr>
            <w:tcW w:w="78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环境空气</w:t>
            </w:r>
          </w:p>
        </w:tc>
        <w:tc>
          <w:tcPr>
            <w:tcW w:w="9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餐厨系统处理间</w:t>
            </w:r>
          </w:p>
        </w:tc>
        <w:tc>
          <w:tcPr>
            <w:tcW w:w="169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臭气浓度、硫化氢、甲硫醇、氨（氨气）</w:t>
            </w:r>
          </w:p>
        </w:tc>
        <w:tc>
          <w:tcPr>
            <w:tcW w:w="85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276"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1.监测餐厨处理间门口的环境空气；</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2.恶臭污染监测样品采集不少于4次，取最大测定值。</w:t>
            </w:r>
          </w:p>
        </w:tc>
        <w:tc>
          <w:tcPr>
            <w:tcW w:w="84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16</w:t>
            </w:r>
          </w:p>
        </w:tc>
        <w:tc>
          <w:tcPr>
            <w:tcW w:w="84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830"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199" w:hRule="atLeast"/>
        </w:trPr>
        <w:tc>
          <w:tcPr>
            <w:tcW w:w="4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8</w:t>
            </w:r>
          </w:p>
        </w:tc>
        <w:tc>
          <w:tcPr>
            <w:tcW w:w="78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敏感点</w:t>
            </w:r>
          </w:p>
        </w:tc>
        <w:tc>
          <w:tcPr>
            <w:tcW w:w="9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①四季飘香农业生态园；②漳澎村；③洪梅中心小学；④碧桂园十里江湾；⑤万科珠江东岸；每个点各1个样品</w:t>
            </w:r>
          </w:p>
        </w:tc>
        <w:tc>
          <w:tcPr>
            <w:tcW w:w="169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臭气浓度</w:t>
            </w:r>
          </w:p>
        </w:tc>
        <w:tc>
          <w:tcPr>
            <w:tcW w:w="85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276"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恶臭污染监测样品采集不少于4次，取最大测定值。</w:t>
            </w:r>
          </w:p>
        </w:tc>
        <w:tc>
          <w:tcPr>
            <w:tcW w:w="84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80</w:t>
            </w:r>
          </w:p>
        </w:tc>
        <w:tc>
          <w:tcPr>
            <w:tcW w:w="84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830"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22" w:hRule="atLeast"/>
        </w:trPr>
        <w:tc>
          <w:tcPr>
            <w:tcW w:w="6000" w:type="dxa"/>
            <w:gridSpan w:val="6"/>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小计</w:t>
            </w:r>
          </w:p>
        </w:tc>
        <w:tc>
          <w:tcPr>
            <w:tcW w:w="84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236</w:t>
            </w:r>
          </w:p>
        </w:tc>
        <w:tc>
          <w:tcPr>
            <w:tcW w:w="844"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830"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22" w:hRule="atLeast"/>
        </w:trPr>
        <w:tc>
          <w:tcPr>
            <w:tcW w:w="6000" w:type="dxa"/>
            <w:gridSpan w:val="6"/>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价格合计</w:t>
            </w:r>
          </w:p>
        </w:tc>
        <w:tc>
          <w:tcPr>
            <w:tcW w:w="2518" w:type="dxa"/>
            <w:gridSpan w:val="3"/>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bl>
    <w:p>
      <w:pPr>
        <w:shd w:val="clear"/>
        <w:jc w:val="both"/>
        <w:rPr>
          <w:rFonts w:ascii="宋体" w:hAnsi="宋体" w:cs="宋体"/>
          <w:color w:val="auto"/>
          <w:szCs w:val="21"/>
          <w:highlight w:val="none"/>
        </w:rPr>
      </w:pPr>
      <w:r>
        <w:rPr>
          <w:rFonts w:hint="eastAsia" w:ascii="宋体" w:hAnsi="宋体" w:cs="宋体"/>
          <w:color w:val="auto"/>
          <w:szCs w:val="21"/>
          <w:highlight w:val="none"/>
        </w:rPr>
        <w:t>土壤调查监测报价</w:t>
      </w:r>
    </w:p>
    <w:tbl>
      <w:tblPr>
        <w:tblStyle w:val="30"/>
        <w:tblW w:w="8520" w:type="dxa"/>
        <w:tblInd w:w="0" w:type="dxa"/>
        <w:tblLayout w:type="fixed"/>
        <w:tblCellMar>
          <w:top w:w="0" w:type="dxa"/>
          <w:left w:w="108" w:type="dxa"/>
          <w:bottom w:w="0" w:type="dxa"/>
          <w:right w:w="108" w:type="dxa"/>
        </w:tblCellMar>
      </w:tblPr>
      <w:tblGrid>
        <w:gridCol w:w="432"/>
        <w:gridCol w:w="837"/>
        <w:gridCol w:w="1087"/>
        <w:gridCol w:w="1923"/>
        <w:gridCol w:w="1007"/>
        <w:gridCol w:w="964"/>
        <w:gridCol w:w="761"/>
        <w:gridCol w:w="761"/>
        <w:gridCol w:w="748"/>
      </w:tblGrid>
      <w:tr>
        <w:tblPrEx>
          <w:tblCellMar>
            <w:top w:w="0" w:type="dxa"/>
            <w:left w:w="108" w:type="dxa"/>
            <w:bottom w:w="0" w:type="dxa"/>
            <w:right w:w="108" w:type="dxa"/>
          </w:tblCellMar>
        </w:tblPrEx>
        <w:trPr>
          <w:trHeight w:val="838" w:hRule="atLeast"/>
          <w:tblHead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837"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1087"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监测点位</w:t>
            </w:r>
          </w:p>
        </w:tc>
        <w:tc>
          <w:tcPr>
            <w:tcW w:w="1923"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监测因子</w:t>
            </w:r>
          </w:p>
        </w:tc>
        <w:tc>
          <w:tcPr>
            <w:tcW w:w="1007"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监测频次</w:t>
            </w:r>
          </w:p>
        </w:tc>
        <w:tc>
          <w:tcPr>
            <w:tcW w:w="964"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761" w:type="dxa"/>
            <w:tcBorders>
              <w:top w:val="single" w:color="auto" w:sz="4" w:space="0"/>
              <w:left w:val="nil"/>
              <w:bottom w:val="single" w:color="auto" w:sz="4" w:space="0"/>
              <w:right w:val="single" w:color="auto" w:sz="4" w:space="0"/>
            </w:tcBorders>
            <w:shd w:val="clear" w:color="000000"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年样品数量</w:t>
            </w:r>
          </w:p>
        </w:tc>
        <w:tc>
          <w:tcPr>
            <w:tcW w:w="761" w:type="dxa"/>
            <w:tcBorders>
              <w:top w:val="single" w:color="auto" w:sz="4" w:space="0"/>
              <w:left w:val="nil"/>
              <w:bottom w:val="single" w:color="auto" w:sz="4" w:space="0"/>
              <w:right w:val="single" w:color="auto" w:sz="4" w:space="0"/>
            </w:tcBorders>
            <w:shd w:val="clear" w:color="000000"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单价</w:t>
            </w:r>
          </w:p>
        </w:tc>
        <w:tc>
          <w:tcPr>
            <w:tcW w:w="748" w:type="dxa"/>
            <w:tcBorders>
              <w:top w:val="single" w:color="auto" w:sz="4" w:space="0"/>
              <w:left w:val="nil"/>
              <w:bottom w:val="single" w:color="auto" w:sz="4" w:space="0"/>
              <w:right w:val="single" w:color="auto" w:sz="4" w:space="0"/>
            </w:tcBorders>
            <w:shd w:val="clear" w:color="000000" w:fill="auto"/>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合计</w:t>
            </w:r>
          </w:p>
        </w:tc>
      </w:tr>
      <w:tr>
        <w:tblPrEx>
          <w:tblCellMar>
            <w:top w:w="0" w:type="dxa"/>
            <w:left w:w="108" w:type="dxa"/>
            <w:bottom w:w="0" w:type="dxa"/>
            <w:right w:w="108" w:type="dxa"/>
          </w:tblCellMar>
        </w:tblPrEx>
        <w:trPr>
          <w:trHeight w:val="3698" w:hRule="atLeast"/>
        </w:trPr>
        <w:tc>
          <w:tcPr>
            <w:tcW w:w="43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c>
          <w:tcPr>
            <w:tcW w:w="837"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土壤</w:t>
            </w:r>
          </w:p>
          <w:p>
            <w:pPr>
              <w:shd w:val="clear"/>
              <w:jc w:val="center"/>
              <w:rPr>
                <w:rFonts w:ascii="宋体" w:hAnsi="宋体" w:cs="宋体"/>
                <w:color w:val="auto"/>
                <w:szCs w:val="21"/>
                <w:highlight w:val="none"/>
              </w:rPr>
            </w:pPr>
            <w:r>
              <w:rPr>
                <w:rFonts w:hint="eastAsia" w:ascii="宋体" w:hAnsi="宋体" w:cs="宋体"/>
                <w:color w:val="auto"/>
                <w:szCs w:val="21"/>
                <w:highlight w:val="none"/>
              </w:rPr>
              <w:t>（0-0.5m浅层土）</w:t>
            </w:r>
          </w:p>
        </w:tc>
        <w:tc>
          <w:tcPr>
            <w:tcW w:w="1087"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①渣库前绿化带S1、②烟囱旁绿化带S2、③污水处理区绿化带S3、④预处理车间前绿化带S4</w:t>
            </w:r>
          </w:p>
        </w:tc>
        <w:tc>
          <w:tcPr>
            <w:tcW w:w="1923"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水分、砷、镉、铬（六价）、铜、铅、汞、镍、四氯化碳、氯仿（三氯甲烷）、氯甲烷、1,1-二氯乙烷、1,2-二氯乙烷、1,1-二氯乙烯、顺-1,2-二氯乙烯、反-1,2-二氯乙烯、二氯甲烷、1,2-二氯丙烷、1,1,1,2-四氯乙烷、1,1,2,2-四氯乙烷、四氯乙烯、1,1,1-三氯乙烷、1,1,2-三氯乙烷、三氯乙烯、1,2,3-三氯丙烷、氯乙烯、苯、氯苯、1,2-二氯苯、1,4-二氯苯、乙苯、苯乙烯、甲苯、间二甲苯+对二甲苯、邻二甲苯、硝基苯、苯胺、2-氯酚、苯并[a]蒽、苯并[a]芘、苯并[b]荧蒽、苯并[k]荧蒽、䓛、二苯并[a,h]蒽、茚并[1,2,3-cd]芘、萘、石油烃（C10-C40）、锑、钴、二噁英、铊、锰、总铬，合计54项</w:t>
            </w:r>
          </w:p>
        </w:tc>
        <w:tc>
          <w:tcPr>
            <w:tcW w:w="1007"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964"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本年度为浅层土采样监测</w:t>
            </w:r>
          </w:p>
        </w:tc>
        <w:tc>
          <w:tcPr>
            <w:tcW w:w="76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c>
          <w:tcPr>
            <w:tcW w:w="76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74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245" w:hRule="atLeast"/>
        </w:trPr>
        <w:tc>
          <w:tcPr>
            <w:tcW w:w="43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w:t>
            </w:r>
          </w:p>
        </w:tc>
        <w:tc>
          <w:tcPr>
            <w:tcW w:w="837"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地下水</w:t>
            </w:r>
          </w:p>
          <w:p>
            <w:pPr>
              <w:shd w:val="clear"/>
              <w:jc w:val="center"/>
              <w:rPr>
                <w:rFonts w:ascii="宋体" w:hAnsi="宋体" w:cs="宋体"/>
                <w:color w:val="auto"/>
                <w:szCs w:val="21"/>
                <w:highlight w:val="none"/>
              </w:rPr>
            </w:pPr>
            <w:r>
              <w:rPr>
                <w:rFonts w:hint="eastAsia" w:ascii="宋体" w:hAnsi="宋体" w:cs="宋体"/>
                <w:color w:val="auto"/>
                <w:szCs w:val="21"/>
                <w:highlight w:val="none"/>
              </w:rPr>
              <w:t>（5个点）</w:t>
            </w:r>
          </w:p>
        </w:tc>
        <w:tc>
          <w:tcPr>
            <w:tcW w:w="1087"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①渣库前绿化带1#、②烟囱旁绿化带2#、③污水处理区绿化带3#、④预处理车间前绿化带8#、⑤对照井5#。</w:t>
            </w:r>
          </w:p>
        </w:tc>
        <w:tc>
          <w:tcPr>
            <w:tcW w:w="1923"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色度、嗅和味、浑浊度、肉眼可见物、pH值、总硬度、溶解性总固体、硫酸盐、氯化物、铁、锰、铜、锌、铝、挥发性酚类、阴离子表面活性剂、耗氧量、氨氮、硫化物、钠、亚硝酸盐、硝酸盐、氰化物、氟化物、碘化物、汞、砷、硒、镉、六价铬、铅、三氯甲烷、四氯化碳、苯、甲苯、二甲苯、铊、锑、钴、铅、铜、镍、锰、二噁英、石油烃（C10-C40）、总铬，合计46项</w:t>
            </w:r>
          </w:p>
        </w:tc>
        <w:tc>
          <w:tcPr>
            <w:tcW w:w="1007"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1次/半年</w:t>
            </w:r>
          </w:p>
        </w:tc>
        <w:tc>
          <w:tcPr>
            <w:tcW w:w="964"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2023年上半年已经完成采样监测，需完成2023年下半年及2024年下半年的采样监测。</w:t>
            </w:r>
          </w:p>
        </w:tc>
        <w:tc>
          <w:tcPr>
            <w:tcW w:w="76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10</w:t>
            </w:r>
          </w:p>
        </w:tc>
        <w:tc>
          <w:tcPr>
            <w:tcW w:w="76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74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813" w:hRule="atLeast"/>
        </w:trPr>
        <w:tc>
          <w:tcPr>
            <w:tcW w:w="6250" w:type="dxa"/>
            <w:gridSpan w:val="6"/>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小计</w:t>
            </w:r>
          </w:p>
        </w:tc>
        <w:tc>
          <w:tcPr>
            <w:tcW w:w="76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14</w:t>
            </w:r>
          </w:p>
        </w:tc>
        <w:tc>
          <w:tcPr>
            <w:tcW w:w="76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74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813" w:hRule="atLeast"/>
        </w:trPr>
        <w:tc>
          <w:tcPr>
            <w:tcW w:w="6250" w:type="dxa"/>
            <w:gridSpan w:val="6"/>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价格合计</w:t>
            </w:r>
          </w:p>
        </w:tc>
        <w:tc>
          <w:tcPr>
            <w:tcW w:w="2270" w:type="dxa"/>
            <w:gridSpan w:val="3"/>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bl>
    <w:p>
      <w:pPr>
        <w:shd w:val="clear"/>
        <w:jc w:val="center"/>
        <w:rPr>
          <w:rFonts w:ascii="宋体" w:hAnsi="宋体" w:cs="宋体"/>
          <w:color w:val="auto"/>
          <w:szCs w:val="21"/>
          <w:highlight w:val="none"/>
        </w:rPr>
      </w:pPr>
      <w:r>
        <w:rPr>
          <w:rFonts w:hint="eastAsia" w:ascii="宋体" w:hAnsi="宋体" w:cs="宋体"/>
          <w:color w:val="auto"/>
          <w:szCs w:val="21"/>
          <w:highlight w:val="none"/>
        </w:rPr>
        <w:t>东莞市新东欣环保投资有限公司绿色工业服务项目</w:t>
      </w:r>
    </w:p>
    <w:p>
      <w:pPr>
        <w:shd w:val="clear"/>
        <w:jc w:val="both"/>
        <w:rPr>
          <w:rFonts w:ascii="宋体" w:hAnsi="宋体" w:cs="宋体"/>
          <w:color w:val="auto"/>
          <w:szCs w:val="21"/>
          <w:highlight w:val="none"/>
        </w:rPr>
      </w:pPr>
      <w:r>
        <w:rPr>
          <w:rFonts w:hint="eastAsia" w:ascii="宋体" w:hAnsi="宋体" w:cs="宋体"/>
          <w:color w:val="auto"/>
          <w:szCs w:val="21"/>
          <w:highlight w:val="none"/>
        </w:rPr>
        <w:t>绿色工业服务项目委外环境监测报价</w:t>
      </w:r>
    </w:p>
    <w:tbl>
      <w:tblPr>
        <w:tblStyle w:val="30"/>
        <w:tblW w:w="8518" w:type="dxa"/>
        <w:jc w:val="center"/>
        <w:tblLayout w:type="fixed"/>
        <w:tblCellMar>
          <w:top w:w="0" w:type="dxa"/>
          <w:left w:w="108" w:type="dxa"/>
          <w:bottom w:w="0" w:type="dxa"/>
          <w:right w:w="108" w:type="dxa"/>
        </w:tblCellMar>
      </w:tblPr>
      <w:tblGrid>
        <w:gridCol w:w="607"/>
        <w:gridCol w:w="785"/>
        <w:gridCol w:w="1163"/>
        <w:gridCol w:w="1588"/>
        <w:gridCol w:w="701"/>
        <w:gridCol w:w="1582"/>
        <w:gridCol w:w="713"/>
        <w:gridCol w:w="698"/>
        <w:gridCol w:w="681"/>
      </w:tblGrid>
      <w:tr>
        <w:tblPrEx>
          <w:tblCellMar>
            <w:top w:w="0" w:type="dxa"/>
            <w:left w:w="108" w:type="dxa"/>
            <w:bottom w:w="0" w:type="dxa"/>
            <w:right w:w="108" w:type="dxa"/>
          </w:tblCellMar>
        </w:tblPrEx>
        <w:trPr>
          <w:trHeight w:val="780" w:hRule="atLeast"/>
          <w:tblHeader/>
          <w:jc w:val="center"/>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项目</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监测点位</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监测因子</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监测频次</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c>
          <w:tcPr>
            <w:tcW w:w="713" w:type="dxa"/>
            <w:tcBorders>
              <w:top w:val="single" w:color="auto" w:sz="4" w:space="0"/>
              <w:left w:val="single" w:color="auto" w:sz="4" w:space="0"/>
              <w:bottom w:val="single" w:color="auto" w:sz="4" w:space="0"/>
              <w:right w:val="single" w:color="auto" w:sz="4" w:space="0"/>
            </w:tcBorders>
            <w:shd w:val="clear" w:color="000000"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年样品数量</w:t>
            </w:r>
          </w:p>
        </w:tc>
        <w:tc>
          <w:tcPr>
            <w:tcW w:w="698" w:type="dxa"/>
            <w:tcBorders>
              <w:top w:val="single" w:color="auto" w:sz="4" w:space="0"/>
              <w:left w:val="single" w:color="auto" w:sz="4" w:space="0"/>
              <w:bottom w:val="single" w:color="auto" w:sz="4" w:space="0"/>
              <w:right w:val="single" w:color="auto" w:sz="4" w:space="0"/>
            </w:tcBorders>
            <w:shd w:val="clear" w:color="000000"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单价</w:t>
            </w:r>
          </w:p>
        </w:tc>
        <w:tc>
          <w:tcPr>
            <w:tcW w:w="681" w:type="dxa"/>
            <w:tcBorders>
              <w:top w:val="single" w:color="auto" w:sz="4" w:space="0"/>
              <w:left w:val="single" w:color="auto" w:sz="4" w:space="0"/>
              <w:bottom w:val="single" w:color="auto" w:sz="4" w:space="0"/>
              <w:right w:val="single" w:color="auto" w:sz="4" w:space="0"/>
            </w:tcBorders>
            <w:shd w:val="clear" w:color="000000"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总价</w:t>
            </w:r>
          </w:p>
        </w:tc>
      </w:tr>
      <w:tr>
        <w:tblPrEx>
          <w:tblCellMar>
            <w:top w:w="0" w:type="dxa"/>
            <w:left w:w="108" w:type="dxa"/>
            <w:bottom w:w="0" w:type="dxa"/>
            <w:right w:w="108" w:type="dxa"/>
          </w:tblCellMar>
        </w:tblPrEx>
        <w:trPr>
          <w:trHeight w:val="1800"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c>
          <w:tcPr>
            <w:tcW w:w="785"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有组织排放废气（主要排放口）</w:t>
            </w:r>
          </w:p>
        </w:tc>
        <w:tc>
          <w:tcPr>
            <w:tcW w:w="1163"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焚烧回转窑集束烟囱A1、A2 2个点位</w:t>
            </w:r>
          </w:p>
        </w:tc>
        <w:tc>
          <w:tcPr>
            <w:tcW w:w="158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烟尘（低浓度颗粒物）、HCl、SO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、NO</w:t>
            </w:r>
            <w:r>
              <w:rPr>
                <w:rFonts w:hint="eastAsia" w:ascii="宋体" w:hAnsi="宋体" w:cs="宋体"/>
                <w:color w:val="auto"/>
                <w:szCs w:val="21"/>
                <w:highlight w:val="none"/>
                <w:vertAlign w:val="subscript"/>
              </w:rPr>
              <w:t>X</w:t>
            </w:r>
            <w:r>
              <w:rPr>
                <w:rFonts w:hint="eastAsia" w:ascii="宋体" w:hAnsi="宋体" w:cs="宋体"/>
                <w:color w:val="auto"/>
                <w:szCs w:val="21"/>
                <w:highlight w:val="none"/>
              </w:rPr>
              <w:t>、CO、O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、流速、烟温、湿度</w:t>
            </w:r>
          </w:p>
        </w:tc>
        <w:tc>
          <w:tcPr>
            <w:tcW w:w="7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58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采用参比方法对在线监测设备进行比对：测量气态污染物和氧气浓度，至少获取9个数据对，每个数据对取5～15min均值；测量流速、烟温湿度时，至少获取5个同时段测试断面值数据对，分别计算流速、烟温、湿度CMS准确度。</w:t>
            </w:r>
          </w:p>
        </w:tc>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8</w:t>
            </w:r>
          </w:p>
        </w:tc>
        <w:tc>
          <w:tcPr>
            <w:tcW w:w="69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3885"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w:t>
            </w:r>
          </w:p>
        </w:tc>
        <w:tc>
          <w:tcPr>
            <w:tcW w:w="785"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58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汞及其化合物（以Hg计）、铊及其化合物（以Ti计）、镉及其化合物（以Cd计）、铅及其化合物（以Pb计）、砷及其化合物（以As计）、铬及其化合物（以Gr计）、锡、锑、铜、锰、镍、钴及其化合物（以Sn+Sb+Cu+Mn+Ni+Co计）、林格曼黑度</w:t>
            </w:r>
          </w:p>
        </w:tc>
        <w:tc>
          <w:tcPr>
            <w:tcW w:w="7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158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每台炉的测量值需为0.5～8 个小时内完成不少于 3 个样品的采集，取算术平均值</w:t>
            </w:r>
          </w:p>
        </w:tc>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72</w:t>
            </w:r>
          </w:p>
        </w:tc>
        <w:tc>
          <w:tcPr>
            <w:tcW w:w="69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781"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c>
          <w:tcPr>
            <w:tcW w:w="785"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588"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氟化氢</w:t>
            </w:r>
          </w:p>
        </w:tc>
        <w:tc>
          <w:tcPr>
            <w:tcW w:w="701"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582"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每台炉的测量值需为0.5～8 个小时内完成不少于 3 个样品的采集，取算术平均值</w:t>
            </w:r>
          </w:p>
        </w:tc>
        <w:tc>
          <w:tcPr>
            <w:tcW w:w="713"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24</w:t>
            </w:r>
          </w:p>
        </w:tc>
        <w:tc>
          <w:tcPr>
            <w:tcW w:w="698"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339" w:hRule="atLeast"/>
          <w:jc w:val="center"/>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c>
          <w:tcPr>
            <w:tcW w:w="785"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5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二噁英类</w:t>
            </w:r>
          </w:p>
        </w:tc>
        <w:tc>
          <w:tcPr>
            <w:tcW w:w="7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1次/半年</w:t>
            </w:r>
          </w:p>
        </w:tc>
        <w:tc>
          <w:tcPr>
            <w:tcW w:w="158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每台炉的测量值需为6～12 个小时内完成不少于 3个样品的采集，取算术平均值</w:t>
            </w:r>
          </w:p>
        </w:tc>
        <w:tc>
          <w:tcPr>
            <w:tcW w:w="71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69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909"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5</w:t>
            </w:r>
          </w:p>
        </w:tc>
        <w:tc>
          <w:tcPr>
            <w:tcW w:w="785"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火法熔炼集束烟囱A5 1个点位</w:t>
            </w:r>
          </w:p>
        </w:tc>
        <w:tc>
          <w:tcPr>
            <w:tcW w:w="158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烟尘（低浓度颗粒物）、SO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、NO</w:t>
            </w:r>
            <w:r>
              <w:rPr>
                <w:rFonts w:hint="eastAsia" w:ascii="宋体" w:hAnsi="宋体" w:cs="宋体"/>
                <w:color w:val="auto"/>
                <w:szCs w:val="21"/>
                <w:highlight w:val="none"/>
                <w:vertAlign w:val="subscript"/>
              </w:rPr>
              <w:t>X</w:t>
            </w:r>
            <w:r>
              <w:rPr>
                <w:rFonts w:hint="eastAsia" w:ascii="宋体" w:hAnsi="宋体" w:cs="宋体"/>
                <w:color w:val="auto"/>
                <w:szCs w:val="21"/>
                <w:highlight w:val="none"/>
              </w:rPr>
              <w:t>、O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、流速、烟温、湿度</w:t>
            </w:r>
          </w:p>
        </w:tc>
        <w:tc>
          <w:tcPr>
            <w:tcW w:w="7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58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采用参比方法对在线监测设备进行比对：测量气态污染物和氧气浓度，至少获取9个数据对，每个数据对取5～15min均值；测量流速、烟温湿度时，至少获取5个同时段测试断面值数据对，分别计算流速、烟温、湿度CMS准确度。</w:t>
            </w:r>
          </w:p>
        </w:tc>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c>
          <w:tcPr>
            <w:tcW w:w="69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680"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w:t>
            </w:r>
          </w:p>
        </w:tc>
        <w:tc>
          <w:tcPr>
            <w:tcW w:w="785"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58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砷及其化合物（以As计）、铅及其化合物（以Pb计）、镉及其化合物（以Cd计）</w:t>
            </w:r>
          </w:p>
        </w:tc>
        <w:tc>
          <w:tcPr>
            <w:tcW w:w="7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158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每台炉的测量值需为0.5～8 个小时内完成不少于 3 个样品的采集，取算术平均值</w:t>
            </w:r>
          </w:p>
        </w:tc>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36</w:t>
            </w:r>
          </w:p>
        </w:tc>
        <w:tc>
          <w:tcPr>
            <w:tcW w:w="69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680"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7</w:t>
            </w:r>
          </w:p>
        </w:tc>
        <w:tc>
          <w:tcPr>
            <w:tcW w:w="785"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58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锡及其化合物（以Sn计）、锑及其化合物（以Sb计）、铬及其化合物（以Gr计）、林格曼黑度、一氧化碳、氟化氢、氯化氢、汞及其化合物（以Hg计）</w:t>
            </w:r>
          </w:p>
        </w:tc>
        <w:tc>
          <w:tcPr>
            <w:tcW w:w="7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58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每台炉的测量值需为0.5～8 个小时内完成不少于 3 个样品的采集，取算术平均值</w:t>
            </w:r>
          </w:p>
        </w:tc>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69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680"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8</w:t>
            </w:r>
          </w:p>
        </w:tc>
        <w:tc>
          <w:tcPr>
            <w:tcW w:w="785"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588"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二噁英类</w:t>
            </w:r>
          </w:p>
        </w:tc>
        <w:tc>
          <w:tcPr>
            <w:tcW w:w="701"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1582"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每台炉的测量值需为6～12 个小时内完成不少于 3个样品的采集，取算术平均值</w:t>
            </w:r>
          </w:p>
        </w:tc>
        <w:tc>
          <w:tcPr>
            <w:tcW w:w="713"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c>
          <w:tcPr>
            <w:tcW w:w="698"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680" w:hRule="atLeast"/>
          <w:jc w:val="center"/>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9</w:t>
            </w:r>
          </w:p>
        </w:tc>
        <w:tc>
          <w:tcPr>
            <w:tcW w:w="785"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vMerge w:val="restart"/>
            <w:tcBorders>
              <w:top w:val="nil"/>
              <w:left w:val="single" w:color="auto" w:sz="4" w:space="0"/>
              <w:bottom w:val="single" w:color="000000"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铝冶炼熔铸废气排放口A3</w:t>
            </w:r>
          </w:p>
        </w:tc>
        <w:tc>
          <w:tcPr>
            <w:tcW w:w="15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烟尘（低浓度颗粒物）、SO2、NOX、O2、流速、烟温、湿度</w:t>
            </w:r>
          </w:p>
        </w:tc>
        <w:tc>
          <w:tcPr>
            <w:tcW w:w="7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58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采用参比方法对在线监测设备进行比对：测量气态污染物和氧气浓度，至少获取9个数据对，每个数据对取5～15min均值；测量流速、烟温湿度时，至少获取5个同时段测试断面值数据对，分别计算流速、烟温、湿度CMS准确度。</w:t>
            </w:r>
          </w:p>
        </w:tc>
        <w:tc>
          <w:tcPr>
            <w:tcW w:w="71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c>
          <w:tcPr>
            <w:tcW w:w="69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680" w:hRule="atLeast"/>
          <w:jc w:val="center"/>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10</w:t>
            </w:r>
          </w:p>
        </w:tc>
        <w:tc>
          <w:tcPr>
            <w:tcW w:w="785"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vMerge w:val="continue"/>
            <w:tcBorders>
              <w:top w:val="nil"/>
              <w:left w:val="single" w:color="auto" w:sz="4" w:space="0"/>
              <w:bottom w:val="single" w:color="000000" w:sz="4" w:space="0"/>
              <w:right w:val="single" w:color="auto" w:sz="4" w:space="0"/>
            </w:tcBorders>
            <w:vAlign w:val="center"/>
          </w:tcPr>
          <w:p>
            <w:pPr>
              <w:shd w:val="clear"/>
              <w:rPr>
                <w:rFonts w:ascii="宋体" w:hAnsi="宋体" w:cs="宋体"/>
                <w:color w:val="auto"/>
                <w:szCs w:val="21"/>
                <w:highlight w:val="none"/>
              </w:rPr>
            </w:pPr>
          </w:p>
        </w:tc>
        <w:tc>
          <w:tcPr>
            <w:tcW w:w="15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氟化物、砷及其化合物、铅及其化合物、铬及其化合物</w:t>
            </w:r>
          </w:p>
        </w:tc>
        <w:tc>
          <w:tcPr>
            <w:tcW w:w="7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158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每台炉的测量值需为0.5～8 个小时内完成不少于 3 个样品的采集，取算术平均值</w:t>
            </w:r>
          </w:p>
        </w:tc>
        <w:tc>
          <w:tcPr>
            <w:tcW w:w="71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36</w:t>
            </w:r>
          </w:p>
        </w:tc>
        <w:tc>
          <w:tcPr>
            <w:tcW w:w="69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680" w:hRule="atLeast"/>
          <w:jc w:val="center"/>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11</w:t>
            </w:r>
          </w:p>
        </w:tc>
        <w:tc>
          <w:tcPr>
            <w:tcW w:w="785"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vMerge w:val="continue"/>
            <w:tcBorders>
              <w:top w:val="nil"/>
              <w:left w:val="single" w:color="auto" w:sz="4" w:space="0"/>
              <w:bottom w:val="single" w:color="000000" w:sz="4" w:space="0"/>
              <w:right w:val="single" w:color="auto" w:sz="4" w:space="0"/>
            </w:tcBorders>
            <w:vAlign w:val="center"/>
          </w:tcPr>
          <w:p>
            <w:pPr>
              <w:shd w:val="clear"/>
              <w:rPr>
                <w:rFonts w:ascii="宋体" w:hAnsi="宋体" w:cs="宋体"/>
                <w:color w:val="auto"/>
                <w:szCs w:val="21"/>
                <w:highlight w:val="none"/>
              </w:rPr>
            </w:pPr>
          </w:p>
        </w:tc>
        <w:tc>
          <w:tcPr>
            <w:tcW w:w="15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锡及其化合物、镉及其化合物、氯化氢、</w:t>
            </w:r>
          </w:p>
        </w:tc>
        <w:tc>
          <w:tcPr>
            <w:tcW w:w="7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58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每台炉的测量值需为0.5～8 个小时内完成不少于 3 个样品的采集，取算术平均值</w:t>
            </w:r>
          </w:p>
        </w:tc>
        <w:tc>
          <w:tcPr>
            <w:tcW w:w="71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69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485" w:hRule="atLeast"/>
          <w:jc w:val="center"/>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785"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vMerge w:val="continue"/>
            <w:tcBorders>
              <w:top w:val="nil"/>
              <w:left w:val="single" w:color="auto" w:sz="4" w:space="0"/>
              <w:bottom w:val="single" w:color="000000" w:sz="4" w:space="0"/>
              <w:right w:val="single" w:color="auto" w:sz="4" w:space="0"/>
            </w:tcBorders>
            <w:vAlign w:val="center"/>
          </w:tcPr>
          <w:p>
            <w:pPr>
              <w:shd w:val="clear"/>
              <w:rPr>
                <w:rFonts w:ascii="宋体" w:hAnsi="宋体" w:cs="宋体"/>
                <w:color w:val="auto"/>
                <w:szCs w:val="21"/>
                <w:highlight w:val="none"/>
              </w:rPr>
            </w:pPr>
          </w:p>
        </w:tc>
        <w:tc>
          <w:tcPr>
            <w:tcW w:w="15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二噁英类</w:t>
            </w:r>
          </w:p>
        </w:tc>
        <w:tc>
          <w:tcPr>
            <w:tcW w:w="7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158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每台炉的测量值需为6～12 个小时内完成不少于 3个样品的采集，取算术平均值</w:t>
            </w:r>
          </w:p>
        </w:tc>
        <w:tc>
          <w:tcPr>
            <w:tcW w:w="71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c>
          <w:tcPr>
            <w:tcW w:w="69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353" w:hRule="atLeast"/>
          <w:jc w:val="center"/>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13</w:t>
            </w:r>
          </w:p>
        </w:tc>
        <w:tc>
          <w:tcPr>
            <w:tcW w:w="785"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有组织排放废气（一般排放口）</w:t>
            </w:r>
          </w:p>
        </w:tc>
        <w:tc>
          <w:tcPr>
            <w:tcW w:w="116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铝冶炼脱氮废气排放口A4</w:t>
            </w:r>
          </w:p>
        </w:tc>
        <w:tc>
          <w:tcPr>
            <w:tcW w:w="15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氨（氨气）、臭气浓度</w:t>
            </w:r>
          </w:p>
        </w:tc>
        <w:tc>
          <w:tcPr>
            <w:tcW w:w="7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158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恶臭污染监测样品采集不少于3次，取最大测定值。</w:t>
            </w:r>
          </w:p>
        </w:tc>
        <w:tc>
          <w:tcPr>
            <w:tcW w:w="71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36</w:t>
            </w:r>
          </w:p>
        </w:tc>
        <w:tc>
          <w:tcPr>
            <w:tcW w:w="69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680" w:hRule="atLeast"/>
          <w:jc w:val="center"/>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14</w:t>
            </w:r>
          </w:p>
        </w:tc>
        <w:tc>
          <w:tcPr>
            <w:tcW w:w="785"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丙一库排气筒A6、丙二库排气筒A7 2个点位</w:t>
            </w:r>
          </w:p>
        </w:tc>
        <w:tc>
          <w:tcPr>
            <w:tcW w:w="15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氨（氨气）、臭气浓度、颗粒物、硫化氢、氟化物、VOCs、氯化氢、非甲烷总烃、氰化氢</w:t>
            </w:r>
          </w:p>
        </w:tc>
        <w:tc>
          <w:tcPr>
            <w:tcW w:w="7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58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1.以连续一小时的采样获取平均值或在一小时内以等时间间隔采集4个样品，并计平均值。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2.恶臭污染监测样品采集不少于3次，取最大测定值。</w:t>
            </w:r>
          </w:p>
        </w:tc>
        <w:tc>
          <w:tcPr>
            <w:tcW w:w="71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24</w:t>
            </w:r>
          </w:p>
        </w:tc>
        <w:tc>
          <w:tcPr>
            <w:tcW w:w="69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680"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15</w:t>
            </w:r>
          </w:p>
        </w:tc>
        <w:tc>
          <w:tcPr>
            <w:tcW w:w="785"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甲类库A9、乙类库A10及预处理车间排气筒A11 3个点位</w:t>
            </w:r>
          </w:p>
        </w:tc>
        <w:tc>
          <w:tcPr>
            <w:tcW w:w="158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氨（氨气）、臭气浓度、颗粒物、硫化氢、氟化物、VOCs、氯化氢</w:t>
            </w:r>
          </w:p>
        </w:tc>
        <w:tc>
          <w:tcPr>
            <w:tcW w:w="7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58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1.以连续一小时的采样获取平均值或在一小时内以等时间间隔采集4个样品，并计平均值。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2.恶臭污染监测样品采集不少于3次，取最大测定值。</w:t>
            </w:r>
          </w:p>
        </w:tc>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36</w:t>
            </w:r>
          </w:p>
        </w:tc>
        <w:tc>
          <w:tcPr>
            <w:tcW w:w="69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680"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16</w:t>
            </w:r>
          </w:p>
        </w:tc>
        <w:tc>
          <w:tcPr>
            <w:tcW w:w="785"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火法熔炼预处理车间排气筒A12 1个点位</w:t>
            </w:r>
          </w:p>
        </w:tc>
        <w:tc>
          <w:tcPr>
            <w:tcW w:w="158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VOCs、氨（氨气）、硫化氢</w:t>
            </w:r>
          </w:p>
        </w:tc>
        <w:tc>
          <w:tcPr>
            <w:tcW w:w="7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58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1.以连续一小时的采样获取平均值或在一小时内以等时间间隔采集4个样品，并计平均值。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2.恶臭污染监测样品采集不少于3次，取最大测定值。</w:t>
            </w:r>
          </w:p>
        </w:tc>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69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680"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17</w:t>
            </w:r>
          </w:p>
        </w:tc>
        <w:tc>
          <w:tcPr>
            <w:tcW w:w="785"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火法熔炼环集烟囱A21 1个点位</w:t>
            </w:r>
          </w:p>
        </w:tc>
        <w:tc>
          <w:tcPr>
            <w:tcW w:w="158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颗粒物</w:t>
            </w:r>
          </w:p>
        </w:tc>
        <w:tc>
          <w:tcPr>
            <w:tcW w:w="7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58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以连续一小时的采样获取平均值或在一小时内以等时间间隔采集四个样品，并计平均值。</w:t>
            </w:r>
          </w:p>
        </w:tc>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69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318"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18</w:t>
            </w:r>
          </w:p>
        </w:tc>
        <w:tc>
          <w:tcPr>
            <w:tcW w:w="785"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综合污水处理系统排气筒A16 1个点位</w:t>
            </w:r>
          </w:p>
        </w:tc>
        <w:tc>
          <w:tcPr>
            <w:tcW w:w="158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臭气浓度、硫化氢、氨（氨气）、VOCs</w:t>
            </w:r>
          </w:p>
        </w:tc>
        <w:tc>
          <w:tcPr>
            <w:tcW w:w="7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58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1.以连续一小时的采样获取平均值或在一小时内以等时间间隔采集四个样品，并计平均值。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2.恶臭污染监测样品采集不少于3次，取最大测定值。</w:t>
            </w:r>
          </w:p>
        </w:tc>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69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680"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19</w:t>
            </w:r>
          </w:p>
        </w:tc>
        <w:tc>
          <w:tcPr>
            <w:tcW w:w="785"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物化处理车间排气筒A14 1个点位</w:t>
            </w:r>
          </w:p>
        </w:tc>
        <w:tc>
          <w:tcPr>
            <w:tcW w:w="1588"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VOCs、氯化氢、硫酸雾、非甲烷总烃</w:t>
            </w:r>
          </w:p>
        </w:tc>
        <w:tc>
          <w:tcPr>
            <w:tcW w:w="701"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582"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1.以连续一小时的采样获取平均值或在一小时内以等时间间隔采集四个样品，并计平均值。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2.恶臭污染监测样品采集不少于3次，取最大测定值。</w:t>
            </w:r>
          </w:p>
        </w:tc>
        <w:tc>
          <w:tcPr>
            <w:tcW w:w="713"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698"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680" w:hRule="atLeast"/>
          <w:jc w:val="center"/>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20</w:t>
            </w:r>
          </w:p>
        </w:tc>
        <w:tc>
          <w:tcPr>
            <w:tcW w:w="785"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检测中心排气筒A019、A22  2个点位</w:t>
            </w:r>
          </w:p>
        </w:tc>
        <w:tc>
          <w:tcPr>
            <w:tcW w:w="15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颗粒物、VOCs、甲醇、甲醛、臭气浓度、氨（氨气）</w:t>
            </w:r>
            <w:r>
              <w:rPr>
                <w:rFonts w:hint="eastAsia" w:ascii="宋体" w:hAnsi="宋体" w:cs="宋体"/>
                <w:color w:val="auto"/>
                <w:szCs w:val="21"/>
                <w:highlight w:val="none"/>
                <w:vertAlign w:val="subscript"/>
              </w:rPr>
              <w:t>信息公开</w:t>
            </w:r>
          </w:p>
        </w:tc>
        <w:tc>
          <w:tcPr>
            <w:tcW w:w="7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58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1.以连续一小时的采样获取平均值或在一小时内以等时间间隔采集4个样品，并计平均值。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2.恶臭污染监测样品采集不少于3次，取最大测定值。</w:t>
            </w:r>
          </w:p>
        </w:tc>
        <w:tc>
          <w:tcPr>
            <w:tcW w:w="71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24</w:t>
            </w:r>
          </w:p>
        </w:tc>
        <w:tc>
          <w:tcPr>
            <w:tcW w:w="69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680" w:hRule="atLeast"/>
          <w:jc w:val="center"/>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21</w:t>
            </w:r>
          </w:p>
        </w:tc>
        <w:tc>
          <w:tcPr>
            <w:tcW w:w="785"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检测中心排气筒A020、A23、 A24、A25 4个点位</w:t>
            </w:r>
          </w:p>
        </w:tc>
        <w:tc>
          <w:tcPr>
            <w:tcW w:w="15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硫化氢、氟化物、氯化物、氨（氨气）、硫酸雾、氮氧化物</w:t>
            </w:r>
          </w:p>
        </w:tc>
        <w:tc>
          <w:tcPr>
            <w:tcW w:w="7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58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1.以连续一小时的采样获取平均值或在一小时内以等时间间隔采集4个样品，并计平均值。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2.恶臭污染监测样品采集不少于3次，取最大测定值。</w:t>
            </w:r>
          </w:p>
        </w:tc>
        <w:tc>
          <w:tcPr>
            <w:tcW w:w="71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48</w:t>
            </w:r>
          </w:p>
        </w:tc>
        <w:tc>
          <w:tcPr>
            <w:tcW w:w="69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680" w:hRule="atLeast"/>
          <w:jc w:val="center"/>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22</w:t>
            </w:r>
          </w:p>
        </w:tc>
        <w:tc>
          <w:tcPr>
            <w:tcW w:w="785"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vMerge w:val="restart"/>
            <w:tcBorders>
              <w:top w:val="nil"/>
              <w:left w:val="single" w:color="auto" w:sz="4" w:space="0"/>
              <w:bottom w:val="single" w:color="000000"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导热油炉排气口A27 1个点位</w:t>
            </w:r>
          </w:p>
        </w:tc>
        <w:tc>
          <w:tcPr>
            <w:tcW w:w="15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氮氧化物</w:t>
            </w:r>
          </w:p>
        </w:tc>
        <w:tc>
          <w:tcPr>
            <w:tcW w:w="7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158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以连续一小时的采样获取平均值或在一小时内以等时间间隔采集4个样品，并计平均值。</w:t>
            </w:r>
          </w:p>
        </w:tc>
        <w:tc>
          <w:tcPr>
            <w:tcW w:w="71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69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680" w:hRule="atLeast"/>
          <w:jc w:val="center"/>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23</w:t>
            </w:r>
          </w:p>
        </w:tc>
        <w:tc>
          <w:tcPr>
            <w:tcW w:w="785"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vMerge w:val="continue"/>
            <w:tcBorders>
              <w:top w:val="nil"/>
              <w:left w:val="single" w:color="auto" w:sz="4" w:space="0"/>
              <w:bottom w:val="single" w:color="000000" w:sz="4" w:space="0"/>
              <w:right w:val="single" w:color="auto" w:sz="4" w:space="0"/>
            </w:tcBorders>
            <w:vAlign w:val="center"/>
          </w:tcPr>
          <w:p>
            <w:pPr>
              <w:shd w:val="clear"/>
              <w:rPr>
                <w:rFonts w:ascii="宋体" w:hAnsi="宋体" w:cs="宋体"/>
                <w:color w:val="auto"/>
                <w:szCs w:val="21"/>
                <w:highlight w:val="none"/>
              </w:rPr>
            </w:pPr>
          </w:p>
        </w:tc>
        <w:tc>
          <w:tcPr>
            <w:tcW w:w="15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二氧化硫、颗粒物、氨（氨气）、硫化氢、非甲烷总烃</w:t>
            </w:r>
          </w:p>
        </w:tc>
        <w:tc>
          <w:tcPr>
            <w:tcW w:w="7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58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1.以连续一小时的采样获取平均值或在一小时内以等时间间隔采集4个样品，并计平均值。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2.恶臭污染监测样品采集不少于3次，取最大测定值。</w:t>
            </w:r>
          </w:p>
        </w:tc>
        <w:tc>
          <w:tcPr>
            <w:tcW w:w="71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69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810" w:hRule="atLeast"/>
          <w:jc w:val="center"/>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24</w:t>
            </w:r>
          </w:p>
        </w:tc>
        <w:tc>
          <w:tcPr>
            <w:tcW w:w="785"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vMerge w:val="continue"/>
            <w:tcBorders>
              <w:top w:val="nil"/>
              <w:left w:val="single" w:color="auto" w:sz="4" w:space="0"/>
              <w:bottom w:val="single" w:color="000000" w:sz="4" w:space="0"/>
              <w:right w:val="single" w:color="auto" w:sz="4" w:space="0"/>
            </w:tcBorders>
            <w:vAlign w:val="center"/>
          </w:tcPr>
          <w:p>
            <w:pPr>
              <w:shd w:val="clear"/>
              <w:rPr>
                <w:rFonts w:ascii="宋体" w:hAnsi="宋体" w:cs="宋体"/>
                <w:color w:val="auto"/>
                <w:szCs w:val="21"/>
                <w:highlight w:val="none"/>
              </w:rPr>
            </w:pPr>
          </w:p>
        </w:tc>
        <w:tc>
          <w:tcPr>
            <w:tcW w:w="15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林格曼黑度</w:t>
            </w:r>
          </w:p>
        </w:tc>
        <w:tc>
          <w:tcPr>
            <w:tcW w:w="7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158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71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c>
          <w:tcPr>
            <w:tcW w:w="69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776" w:hRule="atLeast"/>
          <w:jc w:val="center"/>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25</w:t>
            </w:r>
          </w:p>
        </w:tc>
        <w:tc>
          <w:tcPr>
            <w:tcW w:w="785"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食堂烟囱3个点</w:t>
            </w:r>
          </w:p>
        </w:tc>
        <w:tc>
          <w:tcPr>
            <w:tcW w:w="15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废气量、油烟浓度</w:t>
            </w:r>
          </w:p>
        </w:tc>
        <w:tc>
          <w:tcPr>
            <w:tcW w:w="7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158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71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c>
          <w:tcPr>
            <w:tcW w:w="69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550" w:hRule="atLeast"/>
          <w:jc w:val="center"/>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26</w:t>
            </w:r>
          </w:p>
        </w:tc>
        <w:tc>
          <w:tcPr>
            <w:tcW w:w="785"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无组织排放废气</w:t>
            </w:r>
          </w:p>
        </w:tc>
        <w:tc>
          <w:tcPr>
            <w:tcW w:w="116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上风向1个，下风向3个</w:t>
            </w:r>
          </w:p>
        </w:tc>
        <w:tc>
          <w:tcPr>
            <w:tcW w:w="15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氨（氨气）、臭气浓度、颗粒物、硫化氢、氟化物、VOCs、非甲烷总烃、氯化氢、氰化氢、甲醇、甲醛、氮氧化物、硫酸雾、镉及其化合物、铬及其化合物、铅及其化合物、砷及其化合物、锑及其化合物、锡及其化合物</w:t>
            </w:r>
          </w:p>
        </w:tc>
        <w:tc>
          <w:tcPr>
            <w:tcW w:w="7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158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1.气态污染物等时间间隔采样,采集4个样品计平均值。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2.恶臭污染监测样品采集不少于4次，取最大测定值。</w:t>
            </w:r>
          </w:p>
        </w:tc>
        <w:tc>
          <w:tcPr>
            <w:tcW w:w="71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64</w:t>
            </w:r>
          </w:p>
        </w:tc>
        <w:tc>
          <w:tcPr>
            <w:tcW w:w="69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3165" w:hRule="atLeast"/>
          <w:jc w:val="center"/>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27</w:t>
            </w:r>
          </w:p>
        </w:tc>
        <w:tc>
          <w:tcPr>
            <w:tcW w:w="78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厂区内废气</w:t>
            </w:r>
          </w:p>
        </w:tc>
        <w:tc>
          <w:tcPr>
            <w:tcW w:w="116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贮存（丙一、丙二、甲库、乙库）、焚烧预处理、焚烧料坑1#、焚烧料坑2#、熔炼预处理、物化废水及废矿物油储罐区合计10个点</w:t>
            </w:r>
          </w:p>
        </w:tc>
        <w:tc>
          <w:tcPr>
            <w:tcW w:w="15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非甲烷总烃</w:t>
            </w:r>
          </w:p>
        </w:tc>
        <w:tc>
          <w:tcPr>
            <w:tcW w:w="7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58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以连续一小时的采样获取平均值或在一小时内以等时间间隔采集四个样品，并计平均值。</w:t>
            </w:r>
          </w:p>
        </w:tc>
        <w:tc>
          <w:tcPr>
            <w:tcW w:w="71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40</w:t>
            </w:r>
          </w:p>
        </w:tc>
        <w:tc>
          <w:tcPr>
            <w:tcW w:w="69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465" w:hRule="atLeast"/>
          <w:jc w:val="center"/>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28</w:t>
            </w:r>
          </w:p>
        </w:tc>
        <w:tc>
          <w:tcPr>
            <w:tcW w:w="785" w:type="dxa"/>
            <w:vMerge w:val="restart"/>
            <w:tcBorders>
              <w:top w:val="nil"/>
              <w:left w:val="single" w:color="auto" w:sz="4" w:space="0"/>
              <w:bottom w:val="single" w:color="000000"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环境空气（敏感点）</w:t>
            </w:r>
          </w:p>
        </w:tc>
        <w:tc>
          <w:tcPr>
            <w:tcW w:w="1163" w:type="dxa"/>
            <w:vMerge w:val="restart"/>
            <w:tcBorders>
              <w:top w:val="nil"/>
              <w:left w:val="single" w:color="auto" w:sz="4" w:space="0"/>
              <w:bottom w:val="single" w:color="000000"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项目厂址、漳澎村、万科珠江东岸、恒大滨江左岸、梅沙村、泗安医院合计6个点</w:t>
            </w:r>
          </w:p>
        </w:tc>
        <w:tc>
          <w:tcPr>
            <w:tcW w:w="15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氯化氢、挥发性有机化合物、颗粒物、汞及其化合物、镉及其化合物、砷及其化合物、镍及其化合物、铅及其化合物、六价铬、铬及其化合物、锡及其化合物、锑及其化合物、铜及其化合物、锰及其化合物、氨（氨气）、硫化氢、臭气浓度</w:t>
            </w:r>
          </w:p>
        </w:tc>
        <w:tc>
          <w:tcPr>
            <w:tcW w:w="7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1次/半年</w:t>
            </w:r>
          </w:p>
        </w:tc>
        <w:tc>
          <w:tcPr>
            <w:tcW w:w="158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1.气态污染物等时间间隔采样,采集4个样品计平均值。</w:t>
            </w:r>
          </w:p>
          <w:p>
            <w:pPr>
              <w:shd w:val="clear"/>
              <w:jc w:val="center"/>
              <w:rPr>
                <w:rFonts w:ascii="宋体" w:hAnsi="宋体" w:cs="宋体"/>
                <w:color w:val="auto"/>
                <w:szCs w:val="21"/>
                <w:highlight w:val="none"/>
              </w:rPr>
            </w:pPr>
            <w:r>
              <w:rPr>
                <w:rFonts w:hint="eastAsia" w:ascii="宋体" w:hAnsi="宋体" w:cs="宋体"/>
                <w:color w:val="auto"/>
                <w:szCs w:val="21"/>
                <w:highlight w:val="none"/>
              </w:rPr>
              <w:t>2.恶臭污染监测样品采集不少于4次，取最大测定值。</w:t>
            </w:r>
          </w:p>
        </w:tc>
        <w:tc>
          <w:tcPr>
            <w:tcW w:w="71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48</w:t>
            </w:r>
          </w:p>
        </w:tc>
        <w:tc>
          <w:tcPr>
            <w:tcW w:w="69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560" w:hRule="atLeast"/>
          <w:jc w:val="center"/>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29</w:t>
            </w:r>
          </w:p>
        </w:tc>
        <w:tc>
          <w:tcPr>
            <w:tcW w:w="785" w:type="dxa"/>
            <w:vMerge w:val="continue"/>
            <w:tcBorders>
              <w:top w:val="nil"/>
              <w:left w:val="single" w:color="auto" w:sz="4" w:space="0"/>
              <w:bottom w:val="single" w:color="000000" w:sz="4" w:space="0"/>
              <w:right w:val="single" w:color="auto" w:sz="4" w:space="0"/>
            </w:tcBorders>
            <w:vAlign w:val="center"/>
          </w:tcPr>
          <w:p>
            <w:pPr>
              <w:shd w:val="clear"/>
              <w:rPr>
                <w:rFonts w:ascii="宋体" w:hAnsi="宋体" w:cs="宋体"/>
                <w:color w:val="auto"/>
                <w:szCs w:val="21"/>
                <w:highlight w:val="none"/>
              </w:rPr>
            </w:pPr>
          </w:p>
        </w:tc>
        <w:tc>
          <w:tcPr>
            <w:tcW w:w="1163" w:type="dxa"/>
            <w:vMerge w:val="continue"/>
            <w:tcBorders>
              <w:top w:val="nil"/>
              <w:left w:val="single" w:color="auto" w:sz="4" w:space="0"/>
              <w:bottom w:val="single" w:color="000000" w:sz="4" w:space="0"/>
              <w:right w:val="single" w:color="auto" w:sz="4" w:space="0"/>
            </w:tcBorders>
            <w:vAlign w:val="center"/>
          </w:tcPr>
          <w:p>
            <w:pPr>
              <w:shd w:val="clear"/>
              <w:rPr>
                <w:rFonts w:ascii="宋体" w:hAnsi="宋体" w:cs="宋体"/>
                <w:color w:val="auto"/>
                <w:szCs w:val="21"/>
                <w:highlight w:val="none"/>
              </w:rPr>
            </w:pPr>
          </w:p>
        </w:tc>
        <w:tc>
          <w:tcPr>
            <w:tcW w:w="15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二噁英类</w:t>
            </w:r>
          </w:p>
        </w:tc>
        <w:tc>
          <w:tcPr>
            <w:tcW w:w="7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158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每期监测每个监测点位应取得至少3天的样品，且每天采样时间不少于18小时。</w:t>
            </w:r>
          </w:p>
        </w:tc>
        <w:tc>
          <w:tcPr>
            <w:tcW w:w="71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18</w:t>
            </w:r>
          </w:p>
        </w:tc>
        <w:tc>
          <w:tcPr>
            <w:tcW w:w="69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625" w:hRule="atLeast"/>
          <w:jc w:val="center"/>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30</w:t>
            </w:r>
          </w:p>
        </w:tc>
        <w:tc>
          <w:tcPr>
            <w:tcW w:w="785" w:type="dxa"/>
            <w:vMerge w:val="restart"/>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浓缩液废水</w:t>
            </w:r>
          </w:p>
        </w:tc>
        <w:tc>
          <w:tcPr>
            <w:tcW w:w="1163" w:type="dxa"/>
            <w:vMerge w:val="restart"/>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废水进口</w:t>
            </w:r>
          </w:p>
        </w:tc>
        <w:tc>
          <w:tcPr>
            <w:tcW w:w="15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流量、化学需氧量、氨氮</w:t>
            </w:r>
          </w:p>
        </w:tc>
        <w:tc>
          <w:tcPr>
            <w:tcW w:w="7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158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1.化学需氧量、氨氮比对试验总数不少于三对；</w:t>
            </w:r>
          </w:p>
          <w:p>
            <w:pPr>
              <w:shd w:val="clear"/>
              <w:jc w:val="center"/>
              <w:rPr>
                <w:rFonts w:ascii="宋体" w:hAnsi="宋体" w:cs="宋体"/>
                <w:color w:val="auto"/>
                <w:szCs w:val="21"/>
                <w:highlight w:val="none"/>
              </w:rPr>
            </w:pPr>
            <w:r>
              <w:rPr>
                <w:rFonts w:hint="eastAsia" w:ascii="宋体" w:hAnsi="宋体" w:cs="宋体"/>
                <w:color w:val="auto"/>
                <w:szCs w:val="21"/>
                <w:highlight w:val="none"/>
              </w:rPr>
              <w:t>2.流量为电磁流量计，另外委托计量单位每年检验。</w:t>
            </w:r>
          </w:p>
        </w:tc>
        <w:tc>
          <w:tcPr>
            <w:tcW w:w="71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69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847" w:hRule="atLeast"/>
          <w:jc w:val="center"/>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31</w:t>
            </w:r>
          </w:p>
        </w:tc>
        <w:tc>
          <w:tcPr>
            <w:tcW w:w="785" w:type="dxa"/>
            <w:vMerge w:val="continue"/>
            <w:tcBorders>
              <w:top w:val="nil"/>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vMerge w:val="continue"/>
            <w:tcBorders>
              <w:top w:val="nil"/>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5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总磷、总氮</w:t>
            </w:r>
          </w:p>
        </w:tc>
        <w:tc>
          <w:tcPr>
            <w:tcW w:w="7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1次/日</w:t>
            </w:r>
          </w:p>
        </w:tc>
        <w:tc>
          <w:tcPr>
            <w:tcW w:w="158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71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365</w:t>
            </w:r>
          </w:p>
        </w:tc>
        <w:tc>
          <w:tcPr>
            <w:tcW w:w="69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140" w:hRule="atLeast"/>
          <w:jc w:val="center"/>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32</w:t>
            </w:r>
          </w:p>
        </w:tc>
        <w:tc>
          <w:tcPr>
            <w:tcW w:w="785" w:type="dxa"/>
            <w:vMerge w:val="continue"/>
            <w:tcBorders>
              <w:top w:val="nil"/>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废水出口（编号DW002）</w:t>
            </w:r>
          </w:p>
        </w:tc>
        <w:tc>
          <w:tcPr>
            <w:tcW w:w="158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pH值、水温、化学需氧量、氨氮、总磷、总氮</w:t>
            </w:r>
          </w:p>
        </w:tc>
        <w:tc>
          <w:tcPr>
            <w:tcW w:w="7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158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1.化学需氧量、氨氮、总磷、总氮比对试验总数不少于三对，pH值、水温5个瞬时样；2.流量为电磁流量计，另外委托计量单位每年检验。</w:t>
            </w:r>
          </w:p>
        </w:tc>
        <w:tc>
          <w:tcPr>
            <w:tcW w:w="71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69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140" w:hRule="atLeast"/>
          <w:jc w:val="center"/>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33</w:t>
            </w:r>
          </w:p>
        </w:tc>
        <w:tc>
          <w:tcPr>
            <w:tcW w:w="785" w:type="dxa"/>
            <w:vMerge w:val="continue"/>
            <w:tcBorders>
              <w:top w:val="nil"/>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58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总镉、总铬、总汞、总铅、总砷、六价铬、悬浮物、色度</w:t>
            </w:r>
          </w:p>
        </w:tc>
        <w:tc>
          <w:tcPr>
            <w:tcW w:w="7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158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71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69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140" w:hRule="atLeast"/>
          <w:jc w:val="center"/>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34</w:t>
            </w:r>
          </w:p>
        </w:tc>
        <w:tc>
          <w:tcPr>
            <w:tcW w:w="785" w:type="dxa"/>
            <w:vMerge w:val="continue"/>
            <w:tcBorders>
              <w:top w:val="nil"/>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58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五日生化需氧量、石油类、粪大肠菌群数/（MPN/L）</w:t>
            </w:r>
          </w:p>
        </w:tc>
        <w:tc>
          <w:tcPr>
            <w:tcW w:w="7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58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71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c>
          <w:tcPr>
            <w:tcW w:w="69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695" w:hRule="atLeast"/>
          <w:jc w:val="center"/>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35</w:t>
            </w:r>
          </w:p>
        </w:tc>
        <w:tc>
          <w:tcPr>
            <w:tcW w:w="785"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回用水</w:t>
            </w:r>
          </w:p>
        </w:tc>
        <w:tc>
          <w:tcPr>
            <w:tcW w:w="1163"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综合污水处理池进口</w:t>
            </w:r>
          </w:p>
        </w:tc>
        <w:tc>
          <w:tcPr>
            <w:tcW w:w="1588"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水温、pH值、五日生化需氧量、化学需氧量、氨氮、氟化物、汞、镉、六价铬、砷、铅、悬浮物、石油类、挥发酚类、总镍、总铜、总锌</w:t>
            </w:r>
          </w:p>
        </w:tc>
        <w:tc>
          <w:tcPr>
            <w:tcW w:w="7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58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71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c>
          <w:tcPr>
            <w:tcW w:w="69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935" w:hRule="atLeast"/>
          <w:jc w:val="center"/>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36</w:t>
            </w:r>
          </w:p>
        </w:tc>
        <w:tc>
          <w:tcPr>
            <w:tcW w:w="785"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综合污水处理排放口</w:t>
            </w:r>
          </w:p>
        </w:tc>
        <w:tc>
          <w:tcPr>
            <w:tcW w:w="15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pH值、五日生化需氧量、化学需氧量、氨氮、氟化物、粪大肠菌群数、总余氯、汞、镉、铬、六价铬、砷、铅、悬浮物、石油类、挥发酚类、总磷、总镍、总铜、总锌</w:t>
            </w:r>
          </w:p>
        </w:tc>
        <w:tc>
          <w:tcPr>
            <w:tcW w:w="7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58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71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c>
          <w:tcPr>
            <w:tcW w:w="69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665" w:hRule="atLeast"/>
          <w:jc w:val="center"/>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37</w:t>
            </w:r>
          </w:p>
        </w:tc>
        <w:tc>
          <w:tcPr>
            <w:tcW w:w="78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雨水</w:t>
            </w:r>
          </w:p>
        </w:tc>
        <w:tc>
          <w:tcPr>
            <w:tcW w:w="116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北侧雨水排放口（编号DW001）、南侧雨水排放口（编号DW003），合计2个点</w:t>
            </w:r>
          </w:p>
        </w:tc>
        <w:tc>
          <w:tcPr>
            <w:tcW w:w="15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pH值、悬浮物、化学需氧量、氨氮、石油类</w:t>
            </w:r>
          </w:p>
        </w:tc>
        <w:tc>
          <w:tcPr>
            <w:tcW w:w="7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2次/周</w:t>
            </w:r>
          </w:p>
        </w:tc>
        <w:tc>
          <w:tcPr>
            <w:tcW w:w="158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采样时间间隔不少于4h，采样频次不少于3次。</w:t>
            </w:r>
          </w:p>
        </w:tc>
        <w:tc>
          <w:tcPr>
            <w:tcW w:w="71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624</w:t>
            </w:r>
          </w:p>
        </w:tc>
        <w:tc>
          <w:tcPr>
            <w:tcW w:w="69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334" w:hRule="atLeast"/>
          <w:jc w:val="center"/>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38</w:t>
            </w:r>
          </w:p>
        </w:tc>
        <w:tc>
          <w:tcPr>
            <w:tcW w:w="785"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地表水</w:t>
            </w:r>
          </w:p>
        </w:tc>
        <w:tc>
          <w:tcPr>
            <w:tcW w:w="116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项目下游（W1淡水河Ⅲ类水）、项目下游（W2太阳洲西海Ⅳ类水）</w:t>
            </w:r>
          </w:p>
        </w:tc>
        <w:tc>
          <w:tcPr>
            <w:tcW w:w="158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悬浮物、溶解氧、化学需氧量、五日生化需氧量、氨氮、总磷、高锰酸盐指数、挥发酚类、石油类、硫化物、砷、铅、镉、汞、六价铬、铬、银、铜、锌、铁、镍、硫酸盐、硝酸盐、氯化物、氰化物、氟化物、粪大肠菌群、阴离子表面活性剂LAS</w:t>
            </w:r>
          </w:p>
        </w:tc>
        <w:tc>
          <w:tcPr>
            <w:tcW w:w="70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1582"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71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w:t>
            </w:r>
          </w:p>
        </w:tc>
        <w:tc>
          <w:tcPr>
            <w:tcW w:w="69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145"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39</w:t>
            </w:r>
          </w:p>
        </w:tc>
        <w:tc>
          <w:tcPr>
            <w:tcW w:w="78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地下水</w:t>
            </w:r>
          </w:p>
        </w:tc>
        <w:tc>
          <w:tcPr>
            <w:tcW w:w="11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6个监测井（本底井W1、跟踪监视井W2、跟踪监视井W3、监测井W4、污染扩散井W5及污染扩散井W6）</w:t>
            </w:r>
          </w:p>
        </w:tc>
        <w:tc>
          <w:tcPr>
            <w:tcW w:w="158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浑浊度、PH值、溶解性总固体、氯化物、高猛酸盐指数、硝酸盐、亚硝酸盐（以N计）、氨氮（以N计）、挥发酚类、硫酸盐、硫化物、氰化物、铅、汞、镉、六价铬、砷、锑、镍、电导率</w:t>
            </w:r>
          </w:p>
        </w:tc>
        <w:tc>
          <w:tcPr>
            <w:tcW w:w="7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58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24</w:t>
            </w:r>
          </w:p>
        </w:tc>
        <w:tc>
          <w:tcPr>
            <w:tcW w:w="69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665"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40</w:t>
            </w:r>
          </w:p>
        </w:tc>
        <w:tc>
          <w:tcPr>
            <w:tcW w:w="785"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厂界噪声</w:t>
            </w:r>
          </w:p>
        </w:tc>
        <w:tc>
          <w:tcPr>
            <w:tcW w:w="1163"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东、南、西、北四个方向各取一个点（V1、V2、V3、V4，合计4个点。）</w:t>
            </w:r>
          </w:p>
        </w:tc>
        <w:tc>
          <w:tcPr>
            <w:tcW w:w="1588"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厂界噪声，等效连续A声级</w:t>
            </w:r>
          </w:p>
        </w:tc>
        <w:tc>
          <w:tcPr>
            <w:tcW w:w="701"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582"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每个监测点每期监测需昼、夜各测1次</w:t>
            </w:r>
          </w:p>
        </w:tc>
        <w:tc>
          <w:tcPr>
            <w:tcW w:w="713"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32</w:t>
            </w:r>
          </w:p>
        </w:tc>
        <w:tc>
          <w:tcPr>
            <w:tcW w:w="698"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965"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41</w:t>
            </w:r>
          </w:p>
        </w:tc>
        <w:tc>
          <w:tcPr>
            <w:tcW w:w="785"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焚烧设备噪声</w:t>
            </w:r>
          </w:p>
        </w:tc>
        <w:tc>
          <w:tcPr>
            <w:tcW w:w="11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焚烧1#F式引风机、循环水泵、空压机房、消石灰系统（罗茨风机）、主燃烧风机、进料液压站、破碎机、辊筒机、清水泵等9处设备噪声</w:t>
            </w:r>
          </w:p>
        </w:tc>
        <w:tc>
          <w:tcPr>
            <w:tcW w:w="158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设备运行噪声</w:t>
            </w:r>
          </w:p>
        </w:tc>
        <w:tc>
          <w:tcPr>
            <w:tcW w:w="7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58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36</w:t>
            </w:r>
          </w:p>
        </w:tc>
        <w:tc>
          <w:tcPr>
            <w:tcW w:w="69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935"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42</w:t>
            </w:r>
          </w:p>
        </w:tc>
        <w:tc>
          <w:tcPr>
            <w:tcW w:w="785"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焚烧2#引风机、引风机、循环水泵、空压机房、消石灰系统（罗茨风机）、主燃烧风机、进料液压站、辊筒机、清水泵等8处设备噪声</w:t>
            </w:r>
          </w:p>
        </w:tc>
        <w:tc>
          <w:tcPr>
            <w:tcW w:w="158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设备运行噪声</w:t>
            </w:r>
          </w:p>
        </w:tc>
        <w:tc>
          <w:tcPr>
            <w:tcW w:w="7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58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32</w:t>
            </w:r>
          </w:p>
        </w:tc>
        <w:tc>
          <w:tcPr>
            <w:tcW w:w="69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800"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43</w:t>
            </w:r>
          </w:p>
        </w:tc>
        <w:tc>
          <w:tcPr>
            <w:tcW w:w="78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物化废水设备噪声</w:t>
            </w:r>
          </w:p>
        </w:tc>
        <w:tc>
          <w:tcPr>
            <w:tcW w:w="11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物化卸料区、物化污泥压滤区、废水污泥压滤区、空压机、冷干机、生化空气悬浮风机及单效蒸发釜、装卸等区域噪声9处。</w:t>
            </w:r>
          </w:p>
        </w:tc>
        <w:tc>
          <w:tcPr>
            <w:tcW w:w="158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设备运行噪声</w:t>
            </w:r>
          </w:p>
        </w:tc>
        <w:tc>
          <w:tcPr>
            <w:tcW w:w="7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58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36</w:t>
            </w:r>
          </w:p>
        </w:tc>
        <w:tc>
          <w:tcPr>
            <w:tcW w:w="69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770"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44</w:t>
            </w:r>
          </w:p>
        </w:tc>
        <w:tc>
          <w:tcPr>
            <w:tcW w:w="78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熔炼设备噪声</w:t>
            </w:r>
          </w:p>
        </w:tc>
        <w:tc>
          <w:tcPr>
            <w:tcW w:w="11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原料卸料存储区、预处理干燥区、物料称重下料区、引风机、鼓风机、空压机、制氧站等设备噪声7处。</w:t>
            </w:r>
          </w:p>
        </w:tc>
        <w:tc>
          <w:tcPr>
            <w:tcW w:w="158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设备运行噪声</w:t>
            </w:r>
          </w:p>
        </w:tc>
        <w:tc>
          <w:tcPr>
            <w:tcW w:w="7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158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28</w:t>
            </w:r>
          </w:p>
        </w:tc>
        <w:tc>
          <w:tcPr>
            <w:tcW w:w="69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339"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45</w:t>
            </w:r>
          </w:p>
        </w:tc>
        <w:tc>
          <w:tcPr>
            <w:tcW w:w="78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土壤</w:t>
            </w:r>
          </w:p>
        </w:tc>
        <w:tc>
          <w:tcPr>
            <w:tcW w:w="1163" w:type="dxa"/>
            <w:tcBorders>
              <w:top w:val="single" w:color="auto" w:sz="4" w:space="0"/>
              <w:left w:val="single" w:color="auto" w:sz="4" w:space="0"/>
              <w:bottom w:val="single" w:color="auto" w:sz="4" w:space="0"/>
              <w:right w:val="single" w:color="auto" w:sz="4" w:space="0"/>
            </w:tcBorders>
            <w:vAlign w:val="center"/>
          </w:tcPr>
          <w:p>
            <w:pPr>
              <w:shd w:val="clear"/>
              <w:rPr>
                <w:rFonts w:ascii="宋体" w:hAnsi="宋体" w:cs="宋体"/>
                <w:color w:val="auto"/>
                <w:szCs w:val="21"/>
                <w:highlight w:val="none"/>
              </w:rPr>
            </w:pPr>
            <w:r>
              <w:rPr>
                <w:rFonts w:hint="eastAsia" w:ascii="宋体" w:hAnsi="宋体" w:cs="宋体"/>
                <w:color w:val="auto"/>
                <w:szCs w:val="21"/>
                <w:highlight w:val="none"/>
              </w:rPr>
              <w:t>在厂区周边设3个监测点S1、S2、S3；厂区周边南侧和西侧基本农田保护S4、S5，合计5个点</w:t>
            </w:r>
          </w:p>
        </w:tc>
        <w:tc>
          <w:tcPr>
            <w:tcW w:w="158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pH值、汞、砷、镉、铅、铬（六价）、铜、镍、锑、锌</w:t>
            </w:r>
          </w:p>
        </w:tc>
        <w:tc>
          <w:tcPr>
            <w:tcW w:w="7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1次/半年</w:t>
            </w:r>
          </w:p>
        </w:tc>
        <w:tc>
          <w:tcPr>
            <w:tcW w:w="158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713"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10</w:t>
            </w:r>
          </w:p>
        </w:tc>
        <w:tc>
          <w:tcPr>
            <w:tcW w:w="698"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339" w:hRule="atLeast"/>
          <w:jc w:val="center"/>
        </w:trPr>
        <w:tc>
          <w:tcPr>
            <w:tcW w:w="607" w:type="dxa"/>
            <w:tcBorders>
              <w:top w:val="nil"/>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46</w:t>
            </w:r>
          </w:p>
        </w:tc>
        <w:tc>
          <w:tcPr>
            <w:tcW w:w="785"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炉渣</w:t>
            </w:r>
          </w:p>
        </w:tc>
        <w:tc>
          <w:tcPr>
            <w:tcW w:w="1163"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焚烧1#、焚烧2#合计2个点</w:t>
            </w:r>
          </w:p>
        </w:tc>
        <w:tc>
          <w:tcPr>
            <w:tcW w:w="1588"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热灼减率</w:t>
            </w:r>
          </w:p>
        </w:tc>
        <w:tc>
          <w:tcPr>
            <w:tcW w:w="701"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1次/周</w:t>
            </w:r>
          </w:p>
        </w:tc>
        <w:tc>
          <w:tcPr>
            <w:tcW w:w="1582"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71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104</w:t>
            </w:r>
          </w:p>
        </w:tc>
        <w:tc>
          <w:tcPr>
            <w:tcW w:w="69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970" w:hRule="atLeast"/>
          <w:jc w:val="center"/>
        </w:trPr>
        <w:tc>
          <w:tcPr>
            <w:tcW w:w="6426" w:type="dxa"/>
            <w:gridSpan w:val="6"/>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小计</w:t>
            </w:r>
          </w:p>
        </w:tc>
        <w:tc>
          <w:tcPr>
            <w:tcW w:w="713"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1981</w:t>
            </w:r>
          </w:p>
        </w:tc>
        <w:tc>
          <w:tcPr>
            <w:tcW w:w="698"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681" w:type="dxa"/>
            <w:tcBorders>
              <w:top w:val="nil"/>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970" w:hRule="atLeast"/>
          <w:jc w:val="center"/>
        </w:trPr>
        <w:tc>
          <w:tcPr>
            <w:tcW w:w="6426" w:type="dxa"/>
            <w:gridSpan w:val="6"/>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价格合计</w:t>
            </w:r>
          </w:p>
        </w:tc>
        <w:tc>
          <w:tcPr>
            <w:tcW w:w="2092" w:type="dxa"/>
            <w:gridSpan w:val="3"/>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bl>
    <w:p>
      <w:pPr>
        <w:shd w:val="clear"/>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凤岗项目委外环境监测报价</w:t>
      </w:r>
    </w:p>
    <w:tbl>
      <w:tblPr>
        <w:tblStyle w:val="30"/>
        <w:tblW w:w="8665" w:type="dxa"/>
        <w:tblInd w:w="-147" w:type="dxa"/>
        <w:tblLayout w:type="fixed"/>
        <w:tblCellMar>
          <w:top w:w="0" w:type="dxa"/>
          <w:left w:w="108" w:type="dxa"/>
          <w:bottom w:w="0" w:type="dxa"/>
          <w:right w:w="108" w:type="dxa"/>
        </w:tblCellMar>
      </w:tblPr>
      <w:tblGrid>
        <w:gridCol w:w="508"/>
        <w:gridCol w:w="648"/>
        <w:gridCol w:w="2378"/>
        <w:gridCol w:w="1291"/>
        <w:gridCol w:w="816"/>
        <w:gridCol w:w="849"/>
        <w:gridCol w:w="730"/>
        <w:gridCol w:w="730"/>
        <w:gridCol w:w="715"/>
      </w:tblGrid>
      <w:tr>
        <w:tblPrEx>
          <w:tblCellMar>
            <w:top w:w="0" w:type="dxa"/>
            <w:left w:w="108" w:type="dxa"/>
            <w:bottom w:w="0" w:type="dxa"/>
            <w:right w:w="108" w:type="dxa"/>
          </w:tblCellMar>
        </w:tblPrEx>
        <w:trPr>
          <w:trHeight w:val="692" w:hRule="atLeast"/>
          <w:tblHeader/>
        </w:trPr>
        <w:tc>
          <w:tcPr>
            <w:tcW w:w="50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项目</w:t>
            </w:r>
          </w:p>
        </w:tc>
        <w:tc>
          <w:tcPr>
            <w:tcW w:w="237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监测点位</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监测因子</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监测频次</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c>
          <w:tcPr>
            <w:tcW w:w="730" w:type="dxa"/>
            <w:tcBorders>
              <w:top w:val="single" w:color="auto" w:sz="4" w:space="0"/>
              <w:left w:val="single" w:color="auto" w:sz="4" w:space="0"/>
              <w:bottom w:val="single" w:color="auto" w:sz="4" w:space="0"/>
              <w:right w:val="single" w:color="auto" w:sz="4" w:space="0"/>
            </w:tcBorders>
            <w:shd w:val="clear" w:color="000000"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年样品数量</w:t>
            </w:r>
          </w:p>
        </w:tc>
        <w:tc>
          <w:tcPr>
            <w:tcW w:w="730" w:type="dxa"/>
            <w:tcBorders>
              <w:top w:val="single" w:color="auto" w:sz="4" w:space="0"/>
              <w:left w:val="single" w:color="auto" w:sz="4" w:space="0"/>
              <w:bottom w:val="single" w:color="auto" w:sz="4" w:space="0"/>
              <w:right w:val="single" w:color="auto" w:sz="4" w:space="0"/>
            </w:tcBorders>
            <w:shd w:val="clear" w:color="000000"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单价</w:t>
            </w:r>
          </w:p>
        </w:tc>
        <w:tc>
          <w:tcPr>
            <w:tcW w:w="715" w:type="dxa"/>
            <w:tcBorders>
              <w:top w:val="single" w:color="auto" w:sz="4" w:space="0"/>
              <w:left w:val="single" w:color="auto" w:sz="4" w:space="0"/>
              <w:bottom w:val="single" w:color="auto" w:sz="4" w:space="0"/>
              <w:right w:val="single" w:color="auto" w:sz="4" w:space="0"/>
            </w:tcBorders>
            <w:shd w:val="clear" w:color="000000" w:fill="auto"/>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合计</w:t>
            </w:r>
          </w:p>
        </w:tc>
      </w:tr>
      <w:tr>
        <w:tblPrEx>
          <w:tblCellMar>
            <w:top w:w="0" w:type="dxa"/>
            <w:left w:w="108" w:type="dxa"/>
            <w:bottom w:w="0" w:type="dxa"/>
            <w:right w:w="108" w:type="dxa"/>
          </w:tblCellMar>
        </w:tblPrEx>
        <w:trPr>
          <w:trHeight w:val="1339" w:hRule="atLeast"/>
        </w:trPr>
        <w:tc>
          <w:tcPr>
            <w:tcW w:w="50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c>
          <w:tcPr>
            <w:tcW w:w="648"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废水</w:t>
            </w:r>
          </w:p>
        </w:tc>
        <w:tc>
          <w:tcPr>
            <w:tcW w:w="2378"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废水排放口DW001</w:t>
            </w:r>
          </w:p>
        </w:tc>
        <w:tc>
          <w:tcPr>
            <w:tcW w:w="129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化学需氧量、氨氮、总磷、总氮</w:t>
            </w:r>
          </w:p>
        </w:tc>
        <w:tc>
          <w:tcPr>
            <w:tcW w:w="81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8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73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73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339" w:hRule="atLeast"/>
        </w:trPr>
        <w:tc>
          <w:tcPr>
            <w:tcW w:w="50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w:t>
            </w:r>
          </w:p>
        </w:tc>
        <w:tc>
          <w:tcPr>
            <w:tcW w:w="648" w:type="dxa"/>
            <w:vMerge w:val="continue"/>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2378" w:type="dxa"/>
            <w:vMerge w:val="continue"/>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悬浮物、五日生化需氧量、粪大肠菌群</w:t>
            </w:r>
          </w:p>
        </w:tc>
        <w:tc>
          <w:tcPr>
            <w:tcW w:w="81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8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73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c>
          <w:tcPr>
            <w:tcW w:w="73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339" w:hRule="atLeast"/>
        </w:trPr>
        <w:tc>
          <w:tcPr>
            <w:tcW w:w="50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c>
          <w:tcPr>
            <w:tcW w:w="648" w:type="dxa"/>
            <w:vMerge w:val="continue"/>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2378" w:type="dxa"/>
            <w:vMerge w:val="continue"/>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色度、总汞、总镉、总铬、总砷、六价铬、总铅</w:t>
            </w:r>
          </w:p>
        </w:tc>
        <w:tc>
          <w:tcPr>
            <w:tcW w:w="81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8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73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c>
          <w:tcPr>
            <w:tcW w:w="73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339" w:hRule="atLeast"/>
        </w:trPr>
        <w:tc>
          <w:tcPr>
            <w:tcW w:w="50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c>
          <w:tcPr>
            <w:tcW w:w="64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无组织废气</w:t>
            </w:r>
          </w:p>
        </w:tc>
        <w:tc>
          <w:tcPr>
            <w:tcW w:w="237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项目周界处，上风向1个点，下风向3个点，合计4个点。</w:t>
            </w:r>
          </w:p>
        </w:tc>
        <w:tc>
          <w:tcPr>
            <w:tcW w:w="129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硫化氢、氨（氨气）、臭气浓度</w:t>
            </w:r>
          </w:p>
        </w:tc>
        <w:tc>
          <w:tcPr>
            <w:tcW w:w="81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8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恶臭污染监测样品采集不少于4次，取最大测定值。</w:t>
            </w:r>
          </w:p>
        </w:tc>
        <w:tc>
          <w:tcPr>
            <w:tcW w:w="73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64</w:t>
            </w:r>
          </w:p>
        </w:tc>
        <w:tc>
          <w:tcPr>
            <w:tcW w:w="73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1339" w:hRule="atLeast"/>
        </w:trPr>
        <w:tc>
          <w:tcPr>
            <w:tcW w:w="50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5</w:t>
            </w:r>
          </w:p>
        </w:tc>
        <w:tc>
          <w:tcPr>
            <w:tcW w:w="64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有组织废气</w:t>
            </w:r>
          </w:p>
        </w:tc>
        <w:tc>
          <w:tcPr>
            <w:tcW w:w="237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除臭设备排放口</w:t>
            </w:r>
          </w:p>
        </w:tc>
        <w:tc>
          <w:tcPr>
            <w:tcW w:w="129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硫化氢、氨（氨气）、臭气浓度</w:t>
            </w:r>
          </w:p>
        </w:tc>
        <w:tc>
          <w:tcPr>
            <w:tcW w:w="81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1次/半年</w:t>
            </w:r>
          </w:p>
        </w:tc>
        <w:tc>
          <w:tcPr>
            <w:tcW w:w="84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恶臭污染监测样品采集不少于3次，取最大测定值。</w:t>
            </w:r>
          </w:p>
        </w:tc>
        <w:tc>
          <w:tcPr>
            <w:tcW w:w="73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w:t>
            </w:r>
          </w:p>
        </w:tc>
        <w:tc>
          <w:tcPr>
            <w:tcW w:w="73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547" w:hRule="atLeast"/>
        </w:trPr>
        <w:tc>
          <w:tcPr>
            <w:tcW w:w="6490" w:type="dxa"/>
            <w:gridSpan w:val="6"/>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小计</w:t>
            </w:r>
          </w:p>
        </w:tc>
        <w:tc>
          <w:tcPr>
            <w:tcW w:w="730"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87</w:t>
            </w:r>
          </w:p>
        </w:tc>
        <w:tc>
          <w:tcPr>
            <w:tcW w:w="730"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c>
          <w:tcPr>
            <w:tcW w:w="715" w:type="dxa"/>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547" w:hRule="atLeast"/>
        </w:trPr>
        <w:tc>
          <w:tcPr>
            <w:tcW w:w="6490" w:type="dxa"/>
            <w:gridSpan w:val="6"/>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价格合计</w:t>
            </w:r>
          </w:p>
        </w:tc>
        <w:tc>
          <w:tcPr>
            <w:tcW w:w="2175" w:type="dxa"/>
            <w:gridSpan w:val="3"/>
            <w:tcBorders>
              <w:top w:val="single" w:color="auto" w:sz="4" w:space="0"/>
              <w:left w:val="nil"/>
              <w:bottom w:val="single" w:color="auto" w:sz="4" w:space="0"/>
              <w:right w:val="single" w:color="auto" w:sz="4" w:space="0"/>
            </w:tcBorders>
            <w:vAlign w:val="center"/>
          </w:tcPr>
          <w:p>
            <w:pPr>
              <w:shd w:val="clear"/>
              <w:jc w:val="center"/>
              <w:rPr>
                <w:rFonts w:ascii="宋体" w:hAnsi="宋体" w:cs="宋体"/>
                <w:color w:val="auto"/>
                <w:szCs w:val="21"/>
                <w:highlight w:val="none"/>
              </w:rPr>
            </w:pPr>
          </w:p>
        </w:tc>
      </w:tr>
    </w:tbl>
    <w:p>
      <w:pPr>
        <w:pStyle w:val="59"/>
        <w:shd w:val="clear"/>
        <w:ind w:firstLine="0" w:firstLineChars="0"/>
        <w:jc w:val="center"/>
        <w:rPr>
          <w:rFonts w:ascii="宋体" w:hAnsi="宋体" w:cs="宋体"/>
          <w:b/>
          <w:color w:val="auto"/>
          <w:sz w:val="21"/>
          <w:szCs w:val="21"/>
          <w:highlight w:val="none"/>
        </w:rPr>
      </w:pPr>
      <w:r>
        <w:rPr>
          <w:rFonts w:hint="eastAsia" w:ascii="宋体" w:hAnsi="宋体" w:cs="宋体"/>
          <w:b/>
          <w:color w:val="auto"/>
          <w:sz w:val="21"/>
          <w:szCs w:val="21"/>
          <w:highlight w:val="none"/>
        </w:rPr>
        <w:t>东莞市新东元环保投资有限公司海心沙环保热电厂项目</w:t>
      </w:r>
    </w:p>
    <w:p>
      <w:pPr>
        <w:shd w:val="clear"/>
        <w:ind w:firstLine="480"/>
        <w:jc w:val="both"/>
        <w:rPr>
          <w:rFonts w:ascii="宋体" w:hAnsi="宋体" w:cs="宋体"/>
          <w:color w:val="auto"/>
          <w:szCs w:val="21"/>
          <w:highlight w:val="none"/>
        </w:rPr>
      </w:pPr>
      <w:r>
        <w:rPr>
          <w:rFonts w:hint="eastAsia" w:ascii="宋体" w:hAnsi="宋体" w:cs="宋体"/>
          <w:color w:val="auto"/>
          <w:szCs w:val="21"/>
          <w:highlight w:val="none"/>
        </w:rPr>
        <w:t>海心沙热电环境监测报价</w:t>
      </w:r>
    </w:p>
    <w:tbl>
      <w:tblPr>
        <w:tblStyle w:val="30"/>
        <w:tblW w:w="8833" w:type="dxa"/>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687"/>
        <w:gridCol w:w="803"/>
        <w:gridCol w:w="1095"/>
        <w:gridCol w:w="1086"/>
        <w:gridCol w:w="2372"/>
        <w:gridCol w:w="751"/>
        <w:gridCol w:w="747"/>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trPr>
        <w:tc>
          <w:tcPr>
            <w:tcW w:w="558" w:type="dxa"/>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87" w:type="dxa"/>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项目</w:t>
            </w:r>
          </w:p>
        </w:tc>
        <w:tc>
          <w:tcPr>
            <w:tcW w:w="803" w:type="dxa"/>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监测点位</w:t>
            </w:r>
          </w:p>
        </w:tc>
        <w:tc>
          <w:tcPr>
            <w:tcW w:w="1095" w:type="dxa"/>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监测因子</w:t>
            </w:r>
          </w:p>
        </w:tc>
        <w:tc>
          <w:tcPr>
            <w:tcW w:w="1086" w:type="dxa"/>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监测频次</w:t>
            </w:r>
          </w:p>
        </w:tc>
        <w:tc>
          <w:tcPr>
            <w:tcW w:w="2372" w:type="dxa"/>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c>
          <w:tcPr>
            <w:tcW w:w="751" w:type="dxa"/>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年样品数量</w:t>
            </w:r>
          </w:p>
        </w:tc>
        <w:tc>
          <w:tcPr>
            <w:tcW w:w="747" w:type="dxa"/>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单价</w:t>
            </w:r>
          </w:p>
        </w:tc>
        <w:tc>
          <w:tcPr>
            <w:tcW w:w="734" w:type="dxa"/>
            <w:vAlign w:val="center"/>
          </w:tcPr>
          <w:p>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55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c>
          <w:tcPr>
            <w:tcW w:w="687"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有组织排放废气</w:t>
            </w:r>
          </w:p>
        </w:tc>
        <w:tc>
          <w:tcPr>
            <w:tcW w:w="803"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3台焚烧炉净烟气排放口</w:t>
            </w:r>
          </w:p>
        </w:tc>
        <w:tc>
          <w:tcPr>
            <w:tcW w:w="109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颗粒物、HCl、SO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、NO</w:t>
            </w:r>
            <w:r>
              <w:rPr>
                <w:rFonts w:hint="eastAsia" w:ascii="宋体" w:hAnsi="宋体" w:cs="宋体"/>
                <w:color w:val="auto"/>
                <w:szCs w:val="21"/>
                <w:highlight w:val="none"/>
                <w:vertAlign w:val="subscript"/>
              </w:rPr>
              <w:t>X</w:t>
            </w:r>
            <w:r>
              <w:rPr>
                <w:rFonts w:hint="eastAsia" w:ascii="宋体" w:hAnsi="宋体" w:cs="宋体"/>
                <w:color w:val="auto"/>
                <w:szCs w:val="21"/>
                <w:highlight w:val="none"/>
              </w:rPr>
              <w:t>、CO、HF、O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、流速、烟温、湿度</w:t>
            </w:r>
          </w:p>
        </w:tc>
        <w:tc>
          <w:tcPr>
            <w:tcW w:w="108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237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采用参比方法对在线监测设备进行比对：测量气态污染物和氧气浓度，至少获取9个数据对，每个数据对取5~15min均值；测量流速、烟温湿度时，至少获取5个同时段测试断面值数据对，分别计算流速、烟温、湿度CMS准确度</w:t>
            </w:r>
          </w:p>
        </w:tc>
        <w:tc>
          <w:tcPr>
            <w:tcW w:w="75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747" w:type="dxa"/>
            <w:vAlign w:val="center"/>
          </w:tcPr>
          <w:p>
            <w:pPr>
              <w:shd w:val="clear"/>
              <w:jc w:val="center"/>
              <w:rPr>
                <w:rFonts w:ascii="宋体" w:hAnsi="宋体" w:cs="宋体"/>
                <w:color w:val="auto"/>
                <w:szCs w:val="21"/>
                <w:highlight w:val="none"/>
              </w:rPr>
            </w:pPr>
          </w:p>
        </w:tc>
        <w:tc>
          <w:tcPr>
            <w:tcW w:w="73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55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w:t>
            </w:r>
          </w:p>
        </w:tc>
        <w:tc>
          <w:tcPr>
            <w:tcW w:w="687" w:type="dxa"/>
            <w:vMerge w:val="continue"/>
            <w:vAlign w:val="center"/>
          </w:tcPr>
          <w:p>
            <w:pPr>
              <w:shd w:val="clear"/>
              <w:rPr>
                <w:rFonts w:ascii="宋体" w:hAnsi="宋体" w:cs="宋体"/>
                <w:color w:val="auto"/>
                <w:szCs w:val="21"/>
                <w:highlight w:val="none"/>
              </w:rPr>
            </w:pPr>
          </w:p>
        </w:tc>
        <w:tc>
          <w:tcPr>
            <w:tcW w:w="803" w:type="dxa"/>
            <w:vMerge w:val="continue"/>
            <w:vAlign w:val="center"/>
          </w:tcPr>
          <w:p>
            <w:pPr>
              <w:shd w:val="clear"/>
              <w:rPr>
                <w:rFonts w:ascii="宋体" w:hAnsi="宋体" w:cs="宋体"/>
                <w:color w:val="auto"/>
                <w:szCs w:val="21"/>
                <w:highlight w:val="none"/>
              </w:rPr>
            </w:pPr>
          </w:p>
        </w:tc>
        <w:tc>
          <w:tcPr>
            <w:tcW w:w="109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颗粒物、HCl、SO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、NO</w:t>
            </w:r>
            <w:r>
              <w:rPr>
                <w:rFonts w:hint="eastAsia" w:ascii="宋体" w:hAnsi="宋体" w:cs="宋体"/>
                <w:color w:val="auto"/>
                <w:szCs w:val="21"/>
                <w:highlight w:val="none"/>
                <w:vertAlign w:val="subscript"/>
              </w:rPr>
              <w:t>X</w:t>
            </w:r>
            <w:r>
              <w:rPr>
                <w:rFonts w:hint="eastAsia" w:ascii="宋体" w:hAnsi="宋体" w:cs="宋体"/>
                <w:color w:val="auto"/>
                <w:szCs w:val="21"/>
                <w:highlight w:val="none"/>
              </w:rPr>
              <w:t>、CO</w:t>
            </w:r>
          </w:p>
        </w:tc>
        <w:tc>
          <w:tcPr>
            <w:tcW w:w="108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237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每台炉的测量需在一定时间内采集的一定数量样品中污染物浓度测试值的算术平均值</w:t>
            </w:r>
          </w:p>
        </w:tc>
        <w:tc>
          <w:tcPr>
            <w:tcW w:w="75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c>
          <w:tcPr>
            <w:tcW w:w="747" w:type="dxa"/>
            <w:vAlign w:val="center"/>
          </w:tcPr>
          <w:p>
            <w:pPr>
              <w:shd w:val="clear"/>
              <w:jc w:val="center"/>
              <w:rPr>
                <w:rFonts w:ascii="宋体" w:hAnsi="宋体" w:cs="宋体"/>
                <w:color w:val="auto"/>
                <w:szCs w:val="21"/>
                <w:highlight w:val="none"/>
              </w:rPr>
            </w:pPr>
          </w:p>
        </w:tc>
        <w:tc>
          <w:tcPr>
            <w:tcW w:w="73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55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c>
          <w:tcPr>
            <w:tcW w:w="687" w:type="dxa"/>
            <w:vMerge w:val="continue"/>
            <w:vAlign w:val="center"/>
          </w:tcPr>
          <w:p>
            <w:pPr>
              <w:shd w:val="clear"/>
              <w:rPr>
                <w:rFonts w:ascii="宋体" w:hAnsi="宋体" w:cs="宋体"/>
                <w:color w:val="auto"/>
                <w:szCs w:val="21"/>
                <w:highlight w:val="none"/>
              </w:rPr>
            </w:pPr>
          </w:p>
        </w:tc>
        <w:tc>
          <w:tcPr>
            <w:tcW w:w="803" w:type="dxa"/>
            <w:vMerge w:val="continue"/>
            <w:vAlign w:val="center"/>
          </w:tcPr>
          <w:p>
            <w:pPr>
              <w:shd w:val="clear"/>
              <w:rPr>
                <w:rFonts w:ascii="宋体" w:hAnsi="宋体" w:cs="宋体"/>
                <w:color w:val="auto"/>
                <w:szCs w:val="21"/>
                <w:highlight w:val="none"/>
              </w:rPr>
            </w:pPr>
          </w:p>
        </w:tc>
        <w:tc>
          <w:tcPr>
            <w:tcW w:w="109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汞及其化合物；镉、铊及其化合物；锑、砷、铅、铬、钴、铜、锰、镍及其化合物；烟气黑度</w:t>
            </w:r>
          </w:p>
        </w:tc>
        <w:tc>
          <w:tcPr>
            <w:tcW w:w="108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237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每台炉的测量值需为0.5～8 个小时内完成不少于 3 个样品的采集，取算术平均值</w:t>
            </w:r>
          </w:p>
        </w:tc>
        <w:tc>
          <w:tcPr>
            <w:tcW w:w="75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108</w:t>
            </w:r>
          </w:p>
        </w:tc>
        <w:tc>
          <w:tcPr>
            <w:tcW w:w="747" w:type="dxa"/>
            <w:vAlign w:val="center"/>
          </w:tcPr>
          <w:p>
            <w:pPr>
              <w:shd w:val="clear"/>
              <w:jc w:val="center"/>
              <w:rPr>
                <w:rFonts w:ascii="宋体" w:hAnsi="宋体" w:cs="宋体"/>
                <w:color w:val="auto"/>
                <w:szCs w:val="21"/>
                <w:highlight w:val="none"/>
              </w:rPr>
            </w:pPr>
          </w:p>
        </w:tc>
        <w:tc>
          <w:tcPr>
            <w:tcW w:w="73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55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c>
          <w:tcPr>
            <w:tcW w:w="687" w:type="dxa"/>
            <w:vMerge w:val="continue"/>
            <w:vAlign w:val="center"/>
          </w:tcPr>
          <w:p>
            <w:pPr>
              <w:shd w:val="clear"/>
              <w:rPr>
                <w:rFonts w:ascii="宋体" w:hAnsi="宋体" w:cs="宋体"/>
                <w:color w:val="auto"/>
                <w:szCs w:val="21"/>
                <w:highlight w:val="none"/>
              </w:rPr>
            </w:pPr>
          </w:p>
        </w:tc>
        <w:tc>
          <w:tcPr>
            <w:tcW w:w="803" w:type="dxa"/>
            <w:vMerge w:val="continue"/>
            <w:vAlign w:val="center"/>
          </w:tcPr>
          <w:p>
            <w:pPr>
              <w:shd w:val="clear"/>
              <w:rPr>
                <w:rFonts w:ascii="宋体" w:hAnsi="宋体" w:cs="宋体"/>
                <w:color w:val="auto"/>
                <w:szCs w:val="21"/>
                <w:highlight w:val="none"/>
              </w:rPr>
            </w:pPr>
          </w:p>
        </w:tc>
        <w:tc>
          <w:tcPr>
            <w:tcW w:w="109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二噁英类</w:t>
            </w:r>
          </w:p>
        </w:tc>
        <w:tc>
          <w:tcPr>
            <w:tcW w:w="108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237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每台炉的测量值需为6～12 个小时内完成不少于 3 个样品的采集，取算术平均值</w:t>
            </w:r>
          </w:p>
        </w:tc>
        <w:tc>
          <w:tcPr>
            <w:tcW w:w="75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36</w:t>
            </w:r>
          </w:p>
        </w:tc>
        <w:tc>
          <w:tcPr>
            <w:tcW w:w="747" w:type="dxa"/>
            <w:vAlign w:val="center"/>
          </w:tcPr>
          <w:p>
            <w:pPr>
              <w:shd w:val="clear"/>
              <w:jc w:val="center"/>
              <w:rPr>
                <w:rFonts w:ascii="宋体" w:hAnsi="宋体" w:cs="宋体"/>
                <w:color w:val="auto"/>
                <w:szCs w:val="21"/>
                <w:highlight w:val="none"/>
              </w:rPr>
            </w:pPr>
          </w:p>
        </w:tc>
        <w:tc>
          <w:tcPr>
            <w:tcW w:w="73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55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5</w:t>
            </w:r>
          </w:p>
        </w:tc>
        <w:tc>
          <w:tcPr>
            <w:tcW w:w="687" w:type="dxa"/>
            <w:vMerge w:val="continue"/>
            <w:vAlign w:val="center"/>
          </w:tcPr>
          <w:p>
            <w:pPr>
              <w:shd w:val="clear"/>
              <w:rPr>
                <w:rFonts w:ascii="宋体" w:hAnsi="宋体" w:cs="宋体"/>
                <w:color w:val="auto"/>
                <w:szCs w:val="21"/>
                <w:highlight w:val="none"/>
              </w:rPr>
            </w:pPr>
          </w:p>
        </w:tc>
        <w:tc>
          <w:tcPr>
            <w:tcW w:w="803"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飞灰养护间排气筒有组织废气</w:t>
            </w:r>
          </w:p>
        </w:tc>
        <w:tc>
          <w:tcPr>
            <w:tcW w:w="109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颗粒物</w:t>
            </w:r>
          </w:p>
        </w:tc>
        <w:tc>
          <w:tcPr>
            <w:tcW w:w="108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237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75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c>
          <w:tcPr>
            <w:tcW w:w="747" w:type="dxa"/>
            <w:vAlign w:val="center"/>
          </w:tcPr>
          <w:p>
            <w:pPr>
              <w:shd w:val="clear"/>
              <w:jc w:val="center"/>
              <w:rPr>
                <w:rFonts w:ascii="宋体" w:hAnsi="宋体" w:cs="宋体"/>
                <w:color w:val="auto"/>
                <w:szCs w:val="21"/>
                <w:highlight w:val="none"/>
              </w:rPr>
            </w:pPr>
          </w:p>
        </w:tc>
        <w:tc>
          <w:tcPr>
            <w:tcW w:w="73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w:t>
            </w:r>
          </w:p>
        </w:tc>
        <w:tc>
          <w:tcPr>
            <w:tcW w:w="68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无组织排放废气</w:t>
            </w:r>
          </w:p>
        </w:tc>
        <w:tc>
          <w:tcPr>
            <w:tcW w:w="803"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厂界4个点</w:t>
            </w:r>
          </w:p>
        </w:tc>
        <w:tc>
          <w:tcPr>
            <w:tcW w:w="109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H</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S、NH</w:t>
            </w:r>
            <w:r>
              <w:rPr>
                <w:rFonts w:hint="eastAsia" w:ascii="宋体" w:hAnsi="宋体" w:cs="宋体"/>
                <w:color w:val="auto"/>
                <w:szCs w:val="21"/>
                <w:highlight w:val="none"/>
                <w:vertAlign w:val="subscript"/>
              </w:rPr>
              <w:t>3</w:t>
            </w:r>
            <w:r>
              <w:rPr>
                <w:rFonts w:hint="eastAsia" w:ascii="宋体" w:hAnsi="宋体" w:cs="宋体"/>
                <w:color w:val="auto"/>
                <w:szCs w:val="21"/>
                <w:highlight w:val="none"/>
              </w:rPr>
              <w:t>、臭气浓度、颗粒物</w:t>
            </w:r>
          </w:p>
        </w:tc>
        <w:tc>
          <w:tcPr>
            <w:tcW w:w="108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237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每个监测点每隔2小时采集一次样品，共采集4次，取其最大测量值</w:t>
            </w:r>
          </w:p>
        </w:tc>
        <w:tc>
          <w:tcPr>
            <w:tcW w:w="75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64</w:t>
            </w:r>
          </w:p>
        </w:tc>
        <w:tc>
          <w:tcPr>
            <w:tcW w:w="747" w:type="dxa"/>
            <w:vAlign w:val="center"/>
          </w:tcPr>
          <w:p>
            <w:pPr>
              <w:shd w:val="clear"/>
              <w:jc w:val="center"/>
              <w:rPr>
                <w:rFonts w:ascii="宋体" w:hAnsi="宋体" w:cs="宋体"/>
                <w:color w:val="auto"/>
                <w:szCs w:val="21"/>
                <w:highlight w:val="none"/>
              </w:rPr>
            </w:pPr>
          </w:p>
        </w:tc>
        <w:tc>
          <w:tcPr>
            <w:tcW w:w="73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5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7</w:t>
            </w:r>
          </w:p>
        </w:tc>
        <w:tc>
          <w:tcPr>
            <w:tcW w:w="687"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废水</w:t>
            </w:r>
          </w:p>
        </w:tc>
        <w:tc>
          <w:tcPr>
            <w:tcW w:w="803"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渗滤液处理设施出口</w:t>
            </w:r>
          </w:p>
        </w:tc>
        <w:tc>
          <w:tcPr>
            <w:tcW w:w="109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pH值、COD</w:t>
            </w:r>
            <w:r>
              <w:rPr>
                <w:rFonts w:hint="eastAsia" w:ascii="宋体" w:hAnsi="宋体" w:cs="宋体"/>
                <w:color w:val="auto"/>
                <w:szCs w:val="21"/>
                <w:highlight w:val="none"/>
                <w:vertAlign w:val="subscript"/>
              </w:rPr>
              <w:t>Cr</w:t>
            </w:r>
            <w:r>
              <w:rPr>
                <w:rFonts w:hint="eastAsia" w:ascii="宋体" w:hAnsi="宋体" w:cs="宋体"/>
                <w:color w:val="auto"/>
                <w:szCs w:val="21"/>
                <w:highlight w:val="none"/>
              </w:rPr>
              <w:t>、BOD</w:t>
            </w:r>
            <w:r>
              <w:rPr>
                <w:rFonts w:hint="eastAsia" w:ascii="宋体" w:hAnsi="宋体" w:cs="宋体"/>
                <w:color w:val="auto"/>
                <w:szCs w:val="21"/>
                <w:highlight w:val="none"/>
                <w:vertAlign w:val="subscript"/>
              </w:rPr>
              <w:t>5</w:t>
            </w:r>
            <w:r>
              <w:rPr>
                <w:rFonts w:hint="eastAsia" w:ascii="宋体" w:hAnsi="宋体" w:cs="宋体"/>
                <w:color w:val="auto"/>
                <w:szCs w:val="21"/>
                <w:highlight w:val="none"/>
              </w:rPr>
              <w:t>、NH</w:t>
            </w:r>
            <w:r>
              <w:rPr>
                <w:rFonts w:hint="eastAsia" w:ascii="宋体" w:hAnsi="宋体" w:cs="宋体"/>
                <w:color w:val="auto"/>
                <w:szCs w:val="21"/>
                <w:highlight w:val="none"/>
                <w:vertAlign w:val="subscript"/>
              </w:rPr>
              <w:t>3</w:t>
            </w:r>
            <w:r>
              <w:rPr>
                <w:rFonts w:hint="eastAsia" w:ascii="宋体" w:hAnsi="宋体" w:cs="宋体"/>
                <w:color w:val="auto"/>
                <w:szCs w:val="21"/>
                <w:highlight w:val="none"/>
              </w:rPr>
              <w:t>-N、SS、Pb、Cd、Hg、水量</w:t>
            </w:r>
          </w:p>
        </w:tc>
        <w:tc>
          <w:tcPr>
            <w:tcW w:w="108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237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75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747" w:type="dxa"/>
            <w:vAlign w:val="center"/>
          </w:tcPr>
          <w:p>
            <w:pPr>
              <w:shd w:val="clear"/>
              <w:jc w:val="center"/>
              <w:rPr>
                <w:rFonts w:ascii="宋体" w:hAnsi="宋体" w:cs="宋体"/>
                <w:color w:val="auto"/>
                <w:szCs w:val="21"/>
                <w:highlight w:val="none"/>
              </w:rPr>
            </w:pPr>
          </w:p>
        </w:tc>
        <w:tc>
          <w:tcPr>
            <w:tcW w:w="73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5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8</w:t>
            </w:r>
          </w:p>
        </w:tc>
        <w:tc>
          <w:tcPr>
            <w:tcW w:w="687" w:type="dxa"/>
            <w:vMerge w:val="continue"/>
            <w:vAlign w:val="center"/>
          </w:tcPr>
          <w:p>
            <w:pPr>
              <w:shd w:val="clear"/>
              <w:rPr>
                <w:rFonts w:ascii="宋体" w:hAnsi="宋体" w:cs="宋体"/>
                <w:color w:val="auto"/>
                <w:szCs w:val="21"/>
                <w:highlight w:val="none"/>
              </w:rPr>
            </w:pPr>
          </w:p>
        </w:tc>
        <w:tc>
          <w:tcPr>
            <w:tcW w:w="803"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洗烟废水处理设施出口</w:t>
            </w:r>
          </w:p>
        </w:tc>
        <w:tc>
          <w:tcPr>
            <w:tcW w:w="109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pH值、COD</w:t>
            </w:r>
            <w:r>
              <w:rPr>
                <w:rFonts w:hint="eastAsia" w:ascii="宋体" w:hAnsi="宋体" w:cs="宋体"/>
                <w:color w:val="auto"/>
                <w:szCs w:val="21"/>
                <w:highlight w:val="none"/>
                <w:vertAlign w:val="subscript"/>
              </w:rPr>
              <w:t>Cr</w:t>
            </w:r>
            <w:r>
              <w:rPr>
                <w:rFonts w:hint="eastAsia" w:ascii="宋体" w:hAnsi="宋体" w:cs="宋体"/>
                <w:color w:val="auto"/>
                <w:szCs w:val="21"/>
                <w:highlight w:val="none"/>
              </w:rPr>
              <w:t>、BOD</w:t>
            </w:r>
            <w:r>
              <w:rPr>
                <w:rFonts w:hint="eastAsia" w:ascii="宋体" w:hAnsi="宋体" w:cs="宋体"/>
                <w:color w:val="auto"/>
                <w:szCs w:val="21"/>
                <w:highlight w:val="none"/>
                <w:vertAlign w:val="subscript"/>
              </w:rPr>
              <w:t>5</w:t>
            </w:r>
            <w:r>
              <w:rPr>
                <w:rFonts w:hint="eastAsia" w:ascii="宋体" w:hAnsi="宋体" w:cs="宋体"/>
                <w:color w:val="auto"/>
                <w:szCs w:val="21"/>
                <w:highlight w:val="none"/>
              </w:rPr>
              <w:t>、NH</w:t>
            </w:r>
            <w:r>
              <w:rPr>
                <w:rFonts w:hint="eastAsia" w:ascii="宋体" w:hAnsi="宋体" w:cs="宋体"/>
                <w:color w:val="auto"/>
                <w:szCs w:val="21"/>
                <w:highlight w:val="none"/>
                <w:vertAlign w:val="subscript"/>
              </w:rPr>
              <w:t>3</w:t>
            </w:r>
            <w:r>
              <w:rPr>
                <w:rFonts w:hint="eastAsia" w:ascii="宋体" w:hAnsi="宋体" w:cs="宋体"/>
                <w:color w:val="auto"/>
                <w:szCs w:val="21"/>
                <w:highlight w:val="none"/>
              </w:rPr>
              <w:t>-N、SS、Pb、Cd、Hg、水量</w:t>
            </w:r>
          </w:p>
        </w:tc>
        <w:tc>
          <w:tcPr>
            <w:tcW w:w="108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1次/月</w:t>
            </w:r>
          </w:p>
        </w:tc>
        <w:tc>
          <w:tcPr>
            <w:tcW w:w="237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75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747" w:type="dxa"/>
            <w:vAlign w:val="center"/>
          </w:tcPr>
          <w:p>
            <w:pPr>
              <w:shd w:val="clear"/>
              <w:jc w:val="center"/>
              <w:rPr>
                <w:rFonts w:ascii="宋体" w:hAnsi="宋体" w:cs="宋体"/>
                <w:color w:val="auto"/>
                <w:szCs w:val="21"/>
                <w:highlight w:val="none"/>
              </w:rPr>
            </w:pPr>
          </w:p>
        </w:tc>
        <w:tc>
          <w:tcPr>
            <w:tcW w:w="73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5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9</w:t>
            </w:r>
          </w:p>
        </w:tc>
        <w:tc>
          <w:tcPr>
            <w:tcW w:w="68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噪声</w:t>
            </w:r>
          </w:p>
        </w:tc>
        <w:tc>
          <w:tcPr>
            <w:tcW w:w="803"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厂界周围4个点</w:t>
            </w:r>
          </w:p>
        </w:tc>
        <w:tc>
          <w:tcPr>
            <w:tcW w:w="109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Leq（A）</w:t>
            </w:r>
          </w:p>
        </w:tc>
        <w:tc>
          <w:tcPr>
            <w:tcW w:w="108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237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每个监测点每期监测需昼、夜各测1次</w:t>
            </w:r>
          </w:p>
        </w:tc>
        <w:tc>
          <w:tcPr>
            <w:tcW w:w="75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32</w:t>
            </w:r>
          </w:p>
        </w:tc>
        <w:tc>
          <w:tcPr>
            <w:tcW w:w="747" w:type="dxa"/>
            <w:vAlign w:val="center"/>
          </w:tcPr>
          <w:p>
            <w:pPr>
              <w:shd w:val="clear"/>
              <w:jc w:val="center"/>
              <w:rPr>
                <w:rFonts w:ascii="宋体" w:hAnsi="宋体" w:cs="宋体"/>
                <w:color w:val="auto"/>
                <w:szCs w:val="21"/>
                <w:highlight w:val="none"/>
              </w:rPr>
            </w:pPr>
          </w:p>
        </w:tc>
        <w:tc>
          <w:tcPr>
            <w:tcW w:w="73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55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10</w:t>
            </w:r>
          </w:p>
        </w:tc>
        <w:tc>
          <w:tcPr>
            <w:tcW w:w="687"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环境空气</w:t>
            </w:r>
          </w:p>
        </w:tc>
        <w:tc>
          <w:tcPr>
            <w:tcW w:w="803"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梅沙村、万科珠江东岸、恒大滨江左岸、漳澎村、泗安医院各1个监测点，共5个监测点</w:t>
            </w:r>
          </w:p>
        </w:tc>
        <w:tc>
          <w:tcPr>
            <w:tcW w:w="109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SO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、NO</w:t>
            </w:r>
            <w:r>
              <w:rPr>
                <w:rFonts w:hint="eastAsia" w:ascii="宋体" w:hAnsi="宋体" w:cs="宋体"/>
                <w:color w:val="auto"/>
                <w:szCs w:val="21"/>
                <w:highlight w:val="none"/>
                <w:vertAlign w:val="subscript"/>
              </w:rPr>
              <w:t>X</w:t>
            </w:r>
            <w:r>
              <w:rPr>
                <w:rFonts w:hint="eastAsia" w:ascii="宋体" w:hAnsi="宋体" w:cs="宋体"/>
                <w:color w:val="auto"/>
                <w:szCs w:val="21"/>
                <w:highlight w:val="none"/>
              </w:rPr>
              <w:t>、NO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、CO、O</w:t>
            </w:r>
            <w:r>
              <w:rPr>
                <w:rFonts w:hint="eastAsia" w:ascii="宋体" w:hAnsi="宋体" w:cs="宋体"/>
                <w:color w:val="auto"/>
                <w:szCs w:val="21"/>
                <w:highlight w:val="none"/>
                <w:vertAlign w:val="subscript"/>
              </w:rPr>
              <w:t>3</w:t>
            </w:r>
            <w:r>
              <w:rPr>
                <w:rFonts w:hint="eastAsia" w:ascii="宋体" w:hAnsi="宋体" w:cs="宋体"/>
                <w:color w:val="auto"/>
                <w:szCs w:val="21"/>
                <w:highlight w:val="none"/>
              </w:rPr>
              <w:t>、PM10、PM2.5、HCl、氟化氢、汞、Cr、Pb、Cd、氨、硫化氢、臭气浓度</w:t>
            </w:r>
          </w:p>
        </w:tc>
        <w:tc>
          <w:tcPr>
            <w:tcW w:w="108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1次/半年</w:t>
            </w:r>
          </w:p>
        </w:tc>
        <w:tc>
          <w:tcPr>
            <w:tcW w:w="237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75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10</w:t>
            </w:r>
          </w:p>
        </w:tc>
        <w:tc>
          <w:tcPr>
            <w:tcW w:w="747" w:type="dxa"/>
            <w:vAlign w:val="center"/>
          </w:tcPr>
          <w:p>
            <w:pPr>
              <w:shd w:val="clear"/>
              <w:jc w:val="center"/>
              <w:rPr>
                <w:rFonts w:ascii="宋体" w:hAnsi="宋体" w:cs="宋体"/>
                <w:color w:val="auto"/>
                <w:szCs w:val="21"/>
                <w:highlight w:val="none"/>
              </w:rPr>
            </w:pPr>
          </w:p>
        </w:tc>
        <w:tc>
          <w:tcPr>
            <w:tcW w:w="73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55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11</w:t>
            </w:r>
          </w:p>
        </w:tc>
        <w:tc>
          <w:tcPr>
            <w:tcW w:w="687" w:type="dxa"/>
            <w:vMerge w:val="continue"/>
            <w:vAlign w:val="center"/>
          </w:tcPr>
          <w:p>
            <w:pPr>
              <w:shd w:val="clear"/>
              <w:rPr>
                <w:rFonts w:ascii="宋体" w:hAnsi="宋体" w:cs="宋体"/>
                <w:color w:val="auto"/>
                <w:szCs w:val="21"/>
                <w:highlight w:val="none"/>
              </w:rPr>
            </w:pPr>
          </w:p>
        </w:tc>
        <w:tc>
          <w:tcPr>
            <w:tcW w:w="803" w:type="dxa"/>
            <w:vMerge w:val="continue"/>
            <w:vAlign w:val="center"/>
          </w:tcPr>
          <w:p>
            <w:pPr>
              <w:shd w:val="clear"/>
              <w:rPr>
                <w:rFonts w:ascii="宋体" w:hAnsi="宋体" w:cs="宋体"/>
                <w:color w:val="auto"/>
                <w:szCs w:val="21"/>
                <w:highlight w:val="none"/>
              </w:rPr>
            </w:pPr>
          </w:p>
        </w:tc>
        <w:tc>
          <w:tcPr>
            <w:tcW w:w="109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二噁英类</w:t>
            </w:r>
          </w:p>
        </w:tc>
        <w:tc>
          <w:tcPr>
            <w:tcW w:w="108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237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每期监测每个监测点位应取得至少3天的样品，且每天采样时间不少于18小时</w:t>
            </w:r>
          </w:p>
        </w:tc>
        <w:tc>
          <w:tcPr>
            <w:tcW w:w="75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15</w:t>
            </w:r>
          </w:p>
        </w:tc>
        <w:tc>
          <w:tcPr>
            <w:tcW w:w="747" w:type="dxa"/>
            <w:vAlign w:val="center"/>
          </w:tcPr>
          <w:p>
            <w:pPr>
              <w:shd w:val="clear"/>
              <w:jc w:val="center"/>
              <w:rPr>
                <w:rFonts w:ascii="宋体" w:hAnsi="宋体" w:cs="宋体"/>
                <w:color w:val="auto"/>
                <w:szCs w:val="21"/>
                <w:highlight w:val="none"/>
              </w:rPr>
            </w:pPr>
          </w:p>
        </w:tc>
        <w:tc>
          <w:tcPr>
            <w:tcW w:w="73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55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68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土壤</w:t>
            </w:r>
          </w:p>
        </w:tc>
        <w:tc>
          <w:tcPr>
            <w:tcW w:w="803"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泗安医院、洪梅中心小学、漳澎村各1各监测点，共3个监测点</w:t>
            </w:r>
          </w:p>
        </w:tc>
        <w:tc>
          <w:tcPr>
            <w:tcW w:w="109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pH值、镉、汞、砷、铜、铅、铬、锌、镍、二噁英</w:t>
            </w:r>
          </w:p>
        </w:tc>
        <w:tc>
          <w:tcPr>
            <w:tcW w:w="108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237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75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c>
          <w:tcPr>
            <w:tcW w:w="747" w:type="dxa"/>
            <w:vAlign w:val="center"/>
          </w:tcPr>
          <w:p>
            <w:pPr>
              <w:shd w:val="clear"/>
              <w:jc w:val="center"/>
              <w:rPr>
                <w:rFonts w:ascii="宋体" w:hAnsi="宋体" w:cs="宋体"/>
                <w:color w:val="auto"/>
                <w:szCs w:val="21"/>
                <w:highlight w:val="none"/>
              </w:rPr>
            </w:pPr>
          </w:p>
        </w:tc>
        <w:tc>
          <w:tcPr>
            <w:tcW w:w="73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13</w:t>
            </w:r>
          </w:p>
        </w:tc>
        <w:tc>
          <w:tcPr>
            <w:tcW w:w="68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地表水</w:t>
            </w:r>
          </w:p>
        </w:tc>
        <w:tc>
          <w:tcPr>
            <w:tcW w:w="803"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厂区下游500米处1个监测点</w:t>
            </w:r>
          </w:p>
        </w:tc>
        <w:tc>
          <w:tcPr>
            <w:tcW w:w="109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水温、pH值、溶解氧、COD、BOD</w:t>
            </w:r>
            <w:r>
              <w:rPr>
                <w:rFonts w:hint="eastAsia" w:ascii="宋体" w:hAnsi="宋体" w:cs="宋体"/>
                <w:color w:val="auto"/>
                <w:szCs w:val="21"/>
                <w:highlight w:val="none"/>
                <w:vertAlign w:val="subscript"/>
              </w:rPr>
              <w:t>5</w:t>
            </w:r>
            <w:r>
              <w:rPr>
                <w:rFonts w:hint="eastAsia" w:ascii="宋体" w:hAnsi="宋体" w:cs="宋体"/>
                <w:color w:val="auto"/>
                <w:szCs w:val="21"/>
                <w:highlight w:val="none"/>
              </w:rPr>
              <w:t>、NH</w:t>
            </w:r>
            <w:r>
              <w:rPr>
                <w:rFonts w:hint="eastAsia" w:ascii="宋体" w:hAnsi="宋体" w:cs="宋体"/>
                <w:color w:val="auto"/>
                <w:szCs w:val="21"/>
                <w:highlight w:val="none"/>
                <w:vertAlign w:val="subscript"/>
              </w:rPr>
              <w:t>3</w:t>
            </w:r>
            <w:r>
              <w:rPr>
                <w:rFonts w:hint="eastAsia" w:ascii="宋体" w:hAnsi="宋体" w:cs="宋体"/>
                <w:color w:val="auto"/>
                <w:szCs w:val="21"/>
                <w:highlight w:val="none"/>
              </w:rPr>
              <w:t>-N、总磷、总氮、挥发酚、硫化物、氟化物、悬浮物、石油类、镉、六价铬、铅、汞、砷，同步监测河宽、水深、流速、流量等水文参数</w:t>
            </w:r>
          </w:p>
        </w:tc>
        <w:tc>
          <w:tcPr>
            <w:tcW w:w="108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1次/年</w:t>
            </w:r>
          </w:p>
        </w:tc>
        <w:tc>
          <w:tcPr>
            <w:tcW w:w="237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75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w:t>
            </w:r>
          </w:p>
        </w:tc>
        <w:tc>
          <w:tcPr>
            <w:tcW w:w="747" w:type="dxa"/>
            <w:vAlign w:val="center"/>
          </w:tcPr>
          <w:p>
            <w:pPr>
              <w:shd w:val="clear"/>
              <w:jc w:val="center"/>
              <w:rPr>
                <w:rFonts w:ascii="宋体" w:hAnsi="宋体" w:cs="宋体"/>
                <w:color w:val="auto"/>
                <w:szCs w:val="21"/>
                <w:highlight w:val="none"/>
              </w:rPr>
            </w:pPr>
          </w:p>
        </w:tc>
        <w:tc>
          <w:tcPr>
            <w:tcW w:w="73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55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14</w:t>
            </w:r>
          </w:p>
        </w:tc>
        <w:tc>
          <w:tcPr>
            <w:tcW w:w="68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地下水</w:t>
            </w:r>
          </w:p>
        </w:tc>
        <w:tc>
          <w:tcPr>
            <w:tcW w:w="803"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厂区内地下水监测井监测点2个</w:t>
            </w:r>
          </w:p>
        </w:tc>
        <w:tc>
          <w:tcPr>
            <w:tcW w:w="109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K</w:t>
            </w:r>
            <w:r>
              <w:rPr>
                <w:rFonts w:hint="eastAsia" w:ascii="宋体" w:hAnsi="宋体" w:cs="宋体"/>
                <w:color w:val="auto"/>
                <w:szCs w:val="21"/>
                <w:highlight w:val="none"/>
                <w:vertAlign w:val="superscript"/>
              </w:rPr>
              <w:t>+</w:t>
            </w:r>
            <w:r>
              <w:rPr>
                <w:rFonts w:hint="eastAsia" w:ascii="宋体" w:hAnsi="宋体" w:cs="宋体"/>
                <w:color w:val="auto"/>
                <w:szCs w:val="21"/>
                <w:highlight w:val="none"/>
              </w:rPr>
              <w:t>、Ca</w:t>
            </w:r>
            <w:r>
              <w:rPr>
                <w:rFonts w:hint="eastAsia" w:ascii="宋体" w:hAnsi="宋体" w:cs="宋体"/>
                <w:color w:val="auto"/>
                <w:szCs w:val="21"/>
                <w:highlight w:val="none"/>
                <w:vertAlign w:val="superscript"/>
              </w:rPr>
              <w:t>2+</w:t>
            </w:r>
            <w:r>
              <w:rPr>
                <w:rFonts w:hint="eastAsia" w:ascii="宋体" w:hAnsi="宋体" w:cs="宋体"/>
                <w:color w:val="auto"/>
                <w:szCs w:val="21"/>
                <w:highlight w:val="none"/>
              </w:rPr>
              <w:t>、Mg</w:t>
            </w:r>
            <w:r>
              <w:rPr>
                <w:rFonts w:hint="eastAsia" w:ascii="宋体" w:hAnsi="宋体" w:cs="宋体"/>
                <w:color w:val="auto"/>
                <w:szCs w:val="21"/>
                <w:highlight w:val="none"/>
                <w:vertAlign w:val="superscript"/>
              </w:rPr>
              <w:t>2+</w:t>
            </w:r>
            <w:r>
              <w:rPr>
                <w:rFonts w:hint="eastAsia" w:ascii="宋体" w:hAnsi="宋体" w:cs="宋体"/>
                <w:color w:val="auto"/>
                <w:szCs w:val="21"/>
                <w:highlight w:val="none"/>
              </w:rPr>
              <w:t>、Cl</w:t>
            </w:r>
            <w:r>
              <w:rPr>
                <w:rFonts w:hint="eastAsia" w:ascii="宋体" w:hAnsi="宋体" w:cs="宋体"/>
                <w:color w:val="auto"/>
                <w:szCs w:val="21"/>
                <w:highlight w:val="none"/>
                <w:vertAlign w:val="superscript"/>
              </w:rPr>
              <w:t>-</w:t>
            </w:r>
            <w:r>
              <w:rPr>
                <w:rFonts w:hint="eastAsia" w:ascii="宋体" w:hAnsi="宋体" w:cs="宋体"/>
                <w:color w:val="auto"/>
                <w:szCs w:val="21"/>
                <w:highlight w:val="none"/>
              </w:rPr>
              <w:t>、pH值、总硬度、溶解性总固体、氨氮、高锰酸盐指数、硝酸盐、亚硝酸盐、硫酸盐、氟化物、氰化物、细菌总数、总大肠菌群、汞、砷、镉、六价铬、铅、挥发性酚类、铁、锰、铜、锌、粪大肠菌群</w:t>
            </w:r>
          </w:p>
        </w:tc>
        <w:tc>
          <w:tcPr>
            <w:tcW w:w="108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1次/季度</w:t>
            </w:r>
          </w:p>
        </w:tc>
        <w:tc>
          <w:tcPr>
            <w:tcW w:w="237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75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8</w:t>
            </w:r>
          </w:p>
        </w:tc>
        <w:tc>
          <w:tcPr>
            <w:tcW w:w="747" w:type="dxa"/>
            <w:vAlign w:val="center"/>
          </w:tcPr>
          <w:p>
            <w:pPr>
              <w:shd w:val="clear"/>
              <w:jc w:val="center"/>
              <w:rPr>
                <w:rFonts w:ascii="宋体" w:hAnsi="宋体" w:cs="宋体"/>
                <w:color w:val="auto"/>
                <w:szCs w:val="21"/>
                <w:highlight w:val="none"/>
              </w:rPr>
            </w:pPr>
          </w:p>
        </w:tc>
        <w:tc>
          <w:tcPr>
            <w:tcW w:w="73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15</w:t>
            </w:r>
          </w:p>
        </w:tc>
        <w:tc>
          <w:tcPr>
            <w:tcW w:w="687"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炉渣</w:t>
            </w:r>
          </w:p>
        </w:tc>
        <w:tc>
          <w:tcPr>
            <w:tcW w:w="803"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3台焚烧炉炉渣，每台炉炉渣各1个样品</w:t>
            </w:r>
          </w:p>
        </w:tc>
        <w:tc>
          <w:tcPr>
            <w:tcW w:w="1095"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热灼减率</w:t>
            </w:r>
          </w:p>
        </w:tc>
        <w:tc>
          <w:tcPr>
            <w:tcW w:w="1086"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1次/周</w:t>
            </w:r>
          </w:p>
        </w:tc>
        <w:tc>
          <w:tcPr>
            <w:tcW w:w="237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送样检测</w:t>
            </w:r>
          </w:p>
        </w:tc>
        <w:tc>
          <w:tcPr>
            <w:tcW w:w="75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157</w:t>
            </w:r>
          </w:p>
        </w:tc>
        <w:tc>
          <w:tcPr>
            <w:tcW w:w="747" w:type="dxa"/>
            <w:vAlign w:val="center"/>
          </w:tcPr>
          <w:p>
            <w:pPr>
              <w:shd w:val="clear"/>
              <w:jc w:val="center"/>
              <w:rPr>
                <w:rFonts w:ascii="宋体" w:hAnsi="宋体" w:cs="宋体"/>
                <w:color w:val="auto"/>
                <w:szCs w:val="21"/>
                <w:highlight w:val="none"/>
              </w:rPr>
            </w:pPr>
          </w:p>
        </w:tc>
        <w:tc>
          <w:tcPr>
            <w:tcW w:w="73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55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16</w:t>
            </w:r>
          </w:p>
        </w:tc>
        <w:tc>
          <w:tcPr>
            <w:tcW w:w="687" w:type="dxa"/>
            <w:vMerge w:val="continue"/>
            <w:vAlign w:val="center"/>
          </w:tcPr>
          <w:p>
            <w:pPr>
              <w:shd w:val="clear"/>
              <w:rPr>
                <w:rFonts w:ascii="宋体" w:hAnsi="宋体" w:cs="宋体"/>
                <w:color w:val="auto"/>
                <w:szCs w:val="21"/>
                <w:highlight w:val="none"/>
              </w:rPr>
            </w:pPr>
          </w:p>
        </w:tc>
        <w:tc>
          <w:tcPr>
            <w:tcW w:w="803" w:type="dxa"/>
            <w:vMerge w:val="continue"/>
            <w:vAlign w:val="center"/>
          </w:tcPr>
          <w:p>
            <w:pPr>
              <w:shd w:val="clear"/>
              <w:rPr>
                <w:rFonts w:ascii="宋体" w:hAnsi="宋体" w:cs="宋体"/>
                <w:color w:val="auto"/>
                <w:szCs w:val="21"/>
                <w:highlight w:val="none"/>
              </w:rPr>
            </w:pPr>
          </w:p>
        </w:tc>
        <w:tc>
          <w:tcPr>
            <w:tcW w:w="1095"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含水率、浸出液重金属（汞、铜、锌、铅、镉、铍、钡、镍、砷、总铬、六价铬、硒）含量</w:t>
            </w:r>
          </w:p>
        </w:tc>
        <w:tc>
          <w:tcPr>
            <w:tcW w:w="1086"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1次/年</w:t>
            </w:r>
          </w:p>
        </w:tc>
        <w:tc>
          <w:tcPr>
            <w:tcW w:w="237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送样检测</w:t>
            </w:r>
          </w:p>
        </w:tc>
        <w:tc>
          <w:tcPr>
            <w:tcW w:w="75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3</w:t>
            </w:r>
          </w:p>
        </w:tc>
        <w:tc>
          <w:tcPr>
            <w:tcW w:w="747" w:type="dxa"/>
            <w:vAlign w:val="center"/>
          </w:tcPr>
          <w:p>
            <w:pPr>
              <w:shd w:val="clear"/>
              <w:jc w:val="center"/>
              <w:rPr>
                <w:rFonts w:ascii="宋体" w:hAnsi="宋体" w:cs="宋体"/>
                <w:color w:val="auto"/>
                <w:szCs w:val="21"/>
                <w:highlight w:val="none"/>
              </w:rPr>
            </w:pPr>
          </w:p>
        </w:tc>
        <w:tc>
          <w:tcPr>
            <w:tcW w:w="73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55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17</w:t>
            </w:r>
          </w:p>
        </w:tc>
        <w:tc>
          <w:tcPr>
            <w:tcW w:w="687"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稳定化飞灰</w:t>
            </w:r>
          </w:p>
        </w:tc>
        <w:tc>
          <w:tcPr>
            <w:tcW w:w="803"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稳定化飞灰混合样</w:t>
            </w:r>
          </w:p>
        </w:tc>
        <w:tc>
          <w:tcPr>
            <w:tcW w:w="1095"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含水率、浸出液重金属（汞、铜、锌、铅、镉、铍、钡、镍、砷、总铬、六价铬、硒）含量</w:t>
            </w:r>
          </w:p>
        </w:tc>
        <w:tc>
          <w:tcPr>
            <w:tcW w:w="1086"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6次/月</w:t>
            </w:r>
          </w:p>
        </w:tc>
        <w:tc>
          <w:tcPr>
            <w:tcW w:w="2372"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送样检测</w:t>
            </w:r>
          </w:p>
        </w:tc>
        <w:tc>
          <w:tcPr>
            <w:tcW w:w="75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72</w:t>
            </w:r>
          </w:p>
        </w:tc>
        <w:tc>
          <w:tcPr>
            <w:tcW w:w="747" w:type="dxa"/>
            <w:vAlign w:val="center"/>
          </w:tcPr>
          <w:p>
            <w:pPr>
              <w:shd w:val="clear"/>
              <w:jc w:val="center"/>
              <w:rPr>
                <w:rFonts w:ascii="宋体" w:hAnsi="宋体" w:cs="宋体"/>
                <w:color w:val="auto"/>
                <w:szCs w:val="21"/>
                <w:highlight w:val="none"/>
              </w:rPr>
            </w:pPr>
          </w:p>
        </w:tc>
        <w:tc>
          <w:tcPr>
            <w:tcW w:w="73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5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18</w:t>
            </w:r>
          </w:p>
        </w:tc>
        <w:tc>
          <w:tcPr>
            <w:tcW w:w="687" w:type="dxa"/>
            <w:vMerge w:val="continue"/>
            <w:vAlign w:val="center"/>
          </w:tcPr>
          <w:p>
            <w:pPr>
              <w:shd w:val="clear"/>
              <w:rPr>
                <w:rFonts w:ascii="宋体" w:hAnsi="宋体" w:cs="宋体"/>
                <w:color w:val="auto"/>
                <w:szCs w:val="21"/>
                <w:highlight w:val="none"/>
              </w:rPr>
            </w:pPr>
          </w:p>
        </w:tc>
        <w:tc>
          <w:tcPr>
            <w:tcW w:w="803" w:type="dxa"/>
            <w:vMerge w:val="continue"/>
            <w:vAlign w:val="center"/>
          </w:tcPr>
          <w:p>
            <w:pPr>
              <w:shd w:val="clear"/>
              <w:rPr>
                <w:rFonts w:ascii="宋体" w:hAnsi="宋体" w:cs="宋体"/>
                <w:color w:val="auto"/>
                <w:szCs w:val="21"/>
                <w:highlight w:val="none"/>
              </w:rPr>
            </w:pPr>
          </w:p>
        </w:tc>
        <w:tc>
          <w:tcPr>
            <w:tcW w:w="1095"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二噁英类</w:t>
            </w:r>
          </w:p>
        </w:tc>
        <w:tc>
          <w:tcPr>
            <w:tcW w:w="1086"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1次/季</w:t>
            </w:r>
          </w:p>
        </w:tc>
        <w:tc>
          <w:tcPr>
            <w:tcW w:w="2372" w:type="dxa"/>
            <w:vMerge w:val="continue"/>
            <w:vAlign w:val="center"/>
          </w:tcPr>
          <w:p>
            <w:pPr>
              <w:shd w:val="clear"/>
              <w:jc w:val="center"/>
              <w:rPr>
                <w:rFonts w:ascii="宋体" w:hAnsi="宋体" w:cs="宋体"/>
                <w:color w:val="auto"/>
                <w:szCs w:val="21"/>
                <w:highlight w:val="none"/>
              </w:rPr>
            </w:pPr>
          </w:p>
        </w:tc>
        <w:tc>
          <w:tcPr>
            <w:tcW w:w="75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4</w:t>
            </w:r>
          </w:p>
        </w:tc>
        <w:tc>
          <w:tcPr>
            <w:tcW w:w="747" w:type="dxa"/>
            <w:vAlign w:val="center"/>
          </w:tcPr>
          <w:p>
            <w:pPr>
              <w:shd w:val="clear"/>
              <w:jc w:val="center"/>
              <w:rPr>
                <w:rFonts w:ascii="宋体" w:hAnsi="宋体" w:cs="宋体"/>
                <w:color w:val="auto"/>
                <w:szCs w:val="21"/>
                <w:highlight w:val="none"/>
              </w:rPr>
            </w:pPr>
          </w:p>
        </w:tc>
        <w:tc>
          <w:tcPr>
            <w:tcW w:w="73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5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19</w:t>
            </w:r>
          </w:p>
        </w:tc>
        <w:tc>
          <w:tcPr>
            <w:tcW w:w="68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雨水</w:t>
            </w:r>
          </w:p>
        </w:tc>
        <w:tc>
          <w:tcPr>
            <w:tcW w:w="803"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雨水排放口</w:t>
            </w:r>
          </w:p>
        </w:tc>
        <w:tc>
          <w:tcPr>
            <w:tcW w:w="1095" w:type="dxa"/>
            <w:vAlign w:val="center"/>
          </w:tcPr>
          <w:p>
            <w:pPr>
              <w:shd w:val="clear"/>
              <w:rPr>
                <w:rFonts w:ascii="宋体" w:hAnsi="宋体" w:cs="宋体"/>
                <w:color w:val="auto"/>
                <w:szCs w:val="21"/>
                <w:highlight w:val="none"/>
              </w:rPr>
            </w:pPr>
            <w:r>
              <w:rPr>
                <w:rFonts w:hint="eastAsia" w:ascii="宋体" w:hAnsi="宋体" w:cs="宋体"/>
                <w:color w:val="auto"/>
                <w:szCs w:val="21"/>
                <w:highlight w:val="none"/>
              </w:rPr>
              <w:t>COD</w:t>
            </w:r>
            <w:r>
              <w:rPr>
                <w:rFonts w:hint="eastAsia" w:ascii="宋体" w:hAnsi="宋体" w:cs="宋体"/>
                <w:color w:val="auto"/>
                <w:szCs w:val="21"/>
                <w:highlight w:val="none"/>
                <w:vertAlign w:val="subscript"/>
              </w:rPr>
              <w:t>Cr</w:t>
            </w:r>
            <w:r>
              <w:rPr>
                <w:rFonts w:hint="eastAsia" w:ascii="宋体" w:hAnsi="宋体" w:cs="宋体"/>
                <w:color w:val="auto"/>
                <w:szCs w:val="21"/>
                <w:highlight w:val="none"/>
              </w:rPr>
              <w:t>、NH</w:t>
            </w:r>
            <w:r>
              <w:rPr>
                <w:rFonts w:hint="eastAsia" w:ascii="宋体" w:hAnsi="宋体" w:cs="宋体"/>
                <w:color w:val="auto"/>
                <w:szCs w:val="21"/>
                <w:highlight w:val="none"/>
                <w:vertAlign w:val="subscript"/>
              </w:rPr>
              <w:t>3</w:t>
            </w:r>
            <w:r>
              <w:rPr>
                <w:rFonts w:hint="eastAsia" w:ascii="宋体" w:hAnsi="宋体" w:cs="宋体"/>
                <w:color w:val="auto"/>
                <w:szCs w:val="21"/>
                <w:highlight w:val="none"/>
              </w:rPr>
              <w:t>-N、悬浮物</w:t>
            </w:r>
          </w:p>
        </w:tc>
        <w:tc>
          <w:tcPr>
            <w:tcW w:w="108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1次/季</w:t>
            </w:r>
          </w:p>
        </w:tc>
        <w:tc>
          <w:tcPr>
            <w:tcW w:w="237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采样时间间隔不少于4h，采样频次不少于3次。</w:t>
            </w:r>
          </w:p>
        </w:tc>
        <w:tc>
          <w:tcPr>
            <w:tcW w:w="75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747" w:type="dxa"/>
            <w:vAlign w:val="center"/>
          </w:tcPr>
          <w:p>
            <w:pPr>
              <w:shd w:val="clear"/>
              <w:jc w:val="center"/>
              <w:rPr>
                <w:rFonts w:ascii="宋体" w:hAnsi="宋体" w:cs="宋体"/>
                <w:color w:val="auto"/>
                <w:szCs w:val="21"/>
                <w:highlight w:val="none"/>
              </w:rPr>
            </w:pPr>
          </w:p>
        </w:tc>
        <w:tc>
          <w:tcPr>
            <w:tcW w:w="73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5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20</w:t>
            </w:r>
          </w:p>
        </w:tc>
        <w:tc>
          <w:tcPr>
            <w:tcW w:w="687"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垃圾</w:t>
            </w:r>
          </w:p>
        </w:tc>
        <w:tc>
          <w:tcPr>
            <w:tcW w:w="803"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垃圾库</w:t>
            </w:r>
          </w:p>
        </w:tc>
        <w:tc>
          <w:tcPr>
            <w:tcW w:w="109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热值</w:t>
            </w:r>
          </w:p>
        </w:tc>
        <w:tc>
          <w:tcPr>
            <w:tcW w:w="108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2372" w:type="dxa"/>
            <w:vMerge w:val="restart"/>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送样检测</w:t>
            </w:r>
          </w:p>
        </w:tc>
        <w:tc>
          <w:tcPr>
            <w:tcW w:w="75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747" w:type="dxa"/>
            <w:vAlign w:val="center"/>
          </w:tcPr>
          <w:p>
            <w:pPr>
              <w:shd w:val="clear"/>
              <w:jc w:val="center"/>
              <w:rPr>
                <w:rFonts w:ascii="宋体" w:hAnsi="宋体" w:cs="宋体"/>
                <w:color w:val="auto"/>
                <w:szCs w:val="21"/>
                <w:highlight w:val="none"/>
              </w:rPr>
            </w:pPr>
          </w:p>
        </w:tc>
        <w:tc>
          <w:tcPr>
            <w:tcW w:w="73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55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21</w:t>
            </w:r>
          </w:p>
        </w:tc>
        <w:tc>
          <w:tcPr>
            <w:tcW w:w="687" w:type="dxa"/>
            <w:vMerge w:val="continue"/>
            <w:vAlign w:val="center"/>
          </w:tcPr>
          <w:p>
            <w:pPr>
              <w:shd w:val="clear"/>
              <w:rPr>
                <w:rFonts w:ascii="宋体" w:hAnsi="宋体" w:cs="宋体"/>
                <w:color w:val="auto"/>
                <w:szCs w:val="21"/>
                <w:highlight w:val="none"/>
              </w:rPr>
            </w:pPr>
          </w:p>
        </w:tc>
        <w:tc>
          <w:tcPr>
            <w:tcW w:w="803" w:type="dxa"/>
            <w:vMerge w:val="continue"/>
            <w:vAlign w:val="center"/>
          </w:tcPr>
          <w:p>
            <w:pPr>
              <w:shd w:val="clear"/>
              <w:rPr>
                <w:rFonts w:ascii="宋体" w:hAnsi="宋体" w:cs="宋体"/>
                <w:color w:val="auto"/>
                <w:szCs w:val="21"/>
                <w:highlight w:val="none"/>
              </w:rPr>
            </w:pPr>
          </w:p>
        </w:tc>
        <w:tc>
          <w:tcPr>
            <w:tcW w:w="109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物理组成、工业分析（挥发分、固定碳、灰分）、含水率、元素分析（C、H、N、S、O、Cl）、重金属分析（Hg、Pb、Cd、Cr、As）</w:t>
            </w:r>
          </w:p>
        </w:tc>
        <w:tc>
          <w:tcPr>
            <w:tcW w:w="1086"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w:t>
            </w:r>
          </w:p>
        </w:tc>
        <w:tc>
          <w:tcPr>
            <w:tcW w:w="2372" w:type="dxa"/>
            <w:vMerge w:val="continue"/>
            <w:vAlign w:val="center"/>
          </w:tcPr>
          <w:p>
            <w:pPr>
              <w:shd w:val="clear"/>
              <w:jc w:val="center"/>
              <w:rPr>
                <w:rFonts w:ascii="宋体" w:hAnsi="宋体" w:cs="宋体"/>
                <w:color w:val="auto"/>
                <w:szCs w:val="21"/>
                <w:highlight w:val="none"/>
              </w:rPr>
            </w:pPr>
          </w:p>
        </w:tc>
        <w:tc>
          <w:tcPr>
            <w:tcW w:w="75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12</w:t>
            </w:r>
          </w:p>
        </w:tc>
        <w:tc>
          <w:tcPr>
            <w:tcW w:w="747" w:type="dxa"/>
            <w:vAlign w:val="center"/>
          </w:tcPr>
          <w:p>
            <w:pPr>
              <w:shd w:val="clear"/>
              <w:jc w:val="center"/>
              <w:rPr>
                <w:rFonts w:ascii="宋体" w:hAnsi="宋体" w:cs="宋体"/>
                <w:color w:val="auto"/>
                <w:szCs w:val="21"/>
                <w:highlight w:val="none"/>
              </w:rPr>
            </w:pPr>
          </w:p>
        </w:tc>
        <w:tc>
          <w:tcPr>
            <w:tcW w:w="73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601" w:type="dxa"/>
            <w:gridSpan w:val="6"/>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合计</w:t>
            </w:r>
          </w:p>
        </w:tc>
        <w:tc>
          <w:tcPr>
            <w:tcW w:w="75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590</w:t>
            </w:r>
          </w:p>
        </w:tc>
        <w:tc>
          <w:tcPr>
            <w:tcW w:w="747" w:type="dxa"/>
            <w:vAlign w:val="center"/>
          </w:tcPr>
          <w:p>
            <w:pPr>
              <w:shd w:val="clear"/>
              <w:jc w:val="center"/>
              <w:rPr>
                <w:rFonts w:ascii="宋体" w:hAnsi="宋体" w:cs="宋体"/>
                <w:color w:val="auto"/>
                <w:szCs w:val="21"/>
                <w:highlight w:val="none"/>
              </w:rPr>
            </w:pPr>
          </w:p>
        </w:tc>
        <w:tc>
          <w:tcPr>
            <w:tcW w:w="73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601" w:type="dxa"/>
            <w:gridSpan w:val="6"/>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价格合计</w:t>
            </w:r>
          </w:p>
        </w:tc>
        <w:tc>
          <w:tcPr>
            <w:tcW w:w="2232" w:type="dxa"/>
            <w:gridSpan w:val="3"/>
            <w:vAlign w:val="center"/>
          </w:tcPr>
          <w:p>
            <w:pPr>
              <w:shd w:val="clear"/>
              <w:jc w:val="center"/>
              <w:rPr>
                <w:rFonts w:ascii="宋体" w:hAnsi="宋体" w:cs="宋体"/>
                <w:color w:val="auto"/>
                <w:szCs w:val="21"/>
                <w:highlight w:val="none"/>
              </w:rPr>
            </w:pPr>
          </w:p>
        </w:tc>
      </w:tr>
    </w:tbl>
    <w:p>
      <w:pPr>
        <w:pStyle w:val="59"/>
        <w:shd w:val="clear"/>
        <w:ind w:firstLine="0" w:firstLineChars="0"/>
        <w:jc w:val="center"/>
        <w:rPr>
          <w:rFonts w:ascii="宋体" w:hAnsi="宋体" w:cs="宋体"/>
          <w:b/>
          <w:color w:val="auto"/>
          <w:sz w:val="32"/>
          <w:szCs w:val="32"/>
          <w:highlight w:val="none"/>
        </w:rPr>
      </w:pPr>
    </w:p>
    <w:p>
      <w:pPr>
        <w:shd w:val="clear"/>
        <w:rPr>
          <w:color w:val="auto"/>
          <w:highlight w:val="none"/>
        </w:rPr>
      </w:pPr>
    </w:p>
    <w:p>
      <w:pPr>
        <w:pStyle w:val="2"/>
        <w:shd w:val="clear"/>
        <w:rPr>
          <w:color w:val="auto"/>
          <w:highlight w:val="none"/>
          <w:lang w:val="en-US"/>
        </w:rPr>
      </w:pPr>
    </w:p>
    <w:p>
      <w:pPr>
        <w:shd w:val="clear"/>
        <w:rPr>
          <w:rFonts w:ascii="宋体" w:hAnsi="宋体" w:cs="宋体"/>
          <w:b/>
          <w:color w:val="auto"/>
          <w:szCs w:val="21"/>
          <w:highlight w:val="none"/>
        </w:rPr>
      </w:pPr>
      <w:r>
        <w:rPr>
          <w:rFonts w:hint="eastAsia"/>
          <w:color w:val="auto"/>
          <w:highlight w:val="none"/>
        </w:rPr>
        <w:t>备注：投标人需根据用户需求将各部分项目明细进行分项报价。</w:t>
      </w:r>
    </w:p>
    <w:p>
      <w:pPr>
        <w:shd w:val="clear"/>
        <w:rPr>
          <w:rFonts w:ascii="宋体" w:hAnsi="宋体" w:cs="宋体"/>
          <w:color w:val="auto"/>
          <w:highlight w:val="none"/>
        </w:rPr>
      </w:pPr>
    </w:p>
    <w:p>
      <w:pPr>
        <w:shd w:val="clear"/>
        <w:rPr>
          <w:rFonts w:ascii="宋体" w:hAnsi="宋体" w:cs="宋体"/>
          <w:color w:val="auto"/>
          <w:szCs w:val="21"/>
          <w:highlight w:val="none"/>
        </w:rPr>
      </w:pPr>
      <w:r>
        <w:rPr>
          <w:rFonts w:hint="eastAsia" w:ascii="宋体" w:hAnsi="宋体" w:cs="宋体"/>
          <w:color w:val="auto"/>
          <w:szCs w:val="21"/>
          <w:highlight w:val="none"/>
        </w:rPr>
        <w:t>投标人代表签字：</w:t>
      </w:r>
    </w:p>
    <w:p>
      <w:pPr>
        <w:shd w:val="clear"/>
        <w:rPr>
          <w:rFonts w:ascii="宋体" w:hAnsi="宋体" w:cs="宋体"/>
          <w:color w:val="auto"/>
          <w:szCs w:val="21"/>
          <w:highlight w:val="none"/>
        </w:rPr>
      </w:pPr>
      <w:r>
        <w:rPr>
          <w:rFonts w:hint="eastAsia" w:ascii="宋体" w:hAnsi="宋体" w:cs="宋体"/>
          <w:color w:val="auto"/>
          <w:szCs w:val="21"/>
          <w:highlight w:val="none"/>
        </w:rPr>
        <w:t>投标人盖章：</w:t>
      </w:r>
    </w:p>
    <w:p>
      <w:pPr>
        <w:shd w:val="clear"/>
        <w:rPr>
          <w:rFonts w:ascii="宋体" w:hAnsi="宋体" w:cs="宋体"/>
          <w:color w:val="auto"/>
          <w:szCs w:val="21"/>
          <w:highlight w:val="none"/>
        </w:rPr>
      </w:pPr>
      <w:r>
        <w:rPr>
          <w:rFonts w:hint="eastAsia" w:ascii="宋体" w:hAnsi="宋体" w:cs="宋体"/>
          <w:color w:val="auto"/>
          <w:szCs w:val="21"/>
          <w:highlight w:val="none"/>
        </w:rPr>
        <w:t>日期：</w:t>
      </w:r>
      <w:bookmarkStart w:id="159" w:name="_Toc12412"/>
      <w:r>
        <w:rPr>
          <w:rFonts w:hint="eastAsia" w:ascii="宋体" w:hAnsi="宋体" w:cs="宋体"/>
          <w:color w:val="auto"/>
          <w:szCs w:val="21"/>
          <w:highlight w:val="none"/>
        </w:rPr>
        <w:br w:type="page"/>
      </w:r>
    </w:p>
    <w:bookmarkEnd w:id="159"/>
    <w:p>
      <w:pPr>
        <w:shd w:val="clear"/>
        <w:rPr>
          <w:rFonts w:ascii="宋体" w:hAnsi="宋体" w:cs="宋体"/>
          <w:color w:val="auto"/>
          <w:sz w:val="52"/>
          <w:szCs w:val="52"/>
          <w:highlight w:val="none"/>
        </w:rPr>
      </w:pPr>
    </w:p>
    <w:p>
      <w:pPr>
        <w:pStyle w:val="4"/>
        <w:shd w:val="clear"/>
        <w:spacing w:before="0" w:after="0" w:line="360" w:lineRule="auto"/>
        <w:jc w:val="center"/>
        <w:rPr>
          <w:rFonts w:ascii="宋体" w:hAnsi="宋体" w:eastAsia="宋体" w:cs="宋体"/>
          <w:color w:val="auto"/>
          <w:sz w:val="72"/>
          <w:szCs w:val="72"/>
          <w:highlight w:val="none"/>
        </w:rPr>
      </w:pPr>
      <w:bookmarkStart w:id="160" w:name="_Toc7358"/>
      <w:r>
        <w:rPr>
          <w:rFonts w:hint="eastAsia" w:ascii="宋体" w:hAnsi="宋体" w:eastAsia="宋体" w:cs="宋体"/>
          <w:color w:val="auto"/>
          <w:sz w:val="72"/>
          <w:szCs w:val="72"/>
          <w:highlight w:val="none"/>
        </w:rPr>
        <w:t>商务文件</w:t>
      </w:r>
      <w:bookmarkEnd w:id="160"/>
    </w:p>
    <w:p>
      <w:pPr>
        <w:shd w:val="clear"/>
        <w:jc w:val="center"/>
        <w:rPr>
          <w:rFonts w:ascii="宋体" w:hAnsi="宋体" w:cs="宋体"/>
          <w:color w:val="auto"/>
          <w:sz w:val="72"/>
          <w:szCs w:val="72"/>
          <w:highlight w:val="none"/>
        </w:rPr>
      </w:pPr>
      <w:r>
        <w:rPr>
          <w:rFonts w:hint="eastAsia" w:ascii="宋体" w:hAnsi="宋体" w:cs="宋体"/>
          <w:color w:val="auto"/>
          <w:sz w:val="72"/>
          <w:szCs w:val="72"/>
          <w:highlight w:val="none"/>
        </w:rPr>
        <w:t>（单独装订成册）</w:t>
      </w:r>
    </w:p>
    <w:p>
      <w:pPr>
        <w:shd w:val="clear"/>
        <w:rPr>
          <w:rFonts w:ascii="宋体" w:hAnsi="宋体" w:cs="宋体"/>
          <w:color w:val="auto"/>
          <w:highlight w:val="none"/>
        </w:rPr>
      </w:pPr>
    </w:p>
    <w:p>
      <w:pPr>
        <w:pStyle w:val="2"/>
        <w:shd w:val="clear"/>
        <w:rPr>
          <w:color w:val="auto"/>
          <w:highlight w:val="none"/>
        </w:rPr>
      </w:pPr>
    </w:p>
    <w:p>
      <w:pPr>
        <w:pStyle w:val="27"/>
        <w:shd w:val="clear"/>
        <w:ind w:firstLine="240"/>
        <w:rPr>
          <w:color w:val="auto"/>
          <w:highlight w:val="none"/>
        </w:rPr>
      </w:pPr>
    </w:p>
    <w:p>
      <w:pPr>
        <w:shd w:val="clear"/>
        <w:rPr>
          <w:rFonts w:ascii="宋体" w:hAnsi="宋体" w:cs="宋体"/>
          <w:b/>
          <w:bCs/>
          <w:color w:val="auto"/>
          <w:sz w:val="32"/>
          <w:szCs w:val="32"/>
          <w:highlight w:val="none"/>
        </w:rPr>
      </w:pPr>
      <w:r>
        <w:rPr>
          <w:rFonts w:hint="eastAsia" w:ascii="宋体" w:hAnsi="宋体" w:cs="宋体"/>
          <w:b/>
          <w:bCs/>
          <w:color w:val="auto"/>
          <w:spacing w:val="0"/>
          <w:kern w:val="0"/>
          <w:sz w:val="32"/>
          <w:szCs w:val="32"/>
          <w:highlight w:val="none"/>
          <w:fitText w:val="1600" w:id="5"/>
        </w:rPr>
        <w:t>项目名称：</w:t>
      </w:r>
    </w:p>
    <w:p>
      <w:pPr>
        <w:shd w:val="clear"/>
        <w:rPr>
          <w:rFonts w:ascii="宋体" w:hAnsi="宋体" w:cs="宋体"/>
          <w:b/>
          <w:bCs/>
          <w:color w:val="auto"/>
          <w:sz w:val="32"/>
          <w:szCs w:val="32"/>
          <w:highlight w:val="none"/>
        </w:rPr>
      </w:pPr>
      <w:r>
        <w:rPr>
          <w:rFonts w:hint="eastAsia" w:ascii="宋体" w:hAnsi="宋体" w:cs="宋体"/>
          <w:b/>
          <w:bCs/>
          <w:color w:val="auto"/>
          <w:spacing w:val="0"/>
          <w:kern w:val="0"/>
          <w:sz w:val="32"/>
          <w:szCs w:val="32"/>
          <w:highlight w:val="none"/>
          <w:fitText w:val="1600" w:id="6"/>
        </w:rPr>
        <w:t>项目编号：</w:t>
      </w:r>
    </w:p>
    <w:p>
      <w:pPr>
        <w:pStyle w:val="2"/>
        <w:shd w:val="clear"/>
        <w:ind w:left="0"/>
        <w:rPr>
          <w:b/>
          <w:color w:val="auto"/>
          <w:spacing w:val="1280"/>
          <w:sz w:val="32"/>
          <w:szCs w:val="32"/>
          <w:highlight w:val="none"/>
        </w:rPr>
      </w:pPr>
      <w:r>
        <w:rPr>
          <w:rFonts w:hint="eastAsia"/>
          <w:b/>
          <w:color w:val="auto"/>
          <w:spacing w:val="160"/>
          <w:kern w:val="0"/>
          <w:sz w:val="32"/>
          <w:szCs w:val="32"/>
          <w:highlight w:val="none"/>
          <w:fitText w:val="1600" w:id="7"/>
          <w:lang w:val="en-US" w:bidi="ar-SA"/>
        </w:rPr>
        <w:t>包组</w:t>
      </w:r>
      <w:r>
        <w:rPr>
          <w:rFonts w:hint="eastAsia"/>
          <w:b/>
          <w:color w:val="auto"/>
          <w:spacing w:val="0"/>
          <w:kern w:val="0"/>
          <w:sz w:val="32"/>
          <w:szCs w:val="32"/>
          <w:highlight w:val="none"/>
          <w:fitText w:val="1600" w:id="7"/>
          <w:lang w:val="en-US" w:bidi="ar-SA"/>
        </w:rPr>
        <w:t>号</w:t>
      </w:r>
      <w:r>
        <w:rPr>
          <w:rFonts w:hint="eastAsia"/>
          <w:b/>
          <w:color w:val="auto"/>
          <w:spacing w:val="106"/>
          <w:sz w:val="32"/>
          <w:szCs w:val="32"/>
          <w:highlight w:val="none"/>
          <w:lang w:val="en-US" w:bidi="ar-SA"/>
        </w:rPr>
        <w:t>（如有）：</w:t>
      </w:r>
    </w:p>
    <w:p>
      <w:pPr>
        <w:shd w:val="clear"/>
        <w:rPr>
          <w:rFonts w:ascii="宋体" w:hAnsi="宋体" w:cs="宋体"/>
          <w:b/>
          <w:color w:val="auto"/>
          <w:sz w:val="32"/>
          <w:szCs w:val="32"/>
          <w:highlight w:val="none"/>
        </w:rPr>
      </w:pPr>
      <w:r>
        <w:rPr>
          <w:rFonts w:hint="eastAsia" w:ascii="宋体" w:hAnsi="宋体" w:cs="宋体"/>
          <w:b/>
          <w:color w:val="auto"/>
          <w:spacing w:val="0"/>
          <w:w w:val="83"/>
          <w:kern w:val="0"/>
          <w:sz w:val="32"/>
          <w:szCs w:val="32"/>
          <w:highlight w:val="none"/>
          <w:fitText w:val="1600" w:id="8"/>
        </w:rPr>
        <w:t>投标人名称：</w:t>
      </w:r>
    </w:p>
    <w:p>
      <w:pPr>
        <w:shd w:val="clear"/>
        <w:rPr>
          <w:rFonts w:ascii="宋体" w:hAnsi="宋体" w:cs="宋体"/>
          <w:b/>
          <w:color w:val="auto"/>
          <w:spacing w:val="1"/>
          <w:w w:val="76"/>
          <w:sz w:val="32"/>
          <w:szCs w:val="32"/>
          <w:highlight w:val="none"/>
        </w:rPr>
      </w:pPr>
      <w:r>
        <w:rPr>
          <w:rFonts w:hint="eastAsia" w:ascii="宋体" w:hAnsi="宋体" w:cs="宋体"/>
          <w:b/>
          <w:color w:val="auto"/>
          <w:spacing w:val="15"/>
          <w:kern w:val="0"/>
          <w:sz w:val="32"/>
          <w:szCs w:val="32"/>
          <w:highlight w:val="none"/>
          <w:fitText w:val="1600" w:id="9"/>
        </w:rPr>
        <w:t xml:space="preserve">日   </w:t>
      </w:r>
      <w:r>
        <w:rPr>
          <w:rFonts w:hint="eastAsia" w:ascii="宋体" w:hAnsi="宋体" w:cs="宋体"/>
          <w:b/>
          <w:color w:val="auto"/>
          <w:spacing w:val="15"/>
          <w:w w:val="76"/>
          <w:kern w:val="0"/>
          <w:sz w:val="32"/>
          <w:szCs w:val="32"/>
          <w:highlight w:val="none"/>
          <w:fitText w:val="1600" w:id="9"/>
        </w:rPr>
        <w:t xml:space="preserve"> 期</w:t>
      </w:r>
      <w:r>
        <w:rPr>
          <w:rFonts w:hint="eastAsia" w:ascii="宋体" w:hAnsi="宋体" w:cs="宋体"/>
          <w:b/>
          <w:color w:val="auto"/>
          <w:spacing w:val="5"/>
          <w:w w:val="76"/>
          <w:kern w:val="0"/>
          <w:sz w:val="32"/>
          <w:szCs w:val="32"/>
          <w:highlight w:val="none"/>
          <w:fitText w:val="1600" w:id="9"/>
        </w:rPr>
        <w:t>：</w:t>
      </w:r>
    </w:p>
    <w:p>
      <w:pPr>
        <w:pStyle w:val="2"/>
        <w:shd w:val="clear"/>
        <w:rPr>
          <w:b/>
          <w:color w:val="auto"/>
          <w:spacing w:val="1"/>
          <w:w w:val="76"/>
          <w:sz w:val="32"/>
          <w:szCs w:val="32"/>
          <w:highlight w:val="none"/>
        </w:rPr>
      </w:pPr>
    </w:p>
    <w:p>
      <w:pPr>
        <w:pStyle w:val="27"/>
        <w:shd w:val="clear"/>
        <w:ind w:firstLine="248"/>
        <w:rPr>
          <w:b/>
          <w:color w:val="auto"/>
          <w:spacing w:val="1"/>
          <w:w w:val="76"/>
          <w:sz w:val="32"/>
          <w:szCs w:val="32"/>
          <w:highlight w:val="none"/>
        </w:rPr>
      </w:pPr>
    </w:p>
    <w:p>
      <w:pPr>
        <w:pStyle w:val="22"/>
        <w:shd w:val="clear"/>
        <w:rPr>
          <w:rFonts w:ascii="宋体" w:hAnsi="宋体" w:cs="宋体"/>
          <w:b/>
          <w:color w:val="auto"/>
          <w:spacing w:val="9"/>
          <w:w w:val="76"/>
          <w:sz w:val="32"/>
          <w:szCs w:val="32"/>
          <w:highlight w:val="none"/>
        </w:rPr>
      </w:pPr>
    </w:p>
    <w:p>
      <w:pPr>
        <w:shd w:val="clear"/>
        <w:rPr>
          <w:rFonts w:ascii="宋体" w:hAnsi="宋体" w:cs="宋体"/>
          <w:b/>
          <w:color w:val="auto"/>
          <w:sz w:val="32"/>
          <w:szCs w:val="32"/>
          <w:highlight w:val="none"/>
        </w:rPr>
      </w:pPr>
    </w:p>
    <w:p>
      <w:pPr>
        <w:pStyle w:val="2"/>
        <w:shd w:val="clear"/>
        <w:rPr>
          <w:b/>
          <w:color w:val="auto"/>
          <w:sz w:val="32"/>
          <w:szCs w:val="32"/>
          <w:highlight w:val="none"/>
        </w:rPr>
      </w:pPr>
    </w:p>
    <w:p>
      <w:pPr>
        <w:shd w:val="clear"/>
        <w:rPr>
          <w:rFonts w:ascii="宋体" w:hAnsi="宋体" w:cs="宋体"/>
          <w:color w:val="auto"/>
          <w:highlight w:val="none"/>
        </w:rPr>
      </w:pPr>
    </w:p>
    <w:p>
      <w:pPr>
        <w:shd w:val="clear"/>
        <w:rPr>
          <w:rFonts w:ascii="宋体" w:hAnsi="宋体" w:cs="宋体"/>
          <w:color w:val="auto"/>
          <w:szCs w:val="21"/>
          <w:highlight w:val="none"/>
        </w:rPr>
      </w:pPr>
      <w:r>
        <w:rPr>
          <w:rFonts w:hint="eastAsia" w:ascii="宋体" w:hAnsi="宋体" w:cs="宋体"/>
          <w:color w:val="auto"/>
          <w:szCs w:val="21"/>
          <w:highlight w:val="none"/>
        </w:rPr>
        <w:br w:type="page"/>
      </w:r>
    </w:p>
    <w:p>
      <w:pPr>
        <w:pStyle w:val="6"/>
        <w:widowControl w:val="0"/>
        <w:shd w:val="clear"/>
        <w:overflowPunct w:val="0"/>
        <w:spacing w:line="240" w:lineRule="auto"/>
        <w:rPr>
          <w:rFonts w:ascii="宋体" w:hAnsi="宋体" w:cs="宋体"/>
          <w:color w:val="auto"/>
          <w:highlight w:val="none"/>
        </w:rPr>
      </w:pPr>
      <w:bookmarkStart w:id="161" w:name="_Toc11732"/>
      <w:r>
        <w:rPr>
          <w:rFonts w:hint="eastAsia" w:ascii="宋体" w:hAnsi="宋体" w:cs="宋体"/>
          <w:color w:val="auto"/>
          <w:sz w:val="21"/>
          <w:szCs w:val="21"/>
          <w:highlight w:val="none"/>
        </w:rPr>
        <w:t>附件4.投标书格式</w:t>
      </w:r>
      <w:bookmarkEnd w:id="161"/>
    </w:p>
    <w:p>
      <w:pPr>
        <w:shd w:val="clear"/>
        <w:jc w:val="center"/>
        <w:rPr>
          <w:rFonts w:ascii="宋体" w:hAnsi="宋体" w:cs="宋体"/>
          <w:color w:val="auto"/>
          <w:szCs w:val="21"/>
          <w:highlight w:val="none"/>
        </w:rPr>
      </w:pPr>
      <w:r>
        <w:rPr>
          <w:rFonts w:hint="eastAsia" w:ascii="宋体" w:hAnsi="宋体" w:cs="宋体"/>
          <w:color w:val="auto"/>
          <w:sz w:val="32"/>
          <w:szCs w:val="32"/>
          <w:highlight w:val="none"/>
        </w:rPr>
        <w:t>投标书</w:t>
      </w:r>
    </w:p>
    <w:p>
      <w:pPr>
        <w:shd w:val="clear"/>
        <w:rPr>
          <w:rFonts w:ascii="宋体" w:hAnsi="宋体" w:cs="宋体"/>
          <w:color w:val="auto"/>
          <w:szCs w:val="21"/>
          <w:highlight w:val="none"/>
        </w:rPr>
      </w:pPr>
      <w:r>
        <w:rPr>
          <w:rFonts w:hint="eastAsia" w:ascii="宋体" w:hAnsi="宋体" w:cs="宋体"/>
          <w:color w:val="auto"/>
          <w:szCs w:val="21"/>
          <w:highlight w:val="none"/>
        </w:rPr>
        <w:t>致：xxx公司：</w:t>
      </w:r>
    </w:p>
    <w:p>
      <w:pPr>
        <w:shd w:val="clear"/>
        <w:rPr>
          <w:rFonts w:ascii="宋体" w:hAnsi="宋体" w:cs="宋体"/>
          <w:color w:val="auto"/>
          <w:szCs w:val="21"/>
          <w:highlight w:val="none"/>
        </w:rPr>
      </w:pP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根据贵方为</w:t>
      </w:r>
      <w:r>
        <w:rPr>
          <w:rFonts w:hint="eastAsia" w:ascii="宋体" w:hAnsi="宋体" w:cs="宋体"/>
          <w:color w:val="auto"/>
          <w:szCs w:val="21"/>
          <w:highlight w:val="none"/>
          <w:u w:val="single"/>
        </w:rPr>
        <w:t>（项目名称）（采购项目编号）</w:t>
      </w:r>
      <w:r>
        <w:rPr>
          <w:rFonts w:hint="eastAsia" w:ascii="宋体" w:hAnsi="宋体" w:cs="宋体"/>
          <w:color w:val="auto"/>
          <w:szCs w:val="21"/>
          <w:highlight w:val="none"/>
        </w:rPr>
        <w:t>项目采购公告/采购邀请，签字代表</w:t>
      </w:r>
      <w:r>
        <w:rPr>
          <w:rFonts w:hint="eastAsia" w:ascii="宋体" w:hAnsi="宋体" w:cs="宋体"/>
          <w:color w:val="auto"/>
          <w:szCs w:val="21"/>
          <w:highlight w:val="none"/>
          <w:u w:val="single"/>
        </w:rPr>
        <w:t>（姓名、职务）</w:t>
      </w:r>
      <w:r>
        <w:rPr>
          <w:rFonts w:hint="eastAsia" w:ascii="宋体" w:hAnsi="宋体" w:cs="宋体"/>
          <w:color w:val="auto"/>
          <w:szCs w:val="21"/>
          <w:highlight w:val="none"/>
        </w:rPr>
        <w:t>经正式授权并代表投标人</w:t>
      </w:r>
      <w:r>
        <w:rPr>
          <w:rFonts w:hint="eastAsia" w:ascii="宋体" w:hAnsi="宋体" w:cs="宋体"/>
          <w:color w:val="auto"/>
          <w:szCs w:val="21"/>
          <w:highlight w:val="none"/>
          <w:u w:val="single"/>
        </w:rPr>
        <w:t>（投标人名称、地址）</w:t>
      </w:r>
      <w:r>
        <w:rPr>
          <w:rFonts w:hint="eastAsia" w:ascii="宋体" w:hAnsi="宋体" w:cs="宋体"/>
          <w:color w:val="auto"/>
          <w:szCs w:val="21"/>
          <w:highlight w:val="none"/>
        </w:rPr>
        <w:t>提交投标文件及“唱标信封”：</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在此，签字代表宣布同意如下： </w:t>
      </w:r>
    </w:p>
    <w:p>
      <w:pPr>
        <w:widowControl w:val="0"/>
        <w:numPr>
          <w:ilvl w:val="0"/>
          <w:numId w:val="10"/>
        </w:numPr>
        <w:shd w:val="clear"/>
        <w:adjustRightInd/>
        <w:snapToGrid/>
        <w:jc w:val="both"/>
        <w:rPr>
          <w:rFonts w:ascii="宋体" w:hAnsi="宋体" w:cs="宋体"/>
          <w:color w:val="auto"/>
          <w:szCs w:val="21"/>
          <w:highlight w:val="none"/>
        </w:rPr>
      </w:pPr>
      <w:r>
        <w:rPr>
          <w:rFonts w:hint="eastAsia" w:ascii="宋体" w:hAnsi="宋体" w:cs="宋体"/>
          <w:color w:val="auto"/>
          <w:szCs w:val="21"/>
          <w:highlight w:val="none"/>
        </w:rPr>
        <w:t xml:space="preserve">我方将按采购文件的规定履行合同责任和义务。 </w:t>
      </w:r>
    </w:p>
    <w:p>
      <w:pPr>
        <w:widowControl w:val="0"/>
        <w:numPr>
          <w:ilvl w:val="0"/>
          <w:numId w:val="10"/>
        </w:numPr>
        <w:shd w:val="clear"/>
        <w:adjustRightInd/>
        <w:snapToGrid/>
        <w:jc w:val="both"/>
        <w:rPr>
          <w:rFonts w:ascii="宋体" w:hAnsi="宋体" w:cs="宋体"/>
          <w:color w:val="auto"/>
          <w:szCs w:val="21"/>
          <w:highlight w:val="none"/>
        </w:rPr>
      </w:pPr>
      <w:r>
        <w:rPr>
          <w:rFonts w:hint="eastAsia" w:ascii="宋体" w:hAnsi="宋体" w:cs="宋体"/>
          <w:b/>
          <w:color w:val="auto"/>
          <w:szCs w:val="21"/>
          <w:highlight w:val="none"/>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pPr>
        <w:widowControl w:val="0"/>
        <w:numPr>
          <w:ilvl w:val="0"/>
          <w:numId w:val="10"/>
        </w:numPr>
        <w:shd w:val="clear"/>
        <w:adjustRightInd/>
        <w:snapToGrid/>
        <w:jc w:val="both"/>
        <w:rPr>
          <w:rFonts w:ascii="宋体" w:hAnsi="宋体" w:cs="宋体"/>
          <w:color w:val="auto"/>
          <w:szCs w:val="21"/>
          <w:highlight w:val="none"/>
        </w:rPr>
      </w:pPr>
      <w:r>
        <w:rPr>
          <w:rFonts w:hint="eastAsia" w:ascii="宋体" w:hAnsi="宋体" w:cs="宋体"/>
          <w:color w:val="auto"/>
          <w:szCs w:val="21"/>
          <w:highlight w:val="none"/>
        </w:rPr>
        <w:t>本投标有效期为自开标日起</w:t>
      </w:r>
      <w:r>
        <w:rPr>
          <w:rFonts w:hint="eastAsia" w:ascii="宋体" w:hAnsi="宋体" w:cs="宋体"/>
          <w:color w:val="auto"/>
          <w:szCs w:val="21"/>
          <w:highlight w:val="none"/>
          <w:u w:val="single"/>
        </w:rPr>
        <w:t>90</w:t>
      </w:r>
      <w:r>
        <w:rPr>
          <w:rFonts w:hint="eastAsia" w:ascii="宋体" w:hAnsi="宋体" w:cs="宋体"/>
          <w:color w:val="auto"/>
          <w:szCs w:val="21"/>
          <w:highlight w:val="none"/>
        </w:rPr>
        <w:t xml:space="preserve">个日历日。 </w:t>
      </w:r>
    </w:p>
    <w:p>
      <w:pPr>
        <w:widowControl w:val="0"/>
        <w:numPr>
          <w:ilvl w:val="0"/>
          <w:numId w:val="10"/>
        </w:numPr>
        <w:shd w:val="clear"/>
        <w:adjustRightInd/>
        <w:snapToGrid/>
        <w:jc w:val="both"/>
        <w:rPr>
          <w:rFonts w:ascii="宋体" w:hAnsi="宋体" w:cs="宋体"/>
          <w:color w:val="auto"/>
          <w:szCs w:val="21"/>
          <w:highlight w:val="none"/>
        </w:rPr>
      </w:pPr>
      <w:r>
        <w:rPr>
          <w:rFonts w:hint="eastAsia" w:ascii="宋体" w:hAnsi="宋体" w:cs="宋体"/>
          <w:color w:val="auto"/>
          <w:szCs w:val="21"/>
          <w:highlight w:val="none"/>
        </w:rPr>
        <w:t>我方保证遵守投标人须知中关于没收投标保证金的规定。</w:t>
      </w:r>
    </w:p>
    <w:p>
      <w:pPr>
        <w:widowControl w:val="0"/>
        <w:numPr>
          <w:ilvl w:val="0"/>
          <w:numId w:val="10"/>
        </w:numPr>
        <w:shd w:val="clear"/>
        <w:adjustRightInd/>
        <w:snapToGrid/>
        <w:jc w:val="both"/>
        <w:rPr>
          <w:rFonts w:ascii="宋体" w:hAnsi="宋体" w:cs="宋体"/>
          <w:color w:val="auto"/>
          <w:szCs w:val="21"/>
          <w:highlight w:val="none"/>
        </w:rPr>
      </w:pPr>
      <w:r>
        <w:rPr>
          <w:rFonts w:hint="eastAsia" w:ascii="宋体" w:hAnsi="宋体" w:cs="宋体"/>
          <w:color w:val="auto"/>
          <w:szCs w:val="21"/>
          <w:highlight w:val="none"/>
        </w:rPr>
        <w:t xml:space="preserve">我方承诺，与买方聘请的为此项目提供咨询服务的公司及任何附属机构均无关联，我方不是买方的附属机构。 </w:t>
      </w:r>
    </w:p>
    <w:p>
      <w:pPr>
        <w:widowControl w:val="0"/>
        <w:numPr>
          <w:ilvl w:val="0"/>
          <w:numId w:val="10"/>
        </w:numPr>
        <w:shd w:val="clear"/>
        <w:adjustRightInd/>
        <w:snapToGrid/>
        <w:jc w:val="both"/>
        <w:rPr>
          <w:rFonts w:ascii="宋体" w:hAnsi="宋体" w:cs="宋体"/>
          <w:color w:val="auto"/>
          <w:szCs w:val="21"/>
          <w:highlight w:val="none"/>
        </w:rPr>
      </w:pPr>
      <w:r>
        <w:rPr>
          <w:rFonts w:hint="eastAsia" w:ascii="宋体" w:hAnsi="宋体" w:cs="宋体"/>
          <w:color w:val="auto"/>
          <w:szCs w:val="21"/>
          <w:highlight w:val="none"/>
        </w:rPr>
        <w:t>我方承诺，我方具备投标人邀请中所要求的资格条件，已清楚采购文件所有要求及有关规定；并承诺参加本次采购活动中，如有违法、违规、弄虚作假行为，所造成的损失、不良后果及法律责任，一律由我方承担；</w:t>
      </w:r>
    </w:p>
    <w:p>
      <w:pPr>
        <w:widowControl w:val="0"/>
        <w:numPr>
          <w:ilvl w:val="0"/>
          <w:numId w:val="10"/>
        </w:numPr>
        <w:shd w:val="clear"/>
        <w:adjustRightInd/>
        <w:snapToGrid/>
        <w:jc w:val="both"/>
        <w:rPr>
          <w:rFonts w:ascii="宋体" w:hAnsi="宋体" w:cs="宋体"/>
          <w:color w:val="auto"/>
          <w:szCs w:val="21"/>
          <w:highlight w:val="none"/>
        </w:rPr>
      </w:pPr>
      <w:r>
        <w:rPr>
          <w:rFonts w:hint="eastAsia" w:ascii="宋体" w:hAnsi="宋体" w:cs="宋体"/>
          <w:color w:val="auto"/>
          <w:szCs w:val="21"/>
          <w:highlight w:val="none"/>
        </w:rPr>
        <w:t>我方同意提供按照贵方可能要求的与其投标有关的一切数据或资料。</w:t>
      </w:r>
    </w:p>
    <w:p>
      <w:pPr>
        <w:widowControl w:val="0"/>
        <w:numPr>
          <w:ilvl w:val="0"/>
          <w:numId w:val="10"/>
        </w:numPr>
        <w:shd w:val="clear"/>
        <w:adjustRightInd/>
        <w:snapToGrid/>
        <w:jc w:val="both"/>
        <w:rPr>
          <w:rFonts w:ascii="宋体" w:hAnsi="宋体" w:cs="宋体"/>
          <w:color w:val="auto"/>
          <w:szCs w:val="21"/>
          <w:highlight w:val="none"/>
        </w:rPr>
      </w:pPr>
      <w:r>
        <w:rPr>
          <w:rFonts w:hint="eastAsia" w:ascii="宋体" w:hAnsi="宋体" w:cs="宋体"/>
          <w:color w:val="auto"/>
          <w:szCs w:val="21"/>
          <w:highlight w:val="none"/>
        </w:rPr>
        <w:t>与本投标有关的一切正式信函请寄：</w:t>
      </w:r>
    </w:p>
    <w:p>
      <w:pPr>
        <w:shd w:val="clear"/>
        <w:rPr>
          <w:rFonts w:ascii="宋体" w:hAnsi="宋体" w:cs="宋体"/>
          <w:color w:val="auto"/>
          <w:szCs w:val="21"/>
          <w:highlight w:val="none"/>
        </w:rPr>
      </w:pPr>
      <w:r>
        <w:rPr>
          <w:rFonts w:hint="eastAsia" w:ascii="宋体" w:hAnsi="宋体" w:cs="宋体"/>
          <w:color w:val="auto"/>
          <w:szCs w:val="21"/>
          <w:highlight w:val="none"/>
        </w:rPr>
        <w:t>地址：　　　　　　　　　　　　　　　　　　　 电子邮箱：</w:t>
      </w:r>
    </w:p>
    <w:p>
      <w:pPr>
        <w:shd w:val="clear"/>
        <w:rPr>
          <w:rFonts w:ascii="宋体" w:hAnsi="宋体" w:cs="宋体"/>
          <w:color w:val="auto"/>
          <w:szCs w:val="21"/>
          <w:highlight w:val="none"/>
        </w:rPr>
      </w:pPr>
      <w:r>
        <w:rPr>
          <w:rFonts w:hint="eastAsia" w:ascii="宋体" w:hAnsi="宋体" w:cs="宋体"/>
          <w:color w:val="auto"/>
          <w:szCs w:val="21"/>
          <w:highlight w:val="none"/>
        </w:rPr>
        <w:t>电话/移动电话：　　　　　　　　　　　　　　　</w:t>
      </w:r>
    </w:p>
    <w:p>
      <w:pPr>
        <w:shd w:val="clear"/>
        <w:rPr>
          <w:rFonts w:ascii="宋体" w:hAnsi="宋体" w:cs="宋体"/>
          <w:color w:val="auto"/>
          <w:szCs w:val="21"/>
          <w:highlight w:val="none"/>
        </w:rPr>
      </w:pPr>
      <w:r>
        <w:rPr>
          <w:rFonts w:hint="eastAsia" w:ascii="宋体" w:hAnsi="宋体" w:cs="宋体"/>
          <w:color w:val="auto"/>
          <w:szCs w:val="21"/>
          <w:highlight w:val="none"/>
        </w:rPr>
        <w:t xml:space="preserve">投标人法定代表人（或其授权代表）签字： </w:t>
      </w:r>
    </w:p>
    <w:p>
      <w:pPr>
        <w:shd w:val="clear"/>
        <w:rPr>
          <w:rFonts w:ascii="宋体" w:hAnsi="宋体" w:cs="宋体"/>
          <w:color w:val="auto"/>
          <w:szCs w:val="21"/>
          <w:highlight w:val="none"/>
        </w:rPr>
      </w:pPr>
      <w:r>
        <w:rPr>
          <w:rFonts w:hint="eastAsia" w:ascii="宋体" w:hAnsi="宋体" w:cs="宋体"/>
          <w:color w:val="auto"/>
          <w:szCs w:val="21"/>
          <w:highlight w:val="none"/>
        </w:rPr>
        <w:t xml:space="preserve">投标人名称（全称）： </w:t>
      </w:r>
    </w:p>
    <w:p>
      <w:pPr>
        <w:shd w:val="clear"/>
        <w:rPr>
          <w:rFonts w:ascii="宋体" w:hAnsi="宋体" w:cs="宋体"/>
          <w:color w:val="auto"/>
          <w:szCs w:val="21"/>
          <w:highlight w:val="none"/>
        </w:rPr>
      </w:pPr>
      <w:r>
        <w:rPr>
          <w:rFonts w:hint="eastAsia" w:ascii="宋体" w:hAnsi="宋体" w:cs="宋体"/>
          <w:color w:val="auto"/>
          <w:szCs w:val="21"/>
          <w:highlight w:val="none"/>
        </w:rPr>
        <w:t xml:space="preserve">投标人盖章： </w:t>
      </w:r>
    </w:p>
    <w:p>
      <w:pPr>
        <w:shd w:val="clear"/>
        <w:rPr>
          <w:rFonts w:ascii="宋体" w:hAnsi="宋体" w:cs="宋体"/>
          <w:color w:val="auto"/>
          <w:highlight w:val="none"/>
        </w:rPr>
      </w:pPr>
      <w:r>
        <w:rPr>
          <w:rFonts w:hint="eastAsia" w:ascii="宋体" w:hAnsi="宋体" w:cs="宋体"/>
          <w:color w:val="auto"/>
          <w:szCs w:val="21"/>
          <w:highlight w:val="none"/>
        </w:rPr>
        <w:t>日期：</w:t>
      </w:r>
      <w:r>
        <w:rPr>
          <w:rFonts w:hint="eastAsia" w:ascii="宋体" w:hAnsi="宋体" w:cs="宋体"/>
          <w:color w:val="auto"/>
          <w:highlight w:val="none"/>
        </w:rPr>
        <w:br w:type="page"/>
      </w:r>
    </w:p>
    <w:p>
      <w:pPr>
        <w:pStyle w:val="6"/>
        <w:widowControl w:val="0"/>
        <w:shd w:val="clear"/>
        <w:overflowPunct w:val="0"/>
        <w:spacing w:line="240" w:lineRule="auto"/>
        <w:rPr>
          <w:rFonts w:ascii="宋体" w:hAnsi="宋体" w:cs="宋体"/>
          <w:color w:val="auto"/>
          <w:sz w:val="21"/>
          <w:szCs w:val="21"/>
          <w:highlight w:val="none"/>
        </w:rPr>
      </w:pPr>
      <w:bookmarkStart w:id="162" w:name="_Toc19972"/>
      <w:r>
        <w:rPr>
          <w:rFonts w:hint="eastAsia" w:ascii="宋体" w:hAnsi="宋体" w:cs="宋体"/>
          <w:color w:val="auto"/>
          <w:sz w:val="21"/>
          <w:szCs w:val="21"/>
          <w:highlight w:val="none"/>
        </w:rPr>
        <w:t>附件5. 法定代表人证明书格式</w:t>
      </w:r>
      <w:bookmarkEnd w:id="162"/>
    </w:p>
    <w:p>
      <w:pPr>
        <w:shd w:val="clear"/>
        <w:rPr>
          <w:rFonts w:ascii="宋体" w:hAnsi="宋体" w:cs="宋体"/>
          <w:color w:val="auto"/>
          <w:highlight w:val="none"/>
        </w:rPr>
      </w:pPr>
    </w:p>
    <w:p>
      <w:pPr>
        <w:shd w:val="clear"/>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法定代表人证明书</w:t>
      </w:r>
    </w:p>
    <w:p>
      <w:pPr>
        <w:pStyle w:val="44"/>
        <w:shd w:val="clear"/>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致：xxx公司</w:t>
      </w:r>
    </w:p>
    <w:p>
      <w:pPr>
        <w:pStyle w:val="44"/>
        <w:shd w:val="clear"/>
        <w:spacing w:line="420" w:lineRule="atLeast"/>
        <w:ind w:firstLine="433"/>
        <w:rPr>
          <w:rFonts w:ascii="宋体" w:eastAsia="宋体" w:cs="宋体"/>
          <w:color w:val="auto"/>
          <w:sz w:val="21"/>
          <w:szCs w:val="21"/>
          <w:highlight w:val="none"/>
        </w:rPr>
      </w:pPr>
    </w:p>
    <w:p>
      <w:pPr>
        <w:pStyle w:val="44"/>
        <w:shd w:val="clear"/>
        <w:spacing w:line="420" w:lineRule="atLeast"/>
        <w:ind w:firstLine="433"/>
        <w:rPr>
          <w:rFonts w:ascii="宋体" w:eastAsia="宋体" w:cs="宋体"/>
          <w:color w:val="auto"/>
          <w:sz w:val="21"/>
          <w:szCs w:val="21"/>
          <w:highlight w:val="none"/>
          <w:u w:val="single"/>
        </w:rPr>
      </w:pPr>
      <w:r>
        <w:rPr>
          <w:rFonts w:hint="eastAsia" w:ascii="宋体" w:eastAsia="宋体" w:cs="宋体"/>
          <w:color w:val="auto"/>
          <w:sz w:val="21"/>
          <w:szCs w:val="21"/>
          <w:highlight w:val="none"/>
        </w:rPr>
        <w:t>投标人名称:</w:t>
      </w:r>
    </w:p>
    <w:p>
      <w:pPr>
        <w:pStyle w:val="44"/>
        <w:shd w:val="clear"/>
        <w:spacing w:line="420" w:lineRule="atLeast"/>
        <w:ind w:firstLine="433"/>
        <w:rPr>
          <w:rFonts w:ascii="宋体" w:eastAsia="宋体" w:cs="宋体"/>
          <w:color w:val="auto"/>
          <w:sz w:val="21"/>
          <w:szCs w:val="21"/>
          <w:highlight w:val="none"/>
          <w:u w:val="single"/>
        </w:rPr>
      </w:pPr>
      <w:r>
        <w:rPr>
          <w:rFonts w:hint="eastAsia" w:ascii="宋体" w:eastAsia="宋体" w:cs="宋体"/>
          <w:color w:val="auto"/>
          <w:sz w:val="21"/>
          <w:szCs w:val="21"/>
          <w:highlight w:val="none"/>
        </w:rPr>
        <w:t>单 位 性质：</w:t>
      </w:r>
    </w:p>
    <w:p>
      <w:pPr>
        <w:pStyle w:val="44"/>
        <w:shd w:val="clear"/>
        <w:spacing w:line="420" w:lineRule="atLeast"/>
        <w:ind w:firstLine="433"/>
        <w:rPr>
          <w:rFonts w:ascii="宋体" w:eastAsia="宋体" w:cs="宋体"/>
          <w:color w:val="auto"/>
          <w:sz w:val="21"/>
          <w:szCs w:val="21"/>
          <w:highlight w:val="none"/>
          <w:u w:val="single"/>
        </w:rPr>
      </w:pPr>
      <w:r>
        <w:rPr>
          <w:rFonts w:hint="eastAsia" w:ascii="宋体" w:eastAsia="宋体" w:cs="宋体"/>
          <w:color w:val="auto"/>
          <w:sz w:val="21"/>
          <w:szCs w:val="21"/>
          <w:highlight w:val="none"/>
        </w:rPr>
        <w:t>地      址：</w:t>
      </w:r>
    </w:p>
    <w:p>
      <w:pPr>
        <w:pStyle w:val="44"/>
        <w:shd w:val="clear"/>
        <w:spacing w:line="420" w:lineRule="atLeas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成 立 时间：年月日</w:t>
      </w:r>
    </w:p>
    <w:p>
      <w:pPr>
        <w:pStyle w:val="44"/>
        <w:shd w:val="clear"/>
        <w:spacing w:line="420" w:lineRule="atLeast"/>
        <w:ind w:firstLine="433"/>
        <w:rPr>
          <w:rFonts w:ascii="宋体" w:eastAsia="宋体" w:cs="宋体"/>
          <w:color w:val="auto"/>
          <w:sz w:val="21"/>
          <w:szCs w:val="21"/>
          <w:highlight w:val="none"/>
        </w:rPr>
      </w:pPr>
      <w:r>
        <w:rPr>
          <w:rFonts w:hint="eastAsia" w:ascii="宋体" w:eastAsia="宋体" w:cs="宋体"/>
          <w:color w:val="auto"/>
          <w:sz w:val="21"/>
          <w:szCs w:val="21"/>
          <w:highlight w:val="none"/>
        </w:rPr>
        <w:t>经 营 期限：</w:t>
      </w:r>
    </w:p>
    <w:p>
      <w:pPr>
        <w:pStyle w:val="44"/>
        <w:shd w:val="clear"/>
        <w:spacing w:line="420" w:lineRule="atLeast"/>
        <w:ind w:firstLine="433"/>
        <w:rPr>
          <w:rFonts w:ascii="宋体" w:eastAsia="宋体" w:cs="宋体"/>
          <w:color w:val="auto"/>
          <w:sz w:val="21"/>
          <w:szCs w:val="21"/>
          <w:highlight w:val="none"/>
        </w:rPr>
      </w:pPr>
      <w:r>
        <w:rPr>
          <w:rFonts w:hint="eastAsia" w:ascii="宋体" w:eastAsia="宋体" w:cs="宋体"/>
          <w:color w:val="auto"/>
          <w:sz w:val="21"/>
          <w:szCs w:val="21"/>
          <w:highlight w:val="none"/>
        </w:rPr>
        <w:t>姓名：性别：年龄：职务：</w:t>
      </w:r>
    </w:p>
    <w:p>
      <w:pPr>
        <w:pStyle w:val="44"/>
        <w:shd w:val="clear"/>
        <w:spacing w:line="420" w:lineRule="atLeast"/>
        <w:ind w:firstLine="433"/>
        <w:rPr>
          <w:rFonts w:ascii="宋体" w:eastAsia="宋体" w:cs="宋体"/>
          <w:color w:val="auto"/>
          <w:sz w:val="21"/>
          <w:szCs w:val="21"/>
          <w:highlight w:val="none"/>
        </w:rPr>
      </w:pPr>
      <w:r>
        <w:rPr>
          <w:rFonts w:hint="eastAsia" w:ascii="宋体" w:eastAsia="宋体" w:cs="宋体"/>
          <w:color w:val="auto"/>
          <w:sz w:val="21"/>
          <w:szCs w:val="21"/>
          <w:highlight w:val="none"/>
        </w:rPr>
        <w:t>系（投标人名称）的法定代表人。</w:t>
      </w:r>
    </w:p>
    <w:p>
      <w:pPr>
        <w:shd w:val="clear"/>
        <w:spacing w:line="42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特此证明。</w:t>
      </w:r>
    </w:p>
    <w:p>
      <w:pPr>
        <w:pStyle w:val="44"/>
        <w:shd w:val="clear"/>
        <w:spacing w:line="500" w:lineRule="atLeast"/>
        <w:ind w:firstLine="3517" w:firstLineChars="1675"/>
        <w:rPr>
          <w:rFonts w:ascii="宋体" w:eastAsia="宋体" w:cs="宋体"/>
          <w:color w:val="auto"/>
          <w:sz w:val="21"/>
          <w:szCs w:val="21"/>
          <w:highlight w:val="none"/>
        </w:rPr>
      </w:pPr>
    </w:p>
    <w:p>
      <w:pPr>
        <w:pStyle w:val="44"/>
        <w:shd w:val="clear"/>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投标人名称（加盖公章）：</w:t>
      </w:r>
    </w:p>
    <w:p>
      <w:pPr>
        <w:pStyle w:val="44"/>
        <w:shd w:val="clear"/>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法定代表人（签名或盖私章）：</w:t>
      </w:r>
    </w:p>
    <w:p>
      <w:pPr>
        <w:pStyle w:val="44"/>
        <w:shd w:val="clear"/>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法定代表人联系方式：</w:t>
      </w:r>
    </w:p>
    <w:p>
      <w:pPr>
        <w:pStyle w:val="44"/>
        <w:shd w:val="clear"/>
        <w:spacing w:line="500" w:lineRule="atLeast"/>
        <w:ind w:firstLine="3517" w:firstLineChars="1675"/>
        <w:rPr>
          <w:rFonts w:ascii="宋体" w:eastAsia="宋体" w:cs="宋体"/>
          <w:color w:val="auto"/>
          <w:sz w:val="21"/>
          <w:szCs w:val="21"/>
          <w:highlight w:val="none"/>
          <w:u w:val="single"/>
        </w:rPr>
      </w:pPr>
      <w:r>
        <w:rPr>
          <w:rFonts w:hint="eastAsia" w:ascii="宋体" w:eastAsia="宋体" w:cs="宋体"/>
          <w:color w:val="auto"/>
          <w:sz w:val="21"/>
          <w:szCs w:val="21"/>
          <w:highlight w:val="none"/>
        </w:rPr>
        <w:t>身份证号码：</w:t>
      </w:r>
    </w:p>
    <w:p>
      <w:pPr>
        <w:pStyle w:val="44"/>
        <w:shd w:val="clear"/>
        <w:spacing w:line="500" w:lineRule="atLeast"/>
        <w:ind w:firstLine="3507" w:firstLineChars="1670"/>
        <w:rPr>
          <w:rFonts w:ascii="宋体" w:eastAsia="宋体" w:cs="宋体"/>
          <w:color w:val="auto"/>
          <w:sz w:val="21"/>
          <w:szCs w:val="21"/>
          <w:highlight w:val="none"/>
        </w:rPr>
      </w:pPr>
      <w:r>
        <w:rPr>
          <w:rFonts w:hint="eastAsia" w:ascii="宋体" w:eastAsia="宋体" w:cs="宋体"/>
          <w:color w:val="auto"/>
          <w:sz w:val="21"/>
          <w:szCs w:val="21"/>
          <w:highlight w:val="none"/>
        </w:rPr>
        <w:t>日     期：  年  月  日</w:t>
      </w:r>
    </w:p>
    <w:p>
      <w:pPr>
        <w:shd w:val="clear"/>
        <w:ind w:firstLine="420" w:firstLineChars="200"/>
        <w:rPr>
          <w:rFonts w:ascii="宋体" w:hAnsi="宋体" w:cs="宋体"/>
          <w:color w:val="auto"/>
          <w:szCs w:val="21"/>
          <w:highlight w:val="none"/>
        </w:rPr>
      </w:pP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注：法定代表人身份证明书需附法人代表身份证复印件。</w:t>
      </w:r>
    </w:p>
    <w:tbl>
      <w:tblPr>
        <w:tblStyle w:val="30"/>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44"/>
              <w:shd w:val="clear"/>
              <w:spacing w:line="460" w:lineRule="exact"/>
              <w:ind w:firstLine="0" w:firstLineChars="0"/>
              <w:jc w:val="center"/>
              <w:rPr>
                <w:rFonts w:ascii="宋体" w:eastAsia="宋体" w:cs="宋体"/>
                <w:color w:val="auto"/>
                <w:sz w:val="22"/>
                <w:highlight w:val="none"/>
              </w:rPr>
            </w:pPr>
            <w:r>
              <w:rPr>
                <w:rFonts w:hint="eastAsia" w:ascii="宋体" w:eastAsia="宋体" w:cs="宋体"/>
                <w:color w:val="auto"/>
                <w:sz w:val="22"/>
                <w:highlight w:val="none"/>
              </w:rPr>
              <w:t>正面</w:t>
            </w:r>
          </w:p>
        </w:tc>
        <w:tc>
          <w:tcPr>
            <w:tcW w:w="4182" w:type="dxa"/>
            <w:vAlign w:val="center"/>
          </w:tcPr>
          <w:p>
            <w:pPr>
              <w:pStyle w:val="44"/>
              <w:shd w:val="clear"/>
              <w:spacing w:line="460" w:lineRule="exact"/>
              <w:ind w:firstLine="0" w:firstLineChars="0"/>
              <w:jc w:val="center"/>
              <w:rPr>
                <w:rFonts w:ascii="宋体" w:eastAsia="宋体" w:cs="宋体"/>
                <w:color w:val="auto"/>
                <w:sz w:val="22"/>
                <w:highlight w:val="none"/>
              </w:rPr>
            </w:pPr>
            <w:r>
              <w:rPr>
                <w:rFonts w:hint="eastAsia" w:ascii="宋体" w:eastAsia="宋体" w:cs="宋体"/>
                <w:color w:val="auto"/>
                <w:sz w:val="22"/>
                <w:highlight w:val="none"/>
              </w:rPr>
              <w:t>背面</w:t>
            </w:r>
          </w:p>
        </w:tc>
      </w:tr>
    </w:tbl>
    <w:p>
      <w:pPr>
        <w:shd w:val="clear"/>
        <w:rPr>
          <w:rFonts w:ascii="宋体" w:hAnsi="宋体" w:cs="宋体"/>
          <w:color w:val="auto"/>
          <w:highlight w:val="none"/>
        </w:rPr>
      </w:pPr>
    </w:p>
    <w:p>
      <w:pPr>
        <w:shd w:val="clear"/>
        <w:adjustRightInd/>
        <w:snapToGrid/>
        <w:spacing w:line="276" w:lineRule="auto"/>
        <w:rPr>
          <w:rFonts w:ascii="宋体" w:hAnsi="宋体" w:cs="宋体"/>
          <w:b/>
          <w:bCs/>
          <w:color w:val="auto"/>
          <w:sz w:val="24"/>
          <w:szCs w:val="28"/>
          <w:highlight w:val="none"/>
        </w:rPr>
      </w:pPr>
      <w:r>
        <w:rPr>
          <w:rFonts w:hint="eastAsia" w:ascii="宋体" w:hAnsi="宋体" w:cs="宋体"/>
          <w:color w:val="auto"/>
          <w:sz w:val="24"/>
          <w:highlight w:val="none"/>
        </w:rPr>
        <w:br w:type="page"/>
      </w:r>
    </w:p>
    <w:p>
      <w:pPr>
        <w:pStyle w:val="6"/>
        <w:widowControl w:val="0"/>
        <w:shd w:val="clear"/>
        <w:overflowPunct w:val="0"/>
        <w:spacing w:line="240" w:lineRule="auto"/>
        <w:rPr>
          <w:rFonts w:ascii="宋体" w:hAnsi="宋体" w:cs="宋体"/>
          <w:color w:val="auto"/>
          <w:highlight w:val="none"/>
        </w:rPr>
      </w:pPr>
      <w:bookmarkStart w:id="163" w:name="_Toc19149"/>
      <w:r>
        <w:rPr>
          <w:rFonts w:hint="eastAsia" w:ascii="宋体" w:hAnsi="宋体" w:cs="宋体"/>
          <w:color w:val="auto"/>
          <w:sz w:val="21"/>
          <w:szCs w:val="21"/>
          <w:highlight w:val="none"/>
        </w:rPr>
        <w:t>附件6.法定代表人授权书格式</w:t>
      </w:r>
      <w:bookmarkEnd w:id="163"/>
    </w:p>
    <w:p>
      <w:pPr>
        <w:shd w:val="clear"/>
        <w:rPr>
          <w:rFonts w:ascii="宋体" w:hAnsi="宋体" w:cs="宋体"/>
          <w:color w:val="auto"/>
          <w:highlight w:val="none"/>
        </w:rPr>
      </w:pPr>
    </w:p>
    <w:p>
      <w:pPr>
        <w:shd w:val="clear"/>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法定代表人授权书</w:t>
      </w:r>
    </w:p>
    <w:p>
      <w:pPr>
        <w:pStyle w:val="44"/>
        <w:shd w:val="clear"/>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致：xxx公司</w:t>
      </w:r>
    </w:p>
    <w:p>
      <w:pPr>
        <w:pStyle w:val="44"/>
        <w:shd w:val="clear"/>
        <w:spacing w:line="420" w:lineRule="atLeast"/>
        <w:ind w:firstLine="433"/>
        <w:rPr>
          <w:rFonts w:ascii="宋体" w:eastAsia="宋体" w:cs="宋体"/>
          <w:color w:val="auto"/>
          <w:sz w:val="21"/>
          <w:szCs w:val="21"/>
          <w:highlight w:val="none"/>
        </w:rPr>
      </w:pP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本授权书声明：注册于</w:t>
      </w:r>
      <w:r>
        <w:rPr>
          <w:rFonts w:hint="eastAsia" w:ascii="宋体" w:hAnsi="宋体" w:cs="宋体"/>
          <w:color w:val="auto"/>
          <w:szCs w:val="21"/>
          <w:highlight w:val="none"/>
          <w:u w:val="single"/>
        </w:rPr>
        <w:t>（国家或地区的名称）</w:t>
      </w:r>
      <w:r>
        <w:rPr>
          <w:rFonts w:hint="eastAsia" w:ascii="宋体" w:hAnsi="宋体" w:cs="宋体"/>
          <w:color w:val="auto"/>
          <w:szCs w:val="21"/>
          <w:highlight w:val="none"/>
        </w:rPr>
        <w:t>的</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的在下面签字的</w:t>
      </w:r>
      <w:r>
        <w:rPr>
          <w:rFonts w:hint="eastAsia" w:ascii="宋体" w:hAnsi="宋体" w:cs="宋体"/>
          <w:color w:val="auto"/>
          <w:szCs w:val="21"/>
          <w:highlight w:val="none"/>
          <w:u w:val="single"/>
        </w:rPr>
        <w:t>（法定代表人姓名、职务）</w:t>
      </w:r>
      <w:r>
        <w:rPr>
          <w:rFonts w:hint="eastAsia" w:ascii="宋体" w:hAnsi="宋体" w:cs="宋体"/>
          <w:color w:val="auto"/>
          <w:szCs w:val="21"/>
          <w:highlight w:val="none"/>
        </w:rPr>
        <w:t>代表本单位授权</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的在下面签字的</w:t>
      </w:r>
      <w:r>
        <w:rPr>
          <w:rFonts w:hint="eastAsia" w:ascii="宋体" w:hAnsi="宋体" w:cs="宋体"/>
          <w:color w:val="auto"/>
          <w:szCs w:val="21"/>
          <w:highlight w:val="none"/>
          <w:u w:val="single"/>
        </w:rPr>
        <w:t>（被授权人的姓名、职务）</w:t>
      </w:r>
      <w:r>
        <w:rPr>
          <w:rFonts w:hint="eastAsia" w:ascii="宋体" w:hAnsi="宋体" w:cs="宋体"/>
          <w:color w:val="auto"/>
          <w:szCs w:val="21"/>
          <w:highlight w:val="none"/>
        </w:rPr>
        <w:t>为本单位的合法代理人，就</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投标及参加项目谈判，以本单位名义处理一切与之有关的事务。</w:t>
      </w:r>
    </w:p>
    <w:p>
      <w:pPr>
        <w:shd w:val="clear"/>
        <w:ind w:firstLine="315" w:firstLineChars="150"/>
        <w:rPr>
          <w:rFonts w:ascii="宋体" w:hAnsi="宋体" w:cs="宋体"/>
          <w:color w:val="auto"/>
          <w:szCs w:val="21"/>
          <w:highlight w:val="none"/>
        </w:rPr>
      </w:pPr>
      <w:r>
        <w:rPr>
          <w:rFonts w:hint="eastAsia" w:ascii="宋体" w:hAnsi="宋体" w:cs="宋体"/>
          <w:color w:val="auto"/>
          <w:szCs w:val="21"/>
          <w:highlight w:val="none"/>
        </w:rPr>
        <w:t>本授权书于</w:t>
      </w:r>
      <w:r>
        <w:rPr>
          <w:rFonts w:hint="eastAsia" w:ascii="宋体" w:hAnsi="宋体" w:cs="宋体"/>
          <w:color w:val="auto"/>
          <w:szCs w:val="21"/>
          <w:highlight w:val="none"/>
          <w:u w:val="single"/>
        </w:rPr>
        <w:t>　　</w:t>
      </w:r>
      <w:r>
        <w:rPr>
          <w:rFonts w:hint="eastAsia" w:ascii="宋体" w:hAnsi="宋体" w:cs="宋体"/>
          <w:color w:val="auto"/>
          <w:szCs w:val="21"/>
          <w:highlight w:val="none"/>
        </w:rPr>
        <w:t>年</w:t>
      </w:r>
      <w:r>
        <w:rPr>
          <w:rFonts w:hint="eastAsia" w:ascii="宋体" w:hAnsi="宋体" w:cs="宋体"/>
          <w:color w:val="auto"/>
          <w:szCs w:val="21"/>
          <w:highlight w:val="none"/>
          <w:u w:val="single"/>
        </w:rPr>
        <w:t>　　</w:t>
      </w:r>
      <w:r>
        <w:rPr>
          <w:rFonts w:hint="eastAsia" w:ascii="宋体" w:hAnsi="宋体" w:cs="宋体"/>
          <w:color w:val="auto"/>
          <w:szCs w:val="21"/>
          <w:highlight w:val="none"/>
        </w:rPr>
        <w:t>月</w:t>
      </w:r>
      <w:r>
        <w:rPr>
          <w:rFonts w:hint="eastAsia" w:ascii="宋体" w:hAnsi="宋体" w:cs="宋体"/>
          <w:color w:val="auto"/>
          <w:szCs w:val="21"/>
          <w:highlight w:val="none"/>
          <w:u w:val="single"/>
        </w:rPr>
        <w:t>　　</w:t>
      </w:r>
      <w:r>
        <w:rPr>
          <w:rFonts w:hint="eastAsia" w:ascii="宋体" w:hAnsi="宋体" w:cs="宋体"/>
          <w:color w:val="auto"/>
          <w:szCs w:val="21"/>
          <w:highlight w:val="none"/>
        </w:rPr>
        <w:t>日签字生效，特此声明。</w:t>
      </w:r>
    </w:p>
    <w:p>
      <w:pPr>
        <w:pStyle w:val="44"/>
        <w:shd w:val="clear"/>
        <w:spacing w:line="500" w:lineRule="atLeast"/>
        <w:ind w:firstLine="3517" w:firstLineChars="1675"/>
        <w:rPr>
          <w:rFonts w:ascii="宋体" w:eastAsia="宋体" w:cs="宋体"/>
          <w:color w:val="auto"/>
          <w:sz w:val="21"/>
          <w:szCs w:val="21"/>
          <w:highlight w:val="none"/>
        </w:rPr>
      </w:pPr>
    </w:p>
    <w:p>
      <w:pPr>
        <w:pStyle w:val="44"/>
        <w:shd w:val="clear"/>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投标人名称（加盖公章）：</w:t>
      </w:r>
    </w:p>
    <w:p>
      <w:pPr>
        <w:pStyle w:val="44"/>
        <w:shd w:val="clear"/>
        <w:spacing w:line="500" w:lineRule="atLeast"/>
        <w:ind w:firstLine="3517" w:firstLineChars="1675"/>
        <w:rPr>
          <w:rFonts w:ascii="宋体" w:eastAsia="宋体" w:cs="宋体"/>
          <w:color w:val="auto"/>
          <w:sz w:val="21"/>
          <w:szCs w:val="21"/>
          <w:highlight w:val="none"/>
          <w:u w:val="single"/>
        </w:rPr>
      </w:pPr>
      <w:r>
        <w:rPr>
          <w:rFonts w:hint="eastAsia" w:ascii="宋体" w:eastAsia="宋体" w:cs="宋体"/>
          <w:color w:val="auto"/>
          <w:sz w:val="21"/>
          <w:szCs w:val="21"/>
          <w:highlight w:val="none"/>
        </w:rPr>
        <w:t>法定代表人签字（签名或盖私章）：</w:t>
      </w:r>
    </w:p>
    <w:p>
      <w:pPr>
        <w:pStyle w:val="44"/>
        <w:shd w:val="clear"/>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被授权人签字：</w:t>
      </w:r>
    </w:p>
    <w:p>
      <w:pPr>
        <w:pStyle w:val="44"/>
        <w:shd w:val="clear"/>
        <w:spacing w:line="500" w:lineRule="atLeast"/>
        <w:ind w:firstLine="3517" w:firstLineChars="1675"/>
        <w:rPr>
          <w:rFonts w:ascii="宋体" w:eastAsia="宋体" w:cs="宋体"/>
          <w:color w:val="auto"/>
          <w:sz w:val="21"/>
          <w:szCs w:val="21"/>
          <w:highlight w:val="none"/>
          <w:u w:val="single"/>
        </w:rPr>
      </w:pPr>
      <w:r>
        <w:rPr>
          <w:rFonts w:hint="eastAsia" w:ascii="宋体" w:eastAsia="宋体" w:cs="宋体"/>
          <w:color w:val="auto"/>
          <w:sz w:val="21"/>
          <w:szCs w:val="21"/>
          <w:highlight w:val="none"/>
        </w:rPr>
        <w:t>职务：</w:t>
      </w:r>
    </w:p>
    <w:p>
      <w:pPr>
        <w:pStyle w:val="44"/>
        <w:shd w:val="clear"/>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 xml:space="preserve">移动电话： </w:t>
      </w:r>
    </w:p>
    <w:p>
      <w:pPr>
        <w:pStyle w:val="44"/>
        <w:shd w:val="clear"/>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详细通讯地址：</w:t>
      </w:r>
    </w:p>
    <w:p>
      <w:pPr>
        <w:pStyle w:val="44"/>
        <w:shd w:val="clear"/>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 xml:space="preserve">邮箱：                          </w:t>
      </w:r>
    </w:p>
    <w:p>
      <w:pPr>
        <w:pStyle w:val="44"/>
        <w:shd w:val="clear"/>
        <w:spacing w:line="500" w:lineRule="atLeast"/>
        <w:ind w:firstLine="3507" w:firstLineChars="1670"/>
        <w:rPr>
          <w:rFonts w:ascii="宋体" w:eastAsia="宋体" w:cs="宋体"/>
          <w:color w:val="auto"/>
          <w:sz w:val="21"/>
          <w:szCs w:val="21"/>
          <w:highlight w:val="none"/>
        </w:rPr>
      </w:pPr>
      <w:r>
        <w:rPr>
          <w:rFonts w:hint="eastAsia" w:ascii="宋体" w:eastAsia="宋体" w:cs="宋体"/>
          <w:color w:val="auto"/>
          <w:sz w:val="21"/>
          <w:szCs w:val="21"/>
          <w:highlight w:val="none"/>
        </w:rPr>
        <w:t>日     期：  年  月  日</w:t>
      </w:r>
    </w:p>
    <w:p>
      <w:pPr>
        <w:pStyle w:val="44"/>
        <w:shd w:val="clear"/>
        <w:spacing w:line="460" w:lineRule="exact"/>
        <w:ind w:firstLine="433"/>
        <w:rPr>
          <w:rFonts w:ascii="宋体" w:eastAsia="宋体" w:cs="宋体"/>
          <w:color w:val="auto"/>
          <w:sz w:val="21"/>
          <w:szCs w:val="21"/>
          <w:highlight w:val="none"/>
        </w:rPr>
      </w:pPr>
    </w:p>
    <w:p>
      <w:pPr>
        <w:shd w:val="clear"/>
        <w:ind w:firstLine="420" w:firstLineChars="200"/>
        <w:rPr>
          <w:rFonts w:ascii="宋体" w:hAnsi="宋体" w:cs="宋体"/>
          <w:color w:val="auto"/>
          <w:highlight w:val="none"/>
        </w:rPr>
      </w:pPr>
      <w:r>
        <w:rPr>
          <w:rFonts w:hint="eastAsia" w:ascii="宋体" w:hAnsi="宋体" w:cs="宋体"/>
          <w:color w:val="auto"/>
          <w:szCs w:val="21"/>
          <w:highlight w:val="none"/>
        </w:rPr>
        <w:t>须附：被授权人身份证复印件。</w:t>
      </w:r>
    </w:p>
    <w:tbl>
      <w:tblPr>
        <w:tblStyle w:val="30"/>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44"/>
              <w:shd w:val="clear"/>
              <w:spacing w:line="460" w:lineRule="exact"/>
              <w:ind w:firstLine="0" w:firstLineChars="0"/>
              <w:jc w:val="center"/>
              <w:rPr>
                <w:rFonts w:ascii="宋体" w:eastAsia="宋体" w:cs="宋体"/>
                <w:color w:val="auto"/>
                <w:sz w:val="22"/>
                <w:highlight w:val="none"/>
              </w:rPr>
            </w:pPr>
            <w:r>
              <w:rPr>
                <w:rFonts w:hint="eastAsia" w:ascii="宋体" w:eastAsia="宋体" w:cs="宋体"/>
                <w:color w:val="auto"/>
                <w:sz w:val="22"/>
                <w:highlight w:val="none"/>
              </w:rPr>
              <w:t>正面</w:t>
            </w:r>
          </w:p>
        </w:tc>
        <w:tc>
          <w:tcPr>
            <w:tcW w:w="4232" w:type="dxa"/>
            <w:vAlign w:val="center"/>
          </w:tcPr>
          <w:p>
            <w:pPr>
              <w:pStyle w:val="44"/>
              <w:shd w:val="clear"/>
              <w:spacing w:line="460" w:lineRule="exact"/>
              <w:ind w:firstLine="0" w:firstLineChars="0"/>
              <w:jc w:val="center"/>
              <w:rPr>
                <w:rFonts w:ascii="宋体" w:eastAsia="宋体" w:cs="宋体"/>
                <w:color w:val="auto"/>
                <w:sz w:val="22"/>
                <w:highlight w:val="none"/>
              </w:rPr>
            </w:pPr>
            <w:r>
              <w:rPr>
                <w:rFonts w:hint="eastAsia" w:ascii="宋体" w:eastAsia="宋体" w:cs="宋体"/>
                <w:color w:val="auto"/>
                <w:sz w:val="22"/>
                <w:highlight w:val="none"/>
              </w:rPr>
              <w:t>背面</w:t>
            </w:r>
          </w:p>
        </w:tc>
      </w:tr>
    </w:tbl>
    <w:p>
      <w:pPr>
        <w:shd w:val="clear"/>
        <w:adjustRightInd/>
        <w:snapToGrid/>
        <w:spacing w:line="276" w:lineRule="auto"/>
        <w:rPr>
          <w:rFonts w:ascii="宋体" w:hAnsi="宋体" w:cs="宋体"/>
          <w:color w:val="auto"/>
          <w:highlight w:val="none"/>
        </w:rPr>
      </w:pPr>
      <w:bookmarkStart w:id="164" w:name="_Toc22486"/>
      <w:r>
        <w:rPr>
          <w:rFonts w:hint="eastAsia" w:ascii="宋体" w:hAnsi="宋体" w:cs="宋体"/>
          <w:color w:val="auto"/>
          <w:szCs w:val="21"/>
          <w:highlight w:val="none"/>
        </w:rPr>
        <w:br w:type="page"/>
      </w:r>
    </w:p>
    <w:p>
      <w:pPr>
        <w:pStyle w:val="6"/>
        <w:widowControl w:val="0"/>
        <w:shd w:val="clear"/>
        <w:overflowPunct w:val="0"/>
        <w:spacing w:line="240" w:lineRule="auto"/>
        <w:rPr>
          <w:rFonts w:ascii="宋体" w:hAnsi="宋体" w:cs="宋体"/>
          <w:color w:val="auto"/>
          <w:sz w:val="21"/>
          <w:szCs w:val="21"/>
          <w:highlight w:val="none"/>
        </w:rPr>
      </w:pPr>
      <w:bookmarkStart w:id="165" w:name="_Toc30038"/>
      <w:r>
        <w:rPr>
          <w:rFonts w:hint="eastAsia" w:ascii="宋体" w:hAnsi="宋体" w:cs="宋体"/>
          <w:color w:val="auto"/>
          <w:sz w:val="21"/>
          <w:szCs w:val="21"/>
          <w:highlight w:val="none"/>
        </w:rPr>
        <w:t>附件7.资格申明</w:t>
      </w:r>
      <w:bookmarkEnd w:id="165"/>
    </w:p>
    <w:p>
      <w:pPr>
        <w:shd w:val="clear"/>
        <w:jc w:val="center"/>
        <w:rPr>
          <w:rFonts w:ascii="宋体" w:hAnsi="宋体" w:cs="宋体"/>
          <w:color w:val="auto"/>
          <w:sz w:val="28"/>
          <w:szCs w:val="28"/>
          <w:highlight w:val="none"/>
        </w:rPr>
      </w:pPr>
      <w:r>
        <w:rPr>
          <w:rFonts w:hint="eastAsia" w:ascii="宋体" w:hAnsi="宋体" w:cs="宋体"/>
          <w:color w:val="auto"/>
          <w:sz w:val="28"/>
          <w:szCs w:val="28"/>
          <w:highlight w:val="none"/>
        </w:rPr>
        <w:t>资格申明</w:t>
      </w:r>
    </w:p>
    <w:p>
      <w:pPr>
        <w:pStyle w:val="44"/>
        <w:shd w:val="clear"/>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u w:val="single"/>
        </w:rPr>
        <w:t xml:space="preserve">  xxx   </w:t>
      </w:r>
      <w:r>
        <w:rPr>
          <w:rFonts w:hint="eastAsia" w:ascii="宋体" w:eastAsia="宋体" w:cs="宋体"/>
          <w:color w:val="auto"/>
          <w:sz w:val="21"/>
          <w:szCs w:val="21"/>
          <w:highlight w:val="none"/>
        </w:rPr>
        <w:t>公司：</w:t>
      </w:r>
    </w:p>
    <w:p>
      <w:pPr>
        <w:shd w:val="clear"/>
        <w:ind w:firstLine="420" w:firstLineChars="200"/>
        <w:rPr>
          <w:rFonts w:ascii="宋体" w:hAnsi="宋体" w:cs="宋体"/>
          <w:color w:val="auto"/>
          <w:szCs w:val="21"/>
          <w:highlight w:val="none"/>
        </w:rPr>
      </w:pP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我方愿响应贵方关于（项目名称：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）的投标邀请，参与投标，提供用户需求书中规定的货物及相关服务，并按采购文件要求提交所附资格文件且声明和保证如下：</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一、我方具备投标人邀请中所要求得资格条件，已清楚采购文件所有要求及有关规定；并承诺参加本次采购活动中，如有违法、违规、弄虚作假行为，所造成的损失、不良后果及法律责任，一律由我方承担；</w:t>
      </w: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二、我方依法注册，在法律上、财务上和运作上完全独立于</w:t>
      </w:r>
      <w:r>
        <w:rPr>
          <w:rFonts w:hint="eastAsia" w:ascii="宋体" w:hAnsi="宋体" w:cs="宋体"/>
          <w:color w:val="auto"/>
          <w:szCs w:val="21"/>
          <w:highlight w:val="none"/>
          <w:u w:val="single"/>
        </w:rPr>
        <w:t xml:space="preserve">  xxxx   </w:t>
      </w:r>
      <w:r>
        <w:rPr>
          <w:rFonts w:hint="eastAsia" w:ascii="宋体" w:hAnsi="宋体" w:cs="宋体"/>
          <w:color w:val="auto"/>
          <w:szCs w:val="21"/>
          <w:highlight w:val="none"/>
        </w:rPr>
        <w:t>公司（采购人）及</w:t>
      </w:r>
      <w:r>
        <w:rPr>
          <w:rFonts w:hint="eastAsia" w:ascii="宋体" w:hAnsi="宋体" w:cs="宋体"/>
          <w:color w:val="auto"/>
          <w:szCs w:val="21"/>
          <w:highlight w:val="none"/>
          <w:u w:val="single"/>
        </w:rPr>
        <w:t xml:space="preserve">    xxx   </w:t>
      </w:r>
      <w:r>
        <w:rPr>
          <w:rFonts w:hint="eastAsia" w:ascii="宋体" w:hAnsi="宋体" w:cs="宋体"/>
          <w:color w:val="auto"/>
          <w:szCs w:val="21"/>
          <w:highlight w:val="none"/>
        </w:rPr>
        <w:t>公司（采购代理机构）。</w:t>
      </w:r>
    </w:p>
    <w:p>
      <w:pPr>
        <w:pStyle w:val="44"/>
        <w:shd w:val="clear"/>
        <w:spacing w:line="500" w:lineRule="atLeast"/>
        <w:ind w:firstLine="3517" w:firstLineChars="1675"/>
        <w:rPr>
          <w:rFonts w:ascii="宋体" w:eastAsia="宋体" w:cs="宋体"/>
          <w:color w:val="auto"/>
          <w:sz w:val="21"/>
          <w:szCs w:val="21"/>
          <w:highlight w:val="none"/>
        </w:rPr>
      </w:pPr>
    </w:p>
    <w:p>
      <w:pPr>
        <w:pStyle w:val="44"/>
        <w:shd w:val="clear"/>
        <w:spacing w:line="500" w:lineRule="atLeast"/>
        <w:ind w:firstLine="3517" w:firstLineChars="1675"/>
        <w:rPr>
          <w:rFonts w:ascii="宋体" w:eastAsia="宋体" w:cs="宋体"/>
          <w:color w:val="auto"/>
          <w:sz w:val="21"/>
          <w:szCs w:val="21"/>
          <w:highlight w:val="none"/>
        </w:rPr>
      </w:pPr>
    </w:p>
    <w:p>
      <w:pPr>
        <w:pStyle w:val="44"/>
        <w:shd w:val="clear"/>
        <w:spacing w:line="500" w:lineRule="atLeas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投标人名称（加盖公章）：</w:t>
      </w:r>
    </w:p>
    <w:p>
      <w:pPr>
        <w:pStyle w:val="44"/>
        <w:shd w:val="clear"/>
        <w:spacing w:line="500" w:lineRule="atLeas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法定代表人签字（签名或盖私章）：</w:t>
      </w:r>
    </w:p>
    <w:p>
      <w:pPr>
        <w:pStyle w:val="44"/>
        <w:shd w:val="clear"/>
        <w:spacing w:line="500" w:lineRule="atLeas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日     期：年月日</w:t>
      </w:r>
    </w:p>
    <w:p>
      <w:pPr>
        <w:pStyle w:val="44"/>
        <w:shd w:val="clear"/>
        <w:spacing w:line="500" w:lineRule="atLeast"/>
        <w:ind w:firstLine="433"/>
        <w:rPr>
          <w:rFonts w:ascii="宋体" w:eastAsia="宋体" w:cs="宋体"/>
          <w:color w:val="auto"/>
          <w:sz w:val="21"/>
          <w:szCs w:val="21"/>
          <w:highlight w:val="none"/>
        </w:rPr>
      </w:pPr>
      <w:r>
        <w:rPr>
          <w:rFonts w:hint="eastAsia" w:ascii="宋体" w:eastAsia="宋体" w:cs="宋体"/>
          <w:color w:val="auto"/>
          <w:sz w:val="21"/>
          <w:szCs w:val="21"/>
          <w:highlight w:val="none"/>
        </w:rPr>
        <w:br w:type="page"/>
      </w:r>
    </w:p>
    <w:p>
      <w:pPr>
        <w:pStyle w:val="6"/>
        <w:widowControl w:val="0"/>
        <w:shd w:val="clear"/>
        <w:overflowPunct w:val="0"/>
        <w:spacing w:line="240" w:lineRule="auto"/>
        <w:rPr>
          <w:rFonts w:ascii="宋体" w:hAnsi="宋体" w:cs="宋体"/>
          <w:color w:val="auto"/>
          <w:sz w:val="21"/>
          <w:szCs w:val="21"/>
          <w:highlight w:val="none"/>
        </w:rPr>
      </w:pPr>
      <w:bookmarkStart w:id="166" w:name="_Toc10305"/>
      <w:r>
        <w:rPr>
          <w:rFonts w:hint="eastAsia" w:ascii="宋体" w:hAnsi="宋体" w:cs="宋体"/>
          <w:color w:val="auto"/>
          <w:sz w:val="21"/>
          <w:szCs w:val="21"/>
          <w:highlight w:val="none"/>
        </w:rPr>
        <w:t>附件8.营业执照</w:t>
      </w:r>
      <w:bookmarkEnd w:id="166"/>
    </w:p>
    <w:p>
      <w:pPr>
        <w:shd w:val="clear"/>
        <w:jc w:val="center"/>
        <w:rPr>
          <w:rFonts w:ascii="宋体" w:hAnsi="宋体" w:cs="宋体"/>
          <w:color w:val="auto"/>
          <w:sz w:val="28"/>
          <w:szCs w:val="28"/>
          <w:highlight w:val="none"/>
        </w:rPr>
      </w:pPr>
      <w:bookmarkStart w:id="167" w:name="_Toc4926"/>
      <w:bookmarkStart w:id="168" w:name="_Toc24210"/>
      <w:bookmarkStart w:id="169" w:name="_Toc1511"/>
      <w:bookmarkStart w:id="170" w:name="_Toc5919"/>
      <w:bookmarkStart w:id="171" w:name="_Toc17470"/>
      <w:r>
        <w:rPr>
          <w:rFonts w:hint="eastAsia" w:ascii="宋体" w:hAnsi="宋体" w:cs="宋体"/>
          <w:color w:val="auto"/>
          <w:sz w:val="28"/>
          <w:szCs w:val="28"/>
          <w:highlight w:val="none"/>
        </w:rPr>
        <w:t>营业执照</w:t>
      </w:r>
      <w:bookmarkEnd w:id="167"/>
      <w:bookmarkEnd w:id="168"/>
      <w:bookmarkEnd w:id="169"/>
      <w:bookmarkEnd w:id="170"/>
      <w:bookmarkEnd w:id="171"/>
    </w:p>
    <w:p>
      <w:pPr>
        <w:shd w:val="clear"/>
        <w:jc w:val="center"/>
        <w:rPr>
          <w:rFonts w:ascii="宋体" w:hAnsi="宋体" w:cs="宋体"/>
          <w:color w:val="auto"/>
          <w:sz w:val="28"/>
          <w:szCs w:val="28"/>
          <w:highlight w:val="none"/>
        </w:rPr>
      </w:pPr>
      <w:r>
        <w:rPr>
          <w:rFonts w:hint="eastAsia" w:ascii="宋体" w:hAnsi="宋体" w:cs="宋体"/>
          <w:color w:val="auto"/>
          <w:sz w:val="28"/>
          <w:szCs w:val="28"/>
          <w:highlight w:val="none"/>
        </w:rPr>
        <w:br w:type="page"/>
      </w:r>
    </w:p>
    <w:p>
      <w:pPr>
        <w:pStyle w:val="6"/>
        <w:widowControl w:val="0"/>
        <w:shd w:val="clear"/>
        <w:overflowPunct w:val="0"/>
        <w:spacing w:line="240" w:lineRule="auto"/>
        <w:rPr>
          <w:rFonts w:ascii="宋体" w:hAnsi="宋体" w:cs="宋体"/>
          <w:color w:val="auto"/>
          <w:sz w:val="21"/>
          <w:szCs w:val="21"/>
          <w:highlight w:val="none"/>
        </w:rPr>
      </w:pPr>
      <w:bookmarkStart w:id="172" w:name="_Toc30816"/>
      <w:r>
        <w:rPr>
          <w:rFonts w:hint="eastAsia" w:ascii="宋体" w:hAnsi="宋体" w:cs="宋体"/>
          <w:color w:val="auto"/>
          <w:sz w:val="21"/>
          <w:szCs w:val="21"/>
          <w:highlight w:val="none"/>
        </w:rPr>
        <w:t>附件9.相关资质证明文件</w:t>
      </w:r>
      <w:bookmarkEnd w:id="172"/>
    </w:p>
    <w:p>
      <w:pPr>
        <w:shd w:val="clear"/>
        <w:rPr>
          <w:rFonts w:ascii="宋体" w:hAnsi="宋体" w:cs="宋体"/>
          <w:color w:val="auto"/>
          <w:highlight w:val="none"/>
        </w:rPr>
      </w:pPr>
    </w:p>
    <w:p>
      <w:pPr>
        <w:shd w:val="clear"/>
        <w:jc w:val="center"/>
        <w:rPr>
          <w:rFonts w:ascii="宋体" w:hAnsi="宋体" w:cs="宋体"/>
          <w:color w:val="auto"/>
          <w:sz w:val="28"/>
          <w:szCs w:val="28"/>
          <w:highlight w:val="none"/>
        </w:rPr>
      </w:pPr>
      <w:bookmarkStart w:id="173" w:name="_Toc16233"/>
      <w:bookmarkStart w:id="174" w:name="_Toc16698"/>
      <w:bookmarkStart w:id="175" w:name="_Toc9592"/>
      <w:bookmarkStart w:id="176" w:name="_Toc30307"/>
      <w:bookmarkStart w:id="177" w:name="_Toc13458"/>
      <w:r>
        <w:rPr>
          <w:rFonts w:hint="eastAsia" w:ascii="宋体" w:hAnsi="宋体" w:cs="宋体"/>
          <w:color w:val="auto"/>
          <w:sz w:val="28"/>
          <w:szCs w:val="28"/>
          <w:highlight w:val="none"/>
        </w:rPr>
        <w:t>相关资质证明文件</w:t>
      </w:r>
      <w:bookmarkEnd w:id="164"/>
      <w:bookmarkEnd w:id="173"/>
      <w:bookmarkEnd w:id="174"/>
      <w:bookmarkEnd w:id="175"/>
      <w:bookmarkEnd w:id="176"/>
      <w:bookmarkEnd w:id="177"/>
    </w:p>
    <w:p>
      <w:pPr>
        <w:numPr>
          <w:ilvl w:val="0"/>
          <w:numId w:val="11"/>
        </w:numPr>
        <w:shd w:val="clea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符合投标邀请书“投标人资格要求”其他要求对应的证明文件；</w:t>
      </w:r>
    </w:p>
    <w:p>
      <w:pPr>
        <w:numPr>
          <w:ilvl w:val="0"/>
          <w:numId w:val="11"/>
        </w:numPr>
        <w:shd w:val="clea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投标人认为必要的文件。</w:t>
      </w:r>
      <w:r>
        <w:rPr>
          <w:rFonts w:hint="eastAsia" w:ascii="宋体" w:hAnsi="宋体" w:cs="宋体"/>
          <w:b/>
          <w:bCs/>
          <w:color w:val="auto"/>
          <w:szCs w:val="21"/>
          <w:highlight w:val="none"/>
        </w:rPr>
        <w:br w:type="page"/>
      </w:r>
    </w:p>
    <w:p>
      <w:pPr>
        <w:pStyle w:val="6"/>
        <w:widowControl w:val="0"/>
        <w:shd w:val="clear"/>
        <w:overflowPunct w:val="0"/>
        <w:spacing w:line="240" w:lineRule="auto"/>
        <w:rPr>
          <w:rFonts w:ascii="宋体" w:hAnsi="宋体" w:cs="宋体"/>
          <w:color w:val="auto"/>
          <w:highlight w:val="none"/>
        </w:rPr>
      </w:pPr>
      <w:bookmarkStart w:id="178" w:name="_Toc3091"/>
      <w:r>
        <w:rPr>
          <w:rFonts w:hint="eastAsia" w:ascii="宋体" w:hAnsi="宋体" w:cs="宋体"/>
          <w:color w:val="auto"/>
          <w:sz w:val="21"/>
          <w:szCs w:val="21"/>
          <w:highlight w:val="none"/>
        </w:rPr>
        <w:t>附件10.在经营活动中没有重大违法记录的书面声明格式</w:t>
      </w:r>
      <w:bookmarkEnd w:id="178"/>
    </w:p>
    <w:p>
      <w:pPr>
        <w:shd w:val="clear"/>
        <w:rPr>
          <w:rFonts w:ascii="宋体" w:hAnsi="宋体" w:cs="宋体"/>
          <w:color w:val="auto"/>
          <w:highlight w:val="none"/>
        </w:rPr>
      </w:pPr>
    </w:p>
    <w:p>
      <w:pPr>
        <w:shd w:val="clear"/>
        <w:jc w:val="center"/>
        <w:rPr>
          <w:rFonts w:ascii="宋体" w:hAnsi="宋体" w:cs="宋体"/>
          <w:color w:val="auto"/>
          <w:sz w:val="28"/>
          <w:szCs w:val="28"/>
          <w:highlight w:val="none"/>
        </w:rPr>
      </w:pPr>
      <w:r>
        <w:rPr>
          <w:rFonts w:hint="eastAsia" w:ascii="宋体" w:hAnsi="宋体" w:cs="宋体"/>
          <w:color w:val="auto"/>
          <w:sz w:val="28"/>
          <w:szCs w:val="28"/>
          <w:highlight w:val="none"/>
        </w:rPr>
        <w:t>投标人在经营活动中前三年内未有重大违法记录、没有不良信用记录的声明函</w:t>
      </w:r>
    </w:p>
    <w:p>
      <w:pPr>
        <w:shd w:val="clear"/>
        <w:ind w:firstLine="420" w:firstLineChars="200"/>
        <w:rPr>
          <w:rFonts w:ascii="宋体" w:hAnsi="宋体" w:cs="宋体"/>
          <w:color w:val="auto"/>
          <w:szCs w:val="21"/>
          <w:highlight w:val="none"/>
        </w:rPr>
      </w:pPr>
    </w:p>
    <w:p>
      <w:pPr>
        <w:shd w:val="clea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xxxxxx公司：</w:t>
      </w:r>
    </w:p>
    <w:p>
      <w:pPr>
        <w:shd w:val="clea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 xml:space="preserve">       （采购项目名称）</w:t>
      </w:r>
      <w:r>
        <w:rPr>
          <w:rFonts w:hint="eastAsia" w:ascii="宋体" w:hAnsi="宋体" w:cs="宋体"/>
          <w:color w:val="auto"/>
          <w:szCs w:val="21"/>
          <w:highlight w:val="none"/>
        </w:rPr>
        <w:t>” （项目编号:XX）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pPr>
        <w:shd w:val="clea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我公司以上承诺均为真实有效，绝无任何虚假、伪造的成份，否则，愿承担相应的后果和法律责任。</w:t>
      </w:r>
    </w:p>
    <w:p>
      <w:pPr>
        <w:shd w:val="clear"/>
        <w:ind w:firstLine="420" w:firstLineChars="200"/>
        <w:rPr>
          <w:rFonts w:ascii="宋体" w:hAnsi="宋体" w:cs="宋体"/>
          <w:color w:val="auto"/>
          <w:szCs w:val="21"/>
          <w:highlight w:val="none"/>
        </w:rPr>
      </w:pPr>
    </w:p>
    <w:p>
      <w:pPr>
        <w:shd w:val="clear"/>
        <w:rPr>
          <w:rFonts w:ascii="宋体" w:hAnsi="宋体" w:cs="宋体"/>
          <w:color w:val="auto"/>
          <w:szCs w:val="21"/>
          <w:highlight w:val="none"/>
        </w:rPr>
      </w:pP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投标人名称（盖章）：</w:t>
      </w:r>
    </w:p>
    <w:p>
      <w:pPr>
        <w:shd w:val="clear"/>
        <w:rPr>
          <w:rFonts w:ascii="宋体" w:hAnsi="宋体" w:cs="宋体"/>
          <w:color w:val="auto"/>
          <w:szCs w:val="21"/>
          <w:highlight w:val="none"/>
        </w:rPr>
      </w:pP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pPr>
        <w:shd w:val="clear"/>
        <w:rPr>
          <w:rFonts w:ascii="宋体" w:hAnsi="宋体" w:cs="宋体"/>
          <w:color w:val="auto"/>
          <w:highlight w:val="none"/>
        </w:rPr>
      </w:pPr>
    </w:p>
    <w:p>
      <w:pPr>
        <w:shd w:val="clear"/>
        <w:rPr>
          <w:rFonts w:ascii="宋体" w:hAnsi="宋体" w:cs="宋体"/>
          <w:color w:val="auto"/>
          <w:szCs w:val="21"/>
          <w:highlight w:val="none"/>
        </w:rPr>
      </w:pPr>
    </w:p>
    <w:p>
      <w:pPr>
        <w:pStyle w:val="2"/>
        <w:shd w:val="clear"/>
        <w:rPr>
          <w:color w:val="auto"/>
          <w:sz w:val="21"/>
          <w:szCs w:val="21"/>
          <w:highlight w:val="none"/>
        </w:rPr>
      </w:pPr>
    </w:p>
    <w:p>
      <w:pPr>
        <w:shd w:val="clear"/>
        <w:rPr>
          <w:rFonts w:ascii="宋体" w:hAnsi="宋体" w:cs="宋体"/>
          <w:color w:val="auto"/>
          <w:szCs w:val="21"/>
          <w:highlight w:val="none"/>
        </w:rPr>
      </w:pPr>
    </w:p>
    <w:p>
      <w:pPr>
        <w:pStyle w:val="2"/>
        <w:shd w:val="clear"/>
        <w:rPr>
          <w:color w:val="auto"/>
          <w:sz w:val="21"/>
          <w:szCs w:val="21"/>
          <w:highlight w:val="none"/>
        </w:rPr>
      </w:pPr>
    </w:p>
    <w:p>
      <w:pPr>
        <w:shd w:val="clear"/>
        <w:rPr>
          <w:rFonts w:ascii="宋体" w:hAnsi="宋体" w:cs="宋体"/>
          <w:color w:val="auto"/>
          <w:szCs w:val="21"/>
          <w:highlight w:val="none"/>
        </w:rPr>
      </w:pPr>
    </w:p>
    <w:p>
      <w:pPr>
        <w:pStyle w:val="2"/>
        <w:shd w:val="clear"/>
        <w:rPr>
          <w:color w:val="auto"/>
          <w:sz w:val="21"/>
          <w:szCs w:val="21"/>
          <w:highlight w:val="none"/>
        </w:rPr>
      </w:pPr>
    </w:p>
    <w:p>
      <w:pPr>
        <w:shd w:val="clear"/>
        <w:rPr>
          <w:rFonts w:ascii="宋体" w:hAnsi="宋体" w:cs="宋体"/>
          <w:color w:val="auto"/>
          <w:szCs w:val="21"/>
          <w:highlight w:val="none"/>
        </w:rPr>
      </w:pPr>
    </w:p>
    <w:p>
      <w:pPr>
        <w:pStyle w:val="2"/>
        <w:shd w:val="clear"/>
        <w:rPr>
          <w:color w:val="auto"/>
          <w:sz w:val="21"/>
          <w:szCs w:val="21"/>
          <w:highlight w:val="none"/>
        </w:rPr>
      </w:pPr>
    </w:p>
    <w:p>
      <w:pPr>
        <w:shd w:val="clear"/>
        <w:rPr>
          <w:rFonts w:ascii="宋体" w:hAnsi="宋体" w:cs="宋体"/>
          <w:color w:val="auto"/>
          <w:szCs w:val="21"/>
          <w:highlight w:val="none"/>
        </w:rPr>
      </w:pPr>
    </w:p>
    <w:p>
      <w:pPr>
        <w:pStyle w:val="2"/>
        <w:shd w:val="clear"/>
        <w:rPr>
          <w:color w:val="auto"/>
          <w:sz w:val="21"/>
          <w:szCs w:val="21"/>
          <w:highlight w:val="none"/>
        </w:rPr>
      </w:pPr>
    </w:p>
    <w:p>
      <w:pPr>
        <w:shd w:val="clear"/>
        <w:rPr>
          <w:rFonts w:ascii="宋体" w:hAnsi="宋体" w:cs="宋体"/>
          <w:color w:val="auto"/>
          <w:highlight w:val="none"/>
        </w:rPr>
      </w:pPr>
    </w:p>
    <w:p>
      <w:pPr>
        <w:pStyle w:val="6"/>
        <w:widowControl w:val="0"/>
        <w:shd w:val="clear"/>
        <w:overflowPunct w:val="0"/>
        <w:spacing w:line="240" w:lineRule="auto"/>
        <w:rPr>
          <w:rFonts w:ascii="宋体" w:hAnsi="宋体" w:cs="宋体"/>
          <w:color w:val="auto"/>
          <w:highlight w:val="none"/>
        </w:rPr>
      </w:pPr>
      <w:bookmarkStart w:id="179" w:name="_Toc18616"/>
      <w:r>
        <w:rPr>
          <w:rFonts w:hint="eastAsia" w:ascii="宋体" w:hAnsi="宋体" w:cs="宋体"/>
          <w:color w:val="auto"/>
          <w:sz w:val="21"/>
          <w:szCs w:val="21"/>
          <w:highlight w:val="none"/>
        </w:rPr>
        <w:t>附件11.承诺书格式</w:t>
      </w:r>
      <w:bookmarkEnd w:id="179"/>
    </w:p>
    <w:p>
      <w:pPr>
        <w:shd w:val="clear"/>
        <w:jc w:val="center"/>
        <w:rPr>
          <w:rFonts w:ascii="宋体" w:hAnsi="宋体" w:cs="宋体"/>
          <w:color w:val="auto"/>
          <w:sz w:val="28"/>
          <w:szCs w:val="28"/>
          <w:highlight w:val="none"/>
        </w:rPr>
      </w:pPr>
      <w:r>
        <w:rPr>
          <w:rFonts w:hint="eastAsia" w:ascii="宋体" w:hAnsi="宋体" w:cs="宋体"/>
          <w:color w:val="auto"/>
          <w:sz w:val="28"/>
          <w:szCs w:val="28"/>
          <w:highlight w:val="none"/>
        </w:rPr>
        <w:t>承诺书</w:t>
      </w:r>
    </w:p>
    <w:p>
      <w:pPr>
        <w:pStyle w:val="44"/>
        <w:shd w:val="clear"/>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致xxx公司：</w:t>
      </w:r>
    </w:p>
    <w:p>
      <w:pPr>
        <w:shd w:val="clear"/>
        <w:jc w:val="center"/>
        <w:rPr>
          <w:rFonts w:ascii="宋体" w:hAnsi="宋体" w:cs="宋体"/>
          <w:color w:val="auto"/>
          <w:szCs w:val="21"/>
          <w:highlight w:val="none"/>
        </w:rPr>
      </w:pPr>
    </w:p>
    <w:p>
      <w:pPr>
        <w:pStyle w:val="44"/>
        <w:shd w:val="clear"/>
        <w:spacing w:line="420" w:lineRule="exac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我方已完整阅读了</w:t>
      </w:r>
      <w:r>
        <w:rPr>
          <w:rFonts w:hint="eastAsia" w:ascii="宋体" w:eastAsia="宋体" w:cs="宋体"/>
          <w:color w:val="auto"/>
          <w:sz w:val="21"/>
          <w:szCs w:val="21"/>
          <w:highlight w:val="none"/>
          <w:u w:val="single"/>
        </w:rPr>
        <w:t xml:space="preserve">  （项目名称）     </w:t>
      </w:r>
      <w:r>
        <w:rPr>
          <w:rFonts w:hint="eastAsia" w:ascii="宋体" w:eastAsia="宋体" w:cs="宋体"/>
          <w:color w:val="auto"/>
          <w:sz w:val="21"/>
          <w:szCs w:val="21"/>
          <w:highlight w:val="none"/>
        </w:rPr>
        <w:t>项目（项目编号：</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eastAsia="宋体" w:cs="宋体"/>
          <w:color w:val="auto"/>
          <w:sz w:val="21"/>
          <w:szCs w:val="21"/>
          <w:highlight w:val="none"/>
        </w:rPr>
        <w:cr/>
      </w:r>
    </w:p>
    <w:p>
      <w:pPr>
        <w:pStyle w:val="44"/>
        <w:shd w:val="clear"/>
        <w:spacing w:line="420" w:lineRule="exact"/>
        <w:ind w:firstLine="433"/>
        <w:rPr>
          <w:rFonts w:ascii="宋体" w:eastAsia="宋体" w:cs="宋体"/>
          <w:color w:val="auto"/>
          <w:sz w:val="21"/>
          <w:szCs w:val="21"/>
          <w:highlight w:val="none"/>
        </w:rPr>
      </w:pPr>
    </w:p>
    <w:p>
      <w:pPr>
        <w:shd w:val="clea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投标人名称（加盖公章）：</w:t>
      </w:r>
    </w:p>
    <w:p>
      <w:pPr>
        <w:shd w:val="clea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法定代表人或被授权人（签名或盖私章）：</w:t>
      </w:r>
    </w:p>
    <w:p>
      <w:pPr>
        <w:shd w:val="clea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日      期：</w:t>
      </w:r>
    </w:p>
    <w:p>
      <w:pPr>
        <w:shd w:val="clear"/>
        <w:rPr>
          <w:rFonts w:ascii="宋体" w:hAnsi="宋体" w:cs="宋体"/>
          <w:color w:val="auto"/>
          <w:highlight w:val="none"/>
        </w:rPr>
      </w:pPr>
    </w:p>
    <w:p>
      <w:pPr>
        <w:shd w:val="clear"/>
        <w:rPr>
          <w:rFonts w:ascii="宋体" w:hAnsi="宋体" w:cs="宋体"/>
          <w:color w:val="auto"/>
          <w:szCs w:val="21"/>
          <w:highlight w:val="none"/>
        </w:rPr>
      </w:pPr>
    </w:p>
    <w:p>
      <w:pPr>
        <w:pStyle w:val="2"/>
        <w:shd w:val="clear"/>
        <w:rPr>
          <w:color w:val="auto"/>
          <w:sz w:val="21"/>
          <w:szCs w:val="21"/>
          <w:highlight w:val="none"/>
        </w:rPr>
      </w:pPr>
    </w:p>
    <w:p>
      <w:pPr>
        <w:shd w:val="clear"/>
        <w:rPr>
          <w:rFonts w:ascii="宋体" w:hAnsi="宋体" w:cs="宋体"/>
          <w:color w:val="auto"/>
          <w:szCs w:val="21"/>
          <w:highlight w:val="none"/>
        </w:rPr>
      </w:pPr>
    </w:p>
    <w:p>
      <w:pPr>
        <w:pStyle w:val="2"/>
        <w:shd w:val="clear"/>
        <w:rPr>
          <w:color w:val="auto"/>
          <w:sz w:val="21"/>
          <w:szCs w:val="21"/>
          <w:highlight w:val="none"/>
        </w:rPr>
      </w:pPr>
    </w:p>
    <w:p>
      <w:pPr>
        <w:shd w:val="clear"/>
        <w:rPr>
          <w:rFonts w:ascii="宋体" w:hAnsi="宋体" w:cs="宋体"/>
          <w:color w:val="auto"/>
          <w:szCs w:val="21"/>
          <w:highlight w:val="none"/>
        </w:rPr>
      </w:pPr>
    </w:p>
    <w:p>
      <w:pPr>
        <w:pStyle w:val="2"/>
        <w:shd w:val="clear"/>
        <w:rPr>
          <w:color w:val="auto"/>
          <w:sz w:val="21"/>
          <w:szCs w:val="21"/>
          <w:highlight w:val="none"/>
        </w:rPr>
      </w:pPr>
    </w:p>
    <w:p>
      <w:pPr>
        <w:shd w:val="clear"/>
        <w:rPr>
          <w:rFonts w:ascii="宋体" w:hAnsi="宋体" w:cs="宋体"/>
          <w:color w:val="auto"/>
          <w:szCs w:val="21"/>
          <w:highlight w:val="none"/>
        </w:rPr>
      </w:pPr>
    </w:p>
    <w:p>
      <w:pPr>
        <w:pStyle w:val="2"/>
        <w:shd w:val="clear"/>
        <w:rPr>
          <w:color w:val="auto"/>
          <w:sz w:val="21"/>
          <w:szCs w:val="21"/>
          <w:highlight w:val="none"/>
        </w:rPr>
      </w:pPr>
    </w:p>
    <w:p>
      <w:pPr>
        <w:shd w:val="clear"/>
        <w:rPr>
          <w:rFonts w:ascii="宋体" w:hAnsi="宋体" w:cs="宋体"/>
          <w:color w:val="auto"/>
          <w:szCs w:val="21"/>
          <w:highlight w:val="none"/>
        </w:rPr>
      </w:pPr>
    </w:p>
    <w:p>
      <w:pPr>
        <w:pStyle w:val="2"/>
        <w:shd w:val="clear"/>
        <w:rPr>
          <w:color w:val="auto"/>
          <w:sz w:val="21"/>
          <w:szCs w:val="21"/>
          <w:highlight w:val="none"/>
        </w:rPr>
      </w:pPr>
    </w:p>
    <w:p>
      <w:pPr>
        <w:shd w:val="clear"/>
        <w:rPr>
          <w:rFonts w:ascii="宋体" w:hAnsi="宋体" w:cs="宋体"/>
          <w:color w:val="auto"/>
          <w:szCs w:val="21"/>
          <w:highlight w:val="none"/>
        </w:rPr>
      </w:pPr>
    </w:p>
    <w:p>
      <w:pPr>
        <w:pStyle w:val="2"/>
        <w:shd w:val="clear"/>
        <w:rPr>
          <w:color w:val="auto"/>
          <w:sz w:val="21"/>
          <w:szCs w:val="21"/>
          <w:highlight w:val="none"/>
        </w:rPr>
      </w:pPr>
    </w:p>
    <w:p>
      <w:pPr>
        <w:shd w:val="clear"/>
        <w:rPr>
          <w:rFonts w:ascii="宋体" w:hAnsi="宋体" w:cs="宋体"/>
          <w:color w:val="auto"/>
          <w:szCs w:val="21"/>
          <w:highlight w:val="none"/>
        </w:rPr>
      </w:pPr>
    </w:p>
    <w:p>
      <w:pPr>
        <w:pStyle w:val="2"/>
        <w:shd w:val="clear"/>
        <w:rPr>
          <w:color w:val="auto"/>
          <w:sz w:val="21"/>
          <w:szCs w:val="21"/>
          <w:highlight w:val="none"/>
        </w:rPr>
      </w:pPr>
    </w:p>
    <w:p>
      <w:pPr>
        <w:shd w:val="clear"/>
        <w:rPr>
          <w:rFonts w:ascii="宋体" w:hAnsi="宋体" w:cs="宋体"/>
          <w:color w:val="auto"/>
          <w:szCs w:val="21"/>
          <w:highlight w:val="none"/>
        </w:rPr>
      </w:pPr>
    </w:p>
    <w:p>
      <w:pPr>
        <w:pStyle w:val="2"/>
        <w:shd w:val="clear"/>
        <w:rPr>
          <w:color w:val="auto"/>
          <w:sz w:val="21"/>
          <w:szCs w:val="21"/>
          <w:highlight w:val="none"/>
        </w:rPr>
      </w:pPr>
    </w:p>
    <w:p>
      <w:pPr>
        <w:shd w:val="clear"/>
        <w:rPr>
          <w:rFonts w:ascii="宋体" w:hAnsi="宋体" w:cs="宋体"/>
          <w:color w:val="auto"/>
          <w:highlight w:val="none"/>
        </w:rPr>
      </w:pPr>
    </w:p>
    <w:p>
      <w:pPr>
        <w:pStyle w:val="6"/>
        <w:widowControl w:val="0"/>
        <w:shd w:val="clear"/>
        <w:overflowPunct w:val="0"/>
        <w:spacing w:line="240" w:lineRule="auto"/>
        <w:rPr>
          <w:rFonts w:ascii="宋体" w:hAnsi="宋体" w:cs="宋体"/>
          <w:color w:val="auto"/>
          <w:sz w:val="21"/>
          <w:szCs w:val="21"/>
          <w:highlight w:val="none"/>
        </w:rPr>
      </w:pPr>
      <w:bookmarkStart w:id="180" w:name="_Toc24507"/>
      <w:r>
        <w:rPr>
          <w:rFonts w:hint="eastAsia" w:ascii="宋体" w:hAnsi="宋体" w:cs="宋体"/>
          <w:color w:val="auto"/>
          <w:sz w:val="21"/>
          <w:szCs w:val="21"/>
          <w:highlight w:val="none"/>
        </w:rPr>
        <w:t>附件12.商务需求条款偏离表格式</w:t>
      </w:r>
      <w:bookmarkEnd w:id="180"/>
    </w:p>
    <w:p>
      <w:pPr>
        <w:shd w:val="clear"/>
        <w:jc w:val="center"/>
        <w:rPr>
          <w:rFonts w:ascii="宋体" w:hAnsi="宋体" w:cs="宋体"/>
          <w:color w:val="auto"/>
          <w:sz w:val="28"/>
          <w:szCs w:val="28"/>
          <w:highlight w:val="none"/>
        </w:rPr>
      </w:pPr>
    </w:p>
    <w:p>
      <w:pPr>
        <w:shd w:val="clear"/>
        <w:jc w:val="center"/>
        <w:rPr>
          <w:rFonts w:ascii="宋体" w:hAnsi="宋体" w:cs="宋体"/>
          <w:color w:val="auto"/>
          <w:sz w:val="28"/>
          <w:szCs w:val="28"/>
          <w:highlight w:val="none"/>
        </w:rPr>
      </w:pPr>
      <w:r>
        <w:rPr>
          <w:rFonts w:hint="eastAsia" w:ascii="宋体" w:hAnsi="宋体" w:cs="宋体"/>
          <w:color w:val="auto"/>
          <w:sz w:val="28"/>
          <w:szCs w:val="28"/>
          <w:highlight w:val="none"/>
        </w:rPr>
        <w:t>商务需求条款偏离表</w:t>
      </w:r>
    </w:p>
    <w:tbl>
      <w:tblPr>
        <w:tblStyle w:val="30"/>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620"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服务项目名称</w:t>
            </w:r>
          </w:p>
        </w:tc>
        <w:tc>
          <w:tcPr>
            <w:tcW w:w="1360"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采购要求</w:t>
            </w:r>
          </w:p>
        </w:tc>
        <w:tc>
          <w:tcPr>
            <w:tcW w:w="1587"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投标实际响应</w:t>
            </w:r>
          </w:p>
        </w:tc>
        <w:tc>
          <w:tcPr>
            <w:tcW w:w="1133"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是否偏离</w:t>
            </w:r>
          </w:p>
        </w:tc>
        <w:tc>
          <w:tcPr>
            <w:tcW w:w="1730"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hd w:val="clear"/>
              <w:jc w:val="center"/>
              <w:rPr>
                <w:rFonts w:ascii="宋体" w:hAnsi="宋体" w:cs="宋体"/>
                <w:color w:val="auto"/>
                <w:szCs w:val="21"/>
                <w:highlight w:val="none"/>
              </w:rPr>
            </w:pPr>
          </w:p>
        </w:tc>
        <w:tc>
          <w:tcPr>
            <w:tcW w:w="1620" w:type="dxa"/>
            <w:vAlign w:val="center"/>
          </w:tcPr>
          <w:p>
            <w:pPr>
              <w:shd w:val="clear"/>
              <w:jc w:val="center"/>
              <w:rPr>
                <w:rFonts w:ascii="宋体" w:hAnsi="宋体" w:cs="宋体"/>
                <w:color w:val="auto"/>
                <w:szCs w:val="21"/>
                <w:highlight w:val="none"/>
              </w:rPr>
            </w:pPr>
          </w:p>
        </w:tc>
        <w:tc>
          <w:tcPr>
            <w:tcW w:w="1360" w:type="dxa"/>
            <w:vAlign w:val="center"/>
          </w:tcPr>
          <w:p>
            <w:pPr>
              <w:shd w:val="clear"/>
              <w:jc w:val="center"/>
              <w:rPr>
                <w:rFonts w:ascii="宋体" w:hAnsi="宋体" w:cs="宋体"/>
                <w:color w:val="auto"/>
                <w:szCs w:val="21"/>
                <w:highlight w:val="none"/>
              </w:rPr>
            </w:pPr>
          </w:p>
        </w:tc>
        <w:tc>
          <w:tcPr>
            <w:tcW w:w="1587" w:type="dxa"/>
            <w:vAlign w:val="center"/>
          </w:tcPr>
          <w:p>
            <w:pPr>
              <w:shd w:val="clear"/>
              <w:jc w:val="center"/>
              <w:rPr>
                <w:rFonts w:ascii="宋体" w:hAnsi="宋体" w:cs="宋体"/>
                <w:color w:val="auto"/>
                <w:szCs w:val="21"/>
                <w:highlight w:val="none"/>
              </w:rPr>
            </w:pPr>
          </w:p>
        </w:tc>
        <w:tc>
          <w:tcPr>
            <w:tcW w:w="1133" w:type="dxa"/>
            <w:vAlign w:val="center"/>
          </w:tcPr>
          <w:p>
            <w:pPr>
              <w:shd w:val="clear"/>
              <w:jc w:val="center"/>
              <w:rPr>
                <w:rFonts w:ascii="宋体" w:hAnsi="宋体" w:cs="宋体"/>
                <w:color w:val="auto"/>
                <w:szCs w:val="21"/>
                <w:highlight w:val="none"/>
              </w:rPr>
            </w:pPr>
          </w:p>
        </w:tc>
        <w:tc>
          <w:tcPr>
            <w:tcW w:w="1730"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hd w:val="clear"/>
              <w:jc w:val="center"/>
              <w:rPr>
                <w:rFonts w:ascii="宋体" w:hAnsi="宋体" w:cs="宋体"/>
                <w:color w:val="auto"/>
                <w:szCs w:val="21"/>
                <w:highlight w:val="none"/>
              </w:rPr>
            </w:pPr>
          </w:p>
        </w:tc>
        <w:tc>
          <w:tcPr>
            <w:tcW w:w="1620" w:type="dxa"/>
            <w:vAlign w:val="center"/>
          </w:tcPr>
          <w:p>
            <w:pPr>
              <w:shd w:val="clear"/>
              <w:jc w:val="center"/>
              <w:rPr>
                <w:rFonts w:ascii="宋体" w:hAnsi="宋体" w:cs="宋体"/>
                <w:color w:val="auto"/>
                <w:szCs w:val="21"/>
                <w:highlight w:val="none"/>
              </w:rPr>
            </w:pPr>
          </w:p>
        </w:tc>
        <w:tc>
          <w:tcPr>
            <w:tcW w:w="1360" w:type="dxa"/>
            <w:vAlign w:val="center"/>
          </w:tcPr>
          <w:p>
            <w:pPr>
              <w:shd w:val="clear"/>
              <w:jc w:val="center"/>
              <w:rPr>
                <w:rFonts w:ascii="宋体" w:hAnsi="宋体" w:cs="宋体"/>
                <w:color w:val="auto"/>
                <w:szCs w:val="21"/>
                <w:highlight w:val="none"/>
              </w:rPr>
            </w:pPr>
          </w:p>
        </w:tc>
        <w:tc>
          <w:tcPr>
            <w:tcW w:w="1587" w:type="dxa"/>
            <w:vAlign w:val="center"/>
          </w:tcPr>
          <w:p>
            <w:pPr>
              <w:shd w:val="clear"/>
              <w:jc w:val="center"/>
              <w:rPr>
                <w:rFonts w:ascii="宋体" w:hAnsi="宋体" w:cs="宋体"/>
                <w:color w:val="auto"/>
                <w:szCs w:val="21"/>
                <w:highlight w:val="none"/>
              </w:rPr>
            </w:pPr>
          </w:p>
        </w:tc>
        <w:tc>
          <w:tcPr>
            <w:tcW w:w="1133" w:type="dxa"/>
            <w:vAlign w:val="center"/>
          </w:tcPr>
          <w:p>
            <w:pPr>
              <w:shd w:val="clear"/>
              <w:jc w:val="center"/>
              <w:rPr>
                <w:rFonts w:ascii="宋体" w:hAnsi="宋体" w:cs="宋体"/>
                <w:color w:val="auto"/>
                <w:szCs w:val="21"/>
                <w:highlight w:val="none"/>
              </w:rPr>
            </w:pPr>
          </w:p>
        </w:tc>
        <w:tc>
          <w:tcPr>
            <w:tcW w:w="1730"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hd w:val="clear"/>
              <w:jc w:val="center"/>
              <w:rPr>
                <w:rFonts w:ascii="宋体" w:hAnsi="宋体" w:cs="宋体"/>
                <w:color w:val="auto"/>
                <w:szCs w:val="21"/>
                <w:highlight w:val="none"/>
              </w:rPr>
            </w:pPr>
          </w:p>
        </w:tc>
        <w:tc>
          <w:tcPr>
            <w:tcW w:w="1620" w:type="dxa"/>
            <w:vAlign w:val="center"/>
          </w:tcPr>
          <w:p>
            <w:pPr>
              <w:shd w:val="clear"/>
              <w:jc w:val="center"/>
              <w:rPr>
                <w:rFonts w:ascii="宋体" w:hAnsi="宋体" w:cs="宋体"/>
                <w:color w:val="auto"/>
                <w:szCs w:val="21"/>
                <w:highlight w:val="none"/>
              </w:rPr>
            </w:pPr>
          </w:p>
        </w:tc>
        <w:tc>
          <w:tcPr>
            <w:tcW w:w="1360" w:type="dxa"/>
            <w:vAlign w:val="center"/>
          </w:tcPr>
          <w:p>
            <w:pPr>
              <w:shd w:val="clear"/>
              <w:jc w:val="center"/>
              <w:rPr>
                <w:rFonts w:ascii="宋体" w:hAnsi="宋体" w:cs="宋体"/>
                <w:color w:val="auto"/>
                <w:szCs w:val="21"/>
                <w:highlight w:val="none"/>
              </w:rPr>
            </w:pPr>
          </w:p>
        </w:tc>
        <w:tc>
          <w:tcPr>
            <w:tcW w:w="1587" w:type="dxa"/>
            <w:vAlign w:val="center"/>
          </w:tcPr>
          <w:p>
            <w:pPr>
              <w:shd w:val="clear"/>
              <w:jc w:val="center"/>
              <w:rPr>
                <w:rFonts w:ascii="宋体" w:hAnsi="宋体" w:cs="宋体"/>
                <w:color w:val="auto"/>
                <w:szCs w:val="21"/>
                <w:highlight w:val="none"/>
              </w:rPr>
            </w:pPr>
          </w:p>
        </w:tc>
        <w:tc>
          <w:tcPr>
            <w:tcW w:w="1133" w:type="dxa"/>
            <w:vAlign w:val="center"/>
          </w:tcPr>
          <w:p>
            <w:pPr>
              <w:shd w:val="clear"/>
              <w:jc w:val="center"/>
              <w:rPr>
                <w:rFonts w:ascii="宋体" w:hAnsi="宋体" w:cs="宋体"/>
                <w:color w:val="auto"/>
                <w:szCs w:val="21"/>
                <w:highlight w:val="none"/>
              </w:rPr>
            </w:pPr>
          </w:p>
        </w:tc>
        <w:tc>
          <w:tcPr>
            <w:tcW w:w="1730"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hd w:val="clear"/>
              <w:jc w:val="center"/>
              <w:rPr>
                <w:rFonts w:ascii="宋体" w:hAnsi="宋体" w:cs="宋体"/>
                <w:color w:val="auto"/>
                <w:szCs w:val="21"/>
                <w:highlight w:val="none"/>
              </w:rPr>
            </w:pPr>
          </w:p>
        </w:tc>
        <w:tc>
          <w:tcPr>
            <w:tcW w:w="1620" w:type="dxa"/>
            <w:vAlign w:val="center"/>
          </w:tcPr>
          <w:p>
            <w:pPr>
              <w:shd w:val="clear"/>
              <w:jc w:val="center"/>
              <w:rPr>
                <w:rFonts w:ascii="宋体" w:hAnsi="宋体" w:cs="宋体"/>
                <w:color w:val="auto"/>
                <w:szCs w:val="21"/>
                <w:highlight w:val="none"/>
              </w:rPr>
            </w:pPr>
          </w:p>
        </w:tc>
        <w:tc>
          <w:tcPr>
            <w:tcW w:w="1360" w:type="dxa"/>
            <w:vAlign w:val="center"/>
          </w:tcPr>
          <w:p>
            <w:pPr>
              <w:shd w:val="clear"/>
              <w:jc w:val="center"/>
              <w:rPr>
                <w:rFonts w:ascii="宋体" w:hAnsi="宋体" w:cs="宋体"/>
                <w:color w:val="auto"/>
                <w:szCs w:val="21"/>
                <w:highlight w:val="none"/>
              </w:rPr>
            </w:pPr>
          </w:p>
        </w:tc>
        <w:tc>
          <w:tcPr>
            <w:tcW w:w="1587" w:type="dxa"/>
            <w:vAlign w:val="center"/>
          </w:tcPr>
          <w:p>
            <w:pPr>
              <w:shd w:val="clear"/>
              <w:jc w:val="center"/>
              <w:rPr>
                <w:rFonts w:ascii="宋体" w:hAnsi="宋体" w:cs="宋体"/>
                <w:color w:val="auto"/>
                <w:szCs w:val="21"/>
                <w:highlight w:val="none"/>
              </w:rPr>
            </w:pPr>
          </w:p>
        </w:tc>
        <w:tc>
          <w:tcPr>
            <w:tcW w:w="1133" w:type="dxa"/>
            <w:vAlign w:val="center"/>
          </w:tcPr>
          <w:p>
            <w:pPr>
              <w:shd w:val="clear"/>
              <w:jc w:val="center"/>
              <w:rPr>
                <w:rFonts w:ascii="宋体" w:hAnsi="宋体" w:cs="宋体"/>
                <w:color w:val="auto"/>
                <w:szCs w:val="21"/>
                <w:highlight w:val="none"/>
              </w:rPr>
            </w:pPr>
          </w:p>
        </w:tc>
        <w:tc>
          <w:tcPr>
            <w:tcW w:w="1730"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hd w:val="clear"/>
              <w:jc w:val="center"/>
              <w:rPr>
                <w:rFonts w:ascii="宋体" w:hAnsi="宋体" w:cs="宋体"/>
                <w:color w:val="auto"/>
                <w:szCs w:val="21"/>
                <w:highlight w:val="none"/>
              </w:rPr>
            </w:pPr>
          </w:p>
        </w:tc>
        <w:tc>
          <w:tcPr>
            <w:tcW w:w="1620" w:type="dxa"/>
            <w:vAlign w:val="center"/>
          </w:tcPr>
          <w:p>
            <w:pPr>
              <w:shd w:val="clear"/>
              <w:jc w:val="center"/>
              <w:rPr>
                <w:rFonts w:ascii="宋体" w:hAnsi="宋体" w:cs="宋体"/>
                <w:color w:val="auto"/>
                <w:szCs w:val="21"/>
                <w:highlight w:val="none"/>
              </w:rPr>
            </w:pPr>
          </w:p>
        </w:tc>
        <w:tc>
          <w:tcPr>
            <w:tcW w:w="1360" w:type="dxa"/>
            <w:vAlign w:val="center"/>
          </w:tcPr>
          <w:p>
            <w:pPr>
              <w:shd w:val="clear"/>
              <w:jc w:val="center"/>
              <w:rPr>
                <w:rFonts w:ascii="宋体" w:hAnsi="宋体" w:cs="宋体"/>
                <w:color w:val="auto"/>
                <w:szCs w:val="21"/>
                <w:highlight w:val="none"/>
              </w:rPr>
            </w:pPr>
          </w:p>
        </w:tc>
        <w:tc>
          <w:tcPr>
            <w:tcW w:w="1587" w:type="dxa"/>
            <w:vAlign w:val="center"/>
          </w:tcPr>
          <w:p>
            <w:pPr>
              <w:shd w:val="clear"/>
              <w:jc w:val="center"/>
              <w:rPr>
                <w:rFonts w:ascii="宋体" w:hAnsi="宋体" w:cs="宋体"/>
                <w:color w:val="auto"/>
                <w:szCs w:val="21"/>
                <w:highlight w:val="none"/>
              </w:rPr>
            </w:pPr>
          </w:p>
        </w:tc>
        <w:tc>
          <w:tcPr>
            <w:tcW w:w="1133" w:type="dxa"/>
            <w:vAlign w:val="center"/>
          </w:tcPr>
          <w:p>
            <w:pPr>
              <w:shd w:val="clear"/>
              <w:jc w:val="center"/>
              <w:rPr>
                <w:rFonts w:ascii="宋体" w:hAnsi="宋体" w:cs="宋体"/>
                <w:color w:val="auto"/>
                <w:szCs w:val="21"/>
                <w:highlight w:val="none"/>
              </w:rPr>
            </w:pPr>
          </w:p>
        </w:tc>
        <w:tc>
          <w:tcPr>
            <w:tcW w:w="1730"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hd w:val="clear"/>
              <w:jc w:val="center"/>
              <w:rPr>
                <w:rFonts w:ascii="宋体" w:hAnsi="宋体" w:cs="宋体"/>
                <w:color w:val="auto"/>
                <w:szCs w:val="21"/>
                <w:highlight w:val="none"/>
              </w:rPr>
            </w:pPr>
          </w:p>
        </w:tc>
        <w:tc>
          <w:tcPr>
            <w:tcW w:w="1620" w:type="dxa"/>
            <w:vAlign w:val="center"/>
          </w:tcPr>
          <w:p>
            <w:pPr>
              <w:shd w:val="clear"/>
              <w:jc w:val="center"/>
              <w:rPr>
                <w:rFonts w:ascii="宋体" w:hAnsi="宋体" w:cs="宋体"/>
                <w:color w:val="auto"/>
                <w:szCs w:val="21"/>
                <w:highlight w:val="none"/>
              </w:rPr>
            </w:pPr>
          </w:p>
        </w:tc>
        <w:tc>
          <w:tcPr>
            <w:tcW w:w="1360" w:type="dxa"/>
            <w:vAlign w:val="center"/>
          </w:tcPr>
          <w:p>
            <w:pPr>
              <w:shd w:val="clear"/>
              <w:jc w:val="center"/>
              <w:rPr>
                <w:rFonts w:ascii="宋体" w:hAnsi="宋体" w:cs="宋体"/>
                <w:color w:val="auto"/>
                <w:szCs w:val="21"/>
                <w:highlight w:val="none"/>
              </w:rPr>
            </w:pPr>
          </w:p>
        </w:tc>
        <w:tc>
          <w:tcPr>
            <w:tcW w:w="1587" w:type="dxa"/>
            <w:vAlign w:val="center"/>
          </w:tcPr>
          <w:p>
            <w:pPr>
              <w:shd w:val="clear"/>
              <w:jc w:val="center"/>
              <w:rPr>
                <w:rFonts w:ascii="宋体" w:hAnsi="宋体" w:cs="宋体"/>
                <w:color w:val="auto"/>
                <w:szCs w:val="21"/>
                <w:highlight w:val="none"/>
              </w:rPr>
            </w:pPr>
          </w:p>
        </w:tc>
        <w:tc>
          <w:tcPr>
            <w:tcW w:w="1133" w:type="dxa"/>
            <w:vAlign w:val="center"/>
          </w:tcPr>
          <w:p>
            <w:pPr>
              <w:shd w:val="clear"/>
              <w:jc w:val="center"/>
              <w:rPr>
                <w:rFonts w:ascii="宋体" w:hAnsi="宋体" w:cs="宋体"/>
                <w:color w:val="auto"/>
                <w:szCs w:val="21"/>
                <w:highlight w:val="none"/>
              </w:rPr>
            </w:pPr>
          </w:p>
        </w:tc>
        <w:tc>
          <w:tcPr>
            <w:tcW w:w="1730"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hd w:val="clear"/>
              <w:jc w:val="center"/>
              <w:rPr>
                <w:rFonts w:ascii="宋体" w:hAnsi="宋体" w:cs="宋体"/>
                <w:color w:val="auto"/>
                <w:szCs w:val="21"/>
                <w:highlight w:val="none"/>
              </w:rPr>
            </w:pPr>
          </w:p>
        </w:tc>
        <w:tc>
          <w:tcPr>
            <w:tcW w:w="1620" w:type="dxa"/>
            <w:vAlign w:val="center"/>
          </w:tcPr>
          <w:p>
            <w:pPr>
              <w:shd w:val="clear"/>
              <w:jc w:val="center"/>
              <w:rPr>
                <w:rFonts w:ascii="宋体" w:hAnsi="宋体" w:cs="宋体"/>
                <w:color w:val="auto"/>
                <w:szCs w:val="21"/>
                <w:highlight w:val="none"/>
              </w:rPr>
            </w:pPr>
          </w:p>
        </w:tc>
        <w:tc>
          <w:tcPr>
            <w:tcW w:w="1360" w:type="dxa"/>
            <w:vAlign w:val="center"/>
          </w:tcPr>
          <w:p>
            <w:pPr>
              <w:shd w:val="clear"/>
              <w:jc w:val="center"/>
              <w:rPr>
                <w:rFonts w:ascii="宋体" w:hAnsi="宋体" w:cs="宋体"/>
                <w:color w:val="auto"/>
                <w:szCs w:val="21"/>
                <w:highlight w:val="none"/>
              </w:rPr>
            </w:pPr>
          </w:p>
        </w:tc>
        <w:tc>
          <w:tcPr>
            <w:tcW w:w="1587" w:type="dxa"/>
            <w:vAlign w:val="center"/>
          </w:tcPr>
          <w:p>
            <w:pPr>
              <w:shd w:val="clear"/>
              <w:jc w:val="center"/>
              <w:rPr>
                <w:rFonts w:ascii="宋体" w:hAnsi="宋体" w:cs="宋体"/>
                <w:color w:val="auto"/>
                <w:szCs w:val="21"/>
                <w:highlight w:val="none"/>
              </w:rPr>
            </w:pPr>
          </w:p>
        </w:tc>
        <w:tc>
          <w:tcPr>
            <w:tcW w:w="1133" w:type="dxa"/>
            <w:vAlign w:val="center"/>
          </w:tcPr>
          <w:p>
            <w:pPr>
              <w:shd w:val="clear"/>
              <w:jc w:val="center"/>
              <w:rPr>
                <w:rFonts w:ascii="宋体" w:hAnsi="宋体" w:cs="宋体"/>
                <w:color w:val="auto"/>
                <w:szCs w:val="21"/>
                <w:highlight w:val="none"/>
              </w:rPr>
            </w:pPr>
          </w:p>
        </w:tc>
        <w:tc>
          <w:tcPr>
            <w:tcW w:w="1730"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hd w:val="clear"/>
              <w:jc w:val="center"/>
              <w:rPr>
                <w:rFonts w:ascii="宋体" w:hAnsi="宋体" w:cs="宋体"/>
                <w:color w:val="auto"/>
                <w:szCs w:val="21"/>
                <w:highlight w:val="none"/>
              </w:rPr>
            </w:pPr>
          </w:p>
        </w:tc>
        <w:tc>
          <w:tcPr>
            <w:tcW w:w="1620" w:type="dxa"/>
            <w:vAlign w:val="center"/>
          </w:tcPr>
          <w:p>
            <w:pPr>
              <w:shd w:val="clear"/>
              <w:jc w:val="center"/>
              <w:rPr>
                <w:rFonts w:ascii="宋体" w:hAnsi="宋体" w:cs="宋体"/>
                <w:color w:val="auto"/>
                <w:szCs w:val="21"/>
                <w:highlight w:val="none"/>
              </w:rPr>
            </w:pPr>
          </w:p>
        </w:tc>
        <w:tc>
          <w:tcPr>
            <w:tcW w:w="1360" w:type="dxa"/>
            <w:vAlign w:val="center"/>
          </w:tcPr>
          <w:p>
            <w:pPr>
              <w:shd w:val="clear"/>
              <w:jc w:val="center"/>
              <w:rPr>
                <w:rFonts w:ascii="宋体" w:hAnsi="宋体" w:cs="宋体"/>
                <w:color w:val="auto"/>
                <w:szCs w:val="21"/>
                <w:highlight w:val="none"/>
              </w:rPr>
            </w:pPr>
          </w:p>
        </w:tc>
        <w:tc>
          <w:tcPr>
            <w:tcW w:w="1587" w:type="dxa"/>
            <w:vAlign w:val="center"/>
          </w:tcPr>
          <w:p>
            <w:pPr>
              <w:shd w:val="clear"/>
              <w:jc w:val="center"/>
              <w:rPr>
                <w:rFonts w:ascii="宋体" w:hAnsi="宋体" w:cs="宋体"/>
                <w:color w:val="auto"/>
                <w:szCs w:val="21"/>
                <w:highlight w:val="none"/>
              </w:rPr>
            </w:pPr>
          </w:p>
        </w:tc>
        <w:tc>
          <w:tcPr>
            <w:tcW w:w="1133" w:type="dxa"/>
            <w:vAlign w:val="center"/>
          </w:tcPr>
          <w:p>
            <w:pPr>
              <w:shd w:val="clear"/>
              <w:jc w:val="center"/>
              <w:rPr>
                <w:rFonts w:ascii="宋体" w:hAnsi="宋体" w:cs="宋体"/>
                <w:color w:val="auto"/>
                <w:szCs w:val="21"/>
                <w:highlight w:val="none"/>
              </w:rPr>
            </w:pPr>
          </w:p>
        </w:tc>
        <w:tc>
          <w:tcPr>
            <w:tcW w:w="1730"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hd w:val="clear"/>
              <w:jc w:val="center"/>
              <w:rPr>
                <w:rFonts w:ascii="宋体" w:hAnsi="宋体" w:cs="宋体"/>
                <w:color w:val="auto"/>
                <w:szCs w:val="21"/>
                <w:highlight w:val="none"/>
              </w:rPr>
            </w:pPr>
          </w:p>
        </w:tc>
        <w:tc>
          <w:tcPr>
            <w:tcW w:w="1620" w:type="dxa"/>
            <w:vAlign w:val="center"/>
          </w:tcPr>
          <w:p>
            <w:pPr>
              <w:shd w:val="clear"/>
              <w:jc w:val="center"/>
              <w:rPr>
                <w:rFonts w:ascii="宋体" w:hAnsi="宋体" w:cs="宋体"/>
                <w:color w:val="auto"/>
                <w:szCs w:val="21"/>
                <w:highlight w:val="none"/>
              </w:rPr>
            </w:pPr>
          </w:p>
        </w:tc>
        <w:tc>
          <w:tcPr>
            <w:tcW w:w="1360" w:type="dxa"/>
            <w:vAlign w:val="center"/>
          </w:tcPr>
          <w:p>
            <w:pPr>
              <w:shd w:val="clear"/>
              <w:jc w:val="center"/>
              <w:rPr>
                <w:rFonts w:ascii="宋体" w:hAnsi="宋体" w:cs="宋体"/>
                <w:color w:val="auto"/>
                <w:szCs w:val="21"/>
                <w:highlight w:val="none"/>
              </w:rPr>
            </w:pPr>
          </w:p>
        </w:tc>
        <w:tc>
          <w:tcPr>
            <w:tcW w:w="1587" w:type="dxa"/>
            <w:vAlign w:val="center"/>
          </w:tcPr>
          <w:p>
            <w:pPr>
              <w:shd w:val="clear"/>
              <w:jc w:val="center"/>
              <w:rPr>
                <w:rFonts w:ascii="宋体" w:hAnsi="宋体" w:cs="宋体"/>
                <w:color w:val="auto"/>
                <w:szCs w:val="21"/>
                <w:highlight w:val="none"/>
              </w:rPr>
            </w:pPr>
          </w:p>
        </w:tc>
        <w:tc>
          <w:tcPr>
            <w:tcW w:w="1133" w:type="dxa"/>
            <w:vAlign w:val="center"/>
          </w:tcPr>
          <w:p>
            <w:pPr>
              <w:shd w:val="clear"/>
              <w:jc w:val="center"/>
              <w:rPr>
                <w:rFonts w:ascii="宋体" w:hAnsi="宋体" w:cs="宋体"/>
                <w:color w:val="auto"/>
                <w:szCs w:val="21"/>
                <w:highlight w:val="none"/>
              </w:rPr>
            </w:pPr>
          </w:p>
        </w:tc>
        <w:tc>
          <w:tcPr>
            <w:tcW w:w="1730"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hd w:val="clear"/>
              <w:jc w:val="center"/>
              <w:rPr>
                <w:rFonts w:ascii="宋体" w:hAnsi="宋体" w:cs="宋体"/>
                <w:color w:val="auto"/>
                <w:szCs w:val="21"/>
                <w:highlight w:val="none"/>
              </w:rPr>
            </w:pPr>
          </w:p>
        </w:tc>
        <w:tc>
          <w:tcPr>
            <w:tcW w:w="1620" w:type="dxa"/>
            <w:vAlign w:val="center"/>
          </w:tcPr>
          <w:p>
            <w:pPr>
              <w:shd w:val="clear"/>
              <w:jc w:val="center"/>
              <w:rPr>
                <w:rFonts w:ascii="宋体" w:hAnsi="宋体" w:cs="宋体"/>
                <w:color w:val="auto"/>
                <w:szCs w:val="21"/>
                <w:highlight w:val="none"/>
              </w:rPr>
            </w:pPr>
          </w:p>
        </w:tc>
        <w:tc>
          <w:tcPr>
            <w:tcW w:w="1360" w:type="dxa"/>
            <w:vAlign w:val="center"/>
          </w:tcPr>
          <w:p>
            <w:pPr>
              <w:shd w:val="clear"/>
              <w:jc w:val="center"/>
              <w:rPr>
                <w:rFonts w:ascii="宋体" w:hAnsi="宋体" w:cs="宋体"/>
                <w:color w:val="auto"/>
                <w:szCs w:val="21"/>
                <w:highlight w:val="none"/>
              </w:rPr>
            </w:pPr>
          </w:p>
        </w:tc>
        <w:tc>
          <w:tcPr>
            <w:tcW w:w="1587" w:type="dxa"/>
            <w:vAlign w:val="center"/>
          </w:tcPr>
          <w:p>
            <w:pPr>
              <w:shd w:val="clear"/>
              <w:jc w:val="center"/>
              <w:rPr>
                <w:rFonts w:ascii="宋体" w:hAnsi="宋体" w:cs="宋体"/>
                <w:color w:val="auto"/>
                <w:szCs w:val="21"/>
                <w:highlight w:val="none"/>
              </w:rPr>
            </w:pPr>
          </w:p>
        </w:tc>
        <w:tc>
          <w:tcPr>
            <w:tcW w:w="1133" w:type="dxa"/>
            <w:vAlign w:val="center"/>
          </w:tcPr>
          <w:p>
            <w:pPr>
              <w:shd w:val="clear"/>
              <w:jc w:val="center"/>
              <w:rPr>
                <w:rFonts w:ascii="宋体" w:hAnsi="宋体" w:cs="宋体"/>
                <w:color w:val="auto"/>
                <w:szCs w:val="21"/>
                <w:highlight w:val="none"/>
              </w:rPr>
            </w:pPr>
          </w:p>
        </w:tc>
        <w:tc>
          <w:tcPr>
            <w:tcW w:w="1730" w:type="dxa"/>
            <w:vAlign w:val="center"/>
          </w:tcPr>
          <w:p>
            <w:pPr>
              <w:shd w:val="clear"/>
              <w:jc w:val="center"/>
              <w:rPr>
                <w:rFonts w:ascii="宋体" w:hAnsi="宋体" w:cs="宋体"/>
                <w:color w:val="auto"/>
                <w:szCs w:val="21"/>
                <w:highlight w:val="none"/>
              </w:rPr>
            </w:pPr>
          </w:p>
        </w:tc>
      </w:tr>
    </w:tbl>
    <w:p>
      <w:pPr>
        <w:shd w:val="clear"/>
        <w:rPr>
          <w:rFonts w:ascii="宋体" w:hAnsi="宋体" w:cs="宋体"/>
          <w:color w:val="auto"/>
          <w:szCs w:val="21"/>
          <w:highlight w:val="none"/>
        </w:rPr>
      </w:pPr>
    </w:p>
    <w:p>
      <w:pPr>
        <w:shd w:val="clear"/>
        <w:rPr>
          <w:rFonts w:ascii="宋体" w:hAnsi="宋体" w:cs="宋体"/>
          <w:color w:val="auto"/>
          <w:szCs w:val="21"/>
          <w:highlight w:val="none"/>
        </w:rPr>
      </w:pPr>
      <w:r>
        <w:rPr>
          <w:rFonts w:hint="eastAsia" w:ascii="宋体" w:hAnsi="宋体" w:cs="宋体"/>
          <w:color w:val="auto"/>
          <w:szCs w:val="21"/>
          <w:highlight w:val="none"/>
        </w:rPr>
        <w:t>投标人代表签字：</w:t>
      </w:r>
    </w:p>
    <w:p>
      <w:pPr>
        <w:shd w:val="clear"/>
        <w:rPr>
          <w:rFonts w:ascii="宋体" w:hAnsi="宋体" w:cs="宋体"/>
          <w:color w:val="auto"/>
          <w:szCs w:val="21"/>
          <w:highlight w:val="none"/>
        </w:rPr>
      </w:pPr>
      <w:r>
        <w:rPr>
          <w:rFonts w:hint="eastAsia" w:ascii="宋体" w:hAnsi="宋体" w:cs="宋体"/>
          <w:color w:val="auto"/>
          <w:szCs w:val="21"/>
          <w:highlight w:val="none"/>
        </w:rPr>
        <w:t>投标人盖章：</w:t>
      </w:r>
    </w:p>
    <w:p>
      <w:pPr>
        <w:shd w:val="clear"/>
        <w:rPr>
          <w:rFonts w:ascii="宋体" w:hAnsi="宋体" w:cs="宋体"/>
          <w:color w:val="auto"/>
          <w:szCs w:val="21"/>
          <w:highlight w:val="none"/>
        </w:rPr>
      </w:pPr>
    </w:p>
    <w:p>
      <w:pPr>
        <w:shd w:val="clear"/>
        <w:ind w:left="718" w:hanging="718" w:hangingChars="342"/>
        <w:rPr>
          <w:rFonts w:ascii="宋体" w:hAnsi="宋体" w:cs="宋体"/>
          <w:color w:val="auto"/>
          <w:szCs w:val="21"/>
          <w:highlight w:val="none"/>
        </w:rPr>
      </w:pPr>
      <w:r>
        <w:rPr>
          <w:rFonts w:hint="eastAsia" w:ascii="宋体" w:hAnsi="宋体" w:cs="宋体"/>
          <w:color w:val="auto"/>
          <w:szCs w:val="21"/>
          <w:highlight w:val="none"/>
        </w:rPr>
        <w:t>注：</w:t>
      </w:r>
    </w:p>
    <w:p>
      <w:pPr>
        <w:shd w:val="clear"/>
        <w:rPr>
          <w:rFonts w:ascii="宋体" w:hAnsi="宋体" w:cs="宋体"/>
          <w:color w:val="auto"/>
          <w:szCs w:val="21"/>
          <w:highlight w:val="none"/>
        </w:rPr>
      </w:pPr>
      <w:r>
        <w:rPr>
          <w:rFonts w:hint="eastAsia" w:ascii="宋体" w:hAnsi="宋体" w:cs="宋体"/>
          <w:color w:val="auto"/>
          <w:szCs w:val="21"/>
          <w:highlight w:val="none"/>
        </w:rPr>
        <w:t>1、投标人应对照采购文件商务需求书中商务要求，说明已对采购文件的商务内容做出了实质性的响应。</w:t>
      </w:r>
    </w:p>
    <w:p>
      <w:pPr>
        <w:shd w:val="clear"/>
        <w:rPr>
          <w:rFonts w:ascii="宋体" w:hAnsi="宋体" w:cs="宋体"/>
          <w:color w:val="auto"/>
          <w:szCs w:val="21"/>
          <w:highlight w:val="none"/>
        </w:rPr>
      </w:pPr>
      <w:r>
        <w:rPr>
          <w:rFonts w:hint="eastAsia" w:ascii="宋体" w:hAnsi="宋体" w:cs="宋体"/>
          <w:color w:val="auto"/>
          <w:szCs w:val="21"/>
          <w:highlight w:val="none"/>
        </w:rPr>
        <w:t>2、不论出于何种原因此表未填写完整，投标人都被认为已清楚了解采购文件“商务需求书”的内容并对采购人所需的服务要求作全面响应，投标人必须承担完成“商务需求书”所描述内容的义务，因此对投标人投标产生负面影响的，投标人自行承担后果。</w:t>
      </w:r>
    </w:p>
    <w:p>
      <w:pPr>
        <w:shd w:val="clear"/>
        <w:rPr>
          <w:rFonts w:ascii="宋体" w:hAnsi="宋体" w:cs="宋体"/>
          <w:color w:val="auto"/>
          <w:szCs w:val="21"/>
          <w:highlight w:val="none"/>
        </w:rPr>
      </w:pPr>
      <w:r>
        <w:rPr>
          <w:rFonts w:hint="eastAsia" w:ascii="宋体" w:hAnsi="宋体" w:cs="宋体"/>
          <w:color w:val="auto"/>
          <w:szCs w:val="21"/>
          <w:highlight w:val="none"/>
        </w:rPr>
        <w:t>3、如有偏离，应在“偏离情况”栏内注明“正”、“负”或“无”，并在“说明”栏内予以说明。</w:t>
      </w:r>
    </w:p>
    <w:p>
      <w:pPr>
        <w:shd w:val="clear"/>
        <w:rPr>
          <w:rFonts w:ascii="宋体" w:hAnsi="宋体" w:cs="宋体"/>
          <w:color w:val="auto"/>
          <w:szCs w:val="21"/>
          <w:highlight w:val="none"/>
        </w:rPr>
      </w:pPr>
      <w:r>
        <w:rPr>
          <w:rFonts w:hint="eastAsia" w:ascii="宋体" w:hAnsi="宋体" w:cs="宋体"/>
          <w:color w:val="auto"/>
          <w:szCs w:val="21"/>
          <w:highlight w:val="none"/>
        </w:rPr>
        <w:t>4、如投标人差异内容较多可另附页说明。</w:t>
      </w:r>
    </w:p>
    <w:p>
      <w:pPr>
        <w:shd w:val="clear"/>
        <w:rPr>
          <w:rFonts w:ascii="宋体" w:hAnsi="宋体" w:cs="宋体"/>
          <w:color w:val="auto"/>
          <w:szCs w:val="21"/>
          <w:highlight w:val="none"/>
        </w:rPr>
      </w:pPr>
      <w:r>
        <w:rPr>
          <w:rFonts w:hint="eastAsia" w:ascii="宋体" w:hAnsi="宋体" w:cs="宋体"/>
          <w:color w:val="auto"/>
          <w:szCs w:val="21"/>
          <w:highlight w:val="none"/>
        </w:rPr>
        <w:t>5、如投标人对用户需求书商务要求的条款全部响应的，也可以在表格下面用文字总括性的说明。</w:t>
      </w:r>
    </w:p>
    <w:p>
      <w:pPr>
        <w:shd w:val="clear"/>
        <w:rPr>
          <w:rFonts w:ascii="宋体" w:hAnsi="宋体" w:cs="宋体"/>
          <w:color w:val="auto"/>
          <w:szCs w:val="21"/>
          <w:highlight w:val="none"/>
        </w:rPr>
      </w:pPr>
      <w:r>
        <w:rPr>
          <w:rFonts w:hint="eastAsia" w:ascii="宋体" w:hAnsi="宋体" w:cs="宋体"/>
          <w:color w:val="auto"/>
          <w:szCs w:val="21"/>
          <w:highlight w:val="none"/>
        </w:rPr>
        <w:br w:type="page"/>
      </w:r>
    </w:p>
    <w:p>
      <w:pPr>
        <w:pStyle w:val="6"/>
        <w:widowControl w:val="0"/>
        <w:shd w:val="clear"/>
        <w:overflowPunct w:val="0"/>
        <w:spacing w:line="240" w:lineRule="auto"/>
        <w:rPr>
          <w:rFonts w:ascii="宋体" w:hAnsi="宋体" w:cs="宋体"/>
          <w:color w:val="auto"/>
          <w:sz w:val="30"/>
          <w:szCs w:val="30"/>
          <w:highlight w:val="none"/>
        </w:rPr>
      </w:pPr>
      <w:bookmarkStart w:id="181" w:name="_Toc22347"/>
      <w:r>
        <w:rPr>
          <w:rFonts w:hint="eastAsia" w:ascii="宋体" w:hAnsi="宋体" w:cs="宋体"/>
          <w:color w:val="auto"/>
          <w:sz w:val="21"/>
          <w:szCs w:val="21"/>
          <w:highlight w:val="none"/>
        </w:rPr>
        <w:t>附件13.业绩表</w:t>
      </w:r>
      <w:bookmarkEnd w:id="181"/>
    </w:p>
    <w:p>
      <w:pPr>
        <w:shd w:val="clear"/>
        <w:jc w:val="center"/>
        <w:rPr>
          <w:rFonts w:ascii="宋体" w:hAnsi="宋体" w:cs="宋体"/>
          <w:color w:val="auto"/>
          <w:sz w:val="28"/>
          <w:szCs w:val="28"/>
          <w:highlight w:val="none"/>
        </w:rPr>
      </w:pPr>
      <w:r>
        <w:rPr>
          <w:rFonts w:hint="eastAsia" w:ascii="宋体" w:hAnsi="宋体" w:cs="宋体"/>
          <w:color w:val="auto"/>
          <w:sz w:val="28"/>
          <w:szCs w:val="28"/>
          <w:highlight w:val="none"/>
        </w:rPr>
        <w:t>业绩表</w:t>
      </w:r>
    </w:p>
    <w:tbl>
      <w:tblPr>
        <w:tblStyle w:val="31"/>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pPr>
              <w:shd w:val="clear"/>
              <w:adjustRightInd/>
              <w:snapToGrid/>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705" w:type="dxa"/>
            <w:vAlign w:val="center"/>
          </w:tcPr>
          <w:p>
            <w:pPr>
              <w:shd w:val="clear"/>
              <w:adjustRightInd/>
              <w:snapToGrid/>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706" w:type="dxa"/>
            <w:vAlign w:val="center"/>
          </w:tcPr>
          <w:p>
            <w:pPr>
              <w:shd w:val="clear"/>
              <w:adjustRightInd/>
              <w:snapToGrid/>
              <w:jc w:val="center"/>
              <w:rPr>
                <w:rFonts w:ascii="宋体" w:hAnsi="宋体" w:cs="宋体"/>
                <w:color w:val="auto"/>
                <w:szCs w:val="21"/>
                <w:highlight w:val="none"/>
              </w:rPr>
            </w:pPr>
            <w:r>
              <w:rPr>
                <w:rFonts w:hint="eastAsia" w:ascii="宋体" w:hAnsi="宋体" w:cs="宋体"/>
                <w:color w:val="auto"/>
                <w:szCs w:val="21"/>
                <w:highlight w:val="none"/>
              </w:rPr>
              <w:t>项目金额</w:t>
            </w:r>
          </w:p>
        </w:tc>
        <w:tc>
          <w:tcPr>
            <w:tcW w:w="1705" w:type="dxa"/>
            <w:vAlign w:val="center"/>
          </w:tcPr>
          <w:p>
            <w:pPr>
              <w:shd w:val="clear"/>
              <w:adjustRightInd/>
              <w:snapToGrid/>
              <w:jc w:val="center"/>
              <w:rPr>
                <w:rFonts w:ascii="宋体" w:hAnsi="宋体" w:cs="宋体"/>
                <w:color w:val="auto"/>
                <w:szCs w:val="21"/>
                <w:highlight w:val="none"/>
              </w:rPr>
            </w:pPr>
            <w:r>
              <w:rPr>
                <w:rFonts w:hint="eastAsia" w:ascii="宋体" w:hAnsi="宋体" w:cs="宋体"/>
                <w:color w:val="auto"/>
                <w:szCs w:val="21"/>
                <w:highlight w:val="none"/>
              </w:rPr>
              <w:t>项目合同签订时间</w:t>
            </w:r>
          </w:p>
        </w:tc>
        <w:tc>
          <w:tcPr>
            <w:tcW w:w="1697" w:type="dxa"/>
            <w:vAlign w:val="center"/>
          </w:tcPr>
          <w:p>
            <w:pPr>
              <w:shd w:val="clear"/>
              <w:adjustRightInd/>
              <w:snapToGrid/>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pPr>
              <w:shd w:val="clear"/>
              <w:adjustRightInd/>
              <w:snapToGrid/>
              <w:jc w:val="center"/>
              <w:rPr>
                <w:rFonts w:ascii="宋体" w:hAnsi="宋体" w:cs="宋体"/>
                <w:color w:val="auto"/>
                <w:szCs w:val="21"/>
                <w:highlight w:val="none"/>
              </w:rPr>
            </w:pPr>
          </w:p>
        </w:tc>
        <w:tc>
          <w:tcPr>
            <w:tcW w:w="1705" w:type="dxa"/>
            <w:vAlign w:val="center"/>
          </w:tcPr>
          <w:p>
            <w:pPr>
              <w:shd w:val="clear"/>
              <w:adjustRightInd/>
              <w:snapToGrid/>
              <w:jc w:val="center"/>
              <w:rPr>
                <w:rFonts w:ascii="宋体" w:hAnsi="宋体" w:cs="宋体"/>
                <w:color w:val="auto"/>
                <w:szCs w:val="21"/>
                <w:highlight w:val="none"/>
              </w:rPr>
            </w:pPr>
          </w:p>
        </w:tc>
        <w:tc>
          <w:tcPr>
            <w:tcW w:w="1706" w:type="dxa"/>
            <w:vAlign w:val="center"/>
          </w:tcPr>
          <w:p>
            <w:pPr>
              <w:shd w:val="clear"/>
              <w:adjustRightInd/>
              <w:snapToGrid/>
              <w:jc w:val="center"/>
              <w:rPr>
                <w:rFonts w:ascii="宋体" w:hAnsi="宋体" w:cs="宋体"/>
                <w:color w:val="auto"/>
                <w:szCs w:val="21"/>
                <w:highlight w:val="none"/>
              </w:rPr>
            </w:pPr>
          </w:p>
        </w:tc>
        <w:tc>
          <w:tcPr>
            <w:tcW w:w="1705" w:type="dxa"/>
            <w:vAlign w:val="center"/>
          </w:tcPr>
          <w:p>
            <w:pPr>
              <w:shd w:val="clear"/>
              <w:adjustRightInd/>
              <w:snapToGrid/>
              <w:jc w:val="center"/>
              <w:rPr>
                <w:rFonts w:ascii="宋体" w:hAnsi="宋体" w:cs="宋体"/>
                <w:color w:val="auto"/>
                <w:szCs w:val="21"/>
                <w:highlight w:val="none"/>
              </w:rPr>
            </w:pPr>
          </w:p>
        </w:tc>
        <w:tc>
          <w:tcPr>
            <w:tcW w:w="1697" w:type="dxa"/>
            <w:vAlign w:val="center"/>
          </w:tcPr>
          <w:p>
            <w:pPr>
              <w:shd w:val="clear"/>
              <w:adjustRightInd/>
              <w:snapToGrid/>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shd w:val="clear"/>
              <w:adjustRightInd/>
              <w:snapToGrid/>
              <w:rPr>
                <w:rFonts w:ascii="宋体" w:hAnsi="宋体" w:cs="宋体"/>
                <w:color w:val="auto"/>
                <w:szCs w:val="21"/>
                <w:highlight w:val="none"/>
              </w:rPr>
            </w:pPr>
          </w:p>
        </w:tc>
        <w:tc>
          <w:tcPr>
            <w:tcW w:w="1705" w:type="dxa"/>
          </w:tcPr>
          <w:p>
            <w:pPr>
              <w:shd w:val="clear"/>
              <w:adjustRightInd/>
              <w:snapToGrid/>
              <w:rPr>
                <w:rFonts w:ascii="宋体" w:hAnsi="宋体" w:cs="宋体"/>
                <w:color w:val="auto"/>
                <w:szCs w:val="21"/>
                <w:highlight w:val="none"/>
              </w:rPr>
            </w:pPr>
          </w:p>
        </w:tc>
        <w:tc>
          <w:tcPr>
            <w:tcW w:w="1706" w:type="dxa"/>
          </w:tcPr>
          <w:p>
            <w:pPr>
              <w:shd w:val="clear"/>
              <w:adjustRightInd/>
              <w:snapToGrid/>
              <w:rPr>
                <w:rFonts w:ascii="宋体" w:hAnsi="宋体" w:cs="宋体"/>
                <w:color w:val="auto"/>
                <w:szCs w:val="21"/>
                <w:highlight w:val="none"/>
              </w:rPr>
            </w:pPr>
          </w:p>
        </w:tc>
        <w:tc>
          <w:tcPr>
            <w:tcW w:w="1705" w:type="dxa"/>
          </w:tcPr>
          <w:p>
            <w:pPr>
              <w:shd w:val="clear"/>
              <w:adjustRightInd/>
              <w:snapToGrid/>
              <w:rPr>
                <w:rFonts w:ascii="宋体" w:hAnsi="宋体" w:cs="宋体"/>
                <w:color w:val="auto"/>
                <w:szCs w:val="21"/>
                <w:highlight w:val="none"/>
              </w:rPr>
            </w:pPr>
          </w:p>
        </w:tc>
        <w:tc>
          <w:tcPr>
            <w:tcW w:w="1697" w:type="dxa"/>
          </w:tcPr>
          <w:p>
            <w:pPr>
              <w:shd w:val="clear"/>
              <w:adjustRightInd/>
              <w:snapToGrid/>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shd w:val="clear"/>
              <w:adjustRightInd/>
              <w:snapToGrid/>
              <w:rPr>
                <w:rFonts w:ascii="宋体" w:hAnsi="宋体" w:cs="宋体"/>
                <w:color w:val="auto"/>
                <w:szCs w:val="21"/>
                <w:highlight w:val="none"/>
              </w:rPr>
            </w:pPr>
          </w:p>
        </w:tc>
        <w:tc>
          <w:tcPr>
            <w:tcW w:w="1705" w:type="dxa"/>
          </w:tcPr>
          <w:p>
            <w:pPr>
              <w:shd w:val="clear"/>
              <w:adjustRightInd/>
              <w:snapToGrid/>
              <w:rPr>
                <w:rFonts w:ascii="宋体" w:hAnsi="宋体" w:cs="宋体"/>
                <w:color w:val="auto"/>
                <w:szCs w:val="21"/>
                <w:highlight w:val="none"/>
              </w:rPr>
            </w:pPr>
          </w:p>
        </w:tc>
        <w:tc>
          <w:tcPr>
            <w:tcW w:w="1706" w:type="dxa"/>
          </w:tcPr>
          <w:p>
            <w:pPr>
              <w:shd w:val="clear"/>
              <w:adjustRightInd/>
              <w:snapToGrid/>
              <w:rPr>
                <w:rFonts w:ascii="宋体" w:hAnsi="宋体" w:cs="宋体"/>
                <w:color w:val="auto"/>
                <w:szCs w:val="21"/>
                <w:highlight w:val="none"/>
              </w:rPr>
            </w:pPr>
          </w:p>
        </w:tc>
        <w:tc>
          <w:tcPr>
            <w:tcW w:w="1705" w:type="dxa"/>
          </w:tcPr>
          <w:p>
            <w:pPr>
              <w:shd w:val="clear"/>
              <w:adjustRightInd/>
              <w:snapToGrid/>
              <w:rPr>
                <w:rFonts w:ascii="宋体" w:hAnsi="宋体" w:cs="宋体"/>
                <w:color w:val="auto"/>
                <w:szCs w:val="21"/>
                <w:highlight w:val="none"/>
              </w:rPr>
            </w:pPr>
          </w:p>
        </w:tc>
        <w:tc>
          <w:tcPr>
            <w:tcW w:w="1697" w:type="dxa"/>
          </w:tcPr>
          <w:p>
            <w:pPr>
              <w:shd w:val="clear"/>
              <w:adjustRightInd/>
              <w:snapToGrid/>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shd w:val="clear"/>
              <w:adjustRightInd/>
              <w:snapToGrid/>
              <w:rPr>
                <w:rFonts w:ascii="宋体" w:hAnsi="宋体" w:cs="宋体"/>
                <w:color w:val="auto"/>
                <w:szCs w:val="21"/>
                <w:highlight w:val="none"/>
              </w:rPr>
            </w:pPr>
          </w:p>
        </w:tc>
        <w:tc>
          <w:tcPr>
            <w:tcW w:w="1705" w:type="dxa"/>
          </w:tcPr>
          <w:p>
            <w:pPr>
              <w:shd w:val="clear"/>
              <w:adjustRightInd/>
              <w:snapToGrid/>
              <w:rPr>
                <w:rFonts w:ascii="宋体" w:hAnsi="宋体" w:cs="宋体"/>
                <w:color w:val="auto"/>
                <w:szCs w:val="21"/>
                <w:highlight w:val="none"/>
              </w:rPr>
            </w:pPr>
          </w:p>
        </w:tc>
        <w:tc>
          <w:tcPr>
            <w:tcW w:w="1706" w:type="dxa"/>
          </w:tcPr>
          <w:p>
            <w:pPr>
              <w:shd w:val="clear"/>
              <w:adjustRightInd/>
              <w:snapToGrid/>
              <w:rPr>
                <w:rFonts w:ascii="宋体" w:hAnsi="宋体" w:cs="宋体"/>
                <w:color w:val="auto"/>
                <w:szCs w:val="21"/>
                <w:highlight w:val="none"/>
              </w:rPr>
            </w:pPr>
          </w:p>
        </w:tc>
        <w:tc>
          <w:tcPr>
            <w:tcW w:w="1705" w:type="dxa"/>
          </w:tcPr>
          <w:p>
            <w:pPr>
              <w:shd w:val="clear"/>
              <w:adjustRightInd/>
              <w:snapToGrid/>
              <w:rPr>
                <w:rFonts w:ascii="宋体" w:hAnsi="宋体" w:cs="宋体"/>
                <w:color w:val="auto"/>
                <w:szCs w:val="21"/>
                <w:highlight w:val="none"/>
              </w:rPr>
            </w:pPr>
          </w:p>
        </w:tc>
        <w:tc>
          <w:tcPr>
            <w:tcW w:w="1697" w:type="dxa"/>
          </w:tcPr>
          <w:p>
            <w:pPr>
              <w:shd w:val="clear"/>
              <w:adjustRightInd/>
              <w:snapToGrid/>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shd w:val="clear"/>
              <w:adjustRightInd/>
              <w:snapToGrid/>
              <w:rPr>
                <w:rFonts w:ascii="宋体" w:hAnsi="宋体" w:cs="宋体"/>
                <w:color w:val="auto"/>
                <w:szCs w:val="21"/>
                <w:highlight w:val="none"/>
              </w:rPr>
            </w:pPr>
          </w:p>
        </w:tc>
        <w:tc>
          <w:tcPr>
            <w:tcW w:w="1705" w:type="dxa"/>
          </w:tcPr>
          <w:p>
            <w:pPr>
              <w:shd w:val="clear"/>
              <w:adjustRightInd/>
              <w:snapToGrid/>
              <w:rPr>
                <w:rFonts w:ascii="宋体" w:hAnsi="宋体" w:cs="宋体"/>
                <w:color w:val="auto"/>
                <w:szCs w:val="21"/>
                <w:highlight w:val="none"/>
              </w:rPr>
            </w:pPr>
          </w:p>
        </w:tc>
        <w:tc>
          <w:tcPr>
            <w:tcW w:w="1706" w:type="dxa"/>
          </w:tcPr>
          <w:p>
            <w:pPr>
              <w:shd w:val="clear"/>
              <w:adjustRightInd/>
              <w:snapToGrid/>
              <w:rPr>
                <w:rFonts w:ascii="宋体" w:hAnsi="宋体" w:cs="宋体"/>
                <w:color w:val="auto"/>
                <w:szCs w:val="21"/>
                <w:highlight w:val="none"/>
              </w:rPr>
            </w:pPr>
          </w:p>
        </w:tc>
        <w:tc>
          <w:tcPr>
            <w:tcW w:w="1705" w:type="dxa"/>
          </w:tcPr>
          <w:p>
            <w:pPr>
              <w:shd w:val="clear"/>
              <w:adjustRightInd/>
              <w:snapToGrid/>
              <w:rPr>
                <w:rFonts w:ascii="宋体" w:hAnsi="宋体" w:cs="宋体"/>
                <w:color w:val="auto"/>
                <w:szCs w:val="21"/>
                <w:highlight w:val="none"/>
              </w:rPr>
            </w:pPr>
          </w:p>
        </w:tc>
        <w:tc>
          <w:tcPr>
            <w:tcW w:w="1697" w:type="dxa"/>
          </w:tcPr>
          <w:p>
            <w:pPr>
              <w:shd w:val="clear"/>
              <w:adjustRightInd/>
              <w:snapToGrid/>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shd w:val="clear"/>
              <w:adjustRightInd/>
              <w:snapToGrid/>
              <w:rPr>
                <w:rFonts w:ascii="宋体" w:hAnsi="宋体" w:cs="宋体"/>
                <w:color w:val="auto"/>
                <w:szCs w:val="21"/>
                <w:highlight w:val="none"/>
              </w:rPr>
            </w:pPr>
          </w:p>
        </w:tc>
        <w:tc>
          <w:tcPr>
            <w:tcW w:w="1705" w:type="dxa"/>
          </w:tcPr>
          <w:p>
            <w:pPr>
              <w:shd w:val="clear"/>
              <w:adjustRightInd/>
              <w:snapToGrid/>
              <w:rPr>
                <w:rFonts w:ascii="宋体" w:hAnsi="宋体" w:cs="宋体"/>
                <w:color w:val="auto"/>
                <w:szCs w:val="21"/>
                <w:highlight w:val="none"/>
              </w:rPr>
            </w:pPr>
          </w:p>
        </w:tc>
        <w:tc>
          <w:tcPr>
            <w:tcW w:w="1706" w:type="dxa"/>
          </w:tcPr>
          <w:p>
            <w:pPr>
              <w:shd w:val="clear"/>
              <w:adjustRightInd/>
              <w:snapToGrid/>
              <w:rPr>
                <w:rFonts w:ascii="宋体" w:hAnsi="宋体" w:cs="宋体"/>
                <w:color w:val="auto"/>
                <w:szCs w:val="21"/>
                <w:highlight w:val="none"/>
              </w:rPr>
            </w:pPr>
          </w:p>
        </w:tc>
        <w:tc>
          <w:tcPr>
            <w:tcW w:w="1705" w:type="dxa"/>
          </w:tcPr>
          <w:p>
            <w:pPr>
              <w:shd w:val="clear"/>
              <w:adjustRightInd/>
              <w:snapToGrid/>
              <w:rPr>
                <w:rFonts w:ascii="宋体" w:hAnsi="宋体" w:cs="宋体"/>
                <w:color w:val="auto"/>
                <w:szCs w:val="21"/>
                <w:highlight w:val="none"/>
              </w:rPr>
            </w:pPr>
          </w:p>
        </w:tc>
        <w:tc>
          <w:tcPr>
            <w:tcW w:w="1697" w:type="dxa"/>
          </w:tcPr>
          <w:p>
            <w:pPr>
              <w:shd w:val="clear"/>
              <w:adjustRightInd/>
              <w:snapToGrid/>
              <w:rPr>
                <w:rFonts w:ascii="宋体" w:hAnsi="宋体" w:cs="宋体"/>
                <w:color w:val="auto"/>
                <w:szCs w:val="21"/>
                <w:highlight w:val="none"/>
              </w:rPr>
            </w:pPr>
          </w:p>
        </w:tc>
      </w:tr>
    </w:tbl>
    <w:p>
      <w:pPr>
        <w:pStyle w:val="41"/>
        <w:shd w:val="clear"/>
        <w:rPr>
          <w:rFonts w:ascii="宋体" w:hAnsi="宋体" w:cs="宋体"/>
          <w:color w:val="auto"/>
          <w:szCs w:val="21"/>
          <w:highlight w:val="none"/>
        </w:rPr>
      </w:pPr>
    </w:p>
    <w:p>
      <w:pPr>
        <w:pStyle w:val="41"/>
        <w:shd w:val="clear"/>
        <w:rPr>
          <w:rFonts w:ascii="宋体" w:hAnsi="宋体" w:cs="宋体"/>
          <w:color w:val="auto"/>
          <w:szCs w:val="21"/>
          <w:highlight w:val="none"/>
        </w:rPr>
      </w:pPr>
      <w:r>
        <w:rPr>
          <w:rFonts w:hint="eastAsia" w:ascii="宋体" w:hAnsi="宋体" w:cs="宋体"/>
          <w:color w:val="auto"/>
          <w:szCs w:val="21"/>
          <w:highlight w:val="none"/>
        </w:rPr>
        <w:t>注：</w:t>
      </w:r>
    </w:p>
    <w:p>
      <w:pPr>
        <w:pStyle w:val="41"/>
        <w:numPr>
          <w:ilvl w:val="0"/>
          <w:numId w:val="12"/>
        </w:numPr>
        <w:shd w:val="clear"/>
        <w:rPr>
          <w:rFonts w:ascii="宋体" w:hAnsi="宋体" w:cs="宋体"/>
          <w:color w:val="auto"/>
          <w:szCs w:val="21"/>
          <w:highlight w:val="none"/>
        </w:rPr>
      </w:pPr>
      <w:r>
        <w:rPr>
          <w:rFonts w:hint="eastAsia" w:ascii="宋体" w:hAnsi="宋体" w:cs="宋体"/>
          <w:color w:val="auto"/>
          <w:szCs w:val="21"/>
          <w:highlight w:val="none"/>
        </w:rPr>
        <w:t>该表格为参考格式，投标人可按实际情况自行制订。</w:t>
      </w:r>
    </w:p>
    <w:p>
      <w:pPr>
        <w:pStyle w:val="41"/>
        <w:numPr>
          <w:ilvl w:val="0"/>
          <w:numId w:val="12"/>
        </w:numPr>
        <w:shd w:val="clear"/>
        <w:rPr>
          <w:rFonts w:ascii="宋体" w:hAnsi="宋体" w:cs="宋体"/>
          <w:color w:val="auto"/>
          <w:szCs w:val="21"/>
          <w:highlight w:val="none"/>
        </w:rPr>
      </w:pPr>
      <w:r>
        <w:rPr>
          <w:rFonts w:hint="eastAsia" w:ascii="宋体" w:hAnsi="宋体" w:cs="宋体"/>
          <w:color w:val="auto"/>
          <w:szCs w:val="21"/>
          <w:highlight w:val="none"/>
        </w:rPr>
        <w:t>业绩表所列出的材料应为真实准确的，并应提供相关证明材料复印件加盖公章。请勿提供虚假、过期材料，否则将依据相关规定严肃处理。</w:t>
      </w:r>
    </w:p>
    <w:p>
      <w:pPr>
        <w:shd w:val="clear"/>
        <w:rPr>
          <w:rFonts w:ascii="宋体" w:hAnsi="宋体" w:cs="宋体"/>
          <w:color w:val="auto"/>
          <w:szCs w:val="21"/>
          <w:highlight w:val="none"/>
        </w:rPr>
      </w:pPr>
      <w:r>
        <w:rPr>
          <w:rFonts w:hint="eastAsia" w:ascii="宋体" w:hAnsi="宋体" w:cs="宋体"/>
          <w:color w:val="auto"/>
          <w:szCs w:val="21"/>
          <w:highlight w:val="none"/>
        </w:rPr>
        <w:br w:type="page"/>
      </w:r>
    </w:p>
    <w:p>
      <w:pPr>
        <w:pStyle w:val="2"/>
        <w:shd w:val="clear"/>
        <w:rPr>
          <w:color w:val="auto"/>
          <w:szCs w:val="21"/>
          <w:highlight w:val="none"/>
        </w:rPr>
        <w:sectPr>
          <w:headerReference r:id="rId11" w:type="first"/>
          <w:footerReference r:id="rId13" w:type="first"/>
          <w:headerReference r:id="rId9" w:type="default"/>
          <w:footerReference r:id="rId12" w:type="default"/>
          <w:headerReference r:id="rId10" w:type="even"/>
          <w:pgSz w:w="11906" w:h="16838"/>
          <w:pgMar w:top="1440" w:right="1800" w:bottom="1440" w:left="1800" w:header="708" w:footer="708" w:gutter="0"/>
          <w:cols w:space="708" w:num="1"/>
          <w:titlePg/>
          <w:docGrid w:type="lines" w:linePitch="360" w:charSpace="0"/>
        </w:sectPr>
      </w:pPr>
    </w:p>
    <w:p>
      <w:pPr>
        <w:pStyle w:val="6"/>
        <w:widowControl w:val="0"/>
        <w:shd w:val="clear"/>
        <w:overflowPunct w:val="0"/>
        <w:spacing w:line="240" w:lineRule="auto"/>
        <w:rPr>
          <w:rFonts w:ascii="宋体" w:hAnsi="宋体" w:cs="宋体"/>
          <w:color w:val="auto"/>
          <w:highlight w:val="none"/>
        </w:rPr>
      </w:pPr>
      <w:bookmarkStart w:id="182" w:name="_Toc4222"/>
      <w:r>
        <w:rPr>
          <w:rFonts w:hint="eastAsia" w:ascii="宋体" w:hAnsi="宋体" w:cs="宋体"/>
          <w:color w:val="auto"/>
          <w:sz w:val="21"/>
          <w:szCs w:val="21"/>
          <w:highlight w:val="none"/>
        </w:rPr>
        <w:t>附件14.联合体协议书</w:t>
      </w:r>
      <w:r>
        <w:rPr>
          <w:rFonts w:hint="eastAsia" w:ascii="宋体" w:hAnsi="宋体" w:cs="宋体"/>
          <w:color w:val="auto"/>
          <w:highlight w:val="none"/>
        </w:rPr>
        <w:t>（如有）</w:t>
      </w:r>
      <w:bookmarkEnd w:id="182"/>
    </w:p>
    <w:p>
      <w:pPr>
        <w:shd w:val="clear"/>
        <w:rPr>
          <w:rFonts w:ascii="宋体" w:hAnsi="宋体" w:cs="宋体"/>
          <w:color w:val="auto"/>
          <w:highlight w:val="none"/>
        </w:rPr>
      </w:pPr>
    </w:p>
    <w:p>
      <w:pPr>
        <w:shd w:val="clear"/>
        <w:jc w:val="center"/>
        <w:rPr>
          <w:rFonts w:ascii="宋体" w:hAnsi="宋体" w:cs="宋体"/>
          <w:color w:val="auto"/>
          <w:highlight w:val="none"/>
        </w:rPr>
      </w:pPr>
      <w:r>
        <w:rPr>
          <w:rFonts w:hint="eastAsia" w:ascii="宋体" w:hAnsi="宋体" w:cs="宋体"/>
          <w:b/>
          <w:bCs/>
          <w:color w:val="auto"/>
          <w:highlight w:val="none"/>
        </w:rPr>
        <w:t>联合体共同投标协议书</w:t>
      </w:r>
    </w:p>
    <w:p>
      <w:pPr>
        <w:shd w:val="clear"/>
        <w:jc w:val="center"/>
        <w:rPr>
          <w:rFonts w:ascii="宋体" w:hAnsi="宋体" w:cs="宋体"/>
          <w:color w:val="auto"/>
          <w:highlight w:val="none"/>
        </w:rPr>
      </w:pPr>
    </w:p>
    <w:p>
      <w:pPr>
        <w:shd w:val="clear"/>
        <w:rPr>
          <w:rFonts w:ascii="宋体" w:hAnsi="宋体" w:cs="宋体"/>
          <w:color w:val="auto"/>
          <w:szCs w:val="21"/>
          <w:highlight w:val="none"/>
        </w:rPr>
      </w:pPr>
      <w:r>
        <w:rPr>
          <w:rFonts w:hint="eastAsia" w:ascii="宋体" w:hAnsi="宋体" w:cs="宋体"/>
          <w:color w:val="auto"/>
          <w:szCs w:val="21"/>
          <w:highlight w:val="none"/>
        </w:rPr>
        <w:t>立约方：（甲公司全称）</w:t>
      </w:r>
    </w:p>
    <w:p>
      <w:pPr>
        <w:shd w:val="clear"/>
        <w:rPr>
          <w:rFonts w:ascii="宋体" w:hAnsi="宋体" w:cs="宋体"/>
          <w:color w:val="auto"/>
          <w:szCs w:val="21"/>
          <w:highlight w:val="none"/>
        </w:rPr>
      </w:pPr>
      <w:r>
        <w:rPr>
          <w:rFonts w:hint="eastAsia" w:ascii="宋体" w:hAnsi="宋体" w:cs="宋体"/>
          <w:color w:val="auto"/>
          <w:szCs w:val="21"/>
          <w:highlight w:val="none"/>
        </w:rPr>
        <w:t>（乙公司全称）</w:t>
      </w:r>
    </w:p>
    <w:p>
      <w:pPr>
        <w:shd w:val="clear"/>
        <w:rPr>
          <w:rFonts w:ascii="宋体" w:hAnsi="宋体" w:cs="宋体"/>
          <w:color w:val="auto"/>
          <w:szCs w:val="21"/>
          <w:highlight w:val="none"/>
        </w:rPr>
      </w:pPr>
      <w:r>
        <w:rPr>
          <w:rFonts w:hint="eastAsia" w:ascii="宋体" w:hAnsi="宋体" w:cs="宋体"/>
          <w:color w:val="auto"/>
          <w:szCs w:val="21"/>
          <w:highlight w:val="none"/>
        </w:rPr>
        <w:t>（……公司全称）</w:t>
      </w:r>
    </w:p>
    <w:p>
      <w:pPr>
        <w:shd w:val="clear"/>
        <w:rPr>
          <w:rFonts w:ascii="宋体" w:hAnsi="宋体" w:cs="宋体"/>
          <w:color w:val="auto"/>
          <w:szCs w:val="21"/>
          <w:highlight w:val="none"/>
        </w:rPr>
      </w:pPr>
      <w:r>
        <w:rPr>
          <w:rFonts w:hint="eastAsia" w:ascii="宋体" w:hAnsi="宋体" w:cs="宋体"/>
          <w:color w:val="auto"/>
          <w:szCs w:val="21"/>
          <w:highlight w:val="none"/>
          <w:u w:val="single"/>
        </w:rPr>
        <w:t>（甲公司全称）、（乙公司全称）、（……公司全称）</w:t>
      </w:r>
      <w:r>
        <w:rPr>
          <w:rFonts w:hint="eastAsia" w:ascii="宋体" w:hAnsi="宋体" w:cs="宋体"/>
          <w:color w:val="auto"/>
          <w:szCs w:val="21"/>
          <w:highlight w:val="none"/>
        </w:rPr>
        <w:t>自愿组成联合体，以一个投标人的身份共同参加</w:t>
      </w:r>
      <w:r>
        <w:rPr>
          <w:rFonts w:hint="eastAsia" w:ascii="宋体" w:hAnsi="宋体" w:cs="宋体"/>
          <w:color w:val="auto"/>
          <w:szCs w:val="21"/>
          <w:highlight w:val="none"/>
          <w:u w:val="single"/>
        </w:rPr>
        <w:t>（xxxx项目） （项目编号：xxxx）</w:t>
      </w:r>
      <w:r>
        <w:rPr>
          <w:rFonts w:hint="eastAsia" w:ascii="宋体" w:hAnsi="宋体" w:cs="宋体"/>
          <w:color w:val="auto"/>
          <w:szCs w:val="21"/>
          <w:highlight w:val="none"/>
        </w:rPr>
        <w:t>的招标活动。经各方充分协商一致，就项目的投标和合同实施阶段的有关事务协商一致订立协议如下：</w:t>
      </w:r>
    </w:p>
    <w:p>
      <w:pPr>
        <w:shd w:val="clear"/>
        <w:rPr>
          <w:rFonts w:ascii="宋体" w:hAnsi="宋体" w:cs="宋体"/>
          <w:color w:val="auto"/>
          <w:szCs w:val="21"/>
          <w:highlight w:val="none"/>
        </w:rPr>
      </w:pPr>
      <w:r>
        <w:rPr>
          <w:rFonts w:hint="eastAsia" w:ascii="宋体" w:hAnsi="宋体" w:cs="宋体"/>
          <w:color w:val="auto"/>
          <w:szCs w:val="21"/>
          <w:highlight w:val="none"/>
        </w:rPr>
        <w:t>一、联合体各方关系</w:t>
      </w:r>
    </w:p>
    <w:p>
      <w:pPr>
        <w:shd w:val="clear"/>
        <w:rPr>
          <w:rFonts w:ascii="宋体" w:hAnsi="宋体" w:cs="宋体"/>
          <w:color w:val="auto"/>
          <w:szCs w:val="21"/>
          <w:highlight w:val="none"/>
        </w:rPr>
      </w:pPr>
      <w:r>
        <w:rPr>
          <w:rFonts w:hint="eastAsia" w:ascii="宋体" w:hAnsi="宋体" w:cs="宋体"/>
          <w:color w:val="auto"/>
          <w:szCs w:val="21"/>
          <w:highlight w:val="none"/>
          <w:u w:val="single"/>
        </w:rPr>
        <w:t>1.（甲公司全称）、（乙公司全称）、（……公司全称）</w:t>
      </w:r>
      <w:r>
        <w:rPr>
          <w:rFonts w:hint="eastAsia" w:ascii="宋体" w:hAnsi="宋体" w:cs="宋体"/>
          <w:color w:val="auto"/>
          <w:szCs w:val="21"/>
          <w:highlight w:val="none"/>
        </w:rPr>
        <w:t>共同组成一个联合体，以一个投标人的身份共同参加本项目的投标。</w:t>
      </w:r>
      <w:r>
        <w:rPr>
          <w:rFonts w:hint="eastAsia" w:ascii="宋体" w:hAnsi="宋体" w:cs="宋体"/>
          <w:color w:val="auto"/>
          <w:szCs w:val="21"/>
          <w:highlight w:val="none"/>
          <w:u w:val="single"/>
        </w:rPr>
        <w:t>（甲公司全称）、（乙公司全称）、（……公司全称）</w:t>
      </w:r>
      <w:r>
        <w:rPr>
          <w:rFonts w:hint="eastAsia" w:ascii="宋体" w:hAnsi="宋体" w:cs="宋体"/>
          <w:color w:val="auto"/>
          <w:szCs w:val="21"/>
          <w:highlight w:val="none"/>
        </w:rPr>
        <w:t>作为联合体成员，若中标，联合体各方共同与</w:t>
      </w:r>
      <w:r>
        <w:rPr>
          <w:rFonts w:hint="eastAsia" w:ascii="宋体" w:hAnsi="宋体" w:cs="宋体"/>
          <w:color w:val="auto"/>
          <w:szCs w:val="21"/>
          <w:highlight w:val="none"/>
          <w:u w:val="single"/>
        </w:rPr>
        <w:t>（采购人）</w:t>
      </w:r>
      <w:r>
        <w:rPr>
          <w:rFonts w:hint="eastAsia" w:ascii="宋体" w:hAnsi="宋体" w:cs="宋体"/>
          <w:color w:val="auto"/>
          <w:szCs w:val="21"/>
          <w:highlight w:val="none"/>
        </w:rPr>
        <w:t>签订合同。</w:t>
      </w:r>
    </w:p>
    <w:p>
      <w:pPr>
        <w:shd w:val="clear"/>
        <w:rPr>
          <w:rFonts w:ascii="宋体" w:hAnsi="宋体" w:cs="宋体"/>
          <w:color w:val="auto"/>
          <w:szCs w:val="21"/>
          <w:highlight w:val="none"/>
        </w:rPr>
      </w:pPr>
      <w:r>
        <w:rPr>
          <w:rFonts w:hint="eastAsia" w:ascii="宋体" w:hAnsi="宋体" w:cs="宋体"/>
          <w:color w:val="auto"/>
          <w:szCs w:val="21"/>
          <w:highlight w:val="none"/>
        </w:rPr>
        <w:t>2.本次投标中，以</w:t>
      </w:r>
      <w:r>
        <w:rPr>
          <w:rFonts w:hint="eastAsia" w:ascii="宋体" w:hAnsi="宋体" w:cs="宋体"/>
          <w:color w:val="auto"/>
          <w:szCs w:val="21"/>
          <w:highlight w:val="none"/>
          <w:u w:val="single"/>
        </w:rPr>
        <w:t>（公司全称）</w:t>
      </w:r>
      <w:r>
        <w:rPr>
          <w:rFonts w:hint="eastAsia" w:ascii="宋体" w:hAnsi="宋体" w:cs="宋体"/>
          <w:color w:val="auto"/>
          <w:szCs w:val="21"/>
          <w:highlight w:val="none"/>
        </w:rPr>
        <w:t>为联合体牵头人。</w:t>
      </w:r>
    </w:p>
    <w:p>
      <w:pPr>
        <w:shd w:val="clear"/>
        <w:rPr>
          <w:rFonts w:ascii="宋体" w:hAnsi="宋体" w:cs="宋体"/>
          <w:color w:val="auto"/>
          <w:szCs w:val="21"/>
          <w:highlight w:val="none"/>
        </w:rPr>
      </w:pPr>
      <w:r>
        <w:rPr>
          <w:rFonts w:hint="eastAsia" w:ascii="宋体" w:hAnsi="宋体" w:cs="宋体"/>
          <w:color w:val="auto"/>
          <w:szCs w:val="21"/>
          <w:highlight w:val="none"/>
        </w:rPr>
        <w:t>二、联合体内部有关事项约定如下：</w:t>
      </w:r>
    </w:p>
    <w:p>
      <w:pPr>
        <w:shd w:val="clear"/>
        <w:rPr>
          <w:rFonts w:ascii="宋体" w:hAnsi="宋体" w:cs="宋体"/>
          <w:color w:val="auto"/>
          <w:szCs w:val="21"/>
          <w:highlight w:val="none"/>
        </w:rPr>
      </w:pPr>
      <w:r>
        <w:rPr>
          <w:rFonts w:hint="eastAsia" w:ascii="宋体" w:hAnsi="宋体" w:cs="宋体"/>
          <w:color w:val="auto"/>
          <w:szCs w:val="21"/>
          <w:highlight w:val="none"/>
        </w:rPr>
        <w:t>1.联合体牵头人合法代表联合体各成员，负责本项目投标文件编制和投标工作，并代表联合体成员递交和接受相关的资料、信息及指示，并处理与之有关的一切事务，负责合同实施阶段的主办、组织和协调工作。</w:t>
      </w:r>
    </w:p>
    <w:p>
      <w:pPr>
        <w:shd w:val="clear"/>
        <w:rPr>
          <w:rFonts w:ascii="宋体" w:hAnsi="宋体" w:cs="宋体"/>
          <w:color w:val="auto"/>
          <w:szCs w:val="21"/>
          <w:highlight w:val="none"/>
        </w:rPr>
      </w:pPr>
      <w:r>
        <w:rPr>
          <w:rFonts w:hint="eastAsia" w:ascii="宋体" w:hAnsi="宋体" w:cs="宋体"/>
          <w:color w:val="auto"/>
          <w:szCs w:val="21"/>
          <w:highlight w:val="none"/>
        </w:rPr>
        <w:t>2.联合体将严格按照文件的各项要求，递交投标文件，切实执行一切合同文件，共同承担合同规定的一切义务和责任，同时按照内部职责的划分，承担自身所负的责任和风险，在法律上承担连带责任。</w:t>
      </w:r>
    </w:p>
    <w:p>
      <w:pPr>
        <w:shd w:val="clear"/>
        <w:rPr>
          <w:rFonts w:ascii="宋体" w:hAnsi="宋体" w:cs="宋体"/>
          <w:color w:val="auto"/>
          <w:szCs w:val="21"/>
          <w:highlight w:val="none"/>
        </w:rPr>
      </w:pPr>
      <w:r>
        <w:rPr>
          <w:rFonts w:hint="eastAsia" w:ascii="宋体" w:hAnsi="宋体" w:cs="宋体"/>
          <w:color w:val="auto"/>
          <w:szCs w:val="21"/>
          <w:highlight w:val="none"/>
        </w:rPr>
        <w:t>3.如中标，联合体各方共同与（采购人）签订合同书，并就中标项目向采购人负有连带的和各自的法律责任；</w:t>
      </w:r>
    </w:p>
    <w:p>
      <w:pPr>
        <w:shd w:val="clear"/>
        <w:rPr>
          <w:rFonts w:ascii="宋体" w:hAnsi="宋体" w:cs="宋体"/>
          <w:color w:val="auto"/>
          <w:szCs w:val="21"/>
          <w:highlight w:val="none"/>
        </w:rPr>
      </w:pPr>
      <w:r>
        <w:rPr>
          <w:rFonts w:hint="eastAsia" w:ascii="宋体" w:hAnsi="宋体" w:cs="宋体"/>
          <w:color w:val="auto"/>
          <w:szCs w:val="21"/>
          <w:highlight w:val="none"/>
        </w:rPr>
        <w:t>4.联合体各成员单位内部的职责分工如下：</w:t>
      </w:r>
    </w:p>
    <w:p>
      <w:pPr>
        <w:shd w:val="clear"/>
        <w:rPr>
          <w:rFonts w:ascii="宋体" w:hAnsi="宋体" w:cs="宋体"/>
          <w:color w:val="auto"/>
          <w:szCs w:val="21"/>
          <w:highlight w:val="none"/>
        </w:rPr>
      </w:pPr>
      <w:r>
        <w:rPr>
          <w:rFonts w:hint="eastAsia" w:ascii="宋体" w:hAnsi="宋体" w:cs="宋体"/>
          <w:color w:val="auto"/>
          <w:szCs w:val="21"/>
          <w:highlight w:val="none"/>
        </w:rPr>
        <w:t>（1）</w:t>
      </w:r>
    </w:p>
    <w:p>
      <w:pPr>
        <w:shd w:val="clear"/>
        <w:rPr>
          <w:rFonts w:ascii="宋体" w:hAnsi="宋体" w:cs="宋体"/>
          <w:color w:val="auto"/>
          <w:highlight w:val="none"/>
        </w:rPr>
      </w:pPr>
      <w:r>
        <w:rPr>
          <w:rFonts w:hint="eastAsia" w:ascii="宋体" w:hAnsi="宋体" w:cs="宋体"/>
          <w:color w:val="auto"/>
          <w:szCs w:val="21"/>
          <w:highlight w:val="none"/>
        </w:rPr>
        <w:t>（2）</w:t>
      </w:r>
    </w:p>
    <w:p>
      <w:pPr>
        <w:shd w:val="clear"/>
        <w:rPr>
          <w:rFonts w:ascii="宋体" w:hAnsi="宋体" w:cs="宋体"/>
          <w:color w:val="auto"/>
          <w:szCs w:val="21"/>
          <w:highlight w:val="none"/>
        </w:rPr>
      </w:pPr>
      <w:r>
        <w:rPr>
          <w:rFonts w:hint="eastAsia" w:ascii="宋体" w:hAnsi="宋体" w:cs="宋体"/>
          <w:color w:val="auto"/>
          <w:szCs w:val="21"/>
          <w:highlight w:val="none"/>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pPr>
        <w:shd w:val="clear"/>
        <w:rPr>
          <w:rFonts w:ascii="宋体" w:hAnsi="宋体" w:cs="宋体"/>
          <w:color w:val="auto"/>
          <w:szCs w:val="21"/>
          <w:highlight w:val="none"/>
        </w:rPr>
      </w:pPr>
      <w:r>
        <w:rPr>
          <w:rFonts w:hint="eastAsia" w:ascii="宋体" w:hAnsi="宋体" w:cs="宋体"/>
          <w:color w:val="auto"/>
          <w:szCs w:val="21"/>
          <w:highlight w:val="none"/>
        </w:rPr>
        <w:t>四、联合体如因违约过失责任而导致采购人经济损失或被索赔时，本联合体任何一方均同意无条件优先清偿采购人的一切债务和经济赔偿。</w:t>
      </w:r>
    </w:p>
    <w:p>
      <w:pPr>
        <w:shd w:val="clear"/>
        <w:rPr>
          <w:rFonts w:ascii="宋体" w:hAnsi="宋体" w:cs="宋体"/>
          <w:color w:val="auto"/>
          <w:szCs w:val="21"/>
          <w:highlight w:val="none"/>
        </w:rPr>
      </w:pPr>
      <w:r>
        <w:rPr>
          <w:rFonts w:hint="eastAsia" w:ascii="宋体" w:hAnsi="宋体" w:cs="宋体"/>
          <w:color w:val="auto"/>
          <w:szCs w:val="21"/>
          <w:highlight w:val="none"/>
        </w:rPr>
        <w:t>五、联合体中标后，本联合体协议是合同的附件，对联合体各成员单位有合同约束力。</w:t>
      </w:r>
    </w:p>
    <w:p>
      <w:pPr>
        <w:shd w:val="clear"/>
        <w:rPr>
          <w:rFonts w:ascii="宋体" w:hAnsi="宋体" w:cs="宋体"/>
          <w:color w:val="auto"/>
          <w:szCs w:val="21"/>
          <w:highlight w:val="none"/>
        </w:rPr>
      </w:pPr>
      <w:r>
        <w:rPr>
          <w:rFonts w:hint="eastAsia" w:ascii="宋体" w:hAnsi="宋体" w:cs="宋体"/>
          <w:color w:val="auto"/>
          <w:szCs w:val="21"/>
          <w:highlight w:val="none"/>
        </w:rPr>
        <w:t>六、本协议在自签署之日起生效，投标有效期内有效，如获中标资格，本协议有效期延续至合同履行完毕之日。</w:t>
      </w:r>
    </w:p>
    <w:p>
      <w:pPr>
        <w:shd w:val="clear"/>
        <w:rPr>
          <w:rFonts w:ascii="宋体" w:hAnsi="宋体" w:cs="宋体"/>
          <w:color w:val="auto"/>
          <w:szCs w:val="21"/>
          <w:highlight w:val="none"/>
        </w:rPr>
      </w:pPr>
      <w:r>
        <w:rPr>
          <w:rFonts w:hint="eastAsia" w:ascii="宋体" w:hAnsi="宋体" w:cs="宋体"/>
          <w:color w:val="auto"/>
          <w:szCs w:val="21"/>
          <w:highlight w:val="none"/>
        </w:rPr>
        <w:t xml:space="preserve">七、本协议书一式____份，联合体成员和采购人各执一份。 </w:t>
      </w:r>
    </w:p>
    <w:p>
      <w:pPr>
        <w:shd w:val="clear"/>
        <w:rPr>
          <w:rFonts w:ascii="宋体" w:hAnsi="宋体" w:cs="宋体"/>
          <w:color w:val="auto"/>
          <w:szCs w:val="21"/>
          <w:highlight w:val="none"/>
        </w:rPr>
      </w:pPr>
    </w:p>
    <w:p>
      <w:pPr>
        <w:pStyle w:val="2"/>
        <w:shd w:val="clear"/>
        <w:rPr>
          <w:color w:val="auto"/>
          <w:sz w:val="21"/>
          <w:szCs w:val="21"/>
          <w:highlight w:val="none"/>
        </w:rPr>
      </w:pPr>
      <w:r>
        <w:rPr>
          <w:rFonts w:hint="eastAsia"/>
          <w:color w:val="auto"/>
          <w:sz w:val="21"/>
          <w:szCs w:val="21"/>
          <w:highlight w:val="none"/>
        </w:rPr>
        <w:t>注：本协议书由委托人签字的，应附法定代表人签字的授权委托书。</w:t>
      </w:r>
    </w:p>
    <w:p>
      <w:pPr>
        <w:pStyle w:val="2"/>
        <w:shd w:val="clear"/>
        <w:rPr>
          <w:color w:val="auto"/>
          <w:sz w:val="21"/>
          <w:szCs w:val="21"/>
          <w:highlight w:val="none"/>
        </w:rPr>
      </w:pPr>
      <w:r>
        <w:rPr>
          <w:rFonts w:hint="eastAsia"/>
          <w:color w:val="auto"/>
          <w:sz w:val="21"/>
          <w:szCs w:val="21"/>
          <w:highlight w:val="none"/>
        </w:rPr>
        <w:t>牵头人名称：_______________________（盖单位公章）</w:t>
      </w:r>
    </w:p>
    <w:p>
      <w:pPr>
        <w:pStyle w:val="2"/>
        <w:shd w:val="clear"/>
        <w:rPr>
          <w:color w:val="auto"/>
          <w:sz w:val="21"/>
          <w:szCs w:val="21"/>
          <w:highlight w:val="none"/>
        </w:rPr>
      </w:pPr>
      <w:r>
        <w:rPr>
          <w:rFonts w:hint="eastAsia"/>
          <w:color w:val="auto"/>
          <w:sz w:val="21"/>
          <w:szCs w:val="21"/>
          <w:highlight w:val="none"/>
        </w:rPr>
        <w:t>法定代表人或其委托代理人：_____________（签字）</w:t>
      </w:r>
    </w:p>
    <w:p>
      <w:pPr>
        <w:pStyle w:val="2"/>
        <w:shd w:val="clear"/>
        <w:rPr>
          <w:color w:val="auto"/>
          <w:sz w:val="21"/>
          <w:szCs w:val="21"/>
          <w:highlight w:val="none"/>
        </w:rPr>
      </w:pPr>
    </w:p>
    <w:p>
      <w:pPr>
        <w:pStyle w:val="2"/>
        <w:shd w:val="clear"/>
        <w:rPr>
          <w:color w:val="auto"/>
          <w:sz w:val="21"/>
          <w:szCs w:val="21"/>
          <w:highlight w:val="none"/>
        </w:rPr>
      </w:pPr>
      <w:r>
        <w:rPr>
          <w:rFonts w:hint="eastAsia"/>
          <w:color w:val="auto"/>
          <w:sz w:val="21"/>
          <w:szCs w:val="21"/>
          <w:highlight w:val="none"/>
        </w:rPr>
        <w:t>成员一名称：_______________________（盖单位公章）</w:t>
      </w:r>
    </w:p>
    <w:p>
      <w:pPr>
        <w:pStyle w:val="2"/>
        <w:shd w:val="clear"/>
        <w:rPr>
          <w:color w:val="auto"/>
          <w:sz w:val="21"/>
          <w:szCs w:val="21"/>
          <w:highlight w:val="none"/>
        </w:rPr>
      </w:pPr>
      <w:r>
        <w:rPr>
          <w:rFonts w:hint="eastAsia"/>
          <w:color w:val="auto"/>
          <w:sz w:val="21"/>
          <w:szCs w:val="21"/>
          <w:highlight w:val="none"/>
        </w:rPr>
        <w:t>法定代表人或其委托代理人：_____________（签字）</w:t>
      </w:r>
    </w:p>
    <w:p>
      <w:pPr>
        <w:pStyle w:val="2"/>
        <w:shd w:val="clear"/>
        <w:rPr>
          <w:color w:val="auto"/>
          <w:sz w:val="21"/>
          <w:szCs w:val="21"/>
          <w:highlight w:val="none"/>
        </w:rPr>
      </w:pPr>
    </w:p>
    <w:p>
      <w:pPr>
        <w:pStyle w:val="2"/>
        <w:shd w:val="clear"/>
        <w:rPr>
          <w:color w:val="auto"/>
          <w:sz w:val="21"/>
          <w:szCs w:val="21"/>
          <w:highlight w:val="none"/>
        </w:rPr>
      </w:pPr>
      <w:r>
        <w:rPr>
          <w:rFonts w:hint="eastAsia"/>
          <w:color w:val="auto"/>
          <w:sz w:val="21"/>
          <w:szCs w:val="21"/>
          <w:highlight w:val="none"/>
        </w:rPr>
        <w:t>成员二名称：_______________________（盖单位公章）</w:t>
      </w:r>
    </w:p>
    <w:p>
      <w:pPr>
        <w:pStyle w:val="2"/>
        <w:shd w:val="clear"/>
        <w:rPr>
          <w:color w:val="auto"/>
          <w:sz w:val="21"/>
          <w:szCs w:val="21"/>
          <w:highlight w:val="none"/>
        </w:rPr>
      </w:pPr>
      <w:r>
        <w:rPr>
          <w:rFonts w:hint="eastAsia"/>
          <w:color w:val="auto"/>
          <w:sz w:val="21"/>
          <w:szCs w:val="21"/>
          <w:highlight w:val="none"/>
        </w:rPr>
        <w:t>法定代表人或其委托代理人：_____________（签字）</w:t>
      </w:r>
    </w:p>
    <w:p>
      <w:pPr>
        <w:pStyle w:val="2"/>
        <w:shd w:val="clear"/>
        <w:ind w:firstLine="210" w:firstLineChars="100"/>
        <w:jc w:val="both"/>
        <w:rPr>
          <w:color w:val="auto"/>
          <w:sz w:val="21"/>
          <w:szCs w:val="21"/>
          <w:highlight w:val="none"/>
        </w:rPr>
      </w:pPr>
      <w:r>
        <w:rPr>
          <w:rFonts w:hint="eastAsia"/>
          <w:color w:val="auto"/>
          <w:sz w:val="21"/>
          <w:szCs w:val="21"/>
          <w:highlight w:val="none"/>
        </w:rPr>
        <w:t>……</w:t>
      </w:r>
    </w:p>
    <w:p>
      <w:pPr>
        <w:pStyle w:val="2"/>
        <w:shd w:val="clear"/>
        <w:rPr>
          <w:color w:val="auto"/>
          <w:highlight w:val="none"/>
          <w:lang w:val="en-US"/>
        </w:rPr>
        <w:sectPr>
          <w:pgSz w:w="11906" w:h="16838"/>
          <w:pgMar w:top="1440" w:right="1800" w:bottom="1440" w:left="1800" w:header="708" w:footer="708" w:gutter="0"/>
          <w:cols w:space="708" w:num="1"/>
          <w:titlePg/>
          <w:docGrid w:type="lines" w:linePitch="360" w:charSpace="0"/>
        </w:sectPr>
      </w:pPr>
      <w:r>
        <w:rPr>
          <w:rFonts w:hint="eastAsia"/>
          <w:color w:val="auto"/>
          <w:sz w:val="21"/>
          <w:szCs w:val="21"/>
          <w:highlight w:val="none"/>
        </w:rPr>
        <w:t xml:space="preserve">        年     月     日</w:t>
      </w:r>
    </w:p>
    <w:p>
      <w:pPr>
        <w:pStyle w:val="2"/>
        <w:shd w:val="clear"/>
        <w:rPr>
          <w:color w:val="auto"/>
          <w:highlight w:val="none"/>
        </w:rPr>
      </w:pPr>
    </w:p>
    <w:p>
      <w:pPr>
        <w:pStyle w:val="4"/>
        <w:shd w:val="clear"/>
        <w:spacing w:before="0" w:after="0" w:line="360" w:lineRule="auto"/>
        <w:jc w:val="center"/>
        <w:rPr>
          <w:rFonts w:ascii="宋体" w:hAnsi="宋体" w:eastAsia="宋体" w:cs="宋体"/>
          <w:color w:val="auto"/>
          <w:sz w:val="72"/>
          <w:szCs w:val="72"/>
          <w:highlight w:val="none"/>
        </w:rPr>
      </w:pPr>
      <w:bookmarkStart w:id="183" w:name="_Toc17454"/>
      <w:r>
        <w:rPr>
          <w:rFonts w:hint="eastAsia" w:ascii="宋体" w:hAnsi="宋体" w:eastAsia="宋体" w:cs="宋体"/>
          <w:color w:val="auto"/>
          <w:sz w:val="72"/>
          <w:szCs w:val="72"/>
          <w:highlight w:val="none"/>
        </w:rPr>
        <w:t>技术文件</w:t>
      </w:r>
      <w:bookmarkEnd w:id="183"/>
    </w:p>
    <w:p>
      <w:pPr>
        <w:shd w:val="clear"/>
        <w:jc w:val="center"/>
        <w:rPr>
          <w:rFonts w:ascii="宋体" w:hAnsi="宋体" w:cs="宋体"/>
          <w:color w:val="auto"/>
          <w:sz w:val="72"/>
          <w:szCs w:val="72"/>
          <w:highlight w:val="none"/>
        </w:rPr>
      </w:pPr>
      <w:r>
        <w:rPr>
          <w:rFonts w:hint="eastAsia" w:ascii="宋体" w:hAnsi="宋体" w:cs="宋体"/>
          <w:color w:val="auto"/>
          <w:sz w:val="72"/>
          <w:szCs w:val="72"/>
          <w:highlight w:val="none"/>
        </w:rPr>
        <w:t>（单独装订成册）</w:t>
      </w:r>
    </w:p>
    <w:p>
      <w:pPr>
        <w:shd w:val="clear"/>
        <w:rPr>
          <w:rFonts w:ascii="宋体" w:hAnsi="宋体" w:cs="宋体"/>
          <w:color w:val="auto"/>
          <w:highlight w:val="none"/>
        </w:rPr>
      </w:pPr>
    </w:p>
    <w:p>
      <w:pPr>
        <w:pStyle w:val="2"/>
        <w:shd w:val="clear"/>
        <w:rPr>
          <w:color w:val="auto"/>
          <w:highlight w:val="none"/>
        </w:rPr>
      </w:pPr>
    </w:p>
    <w:p>
      <w:pPr>
        <w:pStyle w:val="27"/>
        <w:shd w:val="clear"/>
        <w:ind w:firstLine="240"/>
        <w:rPr>
          <w:color w:val="auto"/>
          <w:highlight w:val="none"/>
        </w:rPr>
      </w:pPr>
    </w:p>
    <w:p>
      <w:pPr>
        <w:shd w:val="clear"/>
        <w:rPr>
          <w:rFonts w:ascii="宋体" w:hAnsi="宋体" w:cs="宋体"/>
          <w:b/>
          <w:bCs/>
          <w:color w:val="auto"/>
          <w:spacing w:val="7"/>
          <w:w w:val="83"/>
          <w:sz w:val="32"/>
          <w:szCs w:val="32"/>
          <w:highlight w:val="none"/>
        </w:rPr>
      </w:pPr>
      <w:r>
        <w:rPr>
          <w:rFonts w:hint="eastAsia" w:ascii="宋体" w:hAnsi="宋体" w:cs="宋体"/>
          <w:b/>
          <w:bCs/>
          <w:color w:val="auto"/>
          <w:spacing w:val="0"/>
          <w:kern w:val="0"/>
          <w:sz w:val="32"/>
          <w:szCs w:val="32"/>
          <w:highlight w:val="none"/>
          <w:fitText w:val="1600" w:id="10"/>
        </w:rPr>
        <w:t>项目名称：</w:t>
      </w:r>
    </w:p>
    <w:p>
      <w:pPr>
        <w:shd w:val="clear"/>
        <w:rPr>
          <w:rFonts w:ascii="宋体" w:hAnsi="宋体" w:cs="宋体"/>
          <w:b/>
          <w:bCs/>
          <w:color w:val="auto"/>
          <w:spacing w:val="7"/>
          <w:w w:val="83"/>
          <w:sz w:val="32"/>
          <w:szCs w:val="32"/>
          <w:highlight w:val="none"/>
        </w:rPr>
      </w:pPr>
      <w:r>
        <w:rPr>
          <w:rFonts w:hint="eastAsia" w:ascii="宋体" w:hAnsi="宋体" w:cs="宋体"/>
          <w:b/>
          <w:bCs/>
          <w:color w:val="auto"/>
          <w:spacing w:val="0"/>
          <w:kern w:val="0"/>
          <w:sz w:val="32"/>
          <w:szCs w:val="32"/>
          <w:highlight w:val="none"/>
          <w:fitText w:val="1600" w:id="11"/>
        </w:rPr>
        <w:t>项目编号：</w:t>
      </w:r>
    </w:p>
    <w:p>
      <w:pPr>
        <w:pStyle w:val="2"/>
        <w:shd w:val="clear"/>
        <w:ind w:left="0"/>
        <w:rPr>
          <w:b/>
          <w:color w:val="auto"/>
          <w:spacing w:val="1280"/>
          <w:sz w:val="32"/>
          <w:szCs w:val="32"/>
          <w:highlight w:val="none"/>
        </w:rPr>
      </w:pPr>
      <w:r>
        <w:rPr>
          <w:rFonts w:hint="eastAsia"/>
          <w:b/>
          <w:color w:val="auto"/>
          <w:spacing w:val="160"/>
          <w:kern w:val="0"/>
          <w:sz w:val="32"/>
          <w:szCs w:val="32"/>
          <w:highlight w:val="none"/>
          <w:fitText w:val="1600" w:id="12"/>
          <w:lang w:val="en-US" w:bidi="ar-SA"/>
        </w:rPr>
        <w:t>包组</w:t>
      </w:r>
      <w:r>
        <w:rPr>
          <w:rFonts w:hint="eastAsia"/>
          <w:b/>
          <w:color w:val="auto"/>
          <w:spacing w:val="0"/>
          <w:kern w:val="0"/>
          <w:sz w:val="32"/>
          <w:szCs w:val="32"/>
          <w:highlight w:val="none"/>
          <w:fitText w:val="1600" w:id="12"/>
          <w:lang w:val="en-US" w:bidi="ar-SA"/>
        </w:rPr>
        <w:t>号</w:t>
      </w:r>
      <w:r>
        <w:rPr>
          <w:rFonts w:hint="eastAsia"/>
          <w:b/>
          <w:color w:val="auto"/>
          <w:spacing w:val="106"/>
          <w:sz w:val="32"/>
          <w:szCs w:val="32"/>
          <w:highlight w:val="none"/>
          <w:lang w:val="en-US" w:bidi="ar-SA"/>
        </w:rPr>
        <w:t>（如有）：</w:t>
      </w:r>
    </w:p>
    <w:p>
      <w:pPr>
        <w:shd w:val="clear"/>
        <w:rPr>
          <w:rFonts w:ascii="宋体" w:hAnsi="宋体" w:cs="宋体"/>
          <w:b/>
          <w:color w:val="auto"/>
          <w:sz w:val="32"/>
          <w:szCs w:val="32"/>
          <w:highlight w:val="none"/>
        </w:rPr>
      </w:pPr>
      <w:r>
        <w:rPr>
          <w:rFonts w:hint="eastAsia" w:ascii="宋体" w:hAnsi="宋体" w:cs="宋体"/>
          <w:b/>
          <w:color w:val="auto"/>
          <w:spacing w:val="0"/>
          <w:w w:val="83"/>
          <w:kern w:val="0"/>
          <w:sz w:val="32"/>
          <w:szCs w:val="32"/>
          <w:highlight w:val="none"/>
          <w:fitText w:val="1600" w:id="13"/>
        </w:rPr>
        <w:t>投标人名称：</w:t>
      </w:r>
    </w:p>
    <w:p>
      <w:pPr>
        <w:shd w:val="clear"/>
        <w:rPr>
          <w:rFonts w:ascii="宋体" w:hAnsi="宋体" w:cs="宋体"/>
          <w:b/>
          <w:color w:val="auto"/>
          <w:w w:val="91"/>
          <w:sz w:val="32"/>
          <w:szCs w:val="32"/>
          <w:highlight w:val="none"/>
        </w:rPr>
      </w:pPr>
      <w:r>
        <w:rPr>
          <w:rFonts w:hint="eastAsia" w:ascii="宋体" w:hAnsi="宋体" w:cs="宋体"/>
          <w:b/>
          <w:color w:val="auto"/>
          <w:spacing w:val="5"/>
          <w:kern w:val="0"/>
          <w:sz w:val="32"/>
          <w:szCs w:val="32"/>
          <w:highlight w:val="none"/>
          <w:fitText w:val="1600" w:id="14"/>
        </w:rPr>
        <w:t xml:space="preserve">日   </w:t>
      </w:r>
      <w:r>
        <w:rPr>
          <w:rFonts w:hint="eastAsia" w:ascii="宋体" w:hAnsi="宋体" w:cs="宋体"/>
          <w:b/>
          <w:color w:val="auto"/>
          <w:spacing w:val="5"/>
          <w:w w:val="91"/>
          <w:kern w:val="0"/>
          <w:sz w:val="32"/>
          <w:szCs w:val="32"/>
          <w:highlight w:val="none"/>
          <w:fitText w:val="1600" w:id="14"/>
        </w:rPr>
        <w:t xml:space="preserve"> 期</w:t>
      </w:r>
      <w:r>
        <w:rPr>
          <w:rFonts w:hint="eastAsia" w:ascii="宋体" w:hAnsi="宋体" w:cs="宋体"/>
          <w:b/>
          <w:color w:val="auto"/>
          <w:spacing w:val="4"/>
          <w:w w:val="91"/>
          <w:kern w:val="0"/>
          <w:sz w:val="32"/>
          <w:szCs w:val="32"/>
          <w:highlight w:val="none"/>
          <w:fitText w:val="1600" w:id="14"/>
        </w:rPr>
        <w:t>：</w:t>
      </w:r>
    </w:p>
    <w:p>
      <w:pPr>
        <w:shd w:val="clear"/>
        <w:rPr>
          <w:rFonts w:ascii="宋体" w:hAnsi="宋体" w:cs="宋体"/>
          <w:color w:val="auto"/>
          <w:w w:val="91"/>
          <w:szCs w:val="21"/>
          <w:highlight w:val="none"/>
        </w:rPr>
      </w:pPr>
      <w:r>
        <w:rPr>
          <w:rFonts w:hint="eastAsia" w:ascii="宋体" w:hAnsi="宋体" w:cs="宋体"/>
          <w:color w:val="auto"/>
          <w:w w:val="91"/>
          <w:szCs w:val="21"/>
          <w:highlight w:val="none"/>
          <w:fitText w:val="1600" w:id="15"/>
        </w:rPr>
        <w:br w:type="page"/>
      </w:r>
    </w:p>
    <w:p>
      <w:pPr>
        <w:pStyle w:val="6"/>
        <w:widowControl w:val="0"/>
        <w:shd w:val="clear"/>
        <w:overflowPunct w:val="0"/>
        <w:spacing w:line="240" w:lineRule="auto"/>
        <w:rPr>
          <w:rFonts w:ascii="宋体" w:hAnsi="宋体" w:cs="宋体"/>
          <w:color w:val="auto"/>
          <w:sz w:val="21"/>
          <w:szCs w:val="21"/>
          <w:highlight w:val="none"/>
        </w:rPr>
      </w:pPr>
      <w:bookmarkStart w:id="184" w:name="_Toc3704"/>
      <w:r>
        <w:rPr>
          <w:rFonts w:hint="eastAsia" w:ascii="宋体" w:hAnsi="宋体" w:cs="宋体"/>
          <w:color w:val="auto"/>
          <w:spacing w:val="695"/>
          <w:kern w:val="0"/>
          <w:sz w:val="21"/>
          <w:szCs w:val="21"/>
          <w:highlight w:val="none"/>
          <w:fitText w:val="1600" w:id="16"/>
        </w:rPr>
        <w:t>附</w:t>
      </w:r>
      <w:r>
        <w:rPr>
          <w:rFonts w:hint="eastAsia" w:ascii="宋体" w:hAnsi="宋体" w:cs="宋体"/>
          <w:color w:val="auto"/>
          <w:sz w:val="21"/>
          <w:szCs w:val="21"/>
          <w:highlight w:val="none"/>
        </w:rPr>
        <w:t>件15. 技术规格偏离表格式</w:t>
      </w:r>
      <w:bookmarkEnd w:id="184"/>
    </w:p>
    <w:p>
      <w:pPr>
        <w:shd w:val="clear"/>
        <w:jc w:val="center"/>
        <w:rPr>
          <w:rFonts w:ascii="宋体" w:hAnsi="宋体" w:cs="宋体"/>
          <w:color w:val="auto"/>
          <w:sz w:val="28"/>
          <w:szCs w:val="28"/>
          <w:highlight w:val="none"/>
        </w:rPr>
      </w:pPr>
    </w:p>
    <w:p>
      <w:pPr>
        <w:shd w:val="clear"/>
        <w:jc w:val="center"/>
        <w:rPr>
          <w:rFonts w:ascii="宋体" w:hAnsi="宋体" w:cs="宋体"/>
          <w:color w:val="auto"/>
          <w:sz w:val="28"/>
          <w:szCs w:val="28"/>
          <w:highlight w:val="none"/>
        </w:rPr>
      </w:pPr>
      <w:r>
        <w:rPr>
          <w:rFonts w:hint="eastAsia" w:ascii="宋体" w:hAnsi="宋体" w:cs="宋体"/>
          <w:color w:val="auto"/>
          <w:sz w:val="28"/>
          <w:szCs w:val="28"/>
          <w:highlight w:val="none"/>
        </w:rPr>
        <w:t>技术规格偏离表</w:t>
      </w:r>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9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服务项目名称</w:t>
            </w:r>
          </w:p>
        </w:tc>
        <w:tc>
          <w:tcPr>
            <w:tcW w:w="1370"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采购要求</w:t>
            </w:r>
          </w:p>
        </w:tc>
        <w:tc>
          <w:tcPr>
            <w:tcW w:w="1629"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投标实际响应</w:t>
            </w:r>
          </w:p>
        </w:tc>
        <w:tc>
          <w:tcPr>
            <w:tcW w:w="1239"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是否偏离</w:t>
            </w:r>
          </w:p>
        </w:tc>
        <w:tc>
          <w:tcPr>
            <w:tcW w:w="1544"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hd w:val="clear"/>
              <w:jc w:val="center"/>
              <w:rPr>
                <w:rFonts w:ascii="宋体" w:hAnsi="宋体" w:cs="宋体"/>
                <w:color w:val="auto"/>
                <w:szCs w:val="21"/>
                <w:highlight w:val="none"/>
              </w:rPr>
            </w:pPr>
          </w:p>
        </w:tc>
        <w:tc>
          <w:tcPr>
            <w:tcW w:w="1902" w:type="dxa"/>
            <w:vAlign w:val="center"/>
          </w:tcPr>
          <w:p>
            <w:pPr>
              <w:shd w:val="clear"/>
              <w:jc w:val="center"/>
              <w:rPr>
                <w:rFonts w:ascii="宋体" w:hAnsi="宋体" w:cs="宋体"/>
                <w:color w:val="auto"/>
                <w:szCs w:val="21"/>
                <w:highlight w:val="none"/>
              </w:rPr>
            </w:pPr>
          </w:p>
        </w:tc>
        <w:tc>
          <w:tcPr>
            <w:tcW w:w="1370" w:type="dxa"/>
            <w:vAlign w:val="center"/>
          </w:tcPr>
          <w:p>
            <w:pPr>
              <w:shd w:val="clear"/>
              <w:jc w:val="center"/>
              <w:rPr>
                <w:rFonts w:ascii="宋体" w:hAnsi="宋体" w:cs="宋体"/>
                <w:color w:val="auto"/>
                <w:szCs w:val="21"/>
                <w:highlight w:val="none"/>
              </w:rPr>
            </w:pPr>
          </w:p>
        </w:tc>
        <w:tc>
          <w:tcPr>
            <w:tcW w:w="1629" w:type="dxa"/>
            <w:vAlign w:val="center"/>
          </w:tcPr>
          <w:p>
            <w:pPr>
              <w:shd w:val="clear"/>
              <w:jc w:val="center"/>
              <w:rPr>
                <w:rFonts w:ascii="宋体" w:hAnsi="宋体" w:cs="宋体"/>
                <w:color w:val="auto"/>
                <w:szCs w:val="21"/>
                <w:highlight w:val="none"/>
              </w:rPr>
            </w:pPr>
          </w:p>
        </w:tc>
        <w:tc>
          <w:tcPr>
            <w:tcW w:w="1239" w:type="dxa"/>
            <w:vAlign w:val="center"/>
          </w:tcPr>
          <w:p>
            <w:pPr>
              <w:shd w:val="clear"/>
              <w:jc w:val="center"/>
              <w:rPr>
                <w:rFonts w:ascii="宋体" w:hAnsi="宋体" w:cs="宋体"/>
                <w:color w:val="auto"/>
                <w:szCs w:val="21"/>
                <w:highlight w:val="none"/>
              </w:rPr>
            </w:pPr>
          </w:p>
        </w:tc>
        <w:tc>
          <w:tcPr>
            <w:tcW w:w="154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hd w:val="clear"/>
              <w:jc w:val="center"/>
              <w:rPr>
                <w:rFonts w:ascii="宋体" w:hAnsi="宋体" w:cs="宋体"/>
                <w:color w:val="auto"/>
                <w:szCs w:val="21"/>
                <w:highlight w:val="none"/>
              </w:rPr>
            </w:pPr>
          </w:p>
        </w:tc>
        <w:tc>
          <w:tcPr>
            <w:tcW w:w="1902" w:type="dxa"/>
            <w:vAlign w:val="center"/>
          </w:tcPr>
          <w:p>
            <w:pPr>
              <w:shd w:val="clear"/>
              <w:jc w:val="center"/>
              <w:rPr>
                <w:rFonts w:ascii="宋体" w:hAnsi="宋体" w:cs="宋体"/>
                <w:color w:val="auto"/>
                <w:szCs w:val="21"/>
                <w:highlight w:val="none"/>
              </w:rPr>
            </w:pPr>
          </w:p>
        </w:tc>
        <w:tc>
          <w:tcPr>
            <w:tcW w:w="1370" w:type="dxa"/>
            <w:vAlign w:val="center"/>
          </w:tcPr>
          <w:p>
            <w:pPr>
              <w:shd w:val="clear"/>
              <w:jc w:val="center"/>
              <w:rPr>
                <w:rFonts w:ascii="宋体" w:hAnsi="宋体" w:cs="宋体"/>
                <w:color w:val="auto"/>
                <w:szCs w:val="21"/>
                <w:highlight w:val="none"/>
              </w:rPr>
            </w:pPr>
          </w:p>
        </w:tc>
        <w:tc>
          <w:tcPr>
            <w:tcW w:w="1629" w:type="dxa"/>
            <w:vAlign w:val="center"/>
          </w:tcPr>
          <w:p>
            <w:pPr>
              <w:shd w:val="clear"/>
              <w:jc w:val="center"/>
              <w:rPr>
                <w:rFonts w:ascii="宋体" w:hAnsi="宋体" w:cs="宋体"/>
                <w:color w:val="auto"/>
                <w:szCs w:val="21"/>
                <w:highlight w:val="none"/>
              </w:rPr>
            </w:pPr>
          </w:p>
        </w:tc>
        <w:tc>
          <w:tcPr>
            <w:tcW w:w="1239" w:type="dxa"/>
            <w:vAlign w:val="center"/>
          </w:tcPr>
          <w:p>
            <w:pPr>
              <w:shd w:val="clear"/>
              <w:jc w:val="center"/>
              <w:rPr>
                <w:rFonts w:ascii="宋体" w:hAnsi="宋体" w:cs="宋体"/>
                <w:color w:val="auto"/>
                <w:szCs w:val="21"/>
                <w:highlight w:val="none"/>
              </w:rPr>
            </w:pPr>
          </w:p>
        </w:tc>
        <w:tc>
          <w:tcPr>
            <w:tcW w:w="154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hd w:val="clear"/>
              <w:jc w:val="center"/>
              <w:rPr>
                <w:rFonts w:ascii="宋体" w:hAnsi="宋体" w:cs="宋体"/>
                <w:color w:val="auto"/>
                <w:szCs w:val="21"/>
                <w:highlight w:val="none"/>
              </w:rPr>
            </w:pPr>
          </w:p>
        </w:tc>
        <w:tc>
          <w:tcPr>
            <w:tcW w:w="1902" w:type="dxa"/>
            <w:vAlign w:val="center"/>
          </w:tcPr>
          <w:p>
            <w:pPr>
              <w:shd w:val="clear"/>
              <w:jc w:val="center"/>
              <w:rPr>
                <w:rFonts w:ascii="宋体" w:hAnsi="宋体" w:cs="宋体"/>
                <w:color w:val="auto"/>
                <w:szCs w:val="21"/>
                <w:highlight w:val="none"/>
              </w:rPr>
            </w:pPr>
          </w:p>
        </w:tc>
        <w:tc>
          <w:tcPr>
            <w:tcW w:w="1370" w:type="dxa"/>
            <w:vAlign w:val="center"/>
          </w:tcPr>
          <w:p>
            <w:pPr>
              <w:shd w:val="clear"/>
              <w:jc w:val="center"/>
              <w:rPr>
                <w:rFonts w:ascii="宋体" w:hAnsi="宋体" w:cs="宋体"/>
                <w:color w:val="auto"/>
                <w:szCs w:val="21"/>
                <w:highlight w:val="none"/>
              </w:rPr>
            </w:pPr>
          </w:p>
        </w:tc>
        <w:tc>
          <w:tcPr>
            <w:tcW w:w="1629" w:type="dxa"/>
            <w:vAlign w:val="center"/>
          </w:tcPr>
          <w:p>
            <w:pPr>
              <w:shd w:val="clear"/>
              <w:jc w:val="center"/>
              <w:rPr>
                <w:rFonts w:ascii="宋体" w:hAnsi="宋体" w:cs="宋体"/>
                <w:color w:val="auto"/>
                <w:szCs w:val="21"/>
                <w:highlight w:val="none"/>
              </w:rPr>
            </w:pPr>
          </w:p>
        </w:tc>
        <w:tc>
          <w:tcPr>
            <w:tcW w:w="1239" w:type="dxa"/>
            <w:vAlign w:val="center"/>
          </w:tcPr>
          <w:p>
            <w:pPr>
              <w:shd w:val="clear"/>
              <w:jc w:val="center"/>
              <w:rPr>
                <w:rFonts w:ascii="宋体" w:hAnsi="宋体" w:cs="宋体"/>
                <w:color w:val="auto"/>
                <w:szCs w:val="21"/>
                <w:highlight w:val="none"/>
              </w:rPr>
            </w:pPr>
          </w:p>
        </w:tc>
        <w:tc>
          <w:tcPr>
            <w:tcW w:w="154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hd w:val="clear"/>
              <w:jc w:val="center"/>
              <w:rPr>
                <w:rFonts w:ascii="宋体" w:hAnsi="宋体" w:cs="宋体"/>
                <w:color w:val="auto"/>
                <w:szCs w:val="21"/>
                <w:highlight w:val="none"/>
              </w:rPr>
            </w:pPr>
          </w:p>
        </w:tc>
        <w:tc>
          <w:tcPr>
            <w:tcW w:w="1902" w:type="dxa"/>
            <w:vAlign w:val="center"/>
          </w:tcPr>
          <w:p>
            <w:pPr>
              <w:shd w:val="clear"/>
              <w:jc w:val="center"/>
              <w:rPr>
                <w:rFonts w:ascii="宋体" w:hAnsi="宋体" w:cs="宋体"/>
                <w:color w:val="auto"/>
                <w:szCs w:val="21"/>
                <w:highlight w:val="none"/>
              </w:rPr>
            </w:pPr>
          </w:p>
        </w:tc>
        <w:tc>
          <w:tcPr>
            <w:tcW w:w="1370" w:type="dxa"/>
            <w:vAlign w:val="center"/>
          </w:tcPr>
          <w:p>
            <w:pPr>
              <w:shd w:val="clear"/>
              <w:jc w:val="center"/>
              <w:rPr>
                <w:rFonts w:ascii="宋体" w:hAnsi="宋体" w:cs="宋体"/>
                <w:color w:val="auto"/>
                <w:szCs w:val="21"/>
                <w:highlight w:val="none"/>
              </w:rPr>
            </w:pPr>
          </w:p>
        </w:tc>
        <w:tc>
          <w:tcPr>
            <w:tcW w:w="1629" w:type="dxa"/>
            <w:vAlign w:val="center"/>
          </w:tcPr>
          <w:p>
            <w:pPr>
              <w:shd w:val="clear"/>
              <w:jc w:val="center"/>
              <w:rPr>
                <w:rFonts w:ascii="宋体" w:hAnsi="宋体" w:cs="宋体"/>
                <w:color w:val="auto"/>
                <w:szCs w:val="21"/>
                <w:highlight w:val="none"/>
              </w:rPr>
            </w:pPr>
          </w:p>
        </w:tc>
        <w:tc>
          <w:tcPr>
            <w:tcW w:w="1239" w:type="dxa"/>
            <w:vAlign w:val="center"/>
          </w:tcPr>
          <w:p>
            <w:pPr>
              <w:shd w:val="clear"/>
              <w:jc w:val="center"/>
              <w:rPr>
                <w:rFonts w:ascii="宋体" w:hAnsi="宋体" w:cs="宋体"/>
                <w:color w:val="auto"/>
                <w:szCs w:val="21"/>
                <w:highlight w:val="none"/>
              </w:rPr>
            </w:pPr>
          </w:p>
        </w:tc>
        <w:tc>
          <w:tcPr>
            <w:tcW w:w="154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hd w:val="clear"/>
              <w:jc w:val="center"/>
              <w:rPr>
                <w:rFonts w:ascii="宋体" w:hAnsi="宋体" w:cs="宋体"/>
                <w:color w:val="auto"/>
                <w:szCs w:val="21"/>
                <w:highlight w:val="none"/>
              </w:rPr>
            </w:pPr>
          </w:p>
        </w:tc>
        <w:tc>
          <w:tcPr>
            <w:tcW w:w="1902" w:type="dxa"/>
            <w:vAlign w:val="center"/>
          </w:tcPr>
          <w:p>
            <w:pPr>
              <w:shd w:val="clear"/>
              <w:jc w:val="center"/>
              <w:rPr>
                <w:rFonts w:ascii="宋体" w:hAnsi="宋体" w:cs="宋体"/>
                <w:color w:val="auto"/>
                <w:szCs w:val="21"/>
                <w:highlight w:val="none"/>
              </w:rPr>
            </w:pPr>
          </w:p>
        </w:tc>
        <w:tc>
          <w:tcPr>
            <w:tcW w:w="1370" w:type="dxa"/>
            <w:vAlign w:val="center"/>
          </w:tcPr>
          <w:p>
            <w:pPr>
              <w:shd w:val="clear"/>
              <w:jc w:val="center"/>
              <w:rPr>
                <w:rFonts w:ascii="宋体" w:hAnsi="宋体" w:cs="宋体"/>
                <w:color w:val="auto"/>
                <w:szCs w:val="21"/>
                <w:highlight w:val="none"/>
              </w:rPr>
            </w:pPr>
          </w:p>
        </w:tc>
        <w:tc>
          <w:tcPr>
            <w:tcW w:w="1629" w:type="dxa"/>
            <w:vAlign w:val="center"/>
          </w:tcPr>
          <w:p>
            <w:pPr>
              <w:shd w:val="clear"/>
              <w:jc w:val="center"/>
              <w:rPr>
                <w:rFonts w:ascii="宋体" w:hAnsi="宋体" w:cs="宋体"/>
                <w:color w:val="auto"/>
                <w:szCs w:val="21"/>
                <w:highlight w:val="none"/>
              </w:rPr>
            </w:pPr>
          </w:p>
        </w:tc>
        <w:tc>
          <w:tcPr>
            <w:tcW w:w="1239" w:type="dxa"/>
            <w:vAlign w:val="center"/>
          </w:tcPr>
          <w:p>
            <w:pPr>
              <w:shd w:val="clear"/>
              <w:jc w:val="center"/>
              <w:rPr>
                <w:rFonts w:ascii="宋体" w:hAnsi="宋体" w:cs="宋体"/>
                <w:color w:val="auto"/>
                <w:szCs w:val="21"/>
                <w:highlight w:val="none"/>
              </w:rPr>
            </w:pPr>
          </w:p>
        </w:tc>
        <w:tc>
          <w:tcPr>
            <w:tcW w:w="154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hd w:val="clear"/>
              <w:jc w:val="center"/>
              <w:rPr>
                <w:rFonts w:ascii="宋体" w:hAnsi="宋体" w:cs="宋体"/>
                <w:color w:val="auto"/>
                <w:szCs w:val="21"/>
                <w:highlight w:val="none"/>
              </w:rPr>
            </w:pPr>
          </w:p>
        </w:tc>
        <w:tc>
          <w:tcPr>
            <w:tcW w:w="1902" w:type="dxa"/>
            <w:vAlign w:val="center"/>
          </w:tcPr>
          <w:p>
            <w:pPr>
              <w:shd w:val="clear"/>
              <w:jc w:val="center"/>
              <w:rPr>
                <w:rFonts w:ascii="宋体" w:hAnsi="宋体" w:cs="宋体"/>
                <w:color w:val="auto"/>
                <w:szCs w:val="21"/>
                <w:highlight w:val="none"/>
              </w:rPr>
            </w:pPr>
          </w:p>
        </w:tc>
        <w:tc>
          <w:tcPr>
            <w:tcW w:w="1370" w:type="dxa"/>
            <w:vAlign w:val="center"/>
          </w:tcPr>
          <w:p>
            <w:pPr>
              <w:shd w:val="clear"/>
              <w:jc w:val="center"/>
              <w:rPr>
                <w:rFonts w:ascii="宋体" w:hAnsi="宋体" w:cs="宋体"/>
                <w:color w:val="auto"/>
                <w:szCs w:val="21"/>
                <w:highlight w:val="none"/>
              </w:rPr>
            </w:pPr>
          </w:p>
        </w:tc>
        <w:tc>
          <w:tcPr>
            <w:tcW w:w="1629" w:type="dxa"/>
            <w:vAlign w:val="center"/>
          </w:tcPr>
          <w:p>
            <w:pPr>
              <w:shd w:val="clear"/>
              <w:jc w:val="center"/>
              <w:rPr>
                <w:rFonts w:ascii="宋体" w:hAnsi="宋体" w:cs="宋体"/>
                <w:color w:val="auto"/>
                <w:szCs w:val="21"/>
                <w:highlight w:val="none"/>
              </w:rPr>
            </w:pPr>
          </w:p>
        </w:tc>
        <w:tc>
          <w:tcPr>
            <w:tcW w:w="1239" w:type="dxa"/>
            <w:vAlign w:val="center"/>
          </w:tcPr>
          <w:p>
            <w:pPr>
              <w:shd w:val="clear"/>
              <w:jc w:val="center"/>
              <w:rPr>
                <w:rFonts w:ascii="宋体" w:hAnsi="宋体" w:cs="宋体"/>
                <w:color w:val="auto"/>
                <w:szCs w:val="21"/>
                <w:highlight w:val="none"/>
              </w:rPr>
            </w:pPr>
          </w:p>
        </w:tc>
        <w:tc>
          <w:tcPr>
            <w:tcW w:w="154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hd w:val="clear"/>
              <w:jc w:val="center"/>
              <w:rPr>
                <w:rFonts w:ascii="宋体" w:hAnsi="宋体" w:cs="宋体"/>
                <w:color w:val="auto"/>
                <w:szCs w:val="21"/>
                <w:highlight w:val="none"/>
              </w:rPr>
            </w:pPr>
          </w:p>
        </w:tc>
        <w:tc>
          <w:tcPr>
            <w:tcW w:w="1902" w:type="dxa"/>
            <w:vAlign w:val="center"/>
          </w:tcPr>
          <w:p>
            <w:pPr>
              <w:shd w:val="clear"/>
              <w:jc w:val="center"/>
              <w:rPr>
                <w:rFonts w:ascii="宋体" w:hAnsi="宋体" w:cs="宋体"/>
                <w:color w:val="auto"/>
                <w:szCs w:val="21"/>
                <w:highlight w:val="none"/>
              </w:rPr>
            </w:pPr>
          </w:p>
        </w:tc>
        <w:tc>
          <w:tcPr>
            <w:tcW w:w="1370" w:type="dxa"/>
            <w:vAlign w:val="center"/>
          </w:tcPr>
          <w:p>
            <w:pPr>
              <w:shd w:val="clear"/>
              <w:jc w:val="center"/>
              <w:rPr>
                <w:rFonts w:ascii="宋体" w:hAnsi="宋体" w:cs="宋体"/>
                <w:color w:val="auto"/>
                <w:szCs w:val="21"/>
                <w:highlight w:val="none"/>
              </w:rPr>
            </w:pPr>
          </w:p>
        </w:tc>
        <w:tc>
          <w:tcPr>
            <w:tcW w:w="1629" w:type="dxa"/>
            <w:vAlign w:val="center"/>
          </w:tcPr>
          <w:p>
            <w:pPr>
              <w:shd w:val="clear"/>
              <w:jc w:val="center"/>
              <w:rPr>
                <w:rFonts w:ascii="宋体" w:hAnsi="宋体" w:cs="宋体"/>
                <w:color w:val="auto"/>
                <w:szCs w:val="21"/>
                <w:highlight w:val="none"/>
              </w:rPr>
            </w:pPr>
          </w:p>
        </w:tc>
        <w:tc>
          <w:tcPr>
            <w:tcW w:w="1239" w:type="dxa"/>
            <w:vAlign w:val="center"/>
          </w:tcPr>
          <w:p>
            <w:pPr>
              <w:shd w:val="clear"/>
              <w:jc w:val="center"/>
              <w:rPr>
                <w:rFonts w:ascii="宋体" w:hAnsi="宋体" w:cs="宋体"/>
                <w:color w:val="auto"/>
                <w:szCs w:val="21"/>
                <w:highlight w:val="none"/>
              </w:rPr>
            </w:pPr>
          </w:p>
        </w:tc>
        <w:tc>
          <w:tcPr>
            <w:tcW w:w="154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hd w:val="clear"/>
              <w:jc w:val="center"/>
              <w:rPr>
                <w:rFonts w:ascii="宋体" w:hAnsi="宋体" w:cs="宋体"/>
                <w:color w:val="auto"/>
                <w:szCs w:val="21"/>
                <w:highlight w:val="none"/>
              </w:rPr>
            </w:pPr>
          </w:p>
        </w:tc>
        <w:tc>
          <w:tcPr>
            <w:tcW w:w="1902" w:type="dxa"/>
            <w:vAlign w:val="center"/>
          </w:tcPr>
          <w:p>
            <w:pPr>
              <w:shd w:val="clear"/>
              <w:jc w:val="center"/>
              <w:rPr>
                <w:rFonts w:ascii="宋体" w:hAnsi="宋体" w:cs="宋体"/>
                <w:color w:val="auto"/>
                <w:szCs w:val="21"/>
                <w:highlight w:val="none"/>
              </w:rPr>
            </w:pPr>
          </w:p>
        </w:tc>
        <w:tc>
          <w:tcPr>
            <w:tcW w:w="1370" w:type="dxa"/>
            <w:vAlign w:val="center"/>
          </w:tcPr>
          <w:p>
            <w:pPr>
              <w:shd w:val="clear"/>
              <w:jc w:val="center"/>
              <w:rPr>
                <w:rFonts w:ascii="宋体" w:hAnsi="宋体" w:cs="宋体"/>
                <w:color w:val="auto"/>
                <w:szCs w:val="21"/>
                <w:highlight w:val="none"/>
              </w:rPr>
            </w:pPr>
          </w:p>
        </w:tc>
        <w:tc>
          <w:tcPr>
            <w:tcW w:w="1629" w:type="dxa"/>
            <w:vAlign w:val="center"/>
          </w:tcPr>
          <w:p>
            <w:pPr>
              <w:shd w:val="clear"/>
              <w:jc w:val="center"/>
              <w:rPr>
                <w:rFonts w:ascii="宋体" w:hAnsi="宋体" w:cs="宋体"/>
                <w:color w:val="auto"/>
                <w:szCs w:val="21"/>
                <w:highlight w:val="none"/>
              </w:rPr>
            </w:pPr>
          </w:p>
        </w:tc>
        <w:tc>
          <w:tcPr>
            <w:tcW w:w="1239" w:type="dxa"/>
            <w:vAlign w:val="center"/>
          </w:tcPr>
          <w:p>
            <w:pPr>
              <w:shd w:val="clear"/>
              <w:jc w:val="center"/>
              <w:rPr>
                <w:rFonts w:ascii="宋体" w:hAnsi="宋体" w:cs="宋体"/>
                <w:color w:val="auto"/>
                <w:szCs w:val="21"/>
                <w:highlight w:val="none"/>
              </w:rPr>
            </w:pPr>
          </w:p>
        </w:tc>
        <w:tc>
          <w:tcPr>
            <w:tcW w:w="154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hd w:val="clear"/>
              <w:jc w:val="center"/>
              <w:rPr>
                <w:rFonts w:ascii="宋体" w:hAnsi="宋体" w:cs="宋体"/>
                <w:color w:val="auto"/>
                <w:szCs w:val="21"/>
                <w:highlight w:val="none"/>
              </w:rPr>
            </w:pPr>
          </w:p>
        </w:tc>
        <w:tc>
          <w:tcPr>
            <w:tcW w:w="1902" w:type="dxa"/>
            <w:vAlign w:val="center"/>
          </w:tcPr>
          <w:p>
            <w:pPr>
              <w:shd w:val="clear"/>
              <w:jc w:val="center"/>
              <w:rPr>
                <w:rFonts w:ascii="宋体" w:hAnsi="宋体" w:cs="宋体"/>
                <w:color w:val="auto"/>
                <w:szCs w:val="21"/>
                <w:highlight w:val="none"/>
              </w:rPr>
            </w:pPr>
          </w:p>
        </w:tc>
        <w:tc>
          <w:tcPr>
            <w:tcW w:w="1370" w:type="dxa"/>
            <w:vAlign w:val="center"/>
          </w:tcPr>
          <w:p>
            <w:pPr>
              <w:shd w:val="clear"/>
              <w:jc w:val="center"/>
              <w:rPr>
                <w:rFonts w:ascii="宋体" w:hAnsi="宋体" w:cs="宋体"/>
                <w:color w:val="auto"/>
                <w:szCs w:val="21"/>
                <w:highlight w:val="none"/>
              </w:rPr>
            </w:pPr>
          </w:p>
        </w:tc>
        <w:tc>
          <w:tcPr>
            <w:tcW w:w="1629" w:type="dxa"/>
            <w:vAlign w:val="center"/>
          </w:tcPr>
          <w:p>
            <w:pPr>
              <w:shd w:val="clear"/>
              <w:jc w:val="center"/>
              <w:rPr>
                <w:rFonts w:ascii="宋体" w:hAnsi="宋体" w:cs="宋体"/>
                <w:color w:val="auto"/>
                <w:szCs w:val="21"/>
                <w:highlight w:val="none"/>
              </w:rPr>
            </w:pPr>
          </w:p>
        </w:tc>
        <w:tc>
          <w:tcPr>
            <w:tcW w:w="1239" w:type="dxa"/>
            <w:vAlign w:val="center"/>
          </w:tcPr>
          <w:p>
            <w:pPr>
              <w:shd w:val="clear"/>
              <w:jc w:val="center"/>
              <w:rPr>
                <w:rFonts w:ascii="宋体" w:hAnsi="宋体" w:cs="宋体"/>
                <w:color w:val="auto"/>
                <w:szCs w:val="21"/>
                <w:highlight w:val="none"/>
              </w:rPr>
            </w:pPr>
          </w:p>
        </w:tc>
        <w:tc>
          <w:tcPr>
            <w:tcW w:w="1544" w:type="dxa"/>
            <w:vAlign w:val="center"/>
          </w:tcPr>
          <w:p>
            <w:pPr>
              <w:shd w:val="clea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hd w:val="clear"/>
              <w:jc w:val="center"/>
              <w:rPr>
                <w:rFonts w:ascii="宋体" w:hAnsi="宋体" w:cs="宋体"/>
                <w:color w:val="auto"/>
                <w:szCs w:val="21"/>
                <w:highlight w:val="none"/>
              </w:rPr>
            </w:pPr>
          </w:p>
        </w:tc>
        <w:tc>
          <w:tcPr>
            <w:tcW w:w="1902" w:type="dxa"/>
            <w:vAlign w:val="center"/>
          </w:tcPr>
          <w:p>
            <w:pPr>
              <w:shd w:val="clear"/>
              <w:jc w:val="center"/>
              <w:rPr>
                <w:rFonts w:ascii="宋体" w:hAnsi="宋体" w:cs="宋体"/>
                <w:color w:val="auto"/>
                <w:szCs w:val="21"/>
                <w:highlight w:val="none"/>
              </w:rPr>
            </w:pPr>
          </w:p>
        </w:tc>
        <w:tc>
          <w:tcPr>
            <w:tcW w:w="1370" w:type="dxa"/>
            <w:vAlign w:val="center"/>
          </w:tcPr>
          <w:p>
            <w:pPr>
              <w:shd w:val="clear"/>
              <w:jc w:val="center"/>
              <w:rPr>
                <w:rFonts w:ascii="宋体" w:hAnsi="宋体" w:cs="宋体"/>
                <w:color w:val="auto"/>
                <w:szCs w:val="21"/>
                <w:highlight w:val="none"/>
              </w:rPr>
            </w:pPr>
          </w:p>
        </w:tc>
        <w:tc>
          <w:tcPr>
            <w:tcW w:w="1629" w:type="dxa"/>
            <w:vAlign w:val="center"/>
          </w:tcPr>
          <w:p>
            <w:pPr>
              <w:shd w:val="clear"/>
              <w:jc w:val="center"/>
              <w:rPr>
                <w:rFonts w:ascii="宋体" w:hAnsi="宋体" w:cs="宋体"/>
                <w:color w:val="auto"/>
                <w:szCs w:val="21"/>
                <w:highlight w:val="none"/>
              </w:rPr>
            </w:pPr>
          </w:p>
        </w:tc>
        <w:tc>
          <w:tcPr>
            <w:tcW w:w="1239" w:type="dxa"/>
            <w:vAlign w:val="center"/>
          </w:tcPr>
          <w:p>
            <w:pPr>
              <w:shd w:val="clear"/>
              <w:jc w:val="center"/>
              <w:rPr>
                <w:rFonts w:ascii="宋体" w:hAnsi="宋体" w:cs="宋体"/>
                <w:color w:val="auto"/>
                <w:szCs w:val="21"/>
                <w:highlight w:val="none"/>
              </w:rPr>
            </w:pPr>
          </w:p>
        </w:tc>
        <w:tc>
          <w:tcPr>
            <w:tcW w:w="1544" w:type="dxa"/>
            <w:vAlign w:val="center"/>
          </w:tcPr>
          <w:p>
            <w:pPr>
              <w:shd w:val="clear"/>
              <w:jc w:val="center"/>
              <w:rPr>
                <w:rFonts w:ascii="宋体" w:hAnsi="宋体" w:cs="宋体"/>
                <w:color w:val="auto"/>
                <w:szCs w:val="21"/>
                <w:highlight w:val="none"/>
              </w:rPr>
            </w:pPr>
          </w:p>
        </w:tc>
      </w:tr>
    </w:tbl>
    <w:p>
      <w:pPr>
        <w:shd w:val="clear"/>
        <w:rPr>
          <w:rFonts w:ascii="宋体" w:hAnsi="宋体" w:cs="宋体"/>
          <w:color w:val="auto"/>
          <w:szCs w:val="21"/>
          <w:highlight w:val="none"/>
        </w:rPr>
      </w:pPr>
    </w:p>
    <w:p>
      <w:pPr>
        <w:shd w:val="clear"/>
        <w:rPr>
          <w:rFonts w:ascii="宋体" w:hAnsi="宋体" w:cs="宋体"/>
          <w:color w:val="auto"/>
          <w:szCs w:val="21"/>
          <w:highlight w:val="none"/>
        </w:rPr>
      </w:pPr>
      <w:r>
        <w:rPr>
          <w:rFonts w:hint="eastAsia" w:ascii="宋体" w:hAnsi="宋体" w:cs="宋体"/>
          <w:color w:val="auto"/>
          <w:szCs w:val="21"/>
          <w:highlight w:val="none"/>
        </w:rPr>
        <w:t>投标人代表签字：</w:t>
      </w:r>
    </w:p>
    <w:p>
      <w:pPr>
        <w:shd w:val="clear"/>
        <w:rPr>
          <w:rFonts w:ascii="宋体" w:hAnsi="宋体" w:cs="宋体"/>
          <w:color w:val="auto"/>
          <w:szCs w:val="21"/>
          <w:highlight w:val="none"/>
        </w:rPr>
      </w:pPr>
      <w:r>
        <w:rPr>
          <w:rFonts w:hint="eastAsia" w:ascii="宋体" w:hAnsi="宋体" w:cs="宋体"/>
          <w:color w:val="auto"/>
          <w:szCs w:val="21"/>
          <w:highlight w:val="none"/>
        </w:rPr>
        <w:t>投标人盖章：</w:t>
      </w:r>
    </w:p>
    <w:p>
      <w:pPr>
        <w:shd w:val="clear"/>
        <w:ind w:firstLine="178" w:firstLineChars="85"/>
        <w:rPr>
          <w:rFonts w:ascii="宋体" w:hAnsi="宋体" w:cs="宋体"/>
          <w:color w:val="auto"/>
          <w:szCs w:val="21"/>
          <w:highlight w:val="none"/>
        </w:rPr>
      </w:pPr>
    </w:p>
    <w:p>
      <w:pPr>
        <w:shd w:val="clear"/>
        <w:rPr>
          <w:rFonts w:ascii="宋体" w:hAnsi="宋体" w:cs="宋体"/>
          <w:color w:val="auto"/>
          <w:szCs w:val="21"/>
          <w:highlight w:val="none"/>
        </w:rPr>
      </w:pPr>
      <w:r>
        <w:rPr>
          <w:rFonts w:hint="eastAsia" w:ascii="宋体" w:hAnsi="宋体" w:cs="宋体"/>
          <w:color w:val="auto"/>
          <w:szCs w:val="21"/>
          <w:highlight w:val="none"/>
        </w:rPr>
        <w:t>注：</w:t>
      </w:r>
    </w:p>
    <w:p>
      <w:pPr>
        <w:shd w:val="clear"/>
        <w:rPr>
          <w:rFonts w:ascii="宋体" w:hAnsi="宋体" w:cs="宋体"/>
          <w:color w:val="auto"/>
          <w:szCs w:val="21"/>
          <w:highlight w:val="none"/>
        </w:rPr>
      </w:pPr>
      <w:r>
        <w:rPr>
          <w:rFonts w:hint="eastAsia" w:ascii="宋体" w:hAnsi="宋体" w:cs="宋体"/>
          <w:color w:val="auto"/>
          <w:szCs w:val="21"/>
          <w:highlight w:val="none"/>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pPr>
        <w:shd w:val="clear"/>
        <w:rPr>
          <w:rFonts w:ascii="宋体" w:hAnsi="宋体" w:cs="宋体"/>
          <w:color w:val="auto"/>
          <w:szCs w:val="21"/>
          <w:highlight w:val="none"/>
        </w:rPr>
      </w:pPr>
      <w:r>
        <w:rPr>
          <w:rFonts w:hint="eastAsia" w:ascii="宋体" w:hAnsi="宋体" w:cs="宋体"/>
          <w:color w:val="auto"/>
          <w:szCs w:val="21"/>
          <w:highlight w:val="none"/>
        </w:rPr>
        <w:t>2、不论出于何种原因此表未填写完整，投标人都被认为已清楚了解采购文件“技术需求书”的内容并对采购人所需的服务要求作全面响应，投标人必须承担完成“技术需求书”所描述内容的义务，因此对投标人投标产生负面影响的，投标人自行承担后果。</w:t>
      </w:r>
    </w:p>
    <w:p>
      <w:pPr>
        <w:shd w:val="clear"/>
        <w:rPr>
          <w:rFonts w:ascii="宋体" w:hAnsi="宋体" w:cs="宋体"/>
          <w:color w:val="auto"/>
          <w:szCs w:val="21"/>
          <w:highlight w:val="none"/>
        </w:rPr>
      </w:pPr>
      <w:r>
        <w:rPr>
          <w:rFonts w:hint="eastAsia" w:ascii="宋体" w:hAnsi="宋体" w:cs="宋体"/>
          <w:color w:val="auto"/>
          <w:szCs w:val="21"/>
          <w:highlight w:val="none"/>
        </w:rPr>
        <w:t>3、如有偏离，应在“偏离情况”栏内注明“正”、“负”或“无”，并在“说明”栏内予以说明。</w:t>
      </w:r>
    </w:p>
    <w:p>
      <w:pPr>
        <w:shd w:val="clear"/>
        <w:rPr>
          <w:rFonts w:ascii="宋体" w:hAnsi="宋体" w:cs="宋体"/>
          <w:color w:val="auto"/>
          <w:szCs w:val="21"/>
          <w:highlight w:val="none"/>
        </w:rPr>
      </w:pPr>
      <w:r>
        <w:rPr>
          <w:rFonts w:hint="eastAsia" w:ascii="宋体" w:hAnsi="宋体" w:cs="宋体"/>
          <w:color w:val="auto"/>
          <w:szCs w:val="21"/>
          <w:highlight w:val="none"/>
        </w:rPr>
        <w:t>4、如投标人差异内容较多可另附页说明。</w:t>
      </w:r>
    </w:p>
    <w:p>
      <w:pPr>
        <w:shd w:val="clear"/>
        <w:rPr>
          <w:rFonts w:ascii="宋体" w:hAnsi="宋体" w:cs="宋体"/>
          <w:color w:val="auto"/>
          <w:szCs w:val="21"/>
          <w:highlight w:val="none"/>
        </w:rPr>
      </w:pPr>
      <w:r>
        <w:rPr>
          <w:rFonts w:hint="eastAsia" w:ascii="宋体" w:hAnsi="宋体" w:cs="宋体"/>
          <w:color w:val="auto"/>
          <w:szCs w:val="21"/>
          <w:highlight w:val="none"/>
        </w:rPr>
        <w:t>5、如投标人对用户需求书商务要求的条款全部响应的，也可以在表格下面用文字总括性的说明。</w:t>
      </w:r>
    </w:p>
    <w:p>
      <w:pPr>
        <w:shd w:val="clear"/>
        <w:adjustRightInd/>
        <w:snapToGrid/>
        <w:spacing w:line="276" w:lineRule="auto"/>
        <w:rPr>
          <w:rFonts w:ascii="宋体" w:hAnsi="宋体" w:cs="宋体"/>
          <w:color w:val="auto"/>
          <w:highlight w:val="none"/>
        </w:rPr>
      </w:pPr>
    </w:p>
    <w:p>
      <w:pPr>
        <w:shd w:val="clear"/>
        <w:adjustRightInd/>
        <w:snapToGrid/>
        <w:spacing w:line="276" w:lineRule="auto"/>
        <w:rPr>
          <w:rFonts w:ascii="宋体" w:hAnsi="宋体" w:cs="宋体"/>
          <w:color w:val="auto"/>
          <w:highlight w:val="none"/>
        </w:rPr>
      </w:pPr>
    </w:p>
    <w:p>
      <w:pPr>
        <w:shd w:val="clear"/>
        <w:rPr>
          <w:rFonts w:ascii="宋体" w:hAnsi="宋体" w:cs="宋体"/>
          <w:color w:val="auto"/>
          <w:szCs w:val="21"/>
          <w:highlight w:val="none"/>
        </w:rPr>
      </w:pPr>
      <w:bookmarkStart w:id="185" w:name="_Toc17691"/>
      <w:r>
        <w:rPr>
          <w:rFonts w:hint="eastAsia" w:ascii="宋体" w:hAnsi="宋体" w:cs="宋体"/>
          <w:color w:val="auto"/>
          <w:szCs w:val="21"/>
          <w:highlight w:val="none"/>
        </w:rPr>
        <w:br w:type="page"/>
      </w:r>
    </w:p>
    <w:bookmarkEnd w:id="185"/>
    <w:p>
      <w:pPr>
        <w:pStyle w:val="6"/>
        <w:widowControl w:val="0"/>
        <w:shd w:val="clear"/>
        <w:overflowPunct w:val="0"/>
        <w:spacing w:line="240" w:lineRule="auto"/>
        <w:rPr>
          <w:rFonts w:ascii="宋体" w:hAnsi="宋体" w:cs="宋体"/>
          <w:color w:val="auto"/>
          <w:sz w:val="21"/>
          <w:szCs w:val="21"/>
          <w:highlight w:val="none"/>
        </w:rPr>
      </w:pPr>
      <w:bookmarkStart w:id="186" w:name="_Toc13819"/>
      <w:r>
        <w:rPr>
          <w:rFonts w:hint="eastAsia" w:ascii="宋体" w:hAnsi="宋体" w:cs="宋体"/>
          <w:color w:val="auto"/>
          <w:sz w:val="21"/>
          <w:szCs w:val="21"/>
          <w:highlight w:val="none"/>
        </w:rPr>
        <w:t>附件16.项目实施方案格式</w:t>
      </w:r>
      <w:bookmarkEnd w:id="186"/>
    </w:p>
    <w:p>
      <w:pPr>
        <w:shd w:val="clear"/>
        <w:jc w:val="center"/>
        <w:rPr>
          <w:rFonts w:ascii="宋体" w:hAnsi="宋体" w:cs="宋体"/>
          <w:color w:val="auto"/>
          <w:sz w:val="32"/>
          <w:szCs w:val="32"/>
          <w:highlight w:val="none"/>
        </w:rPr>
      </w:pPr>
    </w:p>
    <w:p>
      <w:pPr>
        <w:shd w:val="clear"/>
        <w:jc w:val="center"/>
        <w:rPr>
          <w:rFonts w:ascii="宋体" w:hAnsi="宋体" w:cs="宋体"/>
          <w:color w:val="auto"/>
          <w:sz w:val="32"/>
          <w:szCs w:val="32"/>
          <w:highlight w:val="none"/>
        </w:rPr>
      </w:pPr>
      <w:r>
        <w:rPr>
          <w:rFonts w:hint="eastAsia" w:ascii="宋体" w:hAnsi="宋体" w:cs="宋体"/>
          <w:color w:val="auto"/>
          <w:sz w:val="32"/>
          <w:szCs w:val="32"/>
          <w:highlight w:val="none"/>
        </w:rPr>
        <w:t>项目实施方案</w:t>
      </w:r>
    </w:p>
    <w:p>
      <w:pPr>
        <w:shd w:val="clear"/>
        <w:jc w:val="center"/>
        <w:rPr>
          <w:rFonts w:ascii="宋体" w:hAnsi="宋体" w:cs="宋体"/>
          <w:color w:val="auto"/>
          <w:sz w:val="32"/>
          <w:szCs w:val="32"/>
          <w:highlight w:val="none"/>
        </w:rPr>
      </w:pPr>
    </w:p>
    <w:p>
      <w:pPr>
        <w:shd w:val="clear"/>
        <w:ind w:left="718" w:leftChars="200" w:hanging="298" w:hangingChars="142"/>
        <w:rPr>
          <w:rFonts w:ascii="宋体" w:hAnsi="宋体" w:cs="宋体"/>
          <w:color w:val="auto"/>
          <w:szCs w:val="21"/>
          <w:highlight w:val="none"/>
        </w:rPr>
      </w:pPr>
      <w:r>
        <w:rPr>
          <w:rFonts w:hint="eastAsia" w:ascii="宋体" w:hAnsi="宋体" w:cs="宋体"/>
          <w:color w:val="auto"/>
          <w:szCs w:val="21"/>
          <w:highlight w:val="none"/>
        </w:rPr>
        <w:t>1、为完成本项目投标人临时投入的设备</w:t>
      </w:r>
    </w:p>
    <w:p>
      <w:pPr>
        <w:shd w:val="clear"/>
        <w:ind w:left="718" w:leftChars="200" w:hanging="298" w:hangingChars="142"/>
        <w:rPr>
          <w:rFonts w:ascii="宋体" w:hAnsi="宋体" w:cs="宋体"/>
          <w:color w:val="auto"/>
          <w:szCs w:val="21"/>
          <w:highlight w:val="none"/>
        </w:rPr>
      </w:pPr>
      <w:r>
        <w:rPr>
          <w:rFonts w:hint="eastAsia" w:ascii="宋体" w:hAnsi="宋体" w:cs="宋体"/>
          <w:color w:val="auto"/>
          <w:szCs w:val="21"/>
          <w:highlight w:val="none"/>
        </w:rPr>
        <w:t>2、为完成本项目投标人投入的人员以及具体工作安排</w:t>
      </w:r>
    </w:p>
    <w:p>
      <w:pPr>
        <w:shd w:val="clear"/>
        <w:ind w:left="718" w:leftChars="200" w:hanging="298" w:hangingChars="142"/>
        <w:rPr>
          <w:rFonts w:ascii="宋体" w:hAnsi="宋体" w:cs="宋体"/>
          <w:color w:val="auto"/>
          <w:szCs w:val="21"/>
          <w:highlight w:val="none"/>
        </w:rPr>
      </w:pPr>
      <w:r>
        <w:rPr>
          <w:rFonts w:hint="eastAsia" w:ascii="宋体" w:hAnsi="宋体" w:cs="宋体"/>
          <w:color w:val="auto"/>
          <w:szCs w:val="21"/>
          <w:highlight w:val="none"/>
        </w:rPr>
        <w:t>3、投标人为本项目制定的具体项目实施方案与项目实施流程</w:t>
      </w:r>
    </w:p>
    <w:p>
      <w:pPr>
        <w:shd w:val="clear"/>
        <w:ind w:left="718" w:leftChars="200" w:hanging="298" w:hangingChars="142"/>
        <w:rPr>
          <w:rFonts w:ascii="宋体" w:hAnsi="宋体" w:cs="宋体"/>
          <w:color w:val="auto"/>
          <w:szCs w:val="21"/>
          <w:highlight w:val="none"/>
        </w:rPr>
      </w:pPr>
      <w:r>
        <w:rPr>
          <w:rFonts w:hint="eastAsia" w:ascii="宋体" w:hAnsi="宋体" w:cs="宋体"/>
          <w:color w:val="auto"/>
          <w:szCs w:val="21"/>
          <w:highlight w:val="none"/>
        </w:rPr>
        <w:t>4、服务方案</w:t>
      </w:r>
    </w:p>
    <w:p>
      <w:pPr>
        <w:shd w:val="clear"/>
        <w:ind w:left="718" w:leftChars="200" w:hanging="298" w:hangingChars="142"/>
        <w:rPr>
          <w:rFonts w:ascii="宋体" w:hAnsi="宋体" w:cs="宋体"/>
          <w:color w:val="auto"/>
          <w:szCs w:val="21"/>
          <w:highlight w:val="none"/>
        </w:rPr>
      </w:pPr>
      <w:r>
        <w:rPr>
          <w:rFonts w:hint="eastAsia" w:ascii="宋体" w:hAnsi="宋体" w:cs="宋体"/>
          <w:color w:val="auto"/>
          <w:szCs w:val="21"/>
          <w:highlight w:val="none"/>
        </w:rPr>
        <w:t>5、..........</w:t>
      </w:r>
    </w:p>
    <w:p>
      <w:pPr>
        <w:shd w:val="clear"/>
        <w:ind w:left="718" w:leftChars="200" w:hanging="298" w:hangingChars="142"/>
        <w:rPr>
          <w:rFonts w:ascii="宋体" w:hAnsi="宋体" w:cs="宋体"/>
          <w:color w:val="auto"/>
          <w:szCs w:val="21"/>
          <w:highlight w:val="none"/>
        </w:rPr>
      </w:pPr>
      <w:r>
        <w:rPr>
          <w:rFonts w:hint="eastAsia" w:ascii="宋体" w:hAnsi="宋体" w:cs="宋体"/>
          <w:color w:val="auto"/>
          <w:szCs w:val="21"/>
          <w:highlight w:val="none"/>
        </w:rPr>
        <w:t>自行编写。</w:t>
      </w:r>
    </w:p>
    <w:p>
      <w:pPr>
        <w:shd w:val="clear"/>
        <w:ind w:left="718" w:leftChars="200" w:hanging="298" w:hangingChars="142"/>
        <w:rPr>
          <w:rFonts w:ascii="宋体" w:hAnsi="宋体" w:cs="宋体"/>
          <w:color w:val="auto"/>
          <w:szCs w:val="21"/>
          <w:highlight w:val="none"/>
        </w:rPr>
      </w:pPr>
    </w:p>
    <w:p>
      <w:pPr>
        <w:shd w:val="clear"/>
        <w:ind w:left="718" w:leftChars="200" w:hanging="298" w:hangingChars="142"/>
        <w:rPr>
          <w:rFonts w:ascii="宋体" w:hAnsi="宋体" w:cs="宋体"/>
          <w:color w:val="auto"/>
          <w:szCs w:val="21"/>
          <w:highlight w:val="none"/>
        </w:rPr>
      </w:pPr>
    </w:p>
    <w:p>
      <w:pPr>
        <w:shd w:val="clear"/>
        <w:ind w:left="718" w:leftChars="200" w:hanging="298" w:hangingChars="142"/>
        <w:rPr>
          <w:rFonts w:ascii="宋体" w:hAnsi="宋体" w:cs="宋体"/>
          <w:color w:val="auto"/>
          <w:szCs w:val="21"/>
          <w:highlight w:val="none"/>
        </w:rPr>
      </w:pPr>
      <w:r>
        <w:rPr>
          <w:rFonts w:hint="eastAsia" w:ascii="宋体" w:hAnsi="宋体" w:cs="宋体"/>
          <w:color w:val="auto"/>
          <w:szCs w:val="21"/>
          <w:highlight w:val="none"/>
        </w:rPr>
        <w:br w:type="page"/>
      </w:r>
    </w:p>
    <w:p>
      <w:pPr>
        <w:pStyle w:val="6"/>
        <w:widowControl w:val="0"/>
        <w:shd w:val="clear"/>
        <w:overflowPunct w:val="0"/>
        <w:spacing w:line="240" w:lineRule="auto"/>
        <w:rPr>
          <w:rFonts w:ascii="宋体" w:hAnsi="宋体" w:cs="宋体"/>
          <w:color w:val="auto"/>
          <w:sz w:val="21"/>
          <w:szCs w:val="21"/>
          <w:highlight w:val="none"/>
        </w:rPr>
      </w:pPr>
      <w:bookmarkStart w:id="187" w:name="_Toc23846"/>
      <w:r>
        <w:rPr>
          <w:rFonts w:hint="eastAsia" w:ascii="宋体" w:hAnsi="宋体" w:cs="宋体"/>
          <w:color w:val="auto"/>
          <w:sz w:val="21"/>
          <w:szCs w:val="21"/>
          <w:highlight w:val="none"/>
        </w:rPr>
        <w:t>附件17.实施本项目的有关人员资料表格式</w:t>
      </w:r>
      <w:bookmarkEnd w:id="187"/>
    </w:p>
    <w:p>
      <w:pPr>
        <w:shd w:val="clear"/>
        <w:jc w:val="center"/>
        <w:rPr>
          <w:rFonts w:ascii="宋体" w:hAnsi="宋体" w:cs="宋体"/>
          <w:color w:val="auto"/>
          <w:szCs w:val="21"/>
          <w:highlight w:val="none"/>
        </w:rPr>
      </w:pPr>
    </w:p>
    <w:p>
      <w:pPr>
        <w:shd w:val="clear"/>
        <w:jc w:val="center"/>
        <w:rPr>
          <w:rFonts w:ascii="宋体" w:hAnsi="宋体" w:cs="宋体"/>
          <w:color w:val="auto"/>
          <w:sz w:val="32"/>
          <w:szCs w:val="32"/>
          <w:highlight w:val="none"/>
        </w:rPr>
      </w:pPr>
      <w:r>
        <w:rPr>
          <w:rFonts w:hint="eastAsia" w:ascii="宋体" w:hAnsi="宋体" w:cs="宋体"/>
          <w:color w:val="auto"/>
          <w:sz w:val="32"/>
          <w:szCs w:val="32"/>
          <w:highlight w:val="none"/>
        </w:rPr>
        <w:t>实施本项目的有关人员资料表</w:t>
      </w:r>
    </w:p>
    <w:tbl>
      <w:tblPr>
        <w:tblStyle w:val="30"/>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861"/>
        <w:gridCol w:w="702"/>
        <w:gridCol w:w="702"/>
        <w:gridCol w:w="1164"/>
        <w:gridCol w:w="818"/>
        <w:gridCol w:w="116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861"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本项目拟任岗位</w:t>
            </w:r>
          </w:p>
        </w:tc>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性别</w:t>
            </w:r>
          </w:p>
        </w:tc>
        <w:tc>
          <w:tcPr>
            <w:tcW w:w="702"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164"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818"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专 业</w:t>
            </w:r>
          </w:p>
        </w:tc>
        <w:tc>
          <w:tcPr>
            <w:tcW w:w="1165" w:type="dxa"/>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资质证书</w:t>
            </w:r>
          </w:p>
        </w:tc>
        <w:tc>
          <w:tcPr>
            <w:tcW w:w="703" w:type="dxa"/>
            <w:tcBorders>
              <w:right w:val="single" w:color="auto" w:sz="6"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1861"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1164" w:type="dxa"/>
            <w:vAlign w:val="center"/>
          </w:tcPr>
          <w:p>
            <w:pPr>
              <w:shd w:val="clear"/>
              <w:spacing w:line="288" w:lineRule="auto"/>
              <w:jc w:val="center"/>
              <w:rPr>
                <w:rFonts w:ascii="宋体" w:hAnsi="宋体" w:cs="宋体"/>
                <w:color w:val="auto"/>
                <w:szCs w:val="21"/>
                <w:highlight w:val="none"/>
              </w:rPr>
            </w:pPr>
          </w:p>
        </w:tc>
        <w:tc>
          <w:tcPr>
            <w:tcW w:w="818" w:type="dxa"/>
            <w:vAlign w:val="center"/>
          </w:tcPr>
          <w:p>
            <w:pPr>
              <w:shd w:val="clear"/>
              <w:spacing w:line="288" w:lineRule="auto"/>
              <w:jc w:val="center"/>
              <w:rPr>
                <w:rFonts w:ascii="宋体" w:hAnsi="宋体" w:cs="宋体"/>
                <w:color w:val="auto"/>
                <w:szCs w:val="21"/>
                <w:highlight w:val="none"/>
              </w:rPr>
            </w:pPr>
          </w:p>
        </w:tc>
        <w:tc>
          <w:tcPr>
            <w:tcW w:w="1165" w:type="dxa"/>
            <w:vAlign w:val="center"/>
          </w:tcPr>
          <w:p>
            <w:pPr>
              <w:shd w:val="clear"/>
              <w:spacing w:line="288" w:lineRule="auto"/>
              <w:jc w:val="center"/>
              <w:rPr>
                <w:rFonts w:ascii="宋体" w:hAnsi="宋体" w:cs="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1861"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1164" w:type="dxa"/>
            <w:vAlign w:val="center"/>
          </w:tcPr>
          <w:p>
            <w:pPr>
              <w:shd w:val="clear"/>
              <w:spacing w:line="288" w:lineRule="auto"/>
              <w:jc w:val="center"/>
              <w:rPr>
                <w:rFonts w:ascii="宋体" w:hAnsi="宋体" w:cs="宋体"/>
                <w:color w:val="auto"/>
                <w:szCs w:val="21"/>
                <w:highlight w:val="none"/>
              </w:rPr>
            </w:pPr>
          </w:p>
        </w:tc>
        <w:tc>
          <w:tcPr>
            <w:tcW w:w="818" w:type="dxa"/>
            <w:vAlign w:val="center"/>
          </w:tcPr>
          <w:p>
            <w:pPr>
              <w:shd w:val="clear"/>
              <w:spacing w:line="288" w:lineRule="auto"/>
              <w:jc w:val="center"/>
              <w:rPr>
                <w:rFonts w:ascii="宋体" w:hAnsi="宋体" w:cs="宋体"/>
                <w:color w:val="auto"/>
                <w:szCs w:val="21"/>
                <w:highlight w:val="none"/>
              </w:rPr>
            </w:pPr>
          </w:p>
        </w:tc>
        <w:tc>
          <w:tcPr>
            <w:tcW w:w="1165" w:type="dxa"/>
            <w:vAlign w:val="center"/>
          </w:tcPr>
          <w:p>
            <w:pPr>
              <w:shd w:val="clear"/>
              <w:spacing w:line="288" w:lineRule="auto"/>
              <w:jc w:val="center"/>
              <w:rPr>
                <w:rFonts w:ascii="宋体" w:hAnsi="宋体" w:cs="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1861"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1164" w:type="dxa"/>
            <w:vAlign w:val="center"/>
          </w:tcPr>
          <w:p>
            <w:pPr>
              <w:shd w:val="clear"/>
              <w:spacing w:line="288" w:lineRule="auto"/>
              <w:jc w:val="center"/>
              <w:rPr>
                <w:rFonts w:ascii="宋体" w:hAnsi="宋体" w:cs="宋体"/>
                <w:color w:val="auto"/>
                <w:szCs w:val="21"/>
                <w:highlight w:val="none"/>
              </w:rPr>
            </w:pPr>
          </w:p>
        </w:tc>
        <w:tc>
          <w:tcPr>
            <w:tcW w:w="818" w:type="dxa"/>
            <w:vAlign w:val="center"/>
          </w:tcPr>
          <w:p>
            <w:pPr>
              <w:shd w:val="clear"/>
              <w:spacing w:line="288" w:lineRule="auto"/>
              <w:jc w:val="center"/>
              <w:rPr>
                <w:rFonts w:ascii="宋体" w:hAnsi="宋体" w:cs="宋体"/>
                <w:color w:val="auto"/>
                <w:szCs w:val="21"/>
                <w:highlight w:val="none"/>
              </w:rPr>
            </w:pPr>
          </w:p>
        </w:tc>
        <w:tc>
          <w:tcPr>
            <w:tcW w:w="1165" w:type="dxa"/>
            <w:vAlign w:val="center"/>
          </w:tcPr>
          <w:p>
            <w:pPr>
              <w:shd w:val="clear"/>
              <w:spacing w:line="288" w:lineRule="auto"/>
              <w:jc w:val="center"/>
              <w:rPr>
                <w:rFonts w:ascii="宋体" w:hAnsi="宋体" w:cs="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1861"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1164" w:type="dxa"/>
            <w:vAlign w:val="center"/>
          </w:tcPr>
          <w:p>
            <w:pPr>
              <w:shd w:val="clear"/>
              <w:spacing w:line="288" w:lineRule="auto"/>
              <w:jc w:val="center"/>
              <w:rPr>
                <w:rFonts w:ascii="宋体" w:hAnsi="宋体" w:cs="宋体"/>
                <w:color w:val="auto"/>
                <w:szCs w:val="21"/>
                <w:highlight w:val="none"/>
              </w:rPr>
            </w:pPr>
          </w:p>
        </w:tc>
        <w:tc>
          <w:tcPr>
            <w:tcW w:w="818" w:type="dxa"/>
            <w:vAlign w:val="center"/>
          </w:tcPr>
          <w:p>
            <w:pPr>
              <w:shd w:val="clear"/>
              <w:spacing w:line="288" w:lineRule="auto"/>
              <w:jc w:val="center"/>
              <w:rPr>
                <w:rFonts w:ascii="宋体" w:hAnsi="宋体" w:cs="宋体"/>
                <w:color w:val="auto"/>
                <w:szCs w:val="21"/>
                <w:highlight w:val="none"/>
              </w:rPr>
            </w:pPr>
          </w:p>
        </w:tc>
        <w:tc>
          <w:tcPr>
            <w:tcW w:w="1165" w:type="dxa"/>
            <w:vAlign w:val="center"/>
          </w:tcPr>
          <w:p>
            <w:pPr>
              <w:shd w:val="clear"/>
              <w:spacing w:line="288" w:lineRule="auto"/>
              <w:jc w:val="center"/>
              <w:rPr>
                <w:rFonts w:ascii="宋体" w:hAnsi="宋体" w:cs="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1861"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1164" w:type="dxa"/>
            <w:vAlign w:val="center"/>
          </w:tcPr>
          <w:p>
            <w:pPr>
              <w:shd w:val="clear"/>
              <w:spacing w:line="288" w:lineRule="auto"/>
              <w:jc w:val="center"/>
              <w:rPr>
                <w:rFonts w:ascii="宋体" w:hAnsi="宋体" w:cs="宋体"/>
                <w:color w:val="auto"/>
                <w:szCs w:val="21"/>
                <w:highlight w:val="none"/>
              </w:rPr>
            </w:pPr>
          </w:p>
        </w:tc>
        <w:tc>
          <w:tcPr>
            <w:tcW w:w="818" w:type="dxa"/>
            <w:vAlign w:val="center"/>
          </w:tcPr>
          <w:p>
            <w:pPr>
              <w:shd w:val="clear"/>
              <w:spacing w:line="288" w:lineRule="auto"/>
              <w:jc w:val="center"/>
              <w:rPr>
                <w:rFonts w:ascii="宋体" w:hAnsi="宋体" w:cs="宋体"/>
                <w:color w:val="auto"/>
                <w:szCs w:val="21"/>
                <w:highlight w:val="none"/>
              </w:rPr>
            </w:pPr>
          </w:p>
        </w:tc>
        <w:tc>
          <w:tcPr>
            <w:tcW w:w="1165" w:type="dxa"/>
            <w:vAlign w:val="center"/>
          </w:tcPr>
          <w:p>
            <w:pPr>
              <w:shd w:val="clear"/>
              <w:spacing w:line="288" w:lineRule="auto"/>
              <w:jc w:val="center"/>
              <w:rPr>
                <w:rFonts w:ascii="宋体" w:hAnsi="宋体" w:cs="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1861"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1164" w:type="dxa"/>
            <w:vAlign w:val="center"/>
          </w:tcPr>
          <w:p>
            <w:pPr>
              <w:shd w:val="clear"/>
              <w:spacing w:line="288" w:lineRule="auto"/>
              <w:jc w:val="center"/>
              <w:rPr>
                <w:rFonts w:ascii="宋体" w:hAnsi="宋体" w:cs="宋体"/>
                <w:color w:val="auto"/>
                <w:szCs w:val="21"/>
                <w:highlight w:val="none"/>
              </w:rPr>
            </w:pPr>
          </w:p>
        </w:tc>
        <w:tc>
          <w:tcPr>
            <w:tcW w:w="818" w:type="dxa"/>
            <w:vAlign w:val="center"/>
          </w:tcPr>
          <w:p>
            <w:pPr>
              <w:shd w:val="clear"/>
              <w:spacing w:line="288" w:lineRule="auto"/>
              <w:jc w:val="center"/>
              <w:rPr>
                <w:rFonts w:ascii="宋体" w:hAnsi="宋体" w:cs="宋体"/>
                <w:color w:val="auto"/>
                <w:szCs w:val="21"/>
                <w:highlight w:val="none"/>
              </w:rPr>
            </w:pPr>
          </w:p>
        </w:tc>
        <w:tc>
          <w:tcPr>
            <w:tcW w:w="1165" w:type="dxa"/>
            <w:vAlign w:val="center"/>
          </w:tcPr>
          <w:p>
            <w:pPr>
              <w:shd w:val="clear"/>
              <w:spacing w:line="288" w:lineRule="auto"/>
              <w:jc w:val="center"/>
              <w:rPr>
                <w:rFonts w:ascii="宋体" w:hAnsi="宋体" w:cs="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1861"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1164" w:type="dxa"/>
            <w:vAlign w:val="center"/>
          </w:tcPr>
          <w:p>
            <w:pPr>
              <w:shd w:val="clear"/>
              <w:spacing w:line="288" w:lineRule="auto"/>
              <w:jc w:val="center"/>
              <w:rPr>
                <w:rFonts w:ascii="宋体" w:hAnsi="宋体" w:cs="宋体"/>
                <w:color w:val="auto"/>
                <w:szCs w:val="21"/>
                <w:highlight w:val="none"/>
              </w:rPr>
            </w:pPr>
          </w:p>
        </w:tc>
        <w:tc>
          <w:tcPr>
            <w:tcW w:w="818" w:type="dxa"/>
            <w:vAlign w:val="center"/>
          </w:tcPr>
          <w:p>
            <w:pPr>
              <w:shd w:val="clear"/>
              <w:spacing w:line="288" w:lineRule="auto"/>
              <w:jc w:val="center"/>
              <w:rPr>
                <w:rFonts w:ascii="宋体" w:hAnsi="宋体" w:cs="宋体"/>
                <w:color w:val="auto"/>
                <w:szCs w:val="21"/>
                <w:highlight w:val="none"/>
              </w:rPr>
            </w:pPr>
          </w:p>
        </w:tc>
        <w:tc>
          <w:tcPr>
            <w:tcW w:w="1165" w:type="dxa"/>
            <w:vAlign w:val="center"/>
          </w:tcPr>
          <w:p>
            <w:pPr>
              <w:shd w:val="clear"/>
              <w:spacing w:line="288" w:lineRule="auto"/>
              <w:jc w:val="center"/>
              <w:rPr>
                <w:rFonts w:ascii="宋体" w:hAnsi="宋体" w:cs="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1861"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1164" w:type="dxa"/>
            <w:vAlign w:val="center"/>
          </w:tcPr>
          <w:p>
            <w:pPr>
              <w:shd w:val="clear"/>
              <w:spacing w:line="288" w:lineRule="auto"/>
              <w:jc w:val="center"/>
              <w:rPr>
                <w:rFonts w:ascii="宋体" w:hAnsi="宋体" w:cs="宋体"/>
                <w:color w:val="auto"/>
                <w:szCs w:val="21"/>
                <w:highlight w:val="none"/>
              </w:rPr>
            </w:pPr>
          </w:p>
        </w:tc>
        <w:tc>
          <w:tcPr>
            <w:tcW w:w="818" w:type="dxa"/>
            <w:vAlign w:val="center"/>
          </w:tcPr>
          <w:p>
            <w:pPr>
              <w:shd w:val="clear"/>
              <w:spacing w:line="288" w:lineRule="auto"/>
              <w:jc w:val="center"/>
              <w:rPr>
                <w:rFonts w:ascii="宋体" w:hAnsi="宋体" w:cs="宋体"/>
                <w:color w:val="auto"/>
                <w:szCs w:val="21"/>
                <w:highlight w:val="none"/>
              </w:rPr>
            </w:pPr>
          </w:p>
        </w:tc>
        <w:tc>
          <w:tcPr>
            <w:tcW w:w="1165" w:type="dxa"/>
            <w:vAlign w:val="center"/>
          </w:tcPr>
          <w:p>
            <w:pPr>
              <w:shd w:val="clear"/>
              <w:spacing w:line="288" w:lineRule="auto"/>
              <w:jc w:val="center"/>
              <w:rPr>
                <w:rFonts w:ascii="宋体" w:hAnsi="宋体" w:cs="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1861"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1164" w:type="dxa"/>
            <w:vAlign w:val="center"/>
          </w:tcPr>
          <w:p>
            <w:pPr>
              <w:shd w:val="clear"/>
              <w:spacing w:line="288" w:lineRule="auto"/>
              <w:jc w:val="center"/>
              <w:rPr>
                <w:rFonts w:ascii="宋体" w:hAnsi="宋体" w:cs="宋体"/>
                <w:color w:val="auto"/>
                <w:szCs w:val="21"/>
                <w:highlight w:val="none"/>
              </w:rPr>
            </w:pPr>
          </w:p>
        </w:tc>
        <w:tc>
          <w:tcPr>
            <w:tcW w:w="818" w:type="dxa"/>
            <w:vAlign w:val="center"/>
          </w:tcPr>
          <w:p>
            <w:pPr>
              <w:shd w:val="clear"/>
              <w:spacing w:line="288" w:lineRule="auto"/>
              <w:jc w:val="center"/>
              <w:rPr>
                <w:rFonts w:ascii="宋体" w:hAnsi="宋体" w:cs="宋体"/>
                <w:color w:val="auto"/>
                <w:szCs w:val="21"/>
                <w:highlight w:val="none"/>
              </w:rPr>
            </w:pPr>
          </w:p>
        </w:tc>
        <w:tc>
          <w:tcPr>
            <w:tcW w:w="1165" w:type="dxa"/>
            <w:vAlign w:val="center"/>
          </w:tcPr>
          <w:p>
            <w:pPr>
              <w:shd w:val="clear"/>
              <w:spacing w:line="288" w:lineRule="auto"/>
              <w:jc w:val="center"/>
              <w:rPr>
                <w:rFonts w:ascii="宋体" w:hAnsi="宋体" w:cs="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1861"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702" w:type="dxa"/>
            <w:vAlign w:val="center"/>
          </w:tcPr>
          <w:p>
            <w:pPr>
              <w:shd w:val="clear"/>
              <w:spacing w:line="288" w:lineRule="auto"/>
              <w:jc w:val="center"/>
              <w:rPr>
                <w:rFonts w:ascii="宋体" w:hAnsi="宋体" w:cs="宋体"/>
                <w:color w:val="auto"/>
                <w:szCs w:val="21"/>
                <w:highlight w:val="none"/>
              </w:rPr>
            </w:pPr>
          </w:p>
        </w:tc>
        <w:tc>
          <w:tcPr>
            <w:tcW w:w="1164" w:type="dxa"/>
            <w:vAlign w:val="center"/>
          </w:tcPr>
          <w:p>
            <w:pPr>
              <w:shd w:val="clear"/>
              <w:spacing w:line="288" w:lineRule="auto"/>
              <w:jc w:val="center"/>
              <w:rPr>
                <w:rFonts w:ascii="宋体" w:hAnsi="宋体" w:cs="宋体"/>
                <w:color w:val="auto"/>
                <w:szCs w:val="21"/>
                <w:highlight w:val="none"/>
              </w:rPr>
            </w:pPr>
          </w:p>
        </w:tc>
        <w:tc>
          <w:tcPr>
            <w:tcW w:w="818" w:type="dxa"/>
            <w:vAlign w:val="center"/>
          </w:tcPr>
          <w:p>
            <w:pPr>
              <w:shd w:val="clear"/>
              <w:spacing w:line="288" w:lineRule="auto"/>
              <w:jc w:val="center"/>
              <w:rPr>
                <w:rFonts w:ascii="宋体" w:hAnsi="宋体" w:cs="宋体"/>
                <w:color w:val="auto"/>
                <w:szCs w:val="21"/>
                <w:highlight w:val="none"/>
              </w:rPr>
            </w:pPr>
          </w:p>
        </w:tc>
        <w:tc>
          <w:tcPr>
            <w:tcW w:w="1165" w:type="dxa"/>
            <w:vAlign w:val="center"/>
          </w:tcPr>
          <w:p>
            <w:pPr>
              <w:shd w:val="clear"/>
              <w:spacing w:line="288" w:lineRule="auto"/>
              <w:jc w:val="center"/>
              <w:rPr>
                <w:rFonts w:ascii="宋体" w:hAnsi="宋体" w:cs="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s="宋体"/>
                <w:color w:val="auto"/>
                <w:szCs w:val="21"/>
                <w:highlight w:val="none"/>
              </w:rPr>
            </w:pPr>
          </w:p>
        </w:tc>
      </w:tr>
    </w:tbl>
    <w:p>
      <w:pPr>
        <w:shd w:val="clear"/>
        <w:ind w:firstLine="178" w:firstLineChars="85"/>
        <w:rPr>
          <w:rFonts w:ascii="宋体" w:hAnsi="宋体" w:cs="宋体"/>
          <w:color w:val="auto"/>
          <w:szCs w:val="21"/>
          <w:highlight w:val="none"/>
        </w:rPr>
      </w:pPr>
    </w:p>
    <w:p>
      <w:pPr>
        <w:shd w:val="clear"/>
        <w:ind w:firstLine="178" w:firstLineChars="85"/>
        <w:rPr>
          <w:rFonts w:ascii="宋体" w:hAnsi="宋体" w:cs="宋体"/>
          <w:color w:val="auto"/>
          <w:szCs w:val="21"/>
          <w:highlight w:val="none"/>
        </w:rPr>
      </w:pPr>
      <w:r>
        <w:rPr>
          <w:rFonts w:hint="eastAsia" w:ascii="宋体" w:hAnsi="宋体" w:cs="宋体"/>
          <w:color w:val="auto"/>
          <w:szCs w:val="21"/>
          <w:highlight w:val="none"/>
        </w:rPr>
        <w:t>附有关证明文件（复印件加盖公章）</w:t>
      </w:r>
    </w:p>
    <w:p>
      <w:pPr>
        <w:shd w:val="clear"/>
        <w:ind w:firstLine="178" w:firstLineChars="85"/>
        <w:rPr>
          <w:rFonts w:ascii="宋体" w:hAnsi="宋体" w:cs="宋体"/>
          <w:color w:val="auto"/>
          <w:szCs w:val="21"/>
          <w:highlight w:val="none"/>
        </w:rPr>
      </w:pPr>
      <w:r>
        <w:rPr>
          <w:rFonts w:hint="eastAsia" w:ascii="宋体" w:hAnsi="宋体" w:cs="宋体"/>
          <w:color w:val="auto"/>
          <w:szCs w:val="21"/>
          <w:highlight w:val="none"/>
        </w:rPr>
        <w:t>投标人代表签字：</w:t>
      </w:r>
    </w:p>
    <w:p>
      <w:pPr>
        <w:shd w:val="clear"/>
        <w:ind w:firstLine="178" w:firstLineChars="85"/>
        <w:rPr>
          <w:rFonts w:ascii="宋体" w:hAnsi="宋体" w:cs="宋体"/>
          <w:color w:val="auto"/>
          <w:szCs w:val="21"/>
          <w:highlight w:val="none"/>
        </w:rPr>
      </w:pPr>
      <w:r>
        <w:rPr>
          <w:rFonts w:hint="eastAsia" w:ascii="宋体" w:hAnsi="宋体" w:cs="宋体"/>
          <w:color w:val="auto"/>
          <w:szCs w:val="21"/>
          <w:highlight w:val="none"/>
        </w:rPr>
        <w:t>投标人盖章：</w:t>
      </w:r>
    </w:p>
    <w:p>
      <w:pPr>
        <w:shd w:val="clear"/>
        <w:rPr>
          <w:rFonts w:ascii="宋体" w:hAnsi="宋体" w:cs="宋体"/>
          <w:color w:val="auto"/>
          <w:szCs w:val="21"/>
          <w:highlight w:val="none"/>
        </w:rPr>
      </w:pPr>
      <w:r>
        <w:rPr>
          <w:rFonts w:hint="eastAsia" w:ascii="宋体" w:hAnsi="宋体" w:cs="宋体"/>
          <w:color w:val="auto"/>
          <w:szCs w:val="21"/>
          <w:highlight w:val="none"/>
        </w:rPr>
        <w:t>注：</w:t>
      </w:r>
    </w:p>
    <w:p>
      <w:pPr>
        <w:pStyle w:val="41"/>
        <w:numPr>
          <w:ilvl w:val="0"/>
          <w:numId w:val="13"/>
        </w:numPr>
        <w:shd w:val="clear"/>
        <w:ind w:firstLineChars="0"/>
        <w:rPr>
          <w:rFonts w:ascii="宋体" w:hAnsi="宋体" w:cs="宋体"/>
          <w:color w:val="auto"/>
          <w:szCs w:val="21"/>
          <w:highlight w:val="none"/>
        </w:rPr>
      </w:pPr>
      <w:r>
        <w:rPr>
          <w:rFonts w:hint="eastAsia" w:ascii="宋体" w:hAnsi="宋体" w:cs="宋体"/>
          <w:color w:val="auto"/>
          <w:szCs w:val="21"/>
          <w:highlight w:val="none"/>
        </w:rPr>
        <w:t>投标人可按项目的实际需要提供本表格。</w:t>
      </w:r>
    </w:p>
    <w:p>
      <w:pPr>
        <w:pStyle w:val="41"/>
        <w:numPr>
          <w:ilvl w:val="0"/>
          <w:numId w:val="13"/>
        </w:numPr>
        <w:shd w:val="clear"/>
        <w:ind w:firstLineChars="0"/>
        <w:rPr>
          <w:rFonts w:ascii="宋体" w:hAnsi="宋体" w:cs="宋体"/>
          <w:color w:val="auto"/>
          <w:szCs w:val="21"/>
          <w:highlight w:val="none"/>
        </w:rPr>
      </w:pPr>
      <w:r>
        <w:rPr>
          <w:rFonts w:hint="eastAsia" w:ascii="宋体" w:hAnsi="宋体" w:cs="宋体"/>
          <w:color w:val="auto"/>
          <w:szCs w:val="21"/>
          <w:highlight w:val="none"/>
        </w:rPr>
        <w:t>该表格为参考格式，投标人可按实际情况自行制订。</w:t>
      </w:r>
    </w:p>
    <w:p>
      <w:pPr>
        <w:shd w:val="clear"/>
        <w:rPr>
          <w:rFonts w:ascii="宋体" w:hAnsi="宋体" w:cs="宋体"/>
          <w:color w:val="auto"/>
          <w:szCs w:val="21"/>
          <w:highlight w:val="none"/>
        </w:rPr>
      </w:pPr>
      <w:r>
        <w:rPr>
          <w:rFonts w:hint="eastAsia" w:ascii="宋体" w:hAnsi="宋体" w:cs="宋体"/>
          <w:color w:val="auto"/>
          <w:szCs w:val="21"/>
          <w:highlight w:val="none"/>
        </w:rPr>
        <w:t>3、投标人若未提供或未填写完整则视为完全响应采购文件的人员要求，因此对投标人投标产生负面影响的，投标人自行承担后果。</w:t>
      </w:r>
    </w:p>
    <w:p>
      <w:pPr>
        <w:pStyle w:val="41"/>
        <w:numPr>
          <w:ilvl w:val="0"/>
          <w:numId w:val="13"/>
        </w:numPr>
        <w:shd w:val="clear"/>
        <w:ind w:firstLineChars="0"/>
        <w:rPr>
          <w:rFonts w:ascii="宋体" w:hAnsi="宋体" w:cs="宋体"/>
          <w:color w:val="auto"/>
          <w:szCs w:val="21"/>
          <w:highlight w:val="none"/>
        </w:rPr>
      </w:pPr>
      <w:r>
        <w:rPr>
          <w:rFonts w:hint="eastAsia" w:ascii="宋体" w:hAnsi="宋体" w:cs="宋体"/>
          <w:color w:val="auto"/>
          <w:szCs w:val="21"/>
          <w:highlight w:val="none"/>
        </w:rPr>
        <w:br w:type="page"/>
      </w:r>
    </w:p>
    <w:p>
      <w:pPr>
        <w:pStyle w:val="6"/>
        <w:widowControl w:val="0"/>
        <w:shd w:val="clear"/>
        <w:overflowPunct w:val="0"/>
        <w:spacing w:line="240" w:lineRule="auto"/>
        <w:rPr>
          <w:rFonts w:ascii="宋体" w:hAnsi="宋体" w:cs="宋体"/>
          <w:color w:val="auto"/>
          <w:highlight w:val="none"/>
        </w:rPr>
      </w:pPr>
      <w:bookmarkStart w:id="188" w:name="_Toc15162"/>
      <w:r>
        <w:rPr>
          <w:rFonts w:hint="eastAsia" w:ascii="宋体" w:hAnsi="宋体" w:cs="宋体"/>
          <w:color w:val="auto"/>
          <w:sz w:val="21"/>
          <w:szCs w:val="21"/>
          <w:highlight w:val="none"/>
        </w:rPr>
        <w:t>附件18.投标保证金汇入情况说明格式</w:t>
      </w:r>
      <w:bookmarkEnd w:id="188"/>
    </w:p>
    <w:p>
      <w:pPr>
        <w:shd w:val="clear"/>
        <w:rPr>
          <w:rFonts w:ascii="宋体" w:hAnsi="宋体" w:cs="宋体"/>
          <w:color w:val="auto"/>
          <w:highlight w:val="none"/>
        </w:rPr>
      </w:pPr>
    </w:p>
    <w:p>
      <w:pPr>
        <w:shd w:val="clear"/>
        <w:jc w:val="center"/>
        <w:rPr>
          <w:rFonts w:ascii="宋体" w:hAnsi="宋体" w:cs="宋体"/>
          <w:color w:val="auto"/>
          <w:sz w:val="28"/>
          <w:szCs w:val="28"/>
          <w:highlight w:val="none"/>
        </w:rPr>
      </w:pPr>
      <w:r>
        <w:rPr>
          <w:rFonts w:hint="eastAsia" w:ascii="宋体" w:hAnsi="宋体" w:cs="宋体"/>
          <w:color w:val="auto"/>
          <w:sz w:val="28"/>
          <w:szCs w:val="28"/>
          <w:highlight w:val="none"/>
        </w:rPr>
        <w:t>投标保证金汇入情况说明</w:t>
      </w:r>
    </w:p>
    <w:p>
      <w:pPr>
        <w:shd w:val="clear"/>
        <w:spacing w:line="480" w:lineRule="auto"/>
        <w:rPr>
          <w:rFonts w:ascii="宋体" w:hAnsi="宋体" w:cs="宋体"/>
          <w:color w:val="auto"/>
          <w:szCs w:val="21"/>
          <w:highlight w:val="none"/>
        </w:rPr>
      </w:pPr>
      <w:r>
        <w:rPr>
          <w:rFonts w:hint="eastAsia" w:ascii="宋体" w:hAnsi="宋体" w:cs="宋体"/>
          <w:color w:val="auto"/>
          <w:szCs w:val="21"/>
          <w:highlight w:val="none"/>
        </w:rPr>
        <w:t>致：xxxxxx公司：</w:t>
      </w:r>
    </w:p>
    <w:p>
      <w:pPr>
        <w:shd w:val="clea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本单位已按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项目（采购项目编号：）的采购文件要求，于年月日前以</w:t>
      </w:r>
      <w:r>
        <w:rPr>
          <w:rFonts w:hint="eastAsia" w:ascii="宋体" w:hAnsi="宋体" w:cs="宋体"/>
          <w:color w:val="auto"/>
          <w:szCs w:val="21"/>
          <w:highlight w:val="none"/>
          <w:u w:val="single"/>
        </w:rPr>
        <w:t xml:space="preserve">           （付款形式）</w:t>
      </w:r>
      <w:r>
        <w:rPr>
          <w:rFonts w:hint="eastAsia" w:ascii="宋体" w:hAnsi="宋体" w:cs="宋体"/>
          <w:color w:val="auto"/>
          <w:szCs w:val="21"/>
          <w:highlight w:val="none"/>
        </w:rPr>
        <w:t>方式汇入指定帐户（帐户名称：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，帐号：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hd w:val="clea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本单位投标保证金的汇款情况：（详见附件－投标保证金进帐单）</w:t>
      </w:r>
    </w:p>
    <w:p>
      <w:pPr>
        <w:shd w:val="clea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汇出时间：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hd w:val="clea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汇款金额：（大写）人民币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pPr>
        <w:shd w:val="clea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汇款帐户名称：</w:t>
      </w:r>
      <w:r>
        <w:rPr>
          <w:rFonts w:hint="eastAsia" w:ascii="宋体" w:hAnsi="宋体" w:cs="宋体"/>
          <w:color w:val="auto"/>
          <w:szCs w:val="21"/>
          <w:highlight w:val="none"/>
          <w:u w:val="single"/>
        </w:rPr>
        <w:t xml:space="preserve">  （必须是投标时使用的帐户名）   </w:t>
      </w:r>
    </w:p>
    <w:p>
      <w:pPr>
        <w:shd w:val="clea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帐        号：</w:t>
      </w:r>
      <w:r>
        <w:rPr>
          <w:rFonts w:hint="eastAsia" w:ascii="宋体" w:hAnsi="宋体" w:cs="宋体"/>
          <w:color w:val="auto"/>
          <w:szCs w:val="21"/>
          <w:highlight w:val="none"/>
          <w:u w:val="single"/>
        </w:rPr>
        <w:t xml:space="preserve">  （必须是投标时使用的帐号）        </w:t>
      </w:r>
    </w:p>
    <w:p>
      <w:pPr>
        <w:shd w:val="clear"/>
        <w:spacing w:line="48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开 户  银 行：</w:t>
      </w:r>
      <w:r>
        <w:rPr>
          <w:rFonts w:hint="eastAsia" w:ascii="宋体" w:hAnsi="宋体" w:cs="宋体"/>
          <w:color w:val="auto"/>
          <w:szCs w:val="21"/>
          <w:highlight w:val="none"/>
          <w:u w:val="single"/>
        </w:rPr>
        <w:t xml:space="preserve">  （  XX 银行 XX 分行 XX 支行   ）</w:t>
      </w:r>
    </w:p>
    <w:p>
      <w:pPr>
        <w:shd w:val="clea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本单位谨承诺上述资料是正确、真实的，如因上述证明与事实不符导致的一切损失，本单位保证承担赔偿等一切法律责任。</w:t>
      </w:r>
    </w:p>
    <w:p>
      <w:pPr>
        <w:shd w:val="clea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投标保证金退回时，请按上述资料退回。</w:t>
      </w:r>
    </w:p>
    <w:p>
      <w:pPr>
        <w:shd w:val="clear"/>
        <w:spacing w:line="480" w:lineRule="auto"/>
        <w:ind w:right="844" w:rightChars="402"/>
        <w:jc w:val="right"/>
        <w:rPr>
          <w:rFonts w:ascii="宋体" w:hAnsi="宋体" w:cs="宋体"/>
          <w:color w:val="auto"/>
          <w:szCs w:val="21"/>
          <w:highlight w:val="none"/>
        </w:rPr>
      </w:pPr>
      <w:r>
        <w:rPr>
          <w:rFonts w:hint="eastAsia" w:ascii="宋体" w:hAnsi="宋体" w:cs="宋体"/>
          <w:color w:val="auto"/>
          <w:szCs w:val="21"/>
          <w:highlight w:val="none"/>
        </w:rPr>
        <w:t>（单位公章）</w:t>
      </w:r>
    </w:p>
    <w:p>
      <w:pPr>
        <w:shd w:val="clear"/>
        <w:spacing w:line="480" w:lineRule="auto"/>
        <w:ind w:right="628" w:rightChars="299"/>
        <w:jc w:val="right"/>
        <w:rPr>
          <w:rFonts w:ascii="宋体" w:hAnsi="宋体" w:cs="宋体"/>
          <w:color w:val="auto"/>
          <w:szCs w:val="21"/>
          <w:highlight w:val="none"/>
        </w:rPr>
      </w:pPr>
      <w:r>
        <w:rPr>
          <w:rFonts w:hint="eastAsia" w:ascii="宋体" w:hAnsi="宋体" w:cs="宋体"/>
          <w:color w:val="auto"/>
          <w:szCs w:val="21"/>
          <w:highlight w:val="none"/>
        </w:rPr>
        <w:t>年 月 日</w:t>
      </w:r>
    </w:p>
    <w:p>
      <w:pPr>
        <w:shd w:val="clear"/>
        <w:spacing w:line="480" w:lineRule="auto"/>
        <w:rPr>
          <w:rFonts w:ascii="宋体" w:hAnsi="宋体" w:cs="宋体"/>
          <w:color w:val="auto"/>
          <w:szCs w:val="21"/>
          <w:highlight w:val="none"/>
        </w:rPr>
      </w:pPr>
      <w:r>
        <w:rPr>
          <w:rFonts w:hint="eastAsia" w:ascii="宋体" w:hAnsi="宋体" w:cs="宋体"/>
          <w:color w:val="auto"/>
          <w:szCs w:val="21"/>
          <w:highlight w:val="none"/>
        </w:rPr>
        <w:t>单位名称：</w:t>
      </w:r>
    </w:p>
    <w:p>
      <w:pPr>
        <w:shd w:val="clear"/>
        <w:spacing w:line="480" w:lineRule="auto"/>
        <w:rPr>
          <w:rFonts w:ascii="宋体" w:hAnsi="宋体" w:cs="宋体"/>
          <w:color w:val="auto"/>
          <w:szCs w:val="21"/>
          <w:highlight w:val="none"/>
        </w:rPr>
      </w:pPr>
      <w:r>
        <w:rPr>
          <w:rFonts w:hint="eastAsia" w:ascii="宋体" w:hAnsi="宋体" w:cs="宋体"/>
          <w:color w:val="auto"/>
          <w:szCs w:val="21"/>
          <w:highlight w:val="none"/>
        </w:rPr>
        <w:t>单位地址：</w:t>
      </w:r>
    </w:p>
    <w:p>
      <w:pPr>
        <w:shd w:val="clear"/>
        <w:spacing w:line="480" w:lineRule="auto"/>
        <w:rPr>
          <w:rFonts w:ascii="宋体" w:hAnsi="宋体" w:cs="宋体"/>
          <w:color w:val="auto"/>
          <w:szCs w:val="21"/>
          <w:highlight w:val="none"/>
        </w:rPr>
      </w:pPr>
      <w:r>
        <w:rPr>
          <w:rFonts w:hint="eastAsia" w:ascii="宋体" w:hAnsi="宋体" w:cs="宋体"/>
          <w:color w:val="auto"/>
          <w:szCs w:val="21"/>
          <w:highlight w:val="none"/>
        </w:rPr>
        <w:t>联系人：</w:t>
      </w:r>
    </w:p>
    <w:p>
      <w:pPr>
        <w:shd w:val="clear"/>
        <w:spacing w:line="480" w:lineRule="auto"/>
        <w:rPr>
          <w:rFonts w:ascii="宋体" w:hAnsi="宋体" w:cs="宋体"/>
          <w:color w:val="auto"/>
          <w:szCs w:val="21"/>
          <w:highlight w:val="none"/>
        </w:rPr>
      </w:pPr>
      <w:r>
        <w:rPr>
          <w:rFonts w:hint="eastAsia" w:ascii="宋体" w:hAnsi="宋体" w:cs="宋体"/>
          <w:color w:val="auto"/>
          <w:szCs w:val="21"/>
          <w:highlight w:val="none"/>
        </w:rPr>
        <w:t>单位电话： 联系人手机：</w:t>
      </w:r>
    </w:p>
    <w:p>
      <w:pPr>
        <w:shd w:val="clear"/>
        <w:rPr>
          <w:rFonts w:ascii="宋体" w:hAnsi="宋体" w:cs="宋体"/>
          <w:color w:val="auto"/>
          <w:szCs w:val="21"/>
          <w:highlight w:val="none"/>
        </w:rPr>
      </w:pPr>
    </w:p>
    <w:p>
      <w:pPr>
        <w:shd w:val="clea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br w:type="page"/>
      </w:r>
    </w:p>
    <w:p>
      <w:pPr>
        <w:shd w:val="clea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附：我方投标保证金汇款凭证</w:t>
      </w:r>
    </w:p>
    <w:tbl>
      <w:tblPr>
        <w:tblStyle w:val="30"/>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953" w:type="dxa"/>
            <w:vAlign w:val="center"/>
          </w:tcPr>
          <w:p>
            <w:pPr>
              <w:shd w:val="clear"/>
              <w:tabs>
                <w:tab w:val="left" w:pos="3885"/>
              </w:tabs>
              <w:jc w:val="center"/>
              <w:rPr>
                <w:rFonts w:ascii="宋体" w:hAnsi="宋体" w:cs="宋体"/>
                <w:color w:val="auto"/>
                <w:szCs w:val="21"/>
                <w:highlight w:val="none"/>
              </w:rPr>
            </w:pPr>
            <w:r>
              <w:rPr>
                <w:rFonts w:hint="eastAsia" w:ascii="宋体" w:hAnsi="宋体" w:cs="宋体"/>
                <w:color w:val="auto"/>
                <w:szCs w:val="21"/>
                <w:highlight w:val="none"/>
              </w:rPr>
              <w:t>（粘贴汇款单或转账凭证复印件，并在骑缝上加盖投标人公章，或是直接把转账凭证复印到此张纸上）</w:t>
            </w:r>
          </w:p>
        </w:tc>
      </w:tr>
    </w:tbl>
    <w:p>
      <w:pPr>
        <w:shd w:val="clea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注：此表既要装订在投标文件中，又要按投标人须知的规定与开标一览表、投标保证金汇款底单复印件及授权委托书一同密封装入唱标信封，唱标信封单独提交。</w:t>
      </w: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shd w:val="clear"/>
        <w:rPr>
          <w:rFonts w:ascii="宋体" w:hAnsi="宋体" w:cs="宋体"/>
          <w:color w:val="auto"/>
          <w:szCs w:val="21"/>
          <w:highlight w:val="none"/>
        </w:rPr>
      </w:pPr>
    </w:p>
    <w:p>
      <w:pPr>
        <w:pStyle w:val="6"/>
        <w:numPr>
          <w:ilvl w:val="255"/>
          <w:numId w:val="0"/>
        </w:numPr>
        <w:shd w:val="clear"/>
        <w:tabs>
          <w:tab w:val="left" w:pos="720"/>
          <w:tab w:val="left" w:pos="3840"/>
        </w:tabs>
        <w:ind w:left="283"/>
        <w:jc w:val="both"/>
        <w:rPr>
          <w:rFonts w:ascii="宋体" w:hAnsi="宋体" w:cs="宋体"/>
          <w:color w:val="auto"/>
          <w:sz w:val="21"/>
          <w:szCs w:val="21"/>
          <w:highlight w:val="none"/>
        </w:rPr>
      </w:pPr>
      <w:bookmarkStart w:id="189" w:name="_Toc17028"/>
      <w:bookmarkStart w:id="190" w:name="_Toc14605"/>
      <w:bookmarkStart w:id="191" w:name="_Toc29855"/>
      <w:bookmarkStart w:id="192" w:name="_Toc2144"/>
      <w:bookmarkStart w:id="193" w:name="_Toc2801"/>
      <w:bookmarkStart w:id="194" w:name="_Toc28623"/>
      <w:bookmarkStart w:id="195" w:name="_Toc18296"/>
      <w:bookmarkStart w:id="196" w:name="_Toc1562"/>
      <w:bookmarkStart w:id="197" w:name="_Toc4866"/>
      <w:bookmarkStart w:id="198" w:name="_Toc19947"/>
      <w:bookmarkStart w:id="199" w:name="_Toc25861"/>
      <w:r>
        <w:rPr>
          <w:rFonts w:hint="eastAsia" w:ascii="宋体" w:hAnsi="宋体" w:cs="宋体"/>
          <w:color w:val="auto"/>
          <w:sz w:val="21"/>
          <w:szCs w:val="21"/>
          <w:highlight w:val="none"/>
        </w:rPr>
        <w:t>附件19.不可撤销履约保函</w:t>
      </w:r>
      <w:bookmarkEnd w:id="189"/>
      <w:bookmarkEnd w:id="190"/>
      <w:bookmarkEnd w:id="191"/>
      <w:bookmarkEnd w:id="192"/>
      <w:bookmarkEnd w:id="193"/>
      <w:bookmarkEnd w:id="194"/>
      <w:bookmarkEnd w:id="195"/>
      <w:bookmarkEnd w:id="196"/>
      <w:bookmarkEnd w:id="197"/>
      <w:bookmarkEnd w:id="198"/>
      <w:bookmarkEnd w:id="199"/>
    </w:p>
    <w:p>
      <w:pPr>
        <w:shd w:val="clear"/>
        <w:jc w:val="center"/>
        <w:rPr>
          <w:rFonts w:ascii="宋体" w:hAnsi="宋体" w:cs="宋体"/>
          <w:color w:val="auto"/>
          <w:highlight w:val="none"/>
        </w:rPr>
      </w:pPr>
      <w:r>
        <w:rPr>
          <w:rFonts w:hint="eastAsia" w:ascii="宋体" w:hAnsi="宋体" w:cs="宋体"/>
          <w:color w:val="auto"/>
          <w:highlight w:val="none"/>
        </w:rPr>
        <w:t>银行编号：</w:t>
      </w:r>
    </w:p>
    <w:p>
      <w:pPr>
        <w:shd w:val="clear"/>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xml:space="preserve">                        </w:t>
      </w:r>
      <w:r>
        <w:rPr>
          <w:rFonts w:hint="eastAsia" w:ascii="宋体" w:hAnsi="宋体" w:cs="宋体"/>
          <w:color w:val="auto"/>
          <w:highlight w:val="none"/>
        </w:rPr>
        <w:t>（甲方）</w:t>
      </w:r>
    </w:p>
    <w:p>
      <w:pPr>
        <w:shd w:val="clear"/>
        <w:ind w:firstLine="420" w:firstLineChars="200"/>
        <w:rPr>
          <w:rFonts w:ascii="宋体" w:hAnsi="宋体" w:cs="宋体"/>
          <w:color w:val="auto"/>
          <w:highlight w:val="none"/>
        </w:rPr>
      </w:pPr>
      <w:r>
        <w:rPr>
          <w:rFonts w:hint="eastAsia" w:ascii="宋体" w:hAnsi="宋体" w:cs="宋体"/>
          <w:color w:val="auto"/>
          <w:highlight w:val="none"/>
        </w:rPr>
        <w:t>鉴于</w:t>
      </w:r>
      <w:r>
        <w:rPr>
          <w:rFonts w:hint="eastAsia" w:ascii="宋体" w:hAnsi="宋体" w:cs="宋体"/>
          <w:color w:val="auto"/>
          <w:highlight w:val="none"/>
          <w:u w:val="single"/>
        </w:rPr>
        <w:t xml:space="preserve">         （地址：          ，下称 “乙方” ）</w:t>
      </w:r>
      <w:r>
        <w:rPr>
          <w:rFonts w:hint="eastAsia" w:ascii="宋体" w:hAnsi="宋体" w:cs="宋体"/>
          <w:color w:val="auto"/>
          <w:highlight w:val="none"/>
        </w:rPr>
        <w:t>已保证按</w:t>
      </w:r>
      <w:r>
        <w:rPr>
          <w:rFonts w:hint="eastAsia" w:ascii="宋体" w:hAnsi="宋体" w:cs="宋体"/>
          <w:color w:val="auto"/>
          <w:highlight w:val="none"/>
          <w:u w:val="single"/>
        </w:rPr>
        <w:t xml:space="preserve">        承包合同书（合同编号：    ）</w:t>
      </w:r>
      <w:r>
        <w:rPr>
          <w:rFonts w:hint="eastAsia" w:ascii="宋体" w:hAnsi="宋体" w:cs="宋体"/>
          <w:color w:val="auto"/>
          <w:highlight w:val="none"/>
        </w:rPr>
        <w:t>中规定的义务履行合同。</w:t>
      </w:r>
    </w:p>
    <w:p>
      <w:pPr>
        <w:shd w:val="clear"/>
        <w:ind w:firstLine="420" w:firstLineChars="200"/>
        <w:rPr>
          <w:rFonts w:ascii="宋体" w:hAnsi="宋体" w:cs="宋体"/>
          <w:color w:val="auto"/>
          <w:highlight w:val="none"/>
        </w:rPr>
      </w:pPr>
      <w:r>
        <w:rPr>
          <w:rFonts w:hint="eastAsia" w:ascii="宋体" w:hAnsi="宋体" w:cs="宋体"/>
          <w:color w:val="auto"/>
          <w:highlight w:val="none"/>
        </w:rPr>
        <w:t>根据上述合同约定，乙方应向甲方提供一份金额为合同总价的10%即</w:t>
      </w:r>
      <w:r>
        <w:rPr>
          <w:rFonts w:hint="eastAsia" w:ascii="宋体" w:hAnsi="宋体" w:cs="宋体"/>
          <w:color w:val="auto"/>
          <w:highlight w:val="none"/>
          <w:u w:val="single"/>
        </w:rPr>
        <w:t>人民币      （RMB    元）</w:t>
      </w:r>
      <w:r>
        <w:rPr>
          <w:rFonts w:hint="eastAsia" w:ascii="宋体" w:hAnsi="宋体" w:cs="宋体"/>
          <w:color w:val="auto"/>
          <w:highlight w:val="none"/>
        </w:rPr>
        <w:t>的</w:t>
      </w:r>
      <w:r>
        <w:rPr>
          <w:rFonts w:hint="eastAsia" w:ascii="宋体" w:hAnsi="宋体" w:cs="宋体"/>
          <w:bCs/>
          <w:color w:val="auto"/>
          <w:highlight w:val="none"/>
        </w:rPr>
        <w:t>不可撤销</w:t>
      </w:r>
      <w:r>
        <w:rPr>
          <w:rFonts w:hint="eastAsia" w:ascii="宋体" w:hAnsi="宋体" w:cs="宋体"/>
          <w:color w:val="auto"/>
          <w:highlight w:val="none"/>
        </w:rPr>
        <w:t>银行履约保函，作为乙方履行上述合同的担保。</w:t>
      </w:r>
    </w:p>
    <w:p>
      <w:pPr>
        <w:shd w:val="clear"/>
        <w:ind w:firstLine="420" w:firstLineChars="200"/>
        <w:rPr>
          <w:rFonts w:ascii="宋体" w:hAnsi="宋体" w:cs="宋体"/>
          <w:color w:val="auto"/>
          <w:highlight w:val="none"/>
        </w:rPr>
      </w:pPr>
      <w:r>
        <w:rPr>
          <w:rFonts w:hint="eastAsia" w:ascii="宋体" w:hAnsi="宋体" w:cs="宋体"/>
          <w:color w:val="auto"/>
          <w:highlight w:val="none"/>
        </w:rPr>
        <w:t>我方</w:t>
      </w:r>
      <w:r>
        <w:rPr>
          <w:rFonts w:hint="eastAsia" w:ascii="宋体" w:hAnsi="宋体" w:cs="宋体"/>
          <w:color w:val="auto"/>
          <w:highlight w:val="none"/>
          <w:u w:val="single"/>
        </w:rPr>
        <w:t xml:space="preserve">            （银行名称）</w:t>
      </w:r>
      <w:r>
        <w:rPr>
          <w:rFonts w:hint="eastAsia" w:ascii="宋体" w:hAnsi="宋体" w:cs="宋体"/>
          <w:color w:val="auto"/>
          <w:highlight w:val="none"/>
        </w:rPr>
        <w:t>，受乙方的委托，不仅作为连带责任保证人而且作为主要的责任人，无条件和不可撤销地同意在甲方提出因乙方没有履行上述合同规定，而要求扣划保证金的书面要求后，7个工作日内为甲方扣划金额不超过</w:t>
      </w:r>
      <w:r>
        <w:rPr>
          <w:rFonts w:hint="eastAsia" w:ascii="宋体" w:hAnsi="宋体" w:cs="宋体"/>
          <w:color w:val="auto"/>
          <w:highlight w:val="none"/>
          <w:u w:val="single"/>
        </w:rPr>
        <w:t>人民币          （RMB       元）</w:t>
      </w:r>
      <w:r>
        <w:rPr>
          <w:rFonts w:hint="eastAsia" w:ascii="宋体" w:hAnsi="宋体" w:cs="宋体"/>
          <w:color w:val="auto"/>
          <w:highlight w:val="none"/>
        </w:rPr>
        <w:t>的保证金。</w:t>
      </w:r>
    </w:p>
    <w:p>
      <w:pPr>
        <w:shd w:val="clear"/>
        <w:ind w:firstLine="420" w:firstLineChars="200"/>
        <w:rPr>
          <w:rFonts w:ascii="宋体" w:hAnsi="宋体" w:cs="宋体"/>
          <w:color w:val="auto"/>
          <w:highlight w:val="none"/>
        </w:rPr>
      </w:pPr>
      <w:r>
        <w:rPr>
          <w:rFonts w:hint="eastAsia" w:ascii="宋体" w:hAnsi="宋体" w:cs="宋体"/>
          <w:color w:val="auto"/>
          <w:highlight w:val="none"/>
        </w:rPr>
        <w:t>我方还同意，任何甲方与乙方之间可能对合同条款的修改、规范或其他合同文件的变动补充，都不能免除我方按本保函所承担的责任。因此，有关上述变动、补充和修改无须通知我方。</w:t>
      </w:r>
    </w:p>
    <w:p>
      <w:pPr>
        <w:shd w:val="clear"/>
        <w:ind w:firstLine="420" w:firstLineChars="200"/>
        <w:rPr>
          <w:rFonts w:ascii="宋体" w:hAnsi="宋体" w:cs="宋体"/>
          <w:color w:val="auto"/>
          <w:highlight w:val="none"/>
        </w:rPr>
      </w:pPr>
      <w:r>
        <w:rPr>
          <w:rFonts w:hint="eastAsia" w:ascii="宋体" w:hAnsi="宋体" w:cs="宋体"/>
          <w:color w:val="auto"/>
          <w:highlight w:val="none"/>
        </w:rPr>
        <w:t>本保函从上述合同签订之日起至项目服务期结束验收合格并完成结算后，双方签字之日起7天内保持有效。</w:t>
      </w:r>
    </w:p>
    <w:p>
      <w:pPr>
        <w:shd w:val="clear"/>
        <w:ind w:firstLine="2824" w:firstLineChars="1345"/>
        <w:rPr>
          <w:rFonts w:ascii="宋体" w:hAnsi="宋体" w:cs="宋体"/>
          <w:color w:val="auto"/>
          <w:highlight w:val="none"/>
        </w:rPr>
      </w:pPr>
    </w:p>
    <w:p>
      <w:pPr>
        <w:shd w:val="clear"/>
        <w:ind w:firstLine="5040" w:firstLineChars="2400"/>
        <w:rPr>
          <w:rFonts w:ascii="宋体" w:hAnsi="宋体" w:cs="宋体"/>
          <w:color w:val="auto"/>
          <w:highlight w:val="none"/>
        </w:rPr>
      </w:pPr>
      <w:r>
        <w:rPr>
          <w:rFonts w:hint="eastAsia" w:ascii="宋体" w:hAnsi="宋体" w:cs="宋体"/>
          <w:color w:val="auto"/>
          <w:highlight w:val="none"/>
        </w:rPr>
        <w:t>保证人：（盖章）</w:t>
      </w:r>
      <w:r>
        <w:rPr>
          <w:rFonts w:hint="eastAsia" w:ascii="宋体" w:hAnsi="宋体" w:cs="宋体"/>
          <w:color w:val="auto"/>
          <w:highlight w:val="none"/>
          <w:u w:val="single"/>
        </w:rPr>
        <w:t xml:space="preserve">                        </w:t>
      </w:r>
    </w:p>
    <w:p>
      <w:pPr>
        <w:shd w:val="clear"/>
        <w:ind w:firstLine="5040" w:firstLineChars="2400"/>
        <w:rPr>
          <w:rFonts w:ascii="宋体" w:hAnsi="宋体" w:cs="宋体"/>
          <w:color w:val="auto"/>
          <w:highlight w:val="none"/>
        </w:rPr>
      </w:pPr>
      <w:r>
        <w:rPr>
          <w:rFonts w:hint="eastAsia" w:ascii="宋体" w:hAnsi="宋体" w:cs="宋体"/>
          <w:color w:val="auto"/>
          <w:highlight w:val="none"/>
        </w:rPr>
        <w:t>负责人：（签字）</w:t>
      </w:r>
      <w:r>
        <w:rPr>
          <w:rFonts w:hint="eastAsia" w:ascii="宋体" w:hAnsi="宋体" w:cs="宋体"/>
          <w:color w:val="auto"/>
          <w:highlight w:val="none"/>
          <w:u w:val="single"/>
        </w:rPr>
        <w:t xml:space="preserve">                        </w:t>
      </w:r>
    </w:p>
    <w:p>
      <w:pPr>
        <w:shd w:val="clear"/>
        <w:ind w:firstLine="5040" w:firstLineChars="2400"/>
        <w:rPr>
          <w:rFonts w:ascii="宋体" w:hAnsi="宋体" w:cs="宋体"/>
          <w:color w:val="auto"/>
          <w:highlight w:val="none"/>
        </w:rPr>
      </w:pPr>
      <w:r>
        <w:rPr>
          <w:rFonts w:hint="eastAsia" w:ascii="宋体" w:hAnsi="宋体" w:cs="宋体"/>
          <w:color w:val="auto"/>
          <w:highlight w:val="none"/>
        </w:rPr>
        <w:t>联系人：</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pPr>
        <w:shd w:val="clear"/>
        <w:ind w:firstLine="5040" w:firstLineChars="2400"/>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p>
    <w:p>
      <w:pPr>
        <w:shd w:val="clear"/>
        <w:ind w:firstLine="5040" w:firstLineChars="2400"/>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p>
    <w:p>
      <w:pPr>
        <w:pStyle w:val="11"/>
        <w:shd w:val="clear"/>
        <w:rPr>
          <w:rFonts w:cs="宋体"/>
          <w:color w:val="auto"/>
          <w:szCs w:val="24"/>
          <w:highlight w:val="none"/>
        </w:rPr>
      </w:pPr>
      <w:r>
        <w:rPr>
          <w:rFonts w:hint="eastAsia" w:cs="宋体"/>
          <w:color w:val="auto"/>
          <w:szCs w:val="24"/>
          <w:highlight w:val="none"/>
        </w:rPr>
        <w:t>说明：投标人在投标时不需提交正式保函，在投标文件中盖投标人公章确认保函格式即可，乙方</w:t>
      </w:r>
      <w:r>
        <w:rPr>
          <w:rFonts w:hint="eastAsia" w:cs="宋体"/>
          <w:color w:val="auto"/>
          <w:highlight w:val="none"/>
        </w:rPr>
        <w:t>在签订合同时</w:t>
      </w:r>
      <w:r>
        <w:rPr>
          <w:rFonts w:hint="eastAsia" w:cs="宋体"/>
          <w:color w:val="auto"/>
          <w:szCs w:val="24"/>
          <w:highlight w:val="none"/>
        </w:rPr>
        <w:t>提交正式保函。</w:t>
      </w:r>
    </w:p>
    <w:p>
      <w:pPr>
        <w:shd w:val="clear"/>
        <w:rPr>
          <w:rFonts w:ascii="宋体" w:hAnsi="宋体" w:cs="宋体"/>
          <w:color w:val="auto"/>
          <w:szCs w:val="21"/>
          <w:highlight w:val="none"/>
        </w:rPr>
      </w:pPr>
    </w:p>
    <w:p>
      <w:pPr>
        <w:shd w:val="clear"/>
        <w:rPr>
          <w:rFonts w:ascii="宋体" w:hAnsi="宋体" w:cs="宋体"/>
          <w:color w:val="auto"/>
          <w:szCs w:val="21"/>
          <w:highlight w:val="none"/>
        </w:rPr>
        <w:sectPr>
          <w:pgSz w:w="11906" w:h="16838"/>
          <w:pgMar w:top="1440" w:right="1800" w:bottom="1440" w:left="1800" w:header="708" w:footer="708" w:gutter="0"/>
          <w:cols w:space="708" w:num="1"/>
          <w:titlePg/>
          <w:docGrid w:type="lines" w:linePitch="360" w:charSpace="0"/>
        </w:sectPr>
      </w:pPr>
    </w:p>
    <w:p>
      <w:pPr>
        <w:pStyle w:val="6"/>
        <w:numPr>
          <w:ilvl w:val="255"/>
          <w:numId w:val="0"/>
        </w:numPr>
        <w:shd w:val="clear"/>
        <w:tabs>
          <w:tab w:val="left" w:pos="720"/>
          <w:tab w:val="left" w:pos="3840"/>
        </w:tabs>
        <w:ind w:left="283"/>
        <w:jc w:val="both"/>
        <w:rPr>
          <w:rFonts w:ascii="宋体" w:hAnsi="宋体" w:cs="宋体"/>
          <w:color w:val="auto"/>
          <w:sz w:val="21"/>
          <w:szCs w:val="21"/>
          <w:highlight w:val="none"/>
        </w:rPr>
      </w:pPr>
      <w:bookmarkStart w:id="200" w:name="_Toc29098"/>
      <w:r>
        <w:rPr>
          <w:rFonts w:hint="eastAsia" w:ascii="宋体" w:hAnsi="宋体" w:cs="宋体"/>
          <w:color w:val="auto"/>
          <w:sz w:val="21"/>
          <w:szCs w:val="21"/>
          <w:highlight w:val="none"/>
        </w:rPr>
        <w:t>附件20.预付款保函（适用于预付款支付）</w:t>
      </w:r>
      <w:bookmarkEnd w:id="200"/>
    </w:p>
    <w:p>
      <w:pPr>
        <w:pStyle w:val="11"/>
        <w:shd w:val="clear"/>
        <w:rPr>
          <w:rFonts w:cs="宋体"/>
          <w:color w:val="auto"/>
          <w:szCs w:val="24"/>
          <w:highlight w:val="none"/>
        </w:rPr>
      </w:pPr>
    </w:p>
    <w:p>
      <w:pPr>
        <w:shd w:val="clear"/>
        <w:jc w:val="center"/>
        <w:rPr>
          <w:rFonts w:ascii="宋体" w:hAnsi="宋体" w:cs="宋体"/>
          <w:color w:val="auto"/>
          <w:sz w:val="28"/>
          <w:szCs w:val="28"/>
          <w:highlight w:val="none"/>
        </w:rPr>
      </w:pPr>
      <w:bookmarkStart w:id="201" w:name="_Toc29054"/>
      <w:bookmarkStart w:id="202" w:name="_Toc31418"/>
      <w:bookmarkStart w:id="203" w:name="_Toc5034"/>
      <w:bookmarkStart w:id="204" w:name="_Toc10315"/>
      <w:bookmarkStart w:id="205" w:name="_Toc20669"/>
      <w:bookmarkStart w:id="206" w:name="_Toc1039"/>
      <w:bookmarkStart w:id="207" w:name="_Toc29728"/>
      <w:bookmarkStart w:id="208" w:name="_Toc6877"/>
      <w:bookmarkStart w:id="209" w:name="_Toc27545"/>
      <w:bookmarkStart w:id="210" w:name="_Toc25494"/>
      <w:bookmarkStart w:id="211" w:name="_Toc7374"/>
      <w:bookmarkStart w:id="212" w:name="_Toc3295"/>
      <w:r>
        <w:rPr>
          <w:rFonts w:hint="eastAsia" w:ascii="宋体" w:hAnsi="宋体" w:cs="宋体"/>
          <w:color w:val="auto"/>
          <w:sz w:val="28"/>
          <w:szCs w:val="28"/>
          <w:highlight w:val="none"/>
        </w:rPr>
        <w:t>不可撤销预付款保函</w:t>
      </w:r>
      <w:bookmarkEnd w:id="201"/>
      <w:bookmarkEnd w:id="202"/>
      <w:bookmarkEnd w:id="203"/>
      <w:bookmarkEnd w:id="204"/>
      <w:bookmarkEnd w:id="205"/>
      <w:bookmarkEnd w:id="206"/>
      <w:bookmarkEnd w:id="207"/>
      <w:bookmarkEnd w:id="208"/>
      <w:bookmarkEnd w:id="209"/>
      <w:bookmarkEnd w:id="210"/>
      <w:bookmarkEnd w:id="211"/>
      <w:bookmarkEnd w:id="212"/>
    </w:p>
    <w:p>
      <w:pPr>
        <w:shd w:val="clear"/>
        <w:ind w:firstLine="6300"/>
        <w:rPr>
          <w:rFonts w:ascii="宋体" w:hAnsi="宋体" w:cs="宋体"/>
          <w:color w:val="auto"/>
          <w:szCs w:val="21"/>
          <w:highlight w:val="none"/>
          <w:u w:val="single"/>
        </w:rPr>
      </w:pPr>
      <w:r>
        <w:rPr>
          <w:rFonts w:hint="eastAsia" w:ascii="宋体" w:hAnsi="宋体" w:cs="宋体"/>
          <w:color w:val="auto"/>
          <w:szCs w:val="21"/>
          <w:highlight w:val="none"/>
        </w:rPr>
        <w:t>银行编号：</w:t>
      </w:r>
      <w:r>
        <w:rPr>
          <w:rFonts w:hint="eastAsia" w:ascii="宋体" w:hAnsi="宋体" w:cs="宋体"/>
          <w:color w:val="auto"/>
          <w:szCs w:val="21"/>
          <w:highlight w:val="none"/>
          <w:u w:val="single"/>
        </w:rPr>
        <w:t xml:space="preserve">             </w:t>
      </w:r>
    </w:p>
    <w:p>
      <w:pPr>
        <w:shd w:val="clear"/>
        <w:ind w:firstLine="6300"/>
        <w:rPr>
          <w:rFonts w:ascii="宋体" w:hAnsi="宋体" w:cs="宋体"/>
          <w:color w:val="auto"/>
          <w:szCs w:val="21"/>
          <w:highlight w:val="none"/>
        </w:rPr>
      </w:pPr>
    </w:p>
    <w:p>
      <w:pPr>
        <w:shd w:val="clear"/>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（下称“采购人”）</w:t>
      </w:r>
    </w:p>
    <w:p>
      <w:pPr>
        <w:shd w:val="clear"/>
        <w:ind w:firstLine="437"/>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4"/>
          <w:highlight w:val="none"/>
          <w:u w:val="single"/>
        </w:rPr>
        <w:t>（地址：          ，下称 “中标人” ）</w:t>
      </w:r>
      <w:r>
        <w:rPr>
          <w:rFonts w:hint="eastAsia" w:ascii="宋体" w:hAnsi="宋体" w:cs="宋体"/>
          <w:color w:val="auto"/>
          <w:szCs w:val="21"/>
          <w:highlight w:val="none"/>
        </w:rPr>
        <w:t>，已保证按</w:t>
      </w:r>
      <w:r>
        <w:rPr>
          <w:rFonts w:hint="eastAsia" w:ascii="宋体" w:hAnsi="宋体" w:cs="宋体"/>
          <w:color w:val="auto"/>
          <w:szCs w:val="21"/>
          <w:highlight w:val="none"/>
          <w:u w:val="single"/>
        </w:rPr>
        <w:t xml:space="preserve">          承包合同书（合同编号：    ）</w:t>
      </w:r>
      <w:r>
        <w:rPr>
          <w:rFonts w:hint="eastAsia" w:ascii="宋体" w:hAnsi="宋体" w:cs="宋体"/>
          <w:color w:val="auto"/>
          <w:szCs w:val="21"/>
          <w:highlight w:val="none"/>
        </w:rPr>
        <w:t>中规定的义务履行合同。</w:t>
      </w:r>
    </w:p>
    <w:p>
      <w:pPr>
        <w:shd w:val="clear"/>
        <w:ind w:firstLine="437"/>
        <w:rPr>
          <w:rFonts w:ascii="宋体" w:hAnsi="宋体" w:cs="宋体"/>
          <w:color w:val="auto"/>
          <w:szCs w:val="21"/>
          <w:highlight w:val="none"/>
        </w:rPr>
      </w:pPr>
      <w:r>
        <w:rPr>
          <w:rFonts w:hint="eastAsia" w:ascii="宋体" w:hAnsi="宋体" w:cs="宋体"/>
          <w:color w:val="auto"/>
          <w:szCs w:val="24"/>
          <w:highlight w:val="none"/>
        </w:rPr>
        <w:t>根据上述合同（招标文件）规定，中标人应向采购人提供一份金额为合同总价的</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即人民币</w:t>
      </w:r>
      <w:r>
        <w:rPr>
          <w:rFonts w:hint="eastAsia" w:ascii="宋体" w:hAnsi="宋体" w:cs="宋体"/>
          <w:color w:val="auto"/>
          <w:szCs w:val="21"/>
          <w:highlight w:val="none"/>
          <w:u w:val="single"/>
        </w:rPr>
        <w:t xml:space="preserve">      （RMB      元）</w:t>
      </w:r>
      <w:r>
        <w:rPr>
          <w:rFonts w:hint="eastAsia" w:ascii="宋体" w:hAnsi="宋体" w:cs="宋体"/>
          <w:color w:val="auto"/>
          <w:szCs w:val="21"/>
          <w:highlight w:val="none"/>
        </w:rPr>
        <w:t>的不可撤销银行预付款保函，以保证中标人履行合同的相关条款。</w:t>
      </w:r>
    </w:p>
    <w:p>
      <w:pPr>
        <w:shd w:val="clear"/>
        <w:ind w:firstLine="437"/>
        <w:rPr>
          <w:rFonts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szCs w:val="21"/>
          <w:highlight w:val="none"/>
          <w:u w:val="single"/>
        </w:rPr>
        <w:t xml:space="preserve">  （银行名称）  </w:t>
      </w:r>
      <w:r>
        <w:rPr>
          <w:rFonts w:hint="eastAsia" w:ascii="宋体" w:hAnsi="宋体" w:cs="宋体"/>
          <w:color w:val="auto"/>
          <w:szCs w:val="21"/>
          <w:highlight w:val="none"/>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pPr>
        <w:shd w:val="clear"/>
        <w:ind w:firstLine="437"/>
        <w:rPr>
          <w:rFonts w:ascii="宋体" w:hAnsi="宋体" w:cs="宋体"/>
          <w:color w:val="auto"/>
          <w:szCs w:val="21"/>
          <w:highlight w:val="none"/>
        </w:rPr>
      </w:pPr>
      <w:r>
        <w:rPr>
          <w:rFonts w:hint="eastAsia" w:ascii="宋体" w:hAnsi="宋体" w:cs="宋体"/>
          <w:color w:val="auto"/>
          <w:szCs w:val="21"/>
          <w:highlight w:val="none"/>
        </w:rPr>
        <w:t>我方还同意，任何采购人与中标人之间可能对合同条款的修改、规范或其他合同文件的变动补充，都不能免除我方按本保函所承担的责任。因此，有关上述变动、补充和修改无须通知我方。</w:t>
      </w:r>
    </w:p>
    <w:p>
      <w:pPr>
        <w:shd w:val="clear"/>
        <w:ind w:firstLine="437"/>
        <w:rPr>
          <w:rFonts w:ascii="宋体" w:hAnsi="宋体" w:cs="宋体"/>
          <w:color w:val="auto"/>
          <w:szCs w:val="21"/>
          <w:highlight w:val="none"/>
        </w:rPr>
      </w:pPr>
      <w:r>
        <w:rPr>
          <w:rFonts w:hint="eastAsia" w:ascii="宋体" w:hAnsi="宋体" w:cs="宋体"/>
          <w:color w:val="auto"/>
          <w:szCs w:val="21"/>
          <w:highlight w:val="none"/>
        </w:rPr>
        <w:t>本保函有效期从保函开立之日起至采购人向中标人抵扣完所有预付款之日止。</w:t>
      </w:r>
    </w:p>
    <w:p>
      <w:pPr>
        <w:shd w:val="clear"/>
        <w:rPr>
          <w:rFonts w:ascii="宋体" w:hAnsi="宋体" w:cs="宋体"/>
          <w:color w:val="auto"/>
          <w:szCs w:val="21"/>
          <w:highlight w:val="none"/>
        </w:rPr>
      </w:pPr>
    </w:p>
    <w:p>
      <w:pPr>
        <w:shd w:val="clear"/>
        <w:ind w:firstLine="437"/>
        <w:rPr>
          <w:rFonts w:ascii="宋体" w:hAnsi="宋体" w:cs="宋体"/>
          <w:color w:val="auto"/>
          <w:szCs w:val="21"/>
          <w:highlight w:val="none"/>
        </w:rPr>
      </w:pPr>
    </w:p>
    <w:p>
      <w:pPr>
        <w:shd w:val="clear"/>
        <w:ind w:firstLine="4860"/>
        <w:rPr>
          <w:rFonts w:ascii="宋体" w:hAnsi="宋体" w:cs="宋体"/>
          <w:color w:val="auto"/>
          <w:szCs w:val="21"/>
          <w:highlight w:val="none"/>
        </w:rPr>
      </w:pPr>
      <w:r>
        <w:rPr>
          <w:rFonts w:hint="eastAsia" w:ascii="宋体" w:hAnsi="宋体" w:cs="宋体"/>
          <w:color w:val="auto"/>
          <w:szCs w:val="21"/>
          <w:highlight w:val="none"/>
        </w:rPr>
        <w:t>保证人：（公章）</w:t>
      </w:r>
      <w:r>
        <w:rPr>
          <w:rFonts w:hint="eastAsia" w:ascii="宋体" w:hAnsi="宋体" w:cs="宋体"/>
          <w:color w:val="auto"/>
          <w:szCs w:val="21"/>
          <w:highlight w:val="none"/>
          <w:u w:val="single"/>
        </w:rPr>
        <w:t xml:space="preserve">                     </w:t>
      </w:r>
    </w:p>
    <w:p>
      <w:pPr>
        <w:shd w:val="clear"/>
        <w:ind w:firstLine="4860"/>
        <w:rPr>
          <w:rFonts w:ascii="宋体" w:hAnsi="宋体" w:cs="宋体"/>
          <w:color w:val="auto"/>
          <w:szCs w:val="21"/>
          <w:highlight w:val="none"/>
          <w:u w:val="single"/>
        </w:rPr>
      </w:pPr>
      <w:r>
        <w:rPr>
          <w:rFonts w:hint="eastAsia" w:ascii="宋体" w:hAnsi="宋体" w:cs="宋体"/>
          <w:color w:val="auto"/>
          <w:szCs w:val="21"/>
          <w:highlight w:val="none"/>
        </w:rPr>
        <w:t>负责人：（签字）</w:t>
      </w:r>
      <w:r>
        <w:rPr>
          <w:rFonts w:hint="eastAsia" w:ascii="宋体" w:hAnsi="宋体" w:cs="宋体"/>
          <w:color w:val="auto"/>
          <w:szCs w:val="21"/>
          <w:highlight w:val="none"/>
          <w:u w:val="single"/>
        </w:rPr>
        <w:t xml:space="preserve">                     </w:t>
      </w:r>
    </w:p>
    <w:p>
      <w:pPr>
        <w:shd w:val="clear"/>
        <w:ind w:firstLine="4860"/>
        <w:rPr>
          <w:rFonts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p>
    <w:p>
      <w:pPr>
        <w:shd w:val="clear"/>
        <w:ind w:firstLine="486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pPr>
        <w:shd w:val="clear"/>
        <w:ind w:firstLine="4860"/>
        <w:rPr>
          <w:rFonts w:ascii="宋体" w:hAnsi="宋体" w:cs="宋体"/>
          <w:color w:val="auto"/>
          <w:szCs w:val="21"/>
          <w:highlight w:val="none"/>
          <w:u w:val="singl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pPr>
        <w:pStyle w:val="11"/>
        <w:shd w:val="clear"/>
        <w:rPr>
          <w:rFonts w:cs="宋体"/>
          <w:color w:val="auto"/>
          <w:szCs w:val="21"/>
          <w:highlight w:val="none"/>
        </w:rPr>
      </w:pPr>
    </w:p>
    <w:p>
      <w:pPr>
        <w:pStyle w:val="11"/>
        <w:shd w:val="clear"/>
        <w:rPr>
          <w:rFonts w:cs="宋体"/>
          <w:color w:val="auto"/>
          <w:szCs w:val="21"/>
          <w:highlight w:val="none"/>
        </w:rPr>
      </w:pPr>
    </w:p>
    <w:p>
      <w:pPr>
        <w:shd w:val="clear"/>
        <w:ind w:firstLine="413" w:firstLineChars="196"/>
        <w:rPr>
          <w:rFonts w:ascii="宋体" w:hAnsi="宋体" w:cs="宋体"/>
          <w:b/>
          <w:color w:val="auto"/>
          <w:szCs w:val="21"/>
          <w:highlight w:val="none"/>
        </w:rPr>
      </w:pPr>
      <w:r>
        <w:rPr>
          <w:rFonts w:hint="eastAsia" w:ascii="宋体" w:hAnsi="宋体" w:cs="宋体"/>
          <w:b/>
          <w:color w:val="auto"/>
          <w:szCs w:val="21"/>
          <w:highlight w:val="none"/>
        </w:rPr>
        <w:t>说明：投标人在投标文件中盖投标人公章确认保函内容即可，如中标再由银行出具保函。</w:t>
      </w:r>
    </w:p>
    <w:p>
      <w:pPr>
        <w:shd w:val="clear"/>
        <w:rPr>
          <w:rFonts w:ascii="宋体" w:hAnsi="宋体" w:cs="宋体"/>
          <w:color w:val="auto"/>
          <w:szCs w:val="21"/>
          <w:highlight w:val="none"/>
        </w:rPr>
        <w:sectPr>
          <w:pgSz w:w="11906" w:h="16838"/>
          <w:pgMar w:top="1440" w:right="1800" w:bottom="1440" w:left="1800" w:header="708" w:footer="708" w:gutter="0"/>
          <w:cols w:space="708" w:num="1"/>
          <w:titlePg/>
          <w:docGrid w:type="lines" w:linePitch="360" w:charSpace="0"/>
        </w:sectPr>
      </w:pPr>
    </w:p>
    <w:p>
      <w:pPr>
        <w:pStyle w:val="2"/>
        <w:shd w:val="clear"/>
        <w:rPr>
          <w:color w:val="auto"/>
          <w:highlight w:val="none"/>
        </w:rPr>
      </w:pPr>
      <w:bookmarkStart w:id="213" w:name="_Toc1968"/>
    </w:p>
    <w:p>
      <w:pPr>
        <w:shd w:val="clear"/>
        <w:jc w:val="center"/>
        <w:outlineLvl w:val="1"/>
        <w:rPr>
          <w:rFonts w:ascii="宋体" w:hAnsi="宋体" w:cs="宋体"/>
          <w:color w:val="auto"/>
          <w:sz w:val="72"/>
          <w:szCs w:val="72"/>
          <w:highlight w:val="none"/>
        </w:rPr>
      </w:pPr>
      <w:bookmarkStart w:id="214" w:name="_Toc16601"/>
      <w:r>
        <w:rPr>
          <w:rFonts w:hint="eastAsia" w:ascii="宋体" w:hAnsi="宋体" w:cs="宋体"/>
          <w:color w:val="auto"/>
          <w:sz w:val="72"/>
          <w:szCs w:val="72"/>
          <w:highlight w:val="none"/>
        </w:rPr>
        <w:t>唱标信封</w:t>
      </w:r>
      <w:bookmarkEnd w:id="214"/>
    </w:p>
    <w:p>
      <w:pPr>
        <w:shd w:val="clear"/>
        <w:jc w:val="center"/>
        <w:rPr>
          <w:rFonts w:ascii="宋体" w:hAnsi="宋体" w:cs="宋体"/>
          <w:color w:val="auto"/>
          <w:sz w:val="52"/>
          <w:szCs w:val="52"/>
          <w:highlight w:val="none"/>
        </w:rPr>
      </w:pPr>
      <w:r>
        <w:rPr>
          <w:rFonts w:hint="eastAsia" w:ascii="宋体" w:hAnsi="宋体" w:cs="宋体"/>
          <w:color w:val="auto"/>
          <w:sz w:val="52"/>
          <w:szCs w:val="52"/>
          <w:highlight w:val="none"/>
        </w:rPr>
        <w:t>（单独装订成册，单独封装）</w:t>
      </w:r>
    </w:p>
    <w:p>
      <w:pPr>
        <w:shd w:val="clear"/>
        <w:rPr>
          <w:rFonts w:ascii="宋体" w:hAnsi="宋体" w:cs="宋体"/>
          <w:color w:val="auto"/>
          <w:highlight w:val="none"/>
        </w:rPr>
      </w:pPr>
    </w:p>
    <w:p>
      <w:pPr>
        <w:pStyle w:val="2"/>
        <w:shd w:val="clear"/>
        <w:rPr>
          <w:color w:val="auto"/>
          <w:highlight w:val="none"/>
        </w:rPr>
      </w:pPr>
    </w:p>
    <w:p>
      <w:pPr>
        <w:pStyle w:val="27"/>
        <w:shd w:val="clear"/>
        <w:ind w:firstLine="240"/>
        <w:rPr>
          <w:color w:val="auto"/>
          <w:highlight w:val="none"/>
        </w:rPr>
      </w:pPr>
    </w:p>
    <w:p>
      <w:pPr>
        <w:pStyle w:val="27"/>
        <w:shd w:val="clear"/>
        <w:ind w:firstLine="240"/>
        <w:rPr>
          <w:color w:val="auto"/>
          <w:highlight w:val="none"/>
        </w:rPr>
      </w:pPr>
    </w:p>
    <w:p>
      <w:pPr>
        <w:shd w:val="clear"/>
        <w:rPr>
          <w:rFonts w:ascii="宋体" w:hAnsi="宋体" w:cs="宋体"/>
          <w:b/>
          <w:color w:val="auto"/>
          <w:spacing w:val="-6"/>
          <w:sz w:val="32"/>
          <w:szCs w:val="32"/>
          <w:highlight w:val="none"/>
        </w:rPr>
      </w:pPr>
      <w:r>
        <w:rPr>
          <w:rFonts w:hint="eastAsia" w:ascii="宋体" w:hAnsi="宋体" w:cs="宋体"/>
          <w:b/>
          <w:color w:val="auto"/>
          <w:spacing w:val="106"/>
          <w:sz w:val="32"/>
          <w:szCs w:val="32"/>
          <w:highlight w:val="none"/>
        </w:rPr>
        <w:t>项目名</w:t>
      </w:r>
      <w:r>
        <w:rPr>
          <w:rFonts w:hint="eastAsia" w:ascii="宋体" w:hAnsi="宋体" w:cs="宋体"/>
          <w:b/>
          <w:color w:val="auto"/>
          <w:spacing w:val="2"/>
          <w:sz w:val="32"/>
          <w:szCs w:val="32"/>
          <w:highlight w:val="none"/>
        </w:rPr>
        <w:t>称</w:t>
      </w:r>
      <w:r>
        <w:rPr>
          <w:rFonts w:hint="eastAsia" w:ascii="宋体" w:hAnsi="宋体" w:cs="宋体"/>
          <w:b/>
          <w:color w:val="auto"/>
          <w:spacing w:val="-6"/>
          <w:sz w:val="32"/>
          <w:szCs w:val="32"/>
          <w:highlight w:val="none"/>
        </w:rPr>
        <w:t>：</w:t>
      </w:r>
    </w:p>
    <w:p>
      <w:pPr>
        <w:shd w:val="clear"/>
        <w:rPr>
          <w:rFonts w:ascii="宋体" w:hAnsi="宋体" w:cs="宋体"/>
          <w:b/>
          <w:color w:val="auto"/>
          <w:sz w:val="32"/>
          <w:szCs w:val="32"/>
          <w:highlight w:val="none"/>
        </w:rPr>
      </w:pPr>
      <w:r>
        <w:rPr>
          <w:rFonts w:hint="eastAsia" w:ascii="宋体" w:hAnsi="宋体" w:cs="宋体"/>
          <w:b/>
          <w:color w:val="auto"/>
          <w:spacing w:val="106"/>
          <w:sz w:val="32"/>
          <w:szCs w:val="32"/>
          <w:highlight w:val="none"/>
        </w:rPr>
        <w:t>项目编</w:t>
      </w:r>
      <w:r>
        <w:rPr>
          <w:rFonts w:hint="eastAsia" w:ascii="宋体" w:hAnsi="宋体" w:cs="宋体"/>
          <w:b/>
          <w:color w:val="auto"/>
          <w:spacing w:val="2"/>
          <w:sz w:val="32"/>
          <w:szCs w:val="32"/>
          <w:highlight w:val="none"/>
        </w:rPr>
        <w:t>号</w:t>
      </w:r>
      <w:r>
        <w:rPr>
          <w:rFonts w:hint="eastAsia" w:ascii="宋体" w:hAnsi="宋体" w:cs="宋体"/>
          <w:b/>
          <w:color w:val="auto"/>
          <w:sz w:val="32"/>
          <w:szCs w:val="32"/>
          <w:highlight w:val="none"/>
        </w:rPr>
        <w:t>：</w:t>
      </w:r>
    </w:p>
    <w:p>
      <w:pPr>
        <w:pStyle w:val="2"/>
        <w:shd w:val="clear"/>
        <w:ind w:left="0"/>
        <w:rPr>
          <w:b/>
          <w:color w:val="auto"/>
          <w:spacing w:val="106"/>
          <w:sz w:val="32"/>
          <w:szCs w:val="32"/>
          <w:highlight w:val="none"/>
          <w:lang w:val="en-US" w:bidi="ar-SA"/>
        </w:rPr>
      </w:pPr>
      <w:r>
        <w:rPr>
          <w:rFonts w:hint="eastAsia"/>
          <w:b/>
          <w:color w:val="auto"/>
          <w:spacing w:val="106"/>
          <w:sz w:val="32"/>
          <w:szCs w:val="32"/>
          <w:highlight w:val="none"/>
          <w:lang w:val="en-US" w:bidi="ar-SA"/>
        </w:rPr>
        <w:t>包组号（如有）：</w:t>
      </w:r>
    </w:p>
    <w:p>
      <w:pPr>
        <w:shd w:val="clear"/>
        <w:rPr>
          <w:rFonts w:ascii="宋体" w:hAnsi="宋体" w:cs="宋体"/>
          <w:b/>
          <w:color w:val="auto"/>
          <w:sz w:val="32"/>
          <w:szCs w:val="32"/>
          <w:highlight w:val="none"/>
        </w:rPr>
      </w:pPr>
      <w:r>
        <w:rPr>
          <w:rFonts w:hint="eastAsia" w:ascii="宋体" w:hAnsi="宋体" w:cs="宋体"/>
          <w:b/>
          <w:color w:val="auto"/>
          <w:sz w:val="32"/>
          <w:szCs w:val="32"/>
          <w:highlight w:val="none"/>
        </w:rPr>
        <w:t>投标人名称：</w:t>
      </w:r>
    </w:p>
    <w:p>
      <w:pPr>
        <w:shd w:val="clear"/>
        <w:rPr>
          <w:rFonts w:ascii="宋体" w:hAnsi="宋体" w:cs="宋体"/>
          <w:b/>
          <w:color w:val="auto"/>
          <w:sz w:val="32"/>
          <w:szCs w:val="32"/>
          <w:highlight w:val="none"/>
        </w:rPr>
      </w:pPr>
      <w:r>
        <w:rPr>
          <w:rFonts w:hint="eastAsia" w:ascii="宋体" w:hAnsi="宋体" w:cs="宋体"/>
          <w:b/>
          <w:color w:val="auto"/>
          <w:spacing w:val="64"/>
          <w:sz w:val="32"/>
          <w:szCs w:val="32"/>
          <w:highlight w:val="none"/>
        </w:rPr>
        <w:t xml:space="preserve">日    </w:t>
      </w:r>
      <w:r>
        <w:rPr>
          <w:rFonts w:hint="eastAsia" w:ascii="宋体" w:hAnsi="宋体" w:cs="宋体"/>
          <w:b/>
          <w:color w:val="auto"/>
          <w:sz w:val="32"/>
          <w:szCs w:val="32"/>
          <w:highlight w:val="none"/>
        </w:rPr>
        <w:t>期：</w:t>
      </w:r>
    </w:p>
    <w:p>
      <w:pPr>
        <w:shd w:val="clear"/>
        <w:rPr>
          <w:rFonts w:ascii="宋体" w:hAnsi="宋体" w:cs="宋体"/>
          <w:color w:val="auto"/>
          <w:szCs w:val="21"/>
          <w:highlight w:val="none"/>
        </w:rPr>
      </w:pPr>
      <w:r>
        <w:rPr>
          <w:rFonts w:hint="eastAsia" w:ascii="宋体" w:hAnsi="宋体" w:cs="宋体"/>
          <w:color w:val="auto"/>
          <w:szCs w:val="21"/>
          <w:highlight w:val="none"/>
        </w:rPr>
        <w:br w:type="page"/>
      </w:r>
    </w:p>
    <w:p>
      <w:pPr>
        <w:shd w:val="clear"/>
        <w:outlineLvl w:val="1"/>
        <w:rPr>
          <w:rFonts w:ascii="宋体" w:hAnsi="宋体" w:cs="宋体"/>
          <w:color w:val="auto"/>
          <w:sz w:val="72"/>
          <w:szCs w:val="72"/>
          <w:highlight w:val="none"/>
        </w:rPr>
        <w:sectPr>
          <w:pgSz w:w="11906" w:h="16838"/>
          <w:pgMar w:top="1440" w:right="1800" w:bottom="1440" w:left="1800" w:header="708" w:footer="708" w:gutter="0"/>
          <w:cols w:space="708" w:num="1"/>
          <w:titlePg/>
          <w:docGrid w:type="lines" w:linePitch="360" w:charSpace="0"/>
        </w:sectPr>
      </w:pPr>
    </w:p>
    <w:bookmarkEnd w:id="213"/>
    <w:p>
      <w:pPr>
        <w:pStyle w:val="6"/>
        <w:numPr>
          <w:ilvl w:val="255"/>
          <w:numId w:val="0"/>
        </w:numPr>
        <w:shd w:val="clear"/>
        <w:tabs>
          <w:tab w:val="left" w:pos="720"/>
          <w:tab w:val="left" w:pos="3840"/>
        </w:tabs>
        <w:ind w:left="283"/>
        <w:jc w:val="both"/>
        <w:rPr>
          <w:rFonts w:ascii="宋体" w:hAnsi="宋体" w:cs="宋体"/>
          <w:color w:val="auto"/>
          <w:sz w:val="21"/>
          <w:szCs w:val="21"/>
          <w:highlight w:val="none"/>
        </w:rPr>
      </w:pPr>
      <w:bookmarkStart w:id="215" w:name="_Toc31340"/>
      <w:r>
        <w:rPr>
          <w:rFonts w:hint="eastAsia" w:ascii="宋体" w:hAnsi="宋体" w:cs="宋体"/>
          <w:color w:val="auto"/>
          <w:sz w:val="21"/>
          <w:szCs w:val="21"/>
          <w:highlight w:val="none"/>
        </w:rPr>
        <w:t>附件21.唱标信封内装（内容务必与投标文件正本一致）</w:t>
      </w:r>
      <w:bookmarkEnd w:id="215"/>
    </w:p>
    <w:p>
      <w:pPr>
        <w:numPr>
          <w:ilvl w:val="0"/>
          <w:numId w:val="14"/>
        </w:numPr>
        <w:shd w:val="clear"/>
        <w:ind w:firstLineChars="200"/>
        <w:rPr>
          <w:rFonts w:ascii="宋体" w:hAnsi="宋体" w:cs="宋体"/>
          <w:color w:val="auto"/>
          <w:szCs w:val="21"/>
          <w:highlight w:val="none"/>
        </w:rPr>
      </w:pPr>
      <w:r>
        <w:rPr>
          <w:rFonts w:hint="eastAsia" w:ascii="宋体" w:hAnsi="宋体" w:cs="宋体"/>
          <w:color w:val="auto"/>
          <w:szCs w:val="21"/>
          <w:highlight w:val="none"/>
        </w:rPr>
        <w:t>开标一览表加盖公章；</w:t>
      </w:r>
    </w:p>
    <w:p>
      <w:pPr>
        <w:numPr>
          <w:ilvl w:val="0"/>
          <w:numId w:val="14"/>
        </w:numPr>
        <w:shd w:val="clear"/>
        <w:ind w:firstLineChars="200"/>
        <w:rPr>
          <w:rFonts w:ascii="宋体" w:hAnsi="宋体" w:cs="宋体"/>
          <w:color w:val="auto"/>
          <w:szCs w:val="21"/>
          <w:highlight w:val="none"/>
        </w:rPr>
      </w:pPr>
      <w:r>
        <w:rPr>
          <w:rFonts w:hint="eastAsia" w:ascii="宋体" w:hAnsi="宋体" w:cs="宋体"/>
          <w:color w:val="auto"/>
          <w:szCs w:val="21"/>
          <w:highlight w:val="none"/>
        </w:rPr>
        <w:t>法定代表人证明书加盖公章；</w:t>
      </w:r>
    </w:p>
    <w:p>
      <w:pPr>
        <w:numPr>
          <w:ilvl w:val="0"/>
          <w:numId w:val="14"/>
        </w:numPr>
        <w:shd w:val="clear"/>
        <w:ind w:firstLineChars="200"/>
        <w:rPr>
          <w:rFonts w:ascii="宋体" w:hAnsi="宋体" w:cs="宋体"/>
          <w:color w:val="auto"/>
          <w:szCs w:val="21"/>
          <w:highlight w:val="none"/>
        </w:rPr>
      </w:pPr>
      <w:r>
        <w:rPr>
          <w:rFonts w:hint="eastAsia" w:ascii="宋体" w:hAnsi="宋体" w:cs="宋体"/>
          <w:color w:val="auto"/>
          <w:szCs w:val="21"/>
          <w:highlight w:val="none"/>
        </w:rPr>
        <w:t>法定代表人授权委托书加盖公章（法定代表人投标的除外）；</w:t>
      </w:r>
    </w:p>
    <w:p>
      <w:pPr>
        <w:numPr>
          <w:ilvl w:val="0"/>
          <w:numId w:val="14"/>
        </w:numPr>
        <w:shd w:val="clear"/>
        <w:ind w:firstLineChars="200"/>
        <w:rPr>
          <w:rFonts w:ascii="宋体" w:hAnsi="宋体" w:cs="宋体"/>
          <w:color w:val="auto"/>
          <w:szCs w:val="21"/>
          <w:highlight w:val="none"/>
        </w:rPr>
      </w:pPr>
      <w:r>
        <w:rPr>
          <w:rFonts w:hint="eastAsia" w:ascii="宋体" w:hAnsi="宋体" w:cs="宋体"/>
          <w:color w:val="auto"/>
          <w:szCs w:val="21"/>
          <w:highlight w:val="none"/>
        </w:rPr>
        <w:t>投标保证金汇入情况说明（含银行汇款凭证）或投标保函加盖公章；</w:t>
      </w:r>
    </w:p>
    <w:p>
      <w:pPr>
        <w:numPr>
          <w:ilvl w:val="0"/>
          <w:numId w:val="14"/>
        </w:numPr>
        <w:shd w:val="clear"/>
        <w:ind w:firstLineChars="200"/>
        <w:rPr>
          <w:rFonts w:ascii="宋体" w:hAnsi="宋体" w:cs="宋体"/>
          <w:color w:val="auto"/>
          <w:szCs w:val="21"/>
          <w:highlight w:val="none"/>
        </w:rPr>
      </w:pPr>
      <w:r>
        <w:rPr>
          <w:rFonts w:hint="eastAsia" w:ascii="宋体" w:hAnsi="宋体" w:cs="宋体"/>
          <w:color w:val="auto"/>
          <w:szCs w:val="21"/>
          <w:highlight w:val="none"/>
        </w:rPr>
        <w:t>投标文件电子文件（U盘，须含盖章版PDF投标文件和WORD版投标文件各一版，文字采用WORD文档，计算表格采用 EXCEL文档。）</w:t>
      </w:r>
    </w:p>
    <w:p>
      <w:pPr>
        <w:shd w:val="clear"/>
        <w:rPr>
          <w:rFonts w:ascii="宋体" w:hAnsi="宋体" w:cs="宋体"/>
          <w:color w:val="auto"/>
          <w:szCs w:val="21"/>
          <w:highlight w:val="none"/>
        </w:rPr>
      </w:pPr>
    </w:p>
    <w:p>
      <w:pPr>
        <w:pStyle w:val="2"/>
        <w:shd w:val="clear"/>
        <w:rPr>
          <w:color w:val="auto"/>
          <w:highlight w:val="none"/>
        </w:rPr>
      </w:pPr>
    </w:p>
    <w:sectPr>
      <w:pgSz w:w="11906" w:h="16838"/>
      <w:pgMar w:top="1440" w:right="1800" w:bottom="1440" w:left="1800" w:header="708" w:footer="708" w:gutter="0"/>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839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088390" cy="1828800"/>
                      </a:xfrm>
                      <a:prstGeom prst="rect">
                        <a:avLst/>
                      </a:prstGeom>
                      <a:noFill/>
                      <a:ln>
                        <a:noFill/>
                      </a:ln>
                    </wps:spPr>
                    <wps:txbx>
                      <w:txbxContent>
                        <w:p>
                          <w:pPr>
                            <w:pStyle w:val="1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6" o:spid="_x0000_s1026" o:spt="202" type="#_x0000_t202" style="position:absolute;left:0pt;margin-top:0pt;height:144pt;width:85.7pt;mso-position-horizontal:center;mso-position-horizontal-relative:margin;z-index:251659264;mso-width-relative:page;mso-height-relative:page;" filled="f" stroked="f" coordsize="21600,21600" o:gfxdata="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xsfqk0wAAAAUB&#10;AAAPAAAAAAAAAAEAIAAAACIAAABkcnMvZG93bnJldi54bWxQSwECFAAUAAAACACHTuJAwUn3La4B&#10;AABCAwAADgAAAAAAAAABACAAAAAiAQAAZHJzL2Uyb0RvYy54bWxQSwUGAAAAAAYABgBZAQAAQgUA&#10;AAAA&#10;">
              <v:fill on="f" focussize="0,0"/>
              <v:stroke on="f"/>
              <v:imagedata o:title=""/>
              <o:lock v:ext="edit" aspectratio="f"/>
              <v:textbox inset="0mm,0mm,0mm,0mm" style="mso-fit-shape-to-text:t;">
                <w:txbxContent>
                  <w:p>
                    <w:pPr>
                      <w:pStyle w:val="1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062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50620" cy="1828800"/>
                      </a:xfrm>
                      <a:prstGeom prst="rect">
                        <a:avLst/>
                      </a:prstGeom>
                      <a:noFill/>
                      <a:ln>
                        <a:noFill/>
                      </a:ln>
                    </wps:spPr>
                    <wps:txbx>
                      <w:txbxContent>
                        <w:p>
                          <w:pPr>
                            <w:pStyle w:val="1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5" o:spid="_x0000_s1026" o:spt="202" type="#_x0000_t202" style="position:absolute;left:0pt;margin-top:0pt;height:144pt;width:90.6pt;mso-position-horizontal:center;mso-position-horizontal-relative:margin;z-index:251660288;mso-width-relative:page;mso-height-relative:page;" filled="f" stroked="f" coordsize="21600,21600" o:gfxdata="UEsDBAoAAAAAAIdO4kAAAAAAAAAAAAAAAAAEAAAAZHJzL1BLAwQUAAAACACHTuJARggSLN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RggSLNIAAAAFAQAA&#10;DwAAAAAAAAABACAAAAAiAAAAZHJzL2Rvd25yZXYueG1sUEsBAhQAFAAAAAgAh07iQPzF/Y2tAQAA&#10;QgMAAA4AAAAAAAAAAQAgAAAAIQEAAGRycy9lMm9Eb2MueG1sUEsFBgAAAAAGAAYAWQEAAEAFAAAA&#10;AA==&#10;">
              <v:fill on="f" focussize="0,0"/>
              <v:stroke on="f"/>
              <v:imagedata o:title=""/>
              <o:lock v:ext="edit" aspectratio="f"/>
              <v:textbox inset="0mm,0mm,0mm,0mm" style="mso-fit-shape-to-text:t;">
                <w:txbxContent>
                  <w:p>
                    <w:pPr>
                      <w:pStyle w:val="1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w:pict>
        <v:shape id="PowerPlusWaterMarkObject20114" o:spid="_x0000_s4113" o:spt="136" type="#_x0000_t136" style="position:absolute;left:0pt;height:73.1pt;width:514.15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东实环境  20230921"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w:pict>
        <v:shape id="_x0000_s4114" o:spid="_x0000_s4114" o:spt="136" type="#_x0000_t136" style="position:absolute;left:0pt;height:73.1pt;width:514.15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东实环境  20230921" style="font-family:微软雅黑;font-size:3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r>
      <w:rPr>
        <w:sz w:val="18"/>
      </w:rPr>
      <w:pict>
        <v:shape id="_x0000_s4115" o:spid="_x0000_s4115" o:spt="136" type="#_x0000_t136" style="position:absolute;left:0pt;height:73.1pt;width:514.15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shape="t" fitpath="t" trim="t" xscale="f" string="东实环境  20230921"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w:pict>
        <v:shape id="_x0000_s4116" o:spid="_x0000_s4116" o:spt="136" type="#_x0000_t136" style="position:absolute;left:0pt;height:73.1pt;width:514.15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东实环境  20230921"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555E15"/>
    <w:multiLevelType w:val="singleLevel"/>
    <w:tmpl w:val="C9555E15"/>
    <w:lvl w:ilvl="0" w:tentative="0">
      <w:start w:val="1"/>
      <w:numFmt w:val="decimal"/>
      <w:lvlText w:val="(%1)"/>
      <w:lvlJc w:val="left"/>
      <w:pPr>
        <w:ind w:left="425" w:hanging="425"/>
      </w:pPr>
      <w:rPr>
        <w:rFonts w:hint="default"/>
      </w:rPr>
    </w:lvl>
  </w:abstractNum>
  <w:abstractNum w:abstractNumId="1">
    <w:nsid w:val="CC23954B"/>
    <w:multiLevelType w:val="multilevel"/>
    <w:tmpl w:val="CC23954B"/>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D0047B7E"/>
    <w:multiLevelType w:val="singleLevel"/>
    <w:tmpl w:val="D0047B7E"/>
    <w:lvl w:ilvl="0" w:tentative="0">
      <w:start w:val="1"/>
      <w:numFmt w:val="decimal"/>
      <w:suff w:val="nothing"/>
      <w:lvlText w:val="%1、"/>
      <w:lvlJc w:val="left"/>
    </w:lvl>
  </w:abstractNum>
  <w:abstractNum w:abstractNumId="3">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183C604A"/>
    <w:multiLevelType w:val="singleLevel"/>
    <w:tmpl w:val="183C604A"/>
    <w:lvl w:ilvl="0" w:tentative="0">
      <w:start w:val="1"/>
      <w:numFmt w:val="japaneseCounting"/>
      <w:lvlText w:val="%1、"/>
      <w:lvlJc w:val="left"/>
      <w:pPr>
        <w:tabs>
          <w:tab w:val="left" w:pos="960"/>
        </w:tabs>
        <w:ind w:left="960" w:hanging="480"/>
      </w:pPr>
      <w:rPr>
        <w:rFonts w:hint="eastAsia"/>
        <w:b/>
      </w:rPr>
    </w:lvl>
  </w:abstractNum>
  <w:abstractNum w:abstractNumId="6">
    <w:nsid w:val="1CE6578E"/>
    <w:multiLevelType w:val="multilevel"/>
    <w:tmpl w:val="1CE6578E"/>
    <w:lvl w:ilvl="0" w:tentative="0">
      <w:start w:val="1"/>
      <w:numFmt w:val="japaneseCounting"/>
      <w:lvlText w:val="（%1）"/>
      <w:lvlJc w:val="left"/>
      <w:pPr>
        <w:ind w:left="1140" w:hanging="735"/>
      </w:pPr>
      <w:rPr>
        <w:rFonts w:hint="default"/>
      </w:r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abstractNum w:abstractNumId="7">
    <w:nsid w:val="20D2348B"/>
    <w:multiLevelType w:val="singleLevel"/>
    <w:tmpl w:val="20D2348B"/>
    <w:lvl w:ilvl="0" w:tentative="0">
      <w:start w:val="1"/>
      <w:numFmt w:val="chineseCounting"/>
      <w:suff w:val="nothing"/>
      <w:lvlText w:val="（%1）"/>
      <w:lvlJc w:val="left"/>
      <w:rPr>
        <w:rFonts w:hint="eastAsia"/>
      </w:rPr>
    </w:lvl>
  </w:abstractNum>
  <w:abstractNum w:abstractNumId="8">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3F88662E"/>
    <w:multiLevelType w:val="singleLevel"/>
    <w:tmpl w:val="3F88662E"/>
    <w:lvl w:ilvl="0" w:tentative="0">
      <w:start w:val="1"/>
      <w:numFmt w:val="decimal"/>
      <w:suff w:val="space"/>
      <w:lvlText w:val="%1)"/>
      <w:lvlJc w:val="left"/>
    </w:lvl>
  </w:abstractNum>
  <w:abstractNum w:abstractNumId="10">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12">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10"/>
  </w:num>
  <w:num w:numId="2">
    <w:abstractNumId w:val="8"/>
  </w:num>
  <w:num w:numId="3">
    <w:abstractNumId w:val="1"/>
  </w:num>
  <w:num w:numId="4">
    <w:abstractNumId w:val="13"/>
  </w:num>
  <w:num w:numId="5">
    <w:abstractNumId w:val="9"/>
  </w:num>
  <w:num w:numId="6">
    <w:abstractNumId w:val="0"/>
  </w:num>
  <w:num w:numId="7">
    <w:abstractNumId w:val="4"/>
  </w:num>
  <w:num w:numId="8">
    <w:abstractNumId w:val="5"/>
  </w:num>
  <w:num w:numId="9">
    <w:abstractNumId w:val="6"/>
  </w:num>
  <w:num w:numId="10">
    <w:abstractNumId w:val="3"/>
  </w:num>
  <w:num w:numId="11">
    <w:abstractNumId w:val="7"/>
  </w:num>
  <w:num w:numId="12">
    <w:abstractNumId w:val="2"/>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ocumentProtection w:enforcement="0"/>
  <w:defaultTabStop w:val="720"/>
  <w:drawingGridHorizontalSpacing w:val="110"/>
  <w:noPunctuationKerning w:val="1"/>
  <w:characterSpacingControl w:val="doNotCompress"/>
  <w:hdrShapeDefaults>
    <o:shapelayout v:ext="edit">
      <o:idmap v:ext="edit" data="3,4"/>
    </o:shapelayout>
  </w:hdrShapeDefault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3Nzc3NmQwMmFhMTgzMDQ1YjA3ZDBjYmEyZWQwYmMifQ=="/>
  </w:docVars>
  <w:rsids>
    <w:rsidRoot w:val="00172A27"/>
    <w:rsid w:val="00005A66"/>
    <w:rsid w:val="00006462"/>
    <w:rsid w:val="000300E4"/>
    <w:rsid w:val="0003307E"/>
    <w:rsid w:val="000336BA"/>
    <w:rsid w:val="000359A1"/>
    <w:rsid w:val="0005185D"/>
    <w:rsid w:val="0007500F"/>
    <w:rsid w:val="0008282E"/>
    <w:rsid w:val="00084F6D"/>
    <w:rsid w:val="00093A13"/>
    <w:rsid w:val="000A363F"/>
    <w:rsid w:val="000A42A8"/>
    <w:rsid w:val="000A5063"/>
    <w:rsid w:val="000A5DBD"/>
    <w:rsid w:val="000C4524"/>
    <w:rsid w:val="000D44A6"/>
    <w:rsid w:val="000E2CB7"/>
    <w:rsid w:val="000F0E98"/>
    <w:rsid w:val="000F1444"/>
    <w:rsid w:val="001049A5"/>
    <w:rsid w:val="001120E0"/>
    <w:rsid w:val="00121ADA"/>
    <w:rsid w:val="001242F3"/>
    <w:rsid w:val="001332BB"/>
    <w:rsid w:val="00134CAD"/>
    <w:rsid w:val="001368B7"/>
    <w:rsid w:val="0013730B"/>
    <w:rsid w:val="00137853"/>
    <w:rsid w:val="00137E1C"/>
    <w:rsid w:val="00147012"/>
    <w:rsid w:val="00172A27"/>
    <w:rsid w:val="00173126"/>
    <w:rsid w:val="00173905"/>
    <w:rsid w:val="00173E04"/>
    <w:rsid w:val="00175D29"/>
    <w:rsid w:val="001833A1"/>
    <w:rsid w:val="001844F4"/>
    <w:rsid w:val="00185039"/>
    <w:rsid w:val="001852D7"/>
    <w:rsid w:val="001A06D8"/>
    <w:rsid w:val="001A2D42"/>
    <w:rsid w:val="001A2EF7"/>
    <w:rsid w:val="001B1F14"/>
    <w:rsid w:val="001B41CF"/>
    <w:rsid w:val="001B5860"/>
    <w:rsid w:val="001C1135"/>
    <w:rsid w:val="001C15AE"/>
    <w:rsid w:val="001C4661"/>
    <w:rsid w:val="001C5689"/>
    <w:rsid w:val="001C6E4B"/>
    <w:rsid w:val="001F0070"/>
    <w:rsid w:val="001F4B02"/>
    <w:rsid w:val="001F6BC7"/>
    <w:rsid w:val="002065A7"/>
    <w:rsid w:val="0021149E"/>
    <w:rsid w:val="00213021"/>
    <w:rsid w:val="00216BE9"/>
    <w:rsid w:val="00221E7A"/>
    <w:rsid w:val="0022503E"/>
    <w:rsid w:val="00225BB4"/>
    <w:rsid w:val="00226205"/>
    <w:rsid w:val="00226313"/>
    <w:rsid w:val="002373BB"/>
    <w:rsid w:val="00240F5F"/>
    <w:rsid w:val="00247224"/>
    <w:rsid w:val="00247AE0"/>
    <w:rsid w:val="00260AC1"/>
    <w:rsid w:val="0026312D"/>
    <w:rsid w:val="0027078E"/>
    <w:rsid w:val="0028395F"/>
    <w:rsid w:val="00284156"/>
    <w:rsid w:val="00285643"/>
    <w:rsid w:val="002867A1"/>
    <w:rsid w:val="002901F8"/>
    <w:rsid w:val="002920A4"/>
    <w:rsid w:val="002B4087"/>
    <w:rsid w:val="002B5F6C"/>
    <w:rsid w:val="002C6C78"/>
    <w:rsid w:val="002D1594"/>
    <w:rsid w:val="002D3F9C"/>
    <w:rsid w:val="002D503C"/>
    <w:rsid w:val="002D7E27"/>
    <w:rsid w:val="002E17E5"/>
    <w:rsid w:val="002E6B7E"/>
    <w:rsid w:val="002F0FC9"/>
    <w:rsid w:val="0030669E"/>
    <w:rsid w:val="003101A3"/>
    <w:rsid w:val="00320CEA"/>
    <w:rsid w:val="00323B43"/>
    <w:rsid w:val="00326831"/>
    <w:rsid w:val="003274CE"/>
    <w:rsid w:val="003361E9"/>
    <w:rsid w:val="003430F6"/>
    <w:rsid w:val="00353842"/>
    <w:rsid w:val="0035595E"/>
    <w:rsid w:val="00381C26"/>
    <w:rsid w:val="0038564C"/>
    <w:rsid w:val="00387CE4"/>
    <w:rsid w:val="00393B1D"/>
    <w:rsid w:val="003A1D97"/>
    <w:rsid w:val="003C18EB"/>
    <w:rsid w:val="003C1E4E"/>
    <w:rsid w:val="003C32D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203B9"/>
    <w:rsid w:val="004322A2"/>
    <w:rsid w:val="004358AB"/>
    <w:rsid w:val="00451EB4"/>
    <w:rsid w:val="00460B31"/>
    <w:rsid w:val="00462105"/>
    <w:rsid w:val="00475A80"/>
    <w:rsid w:val="00475BB4"/>
    <w:rsid w:val="00490B9E"/>
    <w:rsid w:val="00497577"/>
    <w:rsid w:val="004A05D7"/>
    <w:rsid w:val="004A2B28"/>
    <w:rsid w:val="004A69F1"/>
    <w:rsid w:val="004B3550"/>
    <w:rsid w:val="004B3F06"/>
    <w:rsid w:val="004C7FD6"/>
    <w:rsid w:val="004D08C0"/>
    <w:rsid w:val="004D1669"/>
    <w:rsid w:val="004D1736"/>
    <w:rsid w:val="004D406B"/>
    <w:rsid w:val="004D51A2"/>
    <w:rsid w:val="004D5AFB"/>
    <w:rsid w:val="004E04FD"/>
    <w:rsid w:val="004F1BB7"/>
    <w:rsid w:val="0050759C"/>
    <w:rsid w:val="00510827"/>
    <w:rsid w:val="005267F1"/>
    <w:rsid w:val="005269A9"/>
    <w:rsid w:val="00532034"/>
    <w:rsid w:val="00545D9A"/>
    <w:rsid w:val="00546A42"/>
    <w:rsid w:val="0055408D"/>
    <w:rsid w:val="0057492D"/>
    <w:rsid w:val="0058523E"/>
    <w:rsid w:val="00590819"/>
    <w:rsid w:val="00593D68"/>
    <w:rsid w:val="005A208B"/>
    <w:rsid w:val="005A555E"/>
    <w:rsid w:val="005A7612"/>
    <w:rsid w:val="005B58A6"/>
    <w:rsid w:val="005C57E1"/>
    <w:rsid w:val="005C702E"/>
    <w:rsid w:val="005D01B8"/>
    <w:rsid w:val="005D066B"/>
    <w:rsid w:val="005D2D85"/>
    <w:rsid w:val="005D52E7"/>
    <w:rsid w:val="005F021D"/>
    <w:rsid w:val="005F20A4"/>
    <w:rsid w:val="005F4EAE"/>
    <w:rsid w:val="005F573A"/>
    <w:rsid w:val="005F660B"/>
    <w:rsid w:val="005F7EB1"/>
    <w:rsid w:val="00604B81"/>
    <w:rsid w:val="0061246F"/>
    <w:rsid w:val="00613417"/>
    <w:rsid w:val="00613B25"/>
    <w:rsid w:val="0061545F"/>
    <w:rsid w:val="006175DE"/>
    <w:rsid w:val="006215AC"/>
    <w:rsid w:val="00621821"/>
    <w:rsid w:val="00622362"/>
    <w:rsid w:val="00622497"/>
    <w:rsid w:val="006276AD"/>
    <w:rsid w:val="006347A6"/>
    <w:rsid w:val="006378D4"/>
    <w:rsid w:val="00641E8C"/>
    <w:rsid w:val="0064416A"/>
    <w:rsid w:val="006476E3"/>
    <w:rsid w:val="00650DDC"/>
    <w:rsid w:val="00652983"/>
    <w:rsid w:val="0065365D"/>
    <w:rsid w:val="006546D0"/>
    <w:rsid w:val="006576FD"/>
    <w:rsid w:val="00664F6B"/>
    <w:rsid w:val="006731D2"/>
    <w:rsid w:val="00680EB0"/>
    <w:rsid w:val="00682986"/>
    <w:rsid w:val="00691701"/>
    <w:rsid w:val="00691AE0"/>
    <w:rsid w:val="0069491E"/>
    <w:rsid w:val="006B004E"/>
    <w:rsid w:val="006B3E6C"/>
    <w:rsid w:val="006B4832"/>
    <w:rsid w:val="006B7878"/>
    <w:rsid w:val="006C14BD"/>
    <w:rsid w:val="006C28E5"/>
    <w:rsid w:val="006C67A9"/>
    <w:rsid w:val="006D393E"/>
    <w:rsid w:val="006D43C5"/>
    <w:rsid w:val="006D4AD8"/>
    <w:rsid w:val="006E0B58"/>
    <w:rsid w:val="006E0C4B"/>
    <w:rsid w:val="00704F7B"/>
    <w:rsid w:val="007110BA"/>
    <w:rsid w:val="00711465"/>
    <w:rsid w:val="00716E96"/>
    <w:rsid w:val="00723B11"/>
    <w:rsid w:val="007343A7"/>
    <w:rsid w:val="00734BB2"/>
    <w:rsid w:val="00737823"/>
    <w:rsid w:val="0075028E"/>
    <w:rsid w:val="007528A6"/>
    <w:rsid w:val="007608B9"/>
    <w:rsid w:val="007724B4"/>
    <w:rsid w:val="0077462B"/>
    <w:rsid w:val="007902ED"/>
    <w:rsid w:val="007916E7"/>
    <w:rsid w:val="00797C5D"/>
    <w:rsid w:val="00797D2F"/>
    <w:rsid w:val="007A34B9"/>
    <w:rsid w:val="007A3EF1"/>
    <w:rsid w:val="007A4DB3"/>
    <w:rsid w:val="007A6F47"/>
    <w:rsid w:val="007A7779"/>
    <w:rsid w:val="007C4F46"/>
    <w:rsid w:val="007C7297"/>
    <w:rsid w:val="007D1B4F"/>
    <w:rsid w:val="007D2F9E"/>
    <w:rsid w:val="007D3175"/>
    <w:rsid w:val="007D48BF"/>
    <w:rsid w:val="007D5C45"/>
    <w:rsid w:val="007E2543"/>
    <w:rsid w:val="007E4A26"/>
    <w:rsid w:val="007E7A17"/>
    <w:rsid w:val="007F01B0"/>
    <w:rsid w:val="007F259D"/>
    <w:rsid w:val="007F2CD8"/>
    <w:rsid w:val="007F4DC5"/>
    <w:rsid w:val="00806380"/>
    <w:rsid w:val="0081104F"/>
    <w:rsid w:val="0081319A"/>
    <w:rsid w:val="00822299"/>
    <w:rsid w:val="0083486A"/>
    <w:rsid w:val="00837E35"/>
    <w:rsid w:val="00841378"/>
    <w:rsid w:val="00842B87"/>
    <w:rsid w:val="00845BEB"/>
    <w:rsid w:val="008472E6"/>
    <w:rsid w:val="008518B4"/>
    <w:rsid w:val="00853463"/>
    <w:rsid w:val="008548BD"/>
    <w:rsid w:val="0086026F"/>
    <w:rsid w:val="008640F5"/>
    <w:rsid w:val="0087704E"/>
    <w:rsid w:val="008907DA"/>
    <w:rsid w:val="008A0587"/>
    <w:rsid w:val="008A7273"/>
    <w:rsid w:val="008B55B9"/>
    <w:rsid w:val="008B7726"/>
    <w:rsid w:val="008C05BA"/>
    <w:rsid w:val="008D429E"/>
    <w:rsid w:val="008D5A10"/>
    <w:rsid w:val="008E319F"/>
    <w:rsid w:val="008E619C"/>
    <w:rsid w:val="008F6E0E"/>
    <w:rsid w:val="00906F49"/>
    <w:rsid w:val="00907417"/>
    <w:rsid w:val="00914604"/>
    <w:rsid w:val="00916A34"/>
    <w:rsid w:val="0092092D"/>
    <w:rsid w:val="00923533"/>
    <w:rsid w:val="00930A38"/>
    <w:rsid w:val="00934170"/>
    <w:rsid w:val="00942948"/>
    <w:rsid w:val="009474B5"/>
    <w:rsid w:val="00953E98"/>
    <w:rsid w:val="00960F22"/>
    <w:rsid w:val="00972D86"/>
    <w:rsid w:val="009736BF"/>
    <w:rsid w:val="0097392B"/>
    <w:rsid w:val="00976066"/>
    <w:rsid w:val="00980A66"/>
    <w:rsid w:val="009904F7"/>
    <w:rsid w:val="009910F6"/>
    <w:rsid w:val="009A07B1"/>
    <w:rsid w:val="009A6B4A"/>
    <w:rsid w:val="009A7058"/>
    <w:rsid w:val="009C19DE"/>
    <w:rsid w:val="009C23A6"/>
    <w:rsid w:val="009C5206"/>
    <w:rsid w:val="009C6AD9"/>
    <w:rsid w:val="009E398C"/>
    <w:rsid w:val="009E6F05"/>
    <w:rsid w:val="009F644E"/>
    <w:rsid w:val="009F6A05"/>
    <w:rsid w:val="00A01BE2"/>
    <w:rsid w:val="00A10906"/>
    <w:rsid w:val="00A12E66"/>
    <w:rsid w:val="00A13E78"/>
    <w:rsid w:val="00A14EEF"/>
    <w:rsid w:val="00A23304"/>
    <w:rsid w:val="00A275C2"/>
    <w:rsid w:val="00A3295D"/>
    <w:rsid w:val="00A4012F"/>
    <w:rsid w:val="00A4190E"/>
    <w:rsid w:val="00A42E91"/>
    <w:rsid w:val="00A50383"/>
    <w:rsid w:val="00A61230"/>
    <w:rsid w:val="00A668C8"/>
    <w:rsid w:val="00A74ED3"/>
    <w:rsid w:val="00A813C5"/>
    <w:rsid w:val="00A824E6"/>
    <w:rsid w:val="00A832CD"/>
    <w:rsid w:val="00A858DC"/>
    <w:rsid w:val="00A94D14"/>
    <w:rsid w:val="00AA0EAD"/>
    <w:rsid w:val="00AB19CE"/>
    <w:rsid w:val="00AB2133"/>
    <w:rsid w:val="00AB3969"/>
    <w:rsid w:val="00AC0E7A"/>
    <w:rsid w:val="00AC187B"/>
    <w:rsid w:val="00AE310E"/>
    <w:rsid w:val="00AE4FC5"/>
    <w:rsid w:val="00AF1B1B"/>
    <w:rsid w:val="00AF5F1F"/>
    <w:rsid w:val="00B027A4"/>
    <w:rsid w:val="00B04202"/>
    <w:rsid w:val="00B236B3"/>
    <w:rsid w:val="00B26806"/>
    <w:rsid w:val="00B31B24"/>
    <w:rsid w:val="00B4287F"/>
    <w:rsid w:val="00B4315F"/>
    <w:rsid w:val="00B43306"/>
    <w:rsid w:val="00B60DAB"/>
    <w:rsid w:val="00B61CB1"/>
    <w:rsid w:val="00B63189"/>
    <w:rsid w:val="00B67B5C"/>
    <w:rsid w:val="00B7194E"/>
    <w:rsid w:val="00B73575"/>
    <w:rsid w:val="00B7380A"/>
    <w:rsid w:val="00B763B0"/>
    <w:rsid w:val="00B91005"/>
    <w:rsid w:val="00B92951"/>
    <w:rsid w:val="00B93045"/>
    <w:rsid w:val="00B93169"/>
    <w:rsid w:val="00B950B6"/>
    <w:rsid w:val="00BA4130"/>
    <w:rsid w:val="00BB2CAF"/>
    <w:rsid w:val="00BB79B5"/>
    <w:rsid w:val="00BC3E74"/>
    <w:rsid w:val="00BD630F"/>
    <w:rsid w:val="00BD7C1B"/>
    <w:rsid w:val="00BE0825"/>
    <w:rsid w:val="00BE2EE6"/>
    <w:rsid w:val="00BF17FD"/>
    <w:rsid w:val="00BF2820"/>
    <w:rsid w:val="00BF41D4"/>
    <w:rsid w:val="00BF5AFB"/>
    <w:rsid w:val="00C16734"/>
    <w:rsid w:val="00C17B47"/>
    <w:rsid w:val="00C25C77"/>
    <w:rsid w:val="00C303E7"/>
    <w:rsid w:val="00C319C2"/>
    <w:rsid w:val="00C53CE5"/>
    <w:rsid w:val="00C612F8"/>
    <w:rsid w:val="00C62E44"/>
    <w:rsid w:val="00C63BD8"/>
    <w:rsid w:val="00C65954"/>
    <w:rsid w:val="00C7126B"/>
    <w:rsid w:val="00C72C24"/>
    <w:rsid w:val="00C73468"/>
    <w:rsid w:val="00C74986"/>
    <w:rsid w:val="00C80EC4"/>
    <w:rsid w:val="00C8568E"/>
    <w:rsid w:val="00CA32B5"/>
    <w:rsid w:val="00CB57AD"/>
    <w:rsid w:val="00CC009D"/>
    <w:rsid w:val="00CC584A"/>
    <w:rsid w:val="00CC5E4E"/>
    <w:rsid w:val="00CD0EAB"/>
    <w:rsid w:val="00CE2AF3"/>
    <w:rsid w:val="00CE621D"/>
    <w:rsid w:val="00CE66E8"/>
    <w:rsid w:val="00D05388"/>
    <w:rsid w:val="00D114CD"/>
    <w:rsid w:val="00D14476"/>
    <w:rsid w:val="00D232FF"/>
    <w:rsid w:val="00D279AA"/>
    <w:rsid w:val="00D31215"/>
    <w:rsid w:val="00D34544"/>
    <w:rsid w:val="00D34841"/>
    <w:rsid w:val="00D4444E"/>
    <w:rsid w:val="00D44A97"/>
    <w:rsid w:val="00D45C0C"/>
    <w:rsid w:val="00D508A5"/>
    <w:rsid w:val="00D5104B"/>
    <w:rsid w:val="00D555D8"/>
    <w:rsid w:val="00D60778"/>
    <w:rsid w:val="00D63EB2"/>
    <w:rsid w:val="00D64D28"/>
    <w:rsid w:val="00D6604D"/>
    <w:rsid w:val="00D677F1"/>
    <w:rsid w:val="00D74601"/>
    <w:rsid w:val="00D83E46"/>
    <w:rsid w:val="00D847B6"/>
    <w:rsid w:val="00D93958"/>
    <w:rsid w:val="00D951D3"/>
    <w:rsid w:val="00DA1DB9"/>
    <w:rsid w:val="00DA6169"/>
    <w:rsid w:val="00DA7B28"/>
    <w:rsid w:val="00DB5480"/>
    <w:rsid w:val="00DB6317"/>
    <w:rsid w:val="00DC2FC5"/>
    <w:rsid w:val="00DC5AD9"/>
    <w:rsid w:val="00DC691F"/>
    <w:rsid w:val="00DD02DE"/>
    <w:rsid w:val="00DD07B7"/>
    <w:rsid w:val="00DD113C"/>
    <w:rsid w:val="00DD324C"/>
    <w:rsid w:val="00DE0BEB"/>
    <w:rsid w:val="00DE4856"/>
    <w:rsid w:val="00DF485B"/>
    <w:rsid w:val="00E0295D"/>
    <w:rsid w:val="00E042BC"/>
    <w:rsid w:val="00E132FE"/>
    <w:rsid w:val="00E21B77"/>
    <w:rsid w:val="00E23352"/>
    <w:rsid w:val="00E40CAD"/>
    <w:rsid w:val="00E40DC7"/>
    <w:rsid w:val="00E4215F"/>
    <w:rsid w:val="00E61D2E"/>
    <w:rsid w:val="00E62B7F"/>
    <w:rsid w:val="00E7066D"/>
    <w:rsid w:val="00E726BC"/>
    <w:rsid w:val="00E72821"/>
    <w:rsid w:val="00E75C82"/>
    <w:rsid w:val="00E81DDC"/>
    <w:rsid w:val="00E81F67"/>
    <w:rsid w:val="00E83650"/>
    <w:rsid w:val="00E83A31"/>
    <w:rsid w:val="00E93BF5"/>
    <w:rsid w:val="00E97CC0"/>
    <w:rsid w:val="00EA22B8"/>
    <w:rsid w:val="00EA2524"/>
    <w:rsid w:val="00EA33E7"/>
    <w:rsid w:val="00EC092D"/>
    <w:rsid w:val="00EC0DF8"/>
    <w:rsid w:val="00EC7F91"/>
    <w:rsid w:val="00ED378B"/>
    <w:rsid w:val="00EE08F9"/>
    <w:rsid w:val="00EE70B3"/>
    <w:rsid w:val="00EF24AA"/>
    <w:rsid w:val="00EF728A"/>
    <w:rsid w:val="00EF7D0D"/>
    <w:rsid w:val="00F00FF7"/>
    <w:rsid w:val="00F02093"/>
    <w:rsid w:val="00F068E3"/>
    <w:rsid w:val="00F10B5F"/>
    <w:rsid w:val="00F218C1"/>
    <w:rsid w:val="00F321EB"/>
    <w:rsid w:val="00F32B00"/>
    <w:rsid w:val="00F346CF"/>
    <w:rsid w:val="00F3610C"/>
    <w:rsid w:val="00F36839"/>
    <w:rsid w:val="00F52A5F"/>
    <w:rsid w:val="00F55954"/>
    <w:rsid w:val="00F57308"/>
    <w:rsid w:val="00F61962"/>
    <w:rsid w:val="00F62865"/>
    <w:rsid w:val="00F64022"/>
    <w:rsid w:val="00F64660"/>
    <w:rsid w:val="00F74FF3"/>
    <w:rsid w:val="00F97062"/>
    <w:rsid w:val="00F9745D"/>
    <w:rsid w:val="00FA07A9"/>
    <w:rsid w:val="00FA54B2"/>
    <w:rsid w:val="00FC0FCB"/>
    <w:rsid w:val="00FC529F"/>
    <w:rsid w:val="00FC66E1"/>
    <w:rsid w:val="00FC7B53"/>
    <w:rsid w:val="00FD48CC"/>
    <w:rsid w:val="00FE62D1"/>
    <w:rsid w:val="00FE7B94"/>
    <w:rsid w:val="00FF0736"/>
    <w:rsid w:val="00FF2515"/>
    <w:rsid w:val="00FF26BF"/>
    <w:rsid w:val="013C51B0"/>
    <w:rsid w:val="01651C23"/>
    <w:rsid w:val="018023CE"/>
    <w:rsid w:val="01881AD6"/>
    <w:rsid w:val="019127B6"/>
    <w:rsid w:val="01B71A01"/>
    <w:rsid w:val="01DC03CE"/>
    <w:rsid w:val="01E36F4E"/>
    <w:rsid w:val="0208150E"/>
    <w:rsid w:val="02287D63"/>
    <w:rsid w:val="024179E7"/>
    <w:rsid w:val="0246437B"/>
    <w:rsid w:val="02985CD5"/>
    <w:rsid w:val="02A741FD"/>
    <w:rsid w:val="02C16E5D"/>
    <w:rsid w:val="02D964CF"/>
    <w:rsid w:val="02DE5ECF"/>
    <w:rsid w:val="032E6AB8"/>
    <w:rsid w:val="03707410"/>
    <w:rsid w:val="039170C0"/>
    <w:rsid w:val="039240A3"/>
    <w:rsid w:val="03A0770F"/>
    <w:rsid w:val="03A27726"/>
    <w:rsid w:val="03A448B8"/>
    <w:rsid w:val="03B34A78"/>
    <w:rsid w:val="03C01631"/>
    <w:rsid w:val="03C656A9"/>
    <w:rsid w:val="03F33148"/>
    <w:rsid w:val="042F3419"/>
    <w:rsid w:val="04491596"/>
    <w:rsid w:val="047B4012"/>
    <w:rsid w:val="04822497"/>
    <w:rsid w:val="04974587"/>
    <w:rsid w:val="049A0C65"/>
    <w:rsid w:val="04A07C4B"/>
    <w:rsid w:val="04DF1036"/>
    <w:rsid w:val="04E24985"/>
    <w:rsid w:val="050C01DF"/>
    <w:rsid w:val="05316537"/>
    <w:rsid w:val="053A5A77"/>
    <w:rsid w:val="0599183C"/>
    <w:rsid w:val="05A97DEC"/>
    <w:rsid w:val="05B23978"/>
    <w:rsid w:val="05C81981"/>
    <w:rsid w:val="05FC20B9"/>
    <w:rsid w:val="060043AE"/>
    <w:rsid w:val="060C3203"/>
    <w:rsid w:val="06281344"/>
    <w:rsid w:val="062D4EC8"/>
    <w:rsid w:val="069B4E4A"/>
    <w:rsid w:val="06A26008"/>
    <w:rsid w:val="06BC41F2"/>
    <w:rsid w:val="06F415CC"/>
    <w:rsid w:val="070E26CD"/>
    <w:rsid w:val="07197D08"/>
    <w:rsid w:val="071E5C55"/>
    <w:rsid w:val="075C1FE5"/>
    <w:rsid w:val="077005AB"/>
    <w:rsid w:val="078F4581"/>
    <w:rsid w:val="07A715F3"/>
    <w:rsid w:val="07BF027F"/>
    <w:rsid w:val="07F06C60"/>
    <w:rsid w:val="08031A31"/>
    <w:rsid w:val="080E2872"/>
    <w:rsid w:val="08420CAE"/>
    <w:rsid w:val="089A508F"/>
    <w:rsid w:val="089A5AE8"/>
    <w:rsid w:val="09061A75"/>
    <w:rsid w:val="09182241"/>
    <w:rsid w:val="09325D4D"/>
    <w:rsid w:val="095F1030"/>
    <w:rsid w:val="09855177"/>
    <w:rsid w:val="09A17D47"/>
    <w:rsid w:val="09EE5125"/>
    <w:rsid w:val="0A3D7585"/>
    <w:rsid w:val="0A462748"/>
    <w:rsid w:val="0A4D0C81"/>
    <w:rsid w:val="0A723E95"/>
    <w:rsid w:val="0A733243"/>
    <w:rsid w:val="0AA534D5"/>
    <w:rsid w:val="0AA650EB"/>
    <w:rsid w:val="0AA7129C"/>
    <w:rsid w:val="0AF47339"/>
    <w:rsid w:val="0B121934"/>
    <w:rsid w:val="0B1F4D52"/>
    <w:rsid w:val="0B22594B"/>
    <w:rsid w:val="0B27506F"/>
    <w:rsid w:val="0B3061AD"/>
    <w:rsid w:val="0B9610F4"/>
    <w:rsid w:val="0BBF77A4"/>
    <w:rsid w:val="0BD16C8D"/>
    <w:rsid w:val="0BDF26F7"/>
    <w:rsid w:val="0C027DB2"/>
    <w:rsid w:val="0C2B4952"/>
    <w:rsid w:val="0C516C55"/>
    <w:rsid w:val="0C5D161C"/>
    <w:rsid w:val="0C7B2220"/>
    <w:rsid w:val="0CB67D83"/>
    <w:rsid w:val="0CCF79BE"/>
    <w:rsid w:val="0CD20599"/>
    <w:rsid w:val="0CE53018"/>
    <w:rsid w:val="0D0B5B12"/>
    <w:rsid w:val="0D133046"/>
    <w:rsid w:val="0D153F28"/>
    <w:rsid w:val="0D305390"/>
    <w:rsid w:val="0D3A0F98"/>
    <w:rsid w:val="0D5D37FD"/>
    <w:rsid w:val="0D6A4502"/>
    <w:rsid w:val="0D7415CA"/>
    <w:rsid w:val="0D890E47"/>
    <w:rsid w:val="0DC64A00"/>
    <w:rsid w:val="0DCF786E"/>
    <w:rsid w:val="0DEB5FFA"/>
    <w:rsid w:val="0DF75C46"/>
    <w:rsid w:val="0DFC60BA"/>
    <w:rsid w:val="0E045D30"/>
    <w:rsid w:val="0E1C06B2"/>
    <w:rsid w:val="0E35000C"/>
    <w:rsid w:val="0E69691B"/>
    <w:rsid w:val="0E7900C2"/>
    <w:rsid w:val="0EBB5484"/>
    <w:rsid w:val="0EBD5AA3"/>
    <w:rsid w:val="0F085784"/>
    <w:rsid w:val="0F5723EF"/>
    <w:rsid w:val="0F7C5FF6"/>
    <w:rsid w:val="0FB50915"/>
    <w:rsid w:val="0FC63FBD"/>
    <w:rsid w:val="0FDD003F"/>
    <w:rsid w:val="0FF63282"/>
    <w:rsid w:val="0FF87EA4"/>
    <w:rsid w:val="0FFF7484"/>
    <w:rsid w:val="10007DD4"/>
    <w:rsid w:val="100B77ED"/>
    <w:rsid w:val="10305890"/>
    <w:rsid w:val="103D5A1A"/>
    <w:rsid w:val="106C564D"/>
    <w:rsid w:val="10767478"/>
    <w:rsid w:val="107B7B8F"/>
    <w:rsid w:val="107C67CE"/>
    <w:rsid w:val="10912D03"/>
    <w:rsid w:val="109D68CB"/>
    <w:rsid w:val="10A949B8"/>
    <w:rsid w:val="10CB4D26"/>
    <w:rsid w:val="10E013C3"/>
    <w:rsid w:val="11144AFE"/>
    <w:rsid w:val="11200D07"/>
    <w:rsid w:val="116A3F32"/>
    <w:rsid w:val="11786AB5"/>
    <w:rsid w:val="118049D4"/>
    <w:rsid w:val="118561F8"/>
    <w:rsid w:val="11914FAF"/>
    <w:rsid w:val="11A8021A"/>
    <w:rsid w:val="11B21219"/>
    <w:rsid w:val="11B4024C"/>
    <w:rsid w:val="11DA73AF"/>
    <w:rsid w:val="11FC1ECD"/>
    <w:rsid w:val="12457C5E"/>
    <w:rsid w:val="124D097B"/>
    <w:rsid w:val="12511265"/>
    <w:rsid w:val="126561B4"/>
    <w:rsid w:val="127A3FFC"/>
    <w:rsid w:val="127D0E25"/>
    <w:rsid w:val="127E0B34"/>
    <w:rsid w:val="1283614B"/>
    <w:rsid w:val="12856FF3"/>
    <w:rsid w:val="129671FB"/>
    <w:rsid w:val="12A576FF"/>
    <w:rsid w:val="12C60D80"/>
    <w:rsid w:val="130523B3"/>
    <w:rsid w:val="13097496"/>
    <w:rsid w:val="13154AD2"/>
    <w:rsid w:val="131F7A3A"/>
    <w:rsid w:val="132645D0"/>
    <w:rsid w:val="134312FF"/>
    <w:rsid w:val="13455ABC"/>
    <w:rsid w:val="1370322B"/>
    <w:rsid w:val="13B32A60"/>
    <w:rsid w:val="13BA0460"/>
    <w:rsid w:val="13BB41AE"/>
    <w:rsid w:val="13C24F9B"/>
    <w:rsid w:val="13C45A18"/>
    <w:rsid w:val="13C9247B"/>
    <w:rsid w:val="13C92A4D"/>
    <w:rsid w:val="13DE55D1"/>
    <w:rsid w:val="13DF4E70"/>
    <w:rsid w:val="13E0285C"/>
    <w:rsid w:val="143B2E0B"/>
    <w:rsid w:val="14565CC0"/>
    <w:rsid w:val="147C1943"/>
    <w:rsid w:val="148054E9"/>
    <w:rsid w:val="14892735"/>
    <w:rsid w:val="14906D6C"/>
    <w:rsid w:val="14CC769D"/>
    <w:rsid w:val="14D764D5"/>
    <w:rsid w:val="14F43330"/>
    <w:rsid w:val="152509D7"/>
    <w:rsid w:val="15436F05"/>
    <w:rsid w:val="155541C5"/>
    <w:rsid w:val="15691FE3"/>
    <w:rsid w:val="158B5DDD"/>
    <w:rsid w:val="15A41986"/>
    <w:rsid w:val="15B11221"/>
    <w:rsid w:val="15C16EB3"/>
    <w:rsid w:val="15CB76C9"/>
    <w:rsid w:val="15D359D7"/>
    <w:rsid w:val="160E7A2C"/>
    <w:rsid w:val="16111028"/>
    <w:rsid w:val="161F7731"/>
    <w:rsid w:val="163C77BE"/>
    <w:rsid w:val="16573587"/>
    <w:rsid w:val="1679588C"/>
    <w:rsid w:val="168C2855"/>
    <w:rsid w:val="16903443"/>
    <w:rsid w:val="16994962"/>
    <w:rsid w:val="16A233CF"/>
    <w:rsid w:val="16A71041"/>
    <w:rsid w:val="16AA24BF"/>
    <w:rsid w:val="171D3FE1"/>
    <w:rsid w:val="1742794A"/>
    <w:rsid w:val="17680CAB"/>
    <w:rsid w:val="176E4128"/>
    <w:rsid w:val="1783371F"/>
    <w:rsid w:val="178D7563"/>
    <w:rsid w:val="17B61794"/>
    <w:rsid w:val="17C52CBF"/>
    <w:rsid w:val="17C93012"/>
    <w:rsid w:val="17E62B67"/>
    <w:rsid w:val="180F4499"/>
    <w:rsid w:val="182201B4"/>
    <w:rsid w:val="18221ECE"/>
    <w:rsid w:val="18303840"/>
    <w:rsid w:val="183C3D90"/>
    <w:rsid w:val="18504A07"/>
    <w:rsid w:val="1859036F"/>
    <w:rsid w:val="18681814"/>
    <w:rsid w:val="18B0649B"/>
    <w:rsid w:val="18C8297B"/>
    <w:rsid w:val="18D418FC"/>
    <w:rsid w:val="18FC7745"/>
    <w:rsid w:val="19027053"/>
    <w:rsid w:val="191677A6"/>
    <w:rsid w:val="19353F17"/>
    <w:rsid w:val="196B60D1"/>
    <w:rsid w:val="19DD405E"/>
    <w:rsid w:val="1A460CF5"/>
    <w:rsid w:val="1A7A6BB4"/>
    <w:rsid w:val="1A7F297D"/>
    <w:rsid w:val="1A9B268C"/>
    <w:rsid w:val="1A9D6244"/>
    <w:rsid w:val="1AAF6004"/>
    <w:rsid w:val="1AB16AC1"/>
    <w:rsid w:val="1ABF1CEA"/>
    <w:rsid w:val="1B014DDE"/>
    <w:rsid w:val="1B0320FB"/>
    <w:rsid w:val="1B034A52"/>
    <w:rsid w:val="1B45344E"/>
    <w:rsid w:val="1B591D2B"/>
    <w:rsid w:val="1B5D76FB"/>
    <w:rsid w:val="1B683578"/>
    <w:rsid w:val="1B8C0040"/>
    <w:rsid w:val="1BBA4E52"/>
    <w:rsid w:val="1BD9519A"/>
    <w:rsid w:val="1BDE2F66"/>
    <w:rsid w:val="1C2A22B3"/>
    <w:rsid w:val="1C750ECE"/>
    <w:rsid w:val="1CA56AF4"/>
    <w:rsid w:val="1CE1575A"/>
    <w:rsid w:val="1D196139"/>
    <w:rsid w:val="1D2E2708"/>
    <w:rsid w:val="1D5E02D1"/>
    <w:rsid w:val="1D7B74A7"/>
    <w:rsid w:val="1D7F0ED0"/>
    <w:rsid w:val="1DA31EB7"/>
    <w:rsid w:val="1DA55D97"/>
    <w:rsid w:val="1DBB6100"/>
    <w:rsid w:val="1DBE6816"/>
    <w:rsid w:val="1DC67725"/>
    <w:rsid w:val="1DCB4FF1"/>
    <w:rsid w:val="1DDC11E4"/>
    <w:rsid w:val="1DF5452A"/>
    <w:rsid w:val="1E010AF7"/>
    <w:rsid w:val="1E11642E"/>
    <w:rsid w:val="1E1C405A"/>
    <w:rsid w:val="1E2E29E0"/>
    <w:rsid w:val="1E301173"/>
    <w:rsid w:val="1E884D18"/>
    <w:rsid w:val="1ED12C82"/>
    <w:rsid w:val="1ED8781E"/>
    <w:rsid w:val="1EDD3235"/>
    <w:rsid w:val="1EDF3E8D"/>
    <w:rsid w:val="1EE7283A"/>
    <w:rsid w:val="1F1102B0"/>
    <w:rsid w:val="1F2F1047"/>
    <w:rsid w:val="1F43381C"/>
    <w:rsid w:val="1F7D6A3D"/>
    <w:rsid w:val="1FA4148D"/>
    <w:rsid w:val="1FC10FAB"/>
    <w:rsid w:val="1FC65577"/>
    <w:rsid w:val="1FD82385"/>
    <w:rsid w:val="20121621"/>
    <w:rsid w:val="201636E2"/>
    <w:rsid w:val="202E3F6D"/>
    <w:rsid w:val="2032134B"/>
    <w:rsid w:val="20325F7E"/>
    <w:rsid w:val="204778E7"/>
    <w:rsid w:val="204E554F"/>
    <w:rsid w:val="20546774"/>
    <w:rsid w:val="20590035"/>
    <w:rsid w:val="20851B47"/>
    <w:rsid w:val="209A2C3D"/>
    <w:rsid w:val="20E5011E"/>
    <w:rsid w:val="20FC799E"/>
    <w:rsid w:val="21286DA7"/>
    <w:rsid w:val="2134683B"/>
    <w:rsid w:val="21C82E72"/>
    <w:rsid w:val="21DE0801"/>
    <w:rsid w:val="21DE339D"/>
    <w:rsid w:val="22154DDD"/>
    <w:rsid w:val="221D4DB5"/>
    <w:rsid w:val="22336873"/>
    <w:rsid w:val="22396826"/>
    <w:rsid w:val="225471A3"/>
    <w:rsid w:val="225E34DC"/>
    <w:rsid w:val="227D1295"/>
    <w:rsid w:val="229B678A"/>
    <w:rsid w:val="22AB3B7D"/>
    <w:rsid w:val="22AF3A08"/>
    <w:rsid w:val="22F92F75"/>
    <w:rsid w:val="239634D6"/>
    <w:rsid w:val="23BB4E7D"/>
    <w:rsid w:val="23C172D6"/>
    <w:rsid w:val="23CB1286"/>
    <w:rsid w:val="23D77537"/>
    <w:rsid w:val="23E6195D"/>
    <w:rsid w:val="23F04F64"/>
    <w:rsid w:val="242654AA"/>
    <w:rsid w:val="24814CBE"/>
    <w:rsid w:val="24AC168B"/>
    <w:rsid w:val="24BB6664"/>
    <w:rsid w:val="24EC64CB"/>
    <w:rsid w:val="250E1318"/>
    <w:rsid w:val="25103738"/>
    <w:rsid w:val="253F46D8"/>
    <w:rsid w:val="254D0389"/>
    <w:rsid w:val="256232FD"/>
    <w:rsid w:val="25884C5D"/>
    <w:rsid w:val="258C3BEC"/>
    <w:rsid w:val="25A03144"/>
    <w:rsid w:val="25B2479F"/>
    <w:rsid w:val="25C15C5D"/>
    <w:rsid w:val="25D329B9"/>
    <w:rsid w:val="25E5427A"/>
    <w:rsid w:val="26276A31"/>
    <w:rsid w:val="26366F9D"/>
    <w:rsid w:val="263B1230"/>
    <w:rsid w:val="2642752B"/>
    <w:rsid w:val="26485508"/>
    <w:rsid w:val="26554808"/>
    <w:rsid w:val="265E685B"/>
    <w:rsid w:val="26607D95"/>
    <w:rsid w:val="26700955"/>
    <w:rsid w:val="26A16AE9"/>
    <w:rsid w:val="26A605D9"/>
    <w:rsid w:val="26AD0500"/>
    <w:rsid w:val="26B121A3"/>
    <w:rsid w:val="26E464C3"/>
    <w:rsid w:val="27096759"/>
    <w:rsid w:val="272E3097"/>
    <w:rsid w:val="272E6F74"/>
    <w:rsid w:val="273B7A3B"/>
    <w:rsid w:val="277E6655"/>
    <w:rsid w:val="2780046C"/>
    <w:rsid w:val="27933DEA"/>
    <w:rsid w:val="27B36A67"/>
    <w:rsid w:val="27D9633F"/>
    <w:rsid w:val="280B2E27"/>
    <w:rsid w:val="281E404F"/>
    <w:rsid w:val="28302479"/>
    <w:rsid w:val="2846581F"/>
    <w:rsid w:val="284A5CA4"/>
    <w:rsid w:val="286550ED"/>
    <w:rsid w:val="286602C8"/>
    <w:rsid w:val="28665C95"/>
    <w:rsid w:val="28736F5F"/>
    <w:rsid w:val="28B01D1E"/>
    <w:rsid w:val="28C2628C"/>
    <w:rsid w:val="28CC3373"/>
    <w:rsid w:val="28F47F99"/>
    <w:rsid w:val="28F579BA"/>
    <w:rsid w:val="290B3EB9"/>
    <w:rsid w:val="292728C1"/>
    <w:rsid w:val="294E392A"/>
    <w:rsid w:val="2950768C"/>
    <w:rsid w:val="297A5FC4"/>
    <w:rsid w:val="29B51252"/>
    <w:rsid w:val="29E14657"/>
    <w:rsid w:val="29E474B8"/>
    <w:rsid w:val="29ED574B"/>
    <w:rsid w:val="29FA2D3E"/>
    <w:rsid w:val="29FE5CE6"/>
    <w:rsid w:val="2A743AE8"/>
    <w:rsid w:val="2A8D4F8F"/>
    <w:rsid w:val="2A917B34"/>
    <w:rsid w:val="2A9308A8"/>
    <w:rsid w:val="2A9F5AB8"/>
    <w:rsid w:val="2AB10C99"/>
    <w:rsid w:val="2AD74E8C"/>
    <w:rsid w:val="2AE3766F"/>
    <w:rsid w:val="2AEC612E"/>
    <w:rsid w:val="2B0268A7"/>
    <w:rsid w:val="2B060F9E"/>
    <w:rsid w:val="2B0E56AB"/>
    <w:rsid w:val="2B51141C"/>
    <w:rsid w:val="2B590601"/>
    <w:rsid w:val="2B710DB7"/>
    <w:rsid w:val="2B7408CF"/>
    <w:rsid w:val="2B7E4054"/>
    <w:rsid w:val="2BBA6A76"/>
    <w:rsid w:val="2BCC03D1"/>
    <w:rsid w:val="2BDF1FBA"/>
    <w:rsid w:val="2C0C6D59"/>
    <w:rsid w:val="2C5B0D4B"/>
    <w:rsid w:val="2C8903AA"/>
    <w:rsid w:val="2C987C56"/>
    <w:rsid w:val="2CA156F3"/>
    <w:rsid w:val="2CC11460"/>
    <w:rsid w:val="2CC15BAA"/>
    <w:rsid w:val="2CC72A61"/>
    <w:rsid w:val="2CDC3153"/>
    <w:rsid w:val="2CDF621C"/>
    <w:rsid w:val="2CE136D7"/>
    <w:rsid w:val="2CFE7A11"/>
    <w:rsid w:val="2CFF149A"/>
    <w:rsid w:val="2D201865"/>
    <w:rsid w:val="2D2B6EDE"/>
    <w:rsid w:val="2D4B5CEA"/>
    <w:rsid w:val="2D4C5B4C"/>
    <w:rsid w:val="2D542188"/>
    <w:rsid w:val="2D652658"/>
    <w:rsid w:val="2D964A56"/>
    <w:rsid w:val="2D966E16"/>
    <w:rsid w:val="2DC16E0A"/>
    <w:rsid w:val="2DC80C49"/>
    <w:rsid w:val="2DCA6355"/>
    <w:rsid w:val="2E030E17"/>
    <w:rsid w:val="2E166748"/>
    <w:rsid w:val="2E2054A0"/>
    <w:rsid w:val="2E482374"/>
    <w:rsid w:val="2E491580"/>
    <w:rsid w:val="2E556F01"/>
    <w:rsid w:val="2E8345A7"/>
    <w:rsid w:val="2E8E20B4"/>
    <w:rsid w:val="2EAA7BAE"/>
    <w:rsid w:val="2EC1207D"/>
    <w:rsid w:val="2ED06066"/>
    <w:rsid w:val="2ED1223D"/>
    <w:rsid w:val="2F000139"/>
    <w:rsid w:val="2F1B303D"/>
    <w:rsid w:val="2F3F11F4"/>
    <w:rsid w:val="2F5E0754"/>
    <w:rsid w:val="2F9F42DC"/>
    <w:rsid w:val="2FBB4121"/>
    <w:rsid w:val="2FBC2844"/>
    <w:rsid w:val="2FBE3786"/>
    <w:rsid w:val="2FC32F68"/>
    <w:rsid w:val="2FD6418B"/>
    <w:rsid w:val="2FF37AB3"/>
    <w:rsid w:val="30210B8A"/>
    <w:rsid w:val="30224DC7"/>
    <w:rsid w:val="303B4C3F"/>
    <w:rsid w:val="3073310C"/>
    <w:rsid w:val="309D6BE6"/>
    <w:rsid w:val="30AA1790"/>
    <w:rsid w:val="30EE385E"/>
    <w:rsid w:val="30F85AFE"/>
    <w:rsid w:val="31031402"/>
    <w:rsid w:val="31170995"/>
    <w:rsid w:val="31264A30"/>
    <w:rsid w:val="312651F8"/>
    <w:rsid w:val="31862EE3"/>
    <w:rsid w:val="31884E67"/>
    <w:rsid w:val="31A0275E"/>
    <w:rsid w:val="31A67308"/>
    <w:rsid w:val="31B91526"/>
    <w:rsid w:val="31BA7402"/>
    <w:rsid w:val="31EF0041"/>
    <w:rsid w:val="320107F5"/>
    <w:rsid w:val="324175CB"/>
    <w:rsid w:val="326A0524"/>
    <w:rsid w:val="327B7EDF"/>
    <w:rsid w:val="32AB70C5"/>
    <w:rsid w:val="32EF2122"/>
    <w:rsid w:val="32F17F41"/>
    <w:rsid w:val="332038B4"/>
    <w:rsid w:val="33247607"/>
    <w:rsid w:val="333014B0"/>
    <w:rsid w:val="335D0AF5"/>
    <w:rsid w:val="336917EF"/>
    <w:rsid w:val="336B2EA4"/>
    <w:rsid w:val="336B3E67"/>
    <w:rsid w:val="3370088C"/>
    <w:rsid w:val="33872039"/>
    <w:rsid w:val="339A687B"/>
    <w:rsid w:val="33DC2F78"/>
    <w:rsid w:val="3428227C"/>
    <w:rsid w:val="343230D5"/>
    <w:rsid w:val="3439428E"/>
    <w:rsid w:val="34571EF7"/>
    <w:rsid w:val="347918A5"/>
    <w:rsid w:val="34802E4C"/>
    <w:rsid w:val="349D37D5"/>
    <w:rsid w:val="34A61BDE"/>
    <w:rsid w:val="34BB7B5F"/>
    <w:rsid w:val="3522586C"/>
    <w:rsid w:val="35572473"/>
    <w:rsid w:val="35602226"/>
    <w:rsid w:val="356B72E7"/>
    <w:rsid w:val="356D2AC8"/>
    <w:rsid w:val="3572424F"/>
    <w:rsid w:val="35734CF3"/>
    <w:rsid w:val="35866014"/>
    <w:rsid w:val="359E5CE0"/>
    <w:rsid w:val="35D275C3"/>
    <w:rsid w:val="35E50FBB"/>
    <w:rsid w:val="362B215D"/>
    <w:rsid w:val="366666CA"/>
    <w:rsid w:val="367070F4"/>
    <w:rsid w:val="367801A9"/>
    <w:rsid w:val="36807FCC"/>
    <w:rsid w:val="36AD519D"/>
    <w:rsid w:val="36B57705"/>
    <w:rsid w:val="36B93E53"/>
    <w:rsid w:val="36DC1DD3"/>
    <w:rsid w:val="36F3711D"/>
    <w:rsid w:val="36FC25DD"/>
    <w:rsid w:val="37090CD6"/>
    <w:rsid w:val="370E0383"/>
    <w:rsid w:val="37122320"/>
    <w:rsid w:val="3754697A"/>
    <w:rsid w:val="37636A21"/>
    <w:rsid w:val="377C03A4"/>
    <w:rsid w:val="37A103ED"/>
    <w:rsid w:val="37A367C3"/>
    <w:rsid w:val="37BD33EE"/>
    <w:rsid w:val="37E02B23"/>
    <w:rsid w:val="37E345A6"/>
    <w:rsid w:val="37EA5E6E"/>
    <w:rsid w:val="37EC6A58"/>
    <w:rsid w:val="37FB2268"/>
    <w:rsid w:val="37FF016F"/>
    <w:rsid w:val="382A6E2D"/>
    <w:rsid w:val="386E4145"/>
    <w:rsid w:val="387C5ABE"/>
    <w:rsid w:val="38B66D0C"/>
    <w:rsid w:val="38D41643"/>
    <w:rsid w:val="38EB6119"/>
    <w:rsid w:val="39044996"/>
    <w:rsid w:val="392C6D9B"/>
    <w:rsid w:val="393B020C"/>
    <w:rsid w:val="39506E15"/>
    <w:rsid w:val="396678D9"/>
    <w:rsid w:val="39790BE6"/>
    <w:rsid w:val="397A0ADB"/>
    <w:rsid w:val="39844799"/>
    <w:rsid w:val="39954B2B"/>
    <w:rsid w:val="39DA2245"/>
    <w:rsid w:val="39E66E3B"/>
    <w:rsid w:val="39FD4CC2"/>
    <w:rsid w:val="3A51228C"/>
    <w:rsid w:val="3A545E48"/>
    <w:rsid w:val="3A552E60"/>
    <w:rsid w:val="3A5D642F"/>
    <w:rsid w:val="3A744447"/>
    <w:rsid w:val="3A78219D"/>
    <w:rsid w:val="3A995C5C"/>
    <w:rsid w:val="3AB210FC"/>
    <w:rsid w:val="3ADB7381"/>
    <w:rsid w:val="3AF04A37"/>
    <w:rsid w:val="3B043A1D"/>
    <w:rsid w:val="3B1E01C3"/>
    <w:rsid w:val="3B3E5B8A"/>
    <w:rsid w:val="3B793A48"/>
    <w:rsid w:val="3B7E3699"/>
    <w:rsid w:val="3B85393E"/>
    <w:rsid w:val="3BCA4B8A"/>
    <w:rsid w:val="3BCD72F7"/>
    <w:rsid w:val="3BFC2F5F"/>
    <w:rsid w:val="3C37146A"/>
    <w:rsid w:val="3C3D3625"/>
    <w:rsid w:val="3C414142"/>
    <w:rsid w:val="3C434B52"/>
    <w:rsid w:val="3C5B725E"/>
    <w:rsid w:val="3C84047F"/>
    <w:rsid w:val="3C88055A"/>
    <w:rsid w:val="3C9E57AB"/>
    <w:rsid w:val="3CAF79B9"/>
    <w:rsid w:val="3CB35097"/>
    <w:rsid w:val="3CF737A2"/>
    <w:rsid w:val="3D10295A"/>
    <w:rsid w:val="3D1162B3"/>
    <w:rsid w:val="3D184041"/>
    <w:rsid w:val="3D370C2A"/>
    <w:rsid w:val="3D414FC0"/>
    <w:rsid w:val="3D4F12A7"/>
    <w:rsid w:val="3D7B5F78"/>
    <w:rsid w:val="3D7D049C"/>
    <w:rsid w:val="3DE20EAE"/>
    <w:rsid w:val="3DEF3701"/>
    <w:rsid w:val="3E0572FD"/>
    <w:rsid w:val="3E0720FE"/>
    <w:rsid w:val="3E2819F6"/>
    <w:rsid w:val="3E287A22"/>
    <w:rsid w:val="3E5A7FE7"/>
    <w:rsid w:val="3E7D40EF"/>
    <w:rsid w:val="3E955A6A"/>
    <w:rsid w:val="3E964D81"/>
    <w:rsid w:val="3EF66B2E"/>
    <w:rsid w:val="3F217914"/>
    <w:rsid w:val="3FD10810"/>
    <w:rsid w:val="3FD70BB0"/>
    <w:rsid w:val="3FFB55AC"/>
    <w:rsid w:val="40017152"/>
    <w:rsid w:val="401C5F9D"/>
    <w:rsid w:val="401C690C"/>
    <w:rsid w:val="401D7195"/>
    <w:rsid w:val="405C1C05"/>
    <w:rsid w:val="407A652F"/>
    <w:rsid w:val="40825D97"/>
    <w:rsid w:val="40836C36"/>
    <w:rsid w:val="40870EA3"/>
    <w:rsid w:val="409928E7"/>
    <w:rsid w:val="40997CFE"/>
    <w:rsid w:val="40C34607"/>
    <w:rsid w:val="40CE3DC0"/>
    <w:rsid w:val="40D7455A"/>
    <w:rsid w:val="40E743E5"/>
    <w:rsid w:val="40EB4012"/>
    <w:rsid w:val="41075C9E"/>
    <w:rsid w:val="410A1661"/>
    <w:rsid w:val="412D5EA0"/>
    <w:rsid w:val="415A62F5"/>
    <w:rsid w:val="416D78C7"/>
    <w:rsid w:val="41734CBA"/>
    <w:rsid w:val="417F4E1A"/>
    <w:rsid w:val="418B0C8A"/>
    <w:rsid w:val="41A82190"/>
    <w:rsid w:val="41DE5999"/>
    <w:rsid w:val="41E1181A"/>
    <w:rsid w:val="41E32A20"/>
    <w:rsid w:val="41FA3241"/>
    <w:rsid w:val="420F7A65"/>
    <w:rsid w:val="4216611A"/>
    <w:rsid w:val="42321B6A"/>
    <w:rsid w:val="423E300F"/>
    <w:rsid w:val="425656C8"/>
    <w:rsid w:val="4257273C"/>
    <w:rsid w:val="42687ACE"/>
    <w:rsid w:val="4270145E"/>
    <w:rsid w:val="429E6041"/>
    <w:rsid w:val="42BF4B02"/>
    <w:rsid w:val="42FD694D"/>
    <w:rsid w:val="43034DFA"/>
    <w:rsid w:val="437D6687"/>
    <w:rsid w:val="438351F5"/>
    <w:rsid w:val="438D35EA"/>
    <w:rsid w:val="43BC1E57"/>
    <w:rsid w:val="43D23F8D"/>
    <w:rsid w:val="43D43BE7"/>
    <w:rsid w:val="43D43F1D"/>
    <w:rsid w:val="43FA5777"/>
    <w:rsid w:val="44023422"/>
    <w:rsid w:val="44184A2D"/>
    <w:rsid w:val="441C1611"/>
    <w:rsid w:val="443C440B"/>
    <w:rsid w:val="44514F52"/>
    <w:rsid w:val="44761C8F"/>
    <w:rsid w:val="449722E3"/>
    <w:rsid w:val="449D7B09"/>
    <w:rsid w:val="44AE3FD4"/>
    <w:rsid w:val="44D0586F"/>
    <w:rsid w:val="44FA2D53"/>
    <w:rsid w:val="453C4912"/>
    <w:rsid w:val="45687813"/>
    <w:rsid w:val="4571374F"/>
    <w:rsid w:val="458B1BB0"/>
    <w:rsid w:val="45A41560"/>
    <w:rsid w:val="45AD31D6"/>
    <w:rsid w:val="45B93426"/>
    <w:rsid w:val="45CF1361"/>
    <w:rsid w:val="464C6420"/>
    <w:rsid w:val="46552F9B"/>
    <w:rsid w:val="467A0297"/>
    <w:rsid w:val="468B7125"/>
    <w:rsid w:val="46B506EF"/>
    <w:rsid w:val="46C4691F"/>
    <w:rsid w:val="46CB53EF"/>
    <w:rsid w:val="46EE513F"/>
    <w:rsid w:val="470F5A71"/>
    <w:rsid w:val="473154FF"/>
    <w:rsid w:val="47685427"/>
    <w:rsid w:val="476C4065"/>
    <w:rsid w:val="4779499C"/>
    <w:rsid w:val="477B6530"/>
    <w:rsid w:val="47801172"/>
    <w:rsid w:val="479D1D34"/>
    <w:rsid w:val="47B609C0"/>
    <w:rsid w:val="47EC3B04"/>
    <w:rsid w:val="47EC6277"/>
    <w:rsid w:val="48021483"/>
    <w:rsid w:val="481A219B"/>
    <w:rsid w:val="482D31EA"/>
    <w:rsid w:val="48447D02"/>
    <w:rsid w:val="485970A0"/>
    <w:rsid w:val="486A6E89"/>
    <w:rsid w:val="48823516"/>
    <w:rsid w:val="48877686"/>
    <w:rsid w:val="488B498B"/>
    <w:rsid w:val="48B176C2"/>
    <w:rsid w:val="48B65C71"/>
    <w:rsid w:val="48D550F0"/>
    <w:rsid w:val="48FB1909"/>
    <w:rsid w:val="491F266E"/>
    <w:rsid w:val="492E6A57"/>
    <w:rsid w:val="495839AA"/>
    <w:rsid w:val="49700A6F"/>
    <w:rsid w:val="49771AFE"/>
    <w:rsid w:val="49802948"/>
    <w:rsid w:val="4986089F"/>
    <w:rsid w:val="498B5309"/>
    <w:rsid w:val="499F0AAB"/>
    <w:rsid w:val="49C154CE"/>
    <w:rsid w:val="49C33FF5"/>
    <w:rsid w:val="49DB11EC"/>
    <w:rsid w:val="49E31DD1"/>
    <w:rsid w:val="4A0030EE"/>
    <w:rsid w:val="4A0568D6"/>
    <w:rsid w:val="4A0C4F3C"/>
    <w:rsid w:val="4A162478"/>
    <w:rsid w:val="4A171EC9"/>
    <w:rsid w:val="4A1A1689"/>
    <w:rsid w:val="4A484D41"/>
    <w:rsid w:val="4A6D15F8"/>
    <w:rsid w:val="4A7617B6"/>
    <w:rsid w:val="4A8C4FB8"/>
    <w:rsid w:val="4A9A25BD"/>
    <w:rsid w:val="4A9E0551"/>
    <w:rsid w:val="4AB542AE"/>
    <w:rsid w:val="4AEB14FD"/>
    <w:rsid w:val="4AF72FEA"/>
    <w:rsid w:val="4B1477B3"/>
    <w:rsid w:val="4B1F062C"/>
    <w:rsid w:val="4B243D9D"/>
    <w:rsid w:val="4B281425"/>
    <w:rsid w:val="4B6F66A1"/>
    <w:rsid w:val="4B85213F"/>
    <w:rsid w:val="4B8C2DEB"/>
    <w:rsid w:val="4BFA3C9F"/>
    <w:rsid w:val="4BFA7F6C"/>
    <w:rsid w:val="4C107F48"/>
    <w:rsid w:val="4C3117D0"/>
    <w:rsid w:val="4C3277BC"/>
    <w:rsid w:val="4C5C442D"/>
    <w:rsid w:val="4C6D42A9"/>
    <w:rsid w:val="4C716A38"/>
    <w:rsid w:val="4CC0351C"/>
    <w:rsid w:val="4CC353EB"/>
    <w:rsid w:val="4CE64E14"/>
    <w:rsid w:val="4CE95EE5"/>
    <w:rsid w:val="4CF36F3C"/>
    <w:rsid w:val="4D007BC8"/>
    <w:rsid w:val="4D0602E5"/>
    <w:rsid w:val="4D1470BD"/>
    <w:rsid w:val="4D154882"/>
    <w:rsid w:val="4D1C3C50"/>
    <w:rsid w:val="4D603399"/>
    <w:rsid w:val="4D6A7284"/>
    <w:rsid w:val="4D6E30E1"/>
    <w:rsid w:val="4D867EE1"/>
    <w:rsid w:val="4DBC4C65"/>
    <w:rsid w:val="4DC9105D"/>
    <w:rsid w:val="4DE2009B"/>
    <w:rsid w:val="4DF86974"/>
    <w:rsid w:val="4E0F235E"/>
    <w:rsid w:val="4E157689"/>
    <w:rsid w:val="4E471216"/>
    <w:rsid w:val="4E533FA5"/>
    <w:rsid w:val="4E550010"/>
    <w:rsid w:val="4E5F14CB"/>
    <w:rsid w:val="4E6808B0"/>
    <w:rsid w:val="4E780BC4"/>
    <w:rsid w:val="4EBA42F2"/>
    <w:rsid w:val="4EC00DDD"/>
    <w:rsid w:val="4ED908C5"/>
    <w:rsid w:val="4EF265BE"/>
    <w:rsid w:val="4EFB1C45"/>
    <w:rsid w:val="4F0C2A48"/>
    <w:rsid w:val="4F26273B"/>
    <w:rsid w:val="4F2D3A8A"/>
    <w:rsid w:val="4F32478A"/>
    <w:rsid w:val="4F3705F8"/>
    <w:rsid w:val="4F913A9A"/>
    <w:rsid w:val="4F9714A0"/>
    <w:rsid w:val="4FAA3F91"/>
    <w:rsid w:val="4FAC3540"/>
    <w:rsid w:val="4FCF1583"/>
    <w:rsid w:val="4FD23E66"/>
    <w:rsid w:val="4FD44D1B"/>
    <w:rsid w:val="4FDC066D"/>
    <w:rsid w:val="4FFA7625"/>
    <w:rsid w:val="50453E7E"/>
    <w:rsid w:val="50594CF7"/>
    <w:rsid w:val="507D2599"/>
    <w:rsid w:val="5096229D"/>
    <w:rsid w:val="509E157D"/>
    <w:rsid w:val="50A6165E"/>
    <w:rsid w:val="50DC4184"/>
    <w:rsid w:val="50FB6146"/>
    <w:rsid w:val="512F4CA0"/>
    <w:rsid w:val="51361FFF"/>
    <w:rsid w:val="513D4C38"/>
    <w:rsid w:val="514C3EA7"/>
    <w:rsid w:val="51AC4D00"/>
    <w:rsid w:val="51FF3C99"/>
    <w:rsid w:val="522A20E4"/>
    <w:rsid w:val="52363D4D"/>
    <w:rsid w:val="524A2AC9"/>
    <w:rsid w:val="52521A20"/>
    <w:rsid w:val="528604EC"/>
    <w:rsid w:val="529E2C3A"/>
    <w:rsid w:val="52AC4ABC"/>
    <w:rsid w:val="52C201B9"/>
    <w:rsid w:val="52E57A12"/>
    <w:rsid w:val="52EB262C"/>
    <w:rsid w:val="52F20B62"/>
    <w:rsid w:val="531C4FCC"/>
    <w:rsid w:val="535A6EC1"/>
    <w:rsid w:val="53827E49"/>
    <w:rsid w:val="538A6BB9"/>
    <w:rsid w:val="539964FD"/>
    <w:rsid w:val="539C1B81"/>
    <w:rsid w:val="539D7755"/>
    <w:rsid w:val="53A447B1"/>
    <w:rsid w:val="53AE750F"/>
    <w:rsid w:val="53D224B3"/>
    <w:rsid w:val="53F81D96"/>
    <w:rsid w:val="541D5DE8"/>
    <w:rsid w:val="541F57C4"/>
    <w:rsid w:val="544B5214"/>
    <w:rsid w:val="546F523C"/>
    <w:rsid w:val="54782FBD"/>
    <w:rsid w:val="5483138F"/>
    <w:rsid w:val="5488523A"/>
    <w:rsid w:val="549A6BFA"/>
    <w:rsid w:val="54C341E7"/>
    <w:rsid w:val="54D933CD"/>
    <w:rsid w:val="551751CF"/>
    <w:rsid w:val="5522558F"/>
    <w:rsid w:val="55244D7F"/>
    <w:rsid w:val="55305397"/>
    <w:rsid w:val="55362287"/>
    <w:rsid w:val="55432F3C"/>
    <w:rsid w:val="55A30783"/>
    <w:rsid w:val="55A37FFD"/>
    <w:rsid w:val="55AE22F1"/>
    <w:rsid w:val="55C3227E"/>
    <w:rsid w:val="55CE1AA9"/>
    <w:rsid w:val="55F6381F"/>
    <w:rsid w:val="55FA2961"/>
    <w:rsid w:val="5602250F"/>
    <w:rsid w:val="564220BA"/>
    <w:rsid w:val="565E7F4F"/>
    <w:rsid w:val="565F3DA6"/>
    <w:rsid w:val="56914056"/>
    <w:rsid w:val="56B61E36"/>
    <w:rsid w:val="56C36589"/>
    <w:rsid w:val="570D55B0"/>
    <w:rsid w:val="57293C95"/>
    <w:rsid w:val="572A6381"/>
    <w:rsid w:val="572B41B4"/>
    <w:rsid w:val="57365868"/>
    <w:rsid w:val="573C1959"/>
    <w:rsid w:val="57554571"/>
    <w:rsid w:val="57F65317"/>
    <w:rsid w:val="57FC2169"/>
    <w:rsid w:val="58024015"/>
    <w:rsid w:val="58096275"/>
    <w:rsid w:val="5819544F"/>
    <w:rsid w:val="582D6D32"/>
    <w:rsid w:val="582E6EF7"/>
    <w:rsid w:val="584E30E6"/>
    <w:rsid w:val="58546EFD"/>
    <w:rsid w:val="5881703E"/>
    <w:rsid w:val="58E26731"/>
    <w:rsid w:val="58EB1371"/>
    <w:rsid w:val="59091D98"/>
    <w:rsid w:val="590E4A97"/>
    <w:rsid w:val="591250FF"/>
    <w:rsid w:val="5920012C"/>
    <w:rsid w:val="593700E7"/>
    <w:rsid w:val="595578DE"/>
    <w:rsid w:val="595E388A"/>
    <w:rsid w:val="597B384D"/>
    <w:rsid w:val="59996DA8"/>
    <w:rsid w:val="59C30F1B"/>
    <w:rsid w:val="59CE4759"/>
    <w:rsid w:val="59D90B78"/>
    <w:rsid w:val="5A3E1C4F"/>
    <w:rsid w:val="5A814766"/>
    <w:rsid w:val="5A8C20D0"/>
    <w:rsid w:val="5ABC29E4"/>
    <w:rsid w:val="5AC7121C"/>
    <w:rsid w:val="5AD90B8D"/>
    <w:rsid w:val="5AE12927"/>
    <w:rsid w:val="5AE35472"/>
    <w:rsid w:val="5AF41CF3"/>
    <w:rsid w:val="5AF87CC9"/>
    <w:rsid w:val="5B07329F"/>
    <w:rsid w:val="5B4E1A44"/>
    <w:rsid w:val="5B873201"/>
    <w:rsid w:val="5B967767"/>
    <w:rsid w:val="5B9D1624"/>
    <w:rsid w:val="5BBF73E2"/>
    <w:rsid w:val="5BEE5378"/>
    <w:rsid w:val="5C0C2FF6"/>
    <w:rsid w:val="5C1241CC"/>
    <w:rsid w:val="5C286807"/>
    <w:rsid w:val="5C34339E"/>
    <w:rsid w:val="5C355656"/>
    <w:rsid w:val="5C370E72"/>
    <w:rsid w:val="5C446BC8"/>
    <w:rsid w:val="5C4B56E1"/>
    <w:rsid w:val="5C7146B1"/>
    <w:rsid w:val="5C7C2768"/>
    <w:rsid w:val="5CAD3BC1"/>
    <w:rsid w:val="5CAE62DC"/>
    <w:rsid w:val="5CB23AE6"/>
    <w:rsid w:val="5CED5863"/>
    <w:rsid w:val="5D0D6DF5"/>
    <w:rsid w:val="5D4A5E05"/>
    <w:rsid w:val="5D580A8A"/>
    <w:rsid w:val="5D7E6D71"/>
    <w:rsid w:val="5D893B14"/>
    <w:rsid w:val="5DB42C29"/>
    <w:rsid w:val="5E1219F7"/>
    <w:rsid w:val="5E18541D"/>
    <w:rsid w:val="5E291636"/>
    <w:rsid w:val="5E48511F"/>
    <w:rsid w:val="5E655B72"/>
    <w:rsid w:val="5E8B0770"/>
    <w:rsid w:val="5EA06921"/>
    <w:rsid w:val="5EBA259F"/>
    <w:rsid w:val="5EE1082B"/>
    <w:rsid w:val="5EE97BB4"/>
    <w:rsid w:val="5EF55BC9"/>
    <w:rsid w:val="5F085DDA"/>
    <w:rsid w:val="5F2E2D52"/>
    <w:rsid w:val="5F54198B"/>
    <w:rsid w:val="5F6C74C2"/>
    <w:rsid w:val="5F9D1350"/>
    <w:rsid w:val="5FA44AD1"/>
    <w:rsid w:val="5FBE370A"/>
    <w:rsid w:val="5FC61F2E"/>
    <w:rsid w:val="5FC83407"/>
    <w:rsid w:val="5FD56E87"/>
    <w:rsid w:val="5FF0558C"/>
    <w:rsid w:val="60015A45"/>
    <w:rsid w:val="601A27F4"/>
    <w:rsid w:val="60292845"/>
    <w:rsid w:val="606F2632"/>
    <w:rsid w:val="6071543B"/>
    <w:rsid w:val="607921FE"/>
    <w:rsid w:val="607E12CC"/>
    <w:rsid w:val="608F62AE"/>
    <w:rsid w:val="60B9251B"/>
    <w:rsid w:val="60E236C1"/>
    <w:rsid w:val="60E37983"/>
    <w:rsid w:val="61260B6B"/>
    <w:rsid w:val="612B3ABB"/>
    <w:rsid w:val="612E1A5D"/>
    <w:rsid w:val="614E5D7E"/>
    <w:rsid w:val="61816046"/>
    <w:rsid w:val="61BD04E4"/>
    <w:rsid w:val="61C81AB1"/>
    <w:rsid w:val="620B0059"/>
    <w:rsid w:val="62391564"/>
    <w:rsid w:val="624A22BE"/>
    <w:rsid w:val="6263230B"/>
    <w:rsid w:val="626E235A"/>
    <w:rsid w:val="626F60D5"/>
    <w:rsid w:val="62816669"/>
    <w:rsid w:val="6282086D"/>
    <w:rsid w:val="629007F7"/>
    <w:rsid w:val="62AB4D99"/>
    <w:rsid w:val="62B36CD7"/>
    <w:rsid w:val="62BA0953"/>
    <w:rsid w:val="62D03A7C"/>
    <w:rsid w:val="62F42FAE"/>
    <w:rsid w:val="62F648FE"/>
    <w:rsid w:val="63167A4F"/>
    <w:rsid w:val="631D2BD6"/>
    <w:rsid w:val="634A1811"/>
    <w:rsid w:val="635356F3"/>
    <w:rsid w:val="637D5B70"/>
    <w:rsid w:val="63825E77"/>
    <w:rsid w:val="63A10995"/>
    <w:rsid w:val="63C23EFA"/>
    <w:rsid w:val="63D255DA"/>
    <w:rsid w:val="63EB2168"/>
    <w:rsid w:val="63F854C1"/>
    <w:rsid w:val="63FB5857"/>
    <w:rsid w:val="64076B79"/>
    <w:rsid w:val="640B7654"/>
    <w:rsid w:val="64116D46"/>
    <w:rsid w:val="643A070A"/>
    <w:rsid w:val="64410A96"/>
    <w:rsid w:val="644C573D"/>
    <w:rsid w:val="64507EFB"/>
    <w:rsid w:val="65032F85"/>
    <w:rsid w:val="651304A7"/>
    <w:rsid w:val="65136B50"/>
    <w:rsid w:val="6531690D"/>
    <w:rsid w:val="65320485"/>
    <w:rsid w:val="655A12F3"/>
    <w:rsid w:val="657E2A35"/>
    <w:rsid w:val="65A94E9D"/>
    <w:rsid w:val="65B96B3F"/>
    <w:rsid w:val="65BE1071"/>
    <w:rsid w:val="65C60A92"/>
    <w:rsid w:val="65DB19DF"/>
    <w:rsid w:val="660451CE"/>
    <w:rsid w:val="664B3BEB"/>
    <w:rsid w:val="665346B7"/>
    <w:rsid w:val="667C7CCE"/>
    <w:rsid w:val="66A12460"/>
    <w:rsid w:val="66BE2423"/>
    <w:rsid w:val="66DD6702"/>
    <w:rsid w:val="66E856F1"/>
    <w:rsid w:val="66FB0BAD"/>
    <w:rsid w:val="671B1623"/>
    <w:rsid w:val="671E6EBA"/>
    <w:rsid w:val="6731269C"/>
    <w:rsid w:val="675352AA"/>
    <w:rsid w:val="6759400B"/>
    <w:rsid w:val="675E528D"/>
    <w:rsid w:val="676C598C"/>
    <w:rsid w:val="67966EFB"/>
    <w:rsid w:val="679E7FA1"/>
    <w:rsid w:val="67A32389"/>
    <w:rsid w:val="67B768D0"/>
    <w:rsid w:val="67C779FD"/>
    <w:rsid w:val="67C85DAF"/>
    <w:rsid w:val="68281CFE"/>
    <w:rsid w:val="682A2352"/>
    <w:rsid w:val="682A2630"/>
    <w:rsid w:val="682E4A5B"/>
    <w:rsid w:val="682E7AFD"/>
    <w:rsid w:val="68707071"/>
    <w:rsid w:val="687A4379"/>
    <w:rsid w:val="687B015C"/>
    <w:rsid w:val="687E3889"/>
    <w:rsid w:val="6884222C"/>
    <w:rsid w:val="68A957C8"/>
    <w:rsid w:val="68AD17BB"/>
    <w:rsid w:val="68D6620B"/>
    <w:rsid w:val="68D94D22"/>
    <w:rsid w:val="68F06F2B"/>
    <w:rsid w:val="69011241"/>
    <w:rsid w:val="692B2E4A"/>
    <w:rsid w:val="696A0B34"/>
    <w:rsid w:val="69821807"/>
    <w:rsid w:val="698D6A17"/>
    <w:rsid w:val="699026E3"/>
    <w:rsid w:val="699E0BED"/>
    <w:rsid w:val="699F0522"/>
    <w:rsid w:val="69D37590"/>
    <w:rsid w:val="69F954C1"/>
    <w:rsid w:val="6A1E1E73"/>
    <w:rsid w:val="6A2031B6"/>
    <w:rsid w:val="6A2F57D7"/>
    <w:rsid w:val="6A3924BB"/>
    <w:rsid w:val="6A3C1D40"/>
    <w:rsid w:val="6A6432E1"/>
    <w:rsid w:val="6AA23DFF"/>
    <w:rsid w:val="6AAA6F38"/>
    <w:rsid w:val="6AC61F6F"/>
    <w:rsid w:val="6AD34E53"/>
    <w:rsid w:val="6AD83EA1"/>
    <w:rsid w:val="6ADE74F0"/>
    <w:rsid w:val="6B1D62E8"/>
    <w:rsid w:val="6B723594"/>
    <w:rsid w:val="6B805156"/>
    <w:rsid w:val="6B945E48"/>
    <w:rsid w:val="6B974A7B"/>
    <w:rsid w:val="6BD50977"/>
    <w:rsid w:val="6BE450D3"/>
    <w:rsid w:val="6BE60C84"/>
    <w:rsid w:val="6C4F0900"/>
    <w:rsid w:val="6C6C32E1"/>
    <w:rsid w:val="6C6E3E15"/>
    <w:rsid w:val="6C8B1F5D"/>
    <w:rsid w:val="6CA85D3A"/>
    <w:rsid w:val="6CAA3931"/>
    <w:rsid w:val="6CE2512E"/>
    <w:rsid w:val="6CEA06D7"/>
    <w:rsid w:val="6CEE5376"/>
    <w:rsid w:val="6CF70607"/>
    <w:rsid w:val="6D325918"/>
    <w:rsid w:val="6D3933CA"/>
    <w:rsid w:val="6D401810"/>
    <w:rsid w:val="6D6261FE"/>
    <w:rsid w:val="6D7B222A"/>
    <w:rsid w:val="6D7B61EC"/>
    <w:rsid w:val="6D8E03AA"/>
    <w:rsid w:val="6D9F1D5D"/>
    <w:rsid w:val="6DBB089F"/>
    <w:rsid w:val="6DC63038"/>
    <w:rsid w:val="6DDC5608"/>
    <w:rsid w:val="6DE30DE0"/>
    <w:rsid w:val="6DE6130A"/>
    <w:rsid w:val="6E09491E"/>
    <w:rsid w:val="6E0D3655"/>
    <w:rsid w:val="6E1A437E"/>
    <w:rsid w:val="6E3A144E"/>
    <w:rsid w:val="6E5606D3"/>
    <w:rsid w:val="6E5F4465"/>
    <w:rsid w:val="6E8B1663"/>
    <w:rsid w:val="6E8C54DA"/>
    <w:rsid w:val="6EB752BD"/>
    <w:rsid w:val="6EF11E03"/>
    <w:rsid w:val="6EF1241D"/>
    <w:rsid w:val="6EF82916"/>
    <w:rsid w:val="6F0B2DE7"/>
    <w:rsid w:val="6F111C62"/>
    <w:rsid w:val="6F2176E5"/>
    <w:rsid w:val="6F3A2A5F"/>
    <w:rsid w:val="6F4F7F03"/>
    <w:rsid w:val="6F5523A2"/>
    <w:rsid w:val="6F592303"/>
    <w:rsid w:val="6F5F5B74"/>
    <w:rsid w:val="6F682400"/>
    <w:rsid w:val="6F9600A4"/>
    <w:rsid w:val="6F98032D"/>
    <w:rsid w:val="6F9B1C65"/>
    <w:rsid w:val="6FA44937"/>
    <w:rsid w:val="6FAD3FB9"/>
    <w:rsid w:val="6FE82C9C"/>
    <w:rsid w:val="6FFB146E"/>
    <w:rsid w:val="70160742"/>
    <w:rsid w:val="7030610F"/>
    <w:rsid w:val="70612DB4"/>
    <w:rsid w:val="706516C3"/>
    <w:rsid w:val="70660714"/>
    <w:rsid w:val="70896E68"/>
    <w:rsid w:val="708A4844"/>
    <w:rsid w:val="70A652AC"/>
    <w:rsid w:val="70C94DCA"/>
    <w:rsid w:val="70E05E9D"/>
    <w:rsid w:val="71073061"/>
    <w:rsid w:val="711A201F"/>
    <w:rsid w:val="71215AE9"/>
    <w:rsid w:val="712864E5"/>
    <w:rsid w:val="71396ACC"/>
    <w:rsid w:val="715B60E9"/>
    <w:rsid w:val="716F0EE9"/>
    <w:rsid w:val="7196674D"/>
    <w:rsid w:val="719E245E"/>
    <w:rsid w:val="71BA3FE5"/>
    <w:rsid w:val="71EA1FED"/>
    <w:rsid w:val="72165C6B"/>
    <w:rsid w:val="722021E3"/>
    <w:rsid w:val="72290340"/>
    <w:rsid w:val="722C6DDA"/>
    <w:rsid w:val="72515945"/>
    <w:rsid w:val="729243CB"/>
    <w:rsid w:val="72E661B1"/>
    <w:rsid w:val="730313F6"/>
    <w:rsid w:val="730E4732"/>
    <w:rsid w:val="73370D24"/>
    <w:rsid w:val="73397FB3"/>
    <w:rsid w:val="73472C84"/>
    <w:rsid w:val="7359268C"/>
    <w:rsid w:val="735F327A"/>
    <w:rsid w:val="7366631C"/>
    <w:rsid w:val="736C263C"/>
    <w:rsid w:val="73723640"/>
    <w:rsid w:val="737311F5"/>
    <w:rsid w:val="739503EB"/>
    <w:rsid w:val="73A05B28"/>
    <w:rsid w:val="73C07D69"/>
    <w:rsid w:val="73C979D4"/>
    <w:rsid w:val="73CE322A"/>
    <w:rsid w:val="73DC335B"/>
    <w:rsid w:val="740B60EC"/>
    <w:rsid w:val="745E7D35"/>
    <w:rsid w:val="7465362D"/>
    <w:rsid w:val="7475188D"/>
    <w:rsid w:val="749E16A8"/>
    <w:rsid w:val="74B42AE4"/>
    <w:rsid w:val="74C54993"/>
    <w:rsid w:val="74EB68F6"/>
    <w:rsid w:val="750A429D"/>
    <w:rsid w:val="752739E7"/>
    <w:rsid w:val="75474B47"/>
    <w:rsid w:val="75533AB0"/>
    <w:rsid w:val="75614792"/>
    <w:rsid w:val="75761866"/>
    <w:rsid w:val="75784473"/>
    <w:rsid w:val="75B10995"/>
    <w:rsid w:val="75B161B3"/>
    <w:rsid w:val="75DC6C44"/>
    <w:rsid w:val="75F05CC0"/>
    <w:rsid w:val="762F6A19"/>
    <w:rsid w:val="76341B33"/>
    <w:rsid w:val="76736B32"/>
    <w:rsid w:val="76807C04"/>
    <w:rsid w:val="76AF35EE"/>
    <w:rsid w:val="76C27A74"/>
    <w:rsid w:val="76C726A5"/>
    <w:rsid w:val="76E3765E"/>
    <w:rsid w:val="76EF6E7F"/>
    <w:rsid w:val="76FC2AFA"/>
    <w:rsid w:val="77527424"/>
    <w:rsid w:val="77653671"/>
    <w:rsid w:val="77707007"/>
    <w:rsid w:val="778546CC"/>
    <w:rsid w:val="778B6B46"/>
    <w:rsid w:val="77A337B9"/>
    <w:rsid w:val="77B551B3"/>
    <w:rsid w:val="77B56730"/>
    <w:rsid w:val="77B92EBE"/>
    <w:rsid w:val="77C04A8B"/>
    <w:rsid w:val="77D85DB3"/>
    <w:rsid w:val="77EB1B74"/>
    <w:rsid w:val="782A3EA3"/>
    <w:rsid w:val="78490703"/>
    <w:rsid w:val="78A50513"/>
    <w:rsid w:val="78AD35DB"/>
    <w:rsid w:val="78C43087"/>
    <w:rsid w:val="78D37FAF"/>
    <w:rsid w:val="78EF7AB5"/>
    <w:rsid w:val="790D6849"/>
    <w:rsid w:val="795767E3"/>
    <w:rsid w:val="79586707"/>
    <w:rsid w:val="796518DD"/>
    <w:rsid w:val="79724BEF"/>
    <w:rsid w:val="797264AC"/>
    <w:rsid w:val="79AA0532"/>
    <w:rsid w:val="79FA22BC"/>
    <w:rsid w:val="79FE1DDD"/>
    <w:rsid w:val="7A075767"/>
    <w:rsid w:val="7A0C15B3"/>
    <w:rsid w:val="7A212062"/>
    <w:rsid w:val="7A2522C9"/>
    <w:rsid w:val="7A282A11"/>
    <w:rsid w:val="7A3A59B8"/>
    <w:rsid w:val="7A5D0F75"/>
    <w:rsid w:val="7A715CD2"/>
    <w:rsid w:val="7A921E9A"/>
    <w:rsid w:val="7A9E53BF"/>
    <w:rsid w:val="7AA914B9"/>
    <w:rsid w:val="7ABA1471"/>
    <w:rsid w:val="7ABF2475"/>
    <w:rsid w:val="7AC21562"/>
    <w:rsid w:val="7AD474A4"/>
    <w:rsid w:val="7AFC38DE"/>
    <w:rsid w:val="7B303E8C"/>
    <w:rsid w:val="7B7D6B6D"/>
    <w:rsid w:val="7B865D50"/>
    <w:rsid w:val="7B8D34C3"/>
    <w:rsid w:val="7B971D84"/>
    <w:rsid w:val="7BAB0CB7"/>
    <w:rsid w:val="7BB4028F"/>
    <w:rsid w:val="7BC1107E"/>
    <w:rsid w:val="7BF32F03"/>
    <w:rsid w:val="7BF50D2C"/>
    <w:rsid w:val="7C066F4E"/>
    <w:rsid w:val="7C1724A5"/>
    <w:rsid w:val="7C8561DF"/>
    <w:rsid w:val="7CA54112"/>
    <w:rsid w:val="7CA553D9"/>
    <w:rsid w:val="7CAB27F5"/>
    <w:rsid w:val="7CAF438A"/>
    <w:rsid w:val="7CC951B6"/>
    <w:rsid w:val="7CCE726D"/>
    <w:rsid w:val="7CD71EA3"/>
    <w:rsid w:val="7CE50CE4"/>
    <w:rsid w:val="7CE94EE1"/>
    <w:rsid w:val="7CF877E9"/>
    <w:rsid w:val="7D134762"/>
    <w:rsid w:val="7D244CB3"/>
    <w:rsid w:val="7D2E5ABF"/>
    <w:rsid w:val="7D4A45B8"/>
    <w:rsid w:val="7D535AC7"/>
    <w:rsid w:val="7D964A74"/>
    <w:rsid w:val="7DFB43EA"/>
    <w:rsid w:val="7E007625"/>
    <w:rsid w:val="7E0737C8"/>
    <w:rsid w:val="7E131C51"/>
    <w:rsid w:val="7E176B90"/>
    <w:rsid w:val="7E2142A2"/>
    <w:rsid w:val="7E240411"/>
    <w:rsid w:val="7E29379D"/>
    <w:rsid w:val="7E48335A"/>
    <w:rsid w:val="7E797DE5"/>
    <w:rsid w:val="7E7B0BF2"/>
    <w:rsid w:val="7E8D75B6"/>
    <w:rsid w:val="7E8E672B"/>
    <w:rsid w:val="7EA27DDF"/>
    <w:rsid w:val="7EC67BB0"/>
    <w:rsid w:val="7ED809AD"/>
    <w:rsid w:val="7EF760EE"/>
    <w:rsid w:val="7F2536B5"/>
    <w:rsid w:val="7F2C3CE7"/>
    <w:rsid w:val="7F5A01CA"/>
    <w:rsid w:val="7F75661B"/>
    <w:rsid w:val="7FB17429"/>
    <w:rsid w:val="7FC237CA"/>
    <w:rsid w:val="7FF127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3">
    <w:name w:val="heading 1"/>
    <w:basedOn w:val="1"/>
    <w:next w:val="1"/>
    <w:link w:val="73"/>
    <w:qFormat/>
    <w:uiPriority w:val="9"/>
    <w:pPr>
      <w:keepNext/>
      <w:keepLines/>
      <w:spacing w:before="340" w:after="330" w:line="576" w:lineRule="auto"/>
      <w:outlineLvl w:val="0"/>
    </w:pPr>
    <w:rPr>
      <w:b/>
      <w:kern w:val="44"/>
      <w:sz w:val="44"/>
    </w:rPr>
  </w:style>
  <w:style w:type="paragraph" w:styleId="4">
    <w:name w:val="heading 2"/>
    <w:basedOn w:val="1"/>
    <w:next w:val="1"/>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0"/>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2"/>
    <w:unhideWhenUsed/>
    <w:qFormat/>
    <w:uiPriority w:val="9"/>
    <w:pPr>
      <w:keepNext/>
      <w:keepLines/>
      <w:outlineLvl w:val="3"/>
    </w:pPr>
    <w:rPr>
      <w:rFonts w:asciiTheme="majorHAnsi" w:hAnsiTheme="majorHAnsi" w:cstheme="majorBidi"/>
      <w:b/>
      <w:bCs/>
      <w:sz w:val="24"/>
      <w:szCs w:val="28"/>
    </w:rPr>
  </w:style>
  <w:style w:type="paragraph" w:styleId="7">
    <w:name w:val="heading 5"/>
    <w:basedOn w:val="1"/>
    <w:next w:val="1"/>
    <w:link w:val="72"/>
    <w:semiHidden/>
    <w:unhideWhenUsed/>
    <w:qFormat/>
    <w:uiPriority w:val="9"/>
    <w:pPr>
      <w:keepNext/>
      <w:keepLines/>
      <w:spacing w:before="280" w:after="290" w:line="372" w:lineRule="auto"/>
      <w:outlineLvl w:val="4"/>
    </w:pPr>
    <w:rPr>
      <w:b/>
      <w:sz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4"/>
    <w:qFormat/>
    <w:uiPriority w:val="1"/>
    <w:pPr>
      <w:spacing w:before="161"/>
      <w:ind w:left="120"/>
    </w:pPr>
    <w:rPr>
      <w:rFonts w:ascii="宋体" w:hAnsi="宋体" w:cs="宋体"/>
      <w:sz w:val="24"/>
      <w:lang w:val="zh-CN" w:bidi="zh-CN"/>
    </w:rPr>
  </w:style>
  <w:style w:type="paragraph" w:styleId="8">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9">
    <w:name w:val="Normal Indent"/>
    <w:basedOn w:val="1"/>
    <w:qFormat/>
    <w:uiPriority w:val="0"/>
    <w:pPr>
      <w:ind w:firstLine="420"/>
    </w:pPr>
    <w:rPr>
      <w:sz w:val="24"/>
      <w:szCs w:val="20"/>
    </w:rPr>
  </w:style>
  <w:style w:type="paragraph" w:styleId="10">
    <w:name w:val="annotation text"/>
    <w:basedOn w:val="1"/>
    <w:link w:val="61"/>
    <w:unhideWhenUsed/>
    <w:qFormat/>
    <w:uiPriority w:val="99"/>
  </w:style>
  <w:style w:type="paragraph" w:styleId="11">
    <w:name w:val="Body Text Indent"/>
    <w:basedOn w:val="1"/>
    <w:next w:val="1"/>
    <w:qFormat/>
    <w:uiPriority w:val="0"/>
    <w:pPr>
      <w:ind w:left="359" w:leftChars="171" w:firstLine="179" w:firstLineChars="85"/>
    </w:pPr>
    <w:rPr>
      <w:rFonts w:ascii="宋体" w:hAnsi="宋体"/>
      <w:b/>
      <w:bCs/>
      <w:szCs w:val="26"/>
    </w:rPr>
  </w:style>
  <w:style w:type="paragraph" w:styleId="12">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3">
    <w:name w:val="toc 3"/>
    <w:basedOn w:val="1"/>
    <w:next w:val="1"/>
    <w:unhideWhenUsed/>
    <w:qFormat/>
    <w:uiPriority w:val="39"/>
    <w:pPr>
      <w:tabs>
        <w:tab w:val="right" w:leader="dot" w:pos="8296"/>
      </w:tabs>
      <w:ind w:left="838" w:leftChars="381"/>
    </w:pPr>
    <w:rPr>
      <w:szCs w:val="21"/>
    </w:rPr>
  </w:style>
  <w:style w:type="paragraph" w:styleId="14">
    <w:name w:val="Plain Text"/>
    <w:basedOn w:val="1"/>
    <w:link w:val="53"/>
    <w:qFormat/>
    <w:uiPriority w:val="0"/>
    <w:pPr>
      <w:widowControl w:val="0"/>
      <w:adjustRightInd/>
      <w:snapToGrid/>
      <w:jc w:val="both"/>
    </w:pPr>
    <w:rPr>
      <w:rFonts w:ascii="宋体" w:hAnsi="Courier New" w:cs="Times New Roman"/>
      <w:b/>
      <w:kern w:val="2"/>
      <w:szCs w:val="20"/>
    </w:rPr>
  </w:style>
  <w:style w:type="paragraph" w:styleId="15">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6">
    <w:name w:val="Balloon Text"/>
    <w:basedOn w:val="1"/>
    <w:link w:val="56"/>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pPr>
    <w:rPr>
      <w:sz w:val="18"/>
      <w:szCs w:val="18"/>
    </w:rPr>
  </w:style>
  <w:style w:type="paragraph" w:styleId="18">
    <w:name w:val="header"/>
    <w:basedOn w:val="1"/>
    <w:link w:val="54"/>
    <w:unhideWhenUsed/>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unhideWhenUsed/>
    <w:qFormat/>
    <w:uiPriority w:val="39"/>
  </w:style>
  <w:style w:type="paragraph" w:styleId="20">
    <w:name w:val="toc 4"/>
    <w:basedOn w:val="1"/>
    <w:next w:val="1"/>
    <w:unhideWhenUsed/>
    <w:qFormat/>
    <w:uiPriority w:val="39"/>
    <w:pPr>
      <w:tabs>
        <w:tab w:val="right" w:leader="dot" w:pos="8296"/>
      </w:tabs>
      <w:spacing w:after="120"/>
      <w:ind w:left="1320" w:leftChars="600"/>
    </w:pPr>
  </w:style>
  <w:style w:type="paragraph" w:styleId="21">
    <w:name w:val="footnote text"/>
    <w:basedOn w:val="1"/>
    <w:semiHidden/>
    <w:unhideWhenUsed/>
    <w:qFormat/>
    <w:uiPriority w:val="99"/>
    <w:rPr>
      <w:sz w:val="18"/>
    </w:rPr>
  </w:style>
  <w:style w:type="paragraph" w:styleId="22">
    <w:name w:val="toc 6"/>
    <w:basedOn w:val="1"/>
    <w:next w:val="1"/>
    <w:qFormat/>
    <w:uiPriority w:val="39"/>
    <w:pPr>
      <w:ind w:left="1200"/>
    </w:pPr>
    <w:rPr>
      <w:rFonts w:ascii="Calibri" w:cs="Calibri"/>
      <w:sz w:val="18"/>
      <w:szCs w:val="18"/>
    </w:rPr>
  </w:style>
  <w:style w:type="paragraph" w:styleId="23">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4">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25">
    <w:name w:val="Normal (Web)"/>
    <w:basedOn w:val="1"/>
    <w:link w:val="58"/>
    <w:qFormat/>
    <w:uiPriority w:val="0"/>
    <w:pPr>
      <w:widowControl w:val="0"/>
      <w:adjustRightInd/>
      <w:snapToGrid/>
      <w:jc w:val="both"/>
    </w:pPr>
    <w:rPr>
      <w:rFonts w:asciiTheme="minorHAnsi" w:hAnsiTheme="minorHAnsi"/>
      <w:kern w:val="2"/>
      <w:sz w:val="24"/>
      <w:szCs w:val="24"/>
    </w:rPr>
  </w:style>
  <w:style w:type="paragraph" w:styleId="26">
    <w:name w:val="annotation subject"/>
    <w:basedOn w:val="10"/>
    <w:next w:val="10"/>
    <w:link w:val="62"/>
    <w:semiHidden/>
    <w:unhideWhenUsed/>
    <w:qFormat/>
    <w:uiPriority w:val="99"/>
    <w:rPr>
      <w:b/>
      <w:bCs/>
    </w:rPr>
  </w:style>
  <w:style w:type="paragraph" w:styleId="27">
    <w:name w:val="Body Text First Indent"/>
    <w:basedOn w:val="2"/>
    <w:next w:val="28"/>
    <w:qFormat/>
    <w:uiPriority w:val="0"/>
    <w:pPr>
      <w:spacing w:after="120"/>
      <w:ind w:firstLine="420" w:firstLineChars="100"/>
    </w:pPr>
    <w:rPr>
      <w:bCs/>
      <w:szCs w:val="21"/>
    </w:rPr>
  </w:style>
  <w:style w:type="paragraph" w:customStyle="1" w:styleId="28">
    <w:name w:val="样式 正文首行缩进 + 首行缩进:  1 字符"/>
    <w:basedOn w:val="1"/>
    <w:next w:val="1"/>
    <w:qFormat/>
    <w:uiPriority w:val="0"/>
    <w:pPr>
      <w:ind w:firstLine="200" w:firstLineChars="200"/>
    </w:pPr>
    <w:rPr>
      <w:rFonts w:cs="宋体"/>
      <w:szCs w:val="20"/>
    </w:rPr>
  </w:style>
  <w:style w:type="paragraph" w:styleId="29">
    <w:name w:val="Body Text First Indent 2"/>
    <w:basedOn w:val="11"/>
    <w:qFormat/>
    <w:uiPriority w:val="0"/>
    <w:pPr>
      <w:spacing w:after="120" w:line="240" w:lineRule="auto"/>
      <w:ind w:left="420" w:leftChars="200" w:firstLine="420"/>
    </w:pPr>
    <w:rPr>
      <w:rFonts w:ascii="Times New Roman" w:hAnsi="Times New Roman"/>
      <w:szCs w:val="20"/>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uiPriority w:val="0"/>
  </w:style>
  <w:style w:type="character" w:styleId="34">
    <w:name w:val="Emphasis"/>
    <w:basedOn w:val="32"/>
    <w:qFormat/>
    <w:uiPriority w:val="20"/>
    <w:rPr>
      <w:i/>
      <w:iCs/>
    </w:rPr>
  </w:style>
  <w:style w:type="character" w:styleId="35">
    <w:name w:val="Hyperlink"/>
    <w:qFormat/>
    <w:uiPriority w:val="99"/>
    <w:rPr>
      <w:rFonts w:hint="eastAsia" w:ascii="宋体" w:hAnsi="宋体" w:eastAsia="宋体" w:cs="宋体"/>
      <w:b/>
      <w:color w:val="0031C1"/>
      <w:kern w:val="0"/>
      <w:sz w:val="18"/>
      <w:szCs w:val="18"/>
      <w:u w:val="none"/>
      <w:lang w:eastAsia="en-US"/>
    </w:rPr>
  </w:style>
  <w:style w:type="character" w:styleId="36">
    <w:name w:val="annotation reference"/>
    <w:basedOn w:val="32"/>
    <w:semiHidden/>
    <w:unhideWhenUsed/>
    <w:qFormat/>
    <w:uiPriority w:val="99"/>
    <w:rPr>
      <w:sz w:val="21"/>
      <w:szCs w:val="21"/>
    </w:rPr>
  </w:style>
  <w:style w:type="character" w:styleId="37">
    <w:name w:val="footnote reference"/>
    <w:basedOn w:val="32"/>
    <w:semiHidden/>
    <w:unhideWhenUsed/>
    <w:qFormat/>
    <w:uiPriority w:val="99"/>
    <w:rPr>
      <w:vertAlign w:val="superscript"/>
    </w:rPr>
  </w:style>
  <w:style w:type="paragraph" w:customStyle="1" w:styleId="38">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39">
    <w:name w:val="标题 2 字符"/>
    <w:basedOn w:val="32"/>
    <w:link w:val="4"/>
    <w:qFormat/>
    <w:uiPriority w:val="9"/>
    <w:rPr>
      <w:rFonts w:asciiTheme="majorHAnsi" w:hAnsiTheme="majorHAnsi" w:eastAsiaTheme="majorEastAsia" w:cstheme="majorBidi"/>
      <w:b/>
      <w:bCs/>
      <w:sz w:val="32"/>
      <w:szCs w:val="32"/>
    </w:rPr>
  </w:style>
  <w:style w:type="character" w:customStyle="1" w:styleId="40">
    <w:name w:val="标题 3 字符"/>
    <w:basedOn w:val="32"/>
    <w:link w:val="5"/>
    <w:qFormat/>
    <w:uiPriority w:val="9"/>
    <w:rPr>
      <w:rFonts w:ascii="Tahoma" w:hAnsi="Tahoma"/>
      <w:b/>
      <w:bCs/>
      <w:sz w:val="32"/>
      <w:szCs w:val="32"/>
    </w:rPr>
  </w:style>
  <w:style w:type="paragraph" w:styleId="41">
    <w:name w:val="List Paragraph"/>
    <w:basedOn w:val="1"/>
    <w:link w:val="63"/>
    <w:qFormat/>
    <w:uiPriority w:val="0"/>
    <w:pPr>
      <w:ind w:firstLine="420" w:firstLineChars="200"/>
    </w:pPr>
  </w:style>
  <w:style w:type="character" w:customStyle="1" w:styleId="42">
    <w:name w:val="标题 4 字符"/>
    <w:basedOn w:val="32"/>
    <w:link w:val="6"/>
    <w:qFormat/>
    <w:uiPriority w:val="9"/>
    <w:rPr>
      <w:rFonts w:eastAsia="宋体" w:asciiTheme="majorHAnsi" w:hAnsiTheme="majorHAnsi" w:cstheme="majorBidi"/>
      <w:b/>
      <w:bCs/>
      <w:sz w:val="24"/>
      <w:szCs w:val="28"/>
    </w:rPr>
  </w:style>
  <w:style w:type="character" w:customStyle="1" w:styleId="43">
    <w:name w:val="正文缩进2格 Char"/>
    <w:link w:val="44"/>
    <w:qFormat/>
    <w:uiPriority w:val="0"/>
    <w:rPr>
      <w:rFonts w:ascii="仿宋_GB2312" w:hAnsi="宋体" w:eastAsia="仿宋_GB2312"/>
      <w:kern w:val="2"/>
      <w:sz w:val="31"/>
    </w:rPr>
  </w:style>
  <w:style w:type="paragraph" w:customStyle="1" w:styleId="44">
    <w:name w:val="正文缩进2格"/>
    <w:basedOn w:val="1"/>
    <w:link w:val="43"/>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45">
    <w:name w:val="正文缩进4格"/>
    <w:basedOn w:val="44"/>
    <w:qFormat/>
    <w:uiPriority w:val="0"/>
    <w:pPr>
      <w:ind w:left="2" w:firstLine="538" w:firstLineChars="192"/>
    </w:pPr>
    <w:rPr>
      <w:color w:val="0000FF"/>
      <w:sz w:val="28"/>
    </w:rPr>
  </w:style>
  <w:style w:type="character" w:customStyle="1" w:styleId="46">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47">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48">
    <w:name w:val="标题1"/>
    <w:qFormat/>
    <w:uiPriority w:val="0"/>
    <w:rPr>
      <w:rFonts w:ascii="Times New Roman" w:hAnsi="Times New Roman" w:eastAsia="宋体" w:cs="Times New Roman"/>
      <w:b/>
      <w:kern w:val="0"/>
      <w:sz w:val="24"/>
      <w:szCs w:val="20"/>
      <w:lang w:eastAsia="en-US"/>
    </w:rPr>
  </w:style>
  <w:style w:type="character" w:customStyle="1" w:styleId="49">
    <w:name w:val="标题 3.1 Char"/>
    <w:link w:val="50"/>
    <w:qFormat/>
    <w:uiPriority w:val="0"/>
    <w:rPr>
      <w:rFonts w:ascii="宋体" w:hAnsi="宋体" w:eastAsia="宋体"/>
      <w:b/>
      <w:color w:val="FF0000"/>
      <w:kern w:val="2"/>
      <w:sz w:val="32"/>
    </w:rPr>
  </w:style>
  <w:style w:type="paragraph" w:customStyle="1" w:styleId="50">
    <w:name w:val="标题 3.1"/>
    <w:basedOn w:val="5"/>
    <w:link w:val="49"/>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1">
    <w:name w:val="样式 楷体_GB2312 小四"/>
    <w:qFormat/>
    <w:uiPriority w:val="0"/>
    <w:rPr>
      <w:rFonts w:ascii="楷体_GB2312" w:hAnsi="楷体_GB2312" w:eastAsia="仿宋_GB2312"/>
      <w:sz w:val="24"/>
    </w:rPr>
  </w:style>
  <w:style w:type="character" w:customStyle="1" w:styleId="52">
    <w:name w:val="纯文本 Char"/>
    <w:qFormat/>
    <w:uiPriority w:val="0"/>
    <w:rPr>
      <w:rFonts w:ascii="宋体" w:hAnsi="Courier New" w:eastAsia="宋体" w:cs="Times New Roman"/>
      <w:b/>
      <w:kern w:val="2"/>
      <w:sz w:val="21"/>
      <w:szCs w:val="20"/>
    </w:rPr>
  </w:style>
  <w:style w:type="character" w:customStyle="1" w:styleId="53">
    <w:name w:val="纯文本 字符"/>
    <w:basedOn w:val="32"/>
    <w:link w:val="14"/>
    <w:semiHidden/>
    <w:qFormat/>
    <w:uiPriority w:val="99"/>
    <w:rPr>
      <w:rFonts w:ascii="宋体" w:hAnsi="Courier New" w:eastAsia="宋体" w:cs="Courier New"/>
      <w:sz w:val="21"/>
      <w:szCs w:val="21"/>
    </w:rPr>
  </w:style>
  <w:style w:type="character" w:customStyle="1" w:styleId="54">
    <w:name w:val="页眉 字符"/>
    <w:basedOn w:val="32"/>
    <w:link w:val="18"/>
    <w:qFormat/>
    <w:uiPriority w:val="99"/>
    <w:rPr>
      <w:rFonts w:ascii="Tahoma" w:hAnsi="Tahoma"/>
      <w:sz w:val="18"/>
      <w:szCs w:val="18"/>
    </w:rPr>
  </w:style>
  <w:style w:type="character" w:customStyle="1" w:styleId="55">
    <w:name w:val="页脚 字符"/>
    <w:basedOn w:val="32"/>
    <w:link w:val="17"/>
    <w:qFormat/>
    <w:uiPriority w:val="99"/>
    <w:rPr>
      <w:rFonts w:ascii="Tahoma" w:hAnsi="Tahoma"/>
      <w:sz w:val="18"/>
      <w:szCs w:val="18"/>
    </w:rPr>
  </w:style>
  <w:style w:type="character" w:customStyle="1" w:styleId="56">
    <w:name w:val="批注框文本 字符"/>
    <w:basedOn w:val="32"/>
    <w:link w:val="16"/>
    <w:semiHidden/>
    <w:qFormat/>
    <w:uiPriority w:val="99"/>
    <w:rPr>
      <w:rFonts w:ascii="Tahoma" w:hAnsi="Tahoma"/>
      <w:sz w:val="18"/>
      <w:szCs w:val="18"/>
    </w:rPr>
  </w:style>
  <w:style w:type="paragraph" w:customStyle="1" w:styleId="57">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58">
    <w:name w:val="普通(网站) 字符"/>
    <w:link w:val="25"/>
    <w:qFormat/>
    <w:uiPriority w:val="0"/>
    <w:rPr>
      <w:rFonts w:eastAsia="宋体"/>
      <w:kern w:val="2"/>
      <w:sz w:val="24"/>
      <w:szCs w:val="24"/>
    </w:rPr>
  </w:style>
  <w:style w:type="paragraph" w:customStyle="1" w:styleId="59">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0">
    <w:name w:val="p141"/>
    <w:qFormat/>
    <w:uiPriority w:val="0"/>
    <w:rPr>
      <w:sz w:val="21"/>
      <w:szCs w:val="21"/>
    </w:rPr>
  </w:style>
  <w:style w:type="character" w:customStyle="1" w:styleId="61">
    <w:name w:val="批注文字 字符"/>
    <w:basedOn w:val="32"/>
    <w:link w:val="10"/>
    <w:qFormat/>
    <w:uiPriority w:val="99"/>
    <w:rPr>
      <w:rFonts w:ascii="Tahoma" w:hAnsi="Tahoma" w:eastAsia="微软雅黑" w:cstheme="minorBidi"/>
      <w:sz w:val="22"/>
      <w:szCs w:val="22"/>
    </w:rPr>
  </w:style>
  <w:style w:type="character" w:customStyle="1" w:styleId="62">
    <w:name w:val="批注主题 字符"/>
    <w:basedOn w:val="61"/>
    <w:link w:val="26"/>
    <w:semiHidden/>
    <w:qFormat/>
    <w:uiPriority w:val="99"/>
    <w:rPr>
      <w:rFonts w:ascii="Tahoma" w:hAnsi="Tahoma" w:eastAsia="微软雅黑" w:cstheme="minorBidi"/>
      <w:b/>
      <w:bCs/>
      <w:sz w:val="22"/>
      <w:szCs w:val="22"/>
    </w:rPr>
  </w:style>
  <w:style w:type="character" w:customStyle="1" w:styleId="63">
    <w:name w:val="列表段落 字符"/>
    <w:link w:val="41"/>
    <w:qFormat/>
    <w:uiPriority w:val="0"/>
    <w:rPr>
      <w:rFonts w:ascii="Tahoma" w:hAnsi="Tahoma" w:eastAsia="微软雅黑" w:cstheme="minorBidi"/>
      <w:sz w:val="22"/>
      <w:szCs w:val="22"/>
    </w:rPr>
  </w:style>
  <w:style w:type="character" w:customStyle="1" w:styleId="64">
    <w:name w:val="正文文本 字符"/>
    <w:basedOn w:val="32"/>
    <w:link w:val="2"/>
    <w:qFormat/>
    <w:uiPriority w:val="1"/>
    <w:rPr>
      <w:rFonts w:ascii="宋体" w:hAnsi="宋体" w:cs="宋体"/>
      <w:sz w:val="24"/>
      <w:szCs w:val="22"/>
      <w:lang w:val="zh-CN" w:bidi="zh-CN"/>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_Style 1"/>
    <w:basedOn w:val="1"/>
    <w:qFormat/>
    <w:uiPriority w:val="0"/>
    <w:pPr>
      <w:ind w:firstLine="420" w:firstLineChars="200"/>
    </w:pPr>
  </w:style>
  <w:style w:type="paragraph" w:customStyle="1" w:styleId="67">
    <w:name w:val="列出段落2"/>
    <w:basedOn w:val="1"/>
    <w:qFormat/>
    <w:uiPriority w:val="0"/>
    <w:pPr>
      <w:ind w:firstLine="420" w:firstLineChars="200"/>
    </w:pPr>
  </w:style>
  <w:style w:type="paragraph" w:customStyle="1" w:styleId="68">
    <w:name w:val="p0"/>
    <w:basedOn w:val="1"/>
    <w:qFormat/>
    <w:uiPriority w:val="0"/>
    <w:rPr>
      <w:szCs w:val="21"/>
    </w:rPr>
  </w:style>
  <w:style w:type="paragraph" w:customStyle="1" w:styleId="69">
    <w:name w:val="正文文本缩进 21"/>
    <w:basedOn w:val="1"/>
    <w:qFormat/>
    <w:uiPriority w:val="0"/>
    <w:pPr>
      <w:spacing w:line="480" w:lineRule="auto"/>
      <w:ind w:firstLine="540"/>
    </w:pPr>
    <w:rPr>
      <w:rFonts w:ascii="Calibri" w:hAnsi="Calibri"/>
      <w:sz w:val="20"/>
      <w:szCs w:val="20"/>
    </w:rPr>
  </w:style>
  <w:style w:type="paragraph" w:customStyle="1" w:styleId="70">
    <w:name w:val="_Style 2"/>
    <w:basedOn w:val="1"/>
    <w:qFormat/>
    <w:uiPriority w:val="0"/>
    <w:pPr>
      <w:ind w:firstLine="420" w:firstLineChars="200"/>
    </w:pPr>
  </w:style>
  <w:style w:type="paragraph" w:customStyle="1" w:styleId="71">
    <w:name w:val="msolistparagraph"/>
    <w:basedOn w:val="1"/>
    <w:qFormat/>
    <w:uiPriority w:val="0"/>
    <w:pPr>
      <w:ind w:firstLine="420" w:firstLineChars="200"/>
    </w:pPr>
    <w:rPr>
      <w:rFonts w:hint="eastAsia" w:hAnsi="宋体"/>
    </w:rPr>
  </w:style>
  <w:style w:type="character" w:customStyle="1" w:styleId="72">
    <w:name w:val="标题 5 字符"/>
    <w:link w:val="7"/>
    <w:qFormat/>
    <w:uiPriority w:val="0"/>
    <w:rPr>
      <w:b/>
      <w:sz w:val="28"/>
    </w:rPr>
  </w:style>
  <w:style w:type="character" w:customStyle="1" w:styleId="73">
    <w:name w:val="标题 1 字符"/>
    <w:link w:val="3"/>
    <w:qFormat/>
    <w:uiPriority w:val="9"/>
    <w:rPr>
      <w:b/>
      <w:kern w:val="44"/>
      <w:sz w:val="44"/>
    </w:rPr>
  </w:style>
  <w:style w:type="paragraph" w:customStyle="1" w:styleId="74">
    <w:name w:val="修订1"/>
    <w:hidden/>
    <w:semiHidden/>
    <w:qFormat/>
    <w:uiPriority w:val="99"/>
    <w:rPr>
      <w:rFonts w:ascii="Tahoma" w:hAnsi="Tahoma" w:eastAsia="宋体" w:cstheme="minorBidi"/>
      <w:sz w:val="21"/>
      <w:szCs w:val="22"/>
      <w:lang w:val="en-US" w:eastAsia="zh-CN" w:bidi="ar-SA"/>
    </w:rPr>
  </w:style>
  <w:style w:type="paragraph" w:customStyle="1" w:styleId="75">
    <w:name w:val="表格文字"/>
    <w:basedOn w:val="1"/>
    <w:qFormat/>
    <w:uiPriority w:val="0"/>
    <w:pPr>
      <w:adjustRightInd/>
      <w:spacing w:before="25" w:after="25"/>
    </w:pPr>
    <w:rPr>
      <w:rFonts w:ascii="Times New Roman"/>
      <w:bCs/>
      <w:spacing w:val="10"/>
      <w:szCs w:val="20"/>
    </w:rPr>
  </w:style>
  <w:style w:type="paragraph" w:customStyle="1" w:styleId="76">
    <w:name w:val="纯文本1"/>
    <w:basedOn w:val="77"/>
    <w:qFormat/>
    <w:uiPriority w:val="0"/>
    <w:rPr>
      <w:rFonts w:ascii="宋体" w:hAnsi="Courier New"/>
      <w:szCs w:val="20"/>
    </w:rPr>
  </w:style>
  <w:style w:type="paragraph" w:customStyle="1" w:styleId="77">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78">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79">
    <w:name w:val="Table Normal"/>
    <w:semiHidden/>
    <w:unhideWhenUsed/>
    <w:qFormat/>
    <w:uiPriority w:val="2"/>
    <w:tblPr>
      <w:tblCellMar>
        <w:top w:w="0" w:type="dxa"/>
        <w:left w:w="0" w:type="dxa"/>
        <w:bottom w:w="0" w:type="dxa"/>
        <w:right w:w="0" w:type="dxa"/>
      </w:tblCellMar>
    </w:tblPr>
  </w:style>
  <w:style w:type="paragraph" w:customStyle="1" w:styleId="80">
    <w:name w:val="Table Paragraph"/>
    <w:basedOn w:val="1"/>
    <w:qFormat/>
    <w:uiPriority w:val="1"/>
  </w:style>
  <w:style w:type="paragraph" w:customStyle="1" w:styleId="81">
    <w:name w:val="正文文本缩进1"/>
    <w:basedOn w:val="77"/>
    <w:qFormat/>
    <w:uiPriority w:val="0"/>
    <w:pPr>
      <w:spacing w:after="120"/>
      <w:ind w:left="420" w:leftChars="200"/>
    </w:pPr>
  </w:style>
  <w:style w:type="paragraph" w:customStyle="1" w:styleId="82">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3">
    <w:name w:val="纯文本2"/>
    <w:basedOn w:val="77"/>
    <w:qFormat/>
    <w:uiPriority w:val="0"/>
    <w:rPr>
      <w:rFonts w:ascii="宋体" w:hAnsi="Courier New"/>
      <w:szCs w:val="20"/>
    </w:rPr>
  </w:style>
  <w:style w:type="character" w:customStyle="1" w:styleId="84">
    <w:name w:val="font141"/>
    <w:qFormat/>
    <w:uiPriority w:val="0"/>
    <w:rPr>
      <w:rFonts w:hint="default" w:ascii="Times New Roman" w:hAnsi="Times New Roman" w:cs="Times New Roman"/>
      <w:color w:val="000000"/>
      <w:sz w:val="18"/>
      <w:szCs w:val="18"/>
      <w:u w:val="none"/>
    </w:rPr>
  </w:style>
  <w:style w:type="character" w:customStyle="1" w:styleId="85">
    <w:name w:val="font71"/>
    <w:qFormat/>
    <w:uiPriority w:val="0"/>
    <w:rPr>
      <w:rFonts w:hint="eastAsia" w:ascii="宋体" w:hAnsi="宋体" w:eastAsia="宋体" w:cs="宋体"/>
      <w:color w:val="000000"/>
      <w:sz w:val="18"/>
      <w:szCs w:val="18"/>
      <w:u w:val="none"/>
    </w:rPr>
  </w:style>
  <w:style w:type="paragraph" w:customStyle="1" w:styleId="86">
    <w:name w:val="Revision"/>
    <w:hidden/>
    <w:unhideWhenUsed/>
    <w:qFormat/>
    <w:uiPriority w:val="99"/>
    <w:rPr>
      <w:rFonts w:ascii="Tahoma" w:hAnsi="Tahoma" w:eastAsia="宋体" w:cstheme="minorBidi"/>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113"/>
    <customShpInfo spid="_x0000_s4114"/>
    <customShpInfo spid="_x0000_s1026" textRotate="1"/>
    <customShpInfo spid="_x0000_s4115"/>
    <customShpInfo spid="_x0000_s411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2FDE4B-77BC-4B7C-94B1-DC883D12665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159</Pages>
  <Words>58136</Words>
  <Characters>15041</Characters>
  <Lines>125</Lines>
  <Paragraphs>146</Paragraphs>
  <TotalTime>1</TotalTime>
  <ScaleCrop>false</ScaleCrop>
  <LinksUpToDate>false</LinksUpToDate>
  <CharactersWithSpaces>73031</CharactersWithSpaces>
  <Application>WPS Office_11.8.6.9023_F1E327BC-269C-435d-A152-05C5408002CA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2023-09-06T02:40:00Z</dcterms:created>
  <dc:creator>MyPC</dc:creator>
  <cp:lastModifiedBy>罗铭斯</cp:lastModifiedBy>
  <cp:lastPrinted>2022-12-01T06:09:00Z</cp:lastPrinted>
  <dcterms:modified xsi:type="dcterms:W3CDTF">2023-09-21T09:27:10Z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8893364F97034321966F3CB273CA3FAE_13</vt:lpwstr>
  </property>
</Properties>
</file>