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440801-2025-01486</w:t>
      </w:r>
    </w:p>
    <w:p>
      <w:pPr>
        <w:pStyle w:val="null3"/>
        <w:jc w:val="center"/>
        <w:outlineLvl w:val="3"/>
      </w:pPr>
      <w:r>
        <w:rPr>
          <w:sz w:val="24"/>
          <w:b/>
        </w:rPr>
        <w:t>采购项目编号：</w:t>
      </w:r>
      <w:r>
        <w:rPr>
          <w:sz w:val="24"/>
          <w:b/>
        </w:rPr>
        <w:t>ZZZJ02505003</w:t>
      </w:r>
    </w:p>
    <w:p>
      <w:pPr>
        <w:pStyle w:val="null3"/>
        <w:jc w:val="center"/>
        <w:outlineLvl w:val="3"/>
      </w:pPr>
      <w:r>
        <w:rPr>
          <w:sz w:val="24"/>
          <w:b/>
        </w:rPr>
        <w:t>项目名称：</w:t>
      </w:r>
      <w:r>
        <w:rPr>
          <w:sz w:val="24"/>
          <w:b/>
        </w:rPr>
        <w:t>湛江幼儿师范专科学校烹饪工艺与营养专业教学资源库建设项目</w:t>
      </w:r>
    </w:p>
    <w:p>
      <w:pPr>
        <w:pStyle w:val="null3"/>
        <w:jc w:val="center"/>
        <w:outlineLvl w:val="3"/>
      </w:pPr>
      <w:r>
        <w:rPr>
          <w:sz w:val="24"/>
          <w:b/>
        </w:rPr>
        <w:t>采购人：</w:t>
      </w:r>
      <w:r>
        <w:rPr>
          <w:sz w:val="24"/>
          <w:b/>
        </w:rPr>
        <w:t>湛江幼儿师范专科学校</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湛江幼儿师范专科学校</w:t>
      </w:r>
      <w:r>
        <w:rPr/>
        <w:t>的委托，采用</w:t>
      </w:r>
      <w:r>
        <w:rPr/>
        <w:t>竞争性磋商</w:t>
      </w:r>
      <w:r>
        <w:rPr/>
        <w:t>方式组织采购</w:t>
      </w:r>
      <w:r>
        <w:rPr/>
        <w:t>湛江幼儿师范专科学校烹饪工艺与营养专业教学资源库建设项目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湛江幼儿师范专科学校烹饪工艺与营养专业教学资源库建设项目</w:t>
      </w:r>
    </w:p>
    <w:p>
      <w:pPr>
        <w:pStyle w:val="null3"/>
        <w:ind w:firstLine="480"/>
      </w:pPr>
      <w:r>
        <w:rPr/>
        <w:t>采购计划编号：</w:t>
      </w:r>
      <w:r>
        <w:rPr/>
        <w:t>440801-2025-01486</w:t>
      </w:r>
    </w:p>
    <w:p>
      <w:pPr>
        <w:pStyle w:val="null3"/>
        <w:ind w:firstLine="480"/>
      </w:pPr>
      <w:r>
        <w:rPr/>
        <w:t>采购项目编号：</w:t>
      </w:r>
      <w:r>
        <w:rPr/>
        <w:t>ZZZJ02505003</w:t>
      </w:r>
    </w:p>
    <w:p>
      <w:pPr>
        <w:pStyle w:val="null3"/>
        <w:ind w:firstLine="480"/>
      </w:pPr>
      <w:r>
        <w:rPr/>
        <w:t>采购方式：</w:t>
      </w:r>
      <w:r>
        <w:rPr/>
        <w:t>竞争性磋商</w:t>
      </w:r>
    </w:p>
    <w:p>
      <w:pPr>
        <w:pStyle w:val="null3"/>
        <w:ind w:firstLine="480"/>
      </w:pPr>
      <w:r>
        <w:rPr/>
        <w:t>预算金额：</w:t>
      </w:r>
      <w:r>
        <w:rPr/>
        <w:t>1,024,640.05</w:t>
      </w:r>
      <w:r>
        <w:rPr/>
        <w:t>元</w:t>
      </w:r>
    </w:p>
    <w:p>
      <w:pPr>
        <w:pStyle w:val="null3"/>
        <w:outlineLvl w:val="3"/>
      </w:pPr>
      <w:r>
        <w:rPr>
          <w:sz w:val="24"/>
          <w:b/>
        </w:rPr>
        <w:t>2.项目内容及需求情况（采购项目技术规格、参数及要求）</w:t>
      </w:r>
    </w:p>
    <w:p>
      <w:pPr>
        <w:pStyle w:val="null3"/>
      </w:pPr>
      <w:r>
        <w:rPr/>
        <w:t>采购包1(湛江幼儿师范专科学校烹饪工艺与营养专业教学资源库建设项目):</w:t>
      </w:r>
    </w:p>
    <w:p>
      <w:pPr>
        <w:pStyle w:val="null3"/>
      </w:pPr>
      <w:r>
        <w:rPr/>
        <w:t>采购包预算金额：1,024,640.05元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教育课程研究与开发服务</w:t>
            </w:r>
          </w:p>
        </w:tc>
        <w:tc>
          <w:tcPr>
            <w:tcW w:type="dxa" w:w="2136"/>
          </w:tcPr>
          <w:p>
            <w:pPr>
              <w:pStyle w:val="null3"/>
            </w:pPr>
            <w:r>
              <w:rPr/>
              <w:t>烹饪工艺与营养专业教学资源库宣传片制作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教育课程研究与开发服务</w:t>
            </w:r>
          </w:p>
        </w:tc>
        <w:tc>
          <w:tcPr>
            <w:tcW w:type="dxa" w:w="2136"/>
          </w:tcPr>
          <w:p>
            <w:pPr>
              <w:pStyle w:val="null3"/>
            </w:pPr>
            <w:r>
              <w:rPr/>
              <w:t>微课资源制作</w:t>
            </w:r>
          </w:p>
        </w:tc>
        <w:tc>
          <w:tcPr>
            <w:tcW w:type="dxa" w:w="1187"/>
          </w:tcPr>
          <w:p>
            <w:pPr>
              <w:pStyle w:val="null3"/>
            </w:pPr>
            <w:r>
              <w:rPr/>
              <w:t>250(个)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教育课程研究与开发服务</w:t>
            </w:r>
          </w:p>
        </w:tc>
        <w:tc>
          <w:tcPr>
            <w:tcW w:type="dxa" w:w="2136"/>
          </w:tcPr>
          <w:p>
            <w:pPr>
              <w:pStyle w:val="null3"/>
            </w:pPr>
            <w:r>
              <w:rPr/>
              <w:t>专业教学资源库门户网站</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教育课程研究与开发服务</w:t>
            </w:r>
          </w:p>
        </w:tc>
        <w:tc>
          <w:tcPr>
            <w:tcW w:type="dxa" w:w="2136"/>
          </w:tcPr>
          <w:p>
            <w:pPr>
              <w:pStyle w:val="null3"/>
            </w:pPr>
            <w:r>
              <w:rPr/>
              <w:t>元教材平台</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合同履行期限：按磋商文件“标的提供时间”要求。</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1）具有良好的商业信誉和健全的财务会计制度：依据《湛江市政府采购供应商资格信用承诺函》（格式详见采购公告附件）。</w:t>
      </w:r>
    </w:p>
    <w:p>
      <w:pPr>
        <w:pStyle w:val="null3"/>
      </w:pPr>
      <w:r>
        <w:rPr/>
        <w:t>2）有依法缴纳税收和社会保障资金的良好记录：依据《湛江市政府采购供应商资格信用承诺函》（格式详见采购公告附件）。</w:t>
      </w:r>
    </w:p>
    <w:p>
      <w:pPr>
        <w:pStyle w:val="null3"/>
      </w:pPr>
      <w:r>
        <w:rPr/>
        <w:t>3）参加采购活动前3年内，在经营活动中没有重大违法记录：参加采购活动前3年内，在经营活动中没有重大违法记录：提供《湛江市政府采购供应商资格信用承诺函》（格式详见采购公告附件）。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t>4）具有独立承担民事责任的能力：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p>
      <w:pPr>
        <w:pStyle w:val="null3"/>
      </w:pPr>
      <w:r>
        <w:rPr/>
        <w:t>5）履行合同所必需的设备和专业技术能力：按投标（响应）文件格式填报设备及专业技术能力情况（提供承诺函或列出清单，格式自拟）。</w:t>
      </w:r>
    </w:p>
    <w:p>
      <w:pPr>
        <w:pStyle w:val="null3"/>
        <w:outlineLvl w:val="3"/>
      </w:pPr>
      <w:r>
        <w:rPr>
          <w:sz w:val="24"/>
          <w:b/>
        </w:rPr>
        <w:t>2.落实政府采购政策需满足的资格要求：</w:t>
      </w:r>
    </w:p>
    <w:p>
      <w:pPr>
        <w:pStyle w:val="null3"/>
        <w:jc w:val="left"/>
      </w:pPr>
      <w:r>
        <w:rPr/>
        <w:t>采购包1（湛江幼儿师范专科学校烹饪工艺与营养专业教学资源库建设项目）：</w:t>
      </w:r>
      <w:r>
        <w:rPr/>
        <w:t>采购包属于专门面向中小企业。供应商须符合本项目采购标的对应行业（其它未明行业）政策划分标准的中小企业。监狱企业、残疾人福利单位视同小型、微型企业。 注：中小企业以供应商填写的《中小企业声明函》（详见采购文件格式）为判定标准，残疾人福利性单位以供应商填写的《残疾人福利性单位声明函》（详见采购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采购包1（湛江幼儿师范专科学校烹饪工艺与营养专业教学资源库建设项目）：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响应）（提供承诺函，格式自拟）。</w:t>
      </w:r>
    </w:p>
    <w:p>
      <w:pPr>
        <w:pStyle w:val="null3"/>
      </w:pPr>
      <w:r>
        <w:rPr/>
        <w:t>3)本项目不接受联合体投标。</w:t>
      </w:r>
    </w:p>
    <w:p>
      <w:pPr>
        <w:pStyle w:val="null3"/>
      </w:pPr>
      <w:r>
        <w:rPr/>
        <w:t>4)符合法律、行政法规规定的其他条件（提供承诺函，格式自拟）。</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湛江幼儿师范专科学校</w:t>
      </w:r>
    </w:p>
    <w:p>
      <w:pPr>
        <w:pStyle w:val="null3"/>
        <w:ind w:firstLine="480"/>
      </w:pPr>
      <w:r>
        <w:rPr/>
        <w:t>地址：</w:t>
      </w:r>
      <w:r>
        <w:rPr/>
        <w:t>广东省湛江市麻章区雷湖大道湛江教育基地南环路1号</w:t>
      </w:r>
    </w:p>
    <w:p>
      <w:pPr>
        <w:pStyle w:val="null3"/>
        <w:ind w:firstLine="480"/>
      </w:pPr>
      <w:r>
        <w:rPr/>
        <w:t>联系方式：</w:t>
      </w:r>
      <w:r>
        <w:rPr/>
        <w:t>13600383761</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湛江市霞山区海滨大道中与乐金路交汇处天誉澜湾 10#5 层</w:t>
      </w:r>
    </w:p>
    <w:p>
      <w:pPr>
        <w:pStyle w:val="null3"/>
        <w:ind w:firstLine="480"/>
      </w:pPr>
      <w:r>
        <w:rPr/>
        <w:t xml:space="preserve"> 联系方式：</w:t>
      </w:r>
      <w:r>
        <w:rPr/>
        <w:t>15017377886</w:t>
      </w:r>
    </w:p>
    <w:p>
      <w:pPr>
        <w:pStyle w:val="null3"/>
        <w:outlineLvl w:val="3"/>
      </w:pPr>
      <w:r>
        <w:rPr>
          <w:sz w:val="24"/>
          <w:b/>
        </w:rPr>
        <w:t xml:space="preserve"> 3.项目联系方式</w:t>
      </w:r>
    </w:p>
    <w:p>
      <w:pPr>
        <w:pStyle w:val="null3"/>
        <w:ind w:firstLine="480"/>
      </w:pPr>
      <w:r>
        <w:rPr/>
        <w:t xml:space="preserve"> 项目联系人：</w:t>
      </w:r>
      <w:r>
        <w:rPr/>
        <w:t>广东志正招标有限公司</w:t>
      </w:r>
    </w:p>
    <w:p>
      <w:pPr>
        <w:pStyle w:val="null3"/>
        <w:ind w:firstLine="480"/>
      </w:pPr>
      <w:r>
        <w:rPr/>
        <w:t xml:space="preserve"> 电话：</w:t>
      </w:r>
      <w:r>
        <w:rPr/>
        <w:t>15017377886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0"/>
        <w:jc w:val="both"/>
      </w:pPr>
      <w:r>
        <w:rPr>
          <w:sz w:val="21"/>
        </w:rPr>
        <w:t>项目属性：服务类</w:t>
      </w:r>
    </w:p>
    <w:p>
      <w:pPr>
        <w:pStyle w:val="null3"/>
        <w:ind w:firstLine="420"/>
        <w:jc w:val="both"/>
      </w:pPr>
      <w:r>
        <w:rPr>
          <w:sz w:val="21"/>
        </w:rPr>
        <w:t>品目分类：</w:t>
      </w:r>
      <w:r>
        <w:rPr>
          <w:sz w:val="21"/>
        </w:rPr>
        <w:t>教育课程研究与开发服务</w:t>
      </w:r>
    </w:p>
    <w:p>
      <w:pPr>
        <w:pStyle w:val="null3"/>
        <w:ind w:firstLine="420"/>
        <w:jc w:val="both"/>
      </w:pPr>
      <w:r>
        <w:rPr>
          <w:sz w:val="21"/>
        </w:rPr>
        <w:t>本项目对应的中小微企业划分标准所属行业为：</w:t>
      </w:r>
      <w:r>
        <w:rPr/>
        <w:t>其它未列明行业</w:t>
      </w:r>
      <w:r>
        <w:rPr>
          <w:sz w:val="21"/>
        </w:rPr>
        <w:t>。</w:t>
      </w:r>
    </w:p>
    <w:p>
      <w:pPr>
        <w:pStyle w:val="null3"/>
        <w:ind w:firstLine="420"/>
        <w:jc w:val="both"/>
      </w:pPr>
      <w:r>
        <w:rPr>
          <w:sz w:val="21"/>
        </w:rPr>
        <w:t>本项目最高限价</w:t>
      </w:r>
      <w:r>
        <w:rPr>
          <w:sz w:val="21"/>
        </w:rPr>
        <w:t>1,024,640.05</w:t>
      </w:r>
      <w:r>
        <w:rPr>
          <w:sz w:val="21"/>
        </w:rPr>
        <w:t>元。</w:t>
      </w:r>
    </w:p>
    <w:p>
      <w:pPr>
        <w:pStyle w:val="null3"/>
      </w:pPr>
      <w:r>
        <w:rPr>
          <w:sz w:val="28"/>
          <w:b/>
        </w:rPr>
        <w:t>二、采购需求</w:t>
      </w:r>
    </w:p>
    <w:p>
      <w:pPr>
        <w:pStyle w:val="null3"/>
      </w:pPr>
      <w:r>
        <w:rPr/>
        <w:t>（</w:t>
      </w:r>
      <w:r>
        <w:rPr/>
        <w:t>一</w:t>
      </w:r>
      <w:r>
        <w:rPr/>
        <w:t>）</w:t>
      </w:r>
      <w:r>
        <w:rPr/>
        <w:t>采购项目需实现的功能和目标</w:t>
      </w:r>
      <w:r>
        <w:rPr/>
        <w:t>：</w:t>
      </w:r>
    </w:p>
    <w:p>
      <w:pPr>
        <w:pStyle w:val="null3"/>
      </w:pPr>
      <w:r>
        <w:rPr/>
        <w:t>　　　本专业教学资源库包含</w:t>
      </w:r>
      <w:r>
        <w:rPr/>
        <w:t>6</w:t>
      </w:r>
      <w:r>
        <w:rPr/>
        <w:t>门课程：《烹饪卫生与安全学》、《特殊人群时令营养面点的设计与制作》、《烹饪营养学》、《</w:t>
      </w:r>
      <w:r>
        <w:rPr/>
        <w:t>湛江海鲜菜</w:t>
      </w:r>
      <w:r>
        <w:rPr/>
        <w:t>》、《饮食营养与配餐实践》和《食品添加剂》。本专业立足湛江，对接广东省现代服务业重点领域旅游服务业和优先支持的</w:t>
      </w:r>
      <w:r>
        <w:rPr/>
        <w:t>“粤菜师傅”工程，服务“海南自贸港”“粤港澳大湾区”，致力于打造餐旅服务业技术技能人才培养高地和技艺技能传承创新平台，培养具有工匠精神、创新能力、国际视野的高素质技术技能型人才。</w:t>
      </w:r>
    </w:p>
    <w:p>
      <w:pPr>
        <w:pStyle w:val="null3"/>
      </w:pPr>
      <w:r>
        <w:rPr/>
        <w:t>　　　通过烹饪工艺与营养专业教学资源库建设及推广应用，将引领全省高等职业教育烹饪工艺与营养专业教学改革，推动教学模式、学习模式的变革，促进人才培养质量的整体提升，为全省开办烹饪工艺与营养专业相关专业的高职院校在校生提供直接的服务；也能为烹饪行业从业人员培训、社会学习者学习、继续教育和终身教育提供服务。</w:t>
      </w:r>
    </w:p>
    <w:p>
      <w:pPr>
        <w:pStyle w:val="null3"/>
      </w:pPr>
      <w:r>
        <w:rPr/>
        <w:t>采购包1（湛江幼儿师范专科学校烹饪工艺与营养专业教学资源库建设项目）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合同签订后180自然日内</w:t>
            </w:r>
          </w:p>
        </w:tc>
      </w:tr>
      <w:tr>
        <w:tc>
          <w:tcPr>
            <w:tcW w:type="dxa" w:w="4153"/>
          </w:tcPr>
          <w:p>
            <w:pPr>
              <w:pStyle w:val="null3"/>
            </w:pPr>
            <w:r>
              <w:rPr/>
              <w:t>标的提供的地点</w:t>
            </w:r>
          </w:p>
        </w:tc>
        <w:tc>
          <w:tcPr>
            <w:tcW w:type="dxa" w:w="4153"/>
          </w:tcPr>
          <w:p>
            <w:pPr>
              <w:pStyle w:val="null3"/>
            </w:pPr>
            <w:r>
              <w:rPr/>
              <w:t>采购人指定地点（湛江幼儿师范专科学校）</w:t>
            </w:r>
          </w:p>
        </w:tc>
      </w:tr>
      <w:tr/>
      <w:tr/>
      <w:tr>
        <w:tc>
          <w:tcPr>
            <w:tcW w:type="dxa" w:w="4153"/>
          </w:tcPr>
          <w:p>
            <w:pPr>
              <w:pStyle w:val="null3"/>
            </w:pPr>
            <w:r>
              <w:rPr/>
              <w:t>付款方式</w:t>
            </w:r>
          </w:p>
        </w:tc>
        <w:tc>
          <w:tcPr>
            <w:tcW w:type="dxa" w:w="4153"/>
          </w:tcPr>
          <w:p>
            <w:pPr>
              <w:pStyle w:val="null3"/>
            </w:pPr>
            <w:r>
              <w:rPr/>
              <w:t>第1期为(预付款)：支付比例30%，合同签订后，乙方按中标合同价的30%开具正式发票，甲方在15个工作日内支付合同总价的30%。</w:t>
            </w:r>
          </w:p>
          <w:p>
            <w:pPr>
              <w:pStyle w:val="null3"/>
            </w:pPr>
            <w:r>
              <w:rPr/>
              <w:t>第2期为(尾款)：支付比例70%，完成全部建设内容，提交报告材料并验收合格后，乙方按中标合同价的70%开具正式发票，甲方在15个工作日内支付合同总价的70%。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全面竣工（完工）后，由成交供应商自查合格，向采购人提出书面验收申请，由成交供应商按招标文件及合同内容编制竣工（完工）资料及相关文件，由采购人组成验收小组确认时间进行验收。如因成交供应商提供的服务产品存在争议，无法协商解决时，通过邀请行业内专家或第三方机构进行验收。采购人保留对因供应商过错造成的损失（含专家费）的追偿权。验收合格后双方签署验收合格证书，并交付采购人使用。</w:t>
            </w:r>
          </w:p>
        </w:tc>
      </w:tr>
      <w:tr>
        <w:tc>
          <w:tcPr>
            <w:tcW w:type="dxa" w:w="4153"/>
          </w:tcPr>
          <w:p>
            <w:pPr>
              <w:pStyle w:val="null3"/>
            </w:pPr>
            <w:r>
              <w:rPr/>
              <w:t>履约保证金</w:t>
            </w:r>
          </w:p>
        </w:tc>
        <w:tc>
          <w:tcPr>
            <w:tcW w:type="dxa" w:w="4153"/>
          </w:tcPr>
          <w:p>
            <w:pPr>
              <w:pStyle w:val="null3"/>
            </w:pPr>
            <w:r>
              <w:rPr/>
              <w:t>收取比例：5%,说明：1.履约保证金的缴纳方式：以现金或银行保函或履约保证保险方式缴纳。 2.履约保证金的缴纳时间：成交供应商需在合同签订后5个工作日内缴纳保证金，以确保合同顺利履行。3.履约保证金的金额及退还方式：成交合同价的5%，履约保证金在项目完工验收合格并交付使用且提交符合要求的完工资料后，在成交供应商申请退还之日起5个工作日内给予退还（无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其他，1)包装运输要求：宣传片采用MP4封装视频文件；微课采用MP4 格式封装。 2)售后服务要求： 1.服务响应时间为全年7*24小时。工作期间(正常工作日8:00-18:00)核心故障（如网站平台故障、软件故障、设备故障等）响应时间不超过1小时，到达现场时间不超过8小时；非工作期间核心故障（如网站平台故障、软件故障、设备故障等）响应时间不超过2小时，到达现场时间不超过12小时。如果设备故障在检修8个工作小时后仍无法排除，乙方在24小时内提供技术服务方案。 2.质保期为一年。因服务产品出现非人为因素故障，造成短期停用时，则质保期和免费维修期相应顺延。如停用时间累计超过60天则质保期重新计算。 3)履约验收方案： 1.履约验收主体：湛江幼儿师范专科学校 2.履约验收时间：项目全面竣工（完工）后，由成交供应商自查合格，向采购人提出书面验收申请，由成交供应商按招标文件及合同内容编制竣工（完工）资料及相关文件，由采购人组成验收小组确认时间进行验收。 3.履约验收方式：书面审查、现场检验、功能测试。 4.履约验收程序：首先，由中标供应商提交完整的资源库建设成果及书面验收材料由采购人进行书面审查，符合要求的通知中标方进行现场检验；其次，采购人组成验收小组按招标文件及合同内容进行现场检验及功能测试；如因中标方提供的服务产品存在争议，无法协商解决时，通过邀请行业内专家或第三方机构进行验收。采购人保留对因供应商过错造成的损失（含专家费）的追偿权。最后，测试运行一周，无问题的为验收通过，给出验收结果并出具验收报告。 5.履约验收内容：按招标文件及合同内容进行验收（详见相关内容条款）。 6.验收标准：按招标文件及合同内容进行验收（详见相关内容条款）。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教育课程研究与开发服务</w:t>
            </w:r>
          </w:p>
        </w:tc>
        <w:tc>
          <w:tcPr>
            <w:tcW w:type="dxa" w:w="933"/>
          </w:tcPr>
          <w:p>
            <w:pPr>
              <w:pStyle w:val="null3"/>
              <w:jc w:val="left"/>
            </w:pPr>
            <w:r>
              <w:rPr/>
              <w:t>烹饪工艺与营养专业教学资源库宣传片制作</w:t>
            </w:r>
          </w:p>
        </w:tc>
        <w:tc>
          <w:tcPr>
            <w:tcW w:type="dxa" w:w="933"/>
          </w:tcPr>
          <w:p>
            <w:pPr>
              <w:pStyle w:val="null3"/>
              <w:jc w:val="left"/>
            </w:pPr>
            <w:r>
              <w:rPr/>
              <w:t>个</w:t>
            </w:r>
          </w:p>
        </w:tc>
        <w:tc>
          <w:tcPr>
            <w:tcW w:type="dxa" w:w="933"/>
          </w:tcPr>
          <w:p>
            <w:pPr>
              <w:pStyle w:val="null3"/>
              <w:jc w:val="right"/>
            </w:pPr>
            <w:r>
              <w:rPr/>
              <w:t>1.00</w:t>
            </w:r>
          </w:p>
        </w:tc>
        <w:tc>
          <w:tcPr>
            <w:tcW w:type="dxa" w:w="933"/>
          </w:tcPr>
          <w:p>
            <w:pPr>
              <w:pStyle w:val="null3"/>
              <w:jc w:val="right"/>
            </w:pPr>
            <w:r>
              <w:rPr/>
              <w:t>13,000.00</w:t>
            </w:r>
          </w:p>
        </w:tc>
        <w:tc>
          <w:tcPr>
            <w:tcW w:type="dxa" w:w="933"/>
          </w:tcPr>
          <w:p>
            <w:pPr>
              <w:pStyle w:val="null3"/>
              <w:jc w:val="right"/>
            </w:pPr>
            <w:r>
              <w:rPr/>
              <w:t>13,000.00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教育课程研究与开发服务</w:t>
            </w:r>
          </w:p>
        </w:tc>
        <w:tc>
          <w:tcPr>
            <w:tcW w:type="dxa" w:w="933"/>
          </w:tcPr>
          <w:p>
            <w:pPr>
              <w:pStyle w:val="null3"/>
              <w:jc w:val="left"/>
            </w:pPr>
            <w:r>
              <w:rPr/>
              <w:t>微课资源制作</w:t>
            </w:r>
          </w:p>
        </w:tc>
        <w:tc>
          <w:tcPr>
            <w:tcW w:type="dxa" w:w="933"/>
          </w:tcPr>
          <w:p>
            <w:pPr>
              <w:pStyle w:val="null3"/>
              <w:jc w:val="left"/>
            </w:pPr>
            <w:r>
              <w:rPr/>
              <w:t>个</w:t>
            </w:r>
          </w:p>
        </w:tc>
        <w:tc>
          <w:tcPr>
            <w:tcW w:type="dxa" w:w="933"/>
          </w:tcPr>
          <w:p>
            <w:pPr>
              <w:pStyle w:val="null3"/>
              <w:jc w:val="right"/>
            </w:pPr>
            <w:r>
              <w:rPr/>
              <w:t>250.00</w:t>
            </w:r>
          </w:p>
        </w:tc>
        <w:tc>
          <w:tcPr>
            <w:tcW w:type="dxa" w:w="933"/>
          </w:tcPr>
          <w:p>
            <w:pPr>
              <w:pStyle w:val="null3"/>
              <w:jc w:val="right"/>
            </w:pPr>
            <w:r>
              <w:rPr/>
              <w:t>3,760.00</w:t>
            </w:r>
          </w:p>
        </w:tc>
        <w:tc>
          <w:tcPr>
            <w:tcW w:type="dxa" w:w="933"/>
          </w:tcPr>
          <w:p>
            <w:pPr>
              <w:pStyle w:val="null3"/>
              <w:jc w:val="right"/>
            </w:pPr>
            <w:r>
              <w:rPr/>
              <w:t>940,000.00</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教育课程研究与开发服务</w:t>
            </w:r>
          </w:p>
        </w:tc>
        <w:tc>
          <w:tcPr>
            <w:tcW w:type="dxa" w:w="933"/>
          </w:tcPr>
          <w:p>
            <w:pPr>
              <w:pStyle w:val="null3"/>
              <w:jc w:val="left"/>
            </w:pPr>
            <w:r>
              <w:rPr/>
              <w:t>专业教学资源库门户网站</w:t>
            </w:r>
          </w:p>
        </w:tc>
        <w:tc>
          <w:tcPr>
            <w:tcW w:type="dxa" w:w="933"/>
          </w:tcPr>
          <w:p>
            <w:pPr>
              <w:pStyle w:val="null3"/>
              <w:jc w:val="left"/>
            </w:pPr>
            <w:r>
              <w:rPr/>
              <w:t>个</w:t>
            </w:r>
          </w:p>
        </w:tc>
        <w:tc>
          <w:tcPr>
            <w:tcW w:type="dxa" w:w="933"/>
          </w:tcPr>
          <w:p>
            <w:pPr>
              <w:pStyle w:val="null3"/>
              <w:jc w:val="right"/>
            </w:pPr>
            <w:r>
              <w:rPr/>
              <w:t>1.00</w:t>
            </w:r>
          </w:p>
        </w:tc>
        <w:tc>
          <w:tcPr>
            <w:tcW w:type="dxa" w:w="933"/>
          </w:tcPr>
          <w:p>
            <w:pPr>
              <w:pStyle w:val="null3"/>
              <w:jc w:val="right"/>
            </w:pPr>
            <w:r>
              <w:rPr/>
              <w:t>14,332.01</w:t>
            </w:r>
          </w:p>
        </w:tc>
        <w:tc>
          <w:tcPr>
            <w:tcW w:type="dxa" w:w="933"/>
          </w:tcPr>
          <w:p>
            <w:pPr>
              <w:pStyle w:val="null3"/>
              <w:jc w:val="right"/>
            </w:pPr>
            <w:r>
              <w:rPr/>
              <w:t>14,332.01</w:t>
            </w:r>
          </w:p>
        </w:tc>
        <w:tc>
          <w:tcPr>
            <w:tcW w:type="dxa" w:w="840"/>
          </w:tcPr>
          <w:p>
            <w:pPr>
              <w:pStyle w:val="null3"/>
            </w:pPr>
            <w:r>
              <w:rPr/>
              <w:t>其他未列明行业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教育课程研究与开发服务</w:t>
            </w:r>
          </w:p>
        </w:tc>
        <w:tc>
          <w:tcPr>
            <w:tcW w:type="dxa" w:w="933"/>
          </w:tcPr>
          <w:p>
            <w:pPr>
              <w:pStyle w:val="null3"/>
              <w:jc w:val="left"/>
            </w:pPr>
            <w:r>
              <w:rPr/>
              <w:t>元教材平台</w:t>
            </w:r>
          </w:p>
        </w:tc>
        <w:tc>
          <w:tcPr>
            <w:tcW w:type="dxa" w:w="933"/>
          </w:tcPr>
          <w:p>
            <w:pPr>
              <w:pStyle w:val="null3"/>
              <w:jc w:val="left"/>
            </w:pPr>
            <w:r>
              <w:rPr/>
              <w:t>个</w:t>
            </w:r>
          </w:p>
        </w:tc>
        <w:tc>
          <w:tcPr>
            <w:tcW w:type="dxa" w:w="933"/>
          </w:tcPr>
          <w:p>
            <w:pPr>
              <w:pStyle w:val="null3"/>
              <w:jc w:val="right"/>
            </w:pPr>
            <w:r>
              <w:rPr/>
              <w:t>1.00</w:t>
            </w:r>
          </w:p>
        </w:tc>
        <w:tc>
          <w:tcPr>
            <w:tcW w:type="dxa" w:w="933"/>
          </w:tcPr>
          <w:p>
            <w:pPr>
              <w:pStyle w:val="null3"/>
              <w:jc w:val="right"/>
            </w:pPr>
            <w:r>
              <w:rPr/>
              <w:t>57,308.04</w:t>
            </w:r>
          </w:p>
        </w:tc>
        <w:tc>
          <w:tcPr>
            <w:tcW w:type="dxa" w:w="933"/>
          </w:tcPr>
          <w:p>
            <w:pPr>
              <w:pStyle w:val="null3"/>
              <w:jc w:val="right"/>
            </w:pPr>
            <w:r>
              <w:rPr/>
              <w:t>57,308.04</w:t>
            </w:r>
          </w:p>
        </w:tc>
        <w:tc>
          <w:tcPr>
            <w:tcW w:type="dxa" w:w="840"/>
          </w:tcPr>
          <w:p>
            <w:pPr>
              <w:pStyle w:val="null3"/>
            </w:pPr>
            <w:r>
              <w:rPr/>
              <w:t>其他未列明行业</w:t>
            </w:r>
          </w:p>
        </w:tc>
        <w:tc>
          <w:tcPr>
            <w:tcW w:type="dxa" w:w="933"/>
          </w:tcPr>
          <w:p>
            <w:pPr>
              <w:pStyle w:val="null3"/>
            </w:pPr>
            <w:r>
              <w:rPr/>
              <w:t>详见附表四</w:t>
            </w:r>
          </w:p>
        </w:tc>
      </w:tr>
    </w:tbl>
    <w:p>
      <w:pPr>
        <w:pStyle w:val="null3"/>
      </w:pPr>
      <w:r>
        <w:rPr>
          <w:b/>
        </w:rPr>
        <w:t>附表</w:t>
      </w:r>
      <w:r>
        <w:rPr>
          <w:b/>
        </w:rPr>
        <w:t>一</w:t>
      </w:r>
      <w:r>
        <w:rPr>
          <w:b/>
        </w:rPr>
        <w:t>：</w:t>
      </w:r>
      <w:r>
        <w:rPr>
          <w:b/>
        </w:rPr>
        <w:t>烹饪工艺与营养专业教学资源库宣传片制作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1.整体要求： 资源库宣传片动态艺术化地对专业和资源库层面进行介绍，进行推广宣传的重要手段。供应商需提供富有感染力、画面精美、创意独特的资源库宣传片。片长一般不超过5分钟。 2.技术要求： 2.1播音专业水准配音、带字幕； 2.2 配二维、动态动画（至少10个动态画面）； ▲2.3有实景拍摄且视需要采用虚拟场景，拍摄方式包含航拍、轨道、摇臂等模式，拍摄手法不限于固定镜头、运动镜头、摇摄、跟焦、升降镜头、特写镜头等； 2.4片头、片尾精美设计； 2.5达到省级资源库宣传片标准。 3.成片要求： 3.1屏幕图像的构图合理，画面主题突出； 3.2要与内容相贴切，能够发挥良好的宣传效果。 3.3视频信号源： 稳定性：全片图像同步性能稳定，无失帧现象，图像无抖动跳跃，色彩无突变，编辑点处图像稳定； 色调：白平衡正确，无明显偏色，多机拍摄的镜头衔接处无明显色差； 画幅：参考采用不低于1080p。 3.4音频信号源：声音和画面要求同步，无交流声或其他杂音等缺陷。伴音清晰、饱满、圆润，无失真、噪声杂音干扰、音量忽大忽小现象。解说声与现场声无明显比例失调，解说声与背景音乐无明显比例失调； 3.5视频压缩格式及技术参数： 视频压缩采用H.264/AVC (MPEG-4 Part10)编码、使用二次编码、不包含字幕的MP4格式。视频分辨率：前期采用高清16:9拍摄，设定不低于 1920×1080； 视频画幅宽高比：视频画幅宽高比为16:9，分辨率设定不低于1920×1080,视频帧率不低于25帧/秒。 4.成品交付要求： 封装；采用MP4封装视频文件；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微课资源制作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 整体要求： 微课是以微型教学视频为主要载体，针对某门课程知识点（如重点、难点、疑点、考点等）或教学环节（如学习活动、主题、任务等）而设计开发的一种情景化、支持多种学习方式的在线视频课程资源。由专业的老师提供构思及脚本（主要是6-8门课程），供应商负责拍摄+剪辑，含配音，需加专业教学资源库片头片尾。成品为mp4格式，一般时长为5-10分钟。微课类型不限于：抠图微课、实操微课、二维动画微课等。 2.内容要求： 知识点与课程教学大纲/课程标准匹配，内容准确完整，进程合理，能综合反映教学理念、教学内容和教学方法的有益革新，充分体现微课教学设计创意。 3.画面要求： 3.1视频类素材每帧图像颜色数不低于256色或灰度级不低于128级；视频图像清晰，播放时没有明显的噪点，播放流畅；彩色视频素材每帧图像颜色均为真彩色； 3.2音频与视频图像有良好的同步，音频部分应符合音频素材的质量要求；视频中如有教师出现，以中景和近景为主，画面效果要求人物和板书（资料）同样清晰。 4.字幕要求： 4.1标识字幕要求如下：字幕清晰美观，能正确有效地传达信息。 4.2字幕要使用符合国家标准的规范字及英语字体；字幕的字体、大小、色彩搭配、摆放位置、停留时间、出入屏幕方式力求与其他要素（画面、解说词、音乐）配合适当，不能破坏原有画面； 5.品质要求： (1) 声音和画面要求同步，无交流声或其他杂音等缺陷，无明显失真、放音过冲、过弱。伴音清晰、饱满、圆润，无失真、噪声杂音干扰、音量忽大忽小现象。解说声与现场声、背景音乐无明显比例失调。音频信噪比不低于48 dB； (2)视频压缩采用H.264(MPEG-4 Part10：profile=main, level=3.0)编码方式，码流率256 Kbps以上，帧速率不低于25 fps/s，分辨率不低于1280×720（16:9）； (3) 音频压缩采用H.264格式编码，采样率48KHz，码流率128Kbps (恒定)，必须双声道，必须做混音处理； (4) 视频分辨率方面：采用高清16∶9拍摄时，分辨率为1280×720；在同一课程中，各讲的视频分辨率应统一，不得标清和高清混用； (5) 视频画面宽高比：分辨率设定为1280×720的，采用高清16:9；标清和高清不得混用； (6) 视频帧率：25帧/秒；扫描方式采用逐行扫描。 6.成品要求： 6.1成品视频需实时显示相关字幕，能按采购人指定要求剪辑，按需要设定背景音乐或背景音效。 6.2视频风格统一，颜色一致，画质纯净，剪辑合理，不拖沓冗余，凝练大方、精致美观符合一定的审美情趣。 6.3视频要有字幕，使用规范汉字及（或）英语字幕，音频与视频图像有良好的同步，实现多场景教学，须支持流媒体，并能按需求适度压缩视频画质和尺寸，以方便互联网或手机传播。 6.4视频制作需考虑如何引导学生注意力，避免在一个画面长时间静止不变。 7.成品交付要求： 7.1视频版权归属：所有视频的版权完全归采购人所有，中标人不得外泄所拍资料和所制作的成品； ▲7.2版权：视频拍摄与制作的成品所用素材资源不能有知识产权的纠纷。如产生法律纠纷，中标人需承担一切与之相关的法律责任；（需提供承诺书） 7.3成品交付：MP4 格式封装。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专业教学资源库门户网站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1.整体要求： 对接“智慧职教”平台，参考平台上国家级专业资源库建设，栏目设置合理，前端展示方式符合用户使用习惯，功能模块要求衔接完整，同时栏目模块设置符合国家级资源建设要求。 ▲2.栏目设置： 内容包括但不限于：专业中心、课程中心、素材中心、培训中心、职教出海等。 3.功能展示： 3.1 用户管理功能：可以设置不同用户，分配相应角色，管理资源库不同模块资源。 3.2 栏目管理功能：可自行设置添加二级栏目、三级栏目，修改或删除，可进行栏目类型的修改。 3.3 栏目形式管理：可设置不同栏目形式，包括文字标题、图片列表、视频列表、图片链接等。 3.4 内容发布管理：可修改发布日期、发布状态、保存草稿等。 3.4 备份与恢复功能：可设置定期备份数据库，对于误删的数据，可以在回收站恢复。 4.统计管理： 4.1可统计平台资源数据，用户访问情况等； 4.2支持统计图表的生成，对统计结果可以以表格、柱状图、饼状图多种方式展示。 5.专家指导： 企业聘请广东省省级专业教学资源库与国家级在线精品课程负责人作为指导专家。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元教材平台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1.元教材开发参数 开发语言：Java11、TypeScript 开发框架：Spring Cloud:Hoxton.RC1、Vue3、AntDesignVue、FileSaver、Lodash、Pinia 数据库：MySQL 5.7以上 2.元教材部署参数 服务系统：CentOS7.9 开发语言/运行环境：Java 11,Spring Cloud:Hoxton.RC1, Spring Boot:2.2.6.RELEASE，Node16、Yarn 数据库：MySQL 5.7以上 缓存技术：Redis 搜索引擎：ElasticSearch 部署环境：kubernetes、Docker-10.20.10、 内存：8G以上 3.元教材功能参数 (1)支持教材学习数据分析并自动生成教材报告，分析教材阅读人数、进度、媒体内容的交互学习、试题答题情况等数据的统计生成报告，支持报告导出成pdf下载,支持教材自动生成知识图谱，图谱包括教材目录大纲、富媒体内容。 ▲(2)教材阅读支持PC端浏览器阅读和移动端微信小程序阅读PC端浏览器支持阅读模式：文字模式、彩图模式、移动端微信小程序支持阅读模式：文字模式。 （需提供功能截图） (3)通过点击教材中插入的视频、音频、图片学习富媒体内容，外部链接二维码资源可在PC端点击打开学习，在微信小程序扫码打开学习。 ▲(4)支持对已生成音频的教材，可以在PC端和微信小程序中进行听教材模式的学习收听支持听完一章节内容后自动进入下一章节，手动切换章节，支持通过教材目录跳转至指定章节开始收听。支持收听语速设置。（需提供功能截图） (5)支持一边阅读教材一边记录学习笔记,支持对选中教材文本内容后添加笔记，可以选中教材内容记笔记,笔记支持个人笔记和公开笔记的隐私设置。 (6)可以选中教材内容发起讨论，通过微信发起学习讨论邀请。 (7)支持在线回答教材中编入的试题，并查看答题结果,支持多次重复答题。 ▲(8)支持管理者通过可视化数据大屏查看教材得情况，包括教材资源统计，原创性占比，教材学习数据，包括教材的学习进度、富媒体内容的阅读学习情况，笔记数量，参与讨论情况等详细数据。（需提供功能截图） (9)支持将教材设置为仅教学使用,支持平台分享和交易个人制作的教材；支持版号图书教材在线挂售。 （10）支持多端灵活使用教学一体机、PC、移动端小程序。 ▲（11）元教材平台提供不少于2年的试用期，需提供具有产权证明（元教材计算机软件著作权或元教材代理授权书），后续可协助老师参加比赛或申报软著。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湛江幼儿师范专科学校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发展计划委员会颁布的《招标代理服务收费管理暂行办法》(计价格[2002]1980号)《关于招标代理服务收费有关问题的通知》(发改办价格[2003]857号)及国家发展改革委颁布的《国家发展改革委关于降低部分建设项目收费标准规范收费行为等有关问题的通知》(发改价格[2011]534号)等有关规定执行，项目的代理服务费用按差额定率累进法计算后下浮20%收取。项目的代理服务费不足5000元的，按5000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郑工</w:t>
      </w:r>
    </w:p>
    <w:p>
      <w:pPr>
        <w:pStyle w:val="null3"/>
        <w:ind w:firstLine="480"/>
      </w:pPr>
      <w:r>
        <w:rPr/>
        <w:t>电话：</w:t>
      </w:r>
      <w:r>
        <w:rPr/>
        <w:t>15017377886</w:t>
      </w:r>
    </w:p>
    <w:p>
      <w:pPr>
        <w:pStyle w:val="null3"/>
        <w:ind w:firstLine="480"/>
      </w:pPr>
      <w:r>
        <w:rPr/>
        <w:t>传真：</w:t>
      </w:r>
      <w:r>
        <w:rPr/>
        <w:t>/</w:t>
      </w:r>
    </w:p>
    <w:p>
      <w:pPr>
        <w:pStyle w:val="null3"/>
        <w:ind w:firstLine="480"/>
      </w:pPr>
      <w:r>
        <w:rPr/>
        <w:t>邮箱：</w:t>
      </w:r>
      <w:r>
        <w:rPr/>
        <w:t>GDZZ2309727@163.com</w:t>
      </w:r>
    </w:p>
    <w:p>
      <w:pPr>
        <w:pStyle w:val="null3"/>
        <w:ind w:firstLine="480"/>
      </w:pPr>
      <w:r>
        <w:rPr/>
        <w:t>地址：</w:t>
      </w:r>
      <w:r>
        <w:rPr/>
        <w:t>湛江市霞山区海滨大道中与乐金路交汇处天誉澜湾 10#5 层</w:t>
      </w:r>
    </w:p>
    <w:p>
      <w:pPr>
        <w:pStyle w:val="null3"/>
        <w:ind w:firstLine="480"/>
      </w:pPr>
      <w:r>
        <w:rPr/>
        <w:t>邮编：</w:t>
      </w:r>
      <w:r>
        <w:rPr/>
        <w:t>524000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政府采购监督管理机构名称：湛江市财政局采购监管科</w:t>
      </w:r>
    </w:p>
    <w:p>
      <w:pPr>
        <w:pStyle w:val="null3"/>
      </w:pPr>
      <w:r>
        <w:rPr/>
        <w:t>地 址：湛江市赤坎区康顺路48号</w:t>
      </w:r>
    </w:p>
    <w:p>
      <w:pPr>
        <w:pStyle w:val="null3"/>
      </w:pPr>
      <w:r>
        <w:rPr/>
        <w:t>电 话：3220722</w:t>
      </w:r>
    </w:p>
    <w:p>
      <w:pPr>
        <w:pStyle w:val="null3"/>
      </w:pPr>
      <w:r>
        <w:rPr/>
        <w:t>邮 编：524023</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湛江幼儿师范专科学校烹饪工艺与营养专业教学资源库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采购包1（湛江幼儿师范专科学校烹饪工艺与营养专业教学资源库建设项目）：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采购包1（湛江幼儿师范专科学校烹饪工艺与营养专业教学资源库建设项目）：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具有良好的商业信誉和健全的财务会计制度</w:t>
            </w:r>
          </w:p>
        </w:tc>
        <w:tc>
          <w:tcPr>
            <w:tcW w:type="dxa" w:w="4238"/>
          </w:tcPr>
          <w:p>
            <w:pPr>
              <w:pStyle w:val="null3"/>
            </w:pPr>
            <w:r>
              <w:rPr/>
              <w:t>依据《湛江市政府采购供应商资格信用承诺函》（格式详见采购公告附件）。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依据《湛江市政府采购供应商资格信用承诺函》（格式详见采购公告附件）。</w:t>
            </w:r>
          </w:p>
        </w:tc>
      </w:tr>
      <w:tr>
        <w:tc>
          <w:tcPr>
            <w:tcW w:type="dxa" w:w="890"/>
          </w:tcPr>
          <w:p>
            <w:pPr>
              <w:pStyle w:val="null3"/>
            </w:pPr>
            <w:r>
              <w:rPr/>
              <w:t>3</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参加采购活动前3年内，在经营活动中没有重大违法记录：提供《湛江市政府采购供应商资格信用承诺函》（格式详见采购公告附件）。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4</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tc>
      </w:tr>
      <w:tr>
        <w:tc>
          <w:tcPr>
            <w:tcW w:type="dxa" w:w="890"/>
          </w:tcPr>
          <w:p>
            <w:pPr>
              <w:pStyle w:val="null3"/>
            </w:pPr>
            <w:r>
              <w:rPr/>
              <w:t>5</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按投标（响应）文件格式填报设备及专业技术能力情况（提供承诺函或列出清单，格式自拟）。</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响应）（提供承诺函，格式自拟）。</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符合法律、行政法规规定的其他条件（提供承诺函，格式自拟）。</w:t>
            </w:r>
          </w:p>
        </w:tc>
        <w:tc>
          <w:tcPr>
            <w:tcW w:type="dxa" w:w="4238"/>
          </w:tcPr>
          <w:p>
            <w:pPr>
              <w:pStyle w:val="null3"/>
            </w:pPr>
            <w:r>
              <w:rPr/>
              <w:t>符合法律、行政法规规定的其他条件（提供承诺函，格式自拟）。</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采购包属于专门面向中小企业。供应商须符合本项目采购标的对应行业（其它未明行业）政策划分标准的中小企业。监狱企业、残疾人福利单位视同小型、微型企业。 注：中小企业以供应商填写的《中小企业声明函》（详见采购文件格式）为判定标准，残疾人福利性单位以供应商填写的《残疾人福利性单位声明函》（详见采购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采购包1（湛江幼儿师范专科学校烹饪工艺与营养专业教学资源库建设项目）：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响应函已提交并符合磋商文件要求的，且响应有效期不少于磋商文件中载明的响应有效期。</w:t>
            </w:r>
          </w:p>
        </w:tc>
      </w:tr>
      <w:tr>
        <w:tc>
          <w:tcPr>
            <w:tcW w:type="dxa" w:w="890"/>
          </w:tcPr>
          <w:p>
            <w:pPr>
              <w:pStyle w:val="null3"/>
            </w:pPr>
            <w:r>
              <w:rPr/>
              <w:t>2</w:t>
            </w:r>
          </w:p>
        </w:tc>
        <w:tc>
          <w:tcPr>
            <w:tcW w:type="dxa" w:w="3178"/>
          </w:tcPr>
          <w:p>
            <w:pPr>
              <w:pStyle w:val="null3"/>
            </w:pPr>
            <w:r>
              <w:rPr/>
              <w:t>磋商有效期</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响应文件的签署、盖章</w:t>
            </w:r>
          </w:p>
        </w:tc>
        <w:tc>
          <w:tcPr>
            <w:tcW w:type="dxa" w:w="4238"/>
          </w:tcPr>
          <w:p>
            <w:pPr>
              <w:pStyle w:val="null3"/>
            </w:pPr>
            <w:r>
              <w:rPr/>
              <w:t>响应文件已按照磋商文件规定要求签署、盖章且有法定代表人签字或盖个人名章（或签字人有法定代表人有效授权书）的。</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投标报价是固定价且是唯一的，投标总报价未超出采购预算，如果评审委员会认为可能影响履约的报价，需提供成本明细；无法证明合理性的，按废标处理。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响应文件没有法律、法规、规章及磋商文件中规定的其它无效投标条款。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无招标文件或法规明确规定无效投标的其他情形。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采购包1(湛江幼儿师范专科学校烹饪工艺与营养专业教学资源库建设项目):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(14.0分)</w:t>
            </w:r>
          </w:p>
        </w:tc>
        <w:tc>
          <w:tcPr>
            <w:tcW w:type="dxa" w:w="5076"/>
          </w:tcPr>
          <w:p>
            <w:pPr>
              <w:pStyle w:val="null3"/>
              <w:jc w:val="left"/>
            </w:pPr>
            <w:r>
              <w:rPr/>
              <w:t>根据供应商对招标文件《采购需求书》四、技术要求中需求参数响应情况打分： 1. 带“▲”项关键参数响应情况全部满足得14分，每负偏离一项扣2分。 2.对于非“▲”项技术参数响应情况进行打分，每偏离一项扣1分。 注：带非“▲”项技术参数响应标准：（1）如采购需求中有明确要求提供证明资料的，则以用户需求中要求的证明资料为准。（2）如用户需求中未明确证明材料的，以供应商响应文件中的《技术和服务要求响应表》中响应情况为准，未填写或负偏离或未按要求提供证明材料的视为不满足。</w:t>
            </w:r>
          </w:p>
        </w:tc>
      </w:tr>
      <w:tr>
        <w:tc>
          <w:tcPr>
            <w:tcW w:type="dxa" w:w="922"/>
            <w:gridSpan w:val="2"/>
            <w:vMerge/>
          </w:tcPr>
          <w:p/>
        </w:tc>
        <w:tc>
          <w:tcPr>
            <w:tcW w:type="dxa" w:w="2307"/>
          </w:tcPr>
          <w:p>
            <w:pPr>
              <w:pStyle w:val="null3"/>
              <w:jc w:val="left"/>
            </w:pPr>
            <w:r>
              <w:rPr/>
              <w:t>项目实施方案 (13.0分)</w:t>
            </w:r>
          </w:p>
        </w:tc>
        <w:tc>
          <w:tcPr>
            <w:tcW w:type="dxa" w:w="5076"/>
          </w:tcPr>
          <w:p>
            <w:pPr>
              <w:pStyle w:val="null3"/>
              <w:jc w:val="left"/>
            </w:pPr>
            <w:r>
              <w:rPr/>
              <w:t>供应商根据采购需求编制实施方案，方案内容包括但不限于：背景分析、目标设定、实施过程、计划进度、测试交付等进行综合评分： 1.能提供实施方案的，得1分，不提供不得分；如未能提供实施方案的，以下评分项均不得分。 2.实施方案内容包括：背景分析、目标设定、实施过程、计划进度、测试交付等内容的，得5分，每少一项扣1分。 3.各项实施方案内容优于采购需求的，得7分；各项实施方案内容满足采购需求的，得4分；各项实施方案不满足采购需求的，得1分；无提供相关方案，得0分。</w:t>
            </w:r>
          </w:p>
        </w:tc>
      </w:tr>
      <w:tr>
        <w:tc>
          <w:tcPr>
            <w:tcW w:type="dxa" w:w="922"/>
            <w:gridSpan w:val="2"/>
            <w:vMerge/>
          </w:tcPr>
          <w:p/>
        </w:tc>
        <w:tc>
          <w:tcPr>
            <w:tcW w:type="dxa" w:w="2307"/>
          </w:tcPr>
          <w:p>
            <w:pPr>
              <w:pStyle w:val="null3"/>
              <w:jc w:val="left"/>
            </w:pPr>
            <w:r>
              <w:rPr/>
              <w:t>重点、难点分析及 解决方案 (6.0分)</w:t>
            </w:r>
          </w:p>
        </w:tc>
        <w:tc>
          <w:tcPr>
            <w:tcW w:type="dxa" w:w="5076"/>
          </w:tcPr>
          <w:p>
            <w:pPr>
              <w:pStyle w:val="null3"/>
              <w:jc w:val="left"/>
            </w:pPr>
            <w:r>
              <w:rPr/>
              <w:t>供应商根据采购需求编制重点、难点分析及解决方案，方案内容包括但不限于：重点分析、难点分析、解决措施等，进行综合评分： 1.能提供重点、难点分析及解决方案的，得1.5分，不提供不得分；如未能提供重点、难点分析及解决方案的，以下评分项均不得分。 2.重点、难点分析及解决方案内容包括：重点分析、难点分析、解决措施等内容的，得1.5分，每少一项扣0.5分。 3.各项重点、难点分析及解决方案内容优于采购需求的，得3分；各项重点、难点分析及解决方案内容满足采购需求的，得2分；各项重点、难点分析及解决方案不满足采购需求的，得1分；无提供相关方案，得0分。</w:t>
            </w:r>
          </w:p>
        </w:tc>
      </w:tr>
      <w:tr>
        <w:tc>
          <w:tcPr>
            <w:tcW w:type="dxa" w:w="922"/>
            <w:gridSpan w:val="2"/>
            <w:vMerge/>
          </w:tcPr>
          <w:p/>
        </w:tc>
        <w:tc>
          <w:tcPr>
            <w:tcW w:type="dxa" w:w="2307"/>
          </w:tcPr>
          <w:p>
            <w:pPr>
              <w:pStyle w:val="null3"/>
              <w:jc w:val="left"/>
            </w:pPr>
            <w:r>
              <w:rPr/>
              <w:t>质量保障方案 (6.0分)</w:t>
            </w:r>
          </w:p>
        </w:tc>
        <w:tc>
          <w:tcPr>
            <w:tcW w:type="dxa" w:w="5076"/>
          </w:tcPr>
          <w:p>
            <w:pPr>
              <w:pStyle w:val="null3"/>
              <w:jc w:val="left"/>
            </w:pPr>
            <w:r>
              <w:rPr/>
              <w:t>供应商根据采购需求编制质量保障方案，方案内容包括但不限于：组织管理保障、质量控制措施、产权保障等，进行综合评分： 1.能提供质量保障方案的，得1.5分，不提供不得分；如未能提供质量保障方案的，以下评分项均不得分。 2.质量保障方案内容包括：组织管理保障、质量控制措施、产权保障等内容的，得1.5分，每少一项扣0.5分。 3.各项质量保障方案内容优于采购需求的，得3分；各项质量保障方案内容满足采购需求的，得2分；各项质量保障方案不满足采购需求的，得1分；无提供相关方案，得0分。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供应商根据采购需求编制售后服务方案，方案内容包括但不限于：服务内容、响应时间、故障维修、培训服务等，进行综合评分： 1.能提供售后服务方案的，得1分，不提供不得分；如未能提供售后服务方案的，以下评分项均不得分。 2.售后服务方案内容包括：服务内容、响应时间、故障维修、培训服务等内容的，得2分，每少一项扣0.5分。 3.各项售后服务方案内容优于采购需求的，得3分；各项售后服务方案内容满足采购需求的，得2分；各项售后服务方案不满足采购需求的，得1分；无提供相关方案，得0分。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企业实力情况 (12.0分)</w:t>
            </w:r>
          </w:p>
        </w:tc>
        <w:tc>
          <w:tcPr>
            <w:tcW w:type="dxa" w:w="5076"/>
          </w:tcPr>
          <w:p>
            <w:pPr>
              <w:pStyle w:val="null3"/>
              <w:jc w:val="left"/>
            </w:pPr>
            <w:r>
              <w:rPr/>
              <w:t>根据供应商提供的证书进行企业实力评审： （1）广播电视节目制作许可证； （2）资源库平台相关计算机软件著作权证书； （3）金课或精品课程教学平台相关计算机软件著作权证书； （4）多媒体云课堂平台相关计算机软件著作权证书； 注：每提供一个证书得3分，满分12分。提供相关证书复印件及国家官网查询有效期内证明截图。不提供不得分。</w:t>
            </w:r>
          </w:p>
        </w:tc>
      </w:tr>
      <w:tr>
        <w:tc>
          <w:tcPr>
            <w:tcW w:type="dxa" w:w="922"/>
            <w:gridSpan w:val="2"/>
            <w:vMerge/>
          </w:tcPr>
          <w:p/>
        </w:tc>
        <w:tc>
          <w:tcPr>
            <w:tcW w:type="dxa" w:w="2307"/>
          </w:tcPr>
          <w:p>
            <w:pPr>
              <w:pStyle w:val="null3"/>
              <w:jc w:val="left"/>
            </w:pPr>
            <w:r>
              <w:rPr/>
              <w:t>拟投入团队人员 (12.0分)</w:t>
            </w:r>
          </w:p>
        </w:tc>
        <w:tc>
          <w:tcPr>
            <w:tcW w:type="dxa" w:w="5076"/>
          </w:tcPr>
          <w:p>
            <w:pPr>
              <w:pStyle w:val="null3"/>
              <w:jc w:val="left"/>
            </w:pPr>
            <w:r>
              <w:rPr/>
              <w:t>根据供应商提供的项目团队人员情况进行评审： 1. 项目负责人（3分）： 作为学校外聘专家指导教学资源库、精品在线开放课建设项目（不限级别），具有对资源库、精品在线开放课建设丰富的指导经验，提供辅导项目院校提供的专家聘书或荣誉证书及该项目建设合同材料等，得3分。 2. 核心团队能力（6分）： ①课程设计师：具有本科以上学历，且具有国家广播电视总局颁发的全媒体运营证书，得2分；（须提供学历证及证书） ②服务团队包含摄像师，后期制作师、动画师、设计师等人员，具有广播电视编导、影视动画、动漫设计与制作技术等对应岗位的专业能力，每提供一人得0.5分，最高得2分；（须提供身份证、大专或以上相关专业的学历证书） ③上述②服务团队人员具有ACAA考试中心等国家级机构出具的相应岗位的视频剪辑师、视频特效工程师、高级二维动画师、视频合成工程师等技能证书，每提供1人得0.5分，最高得得2分；（须提供相关技能证书） 3. 专家顾问（3分）： 聘请专业教学资源库主持人1名，同时兼具国家级精品在线开放课程负责人身份，提供聘书及专家资质文件的，国家级的得3分，省级得2分，市级得1分。（注：不接受行政职务捆绑要求） 注：1.社保要求：需提供投标单位任职人员在投标截止时间前一个月的加盖社保部门印章的投保单或社会保险参保人员证明或单位代缴个人所得税税单等复印件，如已退休的须提供退休证明及返聘协议等类似证明。2.以上所提供的人员，同一人多个证书不重复计算。</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2022年1月1日至今，供应商具有同类资源库、课程、数字资源类项目业绩，每提供一个得3分，最高得15分。 注：提供合同关键页（含签订合同双方的单位名称、合同项目名称、项目相关内容、项目金额与含签订合同双方的落款盖章、签订日期的关键页）复印件并加盖公章作为同类业绩评价证明资料，不提供或无法评定的不得分。</w:t>
            </w:r>
          </w:p>
        </w:tc>
      </w:tr>
      <w:tr>
        <w:tc>
          <w:tcPr>
            <w:tcW w:type="dxa" w:w="922"/>
            <w:gridSpan w:val="2"/>
            <w:vMerge/>
          </w:tcPr>
          <w:p/>
        </w:tc>
        <w:tc>
          <w:tcPr>
            <w:tcW w:type="dxa" w:w="2307"/>
          </w:tcPr>
          <w:p>
            <w:pPr>
              <w:pStyle w:val="null3"/>
              <w:jc w:val="left"/>
            </w:pPr>
            <w:r>
              <w:rPr/>
              <w:t>企业荣誉 (6.0分)</w:t>
            </w:r>
          </w:p>
        </w:tc>
        <w:tc>
          <w:tcPr>
            <w:tcW w:type="dxa" w:w="5076"/>
          </w:tcPr>
          <w:p>
            <w:pPr>
              <w:pStyle w:val="null3"/>
              <w:jc w:val="left"/>
            </w:pPr>
            <w:r>
              <w:rPr/>
              <w:t>2022年1月1日年至今，服务的项目获得精品在线开放课程、专业教学资源库等立项公示或红头文件，每提供 1 个省级或国家级上述材料得 3 分，最高得 6 分。 注：须提供省教育厅或者教育部立项文件及合作业绩证明材料复印件并加盖公章。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4"/>
        </w:rPr>
        <w:t>广东省政府采购</w:t>
      </w:r>
    </w:p>
    <w:p>
      <w:pPr>
        <w:pStyle w:val="null3"/>
        <w:jc w:val="center"/>
      </w:pPr>
      <w:r>
        <w:rPr>
          <w:sz w:val="56"/>
        </w:rPr>
        <w:t>合同书</w:t>
      </w:r>
    </w:p>
    <w:p>
      <w:pPr>
        <w:pStyle w:val="null3"/>
        <w:jc w:val="center"/>
      </w:pPr>
      <w:r>
        <w:rPr>
          <w:sz w:val="56"/>
        </w:rPr>
        <w:t>（</w:t>
      </w:r>
      <w:r>
        <w:rPr>
          <w:sz w:val="56"/>
        </w:rPr>
        <w:t>服务</w:t>
      </w:r>
      <w:r>
        <w:rPr>
          <w:sz w:val="56"/>
        </w:rPr>
        <w:t>类）</w:t>
      </w:r>
    </w:p>
    <w:p>
      <w:pPr>
        <w:pStyle w:val="null3"/>
        <w:jc w:val="center"/>
      </w:pPr>
      <w:r>
        <w:rPr>
          <w:sz w:val="36"/>
        </w:rPr>
        <w:t>采购计划编号：</w:t>
      </w:r>
      <w:r>
        <w:rPr>
          <w:u w:val="single"/>
        </w:rPr>
        <w:t xml:space="preserve">               </w:t>
      </w:r>
      <w:r>
        <w:rPr/>
        <w:t xml:space="preserve"> </w:t>
      </w:r>
    </w:p>
    <w:p>
      <w:pPr>
        <w:pStyle w:val="null3"/>
        <w:ind w:firstLine="2318"/>
        <w:jc w:val="both"/>
      </w:pPr>
      <w:r>
        <w:rPr>
          <w:sz w:val="36"/>
        </w:rPr>
        <w:t>项目编号：</w:t>
      </w:r>
      <w:r>
        <w:rPr>
          <w:u w:val="single"/>
        </w:rPr>
        <w:t xml:space="preserve">                      </w:t>
      </w:r>
    </w:p>
    <w:p>
      <w:pPr>
        <w:pStyle w:val="null3"/>
        <w:ind w:firstLine="2318"/>
        <w:jc w:val="both"/>
      </w:pPr>
      <w:r>
        <w:rPr>
          <w:sz w:val="36"/>
        </w:rPr>
        <w:t>项目名</w:t>
      </w:r>
      <w:r>
        <w:rPr>
          <w:sz w:val="36"/>
        </w:rPr>
        <w:t>称</w:t>
      </w:r>
      <w:r>
        <w:rPr>
          <w:sz w:val="36"/>
        </w:rPr>
        <w:t>：</w:t>
      </w:r>
      <w:r>
        <w:rPr>
          <w:u w:val="single"/>
        </w:rPr>
        <w:t xml:space="preserve">                 </w:t>
      </w:r>
      <w:r>
        <w:rPr>
          <w:u w:val="single"/>
        </w:rPr>
        <w:t xml:space="preserve"> </w:t>
      </w:r>
      <w:r>
        <w:rPr>
          <w:u w:val="single"/>
        </w:rPr>
        <w:t xml:space="preserve">    </w:t>
      </w:r>
    </w:p>
    <w:p>
      <w:pPr>
        <w:pStyle w:val="null3"/>
        <w:ind w:firstLine="560"/>
        <w:jc w:val="center"/>
      </w:pPr>
      <w:r>
        <w:rPr/>
        <w:t xml:space="preserve"> </w:t>
      </w:r>
    </w:p>
    <w:p>
      <w:pPr>
        <w:pStyle w:val="null3"/>
        <w:jc w:val="both"/>
      </w:pPr>
      <w:r>
        <w:rPr/>
        <w:t xml:space="preserve"> </w:t>
      </w:r>
    </w:p>
    <w:p>
      <w:pPr>
        <w:pStyle w:val="null3"/>
        <w:spacing w:before="150"/>
        <w:ind w:left="210"/>
        <w:jc w:val="both"/>
      </w:pPr>
      <w:r>
        <w:rPr>
          <w:sz w:val="20"/>
        </w:rPr>
        <w:t>甲方：　湛江幼儿师范专科学校</w:t>
      </w:r>
    </w:p>
    <w:p>
      <w:pPr>
        <w:pStyle w:val="null3"/>
        <w:spacing w:before="150"/>
        <w:ind w:left="210"/>
        <w:jc w:val="both"/>
      </w:pPr>
      <w:r>
        <w:rPr>
          <w:sz w:val="20"/>
        </w:rPr>
        <w:t>乙方：</w:t>
      </w:r>
    </w:p>
    <w:p>
      <w:pPr>
        <w:pStyle w:val="null3"/>
        <w:spacing w:before="150"/>
        <w:ind w:left="210"/>
        <w:jc w:val="both"/>
      </w:pPr>
      <w:r>
        <w:rPr>
          <w:sz w:val="20"/>
        </w:rPr>
        <w:t>按照《中华人民共和国政府采购法》、《中华人民共和国民法典》的规定，经双方协商，本着平等互利和诚实信用的原则，一致同意签订本合同如下。</w:t>
      </w:r>
      <w:r>
        <w:rPr>
          <w:sz w:val="20"/>
        </w:rPr>
        <w:t xml:space="preserve">  </w:t>
      </w:r>
    </w:p>
    <w:p>
      <w:pPr>
        <w:pStyle w:val="null3"/>
        <w:spacing w:before="150"/>
        <w:ind w:left="210"/>
        <w:jc w:val="both"/>
      </w:pPr>
      <w:r>
        <w:rPr>
          <w:sz w:val="20"/>
          <w:b/>
        </w:rPr>
        <w:t>一、项目内容：</w:t>
      </w:r>
    </w:p>
    <w:tbl>
      <w:tblPr>
        <w:tblW w:w="0" w:type="auto"/>
        <w:tblInd w:type="dxa" w:w="525"/>
        <w:tblBorders>
          <w:top w:val="none" w:color="000000" w:sz="4"/>
          <w:left w:val="none" w:color="000000" w:sz="4"/>
          <w:bottom w:val="none" w:color="000000" w:sz="4"/>
          <w:right w:val="none" w:color="000000" w:sz="4"/>
          <w:insideH w:val="none"/>
          <w:insideV w:val="none"/>
        </w:tblBorders>
      </w:tblPr>
      <w:tblGrid>
        <w:gridCol w:w="390"/>
        <w:gridCol w:w="1335"/>
        <w:gridCol w:w="510"/>
        <w:gridCol w:w="1845"/>
        <w:gridCol w:w="555"/>
        <w:gridCol w:w="570"/>
        <w:gridCol w:w="960"/>
        <w:gridCol w:w="870"/>
      </w:tblGrid>
      <w:tr>
        <w:tc>
          <w:tcPr>
            <w:tcW w:type="dxa" w:w="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pPr>
            <w:r>
              <w:rPr>
                <w:sz w:val="20"/>
              </w:rPr>
              <w:t>序</w:t>
            </w:r>
            <w:r>
              <w:rPr/>
              <w:t xml:space="preserve"> </w:t>
            </w:r>
            <w:r>
              <w:rPr>
                <w:sz w:val="20"/>
              </w:rPr>
              <w:t>号</w:t>
            </w:r>
          </w:p>
        </w:tc>
        <w:tc>
          <w:tcPr>
            <w:tcW w:type="dxa" w:w="13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50"/>
            </w:pPr>
            <w:r>
              <w:rPr>
                <w:sz w:val="20"/>
              </w:rPr>
              <w:t>商品名称</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sz w:val="20"/>
              </w:rPr>
              <w:t>品牌</w:t>
            </w:r>
          </w:p>
        </w:tc>
        <w:tc>
          <w:tcPr>
            <w:tcW w:type="dxa" w:w="1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sz w:val="20"/>
              </w:rPr>
              <w:t>规格型号</w:t>
            </w:r>
          </w:p>
        </w:tc>
        <w:tc>
          <w:tcPr>
            <w:tcW w:type="dxa" w:w="5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sz w:val="20"/>
              </w:rPr>
              <w:t>产地</w:t>
            </w:r>
          </w:p>
        </w:tc>
        <w:tc>
          <w:tcPr>
            <w:tcW w:type="dxa" w:w="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65"/>
            </w:pPr>
            <w:r>
              <w:rPr>
                <w:sz w:val="20"/>
              </w:rPr>
              <w:t>数量</w:t>
            </w:r>
          </w:p>
        </w:tc>
        <w:tc>
          <w:tcPr>
            <w:tcW w:type="dxa" w:w="9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sz w:val="20"/>
              </w:rPr>
              <w:t>单价</w:t>
            </w:r>
            <w:r>
              <w:rPr>
                <w:sz w:val="20"/>
              </w:rPr>
              <w:t>(元)</w:t>
            </w:r>
          </w:p>
        </w:tc>
        <w:tc>
          <w:tcPr>
            <w:tcW w:type="dxa" w:w="8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sz w:val="20"/>
              </w:rPr>
              <w:t>总价</w:t>
            </w:r>
            <w:r>
              <w:rPr>
                <w:sz w:val="20"/>
              </w:rPr>
              <w:t>(元)</w:t>
            </w:r>
          </w:p>
        </w:tc>
      </w:tr>
      <w:tr>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pPr>
            <w:r>
              <w:rPr>
                <w:sz w:val="20"/>
              </w:rPr>
              <w:t>1.</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烹饪工艺与营养专业教学资源库宣传片</w:t>
            </w:r>
          </w:p>
          <w:p>
            <w:pPr>
              <w:pStyle w:val="null3"/>
              <w:jc w:val="center"/>
            </w:pPr>
            <w:r>
              <w:rPr>
                <w:sz w:val="20"/>
              </w:rPr>
              <w:t>制作</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2.</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微课资源制作</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3.</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专业教学资源库门户网站</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4.</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元教材平台</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035"/>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rPr>
              <w:t>总价</w:t>
            </w:r>
            <w:r>
              <w:rPr>
                <w:sz w:val="20"/>
              </w:rPr>
              <w:t>(人民币大写)</w:t>
            </w:r>
            <w:r>
              <w:rPr/>
              <w:t xml:space="preserve"> </w:t>
            </w:r>
            <w:r>
              <w:rPr>
                <w:sz w:val="20"/>
                <w:u w:val="single"/>
              </w:rPr>
              <w:t>:</w:t>
            </w:r>
            <w:r>
              <w:rPr>
                <w:u w:val="single"/>
              </w:rPr>
              <w:t xml:space="preserve">             </w:t>
            </w:r>
            <w:r>
              <w:rPr>
                <w:sz w:val="20"/>
                <w:u w:val="single"/>
              </w:rPr>
              <w:t>(</w:t>
            </w:r>
            <w:r>
              <w:rPr>
                <w:sz w:val="20"/>
              </w:rPr>
              <w:t xml:space="preserve">¥:  </w:t>
            </w:r>
            <w:r>
              <w:rPr>
                <w:u w:val="single"/>
              </w:rPr>
              <w:t xml:space="preserve">      </w:t>
            </w:r>
            <w:r>
              <w:rPr>
                <w:sz w:val="20"/>
              </w:rPr>
              <w:t>)</w:t>
            </w:r>
          </w:p>
        </w:tc>
      </w:tr>
    </w:tbl>
    <w:p>
      <w:pPr>
        <w:pStyle w:val="null3"/>
        <w:ind w:left="405"/>
        <w:jc w:val="both"/>
      </w:pPr>
      <w:r>
        <w:rPr>
          <w:sz w:val="20"/>
          <w:b/>
        </w:rPr>
        <w:t>二、合同金额</w:t>
      </w:r>
    </w:p>
    <w:p>
      <w:pPr>
        <w:pStyle w:val="null3"/>
        <w:ind w:left="480"/>
        <w:jc w:val="both"/>
      </w:pPr>
      <w:r>
        <w:rPr>
          <w:sz w:val="20"/>
        </w:rPr>
        <w:t>合同金额为</w:t>
      </w:r>
      <w:r>
        <w:rPr>
          <w:sz w:val="20"/>
        </w:rPr>
        <w:t>(大写)</w:t>
      </w:r>
      <w:r>
        <w:rPr>
          <w:sz w:val="28"/>
        </w:rPr>
        <w:t xml:space="preserve"> </w:t>
      </w:r>
      <w:r>
        <w:rPr>
          <w:sz w:val="20"/>
        </w:rPr>
        <w:t>:</w:t>
      </w:r>
      <w:r>
        <w:rPr>
          <w:sz w:val="28"/>
          <w:u w:val="single"/>
        </w:rPr>
        <w:t xml:space="preserve">        </w:t>
      </w:r>
      <w:r>
        <w:rPr>
          <w:sz w:val="20"/>
        </w:rPr>
        <w:t>元</w:t>
      </w:r>
      <w:r>
        <w:rPr>
          <w:sz w:val="28"/>
        </w:rPr>
        <w:t xml:space="preserve"> </w:t>
      </w:r>
      <w:r>
        <w:rPr>
          <w:sz w:val="20"/>
        </w:rPr>
        <w:t>整</w:t>
      </w:r>
      <w:r>
        <w:rPr>
          <w:sz w:val="20"/>
        </w:rPr>
        <w:t>(</w:t>
      </w:r>
      <w:r>
        <w:rPr>
          <w:sz w:val="28"/>
        </w:rPr>
        <w:t xml:space="preserve"> </w:t>
      </w:r>
      <w:r>
        <w:rPr>
          <w:sz w:val="20"/>
        </w:rPr>
        <w:t>¥ :</w:t>
      </w:r>
      <w:r>
        <w:rPr>
          <w:sz w:val="28"/>
        </w:rPr>
        <w:t xml:space="preserve"> </w:t>
      </w:r>
      <w:r>
        <w:rPr>
          <w:sz w:val="28"/>
          <w:u w:val="single"/>
        </w:rPr>
        <w:t xml:space="preserve">         </w:t>
      </w:r>
      <w:r>
        <w:rPr>
          <w:sz w:val="28"/>
        </w:rPr>
        <w:t xml:space="preserve"> </w:t>
      </w:r>
      <w:r>
        <w:rPr>
          <w:sz w:val="20"/>
          <w:b/>
        </w:rPr>
        <w:t>元</w:t>
      </w:r>
      <w:r>
        <w:rPr>
          <w:sz w:val="20"/>
          <w:b/>
        </w:rPr>
        <w:t>)人民币。</w:t>
      </w:r>
    </w:p>
    <w:p>
      <w:pPr>
        <w:pStyle w:val="null3"/>
        <w:ind w:left="405"/>
        <w:jc w:val="both"/>
      </w:pPr>
      <w:r>
        <w:rPr>
          <w:sz w:val="20"/>
          <w:b/>
        </w:rPr>
        <w:t>三、设备要求</w:t>
      </w:r>
    </w:p>
    <w:p>
      <w:pPr>
        <w:pStyle w:val="null3"/>
        <w:spacing w:before="60"/>
        <w:ind w:left="480"/>
        <w:jc w:val="both"/>
      </w:pPr>
      <w:r>
        <w:rPr>
          <w:sz w:val="20"/>
        </w:rPr>
        <w:t>根据招标文件的各项参数的要求</w:t>
      </w:r>
      <w:r>
        <w:rPr>
          <w:sz w:val="20"/>
        </w:rPr>
        <w:t>（</w:t>
      </w:r>
      <w:r>
        <w:rPr>
          <w:sz w:val="20"/>
        </w:rPr>
        <w:t>提供投标技术响应需求表</w:t>
      </w:r>
      <w:r>
        <w:rPr>
          <w:sz w:val="20"/>
        </w:rPr>
        <w:t>）</w:t>
      </w:r>
      <w:r>
        <w:rPr>
          <w:sz w:val="20"/>
        </w:rPr>
        <w:t>。</w:t>
      </w:r>
    </w:p>
    <w:p>
      <w:pPr>
        <w:pStyle w:val="null3"/>
        <w:spacing w:before="60"/>
        <w:ind w:left="405"/>
        <w:jc w:val="both"/>
      </w:pPr>
      <w:r>
        <w:rPr>
          <w:sz w:val="20"/>
          <w:b/>
        </w:rPr>
        <w:t>四、交货期、交货方式及交货地点</w:t>
      </w:r>
    </w:p>
    <w:p>
      <w:pPr>
        <w:pStyle w:val="null3"/>
        <w:spacing w:before="60"/>
        <w:ind w:left="405"/>
        <w:jc w:val="both"/>
      </w:pPr>
      <w:r>
        <w:rPr>
          <w:sz w:val="20"/>
        </w:rPr>
        <w:t>1.交货期：</w:t>
      </w:r>
      <w:r>
        <w:rPr>
          <w:sz w:val="28"/>
        </w:rPr>
        <w:t xml:space="preserve"> </w:t>
      </w:r>
      <w:r>
        <w:rPr>
          <w:sz w:val="20"/>
          <w:u w:val="single"/>
        </w:rPr>
        <w:t>合同签订后</w:t>
      </w:r>
      <w:r>
        <w:rPr>
          <w:sz w:val="20"/>
          <w:u w:val="single"/>
        </w:rPr>
        <w:t>180</w:t>
      </w:r>
      <w:r>
        <w:rPr>
          <w:sz w:val="20"/>
          <w:u w:val="single"/>
        </w:rPr>
        <w:t>个</w:t>
      </w:r>
      <w:r>
        <w:rPr>
          <w:sz w:val="20"/>
          <w:u w:val="single"/>
        </w:rPr>
        <w:t>自然日内</w:t>
      </w:r>
    </w:p>
    <w:p>
      <w:pPr>
        <w:pStyle w:val="null3"/>
        <w:ind w:left="405"/>
        <w:jc w:val="both"/>
      </w:pPr>
      <w:r>
        <w:rPr>
          <w:sz w:val="20"/>
        </w:rPr>
        <w:t>2.交货方式：</w:t>
      </w:r>
      <w:r>
        <w:rPr>
          <w:sz w:val="20"/>
          <w:u w:val="single"/>
        </w:rPr>
        <w:t>乙方应</w:t>
      </w:r>
      <w:r>
        <w:rPr>
          <w:sz w:val="20"/>
          <w:u w:val="single"/>
        </w:rPr>
        <w:t>将专业教学资源库网址、元教材网址及对应的账号、密码添加至</w:t>
      </w:r>
      <w:r>
        <w:rPr>
          <w:sz w:val="20"/>
          <w:u w:val="single"/>
        </w:rPr>
        <w:t>Word 文档，再与微课等数字资源一并上传至网盘或通过 QQ 发送</w:t>
      </w:r>
      <w:r>
        <w:rPr>
          <w:sz w:val="20"/>
          <w:u w:val="single"/>
        </w:rPr>
        <w:t>给甲方</w:t>
      </w:r>
      <w:r>
        <w:rPr>
          <w:sz w:val="20"/>
        </w:rPr>
        <w:t>。</w:t>
      </w:r>
    </w:p>
    <w:p>
      <w:pPr>
        <w:pStyle w:val="null3"/>
        <w:spacing w:before="75"/>
        <w:ind w:left="405"/>
        <w:jc w:val="both"/>
      </w:pPr>
      <w:r>
        <w:rPr>
          <w:sz w:val="20"/>
        </w:rPr>
        <w:t xml:space="preserve">3.交货地点： </w:t>
      </w:r>
      <w:r>
        <w:rPr>
          <w:sz w:val="20"/>
          <w:u w:val="single"/>
        </w:rPr>
        <w:t>采购人指定地点（湛江幼儿师范专科学校）</w:t>
      </w:r>
    </w:p>
    <w:p>
      <w:pPr>
        <w:pStyle w:val="null3"/>
        <w:spacing w:before="60"/>
        <w:ind w:left="405"/>
        <w:jc w:val="both"/>
      </w:pPr>
      <w:r>
        <w:rPr>
          <w:sz w:val="20"/>
          <w:b/>
        </w:rPr>
        <w:t>五、付款方式</w:t>
      </w:r>
    </w:p>
    <w:p>
      <w:pPr>
        <w:pStyle w:val="null3"/>
        <w:ind w:firstLine="460"/>
        <w:jc w:val="both"/>
      </w:pPr>
      <w:r>
        <w:rPr>
          <w:sz w:val="20"/>
        </w:rPr>
        <w:t>由采购人按下列程序</w:t>
      </w:r>
      <w:r>
        <w:rPr>
          <w:sz w:val="20"/>
        </w:rPr>
        <w:t>进行付款</w:t>
      </w:r>
      <w:r>
        <w:rPr>
          <w:sz w:val="20"/>
        </w:rPr>
        <w:t>：</w:t>
      </w:r>
    </w:p>
    <w:p>
      <w:pPr>
        <w:pStyle w:val="null3"/>
        <w:ind w:firstLine="920"/>
        <w:jc w:val="both"/>
      </w:pPr>
      <w:r>
        <w:rPr>
          <w:sz w:val="20"/>
        </w:rPr>
        <w:t>（</w:t>
      </w:r>
      <w:r>
        <w:rPr>
          <w:sz w:val="20"/>
        </w:rPr>
        <w:t>1）预付款：签订合同后，</w:t>
      </w:r>
      <w:r>
        <w:rPr>
          <w:sz w:val="20"/>
        </w:rPr>
        <w:t>乙方</w:t>
      </w:r>
      <w:r>
        <w:rPr>
          <w:sz w:val="20"/>
        </w:rPr>
        <w:t>开具的正式发票</w:t>
      </w:r>
      <w:r>
        <w:rPr>
          <w:sz w:val="20"/>
        </w:rPr>
        <w:t>，</w:t>
      </w:r>
      <w:r>
        <w:rPr>
          <w:sz w:val="20"/>
        </w:rPr>
        <w:t>甲方在</w:t>
      </w:r>
      <w:r>
        <w:rPr>
          <w:sz w:val="20"/>
        </w:rPr>
        <w:t>15个工作日内</w:t>
      </w:r>
      <w:r>
        <w:rPr>
          <w:sz w:val="20"/>
        </w:rPr>
        <w:t>支付合同总价的</w:t>
      </w:r>
      <w:r>
        <w:rPr>
          <w:sz w:val="20"/>
        </w:rPr>
        <w:t>30</w:t>
      </w:r>
      <w:r>
        <w:rPr>
          <w:sz w:val="20"/>
        </w:rPr>
        <w:t>%。</w:t>
      </w:r>
    </w:p>
    <w:p>
      <w:pPr>
        <w:pStyle w:val="null3"/>
        <w:spacing w:before="300"/>
        <w:ind w:left="405" w:firstLine="460"/>
        <w:jc w:val="both"/>
      </w:pPr>
      <w:r>
        <w:rPr>
          <w:sz w:val="20"/>
        </w:rPr>
        <w:t>（</w:t>
      </w:r>
      <w:r>
        <w:rPr>
          <w:sz w:val="20"/>
        </w:rPr>
        <w:t>2）完成全部建设内容，提交报告材料并验收合格后，</w:t>
      </w:r>
      <w:r>
        <w:rPr>
          <w:sz w:val="20"/>
        </w:rPr>
        <w:t>乙方</w:t>
      </w:r>
      <w:r>
        <w:rPr>
          <w:sz w:val="20"/>
        </w:rPr>
        <w:t>开具的正式增值税发票</w:t>
      </w:r>
      <w:r>
        <w:rPr>
          <w:sz w:val="20"/>
        </w:rPr>
        <w:t>，</w:t>
      </w:r>
      <w:r>
        <w:rPr>
          <w:sz w:val="20"/>
        </w:rPr>
        <w:t>甲方在</w:t>
      </w:r>
      <w:r>
        <w:rPr>
          <w:sz w:val="20"/>
        </w:rPr>
        <w:t>15个工作日内</w:t>
      </w:r>
      <w:r>
        <w:rPr>
          <w:sz w:val="20"/>
        </w:rPr>
        <w:t>支付合同金额的</w:t>
      </w:r>
      <w:r>
        <w:rPr>
          <w:sz w:val="20"/>
        </w:rPr>
        <w:t>70</w:t>
      </w:r>
      <w:r>
        <w:rPr>
          <w:sz w:val="20"/>
        </w:rPr>
        <w:t>%。</w:t>
      </w:r>
      <w:r>
        <w:br/>
      </w:r>
      <w:r>
        <w:rPr>
          <w:sz w:val="21"/>
        </w:rPr>
        <w:t xml:space="preserve">    </w:t>
      </w:r>
      <w:r>
        <w:rPr>
          <w:sz w:val="20"/>
        </w:rPr>
        <w:t>六、履约保证金：</w:t>
      </w:r>
    </w:p>
    <w:p>
      <w:pPr>
        <w:pStyle w:val="null3"/>
        <w:spacing w:before="300"/>
        <w:ind w:left="405" w:firstLine="460"/>
        <w:jc w:val="both"/>
      </w:pPr>
      <w:r>
        <w:rPr>
          <w:sz w:val="20"/>
        </w:rPr>
        <w:t>1.履约保证金的缴纳方式：以现金或银行保函或履约保证保险方式缴纳。</w:t>
      </w:r>
    </w:p>
    <w:p>
      <w:pPr>
        <w:pStyle w:val="null3"/>
        <w:spacing w:before="300"/>
        <w:ind w:left="405" w:firstLine="460"/>
        <w:jc w:val="both"/>
      </w:pPr>
      <w:r>
        <w:rPr>
          <w:sz w:val="20"/>
        </w:rPr>
        <w:t>2.履约保证金的缴纳时间：成交供应商需在合同签订后5个工作日内缴纳保证金，以确保合同顺利履行。</w:t>
      </w:r>
    </w:p>
    <w:p>
      <w:pPr>
        <w:pStyle w:val="null3"/>
        <w:spacing w:before="300"/>
        <w:ind w:left="405" w:firstLine="460"/>
        <w:jc w:val="both"/>
      </w:pPr>
      <w:r>
        <w:rPr>
          <w:sz w:val="20"/>
        </w:rPr>
        <w:t>3.履约保证金的金额及退还方式：成交合同价的5%，履约保证金在项目完工验收合格并交付使用且提交符合要求的完工资料后，在成交供应商申请退还之日起5个工作日内给予退还（无息）。</w:t>
      </w:r>
    </w:p>
    <w:p>
      <w:pPr>
        <w:pStyle w:val="null3"/>
        <w:spacing w:before="300"/>
        <w:ind w:left="405"/>
        <w:jc w:val="both"/>
      </w:pPr>
      <w:r>
        <w:rPr>
          <w:sz w:val="20"/>
          <w:b/>
        </w:rPr>
        <w:t>七</w:t>
      </w:r>
      <w:r>
        <w:rPr>
          <w:sz w:val="20"/>
          <w:b/>
        </w:rPr>
        <w:t>、售后服务要求</w:t>
      </w:r>
    </w:p>
    <w:p>
      <w:pPr>
        <w:pStyle w:val="null3"/>
        <w:ind w:firstLine="400"/>
        <w:jc w:val="both"/>
      </w:pPr>
      <w:r>
        <w:rPr>
          <w:sz w:val="20"/>
        </w:rPr>
        <w:t>1.</w:t>
      </w:r>
      <w:r>
        <w:rPr>
          <w:sz w:val="20"/>
        </w:rPr>
        <w:t>服务响应时间为全年</w:t>
      </w:r>
      <w:r>
        <w:rPr>
          <w:sz w:val="20"/>
        </w:rPr>
        <w:t>7*24</w:t>
      </w:r>
      <w:r>
        <w:rPr>
          <w:sz w:val="20"/>
        </w:rPr>
        <w:t>小时。工作期间</w:t>
      </w:r>
      <w:r>
        <w:rPr>
          <w:sz w:val="20"/>
        </w:rPr>
        <w:t>(</w:t>
      </w:r>
      <w:r>
        <w:rPr>
          <w:sz w:val="20"/>
        </w:rPr>
        <w:t>正常工作日</w:t>
      </w:r>
      <w:r>
        <w:rPr>
          <w:sz w:val="20"/>
        </w:rPr>
        <w:t>8:00-18:00)</w:t>
      </w:r>
      <w:r>
        <w:rPr>
          <w:sz w:val="21"/>
        </w:rPr>
        <w:t>核心故障</w:t>
      </w:r>
      <w:r>
        <w:rPr>
          <w:sz w:val="21"/>
        </w:rPr>
        <w:t>（</w:t>
      </w:r>
      <w:r>
        <w:rPr>
          <w:sz w:val="21"/>
        </w:rPr>
        <w:t>如</w:t>
      </w:r>
      <w:r>
        <w:rPr>
          <w:sz w:val="20"/>
        </w:rPr>
        <w:t>网站平台故障</w:t>
      </w:r>
      <w:r>
        <w:rPr>
          <w:sz w:val="20"/>
        </w:rPr>
        <w:t>、</w:t>
      </w:r>
      <w:r>
        <w:rPr>
          <w:sz w:val="20"/>
        </w:rPr>
        <w:t>软件故障</w:t>
      </w:r>
      <w:r>
        <w:rPr>
          <w:sz w:val="20"/>
        </w:rPr>
        <w:t>、设备故障等）</w:t>
      </w:r>
      <w:r>
        <w:rPr>
          <w:sz w:val="20"/>
        </w:rPr>
        <w:t>响应时间不超过</w:t>
      </w:r>
      <w:r>
        <w:rPr>
          <w:sz w:val="20"/>
        </w:rPr>
        <w:t>1</w:t>
      </w:r>
      <w:r>
        <w:rPr>
          <w:sz w:val="20"/>
        </w:rPr>
        <w:t>小时，到达现场时间不超过</w:t>
      </w:r>
      <w:r>
        <w:rPr>
          <w:sz w:val="20"/>
        </w:rPr>
        <w:t>8</w:t>
      </w:r>
      <w:r>
        <w:rPr>
          <w:sz w:val="20"/>
        </w:rPr>
        <w:t>小时；非工作期间</w:t>
      </w:r>
      <w:r>
        <w:rPr>
          <w:sz w:val="21"/>
        </w:rPr>
        <w:t>核心故障</w:t>
      </w:r>
      <w:r>
        <w:rPr>
          <w:sz w:val="21"/>
        </w:rPr>
        <w:t>（</w:t>
      </w:r>
      <w:r>
        <w:rPr>
          <w:sz w:val="21"/>
        </w:rPr>
        <w:t>如</w:t>
      </w:r>
      <w:r>
        <w:rPr>
          <w:sz w:val="20"/>
        </w:rPr>
        <w:t>网站平台故障</w:t>
      </w:r>
      <w:r>
        <w:rPr>
          <w:sz w:val="20"/>
        </w:rPr>
        <w:t>、</w:t>
      </w:r>
      <w:r>
        <w:rPr>
          <w:sz w:val="20"/>
        </w:rPr>
        <w:t>软件故障</w:t>
      </w:r>
      <w:r>
        <w:rPr>
          <w:sz w:val="20"/>
        </w:rPr>
        <w:t>、设备故障等）</w:t>
      </w:r>
      <w:r>
        <w:rPr>
          <w:sz w:val="20"/>
        </w:rPr>
        <w:t>响应时间不超过</w:t>
      </w:r>
      <w:r>
        <w:rPr>
          <w:sz w:val="20"/>
        </w:rPr>
        <w:t>2</w:t>
      </w:r>
      <w:r>
        <w:rPr>
          <w:sz w:val="20"/>
        </w:rPr>
        <w:t>小时，到达现场时间不超过</w:t>
      </w:r>
      <w:r>
        <w:rPr>
          <w:sz w:val="20"/>
        </w:rPr>
        <w:t>12</w:t>
      </w:r>
      <w:r>
        <w:rPr>
          <w:sz w:val="20"/>
        </w:rPr>
        <w:t>小时。如果设备故障在检修</w:t>
      </w:r>
      <w:r>
        <w:rPr>
          <w:sz w:val="20"/>
        </w:rPr>
        <w:t>8</w:t>
      </w:r>
      <w:r>
        <w:rPr>
          <w:sz w:val="20"/>
        </w:rPr>
        <w:t>个工作小时后仍无法排除，乙方在</w:t>
      </w:r>
      <w:r>
        <w:rPr>
          <w:sz w:val="20"/>
        </w:rPr>
        <w:t>24</w:t>
      </w:r>
      <w:r>
        <w:rPr>
          <w:sz w:val="20"/>
        </w:rPr>
        <w:t>小时内提供技术服务</w:t>
      </w:r>
      <w:r>
        <w:rPr>
          <w:sz w:val="20"/>
        </w:rPr>
        <w:t>方案</w:t>
      </w:r>
      <w:r>
        <w:rPr>
          <w:sz w:val="20"/>
        </w:rPr>
        <w:t>。</w:t>
      </w:r>
    </w:p>
    <w:p>
      <w:pPr>
        <w:pStyle w:val="null3"/>
        <w:spacing w:before="210"/>
        <w:ind w:right="75" w:firstLine="409"/>
        <w:jc w:val="both"/>
      </w:pPr>
      <w:r>
        <w:rPr>
          <w:sz w:val="20"/>
        </w:rPr>
        <w:t>2.</w:t>
      </w:r>
      <w:r>
        <w:rPr>
          <w:sz w:val="20"/>
        </w:rPr>
        <w:t>质保期</w:t>
      </w:r>
      <w:r>
        <w:rPr>
          <w:sz w:val="20"/>
        </w:rPr>
        <w:t>为一年。</w:t>
      </w:r>
      <w:r>
        <w:rPr>
          <w:sz w:val="20"/>
        </w:rPr>
        <w:t>因</w:t>
      </w:r>
      <w:r>
        <w:rPr>
          <w:sz w:val="20"/>
        </w:rPr>
        <w:t>服务产品</w:t>
      </w:r>
      <w:r>
        <w:rPr>
          <w:sz w:val="20"/>
        </w:rPr>
        <w:t>出现非人为因素故障</w:t>
      </w:r>
      <w:r>
        <w:rPr>
          <w:sz w:val="20"/>
        </w:rPr>
        <w:t>，</w:t>
      </w:r>
      <w:r>
        <w:rPr>
          <w:sz w:val="20"/>
        </w:rPr>
        <w:t>造成短期停用时，则质保期和免费维修期相应顺延。如停用时间累计超过</w:t>
      </w:r>
      <w:r>
        <w:rPr>
          <w:sz w:val="20"/>
        </w:rPr>
        <w:t>60</w:t>
      </w:r>
      <w:r>
        <w:rPr>
          <w:sz w:val="20"/>
        </w:rPr>
        <w:t>天则质保期重新计算。</w:t>
      </w:r>
    </w:p>
    <w:p>
      <w:pPr>
        <w:pStyle w:val="null3"/>
        <w:spacing w:before="210"/>
        <w:ind w:left="405" w:right="75" w:firstLine="409"/>
        <w:jc w:val="both"/>
      </w:pPr>
      <w:r>
        <w:rPr>
          <w:sz w:val="20"/>
          <w:b/>
        </w:rPr>
        <w:t>八</w:t>
      </w:r>
      <w:r>
        <w:rPr>
          <w:sz w:val="20"/>
          <w:b/>
        </w:rPr>
        <w:t>、验收</w:t>
      </w:r>
    </w:p>
    <w:p>
      <w:pPr>
        <w:pStyle w:val="null3"/>
        <w:ind w:firstLine="420"/>
        <w:jc w:val="left"/>
      </w:pPr>
      <w:r>
        <w:rPr>
          <w:sz w:val="21"/>
        </w:rPr>
        <w:t>项目全面竣工（完工）后，由</w:t>
      </w:r>
      <w:r>
        <w:rPr>
          <w:sz w:val="21"/>
        </w:rPr>
        <w:t>乙方</w:t>
      </w:r>
      <w:r>
        <w:rPr>
          <w:sz w:val="21"/>
        </w:rPr>
        <w:t>自查合格，向</w:t>
      </w:r>
      <w:r>
        <w:rPr>
          <w:sz w:val="21"/>
        </w:rPr>
        <w:t>甲方</w:t>
      </w:r>
      <w:r>
        <w:rPr>
          <w:sz w:val="21"/>
        </w:rPr>
        <w:t>提出书面验收申请，由</w:t>
      </w:r>
      <w:r>
        <w:rPr>
          <w:sz w:val="21"/>
        </w:rPr>
        <w:t>乙方</w:t>
      </w:r>
      <w:r>
        <w:rPr>
          <w:sz w:val="21"/>
        </w:rPr>
        <w:t>按</w:t>
      </w:r>
      <w:r>
        <w:rPr>
          <w:sz w:val="21"/>
        </w:rPr>
        <w:t>招标文件及合同内容</w:t>
      </w:r>
      <w:r>
        <w:rPr>
          <w:sz w:val="21"/>
        </w:rPr>
        <w:t>编制竣工（完工）资料及相关文件，由</w:t>
      </w:r>
      <w:r>
        <w:rPr>
          <w:sz w:val="21"/>
        </w:rPr>
        <w:t>甲方</w:t>
      </w:r>
      <w:r>
        <w:rPr>
          <w:sz w:val="21"/>
        </w:rPr>
        <w:t>组成验收小组</w:t>
      </w:r>
      <w:r>
        <w:rPr>
          <w:sz w:val="21"/>
        </w:rPr>
        <w:t>确认时间</w:t>
      </w:r>
      <w:r>
        <w:rPr>
          <w:sz w:val="21"/>
        </w:rPr>
        <w:t>进行验收</w:t>
      </w:r>
      <w:r>
        <w:rPr>
          <w:sz w:val="21"/>
        </w:rPr>
        <w:t>。</w:t>
      </w:r>
      <w:r>
        <w:rPr>
          <w:sz w:val="21"/>
        </w:rPr>
        <w:t>如</w:t>
      </w:r>
      <w:r>
        <w:rPr>
          <w:sz w:val="21"/>
        </w:rPr>
        <w:t>因</w:t>
      </w:r>
      <w:r>
        <w:rPr>
          <w:sz w:val="21"/>
        </w:rPr>
        <w:t>乙方</w:t>
      </w:r>
      <w:r>
        <w:rPr>
          <w:sz w:val="21"/>
        </w:rPr>
        <w:t>提供的</w:t>
      </w:r>
      <w:r>
        <w:rPr>
          <w:sz w:val="21"/>
        </w:rPr>
        <w:t>服务</w:t>
      </w:r>
      <w:r>
        <w:rPr>
          <w:sz w:val="21"/>
        </w:rPr>
        <w:t>产品</w:t>
      </w:r>
      <w:r>
        <w:rPr>
          <w:sz w:val="21"/>
        </w:rPr>
        <w:t>存在</w:t>
      </w:r>
      <w:r>
        <w:rPr>
          <w:sz w:val="21"/>
        </w:rPr>
        <w:t>争议</w:t>
      </w:r>
      <w:r>
        <w:rPr>
          <w:sz w:val="21"/>
        </w:rPr>
        <w:t>，</w:t>
      </w:r>
      <w:r>
        <w:rPr>
          <w:sz w:val="21"/>
        </w:rPr>
        <w:t>无法协商解决时</w:t>
      </w:r>
      <w:r>
        <w:rPr>
          <w:sz w:val="21"/>
        </w:rPr>
        <w:t>，</w:t>
      </w:r>
      <w:r>
        <w:rPr>
          <w:sz w:val="21"/>
        </w:rPr>
        <w:t>通过</w:t>
      </w:r>
      <w:r>
        <w:rPr>
          <w:sz w:val="21"/>
        </w:rPr>
        <w:t>邀请</w:t>
      </w:r>
      <w:r>
        <w:rPr>
          <w:sz w:val="21"/>
        </w:rPr>
        <w:t>行业内</w:t>
      </w:r>
      <w:r>
        <w:rPr>
          <w:sz w:val="21"/>
        </w:rPr>
        <w:t>专</w:t>
      </w:r>
      <w:r>
        <w:rPr>
          <w:sz w:val="21"/>
        </w:rPr>
        <w:t>家</w:t>
      </w:r>
      <w:r>
        <w:rPr>
          <w:sz w:val="21"/>
        </w:rPr>
        <w:t>或</w:t>
      </w:r>
      <w:r>
        <w:rPr>
          <w:sz w:val="21"/>
        </w:rPr>
        <w:t>第三方</w:t>
      </w:r>
      <w:r>
        <w:rPr>
          <w:sz w:val="21"/>
        </w:rPr>
        <w:t>机构</w:t>
      </w:r>
      <w:r>
        <w:rPr>
          <w:sz w:val="21"/>
        </w:rPr>
        <w:t>进行</w:t>
      </w:r>
      <w:r>
        <w:rPr>
          <w:sz w:val="21"/>
        </w:rPr>
        <w:t>验收。采购人保留</w:t>
      </w:r>
      <w:r>
        <w:rPr>
          <w:sz w:val="21"/>
        </w:rPr>
        <w:t>对因</w:t>
      </w:r>
      <w:r>
        <w:rPr>
          <w:sz w:val="21"/>
        </w:rPr>
        <w:t>供应商过错造成的损失</w:t>
      </w:r>
      <w:r>
        <w:rPr>
          <w:sz w:val="21"/>
        </w:rPr>
        <w:t>（</w:t>
      </w:r>
      <w:r>
        <w:rPr>
          <w:sz w:val="21"/>
        </w:rPr>
        <w:t>含专家费</w:t>
      </w:r>
      <w:r>
        <w:rPr>
          <w:sz w:val="21"/>
        </w:rPr>
        <w:t>）</w:t>
      </w:r>
      <w:r>
        <w:rPr>
          <w:sz w:val="21"/>
        </w:rPr>
        <w:t>的追偿权。</w:t>
      </w:r>
      <w:r>
        <w:rPr>
          <w:sz w:val="21"/>
        </w:rPr>
        <w:t>验收合格后双方签署验收合格证书，并交付</w:t>
      </w:r>
      <w:r>
        <w:rPr>
          <w:sz w:val="21"/>
        </w:rPr>
        <w:t>甲方</w:t>
      </w:r>
      <w:r>
        <w:rPr>
          <w:sz w:val="21"/>
        </w:rPr>
        <w:t>使用。</w:t>
      </w:r>
    </w:p>
    <w:p>
      <w:pPr>
        <w:pStyle w:val="null3"/>
        <w:ind w:firstLine="440"/>
        <w:jc w:val="left"/>
      </w:pPr>
      <w:r>
        <w:rPr>
          <w:sz w:val="20"/>
        </w:rPr>
        <w:t>（</w:t>
      </w:r>
      <w:r>
        <w:rPr>
          <w:sz w:val="20"/>
        </w:rPr>
        <w:t>1）课程资源建设完成5个工作日后进行，验收应在采购人/用户和成交供应商双方共同参加下进行。</w:t>
      </w:r>
    </w:p>
    <w:p>
      <w:pPr>
        <w:pStyle w:val="null3"/>
        <w:ind w:firstLine="440"/>
        <w:jc w:val="left"/>
      </w:pPr>
      <w:r>
        <w:rPr>
          <w:sz w:val="20"/>
        </w:rPr>
        <w:t>（</w:t>
      </w:r>
      <w:r>
        <w:rPr>
          <w:sz w:val="20"/>
        </w:rPr>
        <w:t>2）验收按国家和用户有关的规定、规范进行。验收时如发现所交付的产品有短装、次品、损坏或其它不符合采购文件规定之情形者，采购人应做出详尽的现场记录，或由采购人/用户和成交供应商双方签署备忘录。此现场记录或备忘录可用作补充、缺失和更换损坏部件的有效证据。由此产生的有关费用由成交供应商承担。</w:t>
      </w:r>
    </w:p>
    <w:p>
      <w:pPr>
        <w:pStyle w:val="null3"/>
        <w:ind w:firstLine="440"/>
        <w:jc w:val="left"/>
      </w:pPr>
      <w:r>
        <w:rPr>
          <w:sz w:val="20"/>
        </w:rPr>
        <w:t>（</w:t>
      </w:r>
      <w:r>
        <w:rPr>
          <w:sz w:val="20"/>
        </w:rPr>
        <w:t>3）采购人组成验收小组按国家有关规定、规范进行验收，必要时邀请相关的专业人员或机构参与验收。因产品质量问题发生争议时，由本地质量技术监督部门鉴定。产品符合质量技术标准的，鉴定费由采购人承担；否则鉴定费由成交供应商承担。</w:t>
      </w:r>
    </w:p>
    <w:p>
      <w:pPr>
        <w:pStyle w:val="null3"/>
        <w:ind w:firstLine="482"/>
        <w:jc w:val="left"/>
      </w:pPr>
      <w:r>
        <w:rPr>
          <w:sz w:val="20"/>
          <w:b/>
        </w:rPr>
        <w:t>九</w:t>
      </w:r>
      <w:r>
        <w:rPr>
          <w:sz w:val="20"/>
          <w:b/>
        </w:rPr>
        <w:t>、甲方乙方的权利和义务</w:t>
      </w:r>
    </w:p>
    <w:p>
      <w:pPr>
        <w:pStyle w:val="null3"/>
        <w:ind w:firstLine="480"/>
        <w:jc w:val="left"/>
      </w:pPr>
      <w:r>
        <w:rPr>
          <w:sz w:val="20"/>
        </w:rPr>
        <w:t>（一）甲方的权利和义务</w:t>
      </w:r>
    </w:p>
    <w:p>
      <w:pPr>
        <w:pStyle w:val="null3"/>
        <w:ind w:left="-270" w:firstLine="600"/>
        <w:jc w:val="left"/>
      </w:pPr>
      <w:r>
        <w:rPr>
          <w:sz w:val="20"/>
        </w:rPr>
        <w:t>1、甲方指定</w:t>
      </w:r>
      <w:r>
        <w:rPr>
          <w:sz w:val="28"/>
          <w:u w:val="single"/>
        </w:rPr>
        <w:t xml:space="preserve">       </w:t>
      </w:r>
      <w:r>
        <w:rPr>
          <w:sz w:val="20"/>
        </w:rPr>
        <w:t>为本项目的甲方负责人，全面负责本项目工作的开展。</w:t>
      </w:r>
    </w:p>
    <w:p>
      <w:pPr>
        <w:pStyle w:val="null3"/>
        <w:ind w:left="-270" w:firstLine="600"/>
        <w:jc w:val="left"/>
      </w:pPr>
      <w:r>
        <w:rPr>
          <w:sz w:val="20"/>
        </w:rPr>
        <w:t>2、提供乙方为</w:t>
      </w:r>
      <w:r>
        <w:rPr>
          <w:sz w:val="20"/>
        </w:rPr>
        <w:t>履行本合同义务</w:t>
      </w:r>
      <w:r>
        <w:rPr>
          <w:sz w:val="20"/>
        </w:rPr>
        <w:t>所需要的资料信息，并对其完整性、准确性及时限负责。</w:t>
      </w:r>
    </w:p>
    <w:p>
      <w:pPr>
        <w:pStyle w:val="null3"/>
        <w:ind w:left="-270" w:firstLine="600"/>
        <w:jc w:val="left"/>
      </w:pPr>
      <w:r>
        <w:rPr>
          <w:sz w:val="20"/>
        </w:rPr>
        <w:t>3、对乙方履行</w:t>
      </w:r>
      <w:r>
        <w:rPr>
          <w:sz w:val="20"/>
        </w:rPr>
        <w:t>本合同</w:t>
      </w:r>
      <w:r>
        <w:rPr>
          <w:sz w:val="20"/>
        </w:rPr>
        <w:t>义务的</w:t>
      </w:r>
      <w:r>
        <w:rPr>
          <w:sz w:val="20"/>
        </w:rPr>
        <w:t>行为</w:t>
      </w:r>
      <w:r>
        <w:rPr>
          <w:sz w:val="20"/>
        </w:rPr>
        <w:t>做出明确指示，以使乙方采购工作能够顺利进行。</w:t>
      </w:r>
    </w:p>
    <w:p>
      <w:pPr>
        <w:pStyle w:val="null3"/>
        <w:ind w:left="-270" w:firstLine="600"/>
        <w:jc w:val="left"/>
      </w:pPr>
      <w:r>
        <w:rPr>
          <w:sz w:val="20"/>
        </w:rPr>
        <w:t>（二）乙方的权利和义务</w:t>
      </w:r>
    </w:p>
    <w:p>
      <w:pPr>
        <w:pStyle w:val="null3"/>
        <w:ind w:left="-270" w:firstLine="600"/>
        <w:jc w:val="left"/>
      </w:pPr>
      <w:r>
        <w:rPr>
          <w:sz w:val="20"/>
        </w:rPr>
        <w:t>1、乙方指定</w:t>
      </w:r>
      <w:r>
        <w:rPr>
          <w:sz w:val="28"/>
          <w:u w:val="single"/>
        </w:rPr>
        <w:t xml:space="preserve">      </w:t>
      </w:r>
      <w:r>
        <w:rPr>
          <w:sz w:val="20"/>
        </w:rPr>
        <w:t>为本项目的乙方负责人，全面负责本项目工作的开展。</w:t>
      </w:r>
    </w:p>
    <w:p>
      <w:pPr>
        <w:pStyle w:val="null3"/>
        <w:ind w:left="-270" w:firstLine="600"/>
        <w:jc w:val="left"/>
      </w:pPr>
      <w:r>
        <w:rPr>
          <w:sz w:val="20"/>
        </w:rPr>
        <w:t>2、乙方须按照甲方提供的项目信息提供质量合格的服务。对其完整性、准确性及时限负责。</w:t>
      </w:r>
    </w:p>
    <w:p>
      <w:pPr>
        <w:pStyle w:val="null3"/>
        <w:spacing w:before="60"/>
        <w:ind w:left="435"/>
        <w:jc w:val="both"/>
      </w:pPr>
      <w:r>
        <w:rPr>
          <w:sz w:val="20"/>
          <w:b/>
        </w:rPr>
        <w:t>十</w:t>
      </w:r>
      <w:r>
        <w:rPr>
          <w:sz w:val="20"/>
          <w:b/>
        </w:rPr>
        <w:t>、违约责任与赔偿损失</w:t>
      </w:r>
    </w:p>
    <w:p>
      <w:pPr>
        <w:pStyle w:val="null3"/>
        <w:spacing w:before="300"/>
        <w:ind w:right="105" w:firstLine="430"/>
        <w:jc w:val="both"/>
      </w:pPr>
      <w:r>
        <w:rPr>
          <w:sz w:val="20"/>
        </w:rPr>
        <w:t>1. 乙方交付的货物、工程/提供的服务不符合采购文件、投标文件或本合同规定的，甲方有权拒收， 并且乙方须向甲方支付本合同总价5%的违约金。</w:t>
      </w:r>
    </w:p>
    <w:p>
      <w:pPr>
        <w:pStyle w:val="null3"/>
        <w:spacing w:before="300"/>
        <w:ind w:right="105" w:firstLine="430"/>
        <w:jc w:val="both"/>
      </w:pPr>
      <w:r>
        <w:rPr>
          <w:sz w:val="20"/>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300"/>
        <w:ind w:right="105" w:firstLine="430"/>
        <w:jc w:val="both"/>
      </w:pPr>
      <w:r>
        <w:rPr>
          <w:sz w:val="20"/>
        </w:rPr>
        <w:t>3.甲方无正当理由拒收货物/接受服务，到期拒付货物/服务款项的，甲方向乙方偿付本合同总价的 5%的违约金。甲方逾期付款，则每日按本合同总价的3%向乙方偿付违约金。</w:t>
      </w:r>
    </w:p>
    <w:p>
      <w:pPr>
        <w:pStyle w:val="null3"/>
        <w:spacing w:before="105"/>
        <w:ind w:left="435"/>
        <w:jc w:val="both"/>
      </w:pPr>
      <w:r>
        <w:rPr>
          <w:sz w:val="20"/>
        </w:rPr>
        <w:t>4.其它违约责任按《中华人民共和国民法</w:t>
      </w:r>
      <w:r>
        <w:rPr>
          <w:sz w:val="20"/>
        </w:rPr>
        <w:t>典》处理。</w:t>
      </w:r>
    </w:p>
    <w:p>
      <w:pPr>
        <w:pStyle w:val="null3"/>
        <w:spacing w:before="60"/>
        <w:ind w:left="375"/>
        <w:jc w:val="both"/>
      </w:pPr>
      <w:r>
        <w:rPr>
          <w:sz w:val="20"/>
          <w:b/>
        </w:rPr>
        <w:t>十一</w:t>
      </w:r>
      <w:r>
        <w:rPr>
          <w:sz w:val="20"/>
          <w:b/>
        </w:rPr>
        <w:t>、争议的解决</w:t>
      </w:r>
    </w:p>
    <w:p>
      <w:pPr>
        <w:pStyle w:val="null3"/>
        <w:spacing w:before="60"/>
        <w:ind w:left="435"/>
        <w:jc w:val="both"/>
      </w:pPr>
      <w:r>
        <w:rPr>
          <w:sz w:val="20"/>
        </w:rPr>
        <w:t>合同执行过程中发生的任何争议，如双方不能通过友好协商解决，按相关法律法规处理。</w:t>
      </w:r>
    </w:p>
    <w:p>
      <w:pPr>
        <w:pStyle w:val="null3"/>
        <w:spacing w:before="60"/>
        <w:ind w:left="375"/>
        <w:jc w:val="both"/>
      </w:pPr>
      <w:r>
        <w:rPr>
          <w:sz w:val="20"/>
          <w:b/>
        </w:rPr>
        <w:t>十</w:t>
      </w:r>
      <w:r>
        <w:rPr>
          <w:sz w:val="20"/>
          <w:b/>
        </w:rPr>
        <w:t>二</w:t>
      </w:r>
      <w:r>
        <w:rPr>
          <w:sz w:val="20"/>
          <w:b/>
        </w:rPr>
        <w:t>、不可抗力</w:t>
      </w:r>
    </w:p>
    <w:p>
      <w:pPr>
        <w:pStyle w:val="null3"/>
        <w:spacing w:before="60"/>
        <w:ind w:right="15" w:firstLine="430"/>
        <w:jc w:val="both"/>
      </w:pPr>
      <w:r>
        <w:rPr>
          <w:sz w:val="20"/>
        </w:rPr>
        <w:t>任何一方由于不可抗力原因不能履行合同时，应在不可抗力事件结束后</w:t>
      </w:r>
      <w:r>
        <w:rPr>
          <w:sz w:val="20"/>
        </w:rPr>
        <w:t>1日内向对方通报</w:t>
      </w:r>
      <w:r>
        <w:rPr>
          <w:sz w:val="20"/>
        </w:rPr>
        <w:t>，以减轻可</w:t>
      </w:r>
      <w:r>
        <w:rPr>
          <w:sz w:val="28"/>
        </w:rPr>
        <w:t xml:space="preserve"> </w:t>
      </w:r>
      <w:r>
        <w:rPr>
          <w:sz w:val="20"/>
        </w:rPr>
        <w:t>能给对方造成的损失，在取得有关机构的不可抗力证明或双方谅解确认后，允许延期履行或修订合同，并</w:t>
      </w:r>
      <w:r>
        <w:rPr>
          <w:sz w:val="20"/>
        </w:rPr>
        <w:t>根据情况可部分或全部免于承担违约责任。</w:t>
      </w:r>
    </w:p>
    <w:p>
      <w:pPr>
        <w:pStyle w:val="null3"/>
        <w:spacing w:before="60"/>
        <w:ind w:left="375"/>
        <w:jc w:val="both"/>
      </w:pPr>
      <w:r>
        <w:rPr>
          <w:sz w:val="20"/>
          <w:b/>
        </w:rPr>
        <w:t>十</w:t>
      </w:r>
      <w:r>
        <w:rPr>
          <w:sz w:val="20"/>
          <w:b/>
        </w:rPr>
        <w:t>三</w:t>
      </w:r>
      <w:r>
        <w:rPr>
          <w:sz w:val="20"/>
          <w:b/>
        </w:rPr>
        <w:t>、税费</w:t>
      </w:r>
    </w:p>
    <w:p>
      <w:pPr>
        <w:pStyle w:val="null3"/>
        <w:spacing w:before="60"/>
        <w:ind w:left="435"/>
        <w:jc w:val="both"/>
      </w:pPr>
      <w:r>
        <w:rPr>
          <w:sz w:val="20"/>
        </w:rPr>
        <w:t>在中国境内、外发生的与本合同执行有关的一切税费均由乙方负担。</w:t>
      </w:r>
    </w:p>
    <w:p>
      <w:pPr>
        <w:pStyle w:val="null3"/>
        <w:spacing w:before="60"/>
        <w:ind w:left="435"/>
        <w:jc w:val="both"/>
      </w:pPr>
      <w:r>
        <w:rPr>
          <w:sz w:val="20"/>
          <w:b/>
        </w:rPr>
        <w:t>十</w:t>
      </w:r>
      <w:r>
        <w:rPr>
          <w:sz w:val="20"/>
          <w:b/>
        </w:rPr>
        <w:t>四</w:t>
      </w:r>
      <w:r>
        <w:rPr>
          <w:sz w:val="20"/>
          <w:b/>
        </w:rPr>
        <w:t>、其它</w:t>
      </w:r>
    </w:p>
    <w:p>
      <w:pPr>
        <w:pStyle w:val="null3"/>
        <w:spacing w:before="60"/>
        <w:ind w:right="45" w:firstLine="430"/>
        <w:jc w:val="both"/>
      </w:pPr>
      <w:r>
        <w:rPr>
          <w:sz w:val="20"/>
        </w:rPr>
        <w:t>1.本合同所有附件、采购文件、投标文件、中标通知书通知书均为合同的有效组成部分，与本合同具有同等法律效力，</w:t>
      </w:r>
    </w:p>
    <w:p>
      <w:pPr>
        <w:pStyle w:val="null3"/>
        <w:spacing w:before="105"/>
        <w:ind w:right="45" w:firstLine="430"/>
        <w:jc w:val="both"/>
      </w:pPr>
      <w:r>
        <w:rPr>
          <w:sz w:val="20"/>
        </w:rPr>
        <w:t>2.在执行本合同的过程中，所有经双方签署确认的文件(包</w:t>
      </w:r>
      <w:r>
        <w:rPr>
          <w:sz w:val="20"/>
        </w:rPr>
        <w:t>括会议纪要、补充协议、往来信函</w:t>
      </w:r>
      <w:r>
        <w:rPr>
          <w:sz w:val="20"/>
        </w:rPr>
        <w:t>)即成</w:t>
      </w:r>
      <w:r>
        <w:rPr>
          <w:sz w:val="28"/>
        </w:rPr>
        <w:t xml:space="preserve"> </w:t>
      </w:r>
      <w:r>
        <w:rPr>
          <w:sz w:val="20"/>
        </w:rPr>
        <w:t>为本合同的有效组成部分。</w:t>
      </w:r>
    </w:p>
    <w:p>
      <w:pPr>
        <w:pStyle w:val="null3"/>
        <w:spacing w:before="90"/>
        <w:ind w:left="435"/>
        <w:jc w:val="both"/>
      </w:pPr>
      <w:r>
        <w:rPr>
          <w:sz w:val="20"/>
        </w:rPr>
        <w:t>3.如一方地址、电话、传真号码有变更，应在变更当日内书面通知对方，否则，应承</w:t>
      </w:r>
      <w:r>
        <w:rPr>
          <w:sz w:val="20"/>
        </w:rPr>
        <w:t>担相应责任。</w:t>
      </w:r>
    </w:p>
    <w:p>
      <w:pPr>
        <w:pStyle w:val="null3"/>
        <w:spacing w:before="90"/>
        <w:ind w:left="435"/>
        <w:jc w:val="both"/>
      </w:pPr>
      <w:r>
        <w:rPr>
          <w:sz w:val="20"/>
        </w:rPr>
        <w:t>4.除甲方事先书面同意外，乙方不得部分或全部转让其应履行的合同项下的义务。</w:t>
      </w:r>
    </w:p>
    <w:p>
      <w:pPr>
        <w:pStyle w:val="null3"/>
        <w:ind w:left="435"/>
        <w:jc w:val="both"/>
      </w:pPr>
      <w:r>
        <w:rPr>
          <w:sz w:val="20"/>
          <w:b/>
        </w:rPr>
        <w:t>十</w:t>
      </w:r>
      <w:r>
        <w:rPr>
          <w:sz w:val="20"/>
          <w:b/>
        </w:rPr>
        <w:t>五</w:t>
      </w:r>
      <w:r>
        <w:rPr>
          <w:sz w:val="20"/>
          <w:b/>
        </w:rPr>
        <w:t>、合同生效</w:t>
      </w:r>
    </w:p>
    <w:p>
      <w:pPr>
        <w:pStyle w:val="null3"/>
        <w:spacing w:before="60"/>
        <w:ind w:left="435"/>
        <w:jc w:val="both"/>
      </w:pPr>
      <w:r>
        <w:rPr>
          <w:sz w:val="20"/>
        </w:rPr>
        <w:t>1.本合同在甲乙双方法人代表或其授权代表签字盖章后生效。</w:t>
      </w:r>
    </w:p>
    <w:p>
      <w:pPr>
        <w:pStyle w:val="null3"/>
        <w:spacing w:before="105"/>
        <w:ind w:left="435"/>
        <w:jc w:val="both"/>
      </w:pPr>
      <w:r>
        <w:rPr>
          <w:sz w:val="20"/>
        </w:rPr>
        <w:t>2.合同一式</w:t>
      </w:r>
      <w:r>
        <w:rPr>
          <w:sz w:val="20"/>
          <w:u w:val="single"/>
        </w:rPr>
        <w:t>陆</w:t>
      </w:r>
      <w:r>
        <w:rPr>
          <w:sz w:val="20"/>
        </w:rPr>
        <w:t>份，其中甲方执肆份，乙方执壹份，政府采购监督管理部门壹份。</w:t>
      </w:r>
    </w:p>
    <w:p>
      <w:pPr>
        <w:pStyle w:val="null3"/>
        <w:spacing w:before="150"/>
        <w:ind w:left="210"/>
        <w:jc w:val="both"/>
      </w:pPr>
      <w:r>
        <w:rPr>
          <w:sz w:val="20"/>
        </w:rPr>
        <w:t>甲方</w:t>
      </w:r>
      <w:r>
        <w:rPr>
          <w:sz w:val="20"/>
        </w:rPr>
        <w:t>(盖章)</w:t>
      </w:r>
      <w:r>
        <w:rPr>
          <w:sz w:val="20"/>
        </w:rPr>
        <w:t>：　　　　　　　　　　　　　乙方</w:t>
      </w:r>
      <w:r>
        <w:rPr>
          <w:sz w:val="20"/>
        </w:rPr>
        <w:t>(盖章)</w:t>
      </w:r>
      <w:r>
        <w:rPr>
          <w:sz w:val="20"/>
        </w:rPr>
        <w:t>：</w:t>
      </w:r>
    </w:p>
    <w:p>
      <w:pPr>
        <w:pStyle w:val="null3"/>
        <w:spacing w:before="150"/>
        <w:ind w:left="210"/>
        <w:jc w:val="both"/>
      </w:pPr>
      <w:r>
        <w:rPr>
          <w:sz w:val="20"/>
        </w:rPr>
        <w:t>代表人：　　　　　　　　　　　　　　　代表人：</w:t>
      </w:r>
    </w:p>
    <w:p>
      <w:pPr>
        <w:pStyle w:val="null3"/>
        <w:spacing w:before="150"/>
        <w:ind w:left="210"/>
        <w:jc w:val="both"/>
      </w:pPr>
      <w:r>
        <w:rPr>
          <w:sz w:val="20"/>
        </w:rPr>
        <w:t>日期：　　　　　　　　　　　　　　　　日期：</w:t>
      </w:r>
    </w:p>
    <w:p>
      <w:pPr>
        <w:pStyle w:val="null3"/>
        <w:jc w:val="both"/>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440801-2025-01486</w:t>
      </w:r>
    </w:p>
    <w:p>
      <w:pPr>
        <w:pStyle w:val="null3"/>
        <w:jc w:val="center"/>
        <w:outlineLvl w:val="3"/>
      </w:pPr>
      <w:r>
        <w:rPr>
          <w:sz w:val="24"/>
          <w:b/>
        </w:rPr>
        <w:t>采购项目编号：</w:t>
      </w:r>
      <w:r>
        <w:rPr>
          <w:sz w:val="24"/>
          <w:b/>
        </w:rPr>
        <w:t>ZZZJ02505003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湛江幼儿师范专科学校烹饪工艺与营养专业教学资源库建设项目</w:t>
      </w:r>
      <w:r>
        <w:rPr>
          <w:u w:val="single"/>
        </w:rPr>
        <w:t>”</w:t>
      </w:r>
      <w:r>
        <w:rPr/>
        <w:t>项目的竞争性磋商[采购项目编号为：</w:t>
      </w:r>
      <w:r>
        <w:rPr>
          <w:u w:val="single"/>
        </w:rPr>
        <w:t>ZZZJ02505003</w:t>
      </w:r>
      <w:r>
        <w:rPr/>
        <w:t>]，我方愿参与响应。</w:t>
      </w:r>
    </w:p>
    <w:p>
      <w:pPr>
        <w:pStyle w:val="null3"/>
        <w:ind w:firstLine="480"/>
      </w:pPr>
      <w:r>
        <w:rPr/>
        <w:t>我方确认收到贵方提供的</w:t>
      </w:r>
      <w:r>
        <w:rPr>
          <w:u w:val="single"/>
        </w:rPr>
        <w:t>“</w:t>
      </w:r>
      <w:r>
        <w:rPr>
          <w:u w:val="single"/>
        </w:rPr>
        <w:t>湛江幼儿师范专科学校烹饪工艺与营养专业教学资源库建设项目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湛江幼儿师范专科学校烹饪工艺与营养专业教学资源库建设项目</w:t>
      </w:r>
      <w:r>
        <w:rPr/>
        <w:t>”项目采购[采购项目编号为</w:t>
      </w:r>
      <w:r>
        <w:rPr/>
        <w:t>ZZZJ02505003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湛江幼儿师范专科学校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湛江幼儿师范专科学校烹饪工艺与营养专业教学资源库建设项目</w:t>
      </w:r>
      <w:r>
        <w:rPr/>
        <w:t>（采购项目编号：</w:t>
      </w:r>
      <w:r>
        <w:rPr/>
        <w:t>ZZZJ02505003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湛江幼儿师范专科学校烹饪工艺与营养专业教学资源库建设项目</w:t>
      </w:r>
      <w:r>
        <w:rPr/>
        <w:t>”项目（采购项目编号：</w:t>
      </w:r>
      <w:r>
        <w:rPr/>
        <w:t>ZZZJ02505003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