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442000100-2023-00698</w:t>
      </w:r>
    </w:p>
    <w:p>
      <w:pPr>
        <w:jc w:val="center"/>
      </w:pPr>
      <w:r>
        <w:rPr>
          <w:b/>
          <w:sz w:val="24"/>
        </w:rPr>
        <w:t>采购项目编号：</w:t>
      </w:r>
      <w:r>
        <w:rPr>
          <w:b/>
          <w:sz w:val="24"/>
        </w:rPr>
        <w:t>ZZ22311238</w:t>
      </w:r>
    </w:p>
    <w:p>
      <w:pPr>
        <w:jc w:val="center"/>
      </w:pPr>
      <w:r>
        <w:rPr>
          <w:b/>
          <w:sz w:val="24"/>
        </w:rPr>
        <w:t>项目名称：</w:t>
      </w:r>
      <w:r>
        <w:rPr>
          <w:b/>
          <w:sz w:val="24"/>
        </w:rPr>
        <w:t>中山市小榄人民医院1.5TMRI整机维保采购项目(二次)</w:t>
      </w:r>
    </w:p>
    <w:p>
      <w:pPr>
        <w:jc w:val="center"/>
      </w:pPr>
      <w:r>
        <w:rPr>
          <w:b/>
          <w:sz w:val="24"/>
        </w:rPr>
        <w:t>采购人：</w:t>
      </w:r>
      <w:r>
        <w:rPr>
          <w:b/>
          <w:sz w:val="24"/>
        </w:rPr>
        <w:t>中山市小榄人民医院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中山市小榄人民医院</w:t>
      </w:r>
      <w:r>
        <w:rPr/>
        <w:t>的委托，采用</w:t>
      </w:r>
      <w:r>
        <w:rPr/>
        <w:t>公开招标</w:t>
      </w:r>
      <w:r>
        <w:rPr/>
        <w:t>方式组织采购</w:t>
      </w:r>
      <w:r>
        <w:rPr/>
        <w:t>中山市小榄人民医院1.5TMRI整机维保采购项目(二次)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中山市小榄人民医院1.5TMRI整机维保采购项目(二次)</w:t>
      </w:r>
    </w:p>
    <w:p>
      <w:pPr>
        <w:ind w:firstLine="480"/>
      </w:pPr>
      <w:r>
        <w:rPr/>
        <w:t>采购计划编号：</w:t>
      </w:r>
      <w:r>
        <w:rPr/>
        <w:t>442000100-2023-00698</w:t>
      </w:r>
    </w:p>
    <w:p>
      <w:pPr>
        <w:ind w:firstLine="480"/>
      </w:pPr>
      <w:r>
        <w:rPr/>
        <w:t>采购项目编号：</w:t>
      </w:r>
      <w:r>
        <w:rPr/>
        <w:t>ZZ22311238</w:t>
      </w:r>
    </w:p>
    <w:p>
      <w:pPr>
        <w:ind w:firstLine="480"/>
      </w:pPr>
      <w:r>
        <w:rPr/>
        <w:t>采购方式：</w:t>
      </w:r>
      <w:r>
        <w:rPr/>
        <w:t>公开招标</w:t>
      </w:r>
    </w:p>
    <w:p>
      <w:pPr>
        <w:ind w:firstLine="480"/>
      </w:pPr>
      <w:r>
        <w:rPr/>
        <w:t>预算金额：</w:t>
      </w:r>
      <w:r>
        <w:rPr/>
        <w:t>1,554,000.00</w:t>
      </w:r>
      <w:r>
        <w:rPr/>
        <w:t>元</w:t>
      </w:r>
    </w:p>
    <w:p>
      <w:r>
        <w:rPr>
          <w:b/>
          <w:sz w:val="24"/>
        </w:rPr>
        <w:t>2.项目内容及需求情况（采购项目技术规格、参数及要求）</w:t>
      </w:r>
    </w:p>
    <w:p>
      <w:pPr>
        <w:ind w:firstLine="480"/>
      </w:pPr>
    </w:p>
    <w:p/>
    <w:p>
      <w:r>
        <w:rPr/>
        <w:t>采购包1(中山市小榄人民医院1.5TMRI整机维保采购项目):</w:t>
      </w:r>
    </w:p>
    <w:p>
      <w:r>
        <w:rPr/>
        <w:t>采购包预算金额：1,554,000.00元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医疗设备维修和保养服务</w:t>
            </w:r>
          </w:p>
        </w:tc>
        <w:tc>
          <w:tcPr>
            <w:tcW w:type="dxa" w:w="2052"/>
          </w:tcPr>
          <w:p>
            <w:r>
              <w:rPr/>
              <w:t>中山市小榄人民医院1.5TMRI整机维保采购项目</w:t>
            </w:r>
          </w:p>
        </w:tc>
        <w:tc>
          <w:tcPr>
            <w:tcW w:type="dxa" w:w="977"/>
          </w:tcPr>
          <w:p>
            <w:r>
              <w:rPr/>
              <w:t>3.00(年)</w:t>
            </w:r>
          </w:p>
        </w:tc>
        <w:tc>
          <w:tcPr>
            <w:tcW w:type="dxa" w:w="977"/>
          </w:tcPr>
          <w:p>
            <w:r>
              <w:rPr/>
              <w:t>详见第二章</w:t>
            </w:r>
          </w:p>
        </w:tc>
        <w:tc>
          <w:tcPr>
            <w:tcW w:type="dxa" w:w="977"/>
          </w:tcPr>
          <w:p>
            <w:r>
              <w:rPr/>
              <w:t>1,554,000.00</w:t>
            </w:r>
          </w:p>
        </w:tc>
        <w:tc>
          <w:tcPr>
            <w:tcW w:type="dxa" w:w="977"/>
          </w:tcPr>
          <w:p>
            <w:r>
              <w:rPr/>
              <w:t>否</w:t>
            </w:r>
          </w:p>
        </w:tc>
      </w:tr>
    </w:tbl>
    <w:p/>
    <w:p>
      <w:r>
        <w:rPr/>
        <w:t>本采购包不接受联合体投标</w:t>
      </w:r>
    </w:p>
    <w:p/>
    <w:p>
      <w:r>
        <w:rPr/>
        <w:t>合同履行期限：自本项目合同签订之日起三年。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4）履行合同所必需的设备和专业技术能力：需同时提供设备及专业技术能力（人员）两类信息，格式自拟。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采购包1（中山市小榄人民医院1.5TMRI整机维保采购项目）：</w:t>
      </w:r>
      <w:r>
        <w:rPr/>
        <w:t>本项目不属于专门面向中小企业采购的项目</w:t>
      </w:r>
    </w:p>
    <w:p/>
    <w:p>
      <w:r>
        <w:rPr>
          <w:b/>
          <w:sz w:val="24"/>
        </w:rPr>
        <w:t>3.本项目特定的资格要求：</w:t>
      </w:r>
    </w:p>
    <w:p>
      <w:pPr>
        <w:ind w:firstLine="480"/>
      </w:pPr>
    </w:p>
    <w:p/>
    <w:p>
      <w:r>
        <w:rPr/>
        <w:t>采购包1（中山市小榄人民医院1.5TMRI整机维保采购项目）：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中山市小榄人民医院</w:t>
      </w:r>
    </w:p>
    <w:p>
      <w:pPr>
        <w:ind w:firstLine="480"/>
      </w:pPr>
      <w:r>
        <w:rPr/>
        <w:t>地址：</w:t>
      </w:r>
      <w:r>
        <w:rPr/>
        <w:t>中山市小榄镇菊城大道中段65号</w:t>
      </w:r>
    </w:p>
    <w:p>
      <w:pPr>
        <w:ind w:firstLine="480"/>
      </w:pPr>
      <w:r>
        <w:rPr/>
        <w:t>联系方式：</w:t>
      </w:r>
      <w:r>
        <w:rPr/>
        <w:t>0760-88662120-8420</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中山市东区中山四路亨尾大街3号软件园东园区2楼22室</w:t>
      </w:r>
    </w:p>
    <w:p>
      <w:pPr>
        <w:ind w:firstLine="480"/>
      </w:pPr>
      <w:r>
        <w:rPr/>
        <w:t>联系方式：</w:t>
      </w:r>
      <w:r>
        <w:rPr/>
        <w:t>0760-88811601、88808187</w:t>
      </w:r>
    </w:p>
    <w:p>
      <w:r>
        <w:rPr>
          <w:b/>
          <w:sz w:val="24"/>
        </w:rPr>
        <w:t>3.项目联系方式</w:t>
      </w:r>
    </w:p>
    <w:p>
      <w:pPr>
        <w:ind w:firstLine="480"/>
      </w:pPr>
      <w:r>
        <w:rPr/>
        <w:t>项目联系人：</w:t>
      </w:r>
      <w:r>
        <w:rPr/>
        <w:t>李小姐</w:t>
      </w:r>
    </w:p>
    <w:p>
      <w:pPr>
        <w:ind w:firstLine="480"/>
      </w:pPr>
      <w:r>
        <w:rPr/>
        <w:t>电话：</w:t>
      </w:r>
      <w:r>
        <w:rPr/>
        <w:t>0760-88811601、88808187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 xml:space="preserve">  （一）在招标文件中凡有“★”标识的内容条款被视为重要的响应要求、技术指标要求和性能要求。投标人必须对此作出回答并完全满足这些要求不可以出现任何负偏离，如果出现负偏离则将被视为无效投标。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（二）招标文件中，如标有“▲”的条款均为评审的重要评分指标，投标人若有部分“▲”条款未响应或不满足，将导致其响应性评审严重扣分。</w:t>
      </w:r>
      <w:r>
        <w:br/>
      </w:r>
      <w:r>
        <w:rPr/>
        <w:t xml:space="preserve">  （三）本项目由中标人负责招标文件对中标人要求的一切事宜及责任，如果投标人在中标并签署合同后，在项目实施过程中出现报价内容的任何遗漏，均由中标人负责，采购人将不再支付任何费用。</w:t>
      </w:r>
      <w:r>
        <w:br/>
      </w:r>
      <w:r>
        <w:rPr/>
        <w:t xml:space="preserve">  （四）本项目由中标人承包及负责招标文件对中标人要求的一切事宜及责任。</w:t>
      </w:r>
      <w:r>
        <w:br/>
      </w:r>
      <w:r>
        <w:rPr/>
        <w:t xml:space="preserve">  （五）本项目不接受联合体投标。</w:t>
      </w:r>
      <w:r>
        <w:br/>
      </w:r>
      <w:r>
        <w:rPr/>
        <w:t xml:space="preserve">  （六）中标人不得以任何方式转包本项目。</w:t>
      </w:r>
    </w:p>
    <w:p/>
    <w:p>
      <w:pPr>
        <w:ind w:firstLine="480"/>
      </w:pPr>
    </w:p>
    <w:p/>
    <w:p>
      <w:r>
        <w:rPr/>
        <w:t>采购包1（中山市小榄人民医院1.5TMRI整机维保采购项目）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自本项目合同签订之日起三年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1期：支付比例100%,★1.维保服务3年，采购人按每个季度进行付款。每个季度末，中标人提供一个季度的维保款项发票和季度维保报告，采购人收到发票和季度维保报告并审核无误后，采购人支付该笔款项。 ★2.因任何原因所致维保期间设备报废，维保服务终止，按实际维保时间结算费用</w:t>
            </w:r>
          </w:p>
        </w:tc>
      </w:tr>
      <w:tr>
        <w:tc>
          <w:tcPr>
            <w:tcW w:type="dxa" w:w="4153"/>
          </w:tcPr>
          <w:p>
            <w:r>
              <w:rPr/>
              <w:t>验收要求</w:t>
            </w:r>
          </w:p>
        </w:tc>
        <w:tc>
          <w:tcPr>
            <w:tcW w:type="dxa" w:w="4153"/>
          </w:tcPr>
          <w:p/>
          <w:p/>
          <w:p/>
          <w:p>
            <w:r>
              <w:rPr/>
              <w:t>1期：中标人对设备维修保养后需提供纸质记录，并经采购人签字确认服务内容。</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商务要求，▲（一）投标人需通过ISO9001体系认证(提供认证复印件)。 ▲（二）投标人需通过医疗行业的ISO13485体系认证(提供认证复印件)。 （三）投标人需针对本项目的MRI设备配备全职的由原厂认证同类机型维修资质的工程师提供服务，工程师需提供在有效期内的原厂服务资质证明。 （四）投标人在国内设有专业、充足的设备零备件仓库，所有更换的零部件必须为原厂认证/测试合格件, 有追踪号码；如所需的零备件为进口货物，供应的零备件必须能提供相应的合法进口报关证明。 ▲（五）投标人承诺在本项目维保期限内能合法获得在有效期内的原厂高级故障诊断维修钥匙(Service Key)使用权，保证不违反国家有关知识产权的法律规定，并能按时提交加盖投标人公章的年度维修报告书（需提供承诺函并加盖公章）。 （六）投标人具有经合法校正的磁共振MRI1.5T专业维修工具、仪器，并能提供序列号和需校正的工具仪器的校正记录文件。 （七）投标人具备原厂磁体更换的能力，可提供磁体进口海关报关单等。</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中山市小榄人民医院1.5TMRI整机维保采购项目</w:t>
            </w:r>
          </w:p>
        </w:tc>
        <w:tc>
          <w:tcPr>
            <w:tcW w:type="dxa" w:w="933"/>
          </w:tcPr>
          <w:p>
            <w:pPr>
              <w:jc w:val="left"/>
            </w:pPr>
            <w:r>
              <w:rPr/>
              <w:t>年</w:t>
            </w:r>
          </w:p>
        </w:tc>
        <w:tc>
          <w:tcPr>
            <w:tcW w:type="dxa" w:w="933"/>
          </w:tcPr>
          <w:p>
            <w:pPr>
              <w:jc w:val="right"/>
            </w:pPr>
            <w:r>
              <w:rPr/>
              <w:t>3.00</w:t>
            </w:r>
          </w:p>
        </w:tc>
        <w:tc>
          <w:tcPr>
            <w:tcW w:type="dxa" w:w="933"/>
          </w:tcPr>
          <w:p>
            <w:pPr>
              <w:jc w:val="right"/>
            </w:pPr>
            <w:r>
              <w:rPr/>
              <w:t>518,000.00</w:t>
            </w:r>
          </w:p>
        </w:tc>
        <w:tc>
          <w:tcPr>
            <w:tcW w:type="dxa" w:w="933"/>
          </w:tcPr>
          <w:p>
            <w:pPr>
              <w:jc w:val="right"/>
            </w:pPr>
            <w:r>
              <w:rPr/>
              <w:t>1,554,000.00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中山市小榄人民医院1.5TMRI整机维保采购项目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一、技术参数要求</w:t>
            </w:r>
          </w:p>
          <w:tbl>
            <w:tblPr>
              <w:tblBorders>
                <w:top w:val="none" w:color="000000" w:sz="4"/>
                <w:left w:val="none" w:color="000000" w:sz="4"/>
                <w:bottom w:val="none" w:color="000000" w:sz="4"/>
                <w:right w:val="none" w:color="000000" w:sz="4"/>
                <w:insideH w:val="none"/>
                <w:insideV w:val="none"/>
              </w:tblBorders>
            </w:tblPr>
            <w:tblGrid>
              <w:gridCol w:w="544"/>
              <w:gridCol w:w="635"/>
              <w:gridCol w:w="3808"/>
            </w:tblGrid>
            <w:tr>
              <w:tc>
                <w:tcPr>
                  <w:tcW w:type="dxa" w:w="54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35"/>
                  <w:tcBorders>
                    <w:top w:val="single" w:color="000000" w:sz="4"/>
                    <w:left w:val="none" w:color="000000" w:sz="4"/>
                    <w:bottom w:val="single" w:color="000000" w:sz="4"/>
                    <w:right w:val="single" w:color="000000" w:sz="4"/>
                  </w:tcBorders>
                  <w:vAlign w:val="top"/>
                </w:tcPr>
                <w:p>
                  <w:pPr>
                    <w:jc w:val="center"/>
                  </w:pPr>
                  <w:r>
                    <w:rPr>
                      <w:b/>
                      <w:sz w:val="21"/>
                    </w:rPr>
                    <w:t>参数名称</w:t>
                  </w:r>
                </w:p>
              </w:tc>
              <w:tc>
                <w:tcPr>
                  <w:tcW w:type="dxa" w:w="3808"/>
                  <w:tcBorders>
                    <w:top w:val="single" w:color="000000" w:sz="4"/>
                    <w:left w:val="none" w:color="000000" w:sz="4"/>
                    <w:bottom w:val="single" w:color="000000" w:sz="4"/>
                    <w:right w:val="single" w:color="000000" w:sz="4"/>
                  </w:tcBorders>
                  <w:vAlign w:val="top"/>
                </w:tcPr>
                <w:p>
                  <w:pPr>
                    <w:jc w:val="center"/>
                  </w:pPr>
                  <w:r>
                    <w:rPr>
                      <w:b/>
                      <w:sz w:val="21"/>
                    </w:rPr>
                    <w:t>参数要求</w:t>
                  </w:r>
                </w:p>
              </w:tc>
            </w:tr>
            <w:tr>
              <w:tc>
                <w:tcPr>
                  <w:tcW w:type="dxa" w:w="5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35"/>
                  <w:tcBorders>
                    <w:top w:val="none" w:color="000000" w:sz="4"/>
                    <w:left w:val="none" w:color="000000" w:sz="4"/>
                    <w:bottom w:val="single" w:color="000000" w:sz="4"/>
                    <w:right w:val="single" w:color="000000" w:sz="4"/>
                  </w:tcBorders>
                  <w:vAlign w:val="top"/>
                </w:tcPr>
                <w:p>
                  <w:pPr>
                    <w:jc w:val="left"/>
                  </w:pPr>
                  <w:r>
                    <w:rPr>
                      <w:sz w:val="21"/>
                    </w:rPr>
                    <w:t>维保</w:t>
                  </w:r>
                  <w:r>
                    <w:rPr>
                      <w:sz w:val="21"/>
                    </w:rPr>
                    <w:t>设备型号</w:t>
                  </w:r>
                </w:p>
              </w:tc>
              <w:tc>
                <w:tcPr>
                  <w:tcW w:type="dxa" w:w="3808"/>
                  <w:tcBorders>
                    <w:top w:val="none" w:color="000000" w:sz="4"/>
                    <w:left w:val="none" w:color="000000" w:sz="4"/>
                    <w:bottom w:val="single" w:color="000000" w:sz="4"/>
                    <w:right w:val="single" w:color="000000" w:sz="4"/>
                  </w:tcBorders>
                  <w:vAlign w:val="top"/>
                </w:tcPr>
                <w:p>
                  <w:pPr>
                    <w:jc w:val="both"/>
                  </w:pPr>
                  <w:r>
                    <w:rPr>
                      <w:sz w:val="21"/>
                    </w:rPr>
                    <w:t>1.5T Signa Explorer</w:t>
                  </w:r>
                </w:p>
              </w:tc>
            </w:tr>
            <w:tr>
              <w:tc>
                <w:tcPr>
                  <w:tcW w:type="dxa" w:w="54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35"/>
                  <w:tcBorders>
                    <w:top w:val="none" w:color="000000" w:sz="4"/>
                    <w:left w:val="none" w:color="000000" w:sz="4"/>
                    <w:bottom w:val="single" w:color="000000" w:sz="4"/>
                    <w:right w:val="single" w:color="000000" w:sz="4"/>
                  </w:tcBorders>
                  <w:vAlign w:val="top"/>
                </w:tcPr>
                <w:p>
                  <w:pPr>
                    <w:jc w:val="left"/>
                  </w:pPr>
                  <w:r>
                    <w:rPr>
                      <w:sz w:val="21"/>
                    </w:rPr>
                    <w:t>维保期限</w:t>
                  </w:r>
                </w:p>
              </w:tc>
              <w:tc>
                <w:tcPr>
                  <w:tcW w:type="dxa" w:w="3808"/>
                  <w:tcBorders>
                    <w:top w:val="none" w:color="000000" w:sz="4"/>
                    <w:left w:val="none" w:color="000000" w:sz="4"/>
                    <w:bottom w:val="single" w:color="000000" w:sz="4"/>
                    <w:right w:val="single" w:color="000000" w:sz="4"/>
                  </w:tcBorders>
                  <w:vAlign w:val="top"/>
                </w:tcPr>
                <w:p>
                  <w:pPr>
                    <w:jc w:val="both"/>
                  </w:pPr>
                  <w:r>
                    <w:rPr>
                      <w:sz w:val="21"/>
                    </w:rPr>
                    <w:t>自本项目合同签订之日起</w:t>
                  </w:r>
                  <w:r>
                    <w:rPr>
                      <w:sz w:val="21"/>
                    </w:rPr>
                    <w:t>三年</w:t>
                  </w:r>
                </w:p>
              </w:tc>
            </w:tr>
            <w:tr>
              <w:tc>
                <w:tcPr>
                  <w:tcW w:type="dxa" w:w="544"/>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sz w:val="21"/>
                    </w:rPr>
                    <w:t>★3</w:t>
                  </w:r>
                </w:p>
                <w:p>
                  <w:pPr>
                    <w:jc w:val="both"/>
                  </w:pPr>
                </w:p>
              </w:tc>
              <w:tc>
                <w:tcPr>
                  <w:tcW w:type="dxa" w:w="635"/>
                  <w:tcBorders>
                    <w:top w:val="none" w:color="000000" w:sz="4"/>
                    <w:left w:val="none" w:color="000000" w:sz="4"/>
                    <w:bottom w:val="single" w:color="000000" w:sz="4"/>
                    <w:right w:val="single" w:color="000000" w:sz="4"/>
                  </w:tcBorders>
                  <w:vAlign w:val="top"/>
                </w:tcPr>
                <w:p>
                  <w:pPr>
                    <w:jc w:val="both"/>
                  </w:pPr>
                </w:p>
                <w:p>
                  <w:pPr>
                    <w:jc w:val="left"/>
                  </w:pPr>
                  <w:r>
                    <w:rPr>
                      <w:sz w:val="21"/>
                    </w:rPr>
                    <w:t>维保内容</w:t>
                  </w:r>
                </w:p>
                <w:p>
                  <w:pPr>
                    <w:jc w:val="center"/>
                  </w:pPr>
                </w:p>
                <w:p>
                  <w:pPr>
                    <w:jc w:val="center"/>
                  </w:pPr>
                </w:p>
              </w:tc>
              <w:tc>
                <w:tcPr>
                  <w:tcW w:type="dxa" w:w="3808"/>
                  <w:tcBorders>
                    <w:top w:val="none" w:color="000000" w:sz="4"/>
                    <w:left w:val="none" w:color="000000" w:sz="4"/>
                    <w:bottom w:val="single" w:color="000000" w:sz="4"/>
                    <w:right w:val="single" w:color="000000" w:sz="4"/>
                  </w:tcBorders>
                  <w:vAlign w:val="top"/>
                </w:tcPr>
                <w:p>
                  <w:pPr>
                    <w:jc w:val="both"/>
                  </w:pPr>
                  <w:r>
                    <w:rPr>
                      <w:sz w:val="21"/>
                    </w:rPr>
                    <w:t>3.1整机保修，包含磁体、梯度放大器、射频系统、制冷系统</w:t>
                  </w:r>
                  <w:r>
                    <w:rPr>
                      <w:sz w:val="21"/>
                    </w:rPr>
                    <w:t>（含液氦，含第三方水冷机）</w:t>
                  </w:r>
                  <w:r>
                    <w:rPr>
                      <w:sz w:val="21"/>
                    </w:rPr>
                    <w:t>、线圈</w:t>
                  </w:r>
                  <w:r>
                    <w:rPr>
                      <w:sz w:val="21"/>
                    </w:rPr>
                    <w:t>（含第三方线圈）</w:t>
                  </w:r>
                  <w:r>
                    <w:rPr>
                      <w:sz w:val="21"/>
                    </w:rPr>
                    <w:t>、</w:t>
                  </w:r>
                  <w:r>
                    <w:rPr>
                      <w:sz w:val="21"/>
                    </w:rPr>
                    <w:t>AW 工作站（含</w:t>
                  </w:r>
                  <w:r>
                    <w:rPr>
                      <w:sz w:val="21"/>
                    </w:rPr>
                    <w:t>AW4.4和AW4.7）</w:t>
                  </w:r>
                  <w:r>
                    <w:rPr>
                      <w:sz w:val="21"/>
                    </w:rPr>
                    <w:t>、精密空调（</w:t>
                  </w:r>
                  <w:r>
                    <w:rPr>
                      <w:sz w:val="21"/>
                    </w:rPr>
                    <w:t>第三方</w:t>
                  </w:r>
                  <w:r>
                    <w:rPr>
                      <w:sz w:val="21"/>
                    </w:rPr>
                    <w:t>产品）、高压注射器（</w:t>
                  </w:r>
                  <w:r>
                    <w:rPr>
                      <w:sz w:val="21"/>
                    </w:rPr>
                    <w:t>第三方</w:t>
                  </w:r>
                  <w:r>
                    <w:rPr>
                      <w:sz w:val="21"/>
                    </w:rPr>
                    <w:t>产品）。</w:t>
                  </w:r>
                </w:p>
                <w:p>
                  <w:pPr>
                    <w:jc w:val="both"/>
                  </w:pPr>
                  <w:r>
                    <w:rPr>
                      <w:b/>
                      <w:sz w:val="21"/>
                    </w:rPr>
                    <w:t>注意：部分未出保的线圈和工作站</w:t>
                  </w:r>
                  <w:r>
                    <w:rPr>
                      <w:sz w:val="21"/>
                    </w:rPr>
                    <w:t>的维保期从</w:t>
                  </w:r>
                  <w:r>
                    <w:rPr>
                      <w:sz w:val="21"/>
                    </w:rPr>
                    <w:t>原维保结束日期</w:t>
                  </w:r>
                  <w:r>
                    <w:rPr>
                      <w:sz w:val="21"/>
                    </w:rPr>
                    <w:t>（</w:t>
                  </w:r>
                  <w:r>
                    <w:rPr>
                      <w:sz w:val="21"/>
                    </w:rPr>
                    <w:t>2026年4月14日</w:t>
                  </w:r>
                  <w:r>
                    <w:rPr>
                      <w:sz w:val="21"/>
                    </w:rPr>
                    <w:t>）</w:t>
                  </w:r>
                  <w:r>
                    <w:rPr>
                      <w:sz w:val="21"/>
                    </w:rPr>
                    <w:t>至本合同结束。</w:t>
                  </w:r>
                </w:p>
                <w:p>
                  <w:pPr>
                    <w:jc w:val="both"/>
                  </w:pPr>
                </w:p>
                <w:p>
                  <w:pPr>
                    <w:jc w:val="both"/>
                  </w:pPr>
                  <w:r>
                    <w:rPr>
                      <w:sz w:val="21"/>
                    </w:rPr>
                    <w:t>3.2第三方产品信息：</w:t>
                  </w:r>
                </w:p>
                <w:tbl>
                  <w:tblPr>
                    <w:tblBorders>
                      <w:top w:val="none" w:color="000000" w:sz="4"/>
                      <w:left w:val="none" w:color="000000" w:sz="4"/>
                      <w:bottom w:val="none" w:color="000000" w:sz="4"/>
                      <w:right w:val="none" w:color="000000" w:sz="4"/>
                      <w:insideH w:val="none"/>
                      <w:insideV w:val="none"/>
                    </w:tblBorders>
                  </w:tblPr>
                  <w:tblGrid>
                    <w:gridCol w:w="1545"/>
                    <w:gridCol w:w="824"/>
                    <w:gridCol w:w="371"/>
                    <w:gridCol w:w="852"/>
                  </w:tblGrid>
                  <w:tr>
                    <w:tc>
                      <w:tcPr>
                        <w:tcW w:type="dxa" w:w="1545"/>
                        <w:tcBorders>
                          <w:top w:val="single" w:color="000000" w:sz="4"/>
                          <w:left w:val="single" w:color="000000" w:sz="4"/>
                          <w:bottom w:val="single" w:color="000000" w:sz="4"/>
                          <w:right w:val="single" w:color="000000" w:sz="4"/>
                        </w:tcBorders>
                        <w:vAlign w:val="top"/>
                      </w:tcPr>
                      <w:p>
                        <w:pPr>
                          <w:jc w:val="both"/>
                        </w:pPr>
                        <w:r>
                          <w:rPr>
                            <w:b/>
                            <w:sz w:val="21"/>
                          </w:rPr>
                          <w:t>设备名称</w:t>
                        </w:r>
                      </w:p>
                    </w:tc>
                    <w:tc>
                      <w:tcPr>
                        <w:tcW w:type="dxa" w:w="824"/>
                        <w:tcBorders>
                          <w:top w:val="single" w:color="000000" w:sz="4"/>
                          <w:left w:val="single" w:color="000000" w:sz="4"/>
                          <w:bottom w:val="single" w:color="000000" w:sz="4"/>
                          <w:right w:val="single" w:color="000000" w:sz="4"/>
                        </w:tcBorders>
                        <w:vAlign w:val="top"/>
                      </w:tcPr>
                      <w:p>
                        <w:pPr>
                          <w:jc w:val="both"/>
                        </w:pPr>
                        <w:r>
                          <w:rPr>
                            <w:b/>
                            <w:sz w:val="21"/>
                          </w:rPr>
                          <w:t>型号</w:t>
                        </w:r>
                      </w:p>
                    </w:tc>
                    <w:tc>
                      <w:tcPr>
                        <w:tcW w:type="dxa" w:w="371"/>
                        <w:tcBorders>
                          <w:top w:val="single" w:color="000000" w:sz="4"/>
                          <w:left w:val="single" w:color="000000" w:sz="4"/>
                          <w:bottom w:val="single" w:color="000000" w:sz="4"/>
                          <w:right w:val="single" w:color="000000" w:sz="4"/>
                        </w:tcBorders>
                        <w:vAlign w:val="top"/>
                      </w:tcPr>
                      <w:p>
                        <w:pPr>
                          <w:jc w:val="both"/>
                        </w:pPr>
                        <w:r>
                          <w:rPr>
                            <w:b/>
                            <w:sz w:val="21"/>
                          </w:rPr>
                          <w:t>数量</w:t>
                        </w:r>
                      </w:p>
                    </w:tc>
                    <w:tc>
                      <w:tcPr>
                        <w:tcW w:type="dxa" w:w="852"/>
                        <w:tcBorders>
                          <w:top w:val="single" w:color="000000" w:sz="4"/>
                          <w:left w:val="single" w:color="000000" w:sz="4"/>
                          <w:bottom w:val="single" w:color="000000" w:sz="4"/>
                          <w:right w:val="single" w:color="000000" w:sz="4"/>
                        </w:tcBorders>
                        <w:vAlign w:val="top"/>
                      </w:tcPr>
                      <w:p>
                        <w:pPr>
                          <w:jc w:val="both"/>
                        </w:pPr>
                        <w:r>
                          <w:rPr>
                            <w:b/>
                            <w:sz w:val="21"/>
                          </w:rPr>
                          <w:t>厂家</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8通道婴幼儿头颈脊柱线圈</w:t>
                        </w:r>
                      </w:p>
                    </w:tc>
                    <w:tc>
                      <w:tcPr>
                        <w:tcW w:type="dxa" w:w="824"/>
                        <w:tcBorders>
                          <w:top w:val="none" w:color="000000" w:sz="4"/>
                          <w:left w:val="single" w:color="000000" w:sz="4"/>
                          <w:bottom w:val="single" w:color="000000" w:sz="4"/>
                          <w:right w:val="single" w:color="000000" w:sz="4"/>
                        </w:tcBorders>
                        <w:vAlign w:val="top"/>
                      </w:tcPr>
                      <w:p>
                        <w:pPr>
                          <w:jc w:val="both"/>
                        </w:pPr>
                        <w:r>
                          <w:rPr>
                            <w:sz w:val="21"/>
                          </w:rPr>
                          <w:t>IP80-1.5</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苏州众志</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高压注射器</w:t>
                        </w:r>
                      </w:p>
                    </w:tc>
                    <w:tc>
                      <w:tcPr>
                        <w:tcW w:type="dxa" w:w="824"/>
                        <w:tcBorders>
                          <w:top w:val="none" w:color="000000" w:sz="4"/>
                          <w:left w:val="single" w:color="000000" w:sz="4"/>
                          <w:bottom w:val="single" w:color="000000" w:sz="4"/>
                          <w:right w:val="single" w:color="000000" w:sz="4"/>
                        </w:tcBorders>
                        <w:vAlign w:val="top"/>
                      </w:tcPr>
                      <w:p>
                        <w:pPr>
                          <w:jc w:val="both"/>
                        </w:pPr>
                        <w:r>
                          <w:rPr>
                            <w:sz w:val="21"/>
                          </w:rPr>
                          <w:t>Optistar Elite</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理博有限公司</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精密空调</w:t>
                        </w:r>
                      </w:p>
                    </w:tc>
                    <w:tc>
                      <w:tcPr>
                        <w:tcW w:type="dxa" w:w="824"/>
                        <w:tcBorders>
                          <w:top w:val="none" w:color="000000" w:sz="4"/>
                          <w:left w:val="single" w:color="000000" w:sz="4"/>
                          <w:bottom w:val="single" w:color="000000" w:sz="4"/>
                          <w:right w:val="single" w:color="000000" w:sz="4"/>
                        </w:tcBorders>
                        <w:vAlign w:val="top"/>
                      </w:tcPr>
                      <w:p>
                        <w:pPr>
                          <w:jc w:val="both"/>
                        </w:pPr>
                        <w:r>
                          <w:rPr>
                            <w:sz w:val="21"/>
                          </w:rPr>
                          <w:t>40E2A3</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阿尔西</w:t>
                        </w:r>
                      </w:p>
                    </w:tc>
                  </w:tr>
                  <w:tr>
                    <w:tc>
                      <w:tcPr>
                        <w:tcW w:type="dxa" w:w="1545"/>
                        <w:tcBorders>
                          <w:top w:val="none" w:color="000000" w:sz="4"/>
                          <w:left w:val="single" w:color="000000" w:sz="4"/>
                          <w:bottom w:val="single" w:color="000000" w:sz="4"/>
                          <w:right w:val="single" w:color="000000" w:sz="4"/>
                        </w:tcBorders>
                        <w:vAlign w:val="top"/>
                      </w:tcPr>
                      <w:p>
                        <w:pPr>
                          <w:jc w:val="both"/>
                        </w:pPr>
                        <w:r>
                          <w:rPr>
                            <w:sz w:val="21"/>
                          </w:rPr>
                          <w:t>水冷机控制器</w:t>
                        </w:r>
                      </w:p>
                    </w:tc>
                    <w:tc>
                      <w:tcPr>
                        <w:tcW w:type="dxa" w:w="824"/>
                        <w:tcBorders>
                          <w:top w:val="none" w:color="000000" w:sz="4"/>
                          <w:left w:val="single" w:color="000000" w:sz="4"/>
                          <w:bottom w:val="single" w:color="000000" w:sz="4"/>
                          <w:right w:val="single" w:color="000000" w:sz="4"/>
                        </w:tcBorders>
                        <w:vAlign w:val="top"/>
                      </w:tcPr>
                      <w:p>
                        <w:pPr>
                          <w:jc w:val="both"/>
                        </w:pPr>
                        <w:r>
                          <w:rPr>
                            <w:sz w:val="21"/>
                          </w:rPr>
                          <w:t>MCS7627G1</w:t>
                        </w:r>
                      </w:p>
                    </w:tc>
                    <w:tc>
                      <w:tcPr>
                        <w:tcW w:type="dxa" w:w="371"/>
                        <w:tcBorders>
                          <w:top w:val="none" w:color="000000" w:sz="4"/>
                          <w:left w:val="single" w:color="000000" w:sz="4"/>
                          <w:bottom w:val="single" w:color="000000" w:sz="4"/>
                          <w:right w:val="single" w:color="000000" w:sz="4"/>
                        </w:tcBorders>
                        <w:vAlign w:val="top"/>
                      </w:tcPr>
                      <w:p>
                        <w:pPr>
                          <w:jc w:val="both"/>
                        </w:pPr>
                        <w:r>
                          <w:rPr>
                            <w:sz w:val="21"/>
                          </w:rPr>
                          <w:t>1</w:t>
                        </w:r>
                      </w:p>
                    </w:tc>
                    <w:tc>
                      <w:tcPr>
                        <w:tcW w:type="dxa" w:w="852"/>
                        <w:tcBorders>
                          <w:top w:val="none" w:color="000000" w:sz="4"/>
                          <w:left w:val="single" w:color="000000" w:sz="4"/>
                          <w:bottom w:val="single" w:color="000000" w:sz="4"/>
                          <w:right w:val="single" w:color="000000" w:sz="4"/>
                        </w:tcBorders>
                        <w:vAlign w:val="top"/>
                      </w:tcPr>
                      <w:p>
                        <w:pPr>
                          <w:jc w:val="both"/>
                        </w:pPr>
                        <w:r>
                          <w:rPr>
                            <w:sz w:val="21"/>
                          </w:rPr>
                          <w:t>阿尔西</w:t>
                        </w:r>
                      </w:p>
                    </w:tc>
                  </w:tr>
                </w:tbl>
                <w:p>
                  <w:pPr>
                    <w:jc w:val="both"/>
                  </w:pPr>
                </w:p>
                <w:p>
                  <w:pPr>
                    <w:jc w:val="both"/>
                  </w:pPr>
                </w:p>
              </w:tc>
            </w:tr>
            <w:tr>
              <w:tc>
                <w:tcPr>
                  <w:tcW w:type="dxa" w:w="544"/>
                  <w:tcBorders>
                    <w:top w:val="none" w:color="000000" w:sz="4"/>
                    <w:left w:val="single" w:color="000000" w:sz="4"/>
                    <w:bottom w:val="single" w:color="000000" w:sz="4"/>
                    <w:right w:val="single" w:color="000000" w:sz="4"/>
                  </w:tcBorders>
                  <w:vAlign w:val="top"/>
                </w:tcPr>
                <w:p>
                  <w:pPr>
                    <w:jc w:val="center"/>
                  </w:pPr>
                </w:p>
                <w:p>
                  <w:pPr>
                    <w:jc w:val="center"/>
                  </w:pPr>
                </w:p>
                <w:p>
                  <w:pPr>
                    <w:jc w:val="both"/>
                  </w:pPr>
                </w:p>
                <w:p>
                  <w:pPr>
                    <w:jc w:val="center"/>
                  </w:pPr>
                  <w:r>
                    <w:rPr>
                      <w:sz w:val="21"/>
                    </w:rPr>
                    <w:t>★4</w:t>
                  </w:r>
                </w:p>
                <w:p>
                  <w:pPr>
                    <w:jc w:val="center"/>
                  </w:pPr>
                </w:p>
                <w:p>
                  <w:pPr>
                    <w:jc w:val="center"/>
                  </w:pPr>
                </w:p>
              </w:tc>
              <w:tc>
                <w:tcPr>
                  <w:tcW w:type="dxa" w:w="635"/>
                  <w:tcBorders>
                    <w:top w:val="none" w:color="000000" w:sz="4"/>
                    <w:left w:val="none" w:color="000000" w:sz="4"/>
                    <w:bottom w:val="single" w:color="000000" w:sz="4"/>
                    <w:right w:val="single" w:color="000000" w:sz="4"/>
                  </w:tcBorders>
                  <w:vAlign w:val="top"/>
                </w:tcPr>
                <w:p>
                  <w:pPr>
                    <w:jc w:val="both"/>
                  </w:pPr>
                </w:p>
                <w:p>
                  <w:pPr>
                    <w:jc w:val="left"/>
                  </w:pPr>
                  <w:r>
                    <w:rPr>
                      <w:sz w:val="21"/>
                    </w:rPr>
                    <w:t>维保要求和</w:t>
                  </w:r>
                  <w:r>
                    <w:rPr>
                      <w:sz w:val="21"/>
                    </w:rPr>
                    <w:t>服务</w:t>
                  </w:r>
                </w:p>
                <w:p>
                  <w:pPr>
                    <w:jc w:val="center"/>
                  </w:pPr>
                </w:p>
              </w:tc>
              <w:tc>
                <w:tcPr>
                  <w:tcW w:type="dxa" w:w="3808"/>
                  <w:tcBorders>
                    <w:top w:val="none" w:color="000000" w:sz="4"/>
                    <w:left w:val="none" w:color="000000" w:sz="4"/>
                    <w:bottom w:val="single" w:color="000000" w:sz="4"/>
                    <w:right w:val="single" w:color="000000" w:sz="4"/>
                  </w:tcBorders>
                  <w:vAlign w:val="top"/>
                </w:tcPr>
                <w:p>
                  <w:pPr>
                    <w:jc w:val="left"/>
                  </w:pPr>
                  <w:r>
                    <w:rPr>
                      <w:sz w:val="21"/>
                    </w:rPr>
                    <w:t>4.1  7×24小时故障响应，24小时内到达故障现场。</w:t>
                  </w:r>
                </w:p>
                <w:p>
                  <w:pPr>
                    <w:jc w:val="left"/>
                  </w:pPr>
                  <w:r>
                    <w:rPr>
                      <w:sz w:val="21"/>
                    </w:rPr>
                    <w:t>4.2  每次故障时间不大于2天，一年故障时间不大于</w:t>
                  </w:r>
                  <w:r>
                    <w:rPr>
                      <w:sz w:val="21"/>
                    </w:rPr>
                    <w:t>17</w:t>
                  </w:r>
                  <w:r>
                    <w:rPr>
                      <w:sz w:val="21"/>
                    </w:rPr>
                    <w:t>天。</w:t>
                  </w:r>
                </w:p>
                <w:p>
                  <w:pPr>
                    <w:jc w:val="both"/>
                  </w:pPr>
                  <w:r>
                    <w:rPr>
                      <w:sz w:val="21"/>
                    </w:rPr>
                    <w:t>4.3  每年提供一次共计4人次GE原厂临床应用培训。</w:t>
                  </w:r>
                </w:p>
                <w:p>
                  <w:pPr>
                    <w:jc w:val="left"/>
                  </w:pPr>
                  <w:r>
                    <w:rPr>
                      <w:sz w:val="21"/>
                    </w:rPr>
                    <w:t>4.4  全新原厂备件48小时内到达现场。</w:t>
                  </w:r>
                </w:p>
                <w:p>
                  <w:pPr>
                    <w:jc w:val="both"/>
                  </w:pPr>
                  <w:r>
                    <w:rPr>
                      <w:sz w:val="21"/>
                    </w:rPr>
                    <w:t>4.5  维保期内不限次数更换发生故障的配件，费用包含在投标报价中。</w:t>
                  </w:r>
                </w:p>
                <w:p>
                  <w:pPr>
                    <w:jc w:val="left"/>
                  </w:pPr>
                  <w:r>
                    <w:rPr>
                      <w:sz w:val="21"/>
                    </w:rPr>
                    <w:t>4.6  能及时提供全套完整的原厂系统软硬件改版措施（FA），维保期内负责提供设备系统软件升级补丁和技术支持，维保期内</w:t>
                  </w:r>
                  <w:r>
                    <w:rPr>
                      <w:sz w:val="21"/>
                    </w:rPr>
                    <w:t>保证设备所使用的软件是关于该设备平台</w:t>
                  </w:r>
                  <w:r>
                    <w:rPr>
                      <w:sz w:val="21"/>
                    </w:rPr>
                    <w:t>原厂</w:t>
                  </w:r>
                  <w:r>
                    <w:rPr>
                      <w:sz w:val="21"/>
                    </w:rPr>
                    <w:t>最新版本，随时提供软件更新服务</w:t>
                  </w:r>
                  <w:r>
                    <w:rPr>
                      <w:sz w:val="21"/>
                    </w:rPr>
                    <w:t>（含主机操作系统，工作站系统），相关费用包含在投标报价中。</w:t>
                  </w:r>
                </w:p>
                <w:p>
                  <w:pPr>
                    <w:jc w:val="both"/>
                  </w:pPr>
                  <w:r>
                    <w:rPr>
                      <w:sz w:val="21"/>
                    </w:rPr>
                    <w:t>4.7  维保期内提供至少1次操作系统硬件升级（含操作主机，工作站主机），升级包含显卡、内存、处理器。确保机器运行流畅，处理数据快速。相关费用包含在投标报价中。</w:t>
                  </w:r>
                </w:p>
                <w:p>
                  <w:pPr>
                    <w:jc w:val="both"/>
                  </w:pPr>
                  <w:r>
                    <w:rPr>
                      <w:sz w:val="21"/>
                    </w:rPr>
                    <w:t>4.8  维保期内</w:t>
                  </w:r>
                  <w:r>
                    <w:rPr>
                      <w:sz w:val="21"/>
                    </w:rPr>
                    <w:t>必须</w:t>
                  </w:r>
                  <w:r>
                    <w:rPr>
                      <w:sz w:val="21"/>
                    </w:rPr>
                    <w:t>确保液氦无限量供应。</w:t>
                  </w:r>
                </w:p>
                <w:p>
                  <w:pPr>
                    <w:jc w:val="both"/>
                  </w:pPr>
                  <w:r>
                    <w:rPr>
                      <w:sz w:val="21"/>
                    </w:rPr>
                    <w:t>4.9  每年提供MRI设备保养≥4次，使之保持原厂QC标准或国家质量</w:t>
                  </w:r>
                  <w:r>
                    <w:rPr>
                      <w:sz w:val="21"/>
                    </w:rPr>
                    <w:t>技术监督</w:t>
                  </w:r>
                  <w:r>
                    <w:rPr>
                      <w:sz w:val="21"/>
                    </w:rPr>
                    <w:t>部门之标准，并能提供原厂审核合格的保养报告。包含但不限于如下项目：</w:t>
                  </w:r>
                  <w:r>
                    <w:rPr>
                      <w:sz w:val="21"/>
                    </w:rPr>
                    <w:t>①</w:t>
                  </w:r>
                  <w:r>
                    <w:rPr>
                      <w:sz w:val="21"/>
                    </w:rPr>
                    <w:t>机器清洁；</w:t>
                  </w:r>
                  <w:r>
                    <w:rPr>
                      <w:sz w:val="21"/>
                    </w:rPr>
                    <w:t>②</w:t>
                  </w:r>
                  <w:r>
                    <w:rPr>
                      <w:sz w:val="21"/>
                    </w:rPr>
                    <w:t>性能测试及校准；</w:t>
                  </w:r>
                  <w:r>
                    <w:rPr>
                      <w:sz w:val="21"/>
                    </w:rPr>
                    <w:t>③</w:t>
                  </w:r>
                  <w:r>
                    <w:rPr>
                      <w:sz w:val="21"/>
                    </w:rPr>
                    <w:t>必要的机械或电气环境检查；</w:t>
                  </w:r>
                  <w:r>
                    <w:rPr>
                      <w:sz w:val="21"/>
                    </w:rPr>
                    <w:t>④</w:t>
                  </w:r>
                  <w:r>
                    <w:rPr>
                      <w:sz w:val="21"/>
                    </w:rPr>
                    <w:t>设备的安全检查和运行状态检查；</w:t>
                  </w:r>
                  <w:r>
                    <w:rPr>
                      <w:sz w:val="21"/>
                    </w:rPr>
                    <w:t>⑤</w:t>
                  </w:r>
                  <w:r>
                    <w:rPr>
                      <w:sz w:val="21"/>
                    </w:rPr>
                    <w:t>影像质量检查；</w:t>
                  </w:r>
                  <w:r>
                    <w:rPr>
                      <w:sz w:val="21"/>
                    </w:rPr>
                    <w:t>⑥</w:t>
                  </w:r>
                  <w:r>
                    <w:rPr>
                      <w:sz w:val="21"/>
                    </w:rPr>
                    <w:t>提供计划性的定期维护报告，且经原厂审核合格；</w:t>
                  </w:r>
                  <w:r>
                    <w:rPr>
                      <w:sz w:val="21"/>
                    </w:rPr>
                    <w:t>⑦</w:t>
                  </w:r>
                  <w:r>
                    <w:rPr>
                      <w:sz w:val="21"/>
                    </w:rPr>
                    <w:t>MRI设备每次保养进行小匀场, 并达到原厂要求保养标准，不合格时，进行大匀场。</w:t>
                  </w:r>
                </w:p>
                <w:p>
                  <w:pPr>
                    <w:jc w:val="both"/>
                  </w:pPr>
                  <w:r>
                    <w:rPr>
                      <w:sz w:val="21"/>
                    </w:rPr>
                    <w:t>4.10 现场维护保养：中标人的工程师应配合保养计划，针对产品的外部环境、主要参数与性能做质量评估，为机器潜在的问题预测提示，以减少机器非正常停机的风险，提高医疗设备的正常使用率，帮助医院实现高质量、低风险的医疗服务。中标人在接到医院计划外维护保养或报修申请电话后，中标人评估必要性后派遣工程师前往维护保养或检修设备。工程师最多不超过24小时到达现场。</w:t>
                  </w:r>
                </w:p>
                <w:p>
                  <w:pPr>
                    <w:jc w:val="both"/>
                  </w:pPr>
                  <w:r>
                    <w:rPr>
                      <w:sz w:val="21"/>
                    </w:rPr>
                    <w:t>4.11 开机保证时间：开机保证率承诺为9</w:t>
                  </w:r>
                  <w:r>
                    <w:rPr>
                      <w:sz w:val="21"/>
                    </w:rPr>
                    <w:t>6</w:t>
                  </w:r>
                  <w:r>
                    <w:rPr>
                      <w:sz w:val="21"/>
                    </w:rPr>
                    <w:t>%</w:t>
                  </w:r>
                  <w:r>
                    <w:rPr>
                      <w:sz w:val="21"/>
                    </w:rPr>
                    <w:t>，计算公式如</w:t>
                  </w:r>
                </w:p>
                <w:p>
                  <w:pPr>
                    <w:ind w:firstLine="424"/>
                    <w:jc w:val="both"/>
                  </w:pPr>
                  <w:r>
                    <w:rPr>
                      <w:sz w:val="21"/>
                    </w:rPr>
                    <w:t>下：开机保证率</w:t>
                  </w:r>
                  <w:r>
                    <w:rPr>
                      <w:sz w:val="21"/>
                    </w:rPr>
                    <w:t>=365天×9</w:t>
                  </w:r>
                  <w:r>
                    <w:rPr>
                      <w:sz w:val="21"/>
                    </w:rPr>
                    <w:t>6</w:t>
                  </w:r>
                  <w:r>
                    <w:rPr>
                      <w:sz w:val="21"/>
                    </w:rPr>
                    <w:t>%</w:t>
                  </w:r>
                  <w:r>
                    <w:rPr>
                      <w:sz w:val="21"/>
                    </w:rPr>
                    <w:t>，达不到开机保证率的情况下停机一天顺延两天。</w:t>
                  </w:r>
                </w:p>
                <w:p>
                  <w:pPr>
                    <w:ind w:firstLine="420"/>
                    <w:jc w:val="both"/>
                  </w:pPr>
                  <w:r>
                    <w:rPr>
                      <w:sz w:val="21"/>
                    </w:rPr>
                    <w:t>4.12 服务报告：</w:t>
                  </w:r>
                </w:p>
                <w:p>
                  <w:pPr>
                    <w:jc w:val="both"/>
                  </w:pPr>
                  <w:r>
                    <w:rPr>
                      <w:sz w:val="21"/>
                    </w:rPr>
                    <w:t>（</w:t>
                  </w:r>
                  <w:r>
                    <w:rPr>
                      <w:sz w:val="21"/>
                    </w:rPr>
                    <w:t>1）每次保养、维修后，中标人指定的工程师应以邮件Email或现场汇报的形式为采购人提供服务报告，并提供纸质书面维保报告（加盖公章）。</w:t>
                  </w:r>
                </w:p>
                <w:p>
                  <w:pPr>
                    <w:jc w:val="both"/>
                  </w:pPr>
                  <w:r>
                    <w:rPr>
                      <w:sz w:val="21"/>
                    </w:rPr>
                    <w:t>（</w:t>
                  </w:r>
                  <w:r>
                    <w:rPr>
                      <w:sz w:val="21"/>
                    </w:rPr>
                    <w:t>2）年度维保报告书 ：按医院“三甲”要求，每维保年度结束后一个月内提交该设备的“年度维保报告书”（一式两份、加盖公章），内容包括：年度内维修记录，保养记录，维修保养发现问题的分析、工作方法改进和安排，下一年度的维保工作计划（按持续质量改进（PDCA）制定）等。</w:t>
                  </w:r>
                </w:p>
              </w:tc>
            </w:tr>
            <w:tr>
              <w:tc>
                <w:tcPr>
                  <w:tcW w:type="dxa" w:w="54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35"/>
                  <w:tcBorders>
                    <w:top w:val="none" w:color="000000" w:sz="4"/>
                    <w:left w:val="none" w:color="000000" w:sz="4"/>
                    <w:bottom w:val="single" w:color="000000" w:sz="4"/>
                    <w:right w:val="single" w:color="000000" w:sz="4"/>
                  </w:tcBorders>
                  <w:vAlign w:val="top"/>
                </w:tcPr>
                <w:p>
                  <w:pPr>
                    <w:jc w:val="left"/>
                  </w:pPr>
                  <w:r>
                    <w:rPr>
                      <w:sz w:val="21"/>
                    </w:rPr>
                    <w:t>远程数字化服务</w:t>
                  </w:r>
                </w:p>
              </w:tc>
              <w:tc>
                <w:tcPr>
                  <w:tcW w:type="dxa" w:w="3808"/>
                  <w:tcBorders>
                    <w:top w:val="none" w:color="000000" w:sz="4"/>
                    <w:left w:val="none" w:color="000000" w:sz="4"/>
                    <w:bottom w:val="single" w:color="000000" w:sz="4"/>
                    <w:right w:val="single" w:color="000000" w:sz="4"/>
                  </w:tcBorders>
                  <w:vAlign w:val="top"/>
                </w:tcPr>
                <w:p>
                  <w:pPr>
                    <w:jc w:val="both"/>
                  </w:pPr>
                  <w:r>
                    <w:rPr>
                      <w:sz w:val="21"/>
                    </w:rPr>
                    <w:t>▲</w:t>
                  </w:r>
                  <w:r>
                    <w:rPr>
                      <w:sz w:val="21"/>
                    </w:rPr>
                    <w:t>5.1  提供原厂的 InSiteTM 数字化远程故障筛排系统，提前预知设备整机及主要零部件的问题，确保设备最高开机率。</w:t>
                  </w:r>
                </w:p>
                <w:p>
                  <w:pPr>
                    <w:jc w:val="both"/>
                  </w:pPr>
                  <w:r>
                    <w:rPr>
                      <w:sz w:val="21"/>
                    </w:rPr>
                    <w:t>▲</w:t>
                  </w:r>
                  <w:r>
                    <w:rPr>
                      <w:sz w:val="21"/>
                    </w:rPr>
                    <w:t>5.2  提供基于宽带接入的、可动态远程监测标的设备温湿度实时曲线的软件及硬件,具备对标的设备的电气环境进行24小时实时监测能力。</w:t>
                  </w:r>
                </w:p>
                <w:p>
                  <w:pPr>
                    <w:jc w:val="both"/>
                  </w:pPr>
                  <w:r>
                    <w:rPr>
                      <w:sz w:val="21"/>
                    </w:rPr>
                    <w:t>▲</w:t>
                  </w:r>
                  <w:r>
                    <w:rPr>
                      <w:sz w:val="21"/>
                    </w:rPr>
                    <w:t>5.3  通过远程系统24小时不间断监测设备运行健康状况（液氦、制冷、温湿度、数据库系统、梯度、射频等核心信息），提供自动预警、主动预防型保障和维修方案。</w:t>
                  </w:r>
                </w:p>
                <w:p>
                  <w:pPr>
                    <w:jc w:val="both"/>
                  </w:pPr>
                  <w:r>
                    <w:rPr>
                      <w:sz w:val="21"/>
                    </w:rPr>
                    <w:t>▲</w:t>
                  </w:r>
                  <w:r>
                    <w:rPr>
                      <w:sz w:val="21"/>
                    </w:rPr>
                    <w:t>5.4  具备以远程的形式，提供临床扫描、图像处理和相应</w:t>
                  </w:r>
                </w:p>
                <w:p>
                  <w:pPr>
                    <w:jc w:val="both"/>
                  </w:pPr>
                  <w:r>
                    <w:rPr>
                      <w:sz w:val="21"/>
                    </w:rPr>
                    <w:t>业务拓展的专业支持。</w:t>
                  </w:r>
                </w:p>
                <w:p>
                  <w:pPr>
                    <w:jc w:val="both"/>
                  </w:pPr>
                  <w:r>
                    <w:rPr>
                      <w:sz w:val="21"/>
                    </w:rPr>
                    <w:t>▲</w:t>
                  </w:r>
                  <w:r>
                    <w:rPr>
                      <w:sz w:val="21"/>
                    </w:rPr>
                    <w:t>5.5  每年提供3次远程预防性保养。</w:t>
                  </w:r>
                </w:p>
              </w:tc>
            </w:tr>
          </w:tbl>
          <w:p>
            <w:r>
              <w:rPr/>
              <w:t xml:space="preserve"> </w:t>
            </w:r>
          </w:p>
          <w:p>
            <w:r>
              <w:rPr/>
              <w:t xml:space="preserve"> </w:t>
            </w:r>
          </w:p>
        </w:tc>
      </w:tr>
      <w:tr>
        <w:tc>
          <w:tcPr>
            <w:tcW w:type="dxa" w:w="2076"/>
          </w:tcPr>
          <w:p/>
        </w:tc>
        <w:tc>
          <w:tcPr>
            <w:tcW w:type="dxa" w:w="415"/>
          </w:tcPr>
          <w:p>
            <w:r>
              <w:rPr/>
              <w:t>2</w:t>
            </w:r>
          </w:p>
        </w:tc>
        <w:tc>
          <w:tcPr>
            <w:tcW w:type="dxa" w:w="5814"/>
          </w:tcPr>
          <w:p>
            <w:r>
              <w:rPr>
                <w:b/>
              </w:rPr>
              <w:t>二、投标报价要求</w:t>
            </w:r>
            <w:r>
              <w:br/>
            </w:r>
            <w:r>
              <w:rPr/>
              <w:t>（一）投标报价为含税价。</w:t>
            </w:r>
            <w:r>
              <w:br/>
            </w:r>
            <w:r>
              <w:rPr/>
              <w:t>（二）中标人须开具与投标文件中投标单位名称一致的发票。</w:t>
            </w:r>
            <w:r>
              <w:br/>
            </w:r>
            <w:r>
              <w:rPr/>
              <w:t>（三）缺项、漏项的报价为无效报价。</w:t>
            </w:r>
          </w:p>
        </w:tc>
      </w:tr>
      <w:tr>
        <w:tc>
          <w:tcPr>
            <w:tcW w:type="dxa" w:w="2076"/>
          </w:tcPr>
          <w:p/>
        </w:tc>
        <w:tc>
          <w:tcPr>
            <w:tcW w:type="dxa" w:w="415"/>
          </w:tcPr>
          <w:p>
            <w:r>
              <w:rPr/>
              <w:t>3</w:t>
            </w:r>
          </w:p>
        </w:tc>
        <w:tc>
          <w:tcPr>
            <w:tcW w:type="dxa" w:w="5814"/>
          </w:tcPr>
          <w:p>
            <w:r>
              <w:rPr>
                <w:b/>
              </w:rPr>
              <w:t>三、技术文件</w:t>
            </w:r>
            <w:r>
              <w:br/>
            </w:r>
            <w:r>
              <w:rPr/>
              <w:t>投标人应提供包括但不限于所供应产品的使用和维护的技术文件。</w:t>
            </w:r>
          </w:p>
        </w:tc>
      </w:tr>
      <w:tr>
        <w:tc>
          <w:tcPr>
            <w:tcW w:type="dxa" w:w="2076"/>
          </w:tcPr>
          <w:p/>
        </w:tc>
        <w:tc>
          <w:tcPr>
            <w:tcW w:type="dxa" w:w="415"/>
          </w:tcPr>
          <w:p>
            <w:r>
              <w:rPr/>
              <w:t>4</w:t>
            </w:r>
          </w:p>
        </w:tc>
        <w:tc>
          <w:tcPr>
            <w:tcW w:type="dxa" w:w="5814"/>
          </w:tcPr>
          <w:p>
            <w:r>
              <w:rPr>
                <w:b/>
              </w:rPr>
              <w:t>四、采购人配合条件</w:t>
            </w:r>
            <w:r>
              <w:br/>
            </w:r>
            <w:r>
              <w:rPr/>
              <w:t>投标人在投标文件中可列明在项目实施过程中需采购人提供的配合条件。所列配合条件采购人将尽量配合解决，但不代表采购人全部接受，采购人有权全部或部分拒绝投标人提出的配合条件。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中山市小榄人民医院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0760-88811601、88808187</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小榄人民医院1.5TMRI整机维保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采购包1（中山市小榄人民医院1.5TMRI整机维保采购项目）：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采购包1（中山市小榄人民医院1.5TMRI整机维保采购项目）：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采购包1（中山市小榄人民医院1.5TMRI整机维保采购项目）：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采购包1(中山市小榄人民医院1.5TMRI整机维保采购项目):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技术部分54.0分</w:t>
            </w:r>
          </w:p>
          <w:p>
            <w:r>
              <w:rPr/>
              <w:t>报价得分20.0分</w:t>
            </w:r>
          </w:p>
        </w:tc>
      </w:tr>
      <w:tr>
        <w:tc>
          <w:tcPr>
            <w:tcW w:type="dxa" w:w="922"/>
            <w:gridSpan w:val="2"/>
            <w:vMerge w:val="restart"/>
          </w:tcPr>
          <w:p>
            <w:pPr>
              <w:jc w:val="center"/>
            </w:pPr>
            <w:r>
              <w:rPr/>
              <w:t>技术部分</w:t>
            </w:r>
          </w:p>
        </w:tc>
        <w:tc>
          <w:tcPr>
            <w:tcW w:type="dxa" w:w="2307"/>
          </w:tcPr>
          <w:p>
            <w:pPr>
              <w:jc w:val="left"/>
            </w:pPr>
            <w:r>
              <w:rPr/>
              <w:t>技术条款响应程度 (20.0分)</w:t>
            </w:r>
          </w:p>
        </w:tc>
        <w:tc>
          <w:tcPr>
            <w:tcW w:type="dxa" w:w="5076"/>
          </w:tcPr>
          <w:p>
            <w:pPr>
              <w:jc w:val="left"/>
            </w:pPr>
            <w:r>
              <w:rPr/>
              <w:t>考查投标人对招标文件“采购需求”中技术条款响应程度：完全响应得20分；“▲”号指标条款每负偏离一项扣4分，正偏离不加分。最低得0分。</w:t>
            </w:r>
          </w:p>
        </w:tc>
      </w:tr>
      <w:tr>
        <w:tc>
          <w:tcPr>
            <w:tcW w:type="dxa" w:w="922"/>
            <w:gridSpan w:val="2"/>
            <w:vMerge/>
          </w:tcPr>
          <w:p/>
        </w:tc>
        <w:tc>
          <w:tcPr>
            <w:tcW w:type="dxa" w:w="2307"/>
          </w:tcPr>
          <w:p>
            <w:pPr>
              <w:jc w:val="left"/>
            </w:pPr>
            <w:r>
              <w:rPr/>
              <w:t>整体服务方案 (15.0分)</w:t>
            </w:r>
            <w:r>
              <w:rPr/>
              <w:t>，（等次分值选择：</w:t>
            </w:r>
            <w:r>
              <w:rPr/>
              <w:t>0.0;</w:t>
            </w:r>
            <w:r>
              <w:rPr/>
              <w:t>5.0;</w:t>
            </w:r>
            <w:r>
              <w:rPr/>
              <w:t>10.0;</w:t>
            </w:r>
            <w:r>
              <w:rPr/>
              <w:t>15.0;</w:t>
            </w:r>
            <w:r>
              <w:rPr/>
              <w:t>）</w:t>
            </w:r>
          </w:p>
        </w:tc>
        <w:tc>
          <w:tcPr>
            <w:tcW w:type="dxa" w:w="5076"/>
          </w:tcPr>
          <w:p>
            <w:pPr>
              <w:jc w:val="left"/>
            </w:pPr>
            <w:r>
              <w:rPr/>
              <w:t>（1）服务方案流程清晰、具体、合理，对本次需维保设备的结构完全熟悉，完全符合本次招标期限内的维保服务要求，得15分。 （2）服务方案流程比较清晰、具体、合理，对本次需维保设备的结构比较熟悉，基本符合本次招标期限内的维保服务要求，得10分。 （3）服务方案流程模糊、不具体，对本次需维保设备的结构不够熟悉，基本达到本次招标期限内的维保服务要求，得5分。 （4）没有提供服务方案的，得0分。</w:t>
            </w:r>
          </w:p>
        </w:tc>
      </w:tr>
      <w:tr>
        <w:tc>
          <w:tcPr>
            <w:tcW w:type="dxa" w:w="922"/>
            <w:gridSpan w:val="2"/>
            <w:vMerge/>
          </w:tcPr>
          <w:p/>
        </w:tc>
        <w:tc>
          <w:tcPr>
            <w:tcW w:type="dxa" w:w="2307"/>
          </w:tcPr>
          <w:p>
            <w:pPr>
              <w:jc w:val="left"/>
            </w:pPr>
            <w:r>
              <w:rPr/>
              <w:t>投标人具有所需更换备件的情况 (9.0分)</w:t>
            </w:r>
          </w:p>
        </w:tc>
        <w:tc>
          <w:tcPr>
            <w:tcW w:type="dxa" w:w="5076"/>
          </w:tcPr>
          <w:p>
            <w:pPr>
              <w:jc w:val="left"/>
            </w:pPr>
            <w:r>
              <w:rPr/>
              <w:t>投标人在国内具有专门存放零备件的仓库，得9分，没有不得分。 注：需同时提供仓储照片、仓库房产权证或租赁合同等相关证明文件加盖章投标人公章，否则不得分。</w:t>
            </w:r>
          </w:p>
        </w:tc>
      </w:tr>
      <w:tr>
        <w:tc>
          <w:tcPr>
            <w:tcW w:type="dxa" w:w="922"/>
            <w:gridSpan w:val="2"/>
            <w:vMerge/>
          </w:tcPr>
          <w:p/>
        </w:tc>
        <w:tc>
          <w:tcPr>
            <w:tcW w:type="dxa" w:w="2307"/>
          </w:tcPr>
          <w:p>
            <w:pPr>
              <w:jc w:val="left"/>
            </w:pPr>
            <w:r>
              <w:rPr/>
              <w:t>安全保障措施及应急方案 (10.0分)</w:t>
            </w:r>
            <w:r>
              <w:rPr/>
              <w:t>，（等次分值选择：</w:t>
            </w:r>
            <w:r>
              <w:rPr/>
              <w:t>0.0;</w:t>
            </w:r>
            <w:r>
              <w:rPr/>
              <w:t>2.0;</w:t>
            </w:r>
            <w:r>
              <w:rPr/>
              <w:t>6.0;</w:t>
            </w:r>
            <w:r>
              <w:rPr/>
              <w:t>10.0;</w:t>
            </w:r>
            <w:r>
              <w:rPr/>
              <w:t>）</w:t>
            </w:r>
          </w:p>
        </w:tc>
        <w:tc>
          <w:tcPr>
            <w:tcW w:type="dxa" w:w="5076"/>
          </w:tcPr>
          <w:p>
            <w:pPr>
              <w:jc w:val="left"/>
            </w:pPr>
            <w:r>
              <w:rPr/>
              <w:t>（1）针对本项目的安全保障提出合理、可行的方案，突发事件的处理措施和应急预案详细，得10分； （2）针对本项目的安全保障及突发事件的处理措施和应急预案基本满足要求，得6分； （3）针对本项目的安全保障及突发事件的处理措施和应急预案较差，得2分。 （4）没有提供安全保证措施及应急方案的，得0分。</w:t>
            </w:r>
          </w:p>
        </w:tc>
      </w:tr>
      <w:tr>
        <w:tc>
          <w:tcPr>
            <w:tcW w:type="dxa" w:w="922"/>
            <w:gridSpan w:val="2"/>
            <w:vMerge w:val="restart"/>
          </w:tcPr>
          <w:p>
            <w:pPr>
              <w:jc w:val="center"/>
            </w:pPr>
            <w:r>
              <w:rPr/>
              <w:t>商务部分</w:t>
            </w:r>
          </w:p>
        </w:tc>
        <w:tc>
          <w:tcPr>
            <w:tcW w:type="dxa" w:w="2307"/>
          </w:tcPr>
          <w:p>
            <w:pPr>
              <w:jc w:val="left"/>
            </w:pPr>
            <w:r>
              <w:rPr/>
              <w:t>商务响应程度 (6.0分)</w:t>
            </w:r>
          </w:p>
        </w:tc>
        <w:tc>
          <w:tcPr>
            <w:tcW w:type="dxa" w:w="5076"/>
          </w:tcPr>
          <w:p>
            <w:pPr>
              <w:jc w:val="left"/>
            </w:pPr>
            <w:r>
              <w:rPr/>
              <w:t>考查投标人对招标文件《主要商务要求》各条款的响应程度，完全响应得6分；“▲”号指标条款每负偏离一项扣2分，非“▲”号指标条款每负偏离一项扣1分；正偏离不加分。最低得0分。</w:t>
            </w:r>
          </w:p>
        </w:tc>
      </w:tr>
      <w:tr>
        <w:tc>
          <w:tcPr>
            <w:tcW w:type="dxa" w:w="922"/>
            <w:gridSpan w:val="2"/>
            <w:vMerge/>
          </w:tcPr>
          <w:p/>
        </w:tc>
        <w:tc>
          <w:tcPr>
            <w:tcW w:type="dxa" w:w="2307"/>
          </w:tcPr>
          <w:p>
            <w:pPr>
              <w:jc w:val="left"/>
            </w:pPr>
            <w:r>
              <w:rPr/>
              <w:t>同类项目经验 (8.0分)</w:t>
            </w:r>
          </w:p>
        </w:tc>
        <w:tc>
          <w:tcPr>
            <w:tcW w:type="dxa" w:w="5076"/>
          </w:tcPr>
          <w:p>
            <w:pPr>
              <w:jc w:val="left"/>
            </w:pPr>
            <w:r>
              <w:rPr/>
              <w:t>2019年至今投标人承接的同类项目业绩，每提供一个项目业绩得2分，最多得8分。 （注：投标文件需提供合同/协议书复印件并加盖公章，业绩时间以合同签订时间为准，未提供不得分。）</w:t>
            </w:r>
          </w:p>
        </w:tc>
      </w:tr>
      <w:tr>
        <w:tc>
          <w:tcPr>
            <w:tcW w:type="dxa" w:w="922"/>
            <w:gridSpan w:val="2"/>
            <w:vMerge/>
          </w:tcPr>
          <w:p/>
        </w:tc>
        <w:tc>
          <w:tcPr>
            <w:tcW w:type="dxa" w:w="2307"/>
          </w:tcPr>
          <w:p>
            <w:pPr>
              <w:jc w:val="left"/>
            </w:pPr>
            <w:r>
              <w:rPr/>
              <w:t>项目团队实力 (6.0分)</w:t>
            </w:r>
          </w:p>
        </w:tc>
        <w:tc>
          <w:tcPr>
            <w:tcW w:type="dxa" w:w="5076"/>
          </w:tcPr>
          <w:p>
            <w:pPr>
              <w:jc w:val="left"/>
            </w:pPr>
            <w:r>
              <w:rPr/>
              <w:t>投标人拟派的全职技术工程师具备本次维保设备原厂颁发的有效期内技术培训认证资格证明，每提供1人得1分，最多得6分。 注：（1）投标文件中提供上述人员有效期内的工程师培训证书复印件并加盖投标人公章，否则不得分； （2）关于人员用工形式的证明（投标人满足以下任意一项即可，未按要求提供的不得分）： a）提供投标人为其购买的至投标截止时间为止近3个月内任意1个月的社保证明复印件（代缴个税税单或参加社会保险的《投保单》或《社会保险参保人员证明》等证明均可）； b）如果投标人成立时间或该人员入职不足3个月，则提供人员入职证明及入职时间至今的社保证明复印件； c）如果投标人上述人员为其他用工形式，则投标人需提供该人员用工关系的证明资料且人员用工关系证明中须列明该人员的用工期限，用工期限应涵盖本项目服务时间。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客户服务评价 (6.0分)</w:t>
            </w:r>
          </w:p>
        </w:tc>
        <w:tc>
          <w:tcPr>
            <w:tcW w:type="dxa" w:w="5076"/>
          </w:tcPr>
          <w:p>
            <w:pPr>
              <w:jc w:val="left"/>
            </w:pPr>
            <w:r>
              <w:rPr/>
              <w:t>投标人承接过同类项目，提供合同/协议书及对应客户评价书作为证明文件，每提供一份“优”或以上或同等性质评价的客户评价书得1.5分，提供一份“良”或同等性质评价的客户评价书得0.5分，其余情况不得分，本项最高得6分。 （注：投标文件需提供合同/协议书及对应客户评价书的复印件并加盖投标人公章，否则不得分。）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4"/>
        </w:rPr>
        <w:t>中山市小榄人民医院</w:t>
      </w:r>
      <w:r>
        <w:rPr>
          <w:b/>
          <w:sz w:val="44"/>
        </w:rPr>
        <w:t>1.5TMRI</w:t>
      </w:r>
      <w:r>
        <w:rPr>
          <w:b/>
          <w:sz w:val="44"/>
        </w:rPr>
        <w:t>整机维保采购项目</w:t>
      </w:r>
    </w:p>
    <w:p>
      <w:pPr>
        <w:jc w:val="both"/>
      </w:pPr>
      <w:r>
        <w:rPr>
          <w:sz w:val="21"/>
        </w:rPr>
        <w:t xml:space="preserve"> </w:t>
      </w:r>
    </w:p>
    <w:p>
      <w:pPr>
        <w:jc w:val="center"/>
      </w:pPr>
      <w:r>
        <w:rPr>
          <w:b/>
          <w:sz w:val="21"/>
        </w:rPr>
        <w:t>合　同　书</w:t>
      </w:r>
    </w:p>
    <w:p>
      <w:pPr>
        <w:jc w:val="center"/>
      </w:pPr>
      <w:r>
        <w:br/>
      </w:r>
      <w:r>
        <w:br/>
      </w:r>
      <w:r>
        <w:br/>
      </w:r>
      <w:r>
        <w:br/>
      </w:r>
      <w:r>
        <w:br/>
      </w:r>
      <w:r>
        <w:br/>
      </w:r>
      <w:r>
        <w:br/>
      </w:r>
      <w:r>
        <w:br/>
      </w:r>
      <w:r>
        <w:rPr>
          <w:sz w:val="21"/>
        </w:rPr>
        <w:t xml:space="preserve"> </w:t>
      </w:r>
    </w:p>
    <w:p>
      <w:pPr>
        <w:jc w:val="center"/>
      </w:pPr>
      <w:r>
        <w:rPr>
          <w:sz w:val="28"/>
        </w:rPr>
        <w:t>采购计划编号：</w:t>
      </w:r>
      <w:r>
        <w:rPr>
          <w:sz w:val="21"/>
          <w:u w:val="single"/>
        </w:rPr>
        <w:t xml:space="preserve">                          </w:t>
      </w:r>
    </w:p>
    <w:p>
      <w:pPr>
        <w:jc w:val="both"/>
      </w:pPr>
      <w:r>
        <w:rPr>
          <w:sz w:val="21"/>
        </w:rPr>
        <w:t xml:space="preserve"> </w:t>
      </w:r>
    </w:p>
    <w:p>
      <w:pPr>
        <w:jc w:val="center"/>
      </w:pPr>
      <w:r>
        <w:rPr>
          <w:sz w:val="28"/>
        </w:rPr>
        <w:t>项目编号：</w:t>
      </w:r>
      <w:r>
        <w:rPr>
          <w:sz w:val="21"/>
          <w:u w:val="single"/>
        </w:rPr>
        <w:t xml:space="preserve">                              </w:t>
      </w:r>
    </w:p>
    <w:p>
      <w:pPr>
        <w:jc w:val="both"/>
      </w:pPr>
      <w:r>
        <w:rPr>
          <w:sz w:val="21"/>
        </w:rPr>
        <w:t xml:space="preserve"> </w:t>
      </w:r>
    </w:p>
    <w:p>
      <w:pPr>
        <w:jc w:val="center"/>
      </w:pPr>
      <w:r>
        <w:rPr>
          <w:sz w:val="28"/>
        </w:rPr>
        <w:t>项目名称：</w:t>
      </w:r>
      <w:r>
        <w:rPr>
          <w:sz w:val="21"/>
          <w:u w:val="single"/>
        </w:rPr>
        <w:t xml:space="preserve">                             </w:t>
      </w:r>
    </w:p>
    <w:p>
      <w:pPr>
        <w:jc w:val="both"/>
      </w:pPr>
      <w:r>
        <w:rPr>
          <w:sz w:val="21"/>
        </w:rPr>
        <w:t xml:space="preserve"> </w:t>
      </w:r>
    </w:p>
    <w:p>
      <w:pPr>
        <w:jc w:val="both"/>
      </w:pPr>
      <w:r>
        <w:rPr>
          <w:sz w:val="21"/>
        </w:rPr>
        <w:t xml:space="preserve"> </w:t>
      </w:r>
    </w:p>
    <w:p>
      <w:pPr>
        <w:jc w:val="both"/>
      </w:pPr>
      <w:r>
        <w:rPr>
          <w:sz w:val="21"/>
        </w:rPr>
        <w:t xml:space="preserve"> </w:t>
      </w:r>
      <w:r>
        <w:rPr>
          <w:b/>
          <w:sz w:val="21"/>
        </w:rPr>
        <w:t>(</w:t>
      </w:r>
      <w:r>
        <w:rPr>
          <w:b/>
          <w:sz w:val="21"/>
        </w:rPr>
        <w:t>注： 此合同为参考合同，以本招标文件的《用户需求书》 的要求为基础，根据招标文件和中标人投标文件承诺签订合同，以采购人与中标人签订的合同为准，采购人有权在签订合同时对合同的相关条款及内容作进一步的细化和修改。所签订的合同不得对招标文件确定的事项和中标人投标文件作实质性修改。</w:t>
      </w:r>
      <w:r>
        <w:rPr>
          <w:b/>
          <w:sz w:val="21"/>
        </w:rPr>
        <w:t>)</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r>
        <w:rPr>
          <w:b/>
          <w:sz w:val="21"/>
        </w:rPr>
        <w:t>甲方：</w:t>
      </w:r>
      <w:r>
        <w:rPr>
          <w:sz w:val="21"/>
          <w:u w:val="single"/>
        </w:rPr>
        <w:t xml:space="preserve"> </w:t>
      </w:r>
    </w:p>
    <w:p>
      <w:pPr>
        <w:jc w:val="both"/>
      </w:pPr>
      <w:r>
        <w:rPr>
          <w:sz w:val="27"/>
        </w:rPr>
        <w:t>电话：</w:t>
      </w:r>
      <w:r>
        <w:rPr>
          <w:sz w:val="21"/>
          <w:u w:val="single"/>
        </w:rPr>
        <w:t xml:space="preserve"> </w:t>
      </w:r>
      <w:r>
        <w:rPr>
          <w:sz w:val="27"/>
        </w:rPr>
        <w:t>传真</w:t>
      </w:r>
      <w:r>
        <w:rPr>
          <w:sz w:val="27"/>
        </w:rPr>
        <w:t>：</w:t>
      </w:r>
      <w:r>
        <w:rPr>
          <w:sz w:val="21"/>
          <w:u w:val="single"/>
        </w:rPr>
        <w:t xml:space="preserve"> </w:t>
      </w:r>
      <w:r>
        <w:rPr>
          <w:sz w:val="27"/>
        </w:rPr>
        <w:t>地址：</w:t>
      </w:r>
      <w:r>
        <w:rPr>
          <w:sz w:val="21"/>
          <w:u w:val="single"/>
        </w:rPr>
        <w:t xml:space="preserve">  </w:t>
      </w:r>
    </w:p>
    <w:p>
      <w:pPr>
        <w:jc w:val="both"/>
      </w:pPr>
      <w:r>
        <w:rPr>
          <w:b/>
          <w:sz w:val="21"/>
        </w:rPr>
        <w:t>乙方：</w:t>
      </w:r>
      <w:r>
        <w:rPr>
          <w:sz w:val="21"/>
          <w:u w:val="single"/>
        </w:rPr>
        <w:t xml:space="preserve"> </w:t>
      </w:r>
    </w:p>
    <w:p>
      <w:pPr>
        <w:jc w:val="both"/>
      </w:pPr>
      <w:r>
        <w:rPr>
          <w:sz w:val="27"/>
        </w:rPr>
        <w:t>电话：</w:t>
      </w:r>
      <w:r>
        <w:rPr>
          <w:sz w:val="21"/>
          <w:u w:val="single"/>
        </w:rPr>
        <w:t xml:space="preserve">  </w:t>
      </w:r>
      <w:r>
        <w:rPr>
          <w:sz w:val="27"/>
        </w:rPr>
        <w:t>传真：</w:t>
      </w:r>
      <w:r>
        <w:rPr>
          <w:sz w:val="21"/>
          <w:u w:val="single"/>
        </w:rPr>
        <w:t xml:space="preserve">  </w:t>
      </w:r>
      <w:r>
        <w:rPr>
          <w:sz w:val="27"/>
        </w:rPr>
        <w:t>地址：</w:t>
      </w:r>
      <w:r>
        <w:rPr>
          <w:sz w:val="21"/>
          <w:u w:val="single"/>
        </w:rPr>
        <w:t xml:space="preserve">  </w:t>
      </w:r>
    </w:p>
    <w:p>
      <w:pPr>
        <w:jc w:val="both"/>
      </w:pPr>
      <w:r>
        <w:rPr>
          <w:sz w:val="21"/>
        </w:rPr>
        <w:t xml:space="preserve"> </w:t>
      </w:r>
    </w:p>
    <w:p>
      <w:pPr>
        <w:jc w:val="both"/>
      </w:pPr>
      <w:r>
        <w:rPr>
          <w:sz w:val="27"/>
        </w:rPr>
        <w:t xml:space="preserve">  </w:t>
      </w:r>
      <w:r>
        <w:rPr>
          <w:sz w:val="27"/>
        </w:rPr>
        <w:t>根据</w:t>
      </w:r>
      <w:r>
        <w:rPr>
          <w:sz w:val="21"/>
          <w:u w:val="single"/>
        </w:rPr>
        <w:t xml:space="preserve">         </w:t>
      </w:r>
      <w:r>
        <w:rPr>
          <w:sz w:val="21"/>
          <w:u w:val="single"/>
        </w:rPr>
        <w:t>项目</w:t>
      </w:r>
      <w:r>
        <w:rPr>
          <w:sz w:val="27"/>
        </w:rPr>
        <w:t>的采购结果，按照《中华人民共和国政府采购法》，《中华人民共和国民法典</w:t>
      </w:r>
      <w:r>
        <w:rPr>
          <w:sz w:val="27"/>
        </w:rPr>
        <w:t>(</w:t>
      </w:r>
      <w:r>
        <w:rPr>
          <w:sz w:val="27"/>
        </w:rPr>
        <w:t>合同编</w:t>
      </w:r>
      <w:r>
        <w:rPr>
          <w:sz w:val="27"/>
        </w:rPr>
        <w:t>)</w:t>
      </w:r>
      <w:r>
        <w:rPr>
          <w:sz w:val="27"/>
        </w:rPr>
        <w:t>》的规定，经双方协商，本着平等互利和诚实信用的原则，一致同意遵守本合同如下。</w:t>
      </w:r>
    </w:p>
    <w:p>
      <w:pPr>
        <w:jc w:val="both"/>
      </w:pPr>
      <w:r>
        <w:rPr>
          <w:b/>
          <w:sz w:val="21"/>
        </w:rPr>
        <w:t>一、合同金额</w:t>
      </w:r>
    </w:p>
    <w:p>
      <w:pPr>
        <w:jc w:val="both"/>
      </w:pPr>
      <w:r>
        <w:rPr>
          <w:sz w:val="27"/>
        </w:rPr>
        <w:t>　　合同金额为（大写）：</w:t>
      </w:r>
      <w:r>
        <w:rPr>
          <w:sz w:val="27"/>
        </w:rPr>
        <w:t>_____________</w:t>
      </w:r>
      <w:r>
        <w:rPr>
          <w:sz w:val="27"/>
        </w:rPr>
        <w:t>元（￥</w:t>
      </w:r>
      <w:r>
        <w:rPr>
          <w:sz w:val="27"/>
        </w:rPr>
        <w:t>_________</w:t>
      </w:r>
      <w:r>
        <w:rPr>
          <w:sz w:val="27"/>
        </w:rPr>
        <w:t>元）人民币。</w:t>
      </w:r>
    </w:p>
    <w:p>
      <w:pPr>
        <w:jc w:val="both"/>
      </w:pPr>
      <w:r>
        <w:rPr>
          <w:b/>
          <w:sz w:val="21"/>
        </w:rPr>
        <w:t>二、服务范围</w:t>
      </w:r>
    </w:p>
    <w:p>
      <w:pPr>
        <w:jc w:val="both"/>
      </w:pPr>
      <w:r>
        <w:rPr>
          <w:sz w:val="27"/>
        </w:rPr>
        <w:t>　　甲方聘请乙方提供以下服务：</w:t>
      </w:r>
    </w:p>
    <w:p>
      <w:pPr>
        <w:jc w:val="both"/>
      </w:pPr>
      <w:r>
        <w:rPr>
          <w:sz w:val="27"/>
        </w:rPr>
        <w:t>1</w:t>
      </w:r>
      <w:r>
        <w:rPr>
          <w:sz w:val="27"/>
        </w:rPr>
        <w:t>．</w:t>
      </w:r>
    </w:p>
    <w:p>
      <w:pPr>
        <w:jc w:val="both"/>
      </w:pPr>
      <w:r>
        <w:rPr>
          <w:sz w:val="27"/>
        </w:rPr>
        <w:t>2</w:t>
      </w:r>
      <w:r>
        <w:rPr>
          <w:sz w:val="27"/>
        </w:rPr>
        <w:t>．</w:t>
      </w:r>
    </w:p>
    <w:p>
      <w:pPr>
        <w:jc w:val="both"/>
      </w:pPr>
      <w:r>
        <w:rPr>
          <w:sz w:val="27"/>
        </w:rPr>
        <w:t>……</w:t>
      </w:r>
    </w:p>
    <w:p>
      <w:pPr>
        <w:jc w:val="both"/>
      </w:pPr>
      <w:r>
        <w:rPr>
          <w:b/>
          <w:sz w:val="21"/>
        </w:rPr>
        <w:t>三、甲方乙方的权利和义务</w:t>
      </w:r>
    </w:p>
    <w:p>
      <w:pPr>
        <w:jc w:val="both"/>
      </w:pPr>
      <w:r>
        <w:rPr>
          <w:sz w:val="27"/>
        </w:rPr>
        <w:t>1.</w:t>
      </w:r>
      <w:r>
        <w:rPr>
          <w:sz w:val="27"/>
        </w:rPr>
        <w:t>甲方的权利和义务</w:t>
      </w:r>
    </w:p>
    <w:p>
      <w:pPr>
        <w:jc w:val="both"/>
      </w:pPr>
      <w:r>
        <w:rPr>
          <w:sz w:val="27"/>
        </w:rPr>
        <w:t>2.</w:t>
      </w:r>
      <w:r>
        <w:rPr>
          <w:sz w:val="27"/>
        </w:rPr>
        <w:t>乙方的权利和义务</w:t>
      </w:r>
    </w:p>
    <w:p>
      <w:pPr>
        <w:jc w:val="both"/>
      </w:pPr>
      <w:r>
        <w:rPr>
          <w:b/>
          <w:sz w:val="21"/>
        </w:rPr>
        <w:t>四、服务期间（项目完成期限）</w:t>
      </w:r>
    </w:p>
    <w:p>
      <w:pPr>
        <w:jc w:val="both"/>
      </w:pPr>
      <w:r>
        <w:rPr>
          <w:sz w:val="27"/>
        </w:rPr>
        <w:t>1.</w:t>
      </w:r>
      <w:r>
        <w:rPr>
          <w:sz w:val="27"/>
        </w:rPr>
        <w:t>委托服务期间自</w:t>
      </w:r>
      <w:r>
        <w:rPr>
          <w:sz w:val="27"/>
        </w:rPr>
        <w:t>______</w:t>
      </w:r>
      <w:r>
        <w:rPr>
          <w:sz w:val="27"/>
        </w:rPr>
        <w:t>年</w:t>
      </w:r>
      <w:r>
        <w:rPr>
          <w:sz w:val="27"/>
        </w:rPr>
        <w:t>______</w:t>
      </w:r>
      <w:r>
        <w:rPr>
          <w:sz w:val="27"/>
        </w:rPr>
        <w:t>月至</w:t>
      </w:r>
      <w:r>
        <w:rPr>
          <w:sz w:val="27"/>
        </w:rPr>
        <w:t>______</w:t>
      </w:r>
      <w:r>
        <w:rPr>
          <w:sz w:val="27"/>
        </w:rPr>
        <w:t>年</w:t>
      </w:r>
      <w:r>
        <w:rPr>
          <w:sz w:val="27"/>
        </w:rPr>
        <w:t>______</w:t>
      </w:r>
      <w:r>
        <w:rPr>
          <w:sz w:val="27"/>
        </w:rPr>
        <w:t>月止。</w:t>
      </w:r>
    </w:p>
    <w:p>
      <w:pPr>
        <w:jc w:val="both"/>
      </w:pPr>
      <w:r>
        <w:rPr>
          <w:b/>
          <w:sz w:val="21"/>
        </w:rPr>
        <w:t>五、付款方式</w:t>
      </w:r>
    </w:p>
    <w:p>
      <w:pPr>
        <w:jc w:val="both"/>
      </w:pPr>
      <w:r>
        <w:rPr>
          <w:sz w:val="27"/>
        </w:rPr>
        <w:t>1.</w:t>
      </w:r>
      <w:r>
        <w:rPr>
          <w:sz w:val="27"/>
        </w:rPr>
        <w:t>维保服务</w:t>
      </w:r>
      <w:r>
        <w:rPr>
          <w:sz w:val="27"/>
        </w:rPr>
        <w:t>3</w:t>
      </w:r>
      <w:r>
        <w:rPr>
          <w:sz w:val="27"/>
        </w:rPr>
        <w:t>年，采购人按每个季度进行付款。每个季度末，中标人提供一个季度的维</w:t>
      </w:r>
      <w:r>
        <w:rPr>
          <w:sz w:val="27"/>
        </w:rPr>
        <w:t>保</w:t>
      </w:r>
      <w:r>
        <w:rPr>
          <w:sz w:val="27"/>
        </w:rPr>
        <w:t>款项发票</w:t>
      </w:r>
      <w:r>
        <w:rPr>
          <w:sz w:val="27"/>
        </w:rPr>
        <w:t>及季度维保报告</w:t>
      </w:r>
      <w:r>
        <w:rPr>
          <w:sz w:val="27"/>
        </w:rPr>
        <w:t>，采购人收到发票和季度维保报告并审核无误后，采购人支付该笔款项。</w:t>
      </w:r>
    </w:p>
    <w:p>
      <w:pPr>
        <w:jc w:val="both"/>
      </w:pPr>
      <w:r>
        <w:rPr>
          <w:sz w:val="27"/>
        </w:rPr>
        <w:t>2.</w:t>
      </w:r>
      <w:r>
        <w:rPr>
          <w:sz w:val="27"/>
        </w:rPr>
        <w:t>因任何原因所致维保期间设备报废，维保服务终止，按实际维保时间结算费用。</w:t>
      </w:r>
    </w:p>
    <w:p>
      <w:pPr>
        <w:jc w:val="both"/>
      </w:pPr>
      <w:r>
        <w:rPr>
          <w:b/>
          <w:sz w:val="21"/>
        </w:rPr>
        <w:t>六、知识产权归属</w:t>
      </w:r>
    </w:p>
    <w:p>
      <w:pPr>
        <w:jc w:val="both"/>
      </w:pPr>
      <w:r>
        <w:rPr>
          <w:b/>
          <w:sz w:val="21"/>
        </w:rPr>
        <w:t>七、保密</w:t>
      </w:r>
    </w:p>
    <w:p>
      <w:pPr>
        <w:jc w:val="both"/>
      </w:pPr>
      <w:r>
        <w:rPr>
          <w:b/>
          <w:sz w:val="21"/>
        </w:rPr>
        <w:t>八、违约责任与赔偿损失</w:t>
      </w:r>
    </w:p>
    <w:p>
      <w:pPr>
        <w:jc w:val="both"/>
      </w:pPr>
      <w:r>
        <w:rPr>
          <w:sz w:val="27"/>
        </w:rPr>
        <w:t>1.</w:t>
      </w:r>
      <w:r>
        <w:rPr>
          <w:sz w:val="27"/>
        </w:rPr>
        <w:t>合同生效后，合同各方应严格遵守合同的条款，全面履行合同约定的义务，任何一方不得擅自变更或解除合同。甲、乙双方的任何一方不履行合同或履行合同义务不符合约定的条件，即属违约。当一方违约时，违约方应向另一方支付合同价款总额的</w:t>
      </w:r>
      <w:r>
        <w:rPr>
          <w:sz w:val="27"/>
        </w:rPr>
        <w:t>10%</w:t>
      </w:r>
      <w:r>
        <w:rPr>
          <w:sz w:val="27"/>
        </w:rPr>
        <w:t>作为违约金，并且负责赔偿因其违约给另一方造成相应损失，赔偿金额</w:t>
      </w:r>
      <w:r>
        <w:rPr>
          <w:sz w:val="27"/>
        </w:rPr>
        <w:t>按实际损失计算</w:t>
      </w:r>
      <w:r>
        <w:rPr>
          <w:sz w:val="27"/>
        </w:rPr>
        <w:t>。甲、乙双方的任何一方由于法定事由以及不可抗力的原因不能履行合同时，应及</w:t>
      </w:r>
      <w:r>
        <w:rPr>
          <w:sz w:val="27"/>
        </w:rPr>
        <w:t>时</w:t>
      </w:r>
      <w:r>
        <w:rPr>
          <w:sz w:val="27"/>
        </w:rPr>
        <w:t>向对方通报不能履行或不能完全履行的理由，在取得有关主管机关证明后，双方友好协商允许延期履行、部分履行或者不履行合同，并根据法律规定可部分或全部免除其责任。</w:t>
      </w:r>
    </w:p>
    <w:p>
      <w:pPr>
        <w:jc w:val="both"/>
      </w:pPr>
      <w:r>
        <w:rPr>
          <w:b/>
          <w:sz w:val="21"/>
        </w:rPr>
        <w:t>九、争议的解决</w:t>
      </w:r>
    </w:p>
    <w:p>
      <w:pPr>
        <w:ind w:firstLine="400"/>
        <w:jc w:val="both"/>
      </w:pPr>
      <w:r>
        <w:rPr>
          <w:sz w:val="27"/>
        </w:rPr>
        <w:t>合同执行过程中发生的任何争议，如双方不能通过友好协商解决，按相关法律法规处理。</w:t>
      </w:r>
      <w:r>
        <w:rPr>
          <w:sz w:val="27"/>
        </w:rPr>
        <w:t xml:space="preserve">    </w:t>
      </w:r>
    </w:p>
    <w:p>
      <w:pPr>
        <w:jc w:val="both"/>
      </w:pPr>
      <w:r>
        <w:rPr>
          <w:b/>
          <w:sz w:val="21"/>
        </w:rPr>
        <w:t>十、不可抗力</w:t>
      </w:r>
    </w:p>
    <w:p>
      <w:pPr>
        <w:jc w:val="both"/>
      </w:pPr>
      <w:r>
        <w:rPr>
          <w:sz w:val="27"/>
        </w:rPr>
        <w:t>　　任何一方由于不可抗力原因不能履行合同时，应在不可抗力事件结束后</w:t>
      </w:r>
      <w:r>
        <w:rPr>
          <w:sz w:val="27"/>
        </w:rPr>
        <w:t>1</w:t>
      </w:r>
      <w:r>
        <w:rPr>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十一、税费</w:t>
      </w:r>
    </w:p>
    <w:p>
      <w:pPr>
        <w:jc w:val="both"/>
      </w:pPr>
      <w:r>
        <w:rPr>
          <w:sz w:val="27"/>
        </w:rPr>
        <w:t>　　在中国境内、外发生的与本合同执行有关的一切税费均由乙方负担。</w:t>
      </w:r>
    </w:p>
    <w:p>
      <w:pPr>
        <w:jc w:val="both"/>
      </w:pPr>
      <w:r>
        <w:rPr>
          <w:b/>
          <w:sz w:val="21"/>
        </w:rPr>
        <w:t>十二、其它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1"/>
        </w:rPr>
        <w:t>十三、合同生效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1"/>
          <w:u w:val="single"/>
        </w:rPr>
        <w:t xml:space="preserve">   </w:t>
      </w:r>
      <w:r>
        <w:rPr>
          <w:sz w:val="27"/>
        </w:rPr>
        <w:t xml:space="preserve"> </w:t>
      </w:r>
      <w:r>
        <w:rPr>
          <w:sz w:val="27"/>
        </w:rPr>
        <w:t>份。</w:t>
      </w:r>
    </w:p>
    <w:p>
      <w:pPr>
        <w:jc w:val="both"/>
      </w:pPr>
      <w:r>
        <w:rPr>
          <w:sz w:val="21"/>
        </w:rPr>
        <w:t xml:space="preserve"> </w:t>
      </w: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1"/>
        </w:rPr>
        <w:t xml:space="preserve">                                  </w:t>
      </w:r>
      <w:r>
        <w:rPr>
          <w:sz w:val="27"/>
        </w:rPr>
        <w:t>开户名称：</w:t>
      </w:r>
    </w:p>
    <w:p>
      <w:pPr>
        <w:jc w:val="both"/>
      </w:pPr>
      <w:r>
        <w:rPr>
          <w:sz w:val="21"/>
        </w:rPr>
        <w:t xml:space="preserve">                                  </w:t>
      </w:r>
      <w:r>
        <w:rPr>
          <w:sz w:val="27"/>
        </w:rPr>
        <w:t>银行帐号：</w:t>
      </w:r>
    </w:p>
    <w:p>
      <w:pPr>
        <w:jc w:val="both"/>
      </w:pPr>
      <w:r>
        <w:rPr>
          <w:sz w:val="21"/>
        </w:rPr>
        <w:t xml:space="preserve">                                  </w:t>
      </w:r>
      <w:r>
        <w:rPr>
          <w:sz w:val="27"/>
        </w:rPr>
        <w:t>开</w:t>
      </w:r>
      <w:r>
        <w:rPr>
          <w:sz w:val="27"/>
        </w:rPr>
        <w:t>户</w:t>
      </w:r>
      <w:r>
        <w:rPr>
          <w:sz w:val="27"/>
        </w:rPr>
        <w:t>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442000100-2023-00698</w:t>
      </w:r>
    </w:p>
    <w:p>
      <w:pPr>
        <w:jc w:val="center"/>
      </w:pPr>
      <w:r>
        <w:rPr>
          <w:b/>
          <w:sz w:val="24"/>
        </w:rPr>
        <w:t>采购项目编号：</w:t>
      </w:r>
      <w:r>
        <w:rPr>
          <w:b/>
          <w:sz w:val="24"/>
        </w:rPr>
        <w:t>ZZ22311238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中山市小榄人民医院1.5TMRI整机维保采购项目(二次)</w:t>
      </w:r>
      <w:r>
        <w:rPr>
          <w:u w:val="single"/>
        </w:rPr>
        <w:t>”</w:t>
      </w:r>
      <w:r>
        <w:rPr/>
        <w:t>项目的招标[采购项目编号为：</w:t>
      </w:r>
      <w:r>
        <w:rPr>
          <w:u w:val="single"/>
        </w:rPr>
        <w:t>ZZ22311238</w:t>
      </w:r>
      <w:r>
        <w:rPr/>
        <w:t>]，我方愿参与投标。</w:t>
      </w:r>
    </w:p>
    <w:p>
      <w:pPr>
        <w:ind w:firstLine="480"/>
      </w:pPr>
      <w:r>
        <w:rPr/>
        <w:t>我方确认收到贵方提供的</w:t>
      </w:r>
      <w:r>
        <w:rPr>
          <w:u w:val="single"/>
        </w:rPr>
        <w:t>“</w:t>
      </w:r>
      <w:r>
        <w:rPr>
          <w:u w:val="single"/>
        </w:rPr>
        <w:t>中山市小榄人民医院1.5TMRI整机维保采购项目(二次)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中山市小榄人民医院1.5TMRI整机维保采购项目(二次)</w:t>
      </w:r>
      <w:r>
        <w:rPr/>
        <w:t>”项目采购[采购项目编号为</w:t>
      </w:r>
      <w:r>
        <w:rPr/>
        <w:t>ZZ22311238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中山市小榄人民医院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中山市小榄人民医院1.5TMRI整机维保采购项目(二次)</w:t>
      </w:r>
      <w:r>
        <w:rPr/>
        <w:t>招标中获中标（采购项目编号：</w:t>
      </w:r>
      <w:r>
        <w:rPr/>
        <w:t>ZZ22311238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中山市小榄人民医院1.5TMRI整机维保采购项目(二次)</w:t>
      </w:r>
      <w:r>
        <w:rPr/>
        <w:t>”项目（采购项目编号：</w:t>
      </w:r>
      <w:r>
        <w:rPr/>
        <w:t>ZZ22311238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