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小标宋" w:hAnsi="宋体" w:eastAsia="彩虹小标宋"/>
          <w:snapToGrid w:val="0"/>
          <w:kern w:val="0"/>
          <w:sz w:val="36"/>
          <w:szCs w:val="36"/>
        </w:rPr>
      </w:pPr>
      <w:r>
        <w:rPr>
          <w:rFonts w:hint="eastAsia" w:ascii="彩虹小标宋" w:hAnsi="宋体" w:eastAsia="彩虹小标宋"/>
          <w:snapToGrid w:val="0"/>
          <w:kern w:val="0"/>
          <w:sz w:val="44"/>
          <w:szCs w:val="44"/>
        </w:rPr>
        <w:t>202</w:t>
      </w:r>
      <w:r>
        <w:rPr>
          <w:rFonts w:hint="eastAsia" w:ascii="彩虹小标宋" w:hAnsi="宋体" w:eastAsia="彩虹小标宋"/>
          <w:snapToGrid w:val="0"/>
          <w:kern w:val="0"/>
          <w:sz w:val="44"/>
          <w:szCs w:val="44"/>
          <w:lang w:val="en-US" w:eastAsia="zh-CN"/>
        </w:rPr>
        <w:t>7年</w:t>
      </w:r>
      <w:r>
        <w:rPr>
          <w:rFonts w:hint="eastAsia" w:ascii="彩虹小标宋" w:hAnsi="宋体" w:eastAsia="彩虹小标宋"/>
          <w:snapToGrid w:val="0"/>
          <w:kern w:val="0"/>
          <w:sz w:val="44"/>
          <w:szCs w:val="44"/>
        </w:rPr>
        <w:t>备份资源池维保项目采购需求</w:t>
      </w:r>
    </w:p>
    <w:p>
      <w:pPr>
        <w:adjustRightInd w:val="0"/>
        <w:snapToGrid w:val="0"/>
        <w:spacing w:line="560" w:lineRule="exact"/>
        <w:rPr>
          <w:rFonts w:ascii="彩虹粗仿宋" w:hAnsi="宋体" w:eastAsia="彩虹粗仿宋"/>
          <w:sz w:val="32"/>
          <w:szCs w:val="32"/>
        </w:rPr>
      </w:pPr>
    </w:p>
    <w:p>
      <w:pPr>
        <w:pStyle w:val="2"/>
        <w:numPr>
          <w:ilvl w:val="0"/>
          <w:numId w:val="1"/>
        </w:numPr>
        <w:rPr>
          <w:snapToGrid w:val="0"/>
        </w:rPr>
      </w:pPr>
      <w:r>
        <w:rPr>
          <w:rFonts w:hint="eastAsia"/>
          <w:snapToGrid w:val="0"/>
        </w:rPr>
        <w:t>系统背景说明</w:t>
      </w:r>
    </w:p>
    <w:p>
      <w:pPr>
        <w:adjustRightInd w:val="0"/>
        <w:snapToGrid w:val="0"/>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备份资源池是保障我行生产和数据安全的核心基础设施，承担了我行所有生产系统和办公系统数据库、文件系统的备份，包括了关键时点（系统升级、结息、年终结转、上线切换等）备份数据，在系统故障或业务需要的情况下能够快速地恢复业务数据，确保我分行各项业务系统的安全运行。为保障我行信息系统的安全稳定运行，计划向第三方专业运维公司购买两年维保服务。</w:t>
      </w:r>
    </w:p>
    <w:p>
      <w:pPr>
        <w:pStyle w:val="2"/>
        <w:numPr>
          <w:ilvl w:val="0"/>
          <w:numId w:val="1"/>
        </w:numPr>
        <w:rPr>
          <w:snapToGrid w:val="0"/>
        </w:rPr>
      </w:pPr>
      <w:r>
        <w:rPr>
          <w:rFonts w:hint="eastAsia"/>
          <w:snapToGrid w:val="0"/>
        </w:rPr>
        <w:t>维护工作范围</w:t>
      </w:r>
    </w:p>
    <w:p>
      <w:pPr>
        <w:adjustRightInd w:val="0"/>
        <w:snapToGrid w:val="0"/>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本项目维保范围包括备份资源池内的设备以及Veritas备份系统相关的日常维护、技术支持、配置分析和方案论证优化服务。</w:t>
      </w:r>
    </w:p>
    <w:p>
      <w:pPr>
        <w:pStyle w:val="8"/>
        <w:numPr>
          <w:ilvl w:val="0"/>
          <w:numId w:val="2"/>
        </w:numPr>
        <w:adjustRightInd w:val="0"/>
        <w:snapToGrid w:val="0"/>
        <w:spacing w:line="560" w:lineRule="exact"/>
        <w:ind w:firstLineChars="0"/>
        <w:rPr>
          <w:rFonts w:ascii="彩虹粗仿宋" w:hAnsi="宋体" w:eastAsia="彩虹粗仿宋"/>
          <w:sz w:val="32"/>
          <w:szCs w:val="32"/>
        </w:rPr>
      </w:pPr>
      <w:r>
        <w:rPr>
          <w:rFonts w:ascii="彩虹粗仿宋" w:hAnsi="宋体" w:eastAsia="彩虹粗仿宋"/>
          <w:sz w:val="32"/>
          <w:szCs w:val="32"/>
        </w:rPr>
        <w:t>项目维保设备清单:</w:t>
      </w:r>
    </w:p>
    <w:tbl>
      <w:tblPr>
        <w:tblStyle w:val="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552"/>
        <w:gridCol w:w="1275"/>
        <w:gridCol w:w="2127"/>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384"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设备类型</w:t>
            </w:r>
          </w:p>
        </w:tc>
        <w:tc>
          <w:tcPr>
            <w:tcW w:w="255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设备型号</w:t>
            </w:r>
          </w:p>
        </w:tc>
        <w:tc>
          <w:tcPr>
            <w:tcW w:w="1275"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数量</w:t>
            </w:r>
          </w:p>
        </w:tc>
        <w:tc>
          <w:tcPr>
            <w:tcW w:w="2127"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设备购置时间</w:t>
            </w:r>
          </w:p>
        </w:tc>
        <w:tc>
          <w:tcPr>
            <w:tcW w:w="184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设备维护等级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384"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物理带库</w:t>
            </w:r>
          </w:p>
        </w:tc>
        <w:tc>
          <w:tcPr>
            <w:tcW w:w="255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Oracle</w:t>
            </w:r>
            <w:r>
              <w:rPr>
                <w:rFonts w:ascii="彩虹粗仿宋" w:hAnsi="宋体" w:eastAsia="彩虹粗仿宋" w:cs="Times New Roman"/>
                <w:sz w:val="24"/>
                <w:szCs w:val="24"/>
              </w:rPr>
              <w:t xml:space="preserve"> </w:t>
            </w:r>
            <w:r>
              <w:rPr>
                <w:rFonts w:hint="eastAsia" w:ascii="彩虹粗仿宋" w:hAnsi="宋体" w:eastAsia="彩虹粗仿宋" w:cs="Times New Roman"/>
                <w:sz w:val="24"/>
                <w:szCs w:val="24"/>
              </w:rPr>
              <w:t>STK L1400</w:t>
            </w:r>
          </w:p>
        </w:tc>
        <w:tc>
          <w:tcPr>
            <w:tcW w:w="1275"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1台</w:t>
            </w:r>
          </w:p>
        </w:tc>
        <w:tc>
          <w:tcPr>
            <w:tcW w:w="2127"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2009年</w:t>
            </w:r>
          </w:p>
        </w:tc>
        <w:tc>
          <w:tcPr>
            <w:tcW w:w="184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384"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物理带库</w:t>
            </w:r>
          </w:p>
        </w:tc>
        <w:tc>
          <w:tcPr>
            <w:tcW w:w="255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Oracle</w:t>
            </w:r>
            <w:r>
              <w:rPr>
                <w:rFonts w:ascii="彩虹粗仿宋" w:hAnsi="宋体" w:eastAsia="彩虹粗仿宋" w:cs="Times New Roman"/>
                <w:sz w:val="24"/>
                <w:szCs w:val="24"/>
              </w:rPr>
              <w:t xml:space="preserve"> </w:t>
            </w:r>
            <w:r>
              <w:rPr>
                <w:rFonts w:hint="eastAsia" w:ascii="彩虹粗仿宋" w:hAnsi="宋体" w:eastAsia="彩虹粗仿宋" w:cs="Times New Roman"/>
                <w:sz w:val="24"/>
                <w:szCs w:val="24"/>
              </w:rPr>
              <w:t>STK SL3000</w:t>
            </w:r>
          </w:p>
        </w:tc>
        <w:tc>
          <w:tcPr>
            <w:tcW w:w="1275"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1台</w:t>
            </w:r>
          </w:p>
        </w:tc>
        <w:tc>
          <w:tcPr>
            <w:tcW w:w="2127"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2010年</w:t>
            </w:r>
          </w:p>
        </w:tc>
        <w:tc>
          <w:tcPr>
            <w:tcW w:w="184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384"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物理带库</w:t>
            </w:r>
          </w:p>
        </w:tc>
        <w:tc>
          <w:tcPr>
            <w:tcW w:w="255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IBM TS3500</w:t>
            </w:r>
          </w:p>
        </w:tc>
        <w:tc>
          <w:tcPr>
            <w:tcW w:w="1275"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1台</w:t>
            </w:r>
          </w:p>
        </w:tc>
        <w:tc>
          <w:tcPr>
            <w:tcW w:w="2127"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2013年</w:t>
            </w:r>
          </w:p>
        </w:tc>
        <w:tc>
          <w:tcPr>
            <w:tcW w:w="184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384"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光盘库</w:t>
            </w:r>
          </w:p>
        </w:tc>
        <w:tc>
          <w:tcPr>
            <w:tcW w:w="255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HMS 3560</w:t>
            </w:r>
          </w:p>
        </w:tc>
        <w:tc>
          <w:tcPr>
            <w:tcW w:w="1275"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8台</w:t>
            </w:r>
          </w:p>
        </w:tc>
        <w:tc>
          <w:tcPr>
            <w:tcW w:w="2127"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2006年</w:t>
            </w:r>
          </w:p>
        </w:tc>
        <w:tc>
          <w:tcPr>
            <w:tcW w:w="1842" w:type="dxa"/>
            <w:vAlign w:val="center"/>
          </w:tcPr>
          <w:p>
            <w:pPr>
              <w:adjustRightInd w:val="0"/>
              <w:snapToGrid w:val="0"/>
              <w:spacing w:line="360" w:lineRule="auto"/>
              <w:jc w:val="center"/>
              <w:rPr>
                <w:rFonts w:ascii="彩虹粗仿宋" w:hAnsi="宋体" w:eastAsia="彩虹粗仿宋" w:cs="Times New Roman"/>
                <w:sz w:val="24"/>
                <w:szCs w:val="24"/>
              </w:rPr>
            </w:pPr>
            <w:r>
              <w:rPr>
                <w:rFonts w:hint="eastAsia" w:ascii="彩虹粗仿宋" w:hAnsi="宋体" w:eastAsia="彩虹粗仿宋" w:cs="Times New Roman"/>
                <w:sz w:val="24"/>
                <w:szCs w:val="24"/>
              </w:rPr>
              <w:t>5×8</w:t>
            </w:r>
          </w:p>
        </w:tc>
      </w:tr>
    </w:tbl>
    <w:p>
      <w:pPr>
        <w:pStyle w:val="8"/>
        <w:adjustRightInd w:val="0"/>
        <w:snapToGrid w:val="0"/>
        <w:spacing w:line="560" w:lineRule="exact"/>
        <w:ind w:left="1360" w:firstLine="0" w:firstLineChars="0"/>
        <w:rPr>
          <w:rFonts w:ascii="彩虹粗仿宋" w:hAnsi="宋体" w:eastAsia="彩虹粗仿宋"/>
          <w:sz w:val="32"/>
          <w:szCs w:val="32"/>
        </w:rPr>
      </w:pPr>
    </w:p>
    <w:p>
      <w:pPr>
        <w:pStyle w:val="8"/>
        <w:numPr>
          <w:ilvl w:val="0"/>
          <w:numId w:val="2"/>
        </w:numPr>
        <w:ind w:firstLineChars="0"/>
        <w:rPr>
          <w:rFonts w:ascii="彩虹黑体" w:hAnsi="宋体" w:eastAsia="彩虹黑体"/>
          <w:sz w:val="32"/>
          <w:szCs w:val="32"/>
        </w:rPr>
      </w:pPr>
      <w:r>
        <w:rPr>
          <w:rFonts w:hint="eastAsia" w:ascii="彩虹粗仿宋" w:hAnsi="宋体" w:eastAsia="彩虹粗仿宋"/>
          <w:sz w:val="32"/>
          <w:szCs w:val="32"/>
        </w:rPr>
        <w:t>本项目的工作要求如下</w:t>
      </w:r>
      <w:r>
        <w:rPr>
          <w:rFonts w:hint="eastAsia" w:ascii="彩虹黑体" w:hAnsi="宋体" w:eastAsia="彩虹黑体"/>
          <w:sz w:val="32"/>
          <w:szCs w:val="32"/>
        </w:rPr>
        <w:t>:</w:t>
      </w:r>
    </w:p>
    <w:p>
      <w:pPr>
        <w:numPr>
          <w:ilvl w:val="0"/>
          <w:numId w:val="3"/>
        </w:numPr>
        <w:ind w:left="426" w:hanging="426"/>
        <w:rPr>
          <w:rFonts w:ascii="彩虹粗仿宋" w:hAnsi="宋体" w:eastAsia="彩虹粗仿宋"/>
          <w:sz w:val="32"/>
          <w:szCs w:val="32"/>
        </w:rPr>
      </w:pPr>
      <w:r>
        <w:rPr>
          <w:rFonts w:hint="eastAsia" w:ascii="彩虹粗仿宋" w:hAnsi="宋体" w:eastAsia="彩虹粗仿宋"/>
          <w:sz w:val="32"/>
          <w:szCs w:val="32"/>
        </w:rPr>
        <w:t>供应商必须通过正常的贸易渠道及方式订购所有的硬件产品备件，所有备件必须通过质量测试和检验，符合同类产品的质量标准。</w:t>
      </w:r>
    </w:p>
    <w:p>
      <w:pPr>
        <w:numPr>
          <w:ilvl w:val="0"/>
          <w:numId w:val="3"/>
        </w:numPr>
        <w:ind w:left="426" w:hanging="426"/>
        <w:rPr>
          <w:rFonts w:ascii="彩虹粗仿宋" w:hAnsi="宋体" w:eastAsia="彩虹粗仿宋"/>
          <w:sz w:val="32"/>
          <w:szCs w:val="32"/>
        </w:rPr>
      </w:pPr>
      <w:r>
        <w:rPr>
          <w:rFonts w:hint="eastAsia" w:ascii="彩虹粗仿宋" w:hAnsi="宋体" w:eastAsia="彩虹粗仿宋"/>
          <w:sz w:val="32"/>
          <w:szCs w:val="32"/>
        </w:rPr>
        <w:t>供应商要提供STK磁带库、IBM磁带库</w:t>
      </w:r>
      <w:r>
        <w:rPr>
          <w:rFonts w:ascii="彩虹粗仿宋" w:hAnsi="宋体" w:eastAsia="彩虹粗仿宋"/>
          <w:sz w:val="32"/>
          <w:szCs w:val="32"/>
        </w:rPr>
        <w:t>、</w:t>
      </w:r>
      <w:r>
        <w:rPr>
          <w:rFonts w:hint="eastAsia" w:ascii="彩虹粗仿宋" w:hAnsi="宋体" w:eastAsia="彩虹粗仿宋"/>
          <w:sz w:val="32"/>
          <w:szCs w:val="32"/>
        </w:rPr>
        <w:t>SEPATON虚拟磁带库、重复删除设备和Veritas备份管理系统相关的技术支持、配置分析和方案论证服务，并按广东建行需要提供现场服务。</w:t>
      </w:r>
    </w:p>
    <w:p>
      <w:pPr>
        <w:numPr>
          <w:ilvl w:val="0"/>
          <w:numId w:val="3"/>
        </w:numPr>
        <w:ind w:left="426" w:hanging="426"/>
        <w:rPr>
          <w:rFonts w:ascii="彩虹粗仿宋" w:hAnsi="宋体" w:eastAsia="彩虹粗仿宋"/>
          <w:sz w:val="32"/>
          <w:szCs w:val="32"/>
        </w:rPr>
      </w:pPr>
      <w:r>
        <w:rPr>
          <w:rFonts w:hint="eastAsia" w:ascii="彩虹粗仿宋" w:hAnsi="宋体" w:eastAsia="彩虹粗仿宋"/>
          <w:sz w:val="32"/>
          <w:szCs w:val="32"/>
        </w:rPr>
        <w:t>供应商要提供系统变更支持服务，与本项目产品相关的系统测试、变更和设备搬迁，供应商均有义务承担。</w:t>
      </w:r>
    </w:p>
    <w:p>
      <w:pPr>
        <w:numPr>
          <w:ilvl w:val="0"/>
          <w:numId w:val="3"/>
        </w:numPr>
        <w:ind w:left="426" w:hanging="426"/>
        <w:rPr>
          <w:rFonts w:ascii="彩虹粗仿宋" w:hAnsi="宋体" w:eastAsia="彩虹粗仿宋"/>
          <w:sz w:val="32"/>
          <w:szCs w:val="32"/>
        </w:rPr>
      </w:pPr>
      <w:r>
        <w:rPr>
          <w:rFonts w:hint="eastAsia" w:ascii="彩虹粗仿宋" w:hAnsi="宋体" w:eastAsia="彩虹粗仿宋"/>
          <w:sz w:val="32"/>
          <w:szCs w:val="32"/>
        </w:rPr>
        <w:t>供应商必须在广东建行机房停电、网络切换、线路割接、系统上线、系统切换、结息、年终结转、重大事项等特殊时期，根据广东建行要求提供24小时现场驻守服务。</w:t>
      </w:r>
    </w:p>
    <w:p>
      <w:pPr>
        <w:numPr>
          <w:ilvl w:val="0"/>
          <w:numId w:val="3"/>
        </w:numPr>
        <w:rPr>
          <w:rFonts w:ascii="彩虹粗仿宋" w:hAnsi="宋体" w:eastAsia="彩虹粗仿宋"/>
          <w:sz w:val="32"/>
          <w:szCs w:val="32"/>
        </w:rPr>
      </w:pPr>
      <w:r>
        <w:rPr>
          <w:rFonts w:hint="eastAsia" w:ascii="彩虹粗仿宋" w:hAnsi="宋体" w:eastAsia="彩虹粗仿宋"/>
          <w:sz w:val="32"/>
          <w:szCs w:val="32"/>
        </w:rPr>
        <w:t>服务项目</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维护包括备份系统的维护、硬件故障的修复及免费备件更换。</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供应商必须为广东建行提供专职驻场工程师至少</w:t>
      </w:r>
      <w:r>
        <w:rPr>
          <w:rFonts w:ascii="彩虹粗仿宋" w:hAnsi="宋体" w:eastAsia="彩虹粗仿宋"/>
          <w:sz w:val="32"/>
          <w:szCs w:val="32"/>
        </w:rPr>
        <w:t>1</w:t>
      </w:r>
      <w:r>
        <w:rPr>
          <w:rFonts w:hint="eastAsia" w:ascii="彩虹粗仿宋" w:hAnsi="宋体" w:eastAsia="彩虹粗仿宋"/>
          <w:sz w:val="32"/>
          <w:szCs w:val="32"/>
        </w:rPr>
        <w:t>人，工程师根据广东建行要求进行（7*24）服务，驻场工程师必须是技术资深人员，且要求该驻场工程师具备磁带库认证和Veritas备份管理软件认证资质，</w:t>
      </w:r>
      <w:r>
        <w:rPr>
          <w:rFonts w:ascii="彩虹粗仿宋" w:hAnsi="宋体" w:eastAsia="彩虹粗仿宋"/>
          <w:sz w:val="32"/>
          <w:szCs w:val="32"/>
        </w:rPr>
        <w:t>从事</w:t>
      </w:r>
      <w:r>
        <w:rPr>
          <w:rFonts w:hint="eastAsia" w:ascii="彩虹粗仿宋" w:hAnsi="宋体" w:eastAsia="彩虹粗仿宋"/>
          <w:sz w:val="32"/>
          <w:szCs w:val="32"/>
        </w:rPr>
        <w:t>带库</w:t>
      </w:r>
      <w:r>
        <w:rPr>
          <w:rFonts w:ascii="彩虹粗仿宋" w:hAnsi="宋体" w:eastAsia="彩虹粗仿宋"/>
          <w:sz w:val="32"/>
          <w:szCs w:val="32"/>
        </w:rPr>
        <w:t>集成或维护工作3</w:t>
      </w:r>
      <w:r>
        <w:rPr>
          <w:rFonts w:hint="eastAsia" w:ascii="彩虹粗仿宋" w:hAnsi="宋体" w:eastAsia="彩虹粗仿宋"/>
          <w:sz w:val="32"/>
          <w:szCs w:val="32"/>
        </w:rPr>
        <w:t>年</w:t>
      </w:r>
      <w:r>
        <w:rPr>
          <w:rFonts w:ascii="彩虹粗仿宋" w:hAnsi="宋体" w:eastAsia="彩虹粗仿宋"/>
          <w:sz w:val="32"/>
          <w:szCs w:val="32"/>
        </w:rPr>
        <w:t>以上</w:t>
      </w:r>
      <w:r>
        <w:rPr>
          <w:rFonts w:hint="eastAsia" w:ascii="彩虹粗仿宋" w:hAnsi="宋体" w:eastAsia="彩虹粗仿宋"/>
          <w:sz w:val="32"/>
          <w:szCs w:val="32"/>
        </w:rPr>
        <w:t>；服务内容包括故障处理、日常维护、备份管理（如制定备份策略、备份和恢复数据、备份有效性测试、介质管理等）和广东建行安排的相关工作；服务范围包括广东建行整个备份系统，新购备份相关设备，供应商应提供日常巡检及技术支持服务，所涉及故障处理过程中的备件更换问题，由新购设备的供应商提供；供应商对现场工程师在广东建行的维护服务工作负责，广东建行可以要求更换不符合要求的人员，供应商需要更换人员必须经广东建行同意。同时，驻场工程师还应参与以下工作：</w:t>
      </w:r>
    </w:p>
    <w:p>
      <w:pPr>
        <w:pStyle w:val="12"/>
        <w:numPr>
          <w:ilvl w:val="1"/>
          <w:numId w:val="4"/>
        </w:numPr>
        <w:tabs>
          <w:tab w:val="clear" w:pos="480"/>
        </w:tabs>
        <w:ind w:left="851" w:hanging="425" w:firstLineChars="0"/>
        <w:jc w:val="left"/>
        <w:rPr>
          <w:rFonts w:ascii="彩虹粗仿宋" w:hAnsi="宋体" w:eastAsia="彩虹粗仿宋" w:cstheme="minorBidi"/>
          <w:sz w:val="32"/>
          <w:szCs w:val="32"/>
        </w:rPr>
      </w:pPr>
      <w:r>
        <w:rPr>
          <w:rFonts w:hint="eastAsia" w:ascii="彩虹粗仿宋" w:hAnsi="宋体" w:eastAsia="彩虹粗仿宋" w:cstheme="minorBidi"/>
          <w:sz w:val="32"/>
          <w:szCs w:val="32"/>
        </w:rPr>
        <w:t>必须按照广东建行运维团队化和标准化的要求，参与IT基础架构资源池建设和管理的全过程，成为专业运维支持团队中的一部分；</w:t>
      </w:r>
    </w:p>
    <w:p>
      <w:pPr>
        <w:pStyle w:val="12"/>
        <w:numPr>
          <w:ilvl w:val="1"/>
          <w:numId w:val="4"/>
        </w:numPr>
        <w:tabs>
          <w:tab w:val="clear" w:pos="480"/>
        </w:tabs>
        <w:ind w:left="851" w:hanging="425" w:firstLineChars="0"/>
        <w:jc w:val="left"/>
        <w:rPr>
          <w:rFonts w:ascii="彩虹粗仿宋" w:hAnsi="宋体" w:eastAsia="彩虹粗仿宋" w:cstheme="minorBidi"/>
          <w:sz w:val="32"/>
          <w:szCs w:val="32"/>
        </w:rPr>
      </w:pPr>
      <w:r>
        <w:rPr>
          <w:rFonts w:hint="eastAsia" w:ascii="彩虹粗仿宋" w:hAnsi="宋体" w:eastAsia="彩虹粗仿宋" w:cstheme="minorBidi"/>
          <w:sz w:val="32"/>
          <w:szCs w:val="32"/>
        </w:rPr>
        <w:t>按照广东建行资源池规划、部署、维护和回收四个阶段，按照团队负责人的统一要求，参与编写备份资源池容量管理规范和工具化工作，包括定制备份资源池分配的标准指标模板、部署的标准实施工艺、容量可用性监控指标体系以及调整和回收的标准实施工艺，此外，还应参与梳理资源池管理工作流程和自动化实现工作；</w:t>
      </w:r>
    </w:p>
    <w:p>
      <w:pPr>
        <w:pStyle w:val="12"/>
        <w:numPr>
          <w:ilvl w:val="1"/>
          <w:numId w:val="4"/>
        </w:numPr>
        <w:tabs>
          <w:tab w:val="clear" w:pos="480"/>
        </w:tabs>
        <w:ind w:left="851" w:hanging="425" w:firstLineChars="0"/>
        <w:jc w:val="left"/>
        <w:rPr>
          <w:rFonts w:ascii="彩虹粗仿宋" w:hAnsi="宋体" w:eastAsia="彩虹粗仿宋" w:cstheme="minorBidi"/>
          <w:sz w:val="32"/>
          <w:szCs w:val="32"/>
        </w:rPr>
      </w:pPr>
      <w:r>
        <w:rPr>
          <w:rFonts w:hint="eastAsia" w:ascii="彩虹粗仿宋" w:hAnsi="宋体" w:eastAsia="彩虹粗仿宋" w:cstheme="minorBidi"/>
          <w:sz w:val="32"/>
          <w:szCs w:val="32"/>
        </w:rPr>
        <w:t>根据广东建行的需求和运维中的典型问题，按照技术支持专题工作的统一要求，参与运维专题工作。</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供应商应负责STK、IBM磁带库、SEPATON虚拟磁带库的微码升级工作，负责Veritas备份系统的安装、升级、配置、性能调优等工作，负责制定备份策略、备份和恢复数据、备份有效性测试、介质管理等备份管理工作。</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负责光盘库</w:t>
      </w:r>
      <w:r>
        <w:rPr>
          <w:rFonts w:ascii="彩虹粗仿宋" w:hAnsi="宋体" w:eastAsia="彩虹粗仿宋"/>
          <w:sz w:val="32"/>
          <w:szCs w:val="32"/>
        </w:rPr>
        <w:t>的巡检服务</w:t>
      </w:r>
      <w:r>
        <w:rPr>
          <w:rFonts w:hint="eastAsia" w:ascii="彩虹粗仿宋" w:hAnsi="宋体" w:eastAsia="彩虹粗仿宋"/>
          <w:sz w:val="32"/>
          <w:szCs w:val="32"/>
        </w:rPr>
        <w:t>，</w:t>
      </w:r>
      <w:r>
        <w:rPr>
          <w:rFonts w:ascii="彩虹粗仿宋" w:hAnsi="宋体" w:eastAsia="彩虹粗仿宋"/>
          <w:sz w:val="32"/>
          <w:szCs w:val="32"/>
        </w:rPr>
        <w:t>排查简单故障，确保</w:t>
      </w:r>
      <w:r>
        <w:rPr>
          <w:rFonts w:hint="eastAsia" w:ascii="彩虹粗仿宋" w:hAnsi="宋体" w:eastAsia="彩虹粗仿宋"/>
          <w:sz w:val="32"/>
          <w:szCs w:val="32"/>
        </w:rPr>
        <w:t>光盘库</w:t>
      </w:r>
      <w:r>
        <w:rPr>
          <w:rFonts w:ascii="彩虹粗仿宋" w:hAnsi="宋体" w:eastAsia="彩虹粗仿宋"/>
          <w:sz w:val="32"/>
          <w:szCs w:val="32"/>
        </w:rPr>
        <w:t>满足光盘</w:t>
      </w:r>
      <w:r>
        <w:rPr>
          <w:rFonts w:hint="eastAsia" w:ascii="彩虹粗仿宋" w:hAnsi="宋体" w:eastAsia="彩虹粗仿宋"/>
          <w:sz w:val="32"/>
          <w:szCs w:val="32"/>
        </w:rPr>
        <w:t>历史</w:t>
      </w:r>
      <w:r>
        <w:rPr>
          <w:rFonts w:ascii="彩虹粗仿宋" w:hAnsi="宋体" w:eastAsia="彩虹粗仿宋"/>
          <w:sz w:val="32"/>
          <w:szCs w:val="32"/>
        </w:rPr>
        <w:t>数据</w:t>
      </w:r>
      <w:r>
        <w:rPr>
          <w:rFonts w:hint="eastAsia" w:ascii="彩虹粗仿宋" w:hAnsi="宋体" w:eastAsia="彩虹粗仿宋"/>
          <w:sz w:val="32"/>
          <w:szCs w:val="32"/>
        </w:rPr>
        <w:t>读取</w:t>
      </w:r>
      <w:r>
        <w:rPr>
          <w:rFonts w:ascii="彩虹粗仿宋" w:hAnsi="宋体" w:eastAsia="彩虹粗仿宋"/>
          <w:sz w:val="32"/>
          <w:szCs w:val="32"/>
        </w:rPr>
        <w:t>的需求。</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供应商应负责建立设备配置管理及设备维护技术档案。</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每月一次备份资源池分析报告。听取广东建行意见，对存在的运行问题提出改进方案。巡检具体内容和安排由双方另行商定，主要包括软硬件检查、设备保养、隐患部件更换、备份有效性测试等预防性维护工作。每次巡检结束后应在5天内向广东建行提供巡检报告和改进方案。</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每季度向广东建行提供服务支持报告，包括故障原因、现象、排除、分析和建议。</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供应商参加备份管理团队工作。</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供应商提供后台资源参与各平台数据备份建设与规划工作</w:t>
      </w:r>
    </w:p>
    <w:p>
      <w:pPr>
        <w:widowControl/>
        <w:numPr>
          <w:ilvl w:val="0"/>
          <w:numId w:val="4"/>
        </w:numPr>
        <w:tabs>
          <w:tab w:val="left" w:pos="851"/>
          <w:tab w:val="clear" w:pos="1506"/>
        </w:tabs>
        <w:ind w:left="426" w:hanging="426"/>
        <w:jc w:val="left"/>
        <w:rPr>
          <w:rFonts w:ascii="彩虹粗仿宋" w:hAnsi="宋体" w:eastAsia="彩虹粗仿宋"/>
          <w:sz w:val="32"/>
          <w:szCs w:val="32"/>
        </w:rPr>
      </w:pPr>
      <w:r>
        <w:rPr>
          <w:rFonts w:hint="eastAsia" w:ascii="彩虹粗仿宋" w:hAnsi="宋体" w:eastAsia="彩虹粗仿宋"/>
          <w:sz w:val="32"/>
          <w:szCs w:val="32"/>
        </w:rPr>
        <w:t>与备份资源池相关的新购设备提供日常巡检等技术支持服务。</w:t>
      </w:r>
    </w:p>
    <w:p>
      <w:pPr>
        <w:pStyle w:val="8"/>
        <w:adjustRightInd w:val="0"/>
        <w:snapToGrid w:val="0"/>
        <w:spacing w:line="560" w:lineRule="exact"/>
        <w:ind w:left="1360" w:firstLine="0" w:firstLineChars="0"/>
        <w:rPr>
          <w:rFonts w:ascii="彩虹黑体" w:hAnsi="宋体" w:eastAsia="彩虹黑体"/>
          <w:sz w:val="32"/>
          <w:szCs w:val="32"/>
        </w:rPr>
      </w:pPr>
    </w:p>
    <w:p>
      <w:pPr>
        <w:pStyle w:val="2"/>
        <w:numPr>
          <w:ilvl w:val="0"/>
          <w:numId w:val="1"/>
        </w:numPr>
        <w:rPr>
          <w:snapToGrid w:val="0"/>
        </w:rPr>
      </w:pPr>
      <w:r>
        <w:rPr>
          <w:rFonts w:hint="eastAsia"/>
          <w:snapToGrid w:val="0"/>
        </w:rPr>
        <w:t>维护工作方式</w:t>
      </w:r>
    </w:p>
    <w:p>
      <w:pPr>
        <w:ind w:firstLine="640" w:firstLineChars="200"/>
        <w:rPr>
          <w:rFonts w:ascii="彩虹粗仿宋" w:hAnsi="宋体" w:eastAsia="彩虹粗仿宋"/>
          <w:sz w:val="32"/>
          <w:szCs w:val="32"/>
        </w:rPr>
      </w:pPr>
      <w:r>
        <w:rPr>
          <w:rFonts w:hint="eastAsia" w:ascii="彩虹粗仿宋" w:hAnsi="宋体" w:eastAsia="彩虹粗仿宋"/>
          <w:sz w:val="32"/>
          <w:szCs w:val="32"/>
        </w:rPr>
        <w:t>供应商须在广州市安排资深的</w:t>
      </w:r>
      <w:r>
        <w:rPr>
          <w:rFonts w:hint="eastAsia" w:ascii="彩虹粗仿宋" w:hAnsi="宋体" w:eastAsia="彩虹粗仿宋"/>
          <w:sz w:val="32"/>
          <w:szCs w:val="32"/>
          <w:lang w:eastAsia="zh-CN"/>
        </w:rPr>
        <w:t>非</w:t>
      </w:r>
      <w:r>
        <w:rPr>
          <w:rFonts w:hint="eastAsia" w:ascii="彩虹粗仿宋" w:hAnsi="宋体" w:eastAsia="彩虹粗仿宋"/>
          <w:sz w:val="32"/>
          <w:szCs w:val="32"/>
        </w:rPr>
        <w:t>驻场</w:t>
      </w:r>
      <w:r>
        <w:rPr>
          <w:rFonts w:hint="eastAsia" w:ascii="彩虹粗仿宋" w:hAnsi="宋体" w:eastAsia="彩虹粗仿宋"/>
          <w:sz w:val="32"/>
          <w:szCs w:val="32"/>
        </w:rPr>
        <w:t>专职</w:t>
      </w:r>
      <w:bookmarkStart w:id="4" w:name="_GoBack"/>
      <w:bookmarkEnd w:id="4"/>
      <w:r>
        <w:rPr>
          <w:rFonts w:hint="eastAsia" w:ascii="彩虹粗仿宋" w:hAnsi="宋体" w:eastAsia="彩虹粗仿宋"/>
          <w:sz w:val="32"/>
          <w:szCs w:val="32"/>
        </w:rPr>
        <w:t>工程师，为本项目投入充足的技术力量，负责系统的维护、事务处理，保证对我分行的快速响应、优质服务。</w:t>
      </w:r>
    </w:p>
    <w:p>
      <w:pPr>
        <w:ind w:firstLine="640" w:firstLineChars="200"/>
        <w:rPr>
          <w:rFonts w:ascii="彩虹粗仿宋" w:hAnsi="宋体" w:eastAsia="彩虹粗仿宋"/>
          <w:sz w:val="32"/>
          <w:szCs w:val="32"/>
        </w:rPr>
      </w:pPr>
      <w:r>
        <w:rPr>
          <w:rFonts w:hint="eastAsia" w:ascii="彩虹粗仿宋" w:hAnsi="宋体" w:eastAsia="彩虹粗仿宋"/>
          <w:sz w:val="32"/>
          <w:szCs w:val="32"/>
        </w:rPr>
        <w:t>在非工作时间，供应商应提供</w:t>
      </w:r>
      <w:r>
        <w:rPr>
          <w:rFonts w:ascii="彩虹粗仿宋" w:hAnsi="宋体" w:eastAsia="彩虹粗仿宋"/>
          <w:sz w:val="32"/>
          <w:szCs w:val="32"/>
        </w:rPr>
        <w:t>7</w:t>
      </w:r>
      <w:r>
        <w:rPr>
          <w:rFonts w:hint="eastAsia" w:ascii="彩虹粗仿宋" w:hAnsi="宋体" w:eastAsia="彩虹粗仿宋"/>
          <w:sz w:val="32"/>
          <w:szCs w:val="32"/>
        </w:rPr>
        <w:t>天×</w:t>
      </w:r>
      <w:r>
        <w:rPr>
          <w:rFonts w:ascii="彩虹粗仿宋" w:hAnsi="宋体" w:eastAsia="彩虹粗仿宋"/>
          <w:sz w:val="32"/>
          <w:szCs w:val="32"/>
        </w:rPr>
        <w:t>24</w:t>
      </w:r>
      <w:r>
        <w:rPr>
          <w:rFonts w:hint="eastAsia" w:ascii="彩虹粗仿宋" w:hAnsi="宋体" w:eastAsia="彩虹粗仿宋"/>
          <w:sz w:val="32"/>
          <w:szCs w:val="32"/>
        </w:rPr>
        <w:t>小时的昼夜值班的技术服务支持，如我方要求现场提供技术支持及故障处理，到场时间应在1小时内。</w:t>
      </w:r>
    </w:p>
    <w:p>
      <w:pPr>
        <w:ind w:firstLine="560" w:firstLineChars="200"/>
        <w:rPr>
          <w:rFonts w:ascii="Times New Roman" w:hAnsi="Times New Roman" w:eastAsia="宋体" w:cs="Times New Roman"/>
          <w:sz w:val="28"/>
          <w:szCs w:val="24"/>
        </w:rPr>
      </w:pPr>
    </w:p>
    <w:p>
      <w:pPr>
        <w:pStyle w:val="2"/>
        <w:numPr>
          <w:ilvl w:val="0"/>
          <w:numId w:val="1"/>
        </w:numPr>
        <w:rPr>
          <w:snapToGrid w:val="0"/>
        </w:rPr>
      </w:pPr>
      <w:r>
        <w:rPr>
          <w:rFonts w:hint="eastAsia"/>
          <w:snapToGrid w:val="0"/>
        </w:rPr>
        <w:t>故障事件及响应处理的承诺</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供应商必须设立客户支持中心，提供24小时×365天免费热线支持服务，随时响应我分行的故障请求和技术支持服务。</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服务响应时间为每周七天，每天24小时。供应商在接到我分行报障后，非工作时间应1小时到场，非现场备件2小时内备件到场，均从我分行向供应商报障后开始计时。现场工程师如无法立即解决故障，应协调二线提供远程或现场技术支持，直到问题得以解决或取得有益进展。</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对本项目产品与其他厂商产品互连时出现问题，谈判供应商应负责协调相关厂商，并同相关厂商合作，对问题进行分析，直至问题的最终解决。</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对本项目产品发生故障导致应用系统出现问题，谈判供应商应负责协调应用系统维护商配合处理，直至故障的最终解决，涉及的有关费用全部由谈判供应商自行解决。</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供应商对于本地力量无法解决的问题，需升级至上一级服务中心，并及时向我分行通报进展情况。</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当供应商现有技术力量无法解决问题时，必须通过一定的渠道升级给原厂商（或原厂商实验室），寻求最快的解决办法，涉及的有关费用全部由谈判供应商自行解决。</w:t>
      </w:r>
    </w:p>
    <w:p>
      <w:pPr>
        <w:pStyle w:val="8"/>
        <w:numPr>
          <w:ilvl w:val="0"/>
          <w:numId w:val="5"/>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对仍在原厂保修范围的设备提供紧急维修支持（含紧急配件支持，原厂配件到位后归还）等服务。</w:t>
      </w:r>
    </w:p>
    <w:p>
      <w:pPr>
        <w:pStyle w:val="2"/>
        <w:numPr>
          <w:ilvl w:val="0"/>
          <w:numId w:val="1"/>
        </w:numPr>
        <w:rPr>
          <w:snapToGrid w:val="0"/>
        </w:rPr>
      </w:pPr>
      <w:r>
        <w:rPr>
          <w:rFonts w:hint="eastAsia"/>
          <w:snapToGrid w:val="0"/>
        </w:rPr>
        <w:t>服务商维护服务人员要求</w:t>
      </w:r>
    </w:p>
    <w:p>
      <w:pPr>
        <w:ind w:firstLine="560" w:firstLineChars="200"/>
        <w:rPr>
          <w:rFonts w:ascii="Times New Roman" w:hAnsi="Times New Roman" w:eastAsia="宋体" w:cs="Times New Roman"/>
          <w:sz w:val="28"/>
          <w:szCs w:val="24"/>
        </w:rPr>
      </w:pPr>
      <w:r>
        <w:rPr>
          <w:rFonts w:hint="eastAsia" w:ascii="Times New Roman" w:hAnsi="Times New Roman" w:eastAsia="宋体" w:cs="Times New Roman"/>
          <w:sz w:val="28"/>
          <w:szCs w:val="24"/>
        </w:rPr>
        <w:t>供应商为本项目提供固定的技术支持资源，根据我行的要求提供项目团队运作计划，对备份资源池设备和备份系统</w:t>
      </w:r>
      <w:r>
        <w:rPr>
          <w:rFonts w:ascii="Times New Roman" w:hAnsi="Times New Roman" w:eastAsia="宋体" w:cs="Times New Roman"/>
          <w:sz w:val="28"/>
          <w:szCs w:val="24"/>
        </w:rPr>
        <w:t>提供</w:t>
      </w:r>
      <w:r>
        <w:rPr>
          <w:rFonts w:hint="eastAsia" w:ascii="Times New Roman" w:hAnsi="Times New Roman" w:eastAsia="宋体" w:cs="Times New Roman"/>
          <w:sz w:val="28"/>
          <w:szCs w:val="24"/>
        </w:rPr>
        <w:t>技术支持服务，包括如下要求：</w:t>
      </w:r>
    </w:p>
    <w:p>
      <w:pPr>
        <w:ind w:firstLine="562" w:firstLineChars="200"/>
        <w:rPr>
          <w:rFonts w:ascii="Times New Roman" w:hAnsi="Times New Roman" w:eastAsia="宋体" w:cs="Times New Roman"/>
          <w:sz w:val="28"/>
          <w:szCs w:val="24"/>
        </w:rPr>
      </w:pPr>
      <w:r>
        <w:rPr>
          <w:rFonts w:hint="eastAsia" w:ascii="Times New Roman" w:hAnsi="Times New Roman" w:eastAsia="宋体" w:cs="Times New Roman"/>
          <w:b/>
          <w:sz w:val="28"/>
          <w:szCs w:val="24"/>
        </w:rPr>
        <w:t>一线工程师：</w:t>
      </w:r>
      <w:r>
        <w:rPr>
          <w:rFonts w:hint="eastAsia" w:ascii="Times New Roman" w:hAnsi="Times New Roman" w:eastAsia="宋体" w:cs="Times New Roman"/>
          <w:sz w:val="28"/>
          <w:szCs w:val="24"/>
        </w:rPr>
        <w:t>一线工程师必须为固定人员，且为资深工程师（从事磁带库维护以及Veritas备份系统维护不少于三年），</w:t>
      </w:r>
      <w:r>
        <w:rPr>
          <w:rFonts w:hint="eastAsia" w:asciiTheme="minorEastAsia" w:hAnsiTheme="minorEastAsia"/>
          <w:snapToGrid w:val="0"/>
          <w:sz w:val="28"/>
        </w:rPr>
        <w:t>具备磁带库认证和Veritas备份管理软件认证资质</w:t>
      </w:r>
      <w:r>
        <w:rPr>
          <w:rFonts w:ascii="彩虹粗仿宋" w:hAnsi="宋体" w:eastAsia="彩虹粗仿宋"/>
          <w:sz w:val="28"/>
          <w:szCs w:val="28"/>
        </w:rPr>
        <w:t>。</w:t>
      </w:r>
      <w:r>
        <w:rPr>
          <w:rFonts w:hint="eastAsia" w:ascii="Times New Roman" w:hAnsi="Times New Roman" w:eastAsia="宋体" w:cs="Times New Roman"/>
          <w:sz w:val="28"/>
          <w:szCs w:val="24"/>
        </w:rPr>
        <w:t>一线工程师应有较强的沟通能力、技术能力和交流协调能力，能随时响应我行的现场技术支持工作，能在必要时及时协调供应商二线技术支持。</w:t>
      </w:r>
    </w:p>
    <w:p>
      <w:pPr>
        <w:ind w:firstLine="560" w:firstLineChars="200"/>
        <w:rPr>
          <w:rFonts w:ascii="Times New Roman" w:hAnsi="Times New Roman" w:eastAsia="宋体" w:cs="Times New Roman"/>
          <w:sz w:val="28"/>
          <w:szCs w:val="24"/>
        </w:rPr>
      </w:pPr>
      <w:r>
        <w:rPr>
          <w:rFonts w:ascii="Times New Roman" w:hAnsi="Times New Roman" w:eastAsia="宋体" w:cs="Times New Roman"/>
          <w:sz w:val="28"/>
          <w:szCs w:val="24"/>
        </w:rPr>
        <w:t xml:space="preserve"> </w:t>
      </w:r>
      <w:r>
        <w:rPr>
          <w:rFonts w:ascii="Times New Roman" w:hAnsi="Times New Roman" w:eastAsia="宋体" w:cs="Times New Roman"/>
          <w:b/>
          <w:sz w:val="28"/>
          <w:szCs w:val="24"/>
        </w:rPr>
        <w:t>二线工程师</w:t>
      </w:r>
      <w:r>
        <w:rPr>
          <w:rFonts w:hint="eastAsia" w:ascii="Times New Roman" w:hAnsi="Times New Roman" w:eastAsia="宋体" w:cs="Times New Roman"/>
          <w:b/>
          <w:sz w:val="28"/>
          <w:szCs w:val="24"/>
        </w:rPr>
        <w:t>要求：</w:t>
      </w:r>
      <w:r>
        <w:rPr>
          <w:rFonts w:hint="eastAsia" w:ascii="Times New Roman" w:hAnsi="Times New Roman" w:eastAsia="宋体" w:cs="Times New Roman"/>
          <w:sz w:val="28"/>
          <w:szCs w:val="24"/>
        </w:rPr>
        <w:t>供应商必须在广州地区有资深的磁带库</w:t>
      </w:r>
      <w:r>
        <w:rPr>
          <w:rFonts w:ascii="Times New Roman" w:hAnsi="Times New Roman" w:eastAsia="宋体" w:cs="Times New Roman"/>
          <w:sz w:val="28"/>
          <w:szCs w:val="24"/>
        </w:rPr>
        <w:t>硬件维修维护</w:t>
      </w:r>
      <w:r>
        <w:rPr>
          <w:rFonts w:hint="eastAsia" w:ascii="Times New Roman" w:hAnsi="Times New Roman" w:eastAsia="宋体" w:cs="Times New Roman"/>
          <w:sz w:val="28"/>
          <w:szCs w:val="24"/>
        </w:rPr>
        <w:t>工程师，为本项目投入充足的技术力量，保证在一线工程师短时间不能解决问题的时候能快速响应我行的技术支持要求，其技术实力应强于一线工程师，</w:t>
      </w:r>
      <w:r>
        <w:rPr>
          <w:rFonts w:hint="eastAsia" w:asciiTheme="minorEastAsia" w:hAnsiTheme="minorEastAsia"/>
          <w:snapToGrid w:val="0"/>
          <w:sz w:val="28"/>
        </w:rPr>
        <w:t>具备磁带库认证和Veritas备份管理软件认证资质</w:t>
      </w:r>
      <w:r>
        <w:rPr>
          <w:rFonts w:hint="eastAsia" w:ascii="Times New Roman" w:hAnsi="Times New Roman" w:eastAsia="宋体" w:cs="Times New Roman"/>
          <w:sz w:val="28"/>
          <w:szCs w:val="24"/>
        </w:rPr>
        <w:t>。</w:t>
      </w:r>
    </w:p>
    <w:p>
      <w:pPr>
        <w:ind w:firstLine="562" w:firstLineChars="200"/>
        <w:rPr>
          <w:rFonts w:ascii="Times New Roman" w:hAnsi="Times New Roman" w:eastAsia="宋体" w:cs="Times New Roman"/>
          <w:sz w:val="28"/>
          <w:szCs w:val="24"/>
        </w:rPr>
      </w:pPr>
      <w:r>
        <w:rPr>
          <w:rFonts w:ascii="Times New Roman" w:hAnsi="Times New Roman" w:eastAsia="宋体" w:cs="Times New Roman"/>
          <w:b/>
          <w:sz w:val="28"/>
          <w:szCs w:val="24"/>
        </w:rPr>
        <w:t>其他技术支持：</w:t>
      </w:r>
      <w:r>
        <w:rPr>
          <w:rFonts w:ascii="Times New Roman" w:hAnsi="Times New Roman" w:eastAsia="宋体" w:cs="Times New Roman"/>
          <w:sz w:val="28"/>
          <w:szCs w:val="24"/>
        </w:rPr>
        <w:t>供应商除本地一二线工程师外，应能协调本地以外的技术部门和人员，乃至实验室、原厂等技术支持力量，提供必要的技术支持和服务。</w:t>
      </w:r>
    </w:p>
    <w:p>
      <w:pPr>
        <w:ind w:firstLine="560" w:firstLineChars="200"/>
        <w:rPr>
          <w:rFonts w:ascii="Times New Roman" w:hAnsi="Times New Roman" w:eastAsia="宋体" w:cs="Times New Roman"/>
          <w:sz w:val="28"/>
          <w:szCs w:val="24"/>
        </w:rPr>
      </w:pPr>
    </w:p>
    <w:p>
      <w:pPr>
        <w:pStyle w:val="2"/>
        <w:numPr>
          <w:ilvl w:val="0"/>
          <w:numId w:val="1"/>
        </w:numPr>
        <w:rPr>
          <w:snapToGrid w:val="0"/>
        </w:rPr>
      </w:pPr>
      <w:r>
        <w:rPr>
          <w:rFonts w:hint="eastAsia"/>
          <w:snapToGrid w:val="0"/>
        </w:rPr>
        <w:t>服务商人员与建行相关部门在系统维护工作中的关系</w:t>
      </w:r>
    </w:p>
    <w:p>
      <w:pPr>
        <w:ind w:firstLine="560" w:firstLineChars="200"/>
        <w:rPr>
          <w:rFonts w:ascii="Times New Roman" w:hAnsi="Times New Roman" w:eastAsia="宋体" w:cs="Times New Roman"/>
          <w:szCs w:val="24"/>
        </w:rPr>
      </w:pPr>
      <w:r>
        <w:rPr>
          <w:rFonts w:hint="eastAsia" w:ascii="Times New Roman" w:hAnsi="Times New Roman" w:eastAsia="宋体" w:cs="Times New Roman"/>
          <w:sz w:val="28"/>
          <w:szCs w:val="24"/>
        </w:rPr>
        <w:t>服务商人员在工作中需要积极配合我行，我行有权对服务商人员进行持续的监督和评估。</w:t>
      </w:r>
    </w:p>
    <w:p>
      <w:pPr>
        <w:pStyle w:val="2"/>
        <w:numPr>
          <w:ilvl w:val="0"/>
          <w:numId w:val="1"/>
        </w:numPr>
        <w:rPr>
          <w:snapToGrid w:val="0"/>
        </w:rPr>
      </w:pPr>
      <w:bookmarkStart w:id="0" w:name="_Toc21618772"/>
      <w:bookmarkStart w:id="1" w:name="_Toc21681023"/>
      <w:r>
        <w:rPr>
          <w:rFonts w:hint="eastAsia"/>
          <w:snapToGrid w:val="0"/>
        </w:rPr>
        <w:t>工作成果要求</w:t>
      </w:r>
      <w:bookmarkEnd w:id="0"/>
      <w:bookmarkEnd w:id="1"/>
    </w:p>
    <w:p>
      <w:pPr>
        <w:pStyle w:val="8"/>
        <w:numPr>
          <w:ilvl w:val="0"/>
          <w:numId w:val="6"/>
        </w:numPr>
        <w:tabs>
          <w:tab w:val="left" w:pos="142"/>
        </w:tabs>
        <w:spacing w:line="360" w:lineRule="auto"/>
        <w:ind w:left="0" w:firstLine="425" w:firstLineChars="152"/>
        <w:rPr>
          <w:rFonts w:asciiTheme="minorEastAsia" w:hAnsiTheme="minorEastAsia"/>
          <w:snapToGrid w:val="0"/>
          <w:sz w:val="28"/>
        </w:rPr>
      </w:pPr>
      <w:r>
        <w:rPr>
          <w:rFonts w:hint="eastAsia" w:asciiTheme="minorEastAsia" w:hAnsiTheme="minorEastAsia"/>
          <w:snapToGrid w:val="0"/>
          <w:sz w:val="28"/>
        </w:rPr>
        <w:t>未发生由于供应商响应延误、技术支持不足导致的生产事件。</w:t>
      </w:r>
    </w:p>
    <w:p>
      <w:pPr>
        <w:pStyle w:val="8"/>
        <w:numPr>
          <w:ilvl w:val="0"/>
          <w:numId w:val="6"/>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每年度在现场进行至少提供12次系统巡检和安全检查，听取用户意见，对系统存在的运行问题提出改进方案。巡检具体内容和安排由双方另行商定，主要包括硬件检查、系统日志检查、集群检查、系统配置检查、系统备份检查、系统总体性能评估、排除隐患故障、更换有隐患备件、针对检查结果提供分析报告、进行设备保养等预防性维护工作。每次巡检结束后应在10天内向我分行提供巡检报告和改进方案。</w:t>
      </w:r>
    </w:p>
    <w:p>
      <w:pPr>
        <w:pStyle w:val="8"/>
        <w:numPr>
          <w:ilvl w:val="0"/>
          <w:numId w:val="6"/>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每季度至少安排1次硬件固件分析和升级、性能数据采集和分析优化。对严重影响系统的硬件固件提供及时的报告和升级。</w:t>
      </w:r>
    </w:p>
    <w:p>
      <w:pPr>
        <w:pStyle w:val="8"/>
        <w:numPr>
          <w:ilvl w:val="0"/>
          <w:numId w:val="6"/>
        </w:numPr>
        <w:tabs>
          <w:tab w:val="left" w:pos="0"/>
        </w:tabs>
        <w:spacing w:line="360" w:lineRule="auto"/>
        <w:ind w:left="0" w:firstLine="567" w:firstLineChars="0"/>
        <w:rPr>
          <w:rFonts w:asciiTheme="minorEastAsia" w:hAnsiTheme="minorEastAsia"/>
          <w:snapToGrid w:val="0"/>
          <w:sz w:val="28"/>
        </w:rPr>
      </w:pPr>
      <w:r>
        <w:rPr>
          <w:rFonts w:hint="eastAsia" w:asciiTheme="minorEastAsia" w:hAnsiTheme="minorEastAsia"/>
          <w:snapToGrid w:val="0"/>
          <w:sz w:val="28"/>
        </w:rPr>
        <w:t>每季度向我分行提供服务支持报告，包括故障原因、现象、排除、分析和建议。</w:t>
      </w:r>
    </w:p>
    <w:p>
      <w:pPr>
        <w:pStyle w:val="2"/>
        <w:numPr>
          <w:ilvl w:val="0"/>
          <w:numId w:val="1"/>
        </w:numPr>
        <w:rPr>
          <w:snapToGrid w:val="0"/>
        </w:rPr>
      </w:pPr>
      <w:bookmarkStart w:id="2" w:name="_Toc21618773"/>
      <w:bookmarkStart w:id="3" w:name="_Toc21681024"/>
      <w:r>
        <w:rPr>
          <w:rFonts w:hint="eastAsia"/>
          <w:snapToGrid w:val="0"/>
        </w:rPr>
        <w:t>其他要求</w:t>
      </w:r>
      <w:bookmarkEnd w:id="2"/>
      <w:bookmarkEnd w:id="3"/>
      <w:r>
        <w:rPr>
          <w:snapToGrid w:val="0"/>
        </w:rPr>
        <w:t xml:space="preserve"> </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问题处理流程：供应商处理问题应严格按照我行相关规定或操作手册执行，在操作过程中出现问题，需立即停止操作，在确认问题、修复系统、防范此故障再重演后，经我行同意后才能继续进行。</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谈判供应商在广州地区有分支机构,并提供分支机构地址、联系人及联系方式。</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谈判供应商应熟悉并了解我行关于供应商管理的相关制度和工作要求，并承诺遵循这些制度和要求。</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谈判供应商在谈判文件中承诺的服务内容，以及在谈判过程中追加的服务内容，均作为具有约束力的条款写入合同。</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对于每一条维护工作需求，供应商必须在谈判文件中逐条做出实质性的响应。其响应应与谈判文件内容采用相同的顺序，对每个需求的响应必须遵循如下规则：a、重复该需求；b、用“是/否”响应来表明该需求是否被满足；c、简要描述谈判文件或投标方案如何满足该需求，如果该响应在谈判文件其他部分有详述，可在该处简单应答，但必须给出确切的位置索引；d、解释谈判文件或谈判方案与项目需求之间的偏差，用数量来表示的需求，必须用确切的数量单位来响应；e、每一条响应的主要内容应加粗标示。</w:t>
      </w:r>
    </w:p>
    <w:p>
      <w:pPr>
        <w:pStyle w:val="8"/>
        <w:numPr>
          <w:ilvl w:val="0"/>
          <w:numId w:val="7"/>
        </w:numPr>
        <w:tabs>
          <w:tab w:val="left" w:pos="0"/>
        </w:tabs>
        <w:spacing w:line="360" w:lineRule="auto"/>
        <w:ind w:left="0" w:firstLine="426" w:firstLineChars="0"/>
        <w:rPr>
          <w:rFonts w:asciiTheme="minorEastAsia" w:hAnsiTheme="minorEastAsia"/>
          <w:snapToGrid w:val="0"/>
          <w:sz w:val="28"/>
        </w:rPr>
      </w:pPr>
      <w:r>
        <w:rPr>
          <w:rFonts w:hint="eastAsia" w:asciiTheme="minorEastAsia" w:hAnsiTheme="minorEastAsia"/>
          <w:snapToGrid w:val="0"/>
          <w:sz w:val="28"/>
        </w:rPr>
        <w:t>谈判</w:t>
      </w:r>
      <w:r>
        <w:rPr>
          <w:rFonts w:asciiTheme="minorEastAsia" w:hAnsiTheme="minorEastAsia"/>
          <w:snapToGrid w:val="0"/>
          <w:sz w:val="28"/>
        </w:rPr>
        <w:t>供应商应遵守</w:t>
      </w:r>
      <w:r>
        <w:rPr>
          <w:rFonts w:hint="eastAsia" w:asciiTheme="minorEastAsia" w:hAnsiTheme="minorEastAsia"/>
          <w:snapToGrid w:val="0"/>
          <w:sz w:val="28"/>
        </w:rPr>
        <w:t>我分行</w:t>
      </w:r>
      <w:r>
        <w:rPr>
          <w:rFonts w:asciiTheme="minorEastAsia" w:hAnsiTheme="minorEastAsia"/>
          <w:snapToGrid w:val="0"/>
          <w:sz w:val="28"/>
        </w:rPr>
        <w:t>《</w:t>
      </w:r>
      <w:r>
        <w:rPr>
          <w:rFonts w:hint="eastAsia" w:asciiTheme="minorEastAsia" w:hAnsiTheme="minorEastAsia"/>
          <w:snapToGrid w:val="0"/>
          <w:sz w:val="28"/>
        </w:rPr>
        <w:t>供应商积分</w:t>
      </w:r>
      <w:r>
        <w:rPr>
          <w:rFonts w:asciiTheme="minorEastAsia" w:hAnsiTheme="minorEastAsia"/>
          <w:snapToGrid w:val="0"/>
          <w:sz w:val="28"/>
        </w:rPr>
        <w:t>管理办法》</w:t>
      </w:r>
      <w:r>
        <w:rPr>
          <w:rFonts w:hint="eastAsia" w:asciiTheme="minorEastAsia" w:hAnsiTheme="minorEastAsia"/>
          <w:snapToGrid w:val="0"/>
          <w:sz w:val="28"/>
        </w:rPr>
        <w:t>，积分</w:t>
      </w:r>
      <w:r>
        <w:rPr>
          <w:rFonts w:asciiTheme="minorEastAsia" w:hAnsiTheme="minorEastAsia"/>
          <w:snapToGrid w:val="0"/>
          <w:sz w:val="28"/>
        </w:rPr>
        <w:t>每季度结算一次，</w:t>
      </w:r>
      <w:r>
        <w:rPr>
          <w:rFonts w:hint="eastAsia" w:asciiTheme="minorEastAsia" w:hAnsiTheme="minorEastAsia"/>
          <w:snapToGrid w:val="0"/>
          <w:sz w:val="28"/>
        </w:rPr>
        <w:t>若存在扣分</w:t>
      </w:r>
      <w:r>
        <w:rPr>
          <w:rFonts w:asciiTheme="minorEastAsia" w:hAnsiTheme="minorEastAsia"/>
          <w:snapToGrid w:val="0"/>
          <w:sz w:val="28"/>
        </w:rPr>
        <w:t>情况，我行将采取以下方式</w:t>
      </w:r>
      <w:r>
        <w:rPr>
          <w:rFonts w:hint="eastAsia" w:asciiTheme="minorEastAsia" w:hAnsiTheme="minorEastAsia"/>
          <w:snapToGrid w:val="0"/>
          <w:sz w:val="28"/>
        </w:rPr>
        <w:t>进行</w:t>
      </w:r>
      <w:r>
        <w:rPr>
          <w:rFonts w:asciiTheme="minorEastAsia" w:hAnsiTheme="minorEastAsia"/>
          <w:snapToGrid w:val="0"/>
          <w:sz w:val="28"/>
        </w:rPr>
        <w:t>处罚：</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扣分不足2分（</w:t>
      </w:r>
      <w:r>
        <w:rPr>
          <w:rFonts w:asciiTheme="minorEastAsia" w:hAnsiTheme="minorEastAsia"/>
          <w:snapToGrid w:val="0"/>
          <w:sz w:val="28"/>
        </w:rPr>
        <w:t>含），进行书面函</w:t>
      </w:r>
      <w:r>
        <w:rPr>
          <w:rFonts w:hint="eastAsia" w:asciiTheme="minorEastAsia" w:hAnsiTheme="minorEastAsia"/>
          <w:snapToGrid w:val="0"/>
          <w:sz w:val="28"/>
        </w:rPr>
        <w:t>警告</w:t>
      </w:r>
      <w:r>
        <w:rPr>
          <w:rFonts w:asciiTheme="minorEastAsia" w:hAnsiTheme="minorEastAsia"/>
          <w:snapToGrid w:val="0"/>
          <w:sz w:val="28"/>
        </w:rPr>
        <w:t>处罚；</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扣分</w:t>
      </w:r>
      <w:r>
        <w:rPr>
          <w:rFonts w:asciiTheme="minorEastAsia" w:hAnsiTheme="minorEastAsia"/>
          <w:snapToGrid w:val="0"/>
          <w:sz w:val="28"/>
        </w:rPr>
        <w:t>在</w:t>
      </w:r>
      <w:r>
        <w:rPr>
          <w:rFonts w:hint="eastAsia" w:asciiTheme="minorEastAsia" w:hAnsiTheme="minorEastAsia"/>
          <w:snapToGrid w:val="0"/>
          <w:sz w:val="28"/>
        </w:rPr>
        <w:t>3</w:t>
      </w:r>
      <w:r>
        <w:rPr>
          <w:rFonts w:asciiTheme="minorEastAsia" w:hAnsiTheme="minorEastAsia"/>
          <w:snapToGrid w:val="0"/>
          <w:sz w:val="28"/>
        </w:rPr>
        <w:t>-5</w:t>
      </w:r>
      <w:r>
        <w:rPr>
          <w:rFonts w:hint="eastAsia" w:asciiTheme="minorEastAsia" w:hAnsiTheme="minorEastAsia"/>
          <w:snapToGrid w:val="0"/>
          <w:sz w:val="28"/>
        </w:rPr>
        <w:t>分（</w:t>
      </w:r>
      <w:r>
        <w:rPr>
          <w:rFonts w:asciiTheme="minorEastAsia" w:hAnsiTheme="minorEastAsia"/>
          <w:snapToGrid w:val="0"/>
          <w:sz w:val="28"/>
        </w:rPr>
        <w:t>含），</w:t>
      </w:r>
      <w:r>
        <w:rPr>
          <w:rFonts w:hint="eastAsia" w:asciiTheme="minorEastAsia" w:hAnsiTheme="minorEastAsia"/>
          <w:snapToGrid w:val="0"/>
          <w:sz w:val="28"/>
        </w:rPr>
        <w:t>按</w:t>
      </w:r>
      <w:r>
        <w:rPr>
          <w:rFonts w:asciiTheme="minorEastAsia" w:hAnsiTheme="minorEastAsia"/>
          <w:snapToGrid w:val="0"/>
          <w:sz w:val="28"/>
        </w:rPr>
        <w:t>当季付款金额扣减</w:t>
      </w:r>
      <w:r>
        <w:rPr>
          <w:rFonts w:hint="eastAsia" w:asciiTheme="minorEastAsia" w:hAnsiTheme="minorEastAsia"/>
          <w:snapToGrid w:val="0"/>
          <w:sz w:val="28"/>
        </w:rPr>
        <w:t>5</w:t>
      </w:r>
      <w:r>
        <w:rPr>
          <w:rFonts w:asciiTheme="minorEastAsia" w:hAnsiTheme="minorEastAsia"/>
          <w:snapToGrid w:val="0"/>
          <w:sz w:val="28"/>
        </w:rPr>
        <w:t>%处罚；</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扣分</w:t>
      </w:r>
      <w:r>
        <w:rPr>
          <w:rFonts w:asciiTheme="minorEastAsia" w:hAnsiTheme="minorEastAsia"/>
          <w:snapToGrid w:val="0"/>
          <w:sz w:val="28"/>
        </w:rPr>
        <w:t>在6-10</w:t>
      </w:r>
      <w:r>
        <w:rPr>
          <w:rFonts w:hint="eastAsia" w:asciiTheme="minorEastAsia" w:hAnsiTheme="minorEastAsia"/>
          <w:snapToGrid w:val="0"/>
          <w:sz w:val="28"/>
        </w:rPr>
        <w:t>分（</w:t>
      </w:r>
      <w:r>
        <w:rPr>
          <w:rFonts w:asciiTheme="minorEastAsia" w:hAnsiTheme="minorEastAsia"/>
          <w:snapToGrid w:val="0"/>
          <w:sz w:val="28"/>
        </w:rPr>
        <w:t>含）</w:t>
      </w:r>
      <w:r>
        <w:rPr>
          <w:rFonts w:hint="eastAsia" w:asciiTheme="minorEastAsia" w:hAnsiTheme="minorEastAsia"/>
          <w:snapToGrid w:val="0"/>
          <w:sz w:val="28"/>
        </w:rPr>
        <w:t>，</w:t>
      </w:r>
      <w:r>
        <w:rPr>
          <w:rFonts w:asciiTheme="minorEastAsia" w:hAnsiTheme="minorEastAsia"/>
          <w:snapToGrid w:val="0"/>
          <w:sz w:val="28"/>
        </w:rPr>
        <w:t>按当季付款金额</w:t>
      </w:r>
      <w:r>
        <w:rPr>
          <w:rFonts w:hint="eastAsia" w:asciiTheme="minorEastAsia" w:hAnsiTheme="minorEastAsia"/>
          <w:snapToGrid w:val="0"/>
          <w:sz w:val="28"/>
        </w:rPr>
        <w:t>扣减10</w:t>
      </w:r>
      <w:r>
        <w:rPr>
          <w:rFonts w:asciiTheme="minorEastAsia" w:hAnsiTheme="minorEastAsia"/>
          <w:snapToGrid w:val="0"/>
          <w:sz w:val="28"/>
        </w:rPr>
        <w:t>%处罚</w:t>
      </w:r>
      <w:r>
        <w:rPr>
          <w:rFonts w:hint="eastAsia" w:asciiTheme="minorEastAsia" w:hAnsiTheme="minorEastAsia"/>
          <w:snapToGrid w:val="0"/>
          <w:sz w:val="28"/>
        </w:rPr>
        <w:t>，</w:t>
      </w:r>
      <w:r>
        <w:rPr>
          <w:rFonts w:asciiTheme="minorEastAsia" w:hAnsiTheme="minorEastAsia"/>
          <w:snapToGrid w:val="0"/>
          <w:sz w:val="28"/>
        </w:rPr>
        <w:t>约谈供应商；</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扣分在</w:t>
      </w:r>
      <w:r>
        <w:rPr>
          <w:rFonts w:asciiTheme="minorEastAsia" w:hAnsiTheme="minorEastAsia"/>
          <w:snapToGrid w:val="0"/>
          <w:sz w:val="28"/>
        </w:rPr>
        <w:t>11-15分</w:t>
      </w:r>
      <w:r>
        <w:rPr>
          <w:rFonts w:hint="eastAsia" w:asciiTheme="minorEastAsia" w:hAnsiTheme="minorEastAsia"/>
          <w:snapToGrid w:val="0"/>
          <w:sz w:val="28"/>
        </w:rPr>
        <w:t>（</w:t>
      </w:r>
      <w:r>
        <w:rPr>
          <w:rFonts w:asciiTheme="minorEastAsia" w:hAnsiTheme="minorEastAsia"/>
          <w:snapToGrid w:val="0"/>
          <w:sz w:val="28"/>
        </w:rPr>
        <w:t>含）</w:t>
      </w:r>
      <w:r>
        <w:rPr>
          <w:rFonts w:hint="eastAsia" w:asciiTheme="minorEastAsia" w:hAnsiTheme="minorEastAsia"/>
          <w:snapToGrid w:val="0"/>
          <w:sz w:val="28"/>
        </w:rPr>
        <w:t>，</w:t>
      </w:r>
      <w:r>
        <w:rPr>
          <w:rFonts w:asciiTheme="minorEastAsia" w:hAnsiTheme="minorEastAsia"/>
          <w:snapToGrid w:val="0"/>
          <w:sz w:val="28"/>
        </w:rPr>
        <w:t>按当季</w:t>
      </w:r>
      <w:r>
        <w:rPr>
          <w:rFonts w:hint="eastAsia" w:asciiTheme="minorEastAsia" w:hAnsiTheme="minorEastAsia"/>
          <w:snapToGrid w:val="0"/>
          <w:sz w:val="28"/>
        </w:rPr>
        <w:t>付款</w:t>
      </w:r>
      <w:r>
        <w:rPr>
          <w:rFonts w:asciiTheme="minorEastAsia" w:hAnsiTheme="minorEastAsia"/>
          <w:snapToGrid w:val="0"/>
          <w:sz w:val="28"/>
        </w:rPr>
        <w:t>金额扣减</w:t>
      </w:r>
      <w:r>
        <w:rPr>
          <w:rFonts w:hint="eastAsia" w:asciiTheme="minorEastAsia" w:hAnsiTheme="minorEastAsia"/>
          <w:snapToGrid w:val="0"/>
          <w:sz w:val="28"/>
        </w:rPr>
        <w:t>20</w:t>
      </w:r>
      <w:r>
        <w:rPr>
          <w:rFonts w:asciiTheme="minorEastAsia" w:hAnsiTheme="minorEastAsia"/>
          <w:snapToGrid w:val="0"/>
          <w:sz w:val="28"/>
        </w:rPr>
        <w:t>%处罚</w:t>
      </w:r>
      <w:r>
        <w:rPr>
          <w:rFonts w:hint="eastAsia" w:asciiTheme="minorEastAsia" w:hAnsiTheme="minorEastAsia"/>
          <w:snapToGrid w:val="0"/>
          <w:sz w:val="28"/>
        </w:rPr>
        <w:t>，</w:t>
      </w:r>
      <w:r>
        <w:rPr>
          <w:rFonts w:asciiTheme="minorEastAsia" w:hAnsiTheme="minorEastAsia"/>
          <w:snapToGrid w:val="0"/>
          <w:sz w:val="28"/>
        </w:rPr>
        <w:t>约谈供应商；</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扣分超过16分（</w:t>
      </w:r>
      <w:r>
        <w:rPr>
          <w:rFonts w:asciiTheme="minorEastAsia" w:hAnsiTheme="minorEastAsia"/>
          <w:snapToGrid w:val="0"/>
          <w:sz w:val="28"/>
        </w:rPr>
        <w:t>含）</w:t>
      </w:r>
      <w:r>
        <w:rPr>
          <w:rFonts w:hint="eastAsia" w:asciiTheme="minorEastAsia" w:hAnsiTheme="minorEastAsia"/>
          <w:snapToGrid w:val="0"/>
          <w:sz w:val="28"/>
        </w:rPr>
        <w:t>以上</w:t>
      </w:r>
      <w:r>
        <w:rPr>
          <w:rFonts w:asciiTheme="minorEastAsia" w:hAnsiTheme="minorEastAsia"/>
          <w:snapToGrid w:val="0"/>
          <w:sz w:val="28"/>
        </w:rPr>
        <w:t>，当季付款金额</w:t>
      </w:r>
      <w:r>
        <w:rPr>
          <w:rFonts w:hint="eastAsia" w:asciiTheme="minorEastAsia" w:hAnsiTheme="minorEastAsia"/>
          <w:snapToGrid w:val="0"/>
          <w:sz w:val="28"/>
        </w:rPr>
        <w:t>扣减50</w:t>
      </w:r>
      <w:r>
        <w:rPr>
          <w:rFonts w:asciiTheme="minorEastAsia" w:hAnsiTheme="minorEastAsia"/>
          <w:snapToGrid w:val="0"/>
          <w:sz w:val="28"/>
        </w:rPr>
        <w:t>%处罚，约谈</w:t>
      </w:r>
      <w:r>
        <w:rPr>
          <w:rFonts w:hint="eastAsia" w:asciiTheme="minorEastAsia" w:hAnsiTheme="minorEastAsia"/>
          <w:snapToGrid w:val="0"/>
          <w:sz w:val="28"/>
        </w:rPr>
        <w:t>供应商</w:t>
      </w:r>
      <w:r>
        <w:rPr>
          <w:rFonts w:asciiTheme="minorEastAsia" w:hAnsiTheme="minorEastAsia"/>
          <w:snapToGrid w:val="0"/>
          <w:sz w:val="28"/>
        </w:rPr>
        <w:t>；</w:t>
      </w:r>
    </w:p>
    <w:p>
      <w:pPr>
        <w:numPr>
          <w:ilvl w:val="1"/>
          <w:numId w:val="8"/>
        </w:numPr>
        <w:spacing w:line="360" w:lineRule="auto"/>
        <w:ind w:left="0" w:firstLine="426"/>
        <w:rPr>
          <w:rFonts w:asciiTheme="minorEastAsia" w:hAnsiTheme="minorEastAsia"/>
          <w:snapToGrid w:val="0"/>
          <w:sz w:val="28"/>
        </w:rPr>
      </w:pPr>
      <w:r>
        <w:rPr>
          <w:rFonts w:hint="eastAsia" w:asciiTheme="minorEastAsia" w:hAnsiTheme="minorEastAsia"/>
          <w:snapToGrid w:val="0"/>
          <w:sz w:val="28"/>
        </w:rPr>
        <w:t>连续</w:t>
      </w:r>
      <w:r>
        <w:rPr>
          <w:rFonts w:asciiTheme="minorEastAsia" w:hAnsiTheme="minorEastAsia"/>
          <w:snapToGrid w:val="0"/>
          <w:sz w:val="28"/>
        </w:rPr>
        <w:t>两个月累计扣分超过</w:t>
      </w:r>
      <w:r>
        <w:rPr>
          <w:rFonts w:hint="eastAsia" w:asciiTheme="minorEastAsia" w:hAnsiTheme="minorEastAsia"/>
          <w:snapToGrid w:val="0"/>
          <w:sz w:val="28"/>
        </w:rPr>
        <w:t>20分</w:t>
      </w:r>
      <w:r>
        <w:rPr>
          <w:rFonts w:asciiTheme="minorEastAsia" w:hAnsiTheme="minorEastAsia"/>
          <w:snapToGrid w:val="0"/>
          <w:sz w:val="28"/>
        </w:rPr>
        <w:t>（含</w:t>
      </w:r>
      <w:r>
        <w:rPr>
          <w:rFonts w:hint="eastAsia" w:asciiTheme="minorEastAsia" w:hAnsiTheme="minorEastAsia"/>
          <w:snapToGrid w:val="0"/>
          <w:sz w:val="28"/>
        </w:rPr>
        <w:t>）</w:t>
      </w:r>
      <w:r>
        <w:rPr>
          <w:rFonts w:asciiTheme="minorEastAsia" w:hAnsiTheme="minorEastAsia"/>
          <w:snapToGrid w:val="0"/>
          <w:sz w:val="28"/>
        </w:rPr>
        <w:t>，</w:t>
      </w:r>
      <w:r>
        <w:rPr>
          <w:rFonts w:hint="eastAsia" w:asciiTheme="minorEastAsia" w:hAnsiTheme="minorEastAsia"/>
          <w:snapToGrid w:val="0"/>
          <w:sz w:val="28"/>
        </w:rPr>
        <w:t>我分行</w:t>
      </w:r>
      <w:r>
        <w:rPr>
          <w:rFonts w:asciiTheme="minorEastAsia" w:hAnsiTheme="minorEastAsia"/>
          <w:snapToGrid w:val="0"/>
          <w:sz w:val="28"/>
        </w:rPr>
        <w:t>有权取消</w:t>
      </w:r>
      <w:r>
        <w:rPr>
          <w:rFonts w:hint="eastAsia" w:asciiTheme="minorEastAsia" w:hAnsiTheme="minorEastAsia"/>
          <w:snapToGrid w:val="0"/>
          <w:sz w:val="28"/>
        </w:rPr>
        <w:t>执行</w:t>
      </w:r>
      <w:r>
        <w:rPr>
          <w:rFonts w:asciiTheme="minorEastAsia" w:hAnsiTheme="minorEastAsia"/>
          <w:snapToGrid w:val="0"/>
          <w:sz w:val="28"/>
        </w:rPr>
        <w:t>与</w:t>
      </w:r>
      <w:r>
        <w:rPr>
          <w:rFonts w:hint="eastAsia" w:asciiTheme="minorEastAsia" w:hAnsiTheme="minorEastAsia"/>
          <w:snapToGrid w:val="0"/>
          <w:sz w:val="28"/>
        </w:rPr>
        <w:t>供应商</w:t>
      </w:r>
      <w:r>
        <w:rPr>
          <w:rFonts w:asciiTheme="minorEastAsia" w:hAnsiTheme="minorEastAsia"/>
          <w:snapToGrid w:val="0"/>
          <w:sz w:val="28"/>
        </w:rPr>
        <w:t>的合同，</w:t>
      </w:r>
      <w:r>
        <w:rPr>
          <w:rFonts w:hint="eastAsia" w:asciiTheme="minorEastAsia" w:hAnsiTheme="minorEastAsia"/>
          <w:snapToGrid w:val="0"/>
          <w:sz w:val="28"/>
        </w:rPr>
        <w:t>剩余合同</w:t>
      </w:r>
      <w:r>
        <w:rPr>
          <w:rFonts w:asciiTheme="minorEastAsia" w:hAnsiTheme="minorEastAsia"/>
          <w:snapToGrid w:val="0"/>
          <w:sz w:val="28"/>
        </w:rPr>
        <w:t>时间由谈判得分</w:t>
      </w:r>
      <w:r>
        <w:rPr>
          <w:rFonts w:hint="eastAsia" w:asciiTheme="minorEastAsia" w:hAnsiTheme="minorEastAsia"/>
          <w:snapToGrid w:val="0"/>
          <w:sz w:val="28"/>
        </w:rPr>
        <w:t>排名</w:t>
      </w:r>
      <w:r>
        <w:rPr>
          <w:rFonts w:asciiTheme="minorEastAsia" w:hAnsiTheme="minorEastAsia"/>
          <w:snapToGrid w:val="0"/>
          <w:sz w:val="28"/>
        </w:rPr>
        <w:t>第二的供应商执行，</w:t>
      </w:r>
      <w:r>
        <w:rPr>
          <w:rFonts w:hint="eastAsia" w:asciiTheme="minorEastAsia" w:hAnsiTheme="minorEastAsia"/>
          <w:snapToGrid w:val="0"/>
          <w:sz w:val="28"/>
        </w:rPr>
        <w:t>以此类推</w:t>
      </w:r>
      <w:r>
        <w:rPr>
          <w:rFonts w:asciiTheme="minorEastAsia" w:hAnsiTheme="minorEastAsia"/>
          <w:snapToGrid w:val="0"/>
          <w:sz w:val="28"/>
        </w:rPr>
        <w:t>。</w:t>
      </w:r>
    </w:p>
    <w:p/>
    <w:p/>
    <w:p>
      <w:pPr>
        <w:adjustRightInd w:val="0"/>
        <w:snapToGrid w:val="0"/>
        <w:spacing w:line="560" w:lineRule="exact"/>
        <w:ind w:firstLine="640" w:firstLineChars="200"/>
        <w:rPr>
          <w:rFonts w:ascii="彩虹粗仿宋" w:hAnsi="宋体" w:eastAsia="彩虹粗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2317858"/>
      <w:docPartObj>
        <w:docPartGallery w:val="autotext"/>
      </w:docPartObj>
    </w:sdtPr>
    <w:sdtContent>
      <w:p>
        <w:pPr>
          <w:pStyle w:val="3"/>
          <w:jc w:val="center"/>
        </w:pPr>
        <w:r>
          <w:fldChar w:fldCharType="begin"/>
        </w:r>
        <w:r>
          <w:instrText xml:space="preserve">PAGE   \* MERGEFORMAT</w:instrText>
        </w:r>
        <w:r>
          <w:fldChar w:fldCharType="separate"/>
        </w:r>
        <w:r>
          <w:rPr>
            <w:lang w:val="zh-CN"/>
          </w:rPr>
          <w:t>7</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C4706"/>
    <w:multiLevelType w:val="multilevel"/>
    <w:tmpl w:val="020C47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D97075F"/>
    <w:multiLevelType w:val="multilevel"/>
    <w:tmpl w:val="0D97075F"/>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0F3C20FF"/>
    <w:multiLevelType w:val="multilevel"/>
    <w:tmpl w:val="0F3C20FF"/>
    <w:lvl w:ilvl="0" w:tentative="0">
      <w:start w:val="1"/>
      <w:numFmt w:val="decimal"/>
      <w:lvlText w:val="%1、"/>
      <w:lvlJc w:val="left"/>
      <w:pPr>
        <w:ind w:left="1837"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D815BA1"/>
    <w:multiLevelType w:val="multilevel"/>
    <w:tmpl w:val="2D815BA1"/>
    <w:lvl w:ilvl="0" w:tentative="0">
      <w:start w:val="1"/>
      <w:numFmt w:val="decimal"/>
      <w:lvlText w:val="%1、"/>
      <w:lvlJc w:val="left"/>
      <w:pPr>
        <w:tabs>
          <w:tab w:val="left" w:pos="1506"/>
        </w:tabs>
        <w:ind w:left="1506" w:hanging="726"/>
      </w:pPr>
      <w:rPr>
        <w:rFonts w:hint="default"/>
        <w:sz w:val="28"/>
        <w:szCs w:val="28"/>
        <w:lang w:val="en-US"/>
      </w:rPr>
    </w:lvl>
    <w:lvl w:ilvl="1" w:tentative="0">
      <w:start w:val="1"/>
      <w:numFmt w:val="decimal"/>
      <w:lvlText w:val="（%2）"/>
      <w:lvlJc w:val="left"/>
      <w:pPr>
        <w:tabs>
          <w:tab w:val="left" w:pos="480"/>
        </w:tabs>
        <w:ind w:left="480" w:hanging="420"/>
      </w:pPr>
      <w:rPr>
        <w:rFonts w:hint="eastAsia"/>
        <w:sz w:val="28"/>
        <w:szCs w:val="28"/>
        <w:lang w:val="en-US"/>
      </w:rPr>
    </w:lvl>
    <w:lvl w:ilvl="2" w:tentative="0">
      <w:start w:val="1"/>
      <w:numFmt w:val="lowerRoman"/>
      <w:lvlText w:val="%3."/>
      <w:lvlJc w:val="right"/>
      <w:pPr>
        <w:tabs>
          <w:tab w:val="left" w:pos="900"/>
        </w:tabs>
        <w:ind w:left="900" w:hanging="420"/>
      </w:pPr>
    </w:lvl>
    <w:lvl w:ilvl="3" w:tentative="0">
      <w:start w:val="1"/>
      <w:numFmt w:val="decimal"/>
      <w:lvlText w:val="%4."/>
      <w:lvlJc w:val="left"/>
      <w:pPr>
        <w:tabs>
          <w:tab w:val="left" w:pos="1320"/>
        </w:tabs>
        <w:ind w:left="1320" w:hanging="420"/>
      </w:pPr>
    </w:lvl>
    <w:lvl w:ilvl="4" w:tentative="0">
      <w:start w:val="1"/>
      <w:numFmt w:val="lowerLetter"/>
      <w:lvlText w:val="%5)"/>
      <w:lvlJc w:val="left"/>
      <w:pPr>
        <w:tabs>
          <w:tab w:val="left" w:pos="1740"/>
        </w:tabs>
        <w:ind w:left="1740" w:hanging="420"/>
      </w:pPr>
    </w:lvl>
    <w:lvl w:ilvl="5" w:tentative="0">
      <w:start w:val="1"/>
      <w:numFmt w:val="lowerRoman"/>
      <w:lvlText w:val="%6."/>
      <w:lvlJc w:val="right"/>
      <w:pPr>
        <w:tabs>
          <w:tab w:val="left" w:pos="2160"/>
        </w:tabs>
        <w:ind w:left="2160" w:hanging="420"/>
      </w:pPr>
    </w:lvl>
    <w:lvl w:ilvl="6" w:tentative="0">
      <w:start w:val="1"/>
      <w:numFmt w:val="decimal"/>
      <w:lvlText w:val="%7."/>
      <w:lvlJc w:val="left"/>
      <w:pPr>
        <w:tabs>
          <w:tab w:val="left" w:pos="2580"/>
        </w:tabs>
        <w:ind w:left="2580" w:hanging="420"/>
      </w:pPr>
    </w:lvl>
    <w:lvl w:ilvl="7" w:tentative="0">
      <w:start w:val="1"/>
      <w:numFmt w:val="lowerLetter"/>
      <w:lvlText w:val="%8)"/>
      <w:lvlJc w:val="left"/>
      <w:pPr>
        <w:tabs>
          <w:tab w:val="left" w:pos="3000"/>
        </w:tabs>
        <w:ind w:left="3000" w:hanging="420"/>
      </w:pPr>
    </w:lvl>
    <w:lvl w:ilvl="8" w:tentative="0">
      <w:start w:val="1"/>
      <w:numFmt w:val="lowerRoman"/>
      <w:lvlText w:val="%9."/>
      <w:lvlJc w:val="right"/>
      <w:pPr>
        <w:tabs>
          <w:tab w:val="left" w:pos="3420"/>
        </w:tabs>
        <w:ind w:left="3420" w:hanging="420"/>
      </w:pPr>
    </w:lvl>
  </w:abstractNum>
  <w:abstractNum w:abstractNumId="4">
    <w:nsid w:val="330F0C92"/>
    <w:multiLevelType w:val="multilevel"/>
    <w:tmpl w:val="330F0C92"/>
    <w:lvl w:ilvl="0" w:tentative="0">
      <w:start w:val="1"/>
      <w:numFmt w:val="decimal"/>
      <w:lvlText w:val="%1、"/>
      <w:lvlJc w:val="left"/>
      <w:pPr>
        <w:ind w:left="1837"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327537"/>
    <w:multiLevelType w:val="multilevel"/>
    <w:tmpl w:val="35327537"/>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D1A50FF"/>
    <w:multiLevelType w:val="multilevel"/>
    <w:tmpl w:val="3D1A50FF"/>
    <w:lvl w:ilvl="0" w:tentative="0">
      <w:start w:val="1"/>
      <w:numFmt w:val="decimal"/>
      <w:lvlText w:val="%1、"/>
      <w:lvlJc w:val="left"/>
      <w:pPr>
        <w:ind w:left="1837"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4FA5451C"/>
    <w:multiLevelType w:val="multilevel"/>
    <w:tmpl w:val="4FA5451C"/>
    <w:lvl w:ilvl="0" w:tentative="0">
      <w:start w:val="1"/>
      <w:numFmt w:val="chineseCountingThousand"/>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7"/>
  </w:num>
  <w:num w:numId="4">
    <w:abstractNumId w:val="3"/>
  </w:num>
  <w:num w:numId="5">
    <w:abstractNumId w:val="6"/>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EB"/>
    <w:rsid w:val="000129F5"/>
    <w:rsid w:val="0001764E"/>
    <w:rsid w:val="00034091"/>
    <w:rsid w:val="00046113"/>
    <w:rsid w:val="0007775D"/>
    <w:rsid w:val="0008314D"/>
    <w:rsid w:val="000C24B7"/>
    <w:rsid w:val="000D2DD3"/>
    <w:rsid w:val="000D5D04"/>
    <w:rsid w:val="000D61A7"/>
    <w:rsid w:val="000D6F21"/>
    <w:rsid w:val="000E00AF"/>
    <w:rsid w:val="000F72C1"/>
    <w:rsid w:val="00104323"/>
    <w:rsid w:val="0010617A"/>
    <w:rsid w:val="00112991"/>
    <w:rsid w:val="001235CC"/>
    <w:rsid w:val="00143344"/>
    <w:rsid w:val="001458F8"/>
    <w:rsid w:val="00150170"/>
    <w:rsid w:val="001532CA"/>
    <w:rsid w:val="00172A27"/>
    <w:rsid w:val="001841BE"/>
    <w:rsid w:val="001B076C"/>
    <w:rsid w:val="001B4D00"/>
    <w:rsid w:val="001D789B"/>
    <w:rsid w:val="001D7E47"/>
    <w:rsid w:val="001F0D04"/>
    <w:rsid w:val="001F52ED"/>
    <w:rsid w:val="00201978"/>
    <w:rsid w:val="00202836"/>
    <w:rsid w:val="00202C55"/>
    <w:rsid w:val="00213A50"/>
    <w:rsid w:val="00214D47"/>
    <w:rsid w:val="00232E37"/>
    <w:rsid w:val="002349F4"/>
    <w:rsid w:val="002515A0"/>
    <w:rsid w:val="00296EA3"/>
    <w:rsid w:val="002A2874"/>
    <w:rsid w:val="002B1EC3"/>
    <w:rsid w:val="002B233A"/>
    <w:rsid w:val="002B2F84"/>
    <w:rsid w:val="002B5D1D"/>
    <w:rsid w:val="002C24F1"/>
    <w:rsid w:val="002D5BE9"/>
    <w:rsid w:val="002E614E"/>
    <w:rsid w:val="002F2C3F"/>
    <w:rsid w:val="002F5644"/>
    <w:rsid w:val="002F70B7"/>
    <w:rsid w:val="003210E6"/>
    <w:rsid w:val="00330424"/>
    <w:rsid w:val="00330D01"/>
    <w:rsid w:val="0034388A"/>
    <w:rsid w:val="00347AEA"/>
    <w:rsid w:val="003801B5"/>
    <w:rsid w:val="00390FEF"/>
    <w:rsid w:val="00394803"/>
    <w:rsid w:val="003C0CA7"/>
    <w:rsid w:val="003C157B"/>
    <w:rsid w:val="003C609E"/>
    <w:rsid w:val="003D0FAD"/>
    <w:rsid w:val="003F2358"/>
    <w:rsid w:val="004065A5"/>
    <w:rsid w:val="004106F3"/>
    <w:rsid w:val="00424BA7"/>
    <w:rsid w:val="0043711D"/>
    <w:rsid w:val="00442D8B"/>
    <w:rsid w:val="004508B0"/>
    <w:rsid w:val="004543EB"/>
    <w:rsid w:val="0047203B"/>
    <w:rsid w:val="004803C6"/>
    <w:rsid w:val="004834AB"/>
    <w:rsid w:val="00486893"/>
    <w:rsid w:val="0048721A"/>
    <w:rsid w:val="00491B50"/>
    <w:rsid w:val="00495372"/>
    <w:rsid w:val="004A036A"/>
    <w:rsid w:val="004A5828"/>
    <w:rsid w:val="004B7100"/>
    <w:rsid w:val="004D35E6"/>
    <w:rsid w:val="004D590C"/>
    <w:rsid w:val="004E5C10"/>
    <w:rsid w:val="004F1EDB"/>
    <w:rsid w:val="004F43F1"/>
    <w:rsid w:val="0051302B"/>
    <w:rsid w:val="0052479B"/>
    <w:rsid w:val="00540049"/>
    <w:rsid w:val="00540E7E"/>
    <w:rsid w:val="00541146"/>
    <w:rsid w:val="00541BD9"/>
    <w:rsid w:val="00546D38"/>
    <w:rsid w:val="00551289"/>
    <w:rsid w:val="005547E8"/>
    <w:rsid w:val="005813FE"/>
    <w:rsid w:val="0058559F"/>
    <w:rsid w:val="005862A8"/>
    <w:rsid w:val="005A4808"/>
    <w:rsid w:val="005A59C5"/>
    <w:rsid w:val="005B7195"/>
    <w:rsid w:val="005B7BB6"/>
    <w:rsid w:val="005C619A"/>
    <w:rsid w:val="005E1757"/>
    <w:rsid w:val="005E2637"/>
    <w:rsid w:val="005E4076"/>
    <w:rsid w:val="005E6450"/>
    <w:rsid w:val="005E6F60"/>
    <w:rsid w:val="005F5DE9"/>
    <w:rsid w:val="00601959"/>
    <w:rsid w:val="00612D68"/>
    <w:rsid w:val="006223BF"/>
    <w:rsid w:val="0062644F"/>
    <w:rsid w:val="006329AC"/>
    <w:rsid w:val="00636C10"/>
    <w:rsid w:val="006445EA"/>
    <w:rsid w:val="00675F32"/>
    <w:rsid w:val="00677B25"/>
    <w:rsid w:val="00683412"/>
    <w:rsid w:val="006850B8"/>
    <w:rsid w:val="006A3E80"/>
    <w:rsid w:val="006B10D5"/>
    <w:rsid w:val="006B1B42"/>
    <w:rsid w:val="006C4A92"/>
    <w:rsid w:val="006D241E"/>
    <w:rsid w:val="006D665F"/>
    <w:rsid w:val="006E29E8"/>
    <w:rsid w:val="006E7E60"/>
    <w:rsid w:val="007012F3"/>
    <w:rsid w:val="00703735"/>
    <w:rsid w:val="007130BF"/>
    <w:rsid w:val="0073299D"/>
    <w:rsid w:val="00736DF4"/>
    <w:rsid w:val="00741929"/>
    <w:rsid w:val="00753113"/>
    <w:rsid w:val="00753B24"/>
    <w:rsid w:val="007541C3"/>
    <w:rsid w:val="007544AF"/>
    <w:rsid w:val="0079050B"/>
    <w:rsid w:val="0079401B"/>
    <w:rsid w:val="00797777"/>
    <w:rsid w:val="007A0036"/>
    <w:rsid w:val="007A4A8A"/>
    <w:rsid w:val="007B1CC1"/>
    <w:rsid w:val="007B57FF"/>
    <w:rsid w:val="007C0B05"/>
    <w:rsid w:val="007C68C1"/>
    <w:rsid w:val="008023B7"/>
    <w:rsid w:val="008049B4"/>
    <w:rsid w:val="0080542C"/>
    <w:rsid w:val="00811E36"/>
    <w:rsid w:val="00821941"/>
    <w:rsid w:val="00840F5D"/>
    <w:rsid w:val="00842737"/>
    <w:rsid w:val="00856219"/>
    <w:rsid w:val="008600D6"/>
    <w:rsid w:val="00862EBE"/>
    <w:rsid w:val="0087457B"/>
    <w:rsid w:val="008829E8"/>
    <w:rsid w:val="008925F1"/>
    <w:rsid w:val="008A010B"/>
    <w:rsid w:val="008A4C38"/>
    <w:rsid w:val="008C1C62"/>
    <w:rsid w:val="008C38FF"/>
    <w:rsid w:val="008C5287"/>
    <w:rsid w:val="008C56D3"/>
    <w:rsid w:val="008C6472"/>
    <w:rsid w:val="008E1C9F"/>
    <w:rsid w:val="008E5C2C"/>
    <w:rsid w:val="008F754F"/>
    <w:rsid w:val="0090046C"/>
    <w:rsid w:val="0090158F"/>
    <w:rsid w:val="0093469C"/>
    <w:rsid w:val="00936FFE"/>
    <w:rsid w:val="00944BE2"/>
    <w:rsid w:val="00960C5C"/>
    <w:rsid w:val="00982966"/>
    <w:rsid w:val="00993C96"/>
    <w:rsid w:val="009951BB"/>
    <w:rsid w:val="009A0B4F"/>
    <w:rsid w:val="009A3076"/>
    <w:rsid w:val="009B556D"/>
    <w:rsid w:val="009D134B"/>
    <w:rsid w:val="009D2601"/>
    <w:rsid w:val="009D3A90"/>
    <w:rsid w:val="009E068F"/>
    <w:rsid w:val="009F0B66"/>
    <w:rsid w:val="009F35F7"/>
    <w:rsid w:val="009F4AF2"/>
    <w:rsid w:val="00A063E6"/>
    <w:rsid w:val="00A146C5"/>
    <w:rsid w:val="00A15C79"/>
    <w:rsid w:val="00A218A5"/>
    <w:rsid w:val="00A407BD"/>
    <w:rsid w:val="00A42661"/>
    <w:rsid w:val="00A53E4A"/>
    <w:rsid w:val="00A5716F"/>
    <w:rsid w:val="00A6199B"/>
    <w:rsid w:val="00A65569"/>
    <w:rsid w:val="00A8273A"/>
    <w:rsid w:val="00A84359"/>
    <w:rsid w:val="00A94A3B"/>
    <w:rsid w:val="00AA0129"/>
    <w:rsid w:val="00AB1788"/>
    <w:rsid w:val="00AC3094"/>
    <w:rsid w:val="00AD028A"/>
    <w:rsid w:val="00AD0414"/>
    <w:rsid w:val="00AE6EE6"/>
    <w:rsid w:val="00AF3088"/>
    <w:rsid w:val="00B219FF"/>
    <w:rsid w:val="00B24C88"/>
    <w:rsid w:val="00B25FB2"/>
    <w:rsid w:val="00B36454"/>
    <w:rsid w:val="00B423F3"/>
    <w:rsid w:val="00B576EF"/>
    <w:rsid w:val="00B644ED"/>
    <w:rsid w:val="00B66981"/>
    <w:rsid w:val="00B67DB1"/>
    <w:rsid w:val="00B749B0"/>
    <w:rsid w:val="00B81177"/>
    <w:rsid w:val="00B94BC7"/>
    <w:rsid w:val="00B95E4B"/>
    <w:rsid w:val="00BA0673"/>
    <w:rsid w:val="00BA0F3A"/>
    <w:rsid w:val="00BA1BE6"/>
    <w:rsid w:val="00BB58AD"/>
    <w:rsid w:val="00BC0E31"/>
    <w:rsid w:val="00BD23E1"/>
    <w:rsid w:val="00BE314C"/>
    <w:rsid w:val="00BE5017"/>
    <w:rsid w:val="00C24400"/>
    <w:rsid w:val="00C263D1"/>
    <w:rsid w:val="00C26833"/>
    <w:rsid w:val="00C40FDF"/>
    <w:rsid w:val="00C51CCE"/>
    <w:rsid w:val="00C553BE"/>
    <w:rsid w:val="00C60453"/>
    <w:rsid w:val="00C7252C"/>
    <w:rsid w:val="00C97C61"/>
    <w:rsid w:val="00CE7059"/>
    <w:rsid w:val="00CF34EF"/>
    <w:rsid w:val="00CF6822"/>
    <w:rsid w:val="00CF6827"/>
    <w:rsid w:val="00D042F0"/>
    <w:rsid w:val="00D06976"/>
    <w:rsid w:val="00D101E7"/>
    <w:rsid w:val="00D35C64"/>
    <w:rsid w:val="00D4141D"/>
    <w:rsid w:val="00D442AE"/>
    <w:rsid w:val="00D55620"/>
    <w:rsid w:val="00D64995"/>
    <w:rsid w:val="00DB5E42"/>
    <w:rsid w:val="00DD064D"/>
    <w:rsid w:val="00DD3E5B"/>
    <w:rsid w:val="00DF11BE"/>
    <w:rsid w:val="00DF2B26"/>
    <w:rsid w:val="00DF2BEA"/>
    <w:rsid w:val="00DF5F02"/>
    <w:rsid w:val="00E02ADC"/>
    <w:rsid w:val="00E02C97"/>
    <w:rsid w:val="00E05B7B"/>
    <w:rsid w:val="00E1068F"/>
    <w:rsid w:val="00E12BE4"/>
    <w:rsid w:val="00E15D25"/>
    <w:rsid w:val="00E173D4"/>
    <w:rsid w:val="00E275D6"/>
    <w:rsid w:val="00E32170"/>
    <w:rsid w:val="00E35FEE"/>
    <w:rsid w:val="00E5616A"/>
    <w:rsid w:val="00E57242"/>
    <w:rsid w:val="00E74E5D"/>
    <w:rsid w:val="00E81134"/>
    <w:rsid w:val="00E86943"/>
    <w:rsid w:val="00E86D1E"/>
    <w:rsid w:val="00E87B59"/>
    <w:rsid w:val="00E92194"/>
    <w:rsid w:val="00E9326C"/>
    <w:rsid w:val="00E93961"/>
    <w:rsid w:val="00EA31BE"/>
    <w:rsid w:val="00EB7E8F"/>
    <w:rsid w:val="00EC05F3"/>
    <w:rsid w:val="00ED7D5D"/>
    <w:rsid w:val="00EE042B"/>
    <w:rsid w:val="00EE13E1"/>
    <w:rsid w:val="00EE2033"/>
    <w:rsid w:val="00EE2F87"/>
    <w:rsid w:val="00EF7DD6"/>
    <w:rsid w:val="00F00590"/>
    <w:rsid w:val="00F015DB"/>
    <w:rsid w:val="00F04171"/>
    <w:rsid w:val="00F05F22"/>
    <w:rsid w:val="00F07DD7"/>
    <w:rsid w:val="00F12DE4"/>
    <w:rsid w:val="00F12F9A"/>
    <w:rsid w:val="00F1667A"/>
    <w:rsid w:val="00F2212B"/>
    <w:rsid w:val="00F30C37"/>
    <w:rsid w:val="00F4158A"/>
    <w:rsid w:val="00F438E0"/>
    <w:rsid w:val="00F640E5"/>
    <w:rsid w:val="00F85A3E"/>
    <w:rsid w:val="00F94848"/>
    <w:rsid w:val="00FA2184"/>
    <w:rsid w:val="00FA3101"/>
    <w:rsid w:val="00FA4817"/>
    <w:rsid w:val="00FC00AF"/>
    <w:rsid w:val="00FD27E9"/>
    <w:rsid w:val="00FD3C23"/>
    <w:rsid w:val="00FF4E10"/>
    <w:rsid w:val="505A127C"/>
    <w:rsid w:val="56F91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标题 2 Char"/>
    <w:basedOn w:val="7"/>
    <w:link w:val="2"/>
    <w:qFormat/>
    <w:uiPriority w:val="9"/>
    <w:rPr>
      <w:rFonts w:asciiTheme="majorHAnsi" w:hAnsiTheme="majorHAnsi" w:eastAsiaTheme="majorEastAsia" w:cstheme="majorBidi"/>
      <w:b/>
      <w:bCs/>
      <w:kern w:val="2"/>
      <w:sz w:val="32"/>
      <w:szCs w:val="32"/>
    </w:rPr>
  </w:style>
  <w:style w:type="paragraph" w:customStyle="1" w:styleId="12">
    <w:name w:val="列出段落2"/>
    <w:basedOn w:val="1"/>
    <w:qFormat/>
    <w:uiPriority w:val="0"/>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1961</Words>
  <Characters>2020</Characters>
  <Lines>87</Lines>
  <Paragraphs>54</Paragraphs>
  <TotalTime>0</TotalTime>
  <ScaleCrop>false</ScaleCrop>
  <LinksUpToDate>false</LinksUpToDate>
  <CharactersWithSpaces>3927</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2023-04-12T15:01:00Z</dcterms:created>
  <dc:creator>Apache POI</dc:creator>
  <cp:lastModifiedBy>ccb</cp:lastModifiedBy>
  <dcterms:modified xsi:type="dcterms:W3CDTF">2026-06-08T08:54:52Z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C85D30D13CFF4558DC12266A228BF14C</vt:lpwstr>
  </property>
</Properties>
</file>